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963827">
      <w:pPr>
        <w:pStyle w:val="2"/>
        <w:spacing w:line="265" w:lineRule="auto"/>
      </w:pPr>
    </w:p>
    <w:p w14:paraId="4DADB069">
      <w:pPr>
        <w:pStyle w:val="2"/>
        <w:spacing w:line="265" w:lineRule="auto"/>
      </w:pPr>
    </w:p>
    <w:p w14:paraId="343BA9ED">
      <w:pPr>
        <w:pStyle w:val="2"/>
        <w:spacing w:line="265" w:lineRule="auto"/>
      </w:pPr>
    </w:p>
    <w:p w14:paraId="7C015BD7">
      <w:pPr>
        <w:pStyle w:val="2"/>
        <w:spacing w:line="265" w:lineRule="auto"/>
      </w:pPr>
    </w:p>
    <w:p w14:paraId="00C1E1D9">
      <w:pPr>
        <w:pStyle w:val="2"/>
        <w:spacing w:line="266" w:lineRule="auto"/>
      </w:pPr>
    </w:p>
    <w:p w14:paraId="3F8AA18A">
      <w:pPr>
        <w:pStyle w:val="2"/>
        <w:spacing w:line="266" w:lineRule="auto"/>
      </w:pPr>
    </w:p>
    <w:p w14:paraId="4187CC57">
      <w:pPr>
        <w:spacing w:before="113" w:line="218" w:lineRule="auto"/>
        <w:ind w:right="6"/>
        <w:jc w:val="right"/>
        <w:rPr>
          <w:rFonts w:ascii="黑体" w:hAnsi="黑体" w:eastAsia="黑体" w:cs="黑体"/>
          <w:sz w:val="35"/>
          <w:szCs w:val="35"/>
        </w:rPr>
      </w:pPr>
      <w:r>
        <w:rPr>
          <w:rFonts w:ascii="黑体" w:hAnsi="黑体" w:eastAsia="黑体" w:cs="黑体"/>
          <w:b/>
          <w:bCs/>
          <w:spacing w:val="5"/>
          <w:sz w:val="35"/>
          <w:szCs w:val="35"/>
        </w:rPr>
        <w:t>重庆市黔江区矿产资源总体规划</w:t>
      </w:r>
      <w:r>
        <w:rPr>
          <w:rFonts w:ascii="黑体" w:hAnsi="黑体" w:eastAsia="黑体" w:cs="黑体"/>
          <w:spacing w:val="5"/>
          <w:sz w:val="35"/>
          <w:szCs w:val="35"/>
        </w:rPr>
        <w:t xml:space="preserve"> </w:t>
      </w:r>
      <w:r>
        <w:rPr>
          <w:rFonts w:ascii="Times New Roman" w:hAnsi="Times New Roman" w:eastAsia="Times New Roman" w:cs="Times New Roman"/>
          <w:b/>
          <w:bCs/>
          <w:spacing w:val="5"/>
          <w:sz w:val="35"/>
          <w:szCs w:val="35"/>
        </w:rPr>
        <w:t xml:space="preserve">(2021-2025 </w:t>
      </w:r>
      <w:r>
        <w:rPr>
          <w:rFonts w:ascii="黑体" w:hAnsi="黑体" w:eastAsia="黑体" w:cs="黑体"/>
          <w:b/>
          <w:bCs/>
          <w:spacing w:val="5"/>
          <w:sz w:val="35"/>
          <w:szCs w:val="35"/>
        </w:rPr>
        <w:t>年</w:t>
      </w:r>
      <w:r>
        <w:rPr>
          <w:rFonts w:ascii="Times New Roman" w:hAnsi="Times New Roman" w:eastAsia="Times New Roman" w:cs="Times New Roman"/>
          <w:b/>
          <w:bCs/>
          <w:spacing w:val="5"/>
          <w:sz w:val="35"/>
          <w:szCs w:val="35"/>
        </w:rPr>
        <w:t>)</w:t>
      </w:r>
      <w:r>
        <w:rPr>
          <w:rFonts w:ascii="黑体" w:hAnsi="黑体" w:eastAsia="黑体" w:cs="黑体"/>
          <w:b/>
          <w:bCs/>
          <w:spacing w:val="5"/>
          <w:sz w:val="35"/>
          <w:szCs w:val="35"/>
        </w:rPr>
        <w:t>补充</w:t>
      </w:r>
    </w:p>
    <w:p w14:paraId="1B33EB3F">
      <w:pPr>
        <w:pStyle w:val="2"/>
        <w:spacing w:line="320" w:lineRule="auto"/>
      </w:pPr>
    </w:p>
    <w:p w14:paraId="7DC89B47">
      <w:pPr>
        <w:spacing w:before="276" w:line="225" w:lineRule="auto"/>
        <w:ind w:left="1378"/>
        <w:rPr>
          <w:rFonts w:ascii="楷体" w:hAnsi="楷体" w:eastAsia="楷体" w:cs="楷体"/>
          <w:sz w:val="85"/>
          <w:szCs w:val="85"/>
        </w:rPr>
      </w:pPr>
      <w:r>
        <w:rPr>
          <w:rFonts w:ascii="楷体" w:hAnsi="楷体" w:eastAsia="楷体" w:cs="楷体"/>
          <w:b/>
          <w:bCs/>
          <w:spacing w:val="-33"/>
          <w:sz w:val="85"/>
          <w:szCs w:val="85"/>
        </w:rPr>
        <w:t>环境影响报告书</w:t>
      </w:r>
    </w:p>
    <w:p w14:paraId="4C068857">
      <w:pPr>
        <w:spacing w:before="305" w:line="228" w:lineRule="auto"/>
        <w:ind w:left="3350"/>
        <w:rPr>
          <w:rFonts w:ascii="楷体" w:hAnsi="楷体" w:eastAsia="楷体" w:cs="楷体"/>
          <w:sz w:val="30"/>
          <w:szCs w:val="30"/>
        </w:rPr>
      </w:pPr>
      <w:r>
        <w:rPr>
          <w:rFonts w:ascii="楷体" w:hAnsi="楷体" w:eastAsia="楷体" w:cs="楷体"/>
          <w:spacing w:val="-35"/>
          <w:sz w:val="30"/>
          <w:szCs w:val="30"/>
        </w:rPr>
        <w:t>（征求意见稿）</w:t>
      </w:r>
    </w:p>
    <w:p w14:paraId="0C17323B">
      <w:pPr>
        <w:pStyle w:val="2"/>
        <w:spacing w:line="246" w:lineRule="auto"/>
      </w:pPr>
    </w:p>
    <w:p w14:paraId="046AB875">
      <w:pPr>
        <w:pStyle w:val="2"/>
        <w:spacing w:line="246" w:lineRule="auto"/>
      </w:pPr>
    </w:p>
    <w:p w14:paraId="17EED9F5">
      <w:pPr>
        <w:pStyle w:val="2"/>
        <w:spacing w:line="246" w:lineRule="auto"/>
      </w:pPr>
    </w:p>
    <w:p w14:paraId="609ED719">
      <w:pPr>
        <w:pStyle w:val="2"/>
        <w:spacing w:line="246" w:lineRule="auto"/>
      </w:pPr>
    </w:p>
    <w:p w14:paraId="23B891F1">
      <w:pPr>
        <w:pStyle w:val="2"/>
        <w:spacing w:line="246" w:lineRule="auto"/>
      </w:pPr>
    </w:p>
    <w:p w14:paraId="4E441D74">
      <w:pPr>
        <w:pStyle w:val="2"/>
        <w:spacing w:line="246" w:lineRule="auto"/>
      </w:pPr>
    </w:p>
    <w:p w14:paraId="00EAF4C9">
      <w:pPr>
        <w:pStyle w:val="2"/>
        <w:spacing w:line="247" w:lineRule="auto"/>
      </w:pPr>
    </w:p>
    <w:p w14:paraId="4A1D9DA4">
      <w:pPr>
        <w:pStyle w:val="2"/>
        <w:spacing w:line="247" w:lineRule="auto"/>
      </w:pPr>
    </w:p>
    <w:p w14:paraId="5430F097">
      <w:pPr>
        <w:pStyle w:val="2"/>
        <w:spacing w:line="247" w:lineRule="auto"/>
      </w:pPr>
    </w:p>
    <w:p w14:paraId="77CF8C30">
      <w:pPr>
        <w:pStyle w:val="2"/>
        <w:spacing w:line="247" w:lineRule="auto"/>
      </w:pPr>
    </w:p>
    <w:p w14:paraId="77095CAC">
      <w:pPr>
        <w:pStyle w:val="2"/>
        <w:spacing w:line="247" w:lineRule="auto"/>
      </w:pPr>
    </w:p>
    <w:p w14:paraId="2204369E">
      <w:pPr>
        <w:pStyle w:val="2"/>
        <w:spacing w:line="247" w:lineRule="auto"/>
      </w:pPr>
    </w:p>
    <w:p w14:paraId="5AF30E13">
      <w:pPr>
        <w:pStyle w:val="2"/>
        <w:spacing w:line="247" w:lineRule="auto"/>
      </w:pPr>
    </w:p>
    <w:p w14:paraId="48F12C96">
      <w:pPr>
        <w:pStyle w:val="2"/>
        <w:spacing w:line="247" w:lineRule="auto"/>
      </w:pPr>
    </w:p>
    <w:p w14:paraId="4F2C21FA">
      <w:pPr>
        <w:pStyle w:val="2"/>
        <w:spacing w:line="247" w:lineRule="auto"/>
      </w:pPr>
    </w:p>
    <w:p w14:paraId="37DCE6ED">
      <w:pPr>
        <w:pStyle w:val="2"/>
        <w:spacing w:line="247" w:lineRule="auto"/>
      </w:pPr>
    </w:p>
    <w:p w14:paraId="0D1A1930">
      <w:pPr>
        <w:pStyle w:val="2"/>
        <w:spacing w:line="247" w:lineRule="auto"/>
      </w:pPr>
    </w:p>
    <w:p w14:paraId="089F96F7">
      <w:pPr>
        <w:pStyle w:val="2"/>
        <w:spacing w:line="247" w:lineRule="auto"/>
      </w:pPr>
    </w:p>
    <w:p w14:paraId="4713B032">
      <w:pPr>
        <w:pStyle w:val="2"/>
        <w:spacing w:line="247" w:lineRule="auto"/>
      </w:pPr>
    </w:p>
    <w:p w14:paraId="07D490B8">
      <w:pPr>
        <w:pStyle w:val="2"/>
        <w:spacing w:line="247" w:lineRule="auto"/>
      </w:pPr>
    </w:p>
    <w:p w14:paraId="77AEC003">
      <w:pPr>
        <w:pStyle w:val="2"/>
        <w:spacing w:line="247" w:lineRule="auto"/>
      </w:pPr>
    </w:p>
    <w:p w14:paraId="1F1AA245">
      <w:pPr>
        <w:pStyle w:val="2"/>
        <w:spacing w:line="247" w:lineRule="auto"/>
      </w:pPr>
    </w:p>
    <w:p w14:paraId="596A0A34">
      <w:pPr>
        <w:pStyle w:val="2"/>
        <w:spacing w:line="247" w:lineRule="auto"/>
      </w:pPr>
    </w:p>
    <w:p w14:paraId="2BC47736">
      <w:pPr>
        <w:pStyle w:val="2"/>
        <w:spacing w:line="247" w:lineRule="auto"/>
      </w:pPr>
    </w:p>
    <w:p w14:paraId="7135773F">
      <w:pPr>
        <w:pStyle w:val="2"/>
        <w:spacing w:line="247" w:lineRule="auto"/>
      </w:pPr>
    </w:p>
    <w:p w14:paraId="0D0468E1">
      <w:pPr>
        <w:pStyle w:val="2"/>
        <w:spacing w:line="247" w:lineRule="auto"/>
      </w:pPr>
    </w:p>
    <w:p w14:paraId="0C676776">
      <w:pPr>
        <w:pStyle w:val="2"/>
        <w:spacing w:line="247" w:lineRule="auto"/>
      </w:pPr>
    </w:p>
    <w:p w14:paraId="5A0B5747">
      <w:pPr>
        <w:pStyle w:val="2"/>
        <w:spacing w:line="247" w:lineRule="auto"/>
      </w:pPr>
    </w:p>
    <w:p w14:paraId="4F069FB0">
      <w:pPr>
        <w:spacing w:before="98" w:line="219" w:lineRule="auto"/>
        <w:ind w:left="637"/>
        <w:rPr>
          <w:rFonts w:ascii="宋体" w:hAnsi="宋体" w:eastAsia="宋体" w:cs="宋体"/>
          <w:sz w:val="30"/>
          <w:szCs w:val="30"/>
        </w:rPr>
      </w:pPr>
      <w:r>
        <w:rPr>
          <w:rFonts w:ascii="宋体" w:hAnsi="宋体" w:eastAsia="宋体" w:cs="宋体"/>
          <w:spacing w:val="-1"/>
          <w:sz w:val="30"/>
          <w:szCs w:val="30"/>
        </w:rPr>
        <w:t>编制单位：重庆市地质矿产勘查开发局川东南地质大队</w:t>
      </w:r>
    </w:p>
    <w:p w14:paraId="40F8B10F">
      <w:pPr>
        <w:pStyle w:val="2"/>
        <w:spacing w:line="305" w:lineRule="auto"/>
      </w:pPr>
    </w:p>
    <w:p w14:paraId="268AFDB6">
      <w:pPr>
        <w:spacing w:before="98" w:line="219" w:lineRule="auto"/>
        <w:ind w:left="3188"/>
        <w:rPr>
          <w:rFonts w:ascii="宋体" w:hAnsi="宋体" w:eastAsia="宋体" w:cs="宋体"/>
          <w:sz w:val="30"/>
          <w:szCs w:val="30"/>
        </w:rPr>
      </w:pPr>
      <w:r>
        <w:rPr>
          <w:rFonts w:ascii="宋体" w:hAnsi="宋体" w:eastAsia="宋体" w:cs="宋体"/>
          <w:spacing w:val="-3"/>
          <w:sz w:val="30"/>
          <w:szCs w:val="30"/>
        </w:rPr>
        <w:t>二〇二五年八月</w:t>
      </w:r>
    </w:p>
    <w:p w14:paraId="27D9F972">
      <w:pPr>
        <w:spacing w:line="219" w:lineRule="auto"/>
        <w:rPr>
          <w:rFonts w:ascii="宋体" w:hAnsi="宋体" w:eastAsia="宋体" w:cs="宋体"/>
          <w:sz w:val="30"/>
          <w:szCs w:val="30"/>
        </w:rPr>
        <w:sectPr>
          <w:pgSz w:w="11906" w:h="16839"/>
          <w:pgMar w:top="1431" w:right="1785" w:bottom="0" w:left="1785" w:header="0" w:footer="0" w:gutter="0"/>
          <w:cols w:space="720" w:num="1"/>
        </w:sectPr>
      </w:pPr>
    </w:p>
    <w:sdt>
      <w:sdtPr>
        <w:rPr>
          <w:rFonts w:ascii="仿宋" w:hAnsi="仿宋" w:eastAsia="仿宋" w:cs="仿宋"/>
          <w:sz w:val="31"/>
          <w:szCs w:val="31"/>
        </w:rPr>
        <w:id w:val="147464388"/>
        <w:docPartObj>
          <w:docPartGallery w:val="Table of Contents"/>
          <w:docPartUnique/>
        </w:docPartObj>
      </w:sdtPr>
      <w:sdtEndPr>
        <w:rPr>
          <w:rFonts w:ascii="Times New Roman" w:hAnsi="Times New Roman" w:eastAsia="Times New Roman" w:cs="Times New Roman"/>
          <w:sz w:val="22"/>
          <w:szCs w:val="22"/>
        </w:rPr>
      </w:sdtEndPr>
      <w:sdtContent>
        <w:p w14:paraId="03EE863C">
          <w:pPr>
            <w:spacing w:before="65" w:line="218" w:lineRule="auto"/>
            <w:ind w:left="4014"/>
            <w:rPr>
              <w:rFonts w:ascii="仿宋" w:hAnsi="仿宋" w:eastAsia="仿宋" w:cs="仿宋"/>
              <w:sz w:val="31"/>
              <w:szCs w:val="31"/>
            </w:rPr>
          </w:pPr>
          <w:r>
            <w:rPr>
              <w:rFonts w:ascii="仿宋" w:hAnsi="仿宋" w:eastAsia="仿宋" w:cs="仿宋"/>
              <w:b/>
              <w:bCs/>
              <w:spacing w:val="-38"/>
              <w:sz w:val="31"/>
              <w:szCs w:val="31"/>
            </w:rPr>
            <w:t>目</w:t>
          </w:r>
          <w:r>
            <w:rPr>
              <w:rFonts w:ascii="仿宋" w:hAnsi="仿宋" w:eastAsia="仿宋" w:cs="仿宋"/>
              <w:spacing w:val="22"/>
              <w:sz w:val="31"/>
              <w:szCs w:val="31"/>
            </w:rPr>
            <w:t xml:space="preserve">  </w:t>
          </w:r>
          <w:r>
            <w:rPr>
              <w:rFonts w:ascii="仿宋" w:hAnsi="仿宋" w:eastAsia="仿宋" w:cs="仿宋"/>
              <w:b/>
              <w:bCs/>
              <w:spacing w:val="-38"/>
              <w:sz w:val="31"/>
              <w:szCs w:val="31"/>
            </w:rPr>
            <w:t>录</w:t>
          </w:r>
        </w:p>
        <w:p w14:paraId="49E9CCCB">
          <w:pPr>
            <w:tabs>
              <w:tab w:val="right" w:leader="dot" w:pos="8842"/>
            </w:tabs>
            <w:spacing w:before="32" w:line="222" w:lineRule="auto"/>
            <w:ind w:left="13"/>
            <w:rPr>
              <w:rFonts w:ascii="Times New Roman" w:hAnsi="Times New Roman" w:eastAsia="Times New Roman" w:cs="Times New Roman"/>
              <w:sz w:val="22"/>
              <w:szCs w:val="22"/>
            </w:rPr>
          </w:pPr>
          <w:r>
            <w:fldChar w:fldCharType="begin"/>
          </w:r>
          <w:r>
            <w:instrText xml:space="preserve"> HYPERLINK \l "bookmark1" </w:instrText>
          </w:r>
          <w:r>
            <w:fldChar w:fldCharType="separate"/>
          </w:r>
          <w:r>
            <w:rPr>
              <w:rFonts w:ascii="仿宋" w:hAnsi="仿宋" w:eastAsia="仿宋" w:cs="仿宋"/>
              <w:spacing w:val="-17"/>
              <w:sz w:val="22"/>
              <w:szCs w:val="22"/>
            </w:rPr>
            <w:t>前</w:t>
          </w:r>
          <w:r>
            <w:rPr>
              <w:rFonts w:ascii="仿宋" w:hAnsi="仿宋" w:eastAsia="仿宋" w:cs="仿宋"/>
              <w:spacing w:val="9"/>
              <w:sz w:val="22"/>
              <w:szCs w:val="22"/>
            </w:rPr>
            <w:t xml:space="preserve">  </w:t>
          </w:r>
          <w:r>
            <w:rPr>
              <w:rFonts w:ascii="仿宋" w:hAnsi="仿宋" w:eastAsia="仿宋" w:cs="仿宋"/>
              <w:spacing w:val="-17"/>
              <w:sz w:val="22"/>
              <w:szCs w:val="22"/>
            </w:rPr>
            <w:t>言</w:t>
          </w:r>
          <w:r>
            <w:rPr>
              <w:rFonts w:ascii="仿宋" w:hAnsi="仿宋" w:eastAsia="仿宋" w:cs="仿宋"/>
              <w:sz w:val="22"/>
              <w:szCs w:val="22"/>
            </w:rPr>
            <w:tab/>
          </w:r>
          <w:r>
            <w:rPr>
              <w:rFonts w:ascii="Times New Roman" w:hAnsi="Times New Roman" w:eastAsia="Times New Roman" w:cs="Times New Roman"/>
              <w:spacing w:val="19"/>
              <w:sz w:val="22"/>
              <w:szCs w:val="22"/>
            </w:rPr>
            <w:t>1</w:t>
          </w:r>
          <w:r>
            <w:rPr>
              <w:rFonts w:ascii="Times New Roman" w:hAnsi="Times New Roman" w:eastAsia="Times New Roman" w:cs="Times New Roman"/>
              <w:spacing w:val="19"/>
              <w:sz w:val="22"/>
              <w:szCs w:val="22"/>
            </w:rPr>
            <w:fldChar w:fldCharType="end"/>
          </w:r>
        </w:p>
        <w:p w14:paraId="57539363">
          <w:pPr>
            <w:tabs>
              <w:tab w:val="right" w:leader="dot" w:pos="8842"/>
            </w:tabs>
            <w:spacing w:before="219" w:line="225" w:lineRule="auto"/>
            <w:ind w:left="22"/>
            <w:rPr>
              <w:rFonts w:ascii="Times New Roman" w:hAnsi="Times New Roman" w:eastAsia="Times New Roman" w:cs="Times New Roman"/>
              <w:sz w:val="22"/>
              <w:szCs w:val="22"/>
            </w:rPr>
          </w:pPr>
          <w:r>
            <w:fldChar w:fldCharType="begin"/>
          </w:r>
          <w:r>
            <w:instrText xml:space="preserve"> HYPERLINK \l "bookmark2" </w:instrText>
          </w:r>
          <w:r>
            <w:fldChar w:fldCharType="separate"/>
          </w:r>
          <w:r>
            <w:rPr>
              <w:rFonts w:ascii="Times New Roman" w:hAnsi="Times New Roman" w:eastAsia="Times New Roman" w:cs="Times New Roman"/>
              <w:spacing w:val="-22"/>
              <w:sz w:val="22"/>
              <w:szCs w:val="22"/>
            </w:rPr>
            <w:t>1</w:t>
          </w:r>
          <w:r>
            <w:rPr>
              <w:rFonts w:ascii="Times New Roman" w:hAnsi="Times New Roman" w:eastAsia="Times New Roman" w:cs="Times New Roman"/>
              <w:spacing w:val="12"/>
              <w:sz w:val="22"/>
              <w:szCs w:val="22"/>
            </w:rPr>
            <w:t xml:space="preserve">  </w:t>
          </w:r>
          <w:r>
            <w:rPr>
              <w:rFonts w:ascii="仿宋" w:hAnsi="仿宋" w:eastAsia="仿宋" w:cs="仿宋"/>
              <w:spacing w:val="-22"/>
              <w:sz w:val="22"/>
              <w:szCs w:val="22"/>
            </w:rPr>
            <w:t>总</w:t>
          </w:r>
          <w:r>
            <w:rPr>
              <w:rFonts w:ascii="仿宋" w:hAnsi="仿宋" w:eastAsia="仿宋" w:cs="仿宋"/>
              <w:spacing w:val="8"/>
              <w:sz w:val="22"/>
              <w:szCs w:val="22"/>
            </w:rPr>
            <w:t xml:space="preserve">  </w:t>
          </w:r>
          <w:r>
            <w:rPr>
              <w:rFonts w:ascii="仿宋" w:hAnsi="仿宋" w:eastAsia="仿宋" w:cs="仿宋"/>
              <w:spacing w:val="-22"/>
              <w:sz w:val="22"/>
              <w:szCs w:val="22"/>
            </w:rPr>
            <w:t>则</w:t>
          </w:r>
          <w:r>
            <w:rPr>
              <w:rFonts w:ascii="仿宋" w:hAnsi="仿宋" w:eastAsia="仿宋" w:cs="仿宋"/>
              <w:sz w:val="22"/>
              <w:szCs w:val="22"/>
            </w:rPr>
            <w:tab/>
          </w:r>
          <w:r>
            <w:rPr>
              <w:rFonts w:ascii="Times New Roman" w:hAnsi="Times New Roman" w:eastAsia="Times New Roman" w:cs="Times New Roman"/>
              <w:spacing w:val="19"/>
              <w:sz w:val="22"/>
              <w:szCs w:val="22"/>
            </w:rPr>
            <w:t>3</w:t>
          </w:r>
          <w:r>
            <w:rPr>
              <w:rFonts w:ascii="Times New Roman" w:hAnsi="Times New Roman" w:eastAsia="Times New Roman" w:cs="Times New Roman"/>
              <w:spacing w:val="19"/>
              <w:sz w:val="22"/>
              <w:szCs w:val="22"/>
            </w:rPr>
            <w:fldChar w:fldCharType="end"/>
          </w:r>
        </w:p>
        <w:p w14:paraId="467AAB4F">
          <w:pPr>
            <w:tabs>
              <w:tab w:val="right" w:leader="dot" w:pos="8842"/>
            </w:tabs>
            <w:spacing w:before="217" w:line="222" w:lineRule="auto"/>
            <w:ind w:left="463"/>
            <w:rPr>
              <w:rFonts w:ascii="Times New Roman" w:hAnsi="Times New Roman" w:eastAsia="Times New Roman" w:cs="Times New Roman"/>
              <w:sz w:val="22"/>
              <w:szCs w:val="22"/>
            </w:rPr>
          </w:pPr>
          <w:r>
            <w:fldChar w:fldCharType="begin"/>
          </w:r>
          <w:r>
            <w:instrText xml:space="preserve"> HYPERLINK \l "bookmark3" </w:instrText>
          </w:r>
          <w:r>
            <w:fldChar w:fldCharType="separate"/>
          </w:r>
          <w:r>
            <w:rPr>
              <w:rFonts w:ascii="Times New Roman" w:hAnsi="Times New Roman" w:eastAsia="Times New Roman" w:cs="Times New Roman"/>
              <w:spacing w:val="-6"/>
              <w:sz w:val="22"/>
              <w:szCs w:val="22"/>
            </w:rPr>
            <w:t>1.1</w:t>
          </w:r>
          <w:r>
            <w:rPr>
              <w:rFonts w:ascii="Times New Roman" w:hAnsi="Times New Roman" w:eastAsia="Times New Roman" w:cs="Times New Roman"/>
              <w:spacing w:val="7"/>
              <w:sz w:val="22"/>
              <w:szCs w:val="22"/>
            </w:rPr>
            <w:t xml:space="preserve">  </w:t>
          </w:r>
          <w:r>
            <w:rPr>
              <w:rFonts w:ascii="仿宋" w:hAnsi="仿宋" w:eastAsia="仿宋" w:cs="仿宋"/>
              <w:spacing w:val="-6"/>
              <w:sz w:val="22"/>
              <w:szCs w:val="22"/>
            </w:rPr>
            <w:t>任务由来</w:t>
          </w:r>
          <w:r>
            <w:rPr>
              <w:rFonts w:ascii="仿宋" w:hAnsi="仿宋" w:eastAsia="仿宋" w:cs="仿宋"/>
              <w:sz w:val="22"/>
              <w:szCs w:val="22"/>
            </w:rPr>
            <w:tab/>
          </w:r>
          <w:r>
            <w:rPr>
              <w:rFonts w:ascii="Times New Roman" w:hAnsi="Times New Roman" w:eastAsia="Times New Roman" w:cs="Times New Roman"/>
              <w:spacing w:val="18"/>
              <w:sz w:val="22"/>
              <w:szCs w:val="22"/>
            </w:rPr>
            <w:t>3</w:t>
          </w:r>
          <w:r>
            <w:rPr>
              <w:rFonts w:ascii="Times New Roman" w:hAnsi="Times New Roman" w:eastAsia="Times New Roman" w:cs="Times New Roman"/>
              <w:spacing w:val="18"/>
              <w:sz w:val="22"/>
              <w:szCs w:val="22"/>
            </w:rPr>
            <w:fldChar w:fldCharType="end"/>
          </w:r>
        </w:p>
        <w:p w14:paraId="6C7A591B">
          <w:pPr>
            <w:tabs>
              <w:tab w:val="right" w:leader="dot" w:pos="8842"/>
            </w:tabs>
            <w:spacing w:before="220" w:line="223" w:lineRule="auto"/>
            <w:ind w:left="463"/>
            <w:rPr>
              <w:rFonts w:ascii="Times New Roman" w:hAnsi="Times New Roman" w:eastAsia="Times New Roman" w:cs="Times New Roman"/>
              <w:sz w:val="22"/>
              <w:szCs w:val="22"/>
            </w:rPr>
          </w:pPr>
          <w:r>
            <w:fldChar w:fldCharType="begin"/>
          </w:r>
          <w:r>
            <w:instrText xml:space="preserve"> HYPERLINK \l "bookmark4" </w:instrText>
          </w:r>
          <w:r>
            <w:fldChar w:fldCharType="separate"/>
          </w:r>
          <w:r>
            <w:rPr>
              <w:rFonts w:ascii="Times New Roman" w:hAnsi="Times New Roman" w:eastAsia="Times New Roman" w:cs="Times New Roman"/>
              <w:spacing w:val="-5"/>
              <w:sz w:val="22"/>
              <w:szCs w:val="22"/>
            </w:rPr>
            <w:t>1.2</w:t>
          </w:r>
          <w:r>
            <w:rPr>
              <w:rFonts w:ascii="Times New Roman" w:hAnsi="Times New Roman" w:eastAsia="Times New Roman" w:cs="Times New Roman"/>
              <w:spacing w:val="11"/>
              <w:sz w:val="22"/>
              <w:szCs w:val="22"/>
            </w:rPr>
            <w:t xml:space="preserve">  </w:t>
          </w:r>
          <w:r>
            <w:rPr>
              <w:rFonts w:ascii="仿宋" w:hAnsi="仿宋" w:eastAsia="仿宋" w:cs="仿宋"/>
              <w:spacing w:val="-5"/>
              <w:sz w:val="22"/>
              <w:szCs w:val="22"/>
            </w:rPr>
            <w:t>评价目的、原则</w:t>
          </w:r>
          <w:r>
            <w:rPr>
              <w:rFonts w:ascii="仿宋" w:hAnsi="仿宋" w:eastAsia="仿宋" w:cs="仿宋"/>
              <w:sz w:val="22"/>
              <w:szCs w:val="22"/>
            </w:rPr>
            <w:tab/>
          </w:r>
          <w:r>
            <w:rPr>
              <w:rFonts w:ascii="Times New Roman" w:hAnsi="Times New Roman" w:eastAsia="Times New Roman" w:cs="Times New Roman"/>
              <w:spacing w:val="18"/>
              <w:sz w:val="22"/>
              <w:szCs w:val="22"/>
            </w:rPr>
            <w:t>3</w:t>
          </w:r>
          <w:r>
            <w:rPr>
              <w:rFonts w:ascii="Times New Roman" w:hAnsi="Times New Roman" w:eastAsia="Times New Roman" w:cs="Times New Roman"/>
              <w:spacing w:val="18"/>
              <w:sz w:val="22"/>
              <w:szCs w:val="22"/>
            </w:rPr>
            <w:fldChar w:fldCharType="end"/>
          </w:r>
        </w:p>
        <w:p w14:paraId="7EB4856F">
          <w:pPr>
            <w:tabs>
              <w:tab w:val="right" w:leader="dot" w:pos="8842"/>
            </w:tabs>
            <w:spacing w:before="221" w:line="223" w:lineRule="auto"/>
            <w:ind w:left="463"/>
            <w:rPr>
              <w:rFonts w:ascii="Times New Roman" w:hAnsi="Times New Roman" w:eastAsia="Times New Roman" w:cs="Times New Roman"/>
              <w:sz w:val="22"/>
              <w:szCs w:val="22"/>
            </w:rPr>
          </w:pPr>
          <w:r>
            <w:fldChar w:fldCharType="begin"/>
          </w:r>
          <w:r>
            <w:instrText xml:space="preserve"> HYPERLINK \l "bookmark5" </w:instrText>
          </w:r>
          <w:r>
            <w:fldChar w:fldCharType="separate"/>
          </w:r>
          <w:r>
            <w:rPr>
              <w:rFonts w:ascii="Times New Roman" w:hAnsi="Times New Roman" w:eastAsia="Times New Roman" w:cs="Times New Roman"/>
              <w:spacing w:val="-6"/>
              <w:sz w:val="22"/>
              <w:szCs w:val="22"/>
            </w:rPr>
            <w:t>1.2</w:t>
          </w:r>
          <w:r>
            <w:rPr>
              <w:rFonts w:ascii="Times New Roman" w:hAnsi="Times New Roman" w:eastAsia="Times New Roman" w:cs="Times New Roman"/>
              <w:spacing w:val="7"/>
              <w:sz w:val="22"/>
              <w:szCs w:val="22"/>
            </w:rPr>
            <w:t xml:space="preserve">  </w:t>
          </w:r>
          <w:r>
            <w:rPr>
              <w:rFonts w:ascii="仿宋" w:hAnsi="仿宋" w:eastAsia="仿宋" w:cs="仿宋"/>
              <w:spacing w:val="-6"/>
              <w:sz w:val="22"/>
              <w:szCs w:val="22"/>
            </w:rPr>
            <w:t>评价依据</w:t>
          </w:r>
          <w:r>
            <w:rPr>
              <w:rFonts w:ascii="仿宋" w:hAnsi="仿宋" w:eastAsia="仿宋" w:cs="仿宋"/>
              <w:sz w:val="22"/>
              <w:szCs w:val="22"/>
            </w:rPr>
            <w:tab/>
          </w:r>
          <w:r>
            <w:rPr>
              <w:rFonts w:ascii="Times New Roman" w:hAnsi="Times New Roman" w:eastAsia="Times New Roman" w:cs="Times New Roman"/>
              <w:spacing w:val="18"/>
              <w:sz w:val="22"/>
              <w:szCs w:val="22"/>
            </w:rPr>
            <w:t>6</w:t>
          </w:r>
          <w:r>
            <w:rPr>
              <w:rFonts w:ascii="Times New Roman" w:hAnsi="Times New Roman" w:eastAsia="Times New Roman" w:cs="Times New Roman"/>
              <w:spacing w:val="18"/>
              <w:sz w:val="22"/>
              <w:szCs w:val="22"/>
            </w:rPr>
            <w:fldChar w:fldCharType="end"/>
          </w:r>
        </w:p>
        <w:p w14:paraId="241267EA">
          <w:pPr>
            <w:tabs>
              <w:tab w:val="right" w:leader="dot" w:pos="8842"/>
            </w:tabs>
            <w:spacing w:before="219" w:line="223" w:lineRule="auto"/>
            <w:ind w:left="463"/>
            <w:rPr>
              <w:rFonts w:ascii="Times New Roman" w:hAnsi="Times New Roman" w:eastAsia="Times New Roman" w:cs="Times New Roman"/>
              <w:sz w:val="22"/>
              <w:szCs w:val="22"/>
            </w:rPr>
          </w:pPr>
          <w:r>
            <w:fldChar w:fldCharType="begin"/>
          </w:r>
          <w:r>
            <w:instrText xml:space="preserve"> HYPERLINK \l "bookmark6" </w:instrText>
          </w:r>
          <w:r>
            <w:fldChar w:fldCharType="separate"/>
          </w:r>
          <w:r>
            <w:rPr>
              <w:rFonts w:ascii="Times New Roman" w:hAnsi="Times New Roman" w:eastAsia="Times New Roman" w:cs="Times New Roman"/>
              <w:spacing w:val="-3"/>
              <w:sz w:val="22"/>
              <w:szCs w:val="22"/>
            </w:rPr>
            <w:t xml:space="preserve">1.3  </w:t>
          </w:r>
          <w:r>
            <w:rPr>
              <w:rFonts w:ascii="仿宋" w:hAnsi="仿宋" w:eastAsia="仿宋" w:cs="仿宋"/>
              <w:spacing w:val="-3"/>
              <w:sz w:val="22"/>
              <w:szCs w:val="22"/>
            </w:rPr>
            <w:t>评价内容、重点</w:t>
          </w:r>
          <w:r>
            <w:rPr>
              <w:rFonts w:ascii="仿宋" w:hAnsi="仿宋" w:eastAsia="仿宋" w:cs="仿宋"/>
              <w:sz w:val="22"/>
              <w:szCs w:val="22"/>
            </w:rPr>
            <w:tab/>
          </w:r>
          <w:r>
            <w:rPr>
              <w:rFonts w:ascii="Times New Roman" w:hAnsi="Times New Roman" w:eastAsia="Times New Roman" w:cs="Times New Roman"/>
              <w:spacing w:val="9"/>
              <w:sz w:val="22"/>
              <w:szCs w:val="22"/>
            </w:rPr>
            <w:t>15</w:t>
          </w:r>
          <w:r>
            <w:rPr>
              <w:rFonts w:ascii="Times New Roman" w:hAnsi="Times New Roman" w:eastAsia="Times New Roman" w:cs="Times New Roman"/>
              <w:spacing w:val="9"/>
              <w:sz w:val="22"/>
              <w:szCs w:val="22"/>
            </w:rPr>
            <w:fldChar w:fldCharType="end"/>
          </w:r>
        </w:p>
        <w:p w14:paraId="3D68FF7F">
          <w:pPr>
            <w:tabs>
              <w:tab w:val="right" w:leader="dot" w:pos="8842"/>
            </w:tabs>
            <w:spacing w:before="219" w:line="222" w:lineRule="auto"/>
            <w:ind w:left="463"/>
            <w:rPr>
              <w:rFonts w:ascii="Times New Roman" w:hAnsi="Times New Roman" w:eastAsia="Times New Roman" w:cs="Times New Roman"/>
              <w:sz w:val="22"/>
              <w:szCs w:val="22"/>
            </w:rPr>
          </w:pPr>
          <w:r>
            <w:fldChar w:fldCharType="begin"/>
          </w:r>
          <w:r>
            <w:instrText xml:space="preserve"> HYPERLINK \l "bookmark7" </w:instrText>
          </w:r>
          <w:r>
            <w:fldChar w:fldCharType="separate"/>
          </w:r>
          <w:r>
            <w:rPr>
              <w:rFonts w:ascii="Times New Roman" w:hAnsi="Times New Roman" w:eastAsia="Times New Roman" w:cs="Times New Roman"/>
              <w:spacing w:val="-1"/>
              <w:sz w:val="22"/>
              <w:szCs w:val="22"/>
            </w:rPr>
            <w:t xml:space="preserve">1.4  </w:t>
          </w:r>
          <w:r>
            <w:rPr>
              <w:rFonts w:ascii="仿宋" w:hAnsi="仿宋" w:eastAsia="仿宋" w:cs="仿宋"/>
              <w:spacing w:val="-1"/>
              <w:sz w:val="22"/>
              <w:szCs w:val="22"/>
            </w:rPr>
            <w:t>规划调整区域执行的环境功能区划与评价</w:t>
          </w:r>
          <w:r>
            <w:rPr>
              <w:rFonts w:ascii="仿宋" w:hAnsi="仿宋" w:eastAsia="仿宋" w:cs="仿宋"/>
              <w:spacing w:val="-2"/>
              <w:sz w:val="22"/>
              <w:szCs w:val="22"/>
            </w:rPr>
            <w:t>标准</w:t>
          </w:r>
          <w:r>
            <w:rPr>
              <w:rFonts w:ascii="仿宋" w:hAnsi="仿宋" w:eastAsia="仿宋" w:cs="仿宋"/>
              <w:sz w:val="22"/>
              <w:szCs w:val="22"/>
            </w:rPr>
            <w:tab/>
          </w:r>
          <w:r>
            <w:rPr>
              <w:rFonts w:ascii="Times New Roman" w:hAnsi="Times New Roman" w:eastAsia="Times New Roman" w:cs="Times New Roman"/>
              <w:spacing w:val="9"/>
              <w:sz w:val="22"/>
              <w:szCs w:val="22"/>
            </w:rPr>
            <w:t>15</w:t>
          </w:r>
          <w:r>
            <w:rPr>
              <w:rFonts w:ascii="Times New Roman" w:hAnsi="Times New Roman" w:eastAsia="Times New Roman" w:cs="Times New Roman"/>
              <w:spacing w:val="9"/>
              <w:sz w:val="22"/>
              <w:szCs w:val="22"/>
            </w:rPr>
            <w:fldChar w:fldCharType="end"/>
          </w:r>
        </w:p>
        <w:p w14:paraId="29DF1800">
          <w:pPr>
            <w:tabs>
              <w:tab w:val="right" w:leader="dot" w:pos="8842"/>
            </w:tabs>
            <w:spacing w:before="221" w:line="223" w:lineRule="auto"/>
            <w:ind w:left="463"/>
            <w:rPr>
              <w:rFonts w:ascii="Times New Roman" w:hAnsi="Times New Roman" w:eastAsia="Times New Roman" w:cs="Times New Roman"/>
              <w:sz w:val="22"/>
              <w:szCs w:val="22"/>
            </w:rPr>
          </w:pPr>
          <w:r>
            <w:fldChar w:fldCharType="begin"/>
          </w:r>
          <w:r>
            <w:instrText xml:space="preserve"> HYPERLINK \l "bookmark8" </w:instrText>
          </w:r>
          <w:r>
            <w:fldChar w:fldCharType="separate"/>
          </w:r>
          <w:r>
            <w:rPr>
              <w:rFonts w:ascii="Times New Roman" w:hAnsi="Times New Roman" w:eastAsia="Times New Roman" w:cs="Times New Roman"/>
              <w:spacing w:val="-5"/>
              <w:sz w:val="22"/>
              <w:szCs w:val="22"/>
            </w:rPr>
            <w:t>1.5</w:t>
          </w:r>
          <w:r>
            <w:rPr>
              <w:rFonts w:ascii="Times New Roman" w:hAnsi="Times New Roman" w:eastAsia="Times New Roman" w:cs="Times New Roman"/>
              <w:spacing w:val="6"/>
              <w:sz w:val="22"/>
              <w:szCs w:val="22"/>
            </w:rPr>
            <w:t xml:space="preserve">  </w:t>
          </w:r>
          <w:r>
            <w:rPr>
              <w:rFonts w:ascii="仿宋" w:hAnsi="仿宋" w:eastAsia="仿宋" w:cs="仿宋"/>
              <w:spacing w:val="-5"/>
              <w:sz w:val="22"/>
              <w:szCs w:val="22"/>
            </w:rPr>
            <w:t>环境敏感区</w:t>
          </w:r>
          <w:r>
            <w:rPr>
              <w:rFonts w:ascii="仿宋" w:hAnsi="仿宋" w:eastAsia="仿宋" w:cs="仿宋"/>
              <w:sz w:val="22"/>
              <w:szCs w:val="22"/>
            </w:rPr>
            <w:tab/>
          </w:r>
          <w:r>
            <w:rPr>
              <w:rFonts w:ascii="Times New Roman" w:hAnsi="Times New Roman" w:eastAsia="Times New Roman" w:cs="Times New Roman"/>
              <w:spacing w:val="9"/>
              <w:sz w:val="22"/>
              <w:szCs w:val="22"/>
            </w:rPr>
            <w:t>18</w:t>
          </w:r>
          <w:r>
            <w:rPr>
              <w:rFonts w:ascii="Times New Roman" w:hAnsi="Times New Roman" w:eastAsia="Times New Roman" w:cs="Times New Roman"/>
              <w:spacing w:val="9"/>
              <w:sz w:val="22"/>
              <w:szCs w:val="22"/>
            </w:rPr>
            <w:fldChar w:fldCharType="end"/>
          </w:r>
        </w:p>
        <w:p w14:paraId="6EE73AAF">
          <w:pPr>
            <w:tabs>
              <w:tab w:val="right" w:leader="dot" w:pos="8842"/>
            </w:tabs>
            <w:spacing w:before="219" w:line="223" w:lineRule="auto"/>
            <w:ind w:left="463"/>
            <w:rPr>
              <w:rFonts w:ascii="Times New Roman" w:hAnsi="Times New Roman" w:eastAsia="Times New Roman" w:cs="Times New Roman"/>
              <w:sz w:val="22"/>
              <w:szCs w:val="22"/>
            </w:rPr>
          </w:pPr>
          <w:r>
            <w:fldChar w:fldCharType="begin"/>
          </w:r>
          <w:r>
            <w:instrText xml:space="preserve"> HYPERLINK \l "bookmark9" </w:instrText>
          </w:r>
          <w:r>
            <w:fldChar w:fldCharType="separate"/>
          </w:r>
          <w:r>
            <w:rPr>
              <w:rFonts w:ascii="Times New Roman" w:hAnsi="Times New Roman" w:eastAsia="Times New Roman" w:cs="Times New Roman"/>
              <w:spacing w:val="-5"/>
              <w:sz w:val="22"/>
              <w:szCs w:val="22"/>
            </w:rPr>
            <w:t>1.6</w:t>
          </w:r>
          <w:r>
            <w:rPr>
              <w:rFonts w:ascii="Times New Roman" w:hAnsi="Times New Roman" w:eastAsia="Times New Roman" w:cs="Times New Roman"/>
              <w:spacing w:val="8"/>
              <w:sz w:val="22"/>
              <w:szCs w:val="22"/>
            </w:rPr>
            <w:t xml:space="preserve">  </w:t>
          </w:r>
          <w:r>
            <w:rPr>
              <w:rFonts w:ascii="仿宋" w:hAnsi="仿宋" w:eastAsia="仿宋" w:cs="仿宋"/>
              <w:spacing w:val="-5"/>
              <w:sz w:val="22"/>
              <w:szCs w:val="22"/>
            </w:rPr>
            <w:t>评价技术路线</w:t>
          </w:r>
          <w:r>
            <w:rPr>
              <w:rFonts w:ascii="仿宋" w:hAnsi="仿宋" w:eastAsia="仿宋" w:cs="仿宋"/>
              <w:sz w:val="22"/>
              <w:szCs w:val="22"/>
            </w:rPr>
            <w:tab/>
          </w:r>
          <w:r>
            <w:rPr>
              <w:rFonts w:ascii="Times New Roman" w:hAnsi="Times New Roman" w:eastAsia="Times New Roman" w:cs="Times New Roman"/>
              <w:spacing w:val="10"/>
              <w:sz w:val="22"/>
              <w:szCs w:val="22"/>
            </w:rPr>
            <w:t>20</w:t>
          </w:r>
          <w:r>
            <w:rPr>
              <w:rFonts w:ascii="Times New Roman" w:hAnsi="Times New Roman" w:eastAsia="Times New Roman" w:cs="Times New Roman"/>
              <w:spacing w:val="10"/>
              <w:sz w:val="22"/>
              <w:szCs w:val="22"/>
            </w:rPr>
            <w:fldChar w:fldCharType="end"/>
          </w:r>
        </w:p>
        <w:p w14:paraId="0C0A7CE4">
          <w:pPr>
            <w:tabs>
              <w:tab w:val="right" w:leader="dot" w:pos="8842"/>
            </w:tabs>
            <w:spacing w:before="221" w:line="222" w:lineRule="auto"/>
            <w:ind w:left="1"/>
            <w:rPr>
              <w:rFonts w:ascii="Times New Roman" w:hAnsi="Times New Roman" w:eastAsia="Times New Roman" w:cs="Times New Roman"/>
              <w:sz w:val="22"/>
              <w:szCs w:val="22"/>
            </w:rPr>
          </w:pPr>
          <w:r>
            <w:fldChar w:fldCharType="begin"/>
          </w:r>
          <w:r>
            <w:instrText xml:space="preserve"> HYPERLINK \l "bookmark10" </w:instrText>
          </w:r>
          <w:r>
            <w:fldChar w:fldCharType="separate"/>
          </w:r>
          <w:r>
            <w:rPr>
              <w:rFonts w:ascii="Times New Roman" w:hAnsi="Times New Roman" w:eastAsia="Times New Roman" w:cs="Times New Roman"/>
              <w:spacing w:val="-4"/>
              <w:sz w:val="22"/>
              <w:szCs w:val="22"/>
            </w:rPr>
            <w:t>2</w:t>
          </w:r>
          <w:r>
            <w:rPr>
              <w:rFonts w:ascii="Times New Roman" w:hAnsi="Times New Roman" w:eastAsia="Times New Roman" w:cs="Times New Roman"/>
              <w:spacing w:val="8"/>
              <w:sz w:val="22"/>
              <w:szCs w:val="22"/>
            </w:rPr>
            <w:t xml:space="preserve">  </w:t>
          </w:r>
          <w:r>
            <w:rPr>
              <w:rFonts w:ascii="仿宋" w:hAnsi="仿宋" w:eastAsia="仿宋" w:cs="仿宋"/>
              <w:spacing w:val="-4"/>
              <w:sz w:val="22"/>
              <w:szCs w:val="22"/>
            </w:rPr>
            <w:t>规划分析</w:t>
          </w:r>
          <w:r>
            <w:rPr>
              <w:rFonts w:ascii="仿宋" w:hAnsi="仿宋" w:eastAsia="仿宋" w:cs="仿宋"/>
              <w:sz w:val="22"/>
              <w:szCs w:val="22"/>
            </w:rPr>
            <w:tab/>
          </w:r>
          <w:r>
            <w:rPr>
              <w:rFonts w:ascii="Times New Roman" w:hAnsi="Times New Roman" w:eastAsia="Times New Roman" w:cs="Times New Roman"/>
              <w:spacing w:val="9"/>
              <w:sz w:val="22"/>
              <w:szCs w:val="22"/>
            </w:rPr>
            <w:t>21</w:t>
          </w:r>
          <w:r>
            <w:rPr>
              <w:rFonts w:ascii="Times New Roman" w:hAnsi="Times New Roman" w:eastAsia="Times New Roman" w:cs="Times New Roman"/>
              <w:spacing w:val="9"/>
              <w:sz w:val="22"/>
              <w:szCs w:val="22"/>
            </w:rPr>
            <w:fldChar w:fldCharType="end"/>
          </w:r>
        </w:p>
        <w:p w14:paraId="502E295F">
          <w:pPr>
            <w:tabs>
              <w:tab w:val="right" w:leader="dot" w:pos="8842"/>
            </w:tabs>
            <w:spacing w:before="220" w:line="223" w:lineRule="auto"/>
            <w:ind w:left="442"/>
            <w:rPr>
              <w:rFonts w:ascii="Times New Roman" w:hAnsi="Times New Roman" w:eastAsia="Times New Roman" w:cs="Times New Roman"/>
              <w:sz w:val="22"/>
              <w:szCs w:val="22"/>
            </w:rPr>
          </w:pPr>
          <w:r>
            <w:fldChar w:fldCharType="begin"/>
          </w:r>
          <w:r>
            <w:instrText xml:space="preserve"> HYPERLINK \l "bookmark11" </w:instrText>
          </w:r>
          <w:r>
            <w:fldChar w:fldCharType="separate"/>
          </w:r>
          <w:r>
            <w:rPr>
              <w:rFonts w:ascii="Times New Roman" w:hAnsi="Times New Roman" w:eastAsia="Times New Roman" w:cs="Times New Roman"/>
              <w:spacing w:val="-3"/>
              <w:sz w:val="22"/>
              <w:szCs w:val="22"/>
            </w:rPr>
            <w:t>2.1</w:t>
          </w:r>
          <w:r>
            <w:rPr>
              <w:rFonts w:ascii="Times New Roman" w:hAnsi="Times New Roman" w:eastAsia="Times New Roman" w:cs="Times New Roman"/>
              <w:spacing w:val="9"/>
              <w:sz w:val="22"/>
              <w:szCs w:val="22"/>
            </w:rPr>
            <w:t xml:space="preserve">  </w:t>
          </w:r>
          <w:r>
            <w:rPr>
              <w:rFonts w:ascii="仿宋" w:hAnsi="仿宋" w:eastAsia="仿宋" w:cs="仿宋"/>
              <w:spacing w:val="-3"/>
              <w:sz w:val="22"/>
              <w:szCs w:val="22"/>
            </w:rPr>
            <w:t>原规划概述</w:t>
          </w:r>
          <w:r>
            <w:rPr>
              <w:rFonts w:ascii="仿宋" w:hAnsi="仿宋" w:eastAsia="仿宋" w:cs="仿宋"/>
              <w:sz w:val="22"/>
              <w:szCs w:val="22"/>
            </w:rPr>
            <w:tab/>
          </w:r>
          <w:r>
            <w:rPr>
              <w:rFonts w:ascii="Times New Roman" w:hAnsi="Times New Roman" w:eastAsia="Times New Roman" w:cs="Times New Roman"/>
              <w:spacing w:val="9"/>
              <w:sz w:val="22"/>
              <w:szCs w:val="22"/>
            </w:rPr>
            <w:t>21</w:t>
          </w:r>
          <w:r>
            <w:rPr>
              <w:rFonts w:ascii="Times New Roman" w:hAnsi="Times New Roman" w:eastAsia="Times New Roman" w:cs="Times New Roman"/>
              <w:spacing w:val="9"/>
              <w:sz w:val="22"/>
              <w:szCs w:val="22"/>
            </w:rPr>
            <w:fldChar w:fldCharType="end"/>
          </w:r>
        </w:p>
        <w:p w14:paraId="2E476F4C">
          <w:pPr>
            <w:tabs>
              <w:tab w:val="right" w:leader="dot" w:pos="8842"/>
            </w:tabs>
            <w:spacing w:before="219" w:line="223" w:lineRule="auto"/>
            <w:ind w:left="442"/>
            <w:rPr>
              <w:rFonts w:ascii="Times New Roman" w:hAnsi="Times New Roman" w:eastAsia="Times New Roman" w:cs="Times New Roman"/>
              <w:sz w:val="22"/>
              <w:szCs w:val="22"/>
            </w:rPr>
          </w:pPr>
          <w:r>
            <w:fldChar w:fldCharType="begin"/>
          </w:r>
          <w:r>
            <w:instrText xml:space="preserve"> HYPERLINK \l "bookmark12" </w:instrText>
          </w:r>
          <w:r>
            <w:fldChar w:fldCharType="separate"/>
          </w:r>
          <w:r>
            <w:rPr>
              <w:rFonts w:ascii="Times New Roman" w:hAnsi="Times New Roman" w:eastAsia="Times New Roman" w:cs="Times New Roman"/>
              <w:spacing w:val="-1"/>
              <w:sz w:val="22"/>
              <w:szCs w:val="22"/>
            </w:rPr>
            <w:t xml:space="preserve">2.2  </w:t>
          </w:r>
          <w:r>
            <w:rPr>
              <w:rFonts w:ascii="仿宋" w:hAnsi="仿宋" w:eastAsia="仿宋" w:cs="仿宋"/>
              <w:spacing w:val="-1"/>
              <w:sz w:val="22"/>
              <w:szCs w:val="22"/>
            </w:rPr>
            <w:t>本次规划调整情况概述</w:t>
          </w:r>
          <w:r>
            <w:rPr>
              <w:rFonts w:ascii="仿宋" w:hAnsi="仿宋" w:eastAsia="仿宋" w:cs="仿宋"/>
              <w:sz w:val="22"/>
              <w:szCs w:val="22"/>
            </w:rPr>
            <w:tab/>
          </w:r>
          <w:r>
            <w:rPr>
              <w:rFonts w:ascii="Times New Roman" w:hAnsi="Times New Roman" w:eastAsia="Times New Roman" w:cs="Times New Roman"/>
              <w:spacing w:val="9"/>
              <w:sz w:val="22"/>
              <w:szCs w:val="22"/>
            </w:rPr>
            <w:t>27</w:t>
          </w:r>
          <w:r>
            <w:rPr>
              <w:rFonts w:ascii="Times New Roman" w:hAnsi="Times New Roman" w:eastAsia="Times New Roman" w:cs="Times New Roman"/>
              <w:spacing w:val="9"/>
              <w:sz w:val="22"/>
              <w:szCs w:val="22"/>
            </w:rPr>
            <w:fldChar w:fldCharType="end"/>
          </w:r>
        </w:p>
        <w:p w14:paraId="7587D9B6">
          <w:pPr>
            <w:tabs>
              <w:tab w:val="right" w:leader="dot" w:pos="8842"/>
            </w:tabs>
            <w:spacing w:before="219" w:line="221" w:lineRule="auto"/>
            <w:ind w:left="442"/>
            <w:rPr>
              <w:rFonts w:ascii="Times New Roman" w:hAnsi="Times New Roman" w:eastAsia="Times New Roman" w:cs="Times New Roman"/>
              <w:sz w:val="22"/>
              <w:szCs w:val="22"/>
            </w:rPr>
          </w:pPr>
          <w:r>
            <w:fldChar w:fldCharType="begin"/>
          </w:r>
          <w:r>
            <w:instrText xml:space="preserve"> HYPERLINK \l "bookmark13" </w:instrText>
          </w:r>
          <w:r>
            <w:fldChar w:fldCharType="separate"/>
          </w:r>
          <w:r>
            <w:rPr>
              <w:rFonts w:ascii="Times New Roman" w:hAnsi="Times New Roman" w:eastAsia="Times New Roman" w:cs="Times New Roman"/>
              <w:spacing w:val="-1"/>
              <w:sz w:val="22"/>
              <w:szCs w:val="22"/>
            </w:rPr>
            <w:t xml:space="preserve">2.3  </w:t>
          </w:r>
          <w:r>
            <w:rPr>
              <w:rFonts w:ascii="仿宋" w:hAnsi="仿宋" w:eastAsia="仿宋" w:cs="仿宋"/>
              <w:spacing w:val="-1"/>
              <w:sz w:val="22"/>
              <w:szCs w:val="22"/>
            </w:rPr>
            <w:t>规划调整内容协调性分析</w:t>
          </w:r>
          <w:r>
            <w:rPr>
              <w:rFonts w:ascii="仿宋" w:hAnsi="仿宋" w:eastAsia="仿宋" w:cs="仿宋"/>
              <w:sz w:val="22"/>
              <w:szCs w:val="22"/>
            </w:rPr>
            <w:tab/>
          </w:r>
          <w:r>
            <w:rPr>
              <w:rFonts w:ascii="Times New Roman" w:hAnsi="Times New Roman" w:eastAsia="Times New Roman" w:cs="Times New Roman"/>
              <w:spacing w:val="9"/>
              <w:sz w:val="22"/>
              <w:szCs w:val="22"/>
            </w:rPr>
            <w:t>37</w:t>
          </w:r>
          <w:r>
            <w:rPr>
              <w:rFonts w:ascii="Times New Roman" w:hAnsi="Times New Roman" w:eastAsia="Times New Roman" w:cs="Times New Roman"/>
              <w:spacing w:val="9"/>
              <w:sz w:val="22"/>
              <w:szCs w:val="22"/>
            </w:rPr>
            <w:fldChar w:fldCharType="end"/>
          </w:r>
        </w:p>
        <w:p w14:paraId="385674D5">
          <w:pPr>
            <w:tabs>
              <w:tab w:val="right" w:leader="dot" w:pos="8842"/>
            </w:tabs>
            <w:spacing w:before="224" w:line="223" w:lineRule="auto"/>
            <w:ind w:left="5"/>
            <w:rPr>
              <w:rFonts w:ascii="Times New Roman" w:hAnsi="Times New Roman" w:eastAsia="Times New Roman" w:cs="Times New Roman"/>
              <w:sz w:val="22"/>
              <w:szCs w:val="22"/>
            </w:rPr>
          </w:pPr>
          <w:r>
            <w:fldChar w:fldCharType="begin"/>
          </w:r>
          <w:r>
            <w:instrText xml:space="preserve"> HYPERLINK \l "bookmark14" </w:instrText>
          </w:r>
          <w:r>
            <w:fldChar w:fldCharType="separate"/>
          </w:r>
          <w:r>
            <w:rPr>
              <w:rFonts w:ascii="Times New Roman" w:hAnsi="Times New Roman" w:eastAsia="Times New Roman" w:cs="Times New Roman"/>
              <w:spacing w:val="-1"/>
              <w:sz w:val="22"/>
              <w:szCs w:val="22"/>
            </w:rPr>
            <w:t xml:space="preserve">3  </w:t>
          </w:r>
          <w:r>
            <w:rPr>
              <w:rFonts w:ascii="仿宋" w:hAnsi="仿宋" w:eastAsia="仿宋" w:cs="仿宋"/>
              <w:spacing w:val="-1"/>
              <w:sz w:val="22"/>
              <w:szCs w:val="22"/>
            </w:rPr>
            <w:t>现状调查与评价</w:t>
          </w:r>
          <w:r>
            <w:rPr>
              <w:rFonts w:ascii="仿宋" w:hAnsi="仿宋" w:eastAsia="仿宋" w:cs="仿宋"/>
              <w:sz w:val="22"/>
              <w:szCs w:val="22"/>
            </w:rPr>
            <w:tab/>
          </w:r>
          <w:r>
            <w:rPr>
              <w:rFonts w:ascii="Times New Roman" w:hAnsi="Times New Roman" w:eastAsia="Times New Roman" w:cs="Times New Roman"/>
              <w:spacing w:val="9"/>
              <w:sz w:val="22"/>
              <w:szCs w:val="22"/>
            </w:rPr>
            <w:t>65</w:t>
          </w:r>
          <w:r>
            <w:rPr>
              <w:rFonts w:ascii="Times New Roman" w:hAnsi="Times New Roman" w:eastAsia="Times New Roman" w:cs="Times New Roman"/>
              <w:spacing w:val="9"/>
              <w:sz w:val="22"/>
              <w:szCs w:val="22"/>
            </w:rPr>
            <w:fldChar w:fldCharType="end"/>
          </w:r>
        </w:p>
        <w:p w14:paraId="736197DB">
          <w:pPr>
            <w:tabs>
              <w:tab w:val="right" w:leader="dot" w:pos="8842"/>
            </w:tabs>
            <w:spacing w:before="219" w:line="223" w:lineRule="auto"/>
            <w:ind w:left="447"/>
            <w:rPr>
              <w:rFonts w:ascii="Times New Roman" w:hAnsi="Times New Roman" w:eastAsia="Times New Roman" w:cs="Times New Roman"/>
              <w:sz w:val="22"/>
              <w:szCs w:val="22"/>
            </w:rPr>
          </w:pPr>
          <w:r>
            <w:fldChar w:fldCharType="begin"/>
          </w:r>
          <w:r>
            <w:instrText xml:space="preserve"> HYPERLINK \l "bookmark15" </w:instrText>
          </w:r>
          <w:r>
            <w:fldChar w:fldCharType="separate"/>
          </w:r>
          <w:r>
            <w:rPr>
              <w:rFonts w:ascii="Times New Roman" w:hAnsi="Times New Roman" w:eastAsia="Times New Roman" w:cs="Times New Roman"/>
              <w:spacing w:val="-2"/>
              <w:sz w:val="22"/>
              <w:szCs w:val="22"/>
            </w:rPr>
            <w:t>3.1</w:t>
          </w:r>
          <w:r>
            <w:rPr>
              <w:rFonts w:ascii="Times New Roman" w:hAnsi="Times New Roman" w:eastAsia="Times New Roman" w:cs="Times New Roman"/>
              <w:spacing w:val="27"/>
              <w:w w:val="101"/>
              <w:sz w:val="22"/>
              <w:szCs w:val="22"/>
            </w:rPr>
            <w:t xml:space="preserve"> </w:t>
          </w:r>
          <w:r>
            <w:rPr>
              <w:rFonts w:ascii="仿宋" w:hAnsi="仿宋" w:eastAsia="仿宋" w:cs="仿宋"/>
              <w:spacing w:val="-2"/>
              <w:sz w:val="22"/>
              <w:szCs w:val="22"/>
            </w:rPr>
            <w:t>资源利用和生态环境现状调查与评价</w:t>
          </w:r>
          <w:r>
            <w:rPr>
              <w:rFonts w:ascii="仿宋" w:hAnsi="仿宋" w:eastAsia="仿宋" w:cs="仿宋"/>
              <w:sz w:val="22"/>
              <w:szCs w:val="22"/>
            </w:rPr>
            <w:tab/>
          </w:r>
          <w:r>
            <w:rPr>
              <w:rFonts w:ascii="Times New Roman" w:hAnsi="Times New Roman" w:eastAsia="Times New Roman" w:cs="Times New Roman"/>
              <w:spacing w:val="9"/>
              <w:sz w:val="22"/>
              <w:szCs w:val="22"/>
            </w:rPr>
            <w:t>65</w:t>
          </w:r>
          <w:r>
            <w:rPr>
              <w:rFonts w:ascii="Times New Roman" w:hAnsi="Times New Roman" w:eastAsia="Times New Roman" w:cs="Times New Roman"/>
              <w:spacing w:val="9"/>
              <w:sz w:val="22"/>
              <w:szCs w:val="22"/>
            </w:rPr>
            <w:fldChar w:fldCharType="end"/>
          </w:r>
        </w:p>
        <w:p w14:paraId="310836F0">
          <w:pPr>
            <w:tabs>
              <w:tab w:val="right" w:leader="dot" w:pos="8842"/>
            </w:tabs>
            <w:spacing w:before="219" w:line="223" w:lineRule="auto"/>
            <w:ind w:left="447"/>
            <w:rPr>
              <w:rFonts w:ascii="Times New Roman" w:hAnsi="Times New Roman" w:eastAsia="Times New Roman" w:cs="Times New Roman"/>
              <w:sz w:val="22"/>
              <w:szCs w:val="22"/>
            </w:rPr>
          </w:pPr>
          <w:r>
            <w:fldChar w:fldCharType="begin"/>
          </w:r>
          <w:r>
            <w:instrText xml:space="preserve"> HYPERLINK \l "bookmark16" </w:instrText>
          </w:r>
          <w:r>
            <w:fldChar w:fldCharType="separate"/>
          </w:r>
          <w:r>
            <w:rPr>
              <w:rFonts w:ascii="Times New Roman" w:hAnsi="Times New Roman" w:eastAsia="Times New Roman" w:cs="Times New Roman"/>
              <w:spacing w:val="-1"/>
              <w:sz w:val="22"/>
              <w:szCs w:val="22"/>
            </w:rPr>
            <w:t xml:space="preserve">3.2  </w:t>
          </w:r>
          <w:r>
            <w:rPr>
              <w:rFonts w:ascii="仿宋" w:hAnsi="仿宋" w:eastAsia="仿宋" w:cs="仿宋"/>
              <w:spacing w:val="-1"/>
              <w:sz w:val="22"/>
              <w:szCs w:val="22"/>
            </w:rPr>
            <w:t>规划实施及实施过程中对规划环评落实情况的回顾</w:t>
          </w:r>
          <w:r>
            <w:rPr>
              <w:rFonts w:ascii="仿宋" w:hAnsi="仿宋" w:eastAsia="仿宋" w:cs="仿宋"/>
              <w:sz w:val="22"/>
              <w:szCs w:val="22"/>
            </w:rPr>
            <w:tab/>
          </w:r>
          <w:r>
            <w:rPr>
              <w:rFonts w:ascii="Times New Roman" w:hAnsi="Times New Roman" w:eastAsia="Times New Roman" w:cs="Times New Roman"/>
              <w:spacing w:val="9"/>
              <w:sz w:val="22"/>
              <w:szCs w:val="22"/>
            </w:rPr>
            <w:t>75</w:t>
          </w:r>
          <w:r>
            <w:rPr>
              <w:rFonts w:ascii="Times New Roman" w:hAnsi="Times New Roman" w:eastAsia="Times New Roman" w:cs="Times New Roman"/>
              <w:spacing w:val="9"/>
              <w:sz w:val="22"/>
              <w:szCs w:val="22"/>
            </w:rPr>
            <w:fldChar w:fldCharType="end"/>
          </w:r>
        </w:p>
        <w:p w14:paraId="28975B64">
          <w:pPr>
            <w:tabs>
              <w:tab w:val="right" w:leader="dot" w:pos="8880"/>
            </w:tabs>
            <w:spacing w:before="220" w:line="222" w:lineRule="auto"/>
            <w:ind w:left="447"/>
            <w:rPr>
              <w:rFonts w:ascii="Times New Roman" w:hAnsi="Times New Roman" w:eastAsia="Times New Roman" w:cs="Times New Roman"/>
              <w:sz w:val="22"/>
              <w:szCs w:val="22"/>
            </w:rPr>
          </w:pPr>
          <w:r>
            <w:fldChar w:fldCharType="begin"/>
          </w:r>
          <w:r>
            <w:instrText xml:space="preserve"> HYPERLINK \l "bookmark17" </w:instrText>
          </w:r>
          <w:r>
            <w:fldChar w:fldCharType="separate"/>
          </w:r>
          <w:r>
            <w:rPr>
              <w:rFonts w:ascii="Times New Roman" w:hAnsi="Times New Roman" w:eastAsia="Times New Roman" w:cs="Times New Roman"/>
              <w:spacing w:val="-1"/>
              <w:sz w:val="22"/>
              <w:szCs w:val="22"/>
            </w:rPr>
            <w:t>3.3</w:t>
          </w:r>
          <w:r>
            <w:rPr>
              <w:rFonts w:ascii="Times New Roman" w:hAnsi="Times New Roman" w:eastAsia="Times New Roman" w:cs="Times New Roman"/>
              <w:spacing w:val="14"/>
              <w:sz w:val="22"/>
              <w:szCs w:val="22"/>
            </w:rPr>
            <w:t xml:space="preserve"> </w:t>
          </w:r>
          <w:r>
            <w:rPr>
              <w:rFonts w:ascii="仿宋" w:hAnsi="仿宋" w:eastAsia="仿宋" w:cs="仿宋"/>
              <w:spacing w:val="-1"/>
              <w:sz w:val="22"/>
              <w:szCs w:val="22"/>
            </w:rPr>
            <w:t>规划调整制约因素分析</w:t>
          </w:r>
          <w:r>
            <w:rPr>
              <w:rFonts w:ascii="仿宋" w:hAnsi="仿宋" w:eastAsia="仿宋" w:cs="仿宋"/>
              <w:sz w:val="22"/>
              <w:szCs w:val="22"/>
            </w:rPr>
            <w:tab/>
          </w:r>
          <w:r>
            <w:rPr>
              <w:rFonts w:ascii="Times New Roman" w:hAnsi="Times New Roman" w:eastAsia="Times New Roman" w:cs="Times New Roman"/>
              <w:spacing w:val="9"/>
              <w:sz w:val="22"/>
              <w:szCs w:val="22"/>
            </w:rPr>
            <w:t>95</w:t>
          </w:r>
          <w:r>
            <w:rPr>
              <w:rFonts w:ascii="Times New Roman" w:hAnsi="Times New Roman" w:eastAsia="Times New Roman" w:cs="Times New Roman"/>
              <w:spacing w:val="9"/>
              <w:sz w:val="22"/>
              <w:szCs w:val="22"/>
            </w:rPr>
            <w:fldChar w:fldCharType="end"/>
          </w:r>
        </w:p>
        <w:p w14:paraId="20C633E3">
          <w:pPr>
            <w:tabs>
              <w:tab w:val="right" w:leader="dot" w:pos="8842"/>
            </w:tabs>
            <w:spacing w:before="220" w:line="223" w:lineRule="auto"/>
            <w:rPr>
              <w:rFonts w:ascii="Times New Roman" w:hAnsi="Times New Roman" w:eastAsia="Times New Roman" w:cs="Times New Roman"/>
              <w:sz w:val="22"/>
              <w:szCs w:val="22"/>
            </w:rPr>
          </w:pPr>
          <w:r>
            <w:fldChar w:fldCharType="begin"/>
          </w:r>
          <w:r>
            <w:instrText xml:space="preserve"> HYPERLINK \l "bookmark18" </w:instrText>
          </w:r>
          <w:r>
            <w:fldChar w:fldCharType="separate"/>
          </w:r>
          <w:r>
            <w:rPr>
              <w:rFonts w:ascii="Times New Roman" w:hAnsi="Times New Roman" w:eastAsia="Times New Roman" w:cs="Times New Roman"/>
              <w:spacing w:val="-1"/>
              <w:sz w:val="22"/>
              <w:szCs w:val="22"/>
            </w:rPr>
            <w:t xml:space="preserve">4  </w:t>
          </w:r>
          <w:r>
            <w:rPr>
              <w:rFonts w:ascii="仿宋" w:hAnsi="仿宋" w:eastAsia="仿宋" w:cs="仿宋"/>
              <w:spacing w:val="-1"/>
              <w:sz w:val="22"/>
              <w:szCs w:val="22"/>
            </w:rPr>
            <w:t>环境影响识别与评价指标体系</w:t>
          </w:r>
          <w:r>
            <w:rPr>
              <w:rFonts w:ascii="仿宋" w:hAnsi="仿宋" w:eastAsia="仿宋" w:cs="仿宋"/>
              <w:sz w:val="22"/>
              <w:szCs w:val="22"/>
            </w:rPr>
            <w:tab/>
          </w:r>
          <w:r>
            <w:rPr>
              <w:rFonts w:ascii="Times New Roman" w:hAnsi="Times New Roman" w:eastAsia="Times New Roman" w:cs="Times New Roman"/>
              <w:spacing w:val="9"/>
              <w:sz w:val="22"/>
              <w:szCs w:val="22"/>
            </w:rPr>
            <w:t>96</w:t>
          </w:r>
          <w:r>
            <w:rPr>
              <w:rFonts w:ascii="Times New Roman" w:hAnsi="Times New Roman" w:eastAsia="Times New Roman" w:cs="Times New Roman"/>
              <w:spacing w:val="9"/>
              <w:sz w:val="22"/>
              <w:szCs w:val="22"/>
            </w:rPr>
            <w:fldChar w:fldCharType="end"/>
          </w:r>
        </w:p>
        <w:p w14:paraId="78BD8BEC">
          <w:pPr>
            <w:tabs>
              <w:tab w:val="right" w:leader="dot" w:pos="8842"/>
            </w:tabs>
            <w:spacing w:before="221" w:line="222" w:lineRule="auto"/>
            <w:ind w:left="441"/>
            <w:rPr>
              <w:rFonts w:ascii="Times New Roman" w:hAnsi="Times New Roman" w:eastAsia="Times New Roman" w:cs="Times New Roman"/>
              <w:sz w:val="22"/>
              <w:szCs w:val="22"/>
            </w:rPr>
          </w:pPr>
          <w:r>
            <w:fldChar w:fldCharType="begin"/>
          </w:r>
          <w:r>
            <w:instrText xml:space="preserve"> HYPERLINK \l "bookmark19" </w:instrText>
          </w:r>
          <w:r>
            <w:fldChar w:fldCharType="separate"/>
          </w:r>
          <w:r>
            <w:rPr>
              <w:rFonts w:ascii="Times New Roman" w:hAnsi="Times New Roman" w:eastAsia="Times New Roman" w:cs="Times New Roman"/>
              <w:spacing w:val="-1"/>
              <w:sz w:val="22"/>
              <w:szCs w:val="22"/>
            </w:rPr>
            <w:t xml:space="preserve">4.1  </w:t>
          </w:r>
          <w:r>
            <w:rPr>
              <w:rFonts w:ascii="仿宋" w:hAnsi="仿宋" w:eastAsia="仿宋" w:cs="仿宋"/>
              <w:spacing w:val="-1"/>
              <w:sz w:val="22"/>
              <w:szCs w:val="22"/>
            </w:rPr>
            <w:t>规划活动的环境影响特征分析</w:t>
          </w:r>
          <w:r>
            <w:rPr>
              <w:rFonts w:ascii="仿宋" w:hAnsi="仿宋" w:eastAsia="仿宋" w:cs="仿宋"/>
              <w:sz w:val="22"/>
              <w:szCs w:val="22"/>
            </w:rPr>
            <w:tab/>
          </w:r>
          <w:r>
            <w:rPr>
              <w:rFonts w:ascii="Times New Roman" w:hAnsi="Times New Roman" w:eastAsia="Times New Roman" w:cs="Times New Roman"/>
              <w:spacing w:val="9"/>
              <w:sz w:val="22"/>
              <w:szCs w:val="22"/>
            </w:rPr>
            <w:t>96</w:t>
          </w:r>
          <w:r>
            <w:rPr>
              <w:rFonts w:ascii="Times New Roman" w:hAnsi="Times New Roman" w:eastAsia="Times New Roman" w:cs="Times New Roman"/>
              <w:spacing w:val="9"/>
              <w:sz w:val="22"/>
              <w:szCs w:val="22"/>
            </w:rPr>
            <w:fldChar w:fldCharType="end"/>
          </w:r>
        </w:p>
        <w:p w14:paraId="7280E7E7">
          <w:pPr>
            <w:tabs>
              <w:tab w:val="right" w:leader="dot" w:pos="8842"/>
            </w:tabs>
            <w:spacing w:before="220" w:line="223" w:lineRule="auto"/>
            <w:ind w:left="441"/>
            <w:rPr>
              <w:rFonts w:ascii="Times New Roman" w:hAnsi="Times New Roman" w:eastAsia="Times New Roman" w:cs="Times New Roman"/>
              <w:sz w:val="22"/>
              <w:szCs w:val="22"/>
            </w:rPr>
          </w:pPr>
          <w:r>
            <w:fldChar w:fldCharType="begin"/>
          </w:r>
          <w:r>
            <w:instrText xml:space="preserve"> HYPERLINK \l "bookmark20" </w:instrText>
          </w:r>
          <w:r>
            <w:fldChar w:fldCharType="separate"/>
          </w:r>
          <w:r>
            <w:rPr>
              <w:rFonts w:ascii="Times New Roman" w:hAnsi="Times New Roman" w:eastAsia="Times New Roman" w:cs="Times New Roman"/>
              <w:spacing w:val="-1"/>
              <w:sz w:val="22"/>
              <w:szCs w:val="22"/>
            </w:rPr>
            <w:t xml:space="preserve">4.2  </w:t>
          </w:r>
          <w:r>
            <w:rPr>
              <w:rFonts w:ascii="仿宋" w:hAnsi="仿宋" w:eastAsia="仿宋" w:cs="仿宋"/>
              <w:spacing w:val="-1"/>
              <w:sz w:val="22"/>
              <w:szCs w:val="22"/>
            </w:rPr>
            <w:t>环境影响识别</w:t>
          </w:r>
          <w:r>
            <w:rPr>
              <w:rFonts w:ascii="仿宋" w:hAnsi="仿宋" w:eastAsia="仿宋" w:cs="仿宋"/>
              <w:sz w:val="22"/>
              <w:szCs w:val="22"/>
            </w:rPr>
            <w:tab/>
          </w:r>
          <w:r>
            <w:rPr>
              <w:rFonts w:ascii="Times New Roman" w:hAnsi="Times New Roman" w:eastAsia="Times New Roman" w:cs="Times New Roman"/>
              <w:spacing w:val="6"/>
              <w:sz w:val="22"/>
              <w:szCs w:val="22"/>
            </w:rPr>
            <w:t>100</w:t>
          </w:r>
          <w:r>
            <w:rPr>
              <w:rFonts w:ascii="Times New Roman" w:hAnsi="Times New Roman" w:eastAsia="Times New Roman" w:cs="Times New Roman"/>
              <w:spacing w:val="6"/>
              <w:sz w:val="22"/>
              <w:szCs w:val="22"/>
            </w:rPr>
            <w:fldChar w:fldCharType="end"/>
          </w:r>
        </w:p>
        <w:p w14:paraId="191A56C6">
          <w:pPr>
            <w:tabs>
              <w:tab w:val="right" w:leader="dot" w:pos="8842"/>
            </w:tabs>
            <w:spacing w:before="219" w:line="223" w:lineRule="auto"/>
            <w:ind w:left="441"/>
            <w:rPr>
              <w:rFonts w:ascii="Times New Roman" w:hAnsi="Times New Roman" w:eastAsia="Times New Roman" w:cs="Times New Roman"/>
              <w:sz w:val="22"/>
              <w:szCs w:val="22"/>
            </w:rPr>
          </w:pPr>
          <w:r>
            <w:fldChar w:fldCharType="begin"/>
          </w:r>
          <w:r>
            <w:instrText xml:space="preserve"> HYPERLINK \l "bookmark21" </w:instrText>
          </w:r>
          <w:r>
            <w:fldChar w:fldCharType="separate"/>
          </w:r>
          <w:r>
            <w:rPr>
              <w:rFonts w:ascii="Times New Roman" w:hAnsi="Times New Roman" w:eastAsia="Times New Roman" w:cs="Times New Roman"/>
              <w:spacing w:val="-2"/>
              <w:sz w:val="22"/>
              <w:szCs w:val="22"/>
            </w:rPr>
            <w:t>4.3</w:t>
          </w:r>
          <w:r>
            <w:rPr>
              <w:rFonts w:ascii="Times New Roman" w:hAnsi="Times New Roman" w:eastAsia="Times New Roman" w:cs="Times New Roman"/>
              <w:spacing w:val="21"/>
              <w:sz w:val="22"/>
              <w:szCs w:val="22"/>
            </w:rPr>
            <w:t xml:space="preserve"> </w:t>
          </w:r>
          <w:r>
            <w:rPr>
              <w:rFonts w:ascii="仿宋" w:hAnsi="仿宋" w:eastAsia="仿宋" w:cs="仿宋"/>
              <w:spacing w:val="-2"/>
              <w:sz w:val="22"/>
              <w:szCs w:val="22"/>
            </w:rPr>
            <w:t>环境影响评价指标体系</w:t>
          </w:r>
          <w:r>
            <w:rPr>
              <w:rFonts w:ascii="仿宋" w:hAnsi="仿宋" w:eastAsia="仿宋" w:cs="仿宋"/>
              <w:sz w:val="22"/>
              <w:szCs w:val="22"/>
            </w:rPr>
            <w:tab/>
          </w:r>
          <w:r>
            <w:rPr>
              <w:rFonts w:ascii="Times New Roman" w:hAnsi="Times New Roman" w:eastAsia="Times New Roman" w:cs="Times New Roman"/>
              <w:spacing w:val="6"/>
              <w:sz w:val="22"/>
              <w:szCs w:val="22"/>
            </w:rPr>
            <w:t>100</w:t>
          </w:r>
          <w:r>
            <w:rPr>
              <w:rFonts w:ascii="Times New Roman" w:hAnsi="Times New Roman" w:eastAsia="Times New Roman" w:cs="Times New Roman"/>
              <w:spacing w:val="6"/>
              <w:sz w:val="22"/>
              <w:szCs w:val="22"/>
            </w:rPr>
            <w:fldChar w:fldCharType="end"/>
          </w:r>
        </w:p>
        <w:p w14:paraId="5CBFADDE">
          <w:pPr>
            <w:tabs>
              <w:tab w:val="right" w:leader="dot" w:pos="8842"/>
            </w:tabs>
            <w:spacing w:before="219" w:line="223" w:lineRule="auto"/>
            <w:ind w:left="7"/>
            <w:rPr>
              <w:rFonts w:ascii="Times New Roman" w:hAnsi="Times New Roman" w:eastAsia="Times New Roman" w:cs="Times New Roman"/>
              <w:sz w:val="22"/>
              <w:szCs w:val="22"/>
            </w:rPr>
          </w:pPr>
          <w:r>
            <w:fldChar w:fldCharType="begin"/>
          </w:r>
          <w:r>
            <w:instrText xml:space="preserve"> HYPERLINK \l "bookmark22" </w:instrText>
          </w:r>
          <w:r>
            <w:fldChar w:fldCharType="separate"/>
          </w:r>
          <w:r>
            <w:rPr>
              <w:rFonts w:ascii="Times New Roman" w:hAnsi="Times New Roman" w:eastAsia="Times New Roman" w:cs="Times New Roman"/>
              <w:spacing w:val="-3"/>
              <w:sz w:val="22"/>
              <w:szCs w:val="22"/>
            </w:rPr>
            <w:t>5</w:t>
          </w:r>
          <w:r>
            <w:rPr>
              <w:rFonts w:ascii="Times New Roman" w:hAnsi="Times New Roman" w:eastAsia="Times New Roman" w:cs="Times New Roman"/>
              <w:spacing w:val="19"/>
              <w:sz w:val="22"/>
              <w:szCs w:val="22"/>
            </w:rPr>
            <w:t xml:space="preserve"> </w:t>
          </w:r>
          <w:r>
            <w:rPr>
              <w:rFonts w:ascii="仿宋" w:hAnsi="仿宋" w:eastAsia="仿宋" w:cs="仿宋"/>
              <w:spacing w:val="-3"/>
              <w:sz w:val="22"/>
              <w:szCs w:val="22"/>
            </w:rPr>
            <w:t>环境影响预测与评价</w:t>
          </w:r>
          <w:r>
            <w:rPr>
              <w:rFonts w:ascii="仿宋" w:hAnsi="仿宋" w:eastAsia="仿宋" w:cs="仿宋"/>
              <w:sz w:val="22"/>
              <w:szCs w:val="22"/>
            </w:rPr>
            <w:tab/>
          </w:r>
          <w:r>
            <w:rPr>
              <w:rFonts w:ascii="Times New Roman" w:hAnsi="Times New Roman" w:eastAsia="Times New Roman" w:cs="Times New Roman"/>
              <w:spacing w:val="6"/>
              <w:sz w:val="22"/>
              <w:szCs w:val="22"/>
            </w:rPr>
            <w:t>103</w:t>
          </w:r>
          <w:r>
            <w:rPr>
              <w:rFonts w:ascii="Times New Roman" w:hAnsi="Times New Roman" w:eastAsia="Times New Roman" w:cs="Times New Roman"/>
              <w:spacing w:val="6"/>
              <w:sz w:val="22"/>
              <w:szCs w:val="22"/>
            </w:rPr>
            <w:fldChar w:fldCharType="end"/>
          </w:r>
        </w:p>
        <w:p w14:paraId="7AF14930">
          <w:pPr>
            <w:tabs>
              <w:tab w:val="right" w:leader="dot" w:pos="8842"/>
            </w:tabs>
            <w:spacing w:before="219" w:line="221" w:lineRule="auto"/>
            <w:ind w:left="448"/>
            <w:rPr>
              <w:rFonts w:ascii="Times New Roman" w:hAnsi="Times New Roman" w:eastAsia="Times New Roman" w:cs="Times New Roman"/>
              <w:sz w:val="22"/>
              <w:szCs w:val="22"/>
            </w:rPr>
          </w:pPr>
          <w:r>
            <w:fldChar w:fldCharType="begin"/>
          </w:r>
          <w:r>
            <w:instrText xml:space="preserve"> HYPERLINK \l "bookmark23" </w:instrText>
          </w:r>
          <w:r>
            <w:fldChar w:fldCharType="separate"/>
          </w:r>
          <w:r>
            <w:rPr>
              <w:rFonts w:ascii="Times New Roman" w:hAnsi="Times New Roman" w:eastAsia="Times New Roman" w:cs="Times New Roman"/>
              <w:spacing w:val="-3"/>
              <w:sz w:val="22"/>
              <w:szCs w:val="22"/>
            </w:rPr>
            <w:t>5.1</w:t>
          </w:r>
          <w:r>
            <w:rPr>
              <w:rFonts w:ascii="Times New Roman" w:hAnsi="Times New Roman" w:eastAsia="Times New Roman" w:cs="Times New Roman"/>
              <w:spacing w:val="27"/>
              <w:sz w:val="22"/>
              <w:szCs w:val="22"/>
            </w:rPr>
            <w:t xml:space="preserve"> </w:t>
          </w:r>
          <w:r>
            <w:rPr>
              <w:rFonts w:ascii="仿宋" w:hAnsi="仿宋" w:eastAsia="仿宋" w:cs="仿宋"/>
              <w:spacing w:val="-3"/>
              <w:sz w:val="22"/>
              <w:szCs w:val="22"/>
            </w:rPr>
            <w:t>资源与环境承载力评估</w:t>
          </w:r>
          <w:r>
            <w:rPr>
              <w:rFonts w:ascii="仿宋" w:hAnsi="仿宋" w:eastAsia="仿宋" w:cs="仿宋"/>
              <w:sz w:val="22"/>
              <w:szCs w:val="22"/>
            </w:rPr>
            <w:tab/>
          </w:r>
          <w:r>
            <w:rPr>
              <w:rFonts w:ascii="Times New Roman" w:hAnsi="Times New Roman" w:eastAsia="Times New Roman" w:cs="Times New Roman"/>
              <w:spacing w:val="6"/>
              <w:sz w:val="22"/>
              <w:szCs w:val="22"/>
            </w:rPr>
            <w:t>103</w:t>
          </w:r>
          <w:r>
            <w:rPr>
              <w:rFonts w:ascii="Times New Roman" w:hAnsi="Times New Roman" w:eastAsia="Times New Roman" w:cs="Times New Roman"/>
              <w:spacing w:val="6"/>
              <w:sz w:val="22"/>
              <w:szCs w:val="22"/>
            </w:rPr>
            <w:fldChar w:fldCharType="end"/>
          </w:r>
        </w:p>
        <w:p w14:paraId="7660B8EC">
          <w:pPr>
            <w:tabs>
              <w:tab w:val="right" w:leader="dot" w:pos="8842"/>
            </w:tabs>
            <w:spacing w:before="225" w:line="222" w:lineRule="auto"/>
            <w:ind w:left="448"/>
            <w:rPr>
              <w:rFonts w:ascii="Times New Roman" w:hAnsi="Times New Roman" w:eastAsia="Times New Roman" w:cs="Times New Roman"/>
              <w:sz w:val="22"/>
              <w:szCs w:val="22"/>
            </w:rPr>
          </w:pPr>
          <w:r>
            <w:fldChar w:fldCharType="begin"/>
          </w:r>
          <w:r>
            <w:instrText xml:space="preserve"> HYPERLINK \l "bookmark24" </w:instrText>
          </w:r>
          <w:r>
            <w:fldChar w:fldCharType="separate"/>
          </w:r>
          <w:r>
            <w:rPr>
              <w:rFonts w:ascii="Times New Roman" w:hAnsi="Times New Roman" w:eastAsia="Times New Roman" w:cs="Times New Roman"/>
              <w:spacing w:val="-4"/>
              <w:sz w:val="22"/>
              <w:szCs w:val="22"/>
            </w:rPr>
            <w:t>5.2</w:t>
          </w:r>
          <w:r>
            <w:rPr>
              <w:rFonts w:ascii="Times New Roman" w:hAnsi="Times New Roman" w:eastAsia="Times New Roman" w:cs="Times New Roman"/>
              <w:spacing w:val="32"/>
              <w:w w:val="101"/>
              <w:sz w:val="22"/>
              <w:szCs w:val="22"/>
            </w:rPr>
            <w:t xml:space="preserve"> </w:t>
          </w:r>
          <w:r>
            <w:rPr>
              <w:rFonts w:ascii="仿宋" w:hAnsi="仿宋" w:eastAsia="仿宋" w:cs="仿宋"/>
              <w:spacing w:val="-4"/>
              <w:sz w:val="22"/>
              <w:szCs w:val="22"/>
            </w:rPr>
            <w:t>生态环境影响分析</w:t>
          </w:r>
          <w:r>
            <w:rPr>
              <w:rFonts w:ascii="仿宋" w:hAnsi="仿宋" w:eastAsia="仿宋" w:cs="仿宋"/>
              <w:sz w:val="22"/>
              <w:szCs w:val="22"/>
            </w:rPr>
            <w:tab/>
          </w:r>
          <w:r>
            <w:rPr>
              <w:rFonts w:ascii="Times New Roman" w:hAnsi="Times New Roman" w:eastAsia="Times New Roman" w:cs="Times New Roman"/>
              <w:spacing w:val="6"/>
              <w:sz w:val="22"/>
              <w:szCs w:val="22"/>
            </w:rPr>
            <w:t>106</w:t>
          </w:r>
          <w:r>
            <w:rPr>
              <w:rFonts w:ascii="Times New Roman" w:hAnsi="Times New Roman" w:eastAsia="Times New Roman" w:cs="Times New Roman"/>
              <w:spacing w:val="6"/>
              <w:sz w:val="22"/>
              <w:szCs w:val="22"/>
            </w:rPr>
            <w:fldChar w:fldCharType="end"/>
          </w:r>
        </w:p>
        <w:p w14:paraId="11B43659">
          <w:pPr>
            <w:tabs>
              <w:tab w:val="right" w:leader="dot" w:pos="8842"/>
            </w:tabs>
            <w:spacing w:before="220" w:line="222" w:lineRule="auto"/>
            <w:ind w:left="448"/>
            <w:rPr>
              <w:rFonts w:ascii="Times New Roman" w:hAnsi="Times New Roman" w:eastAsia="Times New Roman" w:cs="Times New Roman"/>
              <w:sz w:val="22"/>
              <w:szCs w:val="22"/>
            </w:rPr>
          </w:pPr>
          <w:r>
            <w:fldChar w:fldCharType="begin"/>
          </w:r>
          <w:r>
            <w:instrText xml:space="preserve"> HYPERLINK \l "bookmark25" </w:instrText>
          </w:r>
          <w:r>
            <w:fldChar w:fldCharType="separate"/>
          </w:r>
          <w:r>
            <w:rPr>
              <w:rFonts w:ascii="Times New Roman" w:hAnsi="Times New Roman" w:eastAsia="Times New Roman" w:cs="Times New Roman"/>
              <w:spacing w:val="-3"/>
              <w:sz w:val="22"/>
              <w:szCs w:val="22"/>
            </w:rPr>
            <w:t>5.3</w:t>
          </w:r>
          <w:r>
            <w:rPr>
              <w:rFonts w:ascii="Times New Roman" w:hAnsi="Times New Roman" w:eastAsia="Times New Roman" w:cs="Times New Roman"/>
              <w:spacing w:val="21"/>
              <w:w w:val="101"/>
              <w:sz w:val="22"/>
              <w:szCs w:val="22"/>
            </w:rPr>
            <w:t xml:space="preserve"> </w:t>
          </w:r>
          <w:r>
            <w:rPr>
              <w:rFonts w:ascii="仿宋" w:hAnsi="仿宋" w:eastAsia="仿宋" w:cs="仿宋"/>
              <w:spacing w:val="-3"/>
              <w:sz w:val="22"/>
              <w:szCs w:val="22"/>
            </w:rPr>
            <w:t>大气环境影响分析</w:t>
          </w:r>
          <w:r>
            <w:rPr>
              <w:rFonts w:ascii="仿宋" w:hAnsi="仿宋" w:eastAsia="仿宋" w:cs="仿宋"/>
              <w:sz w:val="22"/>
              <w:szCs w:val="22"/>
            </w:rPr>
            <w:tab/>
          </w:r>
          <w:r>
            <w:rPr>
              <w:rFonts w:ascii="Times New Roman" w:hAnsi="Times New Roman" w:eastAsia="Times New Roman" w:cs="Times New Roman"/>
              <w:spacing w:val="6"/>
              <w:sz w:val="22"/>
              <w:szCs w:val="22"/>
            </w:rPr>
            <w:t>115</w:t>
          </w:r>
          <w:r>
            <w:rPr>
              <w:rFonts w:ascii="Times New Roman" w:hAnsi="Times New Roman" w:eastAsia="Times New Roman" w:cs="Times New Roman"/>
              <w:spacing w:val="6"/>
              <w:sz w:val="22"/>
              <w:szCs w:val="22"/>
            </w:rPr>
            <w:fldChar w:fldCharType="end"/>
          </w:r>
        </w:p>
        <w:p w14:paraId="76A73E08">
          <w:pPr>
            <w:tabs>
              <w:tab w:val="right" w:leader="dot" w:pos="8842"/>
            </w:tabs>
            <w:spacing w:before="220" w:line="222" w:lineRule="auto"/>
            <w:ind w:left="448"/>
            <w:rPr>
              <w:rFonts w:ascii="Times New Roman" w:hAnsi="Times New Roman" w:eastAsia="Times New Roman" w:cs="Times New Roman"/>
              <w:sz w:val="22"/>
              <w:szCs w:val="22"/>
            </w:rPr>
          </w:pPr>
          <w:r>
            <w:fldChar w:fldCharType="begin"/>
          </w:r>
          <w:r>
            <w:instrText xml:space="preserve"> HYPERLINK \l "bookmark26" </w:instrText>
          </w:r>
          <w:r>
            <w:fldChar w:fldCharType="separate"/>
          </w:r>
          <w:r>
            <w:rPr>
              <w:rFonts w:ascii="Times New Roman" w:hAnsi="Times New Roman" w:eastAsia="Times New Roman" w:cs="Times New Roman"/>
              <w:spacing w:val="-1"/>
              <w:sz w:val="22"/>
              <w:szCs w:val="22"/>
            </w:rPr>
            <w:t xml:space="preserve">5.4 </w:t>
          </w:r>
          <w:r>
            <w:rPr>
              <w:rFonts w:ascii="仿宋" w:hAnsi="仿宋" w:eastAsia="仿宋" w:cs="仿宋"/>
              <w:spacing w:val="-1"/>
              <w:sz w:val="22"/>
              <w:szCs w:val="22"/>
            </w:rPr>
            <w:t>地表水环境影响分析</w:t>
          </w:r>
          <w:r>
            <w:rPr>
              <w:rFonts w:ascii="仿宋" w:hAnsi="仿宋" w:eastAsia="仿宋" w:cs="仿宋"/>
              <w:sz w:val="22"/>
              <w:szCs w:val="22"/>
            </w:rPr>
            <w:tab/>
          </w:r>
          <w:r>
            <w:rPr>
              <w:rFonts w:ascii="Times New Roman" w:hAnsi="Times New Roman" w:eastAsia="Times New Roman" w:cs="Times New Roman"/>
              <w:spacing w:val="6"/>
              <w:sz w:val="22"/>
              <w:szCs w:val="22"/>
            </w:rPr>
            <w:t>117</w:t>
          </w:r>
          <w:r>
            <w:rPr>
              <w:rFonts w:ascii="Times New Roman" w:hAnsi="Times New Roman" w:eastAsia="Times New Roman" w:cs="Times New Roman"/>
              <w:spacing w:val="6"/>
              <w:sz w:val="22"/>
              <w:szCs w:val="22"/>
            </w:rPr>
            <w:fldChar w:fldCharType="end"/>
          </w:r>
        </w:p>
        <w:p w14:paraId="41980CA4">
          <w:pPr>
            <w:tabs>
              <w:tab w:val="right" w:leader="dot" w:pos="8842"/>
            </w:tabs>
            <w:spacing w:before="220" w:line="222" w:lineRule="auto"/>
            <w:ind w:left="448"/>
            <w:rPr>
              <w:rFonts w:ascii="Times New Roman" w:hAnsi="Times New Roman" w:eastAsia="Times New Roman" w:cs="Times New Roman"/>
              <w:sz w:val="22"/>
              <w:szCs w:val="22"/>
            </w:rPr>
          </w:pPr>
          <w:r>
            <w:fldChar w:fldCharType="begin"/>
          </w:r>
          <w:r>
            <w:instrText xml:space="preserve"> HYPERLINK \l "bookmark27" </w:instrText>
          </w:r>
          <w:r>
            <w:fldChar w:fldCharType="separate"/>
          </w:r>
          <w:r>
            <w:rPr>
              <w:rFonts w:ascii="Times New Roman" w:hAnsi="Times New Roman" w:eastAsia="Times New Roman" w:cs="Times New Roman"/>
              <w:spacing w:val="-3"/>
              <w:sz w:val="22"/>
              <w:szCs w:val="22"/>
            </w:rPr>
            <w:t>5.5</w:t>
          </w:r>
          <w:r>
            <w:rPr>
              <w:rFonts w:ascii="Times New Roman" w:hAnsi="Times New Roman" w:eastAsia="Times New Roman" w:cs="Times New Roman"/>
              <w:spacing w:val="21"/>
              <w:w w:val="101"/>
              <w:sz w:val="22"/>
              <w:szCs w:val="22"/>
            </w:rPr>
            <w:t xml:space="preserve"> </w:t>
          </w:r>
          <w:r>
            <w:rPr>
              <w:rFonts w:ascii="仿宋" w:hAnsi="仿宋" w:eastAsia="仿宋" w:cs="仿宋"/>
              <w:spacing w:val="-3"/>
              <w:sz w:val="22"/>
              <w:szCs w:val="22"/>
            </w:rPr>
            <w:t>土壤环境影响分析</w:t>
          </w:r>
          <w:r>
            <w:rPr>
              <w:rFonts w:ascii="仿宋" w:hAnsi="仿宋" w:eastAsia="仿宋" w:cs="仿宋"/>
              <w:sz w:val="22"/>
              <w:szCs w:val="22"/>
            </w:rPr>
            <w:tab/>
          </w:r>
          <w:r>
            <w:rPr>
              <w:rFonts w:ascii="Times New Roman" w:hAnsi="Times New Roman" w:eastAsia="Times New Roman" w:cs="Times New Roman"/>
              <w:spacing w:val="6"/>
              <w:sz w:val="22"/>
              <w:szCs w:val="22"/>
            </w:rPr>
            <w:t>118</w:t>
          </w:r>
          <w:r>
            <w:rPr>
              <w:rFonts w:ascii="Times New Roman" w:hAnsi="Times New Roman" w:eastAsia="Times New Roman" w:cs="Times New Roman"/>
              <w:spacing w:val="6"/>
              <w:sz w:val="22"/>
              <w:szCs w:val="22"/>
            </w:rPr>
            <w:fldChar w:fldCharType="end"/>
          </w:r>
        </w:p>
        <w:p w14:paraId="3B1AC589">
          <w:pPr>
            <w:tabs>
              <w:tab w:val="right" w:leader="dot" w:pos="8842"/>
            </w:tabs>
            <w:spacing w:before="223" w:line="222" w:lineRule="auto"/>
            <w:ind w:left="448"/>
            <w:rPr>
              <w:rFonts w:ascii="Times New Roman" w:hAnsi="Times New Roman" w:eastAsia="Times New Roman" w:cs="Times New Roman"/>
              <w:sz w:val="22"/>
              <w:szCs w:val="22"/>
            </w:rPr>
          </w:pPr>
          <w:r>
            <w:fldChar w:fldCharType="begin"/>
          </w:r>
          <w:r>
            <w:instrText xml:space="preserve"> HYPERLINK \l "bookmark28" </w:instrText>
          </w:r>
          <w:r>
            <w:fldChar w:fldCharType="separate"/>
          </w:r>
          <w:r>
            <w:rPr>
              <w:rFonts w:ascii="Times New Roman" w:hAnsi="Times New Roman" w:eastAsia="Times New Roman" w:cs="Times New Roman"/>
              <w:spacing w:val="-1"/>
              <w:sz w:val="22"/>
              <w:szCs w:val="22"/>
            </w:rPr>
            <w:t xml:space="preserve">5.6 </w:t>
          </w:r>
          <w:r>
            <w:rPr>
              <w:rFonts w:ascii="仿宋" w:hAnsi="仿宋" w:eastAsia="仿宋" w:cs="仿宋"/>
              <w:spacing w:val="-1"/>
              <w:sz w:val="22"/>
              <w:szCs w:val="22"/>
            </w:rPr>
            <w:t>声环境影响分析</w:t>
          </w:r>
          <w:r>
            <w:rPr>
              <w:rFonts w:ascii="仿宋" w:hAnsi="仿宋" w:eastAsia="仿宋" w:cs="仿宋"/>
              <w:sz w:val="22"/>
              <w:szCs w:val="22"/>
            </w:rPr>
            <w:tab/>
          </w:r>
          <w:r>
            <w:rPr>
              <w:rFonts w:ascii="Times New Roman" w:hAnsi="Times New Roman" w:eastAsia="Times New Roman" w:cs="Times New Roman"/>
              <w:spacing w:val="6"/>
              <w:sz w:val="22"/>
              <w:szCs w:val="22"/>
            </w:rPr>
            <w:t>119</w:t>
          </w:r>
          <w:r>
            <w:rPr>
              <w:rFonts w:ascii="Times New Roman" w:hAnsi="Times New Roman" w:eastAsia="Times New Roman" w:cs="Times New Roman"/>
              <w:spacing w:val="6"/>
              <w:sz w:val="22"/>
              <w:szCs w:val="22"/>
            </w:rPr>
            <w:fldChar w:fldCharType="end"/>
          </w:r>
        </w:p>
      </w:sdtContent>
    </w:sdt>
    <w:p w14:paraId="1DA805A2">
      <w:pPr>
        <w:spacing w:line="222" w:lineRule="auto"/>
        <w:rPr>
          <w:rFonts w:ascii="Times New Roman" w:hAnsi="Times New Roman" w:eastAsia="Times New Roman" w:cs="Times New Roman"/>
          <w:sz w:val="22"/>
          <w:szCs w:val="22"/>
        </w:rPr>
        <w:sectPr>
          <w:pgSz w:w="11906" w:h="16839"/>
          <w:pgMar w:top="1423" w:right="1435" w:bottom="0" w:left="1589" w:header="0" w:footer="0" w:gutter="0"/>
          <w:cols w:space="720" w:num="1"/>
        </w:sectPr>
      </w:pPr>
    </w:p>
    <w:sdt>
      <w:sdtPr>
        <w:rPr>
          <w:rFonts w:ascii="Times New Roman" w:hAnsi="Times New Roman" w:eastAsia="Times New Roman" w:cs="Times New Roman"/>
          <w:sz w:val="22"/>
          <w:szCs w:val="22"/>
        </w:rPr>
        <w:id w:val="147457737"/>
        <w:docPartObj>
          <w:docPartGallery w:val="Table of Contents"/>
          <w:docPartUnique/>
        </w:docPartObj>
      </w:sdtPr>
      <w:sdtEndPr>
        <w:rPr>
          <w:rFonts w:ascii="Times New Roman" w:hAnsi="Times New Roman" w:eastAsia="Times New Roman" w:cs="Times New Roman"/>
          <w:sz w:val="22"/>
          <w:szCs w:val="22"/>
        </w:rPr>
      </w:sdtEndPr>
      <w:sdtContent>
        <w:p w14:paraId="2D40FB33">
          <w:pPr>
            <w:tabs>
              <w:tab w:val="right" w:leader="dot" w:pos="8837"/>
            </w:tabs>
            <w:spacing w:before="44" w:line="222" w:lineRule="auto"/>
            <w:ind w:left="444"/>
            <w:rPr>
              <w:rFonts w:ascii="Times New Roman" w:hAnsi="Times New Roman" w:eastAsia="Times New Roman" w:cs="Times New Roman"/>
              <w:sz w:val="22"/>
              <w:szCs w:val="22"/>
            </w:rPr>
          </w:pPr>
          <w:r>
            <w:fldChar w:fldCharType="begin"/>
          </w:r>
          <w:r>
            <w:instrText xml:space="preserve"> HYPERLINK \l "bookmark29" </w:instrText>
          </w:r>
          <w:r>
            <w:fldChar w:fldCharType="separate"/>
          </w:r>
          <w:r>
            <w:rPr>
              <w:rFonts w:ascii="Times New Roman" w:hAnsi="Times New Roman" w:eastAsia="Times New Roman" w:cs="Times New Roman"/>
              <w:spacing w:val="-4"/>
              <w:sz w:val="22"/>
              <w:szCs w:val="22"/>
            </w:rPr>
            <w:t>5.7</w:t>
          </w:r>
          <w:r>
            <w:rPr>
              <w:rFonts w:ascii="Times New Roman" w:hAnsi="Times New Roman" w:eastAsia="Times New Roman" w:cs="Times New Roman"/>
              <w:spacing w:val="40"/>
              <w:sz w:val="22"/>
              <w:szCs w:val="22"/>
            </w:rPr>
            <w:t xml:space="preserve"> </w:t>
          </w:r>
          <w:r>
            <w:rPr>
              <w:rFonts w:ascii="仿宋" w:hAnsi="仿宋" w:eastAsia="仿宋" w:cs="仿宋"/>
              <w:spacing w:val="-4"/>
              <w:sz w:val="22"/>
              <w:szCs w:val="22"/>
            </w:rPr>
            <w:t>固体废物环境影响分析</w:t>
          </w:r>
          <w:r>
            <w:rPr>
              <w:rFonts w:ascii="仿宋" w:hAnsi="仿宋" w:eastAsia="仿宋" w:cs="仿宋"/>
              <w:sz w:val="22"/>
              <w:szCs w:val="22"/>
            </w:rPr>
            <w:tab/>
          </w:r>
          <w:r>
            <w:rPr>
              <w:rFonts w:ascii="Times New Roman" w:hAnsi="Times New Roman" w:eastAsia="Times New Roman" w:cs="Times New Roman"/>
              <w:spacing w:val="6"/>
              <w:sz w:val="22"/>
              <w:szCs w:val="22"/>
            </w:rPr>
            <w:t>120</w:t>
          </w:r>
          <w:r>
            <w:rPr>
              <w:rFonts w:ascii="Times New Roman" w:hAnsi="Times New Roman" w:eastAsia="Times New Roman" w:cs="Times New Roman"/>
              <w:spacing w:val="6"/>
              <w:sz w:val="22"/>
              <w:szCs w:val="22"/>
            </w:rPr>
            <w:fldChar w:fldCharType="end"/>
          </w:r>
        </w:p>
        <w:p w14:paraId="1B765038">
          <w:pPr>
            <w:tabs>
              <w:tab w:val="right" w:leader="dot" w:pos="8837"/>
            </w:tabs>
            <w:spacing w:before="220" w:line="222" w:lineRule="auto"/>
            <w:ind w:left="444"/>
            <w:rPr>
              <w:rFonts w:ascii="Times New Roman" w:hAnsi="Times New Roman" w:eastAsia="Times New Roman" w:cs="Times New Roman"/>
              <w:sz w:val="22"/>
              <w:szCs w:val="22"/>
            </w:rPr>
          </w:pPr>
          <w:r>
            <w:fldChar w:fldCharType="begin"/>
          </w:r>
          <w:r>
            <w:instrText xml:space="preserve"> HYPERLINK \l "bookmark30" </w:instrText>
          </w:r>
          <w:r>
            <w:fldChar w:fldCharType="separate"/>
          </w:r>
          <w:r>
            <w:rPr>
              <w:rFonts w:ascii="Times New Roman" w:hAnsi="Times New Roman" w:eastAsia="Times New Roman" w:cs="Times New Roman"/>
              <w:spacing w:val="-1"/>
              <w:sz w:val="22"/>
              <w:szCs w:val="22"/>
            </w:rPr>
            <w:t xml:space="preserve">5.8 </w:t>
          </w:r>
          <w:r>
            <w:rPr>
              <w:rFonts w:ascii="仿宋" w:hAnsi="仿宋" w:eastAsia="仿宋" w:cs="仿宋"/>
              <w:spacing w:val="-1"/>
              <w:sz w:val="22"/>
              <w:szCs w:val="22"/>
            </w:rPr>
            <w:t>规划前后污染物排放量对比分析</w:t>
          </w:r>
          <w:r>
            <w:rPr>
              <w:rFonts w:ascii="仿宋" w:hAnsi="仿宋" w:eastAsia="仿宋" w:cs="仿宋"/>
              <w:sz w:val="22"/>
              <w:szCs w:val="22"/>
            </w:rPr>
            <w:tab/>
          </w:r>
          <w:r>
            <w:rPr>
              <w:rFonts w:ascii="Times New Roman" w:hAnsi="Times New Roman" w:eastAsia="Times New Roman" w:cs="Times New Roman"/>
              <w:spacing w:val="6"/>
              <w:sz w:val="22"/>
              <w:szCs w:val="22"/>
            </w:rPr>
            <w:t>121</w:t>
          </w:r>
          <w:r>
            <w:rPr>
              <w:rFonts w:ascii="Times New Roman" w:hAnsi="Times New Roman" w:eastAsia="Times New Roman" w:cs="Times New Roman"/>
              <w:spacing w:val="6"/>
              <w:sz w:val="22"/>
              <w:szCs w:val="22"/>
            </w:rPr>
            <w:fldChar w:fldCharType="end"/>
          </w:r>
        </w:p>
        <w:p w14:paraId="7B935C2B">
          <w:pPr>
            <w:tabs>
              <w:tab w:val="right" w:leader="dot" w:pos="8837"/>
            </w:tabs>
            <w:spacing w:before="220" w:line="223" w:lineRule="auto"/>
            <w:ind w:left="1"/>
            <w:rPr>
              <w:rFonts w:ascii="Times New Roman" w:hAnsi="Times New Roman" w:eastAsia="Times New Roman" w:cs="Times New Roman"/>
              <w:sz w:val="22"/>
              <w:szCs w:val="22"/>
            </w:rPr>
          </w:pPr>
          <w:r>
            <w:fldChar w:fldCharType="begin"/>
          </w:r>
          <w:r>
            <w:instrText xml:space="preserve"> HYPERLINK \l "bookmark31" </w:instrText>
          </w:r>
          <w:r>
            <w:fldChar w:fldCharType="separate"/>
          </w:r>
          <w:r>
            <w:rPr>
              <w:rFonts w:ascii="Times New Roman" w:hAnsi="Times New Roman" w:eastAsia="Times New Roman" w:cs="Times New Roman"/>
              <w:spacing w:val="-1"/>
              <w:sz w:val="22"/>
              <w:szCs w:val="22"/>
            </w:rPr>
            <w:t xml:space="preserve">6  </w:t>
          </w:r>
          <w:r>
            <w:rPr>
              <w:rFonts w:ascii="仿宋" w:hAnsi="仿宋" w:eastAsia="仿宋" w:cs="仿宋"/>
              <w:spacing w:val="-1"/>
              <w:sz w:val="22"/>
              <w:szCs w:val="22"/>
            </w:rPr>
            <w:t>规划调整方案综合论证和优化调整建议</w:t>
          </w:r>
          <w:r>
            <w:rPr>
              <w:rFonts w:ascii="仿宋" w:hAnsi="仿宋" w:eastAsia="仿宋" w:cs="仿宋"/>
              <w:sz w:val="22"/>
              <w:szCs w:val="22"/>
            </w:rPr>
            <w:tab/>
          </w:r>
          <w:r>
            <w:rPr>
              <w:rFonts w:ascii="Times New Roman" w:hAnsi="Times New Roman" w:eastAsia="Times New Roman" w:cs="Times New Roman"/>
              <w:spacing w:val="6"/>
              <w:sz w:val="22"/>
              <w:szCs w:val="22"/>
            </w:rPr>
            <w:t>122</w:t>
          </w:r>
          <w:r>
            <w:rPr>
              <w:rFonts w:ascii="Times New Roman" w:hAnsi="Times New Roman" w:eastAsia="Times New Roman" w:cs="Times New Roman"/>
              <w:spacing w:val="6"/>
              <w:sz w:val="22"/>
              <w:szCs w:val="22"/>
            </w:rPr>
            <w:fldChar w:fldCharType="end"/>
          </w:r>
        </w:p>
        <w:p w14:paraId="6C25108D">
          <w:pPr>
            <w:tabs>
              <w:tab w:val="right" w:leader="dot" w:pos="8837"/>
            </w:tabs>
            <w:spacing w:before="218" w:line="224" w:lineRule="auto"/>
            <w:ind w:left="442"/>
            <w:rPr>
              <w:rFonts w:ascii="Times New Roman" w:hAnsi="Times New Roman" w:eastAsia="Times New Roman" w:cs="Times New Roman"/>
              <w:sz w:val="22"/>
              <w:szCs w:val="22"/>
            </w:rPr>
          </w:pPr>
          <w:r>
            <w:fldChar w:fldCharType="begin"/>
          </w:r>
          <w:r>
            <w:instrText xml:space="preserve"> HYPERLINK \l "bookmark32" </w:instrText>
          </w:r>
          <w:r>
            <w:fldChar w:fldCharType="separate"/>
          </w:r>
          <w:r>
            <w:rPr>
              <w:rFonts w:ascii="Times New Roman" w:hAnsi="Times New Roman" w:eastAsia="Times New Roman" w:cs="Times New Roman"/>
              <w:spacing w:val="-1"/>
              <w:sz w:val="22"/>
              <w:szCs w:val="22"/>
            </w:rPr>
            <w:t xml:space="preserve">6.1  </w:t>
          </w:r>
          <w:r>
            <w:rPr>
              <w:rFonts w:ascii="仿宋" w:hAnsi="仿宋" w:eastAsia="仿宋" w:cs="仿宋"/>
              <w:spacing w:val="-1"/>
              <w:sz w:val="22"/>
              <w:szCs w:val="22"/>
            </w:rPr>
            <w:t>规划调整方案综合论证</w:t>
          </w:r>
          <w:r>
            <w:rPr>
              <w:rFonts w:ascii="仿宋" w:hAnsi="仿宋" w:eastAsia="仿宋" w:cs="仿宋"/>
              <w:sz w:val="22"/>
              <w:szCs w:val="22"/>
            </w:rPr>
            <w:tab/>
          </w:r>
          <w:r>
            <w:rPr>
              <w:rFonts w:ascii="Times New Roman" w:hAnsi="Times New Roman" w:eastAsia="Times New Roman" w:cs="Times New Roman"/>
              <w:spacing w:val="6"/>
              <w:sz w:val="22"/>
              <w:szCs w:val="22"/>
            </w:rPr>
            <w:t>122</w:t>
          </w:r>
          <w:r>
            <w:rPr>
              <w:rFonts w:ascii="Times New Roman" w:hAnsi="Times New Roman" w:eastAsia="Times New Roman" w:cs="Times New Roman"/>
              <w:spacing w:val="6"/>
              <w:sz w:val="22"/>
              <w:szCs w:val="22"/>
            </w:rPr>
            <w:fldChar w:fldCharType="end"/>
          </w:r>
        </w:p>
        <w:p w14:paraId="2B448204">
          <w:pPr>
            <w:tabs>
              <w:tab w:val="right" w:leader="dot" w:pos="8837"/>
            </w:tabs>
            <w:spacing w:before="221" w:line="223" w:lineRule="auto"/>
            <w:ind w:left="442"/>
            <w:rPr>
              <w:rFonts w:ascii="Times New Roman" w:hAnsi="Times New Roman" w:eastAsia="Times New Roman" w:cs="Times New Roman"/>
              <w:sz w:val="22"/>
              <w:szCs w:val="22"/>
            </w:rPr>
          </w:pPr>
          <w:r>
            <w:fldChar w:fldCharType="begin"/>
          </w:r>
          <w:r>
            <w:instrText xml:space="preserve"> HYPERLINK \l "bookmark33" </w:instrText>
          </w:r>
          <w:r>
            <w:fldChar w:fldCharType="separate"/>
          </w:r>
          <w:r>
            <w:rPr>
              <w:rFonts w:ascii="Times New Roman" w:hAnsi="Times New Roman" w:eastAsia="Times New Roman" w:cs="Times New Roman"/>
              <w:spacing w:val="-1"/>
              <w:sz w:val="22"/>
              <w:szCs w:val="22"/>
            </w:rPr>
            <w:t xml:space="preserve">6.2 </w:t>
          </w:r>
          <w:r>
            <w:rPr>
              <w:rFonts w:ascii="仿宋" w:hAnsi="仿宋" w:eastAsia="仿宋" w:cs="仿宋"/>
              <w:spacing w:val="-1"/>
              <w:sz w:val="22"/>
              <w:szCs w:val="22"/>
            </w:rPr>
            <w:t>规划调整方案优化调整建议</w:t>
          </w:r>
          <w:r>
            <w:rPr>
              <w:rFonts w:ascii="仿宋" w:hAnsi="仿宋" w:eastAsia="仿宋" w:cs="仿宋"/>
              <w:sz w:val="22"/>
              <w:szCs w:val="22"/>
            </w:rPr>
            <w:tab/>
          </w:r>
          <w:r>
            <w:rPr>
              <w:rFonts w:ascii="Times New Roman" w:hAnsi="Times New Roman" w:eastAsia="Times New Roman" w:cs="Times New Roman"/>
              <w:spacing w:val="6"/>
              <w:sz w:val="22"/>
              <w:szCs w:val="22"/>
            </w:rPr>
            <w:t>126</w:t>
          </w:r>
          <w:r>
            <w:rPr>
              <w:rFonts w:ascii="Times New Roman" w:hAnsi="Times New Roman" w:eastAsia="Times New Roman" w:cs="Times New Roman"/>
              <w:spacing w:val="6"/>
              <w:sz w:val="22"/>
              <w:szCs w:val="22"/>
            </w:rPr>
            <w:fldChar w:fldCharType="end"/>
          </w:r>
        </w:p>
        <w:p w14:paraId="27297331">
          <w:pPr>
            <w:tabs>
              <w:tab w:val="right" w:leader="dot" w:pos="8837"/>
            </w:tabs>
            <w:spacing w:before="219" w:line="223" w:lineRule="auto"/>
            <w:rPr>
              <w:rFonts w:ascii="Times New Roman" w:hAnsi="Times New Roman" w:eastAsia="Times New Roman" w:cs="Times New Roman"/>
              <w:sz w:val="22"/>
              <w:szCs w:val="22"/>
            </w:rPr>
          </w:pPr>
          <w:r>
            <w:fldChar w:fldCharType="begin"/>
          </w:r>
          <w:r>
            <w:instrText xml:space="preserve"> HYPERLINK \l "bookmark34" </w:instrText>
          </w:r>
          <w:r>
            <w:fldChar w:fldCharType="separate"/>
          </w:r>
          <w:r>
            <w:rPr>
              <w:rFonts w:ascii="Times New Roman" w:hAnsi="Times New Roman" w:eastAsia="Times New Roman" w:cs="Times New Roman"/>
              <w:spacing w:val="-2"/>
              <w:sz w:val="22"/>
              <w:szCs w:val="22"/>
            </w:rPr>
            <w:t>7</w:t>
          </w:r>
          <w:r>
            <w:rPr>
              <w:rFonts w:ascii="Times New Roman" w:hAnsi="Times New Roman" w:eastAsia="Times New Roman" w:cs="Times New Roman"/>
              <w:spacing w:val="17"/>
              <w:sz w:val="22"/>
              <w:szCs w:val="22"/>
            </w:rPr>
            <w:t xml:space="preserve"> </w:t>
          </w:r>
          <w:r>
            <w:rPr>
              <w:rFonts w:ascii="仿宋" w:hAnsi="仿宋" w:eastAsia="仿宋" w:cs="仿宋"/>
              <w:spacing w:val="-2"/>
              <w:sz w:val="22"/>
              <w:szCs w:val="22"/>
            </w:rPr>
            <w:t>环境影响减缓对策和措施</w:t>
          </w:r>
          <w:r>
            <w:rPr>
              <w:rFonts w:ascii="仿宋" w:hAnsi="仿宋" w:eastAsia="仿宋" w:cs="仿宋"/>
              <w:sz w:val="22"/>
              <w:szCs w:val="22"/>
            </w:rPr>
            <w:tab/>
          </w:r>
          <w:r>
            <w:rPr>
              <w:rFonts w:ascii="Times New Roman" w:hAnsi="Times New Roman" w:eastAsia="Times New Roman" w:cs="Times New Roman"/>
              <w:spacing w:val="6"/>
              <w:sz w:val="22"/>
              <w:szCs w:val="22"/>
            </w:rPr>
            <w:t>128</w:t>
          </w:r>
          <w:r>
            <w:rPr>
              <w:rFonts w:ascii="Times New Roman" w:hAnsi="Times New Roman" w:eastAsia="Times New Roman" w:cs="Times New Roman"/>
              <w:spacing w:val="6"/>
              <w:sz w:val="22"/>
              <w:szCs w:val="22"/>
            </w:rPr>
            <w:fldChar w:fldCharType="end"/>
          </w:r>
        </w:p>
        <w:p w14:paraId="7C9B7B50">
          <w:pPr>
            <w:tabs>
              <w:tab w:val="right" w:leader="dot" w:pos="8837"/>
            </w:tabs>
            <w:spacing w:before="219" w:line="223" w:lineRule="auto"/>
            <w:ind w:left="441"/>
            <w:rPr>
              <w:rFonts w:ascii="Times New Roman" w:hAnsi="Times New Roman" w:eastAsia="Times New Roman" w:cs="Times New Roman"/>
              <w:sz w:val="22"/>
              <w:szCs w:val="22"/>
            </w:rPr>
          </w:pPr>
          <w:r>
            <w:fldChar w:fldCharType="begin"/>
          </w:r>
          <w:r>
            <w:instrText xml:space="preserve"> HYPERLINK \l "bookmark35" </w:instrText>
          </w:r>
          <w:r>
            <w:fldChar w:fldCharType="separate"/>
          </w:r>
          <w:r>
            <w:rPr>
              <w:rFonts w:ascii="Times New Roman" w:hAnsi="Times New Roman" w:eastAsia="Times New Roman" w:cs="Times New Roman"/>
              <w:spacing w:val="-1"/>
              <w:sz w:val="22"/>
              <w:szCs w:val="22"/>
            </w:rPr>
            <w:t xml:space="preserve">7.1 </w:t>
          </w:r>
          <w:r>
            <w:rPr>
              <w:rFonts w:ascii="仿宋" w:hAnsi="仿宋" w:eastAsia="仿宋" w:cs="仿宋"/>
              <w:spacing w:val="-1"/>
              <w:sz w:val="22"/>
              <w:szCs w:val="22"/>
            </w:rPr>
            <w:t>规划环境影响减缓对策和措施</w:t>
          </w:r>
          <w:r>
            <w:rPr>
              <w:rFonts w:ascii="仿宋" w:hAnsi="仿宋" w:eastAsia="仿宋" w:cs="仿宋"/>
              <w:sz w:val="22"/>
              <w:szCs w:val="22"/>
            </w:rPr>
            <w:tab/>
          </w:r>
          <w:r>
            <w:rPr>
              <w:rFonts w:ascii="Times New Roman" w:hAnsi="Times New Roman" w:eastAsia="Times New Roman" w:cs="Times New Roman"/>
              <w:spacing w:val="6"/>
              <w:sz w:val="22"/>
              <w:szCs w:val="22"/>
            </w:rPr>
            <w:t>128</w:t>
          </w:r>
          <w:r>
            <w:rPr>
              <w:rFonts w:ascii="Times New Roman" w:hAnsi="Times New Roman" w:eastAsia="Times New Roman" w:cs="Times New Roman"/>
              <w:spacing w:val="6"/>
              <w:sz w:val="22"/>
              <w:szCs w:val="22"/>
            </w:rPr>
            <w:fldChar w:fldCharType="end"/>
          </w:r>
        </w:p>
        <w:p w14:paraId="27A08B9E">
          <w:pPr>
            <w:tabs>
              <w:tab w:val="right" w:leader="dot" w:pos="8837"/>
            </w:tabs>
            <w:spacing w:before="219" w:line="223" w:lineRule="auto"/>
            <w:ind w:left="441"/>
            <w:rPr>
              <w:rFonts w:ascii="Times New Roman" w:hAnsi="Times New Roman" w:eastAsia="Times New Roman" w:cs="Times New Roman"/>
              <w:sz w:val="22"/>
              <w:szCs w:val="22"/>
            </w:rPr>
          </w:pPr>
          <w:r>
            <w:fldChar w:fldCharType="begin"/>
          </w:r>
          <w:r>
            <w:instrText xml:space="preserve"> HYPERLINK \l "bookmark36" </w:instrText>
          </w:r>
          <w:r>
            <w:fldChar w:fldCharType="separate"/>
          </w:r>
          <w:r>
            <w:rPr>
              <w:rFonts w:ascii="Times New Roman" w:hAnsi="Times New Roman" w:eastAsia="Times New Roman" w:cs="Times New Roman"/>
              <w:spacing w:val="-1"/>
              <w:sz w:val="22"/>
              <w:szCs w:val="22"/>
            </w:rPr>
            <w:t xml:space="preserve">7.2 </w:t>
          </w:r>
          <w:r>
            <w:rPr>
              <w:rFonts w:ascii="仿宋" w:hAnsi="仿宋" w:eastAsia="仿宋" w:cs="仿宋"/>
              <w:spacing w:val="-1"/>
              <w:sz w:val="22"/>
              <w:szCs w:val="22"/>
            </w:rPr>
            <w:t>环境管控要求</w:t>
          </w:r>
          <w:r>
            <w:rPr>
              <w:rFonts w:ascii="仿宋" w:hAnsi="仿宋" w:eastAsia="仿宋" w:cs="仿宋"/>
              <w:sz w:val="22"/>
              <w:szCs w:val="22"/>
            </w:rPr>
            <w:tab/>
          </w:r>
          <w:r>
            <w:rPr>
              <w:rFonts w:ascii="Times New Roman" w:hAnsi="Times New Roman" w:eastAsia="Times New Roman" w:cs="Times New Roman"/>
              <w:spacing w:val="6"/>
              <w:sz w:val="22"/>
              <w:szCs w:val="22"/>
            </w:rPr>
            <w:t>140</w:t>
          </w:r>
          <w:r>
            <w:rPr>
              <w:rFonts w:ascii="Times New Roman" w:hAnsi="Times New Roman" w:eastAsia="Times New Roman" w:cs="Times New Roman"/>
              <w:spacing w:val="6"/>
              <w:sz w:val="22"/>
              <w:szCs w:val="22"/>
            </w:rPr>
            <w:fldChar w:fldCharType="end"/>
          </w:r>
        </w:p>
        <w:p w14:paraId="5752BEBF">
          <w:pPr>
            <w:tabs>
              <w:tab w:val="right" w:leader="dot" w:pos="8837"/>
            </w:tabs>
            <w:spacing w:before="221" w:line="223" w:lineRule="auto"/>
            <w:ind w:left="441"/>
            <w:rPr>
              <w:rFonts w:ascii="Times New Roman" w:hAnsi="Times New Roman" w:eastAsia="Times New Roman" w:cs="Times New Roman"/>
              <w:sz w:val="22"/>
              <w:szCs w:val="22"/>
            </w:rPr>
          </w:pPr>
          <w:r>
            <w:fldChar w:fldCharType="begin"/>
          </w:r>
          <w:r>
            <w:instrText xml:space="preserve"> HYPERLINK \l "bookmark37" </w:instrText>
          </w:r>
          <w:r>
            <w:fldChar w:fldCharType="separate"/>
          </w:r>
          <w:r>
            <w:rPr>
              <w:rFonts w:ascii="Times New Roman" w:hAnsi="Times New Roman" w:eastAsia="Times New Roman" w:cs="Times New Roman"/>
              <w:spacing w:val="-1"/>
              <w:sz w:val="22"/>
              <w:szCs w:val="22"/>
            </w:rPr>
            <w:t xml:space="preserve">7.3 </w:t>
          </w:r>
          <w:r>
            <w:rPr>
              <w:rFonts w:ascii="仿宋" w:hAnsi="仿宋" w:eastAsia="仿宋" w:cs="仿宋"/>
              <w:spacing w:val="-1"/>
              <w:sz w:val="22"/>
              <w:szCs w:val="22"/>
            </w:rPr>
            <w:t>规划调整内容中所包含建设项目环评要求</w:t>
          </w:r>
          <w:r>
            <w:rPr>
              <w:rFonts w:ascii="仿宋" w:hAnsi="仿宋" w:eastAsia="仿宋" w:cs="仿宋"/>
              <w:sz w:val="22"/>
              <w:szCs w:val="22"/>
            </w:rPr>
            <w:tab/>
          </w:r>
          <w:r>
            <w:rPr>
              <w:rFonts w:ascii="Times New Roman" w:hAnsi="Times New Roman" w:eastAsia="Times New Roman" w:cs="Times New Roman"/>
              <w:spacing w:val="6"/>
              <w:sz w:val="22"/>
              <w:szCs w:val="22"/>
            </w:rPr>
            <w:t>141</w:t>
          </w:r>
          <w:r>
            <w:rPr>
              <w:rFonts w:ascii="Times New Roman" w:hAnsi="Times New Roman" w:eastAsia="Times New Roman" w:cs="Times New Roman"/>
              <w:spacing w:val="6"/>
              <w:sz w:val="22"/>
              <w:szCs w:val="22"/>
            </w:rPr>
            <w:fldChar w:fldCharType="end"/>
          </w:r>
        </w:p>
        <w:p w14:paraId="63733032">
          <w:pPr>
            <w:tabs>
              <w:tab w:val="right" w:leader="dot" w:pos="8837"/>
            </w:tabs>
            <w:spacing w:before="219" w:line="224" w:lineRule="auto"/>
            <w:ind w:left="5"/>
            <w:rPr>
              <w:rFonts w:ascii="Times New Roman" w:hAnsi="Times New Roman" w:eastAsia="Times New Roman" w:cs="Times New Roman"/>
              <w:sz w:val="22"/>
              <w:szCs w:val="22"/>
            </w:rPr>
          </w:pPr>
          <w:r>
            <w:fldChar w:fldCharType="begin"/>
          </w:r>
          <w:r>
            <w:instrText xml:space="preserve"> HYPERLINK \l "bookmark38" </w:instrText>
          </w:r>
          <w:r>
            <w:fldChar w:fldCharType="separate"/>
          </w:r>
          <w:r>
            <w:rPr>
              <w:rFonts w:ascii="Times New Roman" w:hAnsi="Times New Roman" w:eastAsia="Times New Roman" w:cs="Times New Roman"/>
              <w:spacing w:val="-4"/>
              <w:sz w:val="22"/>
              <w:szCs w:val="22"/>
            </w:rPr>
            <w:t>8</w:t>
          </w:r>
          <w:r>
            <w:rPr>
              <w:rFonts w:ascii="Times New Roman" w:hAnsi="Times New Roman" w:eastAsia="Times New Roman" w:cs="Times New Roman"/>
              <w:spacing w:val="13"/>
              <w:sz w:val="22"/>
              <w:szCs w:val="22"/>
            </w:rPr>
            <w:t xml:space="preserve">  </w:t>
          </w:r>
          <w:r>
            <w:rPr>
              <w:rFonts w:ascii="仿宋" w:hAnsi="仿宋" w:eastAsia="仿宋" w:cs="仿宋"/>
              <w:spacing w:val="-4"/>
              <w:sz w:val="22"/>
              <w:szCs w:val="22"/>
            </w:rPr>
            <w:t>公众参与和意见处理</w:t>
          </w:r>
          <w:r>
            <w:rPr>
              <w:rFonts w:ascii="仿宋" w:hAnsi="仿宋" w:eastAsia="仿宋" w:cs="仿宋"/>
              <w:sz w:val="22"/>
              <w:szCs w:val="22"/>
            </w:rPr>
            <w:tab/>
          </w:r>
          <w:r>
            <w:rPr>
              <w:rFonts w:ascii="Times New Roman" w:hAnsi="Times New Roman" w:eastAsia="Times New Roman" w:cs="Times New Roman"/>
              <w:spacing w:val="6"/>
              <w:sz w:val="22"/>
              <w:szCs w:val="22"/>
            </w:rPr>
            <w:t>143</w:t>
          </w:r>
          <w:r>
            <w:rPr>
              <w:rFonts w:ascii="Times New Roman" w:hAnsi="Times New Roman" w:eastAsia="Times New Roman" w:cs="Times New Roman"/>
              <w:spacing w:val="6"/>
              <w:sz w:val="22"/>
              <w:szCs w:val="22"/>
            </w:rPr>
            <w:fldChar w:fldCharType="end"/>
          </w:r>
        </w:p>
        <w:p w14:paraId="0168A1A7">
          <w:pPr>
            <w:tabs>
              <w:tab w:val="right" w:leader="dot" w:pos="8837"/>
            </w:tabs>
            <w:spacing w:before="218" w:line="223" w:lineRule="auto"/>
            <w:ind w:left="446"/>
            <w:rPr>
              <w:rFonts w:ascii="Times New Roman" w:hAnsi="Times New Roman" w:eastAsia="Times New Roman" w:cs="Times New Roman"/>
              <w:sz w:val="22"/>
              <w:szCs w:val="22"/>
            </w:rPr>
          </w:pPr>
          <w:r>
            <w:fldChar w:fldCharType="begin"/>
          </w:r>
          <w:r>
            <w:instrText xml:space="preserve"> HYPERLINK \l "bookmark39" </w:instrText>
          </w:r>
          <w:r>
            <w:fldChar w:fldCharType="separate"/>
          </w:r>
          <w:r>
            <w:rPr>
              <w:rFonts w:ascii="Times New Roman" w:hAnsi="Times New Roman" w:eastAsia="Times New Roman" w:cs="Times New Roman"/>
              <w:spacing w:val="-3"/>
              <w:sz w:val="22"/>
              <w:szCs w:val="22"/>
            </w:rPr>
            <w:t>8.1</w:t>
          </w:r>
          <w:r>
            <w:rPr>
              <w:rFonts w:ascii="Times New Roman" w:hAnsi="Times New Roman" w:eastAsia="Times New Roman" w:cs="Times New Roman"/>
              <w:spacing w:val="20"/>
              <w:sz w:val="22"/>
              <w:szCs w:val="22"/>
            </w:rPr>
            <w:t xml:space="preserve"> </w:t>
          </w:r>
          <w:r>
            <w:rPr>
              <w:rFonts w:ascii="仿宋" w:hAnsi="仿宋" w:eastAsia="仿宋" w:cs="仿宋"/>
              <w:spacing w:val="-3"/>
              <w:sz w:val="22"/>
              <w:szCs w:val="22"/>
            </w:rPr>
            <w:t>公众参与方式和内容</w:t>
          </w:r>
          <w:r>
            <w:rPr>
              <w:rFonts w:ascii="仿宋" w:hAnsi="仿宋" w:eastAsia="仿宋" w:cs="仿宋"/>
              <w:sz w:val="22"/>
              <w:szCs w:val="22"/>
            </w:rPr>
            <w:tab/>
          </w:r>
          <w:r>
            <w:rPr>
              <w:rFonts w:ascii="Times New Roman" w:hAnsi="Times New Roman" w:eastAsia="Times New Roman" w:cs="Times New Roman"/>
              <w:spacing w:val="6"/>
              <w:sz w:val="22"/>
              <w:szCs w:val="22"/>
            </w:rPr>
            <w:t>143</w:t>
          </w:r>
          <w:r>
            <w:rPr>
              <w:rFonts w:ascii="Times New Roman" w:hAnsi="Times New Roman" w:eastAsia="Times New Roman" w:cs="Times New Roman"/>
              <w:spacing w:val="6"/>
              <w:sz w:val="22"/>
              <w:szCs w:val="22"/>
            </w:rPr>
            <w:fldChar w:fldCharType="end"/>
          </w:r>
        </w:p>
        <w:p w14:paraId="50C2694F">
          <w:pPr>
            <w:tabs>
              <w:tab w:val="right" w:leader="dot" w:pos="8837"/>
            </w:tabs>
            <w:spacing w:before="219" w:line="223" w:lineRule="auto"/>
            <w:rPr>
              <w:rFonts w:ascii="Times New Roman" w:hAnsi="Times New Roman" w:eastAsia="Times New Roman" w:cs="Times New Roman"/>
              <w:sz w:val="22"/>
              <w:szCs w:val="22"/>
            </w:rPr>
          </w:pPr>
          <w:r>
            <w:fldChar w:fldCharType="begin"/>
          </w:r>
          <w:r>
            <w:instrText xml:space="preserve"> HYPERLINK \l "bookmark40" </w:instrText>
          </w:r>
          <w:r>
            <w:fldChar w:fldCharType="separate"/>
          </w:r>
          <w:r>
            <w:rPr>
              <w:rFonts w:ascii="Times New Roman" w:hAnsi="Times New Roman" w:eastAsia="Times New Roman" w:cs="Times New Roman"/>
              <w:spacing w:val="-5"/>
              <w:sz w:val="22"/>
              <w:szCs w:val="22"/>
            </w:rPr>
            <w:t>9</w:t>
          </w:r>
          <w:r>
            <w:rPr>
              <w:rFonts w:ascii="Times New Roman" w:hAnsi="Times New Roman" w:eastAsia="Times New Roman" w:cs="Times New Roman"/>
              <w:spacing w:val="8"/>
              <w:sz w:val="22"/>
              <w:szCs w:val="22"/>
            </w:rPr>
            <w:t xml:space="preserve">  </w:t>
          </w:r>
          <w:r>
            <w:rPr>
              <w:rFonts w:ascii="仿宋" w:hAnsi="仿宋" w:eastAsia="仿宋" w:cs="仿宋"/>
              <w:spacing w:val="-5"/>
              <w:sz w:val="22"/>
              <w:szCs w:val="22"/>
            </w:rPr>
            <w:t>评价结论</w:t>
          </w:r>
          <w:r>
            <w:rPr>
              <w:rFonts w:ascii="仿宋" w:hAnsi="仿宋" w:eastAsia="仿宋" w:cs="仿宋"/>
              <w:sz w:val="22"/>
              <w:szCs w:val="22"/>
            </w:rPr>
            <w:tab/>
          </w:r>
          <w:r>
            <w:rPr>
              <w:rFonts w:ascii="Times New Roman" w:hAnsi="Times New Roman" w:eastAsia="Times New Roman" w:cs="Times New Roman"/>
              <w:spacing w:val="6"/>
              <w:sz w:val="22"/>
              <w:szCs w:val="22"/>
            </w:rPr>
            <w:t>145</w:t>
          </w:r>
          <w:r>
            <w:rPr>
              <w:rFonts w:ascii="Times New Roman" w:hAnsi="Times New Roman" w:eastAsia="Times New Roman" w:cs="Times New Roman"/>
              <w:spacing w:val="6"/>
              <w:sz w:val="22"/>
              <w:szCs w:val="22"/>
            </w:rPr>
            <w:fldChar w:fldCharType="end"/>
          </w:r>
        </w:p>
        <w:p w14:paraId="25F372F5">
          <w:pPr>
            <w:tabs>
              <w:tab w:val="right" w:leader="dot" w:pos="8837"/>
            </w:tabs>
            <w:spacing w:before="219" w:line="223" w:lineRule="auto"/>
            <w:ind w:left="442"/>
            <w:rPr>
              <w:rFonts w:ascii="Times New Roman" w:hAnsi="Times New Roman" w:eastAsia="Times New Roman" w:cs="Times New Roman"/>
              <w:sz w:val="22"/>
              <w:szCs w:val="22"/>
            </w:rPr>
          </w:pPr>
          <w:r>
            <w:fldChar w:fldCharType="begin"/>
          </w:r>
          <w:r>
            <w:instrText xml:space="preserve"> HYPERLINK \l "bookmark41" </w:instrText>
          </w:r>
          <w:r>
            <w:fldChar w:fldCharType="separate"/>
          </w:r>
          <w:r>
            <w:rPr>
              <w:rFonts w:ascii="Times New Roman" w:hAnsi="Times New Roman" w:eastAsia="Times New Roman" w:cs="Times New Roman"/>
              <w:spacing w:val="-1"/>
              <w:sz w:val="22"/>
              <w:szCs w:val="22"/>
            </w:rPr>
            <w:t xml:space="preserve">9.1  </w:t>
          </w:r>
          <w:r>
            <w:rPr>
              <w:rFonts w:ascii="仿宋" w:hAnsi="仿宋" w:eastAsia="仿宋" w:cs="仿宋"/>
              <w:spacing w:val="-1"/>
              <w:sz w:val="22"/>
              <w:szCs w:val="22"/>
            </w:rPr>
            <w:t>规划调整内容概述</w:t>
          </w:r>
          <w:r>
            <w:rPr>
              <w:rFonts w:ascii="仿宋" w:hAnsi="仿宋" w:eastAsia="仿宋" w:cs="仿宋"/>
              <w:sz w:val="22"/>
              <w:szCs w:val="22"/>
            </w:rPr>
            <w:tab/>
          </w:r>
          <w:r>
            <w:rPr>
              <w:rFonts w:ascii="Times New Roman" w:hAnsi="Times New Roman" w:eastAsia="Times New Roman" w:cs="Times New Roman"/>
              <w:spacing w:val="6"/>
              <w:sz w:val="22"/>
              <w:szCs w:val="22"/>
            </w:rPr>
            <w:t>145</w:t>
          </w:r>
          <w:r>
            <w:rPr>
              <w:rFonts w:ascii="Times New Roman" w:hAnsi="Times New Roman" w:eastAsia="Times New Roman" w:cs="Times New Roman"/>
              <w:spacing w:val="6"/>
              <w:sz w:val="22"/>
              <w:szCs w:val="22"/>
            </w:rPr>
            <w:fldChar w:fldCharType="end"/>
          </w:r>
        </w:p>
        <w:p w14:paraId="7276D8FE">
          <w:pPr>
            <w:tabs>
              <w:tab w:val="right" w:leader="dot" w:pos="8837"/>
            </w:tabs>
            <w:spacing w:before="222" w:line="223" w:lineRule="auto"/>
            <w:ind w:left="442"/>
            <w:rPr>
              <w:rFonts w:ascii="Times New Roman" w:hAnsi="Times New Roman" w:eastAsia="Times New Roman" w:cs="Times New Roman"/>
              <w:sz w:val="22"/>
              <w:szCs w:val="22"/>
            </w:rPr>
          </w:pPr>
          <w:r>
            <w:fldChar w:fldCharType="begin"/>
          </w:r>
          <w:r>
            <w:instrText xml:space="preserve"> HYPERLINK \l "bookmark42" </w:instrText>
          </w:r>
          <w:r>
            <w:fldChar w:fldCharType="separate"/>
          </w:r>
          <w:r>
            <w:rPr>
              <w:rFonts w:ascii="Times New Roman" w:hAnsi="Times New Roman" w:eastAsia="Times New Roman" w:cs="Times New Roman"/>
              <w:spacing w:val="-1"/>
              <w:sz w:val="22"/>
              <w:szCs w:val="22"/>
            </w:rPr>
            <w:t xml:space="preserve">9.2  </w:t>
          </w:r>
          <w:r>
            <w:rPr>
              <w:rFonts w:ascii="仿宋" w:hAnsi="仿宋" w:eastAsia="仿宋" w:cs="仿宋"/>
              <w:spacing w:val="-1"/>
              <w:sz w:val="22"/>
              <w:szCs w:val="22"/>
            </w:rPr>
            <w:t>环境现状调查与评价</w:t>
          </w:r>
          <w:r>
            <w:rPr>
              <w:rFonts w:ascii="仿宋" w:hAnsi="仿宋" w:eastAsia="仿宋" w:cs="仿宋"/>
              <w:sz w:val="22"/>
              <w:szCs w:val="22"/>
            </w:rPr>
            <w:tab/>
          </w:r>
          <w:r>
            <w:rPr>
              <w:rFonts w:ascii="Times New Roman" w:hAnsi="Times New Roman" w:eastAsia="Times New Roman" w:cs="Times New Roman"/>
              <w:spacing w:val="6"/>
              <w:sz w:val="22"/>
              <w:szCs w:val="22"/>
            </w:rPr>
            <w:t>145</w:t>
          </w:r>
          <w:r>
            <w:rPr>
              <w:rFonts w:ascii="Times New Roman" w:hAnsi="Times New Roman" w:eastAsia="Times New Roman" w:cs="Times New Roman"/>
              <w:spacing w:val="6"/>
              <w:sz w:val="22"/>
              <w:szCs w:val="22"/>
            </w:rPr>
            <w:fldChar w:fldCharType="end"/>
          </w:r>
        </w:p>
        <w:p w14:paraId="18FE24F8">
          <w:pPr>
            <w:tabs>
              <w:tab w:val="right" w:leader="dot" w:pos="8837"/>
            </w:tabs>
            <w:spacing w:before="219" w:line="223" w:lineRule="auto"/>
            <w:ind w:left="442"/>
            <w:rPr>
              <w:rFonts w:ascii="Times New Roman" w:hAnsi="Times New Roman" w:eastAsia="Times New Roman" w:cs="Times New Roman"/>
              <w:sz w:val="22"/>
              <w:szCs w:val="22"/>
            </w:rPr>
          </w:pPr>
          <w:r>
            <w:fldChar w:fldCharType="begin"/>
          </w:r>
          <w:r>
            <w:instrText xml:space="preserve"> HYPERLINK \l "bookmark43" </w:instrText>
          </w:r>
          <w:r>
            <w:fldChar w:fldCharType="separate"/>
          </w:r>
          <w:r>
            <w:rPr>
              <w:rFonts w:ascii="Times New Roman" w:hAnsi="Times New Roman" w:eastAsia="Times New Roman" w:cs="Times New Roman"/>
              <w:spacing w:val="-1"/>
              <w:sz w:val="22"/>
              <w:szCs w:val="22"/>
            </w:rPr>
            <w:t xml:space="preserve">9.3  </w:t>
          </w:r>
          <w:r>
            <w:rPr>
              <w:rFonts w:ascii="仿宋" w:hAnsi="仿宋" w:eastAsia="仿宋" w:cs="仿宋"/>
              <w:spacing w:val="-1"/>
              <w:sz w:val="22"/>
              <w:szCs w:val="22"/>
            </w:rPr>
            <w:t>环境影响预测与评价</w:t>
          </w:r>
          <w:r>
            <w:rPr>
              <w:rFonts w:ascii="仿宋" w:hAnsi="仿宋" w:eastAsia="仿宋" w:cs="仿宋"/>
              <w:sz w:val="22"/>
              <w:szCs w:val="22"/>
            </w:rPr>
            <w:tab/>
          </w:r>
          <w:r>
            <w:rPr>
              <w:rFonts w:ascii="Times New Roman" w:hAnsi="Times New Roman" w:eastAsia="Times New Roman" w:cs="Times New Roman"/>
              <w:spacing w:val="6"/>
              <w:sz w:val="22"/>
              <w:szCs w:val="22"/>
            </w:rPr>
            <w:t>147</w:t>
          </w:r>
          <w:r>
            <w:rPr>
              <w:rFonts w:ascii="Times New Roman" w:hAnsi="Times New Roman" w:eastAsia="Times New Roman" w:cs="Times New Roman"/>
              <w:spacing w:val="6"/>
              <w:sz w:val="22"/>
              <w:szCs w:val="22"/>
            </w:rPr>
            <w:fldChar w:fldCharType="end"/>
          </w:r>
        </w:p>
        <w:p w14:paraId="3A6DDE18">
          <w:pPr>
            <w:tabs>
              <w:tab w:val="right" w:leader="dot" w:pos="8837"/>
            </w:tabs>
            <w:spacing w:before="219" w:line="224" w:lineRule="auto"/>
            <w:ind w:left="442"/>
            <w:rPr>
              <w:rFonts w:ascii="Times New Roman" w:hAnsi="Times New Roman" w:eastAsia="Times New Roman" w:cs="Times New Roman"/>
              <w:sz w:val="22"/>
              <w:szCs w:val="22"/>
            </w:rPr>
          </w:pPr>
          <w:r>
            <w:fldChar w:fldCharType="begin"/>
          </w:r>
          <w:r>
            <w:instrText xml:space="preserve"> HYPERLINK \l "bookmark44" </w:instrText>
          </w:r>
          <w:r>
            <w:fldChar w:fldCharType="separate"/>
          </w:r>
          <w:r>
            <w:rPr>
              <w:rFonts w:ascii="Times New Roman" w:hAnsi="Times New Roman" w:eastAsia="Times New Roman" w:cs="Times New Roman"/>
              <w:spacing w:val="-1"/>
              <w:sz w:val="22"/>
              <w:szCs w:val="22"/>
            </w:rPr>
            <w:t xml:space="preserve">9.4 </w:t>
          </w:r>
          <w:r>
            <w:rPr>
              <w:rFonts w:ascii="仿宋" w:hAnsi="仿宋" w:eastAsia="仿宋" w:cs="仿宋"/>
              <w:spacing w:val="-1"/>
              <w:sz w:val="22"/>
              <w:szCs w:val="22"/>
            </w:rPr>
            <w:t>规划方案综合论证结论</w:t>
          </w:r>
          <w:r>
            <w:rPr>
              <w:rFonts w:ascii="仿宋" w:hAnsi="仿宋" w:eastAsia="仿宋" w:cs="仿宋"/>
              <w:sz w:val="22"/>
              <w:szCs w:val="22"/>
            </w:rPr>
            <w:tab/>
          </w:r>
          <w:r>
            <w:rPr>
              <w:rFonts w:ascii="Times New Roman" w:hAnsi="Times New Roman" w:eastAsia="Times New Roman" w:cs="Times New Roman"/>
              <w:spacing w:val="6"/>
              <w:sz w:val="22"/>
              <w:szCs w:val="22"/>
            </w:rPr>
            <w:t>148</w:t>
          </w:r>
          <w:r>
            <w:rPr>
              <w:rFonts w:ascii="Times New Roman" w:hAnsi="Times New Roman" w:eastAsia="Times New Roman" w:cs="Times New Roman"/>
              <w:spacing w:val="6"/>
              <w:sz w:val="22"/>
              <w:szCs w:val="22"/>
            </w:rPr>
            <w:fldChar w:fldCharType="end"/>
          </w:r>
        </w:p>
        <w:p w14:paraId="2C4211AD">
          <w:pPr>
            <w:tabs>
              <w:tab w:val="right" w:leader="dot" w:pos="8837"/>
            </w:tabs>
            <w:spacing w:before="218" w:line="223" w:lineRule="auto"/>
            <w:ind w:left="442"/>
            <w:rPr>
              <w:rFonts w:ascii="Times New Roman" w:hAnsi="Times New Roman" w:eastAsia="Times New Roman" w:cs="Times New Roman"/>
              <w:sz w:val="22"/>
              <w:szCs w:val="22"/>
            </w:rPr>
          </w:pPr>
          <w:r>
            <w:fldChar w:fldCharType="begin"/>
          </w:r>
          <w:r>
            <w:instrText xml:space="preserve"> HYPERLINK \l "bookmark45" </w:instrText>
          </w:r>
          <w:r>
            <w:fldChar w:fldCharType="separate"/>
          </w:r>
          <w:r>
            <w:rPr>
              <w:rFonts w:ascii="Times New Roman" w:hAnsi="Times New Roman" w:eastAsia="Times New Roman" w:cs="Times New Roman"/>
              <w:spacing w:val="-1"/>
              <w:sz w:val="22"/>
              <w:szCs w:val="22"/>
            </w:rPr>
            <w:t xml:space="preserve">9.5  </w:t>
          </w:r>
          <w:r>
            <w:rPr>
              <w:rFonts w:ascii="仿宋" w:hAnsi="仿宋" w:eastAsia="仿宋" w:cs="仿宋"/>
              <w:spacing w:val="-1"/>
              <w:sz w:val="22"/>
              <w:szCs w:val="22"/>
            </w:rPr>
            <w:t>环境影响减缓对策和措施</w:t>
          </w:r>
          <w:r>
            <w:rPr>
              <w:rFonts w:ascii="仿宋" w:hAnsi="仿宋" w:eastAsia="仿宋" w:cs="仿宋"/>
              <w:sz w:val="22"/>
              <w:szCs w:val="22"/>
            </w:rPr>
            <w:tab/>
          </w:r>
          <w:r>
            <w:rPr>
              <w:rFonts w:ascii="Times New Roman" w:hAnsi="Times New Roman" w:eastAsia="Times New Roman" w:cs="Times New Roman"/>
              <w:spacing w:val="6"/>
              <w:sz w:val="22"/>
              <w:szCs w:val="22"/>
            </w:rPr>
            <w:t>149</w:t>
          </w:r>
          <w:r>
            <w:rPr>
              <w:rFonts w:ascii="Times New Roman" w:hAnsi="Times New Roman" w:eastAsia="Times New Roman" w:cs="Times New Roman"/>
              <w:spacing w:val="6"/>
              <w:sz w:val="22"/>
              <w:szCs w:val="22"/>
            </w:rPr>
            <w:fldChar w:fldCharType="end"/>
          </w:r>
        </w:p>
        <w:p w14:paraId="6AC481C3">
          <w:pPr>
            <w:tabs>
              <w:tab w:val="right" w:leader="dot" w:pos="8837"/>
            </w:tabs>
            <w:spacing w:before="221" w:line="222" w:lineRule="auto"/>
            <w:ind w:left="442"/>
            <w:rPr>
              <w:rFonts w:ascii="Times New Roman" w:hAnsi="Times New Roman" w:eastAsia="Times New Roman" w:cs="Times New Roman"/>
              <w:sz w:val="22"/>
              <w:szCs w:val="22"/>
            </w:rPr>
          </w:pPr>
          <w:r>
            <w:fldChar w:fldCharType="begin"/>
          </w:r>
          <w:r>
            <w:instrText xml:space="preserve"> HYPERLINK \l "bookmark46" </w:instrText>
          </w:r>
          <w:r>
            <w:fldChar w:fldCharType="separate"/>
          </w:r>
          <w:r>
            <w:rPr>
              <w:rFonts w:ascii="Times New Roman" w:hAnsi="Times New Roman" w:eastAsia="Times New Roman" w:cs="Times New Roman"/>
              <w:sz w:val="22"/>
              <w:szCs w:val="22"/>
            </w:rPr>
            <w:t xml:space="preserve">9.6 </w:t>
          </w:r>
          <w:r>
            <w:rPr>
              <w:rFonts w:ascii="仿宋" w:hAnsi="仿宋" w:eastAsia="仿宋" w:cs="仿宋"/>
              <w:sz w:val="22"/>
              <w:szCs w:val="22"/>
            </w:rPr>
            <w:t>规划调整包含的具体建设项目环境影响评价</w:t>
          </w:r>
          <w:r>
            <w:rPr>
              <w:rFonts w:ascii="仿宋" w:hAnsi="仿宋" w:eastAsia="仿宋" w:cs="仿宋"/>
              <w:spacing w:val="-1"/>
              <w:sz w:val="22"/>
              <w:szCs w:val="22"/>
            </w:rPr>
            <w:t>的重点内容和简化建议</w:t>
          </w:r>
          <w:r>
            <w:rPr>
              <w:rFonts w:ascii="仿宋" w:hAnsi="仿宋" w:eastAsia="仿宋" w:cs="仿宋"/>
              <w:sz w:val="22"/>
              <w:szCs w:val="22"/>
            </w:rPr>
            <w:tab/>
          </w:r>
          <w:r>
            <w:rPr>
              <w:rFonts w:ascii="Times New Roman" w:hAnsi="Times New Roman" w:eastAsia="Times New Roman" w:cs="Times New Roman"/>
              <w:spacing w:val="6"/>
              <w:sz w:val="22"/>
              <w:szCs w:val="22"/>
            </w:rPr>
            <w:t>152</w:t>
          </w:r>
          <w:r>
            <w:rPr>
              <w:rFonts w:ascii="Times New Roman" w:hAnsi="Times New Roman" w:eastAsia="Times New Roman" w:cs="Times New Roman"/>
              <w:spacing w:val="6"/>
              <w:sz w:val="22"/>
              <w:szCs w:val="22"/>
            </w:rPr>
            <w:fldChar w:fldCharType="end"/>
          </w:r>
        </w:p>
        <w:p w14:paraId="0E87BC02">
          <w:pPr>
            <w:tabs>
              <w:tab w:val="right" w:leader="dot" w:pos="8837"/>
            </w:tabs>
            <w:spacing w:before="221" w:line="223" w:lineRule="auto"/>
            <w:ind w:left="442"/>
            <w:rPr>
              <w:rFonts w:ascii="Times New Roman" w:hAnsi="Times New Roman" w:eastAsia="Times New Roman" w:cs="Times New Roman"/>
              <w:sz w:val="22"/>
              <w:szCs w:val="22"/>
            </w:rPr>
          </w:pPr>
          <w:r>
            <w:fldChar w:fldCharType="begin"/>
          </w:r>
          <w:r>
            <w:instrText xml:space="preserve"> HYPERLINK \l "bookmark47" </w:instrText>
          </w:r>
          <w:r>
            <w:fldChar w:fldCharType="separate"/>
          </w:r>
          <w:r>
            <w:rPr>
              <w:rFonts w:ascii="Times New Roman" w:hAnsi="Times New Roman" w:eastAsia="Times New Roman" w:cs="Times New Roman"/>
              <w:spacing w:val="-3"/>
              <w:sz w:val="22"/>
              <w:szCs w:val="22"/>
            </w:rPr>
            <w:t>9.7</w:t>
          </w:r>
          <w:r>
            <w:rPr>
              <w:rFonts w:ascii="Times New Roman" w:hAnsi="Times New Roman" w:eastAsia="Times New Roman" w:cs="Times New Roman"/>
              <w:spacing w:val="16"/>
              <w:sz w:val="22"/>
              <w:szCs w:val="22"/>
            </w:rPr>
            <w:t xml:space="preserve"> </w:t>
          </w:r>
          <w:r>
            <w:rPr>
              <w:rFonts w:ascii="仿宋" w:hAnsi="仿宋" w:eastAsia="仿宋" w:cs="仿宋"/>
              <w:spacing w:val="-3"/>
              <w:sz w:val="22"/>
              <w:szCs w:val="22"/>
            </w:rPr>
            <w:t>综合评价结论</w:t>
          </w:r>
          <w:r>
            <w:rPr>
              <w:rFonts w:ascii="仿宋" w:hAnsi="仿宋" w:eastAsia="仿宋" w:cs="仿宋"/>
              <w:sz w:val="22"/>
              <w:szCs w:val="22"/>
            </w:rPr>
            <w:tab/>
          </w:r>
          <w:r>
            <w:rPr>
              <w:rFonts w:ascii="Times New Roman" w:hAnsi="Times New Roman" w:eastAsia="Times New Roman" w:cs="Times New Roman"/>
              <w:spacing w:val="6"/>
              <w:sz w:val="22"/>
              <w:szCs w:val="22"/>
            </w:rPr>
            <w:t>152</w:t>
          </w:r>
          <w:r>
            <w:rPr>
              <w:rFonts w:ascii="Times New Roman" w:hAnsi="Times New Roman" w:eastAsia="Times New Roman" w:cs="Times New Roman"/>
              <w:spacing w:val="6"/>
              <w:sz w:val="22"/>
              <w:szCs w:val="22"/>
            </w:rPr>
            <w:fldChar w:fldCharType="end"/>
          </w:r>
        </w:p>
        <w:p w14:paraId="351CB8FB">
          <w:pPr>
            <w:tabs>
              <w:tab w:val="right" w:leader="dot" w:pos="8837"/>
            </w:tabs>
            <w:spacing w:before="219" w:line="223" w:lineRule="auto"/>
            <w:ind w:left="17"/>
            <w:rPr>
              <w:rFonts w:ascii="Times New Roman" w:hAnsi="Times New Roman" w:eastAsia="Times New Roman" w:cs="Times New Roman"/>
              <w:sz w:val="22"/>
              <w:szCs w:val="22"/>
            </w:rPr>
          </w:pPr>
          <w:r>
            <w:fldChar w:fldCharType="begin"/>
          </w:r>
          <w:r>
            <w:instrText xml:space="preserve"> HYPERLINK \l "bookmark48" </w:instrText>
          </w:r>
          <w:r>
            <w:fldChar w:fldCharType="separate"/>
          </w:r>
          <w:r>
            <w:rPr>
              <w:rFonts w:ascii="Times New Roman" w:hAnsi="Times New Roman" w:eastAsia="Times New Roman" w:cs="Times New Roman"/>
              <w:spacing w:val="-8"/>
              <w:sz w:val="22"/>
              <w:szCs w:val="22"/>
            </w:rPr>
            <w:t>10</w:t>
          </w:r>
          <w:r>
            <w:rPr>
              <w:rFonts w:ascii="Times New Roman" w:hAnsi="Times New Roman" w:eastAsia="Times New Roman" w:cs="Times New Roman"/>
              <w:spacing w:val="14"/>
              <w:w w:val="101"/>
              <w:sz w:val="22"/>
              <w:szCs w:val="22"/>
            </w:rPr>
            <w:t xml:space="preserve">  </w:t>
          </w:r>
          <w:r>
            <w:rPr>
              <w:rFonts w:ascii="仿宋" w:hAnsi="仿宋" w:eastAsia="仿宋" w:cs="仿宋"/>
              <w:spacing w:val="-8"/>
              <w:sz w:val="22"/>
              <w:szCs w:val="22"/>
            </w:rPr>
            <w:t>附图与附件</w:t>
          </w:r>
          <w:r>
            <w:rPr>
              <w:rFonts w:ascii="仿宋" w:hAnsi="仿宋" w:eastAsia="仿宋" w:cs="仿宋"/>
              <w:sz w:val="22"/>
              <w:szCs w:val="22"/>
            </w:rPr>
            <w:tab/>
          </w:r>
          <w:r>
            <w:rPr>
              <w:rFonts w:ascii="Times New Roman" w:hAnsi="Times New Roman" w:eastAsia="Times New Roman" w:cs="Times New Roman"/>
              <w:spacing w:val="6"/>
              <w:sz w:val="22"/>
              <w:szCs w:val="22"/>
            </w:rPr>
            <w:t>154</w:t>
          </w:r>
          <w:r>
            <w:rPr>
              <w:rFonts w:ascii="Times New Roman" w:hAnsi="Times New Roman" w:eastAsia="Times New Roman" w:cs="Times New Roman"/>
              <w:spacing w:val="6"/>
              <w:sz w:val="22"/>
              <w:szCs w:val="22"/>
            </w:rPr>
            <w:fldChar w:fldCharType="end"/>
          </w:r>
        </w:p>
        <w:p w14:paraId="1844E12D">
          <w:pPr>
            <w:tabs>
              <w:tab w:val="right" w:leader="dot" w:pos="8837"/>
            </w:tabs>
            <w:spacing w:before="218" w:line="224" w:lineRule="auto"/>
            <w:ind w:left="459"/>
            <w:rPr>
              <w:rFonts w:ascii="Times New Roman" w:hAnsi="Times New Roman" w:eastAsia="Times New Roman" w:cs="Times New Roman"/>
              <w:sz w:val="22"/>
              <w:szCs w:val="22"/>
            </w:rPr>
          </w:pPr>
          <w:r>
            <w:fldChar w:fldCharType="begin"/>
          </w:r>
          <w:r>
            <w:instrText xml:space="preserve"> HYPERLINK \l "bookmark49" </w:instrText>
          </w:r>
          <w:r>
            <w:fldChar w:fldCharType="separate"/>
          </w:r>
          <w:r>
            <w:rPr>
              <w:rFonts w:ascii="Times New Roman" w:hAnsi="Times New Roman" w:eastAsia="Times New Roman" w:cs="Times New Roman"/>
              <w:spacing w:val="-8"/>
              <w:sz w:val="22"/>
              <w:szCs w:val="22"/>
            </w:rPr>
            <w:t>10.1</w:t>
          </w:r>
          <w:r>
            <w:rPr>
              <w:rFonts w:ascii="Times New Roman" w:hAnsi="Times New Roman" w:eastAsia="Times New Roman" w:cs="Times New Roman"/>
              <w:spacing w:val="22"/>
              <w:sz w:val="22"/>
              <w:szCs w:val="22"/>
            </w:rPr>
            <w:t xml:space="preserve"> </w:t>
          </w:r>
          <w:r>
            <w:rPr>
              <w:rFonts w:ascii="仿宋" w:hAnsi="仿宋" w:eastAsia="仿宋" w:cs="仿宋"/>
              <w:spacing w:val="-8"/>
              <w:sz w:val="22"/>
              <w:szCs w:val="22"/>
            </w:rPr>
            <w:t>附图</w:t>
          </w:r>
          <w:r>
            <w:rPr>
              <w:rFonts w:ascii="仿宋" w:hAnsi="仿宋" w:eastAsia="仿宋" w:cs="仿宋"/>
              <w:sz w:val="22"/>
              <w:szCs w:val="22"/>
            </w:rPr>
            <w:tab/>
          </w:r>
          <w:r>
            <w:rPr>
              <w:rFonts w:ascii="Times New Roman" w:hAnsi="Times New Roman" w:eastAsia="Times New Roman" w:cs="Times New Roman"/>
              <w:spacing w:val="6"/>
              <w:sz w:val="22"/>
              <w:szCs w:val="22"/>
            </w:rPr>
            <w:t>154</w:t>
          </w:r>
          <w:r>
            <w:rPr>
              <w:rFonts w:ascii="Times New Roman" w:hAnsi="Times New Roman" w:eastAsia="Times New Roman" w:cs="Times New Roman"/>
              <w:spacing w:val="6"/>
              <w:sz w:val="22"/>
              <w:szCs w:val="22"/>
            </w:rPr>
            <w:fldChar w:fldCharType="end"/>
          </w:r>
        </w:p>
        <w:p w14:paraId="5F204F83">
          <w:pPr>
            <w:tabs>
              <w:tab w:val="right" w:leader="dot" w:pos="8837"/>
            </w:tabs>
            <w:spacing w:before="219" w:line="223" w:lineRule="auto"/>
            <w:ind w:left="459"/>
            <w:rPr>
              <w:rFonts w:ascii="Times New Roman" w:hAnsi="Times New Roman" w:eastAsia="Times New Roman" w:cs="Times New Roman"/>
              <w:sz w:val="22"/>
              <w:szCs w:val="22"/>
            </w:rPr>
          </w:pPr>
          <w:r>
            <w:fldChar w:fldCharType="begin"/>
          </w:r>
          <w:r>
            <w:instrText xml:space="preserve"> HYPERLINK \l "bookmark50" </w:instrText>
          </w:r>
          <w:r>
            <w:fldChar w:fldCharType="separate"/>
          </w:r>
          <w:r>
            <w:rPr>
              <w:rFonts w:ascii="Times New Roman" w:hAnsi="Times New Roman" w:eastAsia="Times New Roman" w:cs="Times New Roman"/>
              <w:spacing w:val="-8"/>
              <w:sz w:val="22"/>
              <w:szCs w:val="22"/>
            </w:rPr>
            <w:t>10.2</w:t>
          </w:r>
          <w:r>
            <w:rPr>
              <w:rFonts w:ascii="Times New Roman" w:hAnsi="Times New Roman" w:eastAsia="Times New Roman" w:cs="Times New Roman"/>
              <w:spacing w:val="22"/>
              <w:sz w:val="22"/>
              <w:szCs w:val="22"/>
            </w:rPr>
            <w:t xml:space="preserve"> </w:t>
          </w:r>
          <w:r>
            <w:rPr>
              <w:rFonts w:ascii="仿宋" w:hAnsi="仿宋" w:eastAsia="仿宋" w:cs="仿宋"/>
              <w:spacing w:val="-8"/>
              <w:sz w:val="22"/>
              <w:szCs w:val="22"/>
            </w:rPr>
            <w:t>附件</w:t>
          </w:r>
          <w:r>
            <w:rPr>
              <w:rFonts w:ascii="仿宋" w:hAnsi="仿宋" w:eastAsia="仿宋" w:cs="仿宋"/>
              <w:sz w:val="22"/>
              <w:szCs w:val="22"/>
            </w:rPr>
            <w:tab/>
          </w:r>
          <w:r>
            <w:rPr>
              <w:rFonts w:ascii="Times New Roman" w:hAnsi="Times New Roman" w:eastAsia="Times New Roman" w:cs="Times New Roman"/>
              <w:spacing w:val="6"/>
              <w:sz w:val="22"/>
              <w:szCs w:val="22"/>
            </w:rPr>
            <w:t>154</w:t>
          </w:r>
          <w:r>
            <w:rPr>
              <w:rFonts w:ascii="Times New Roman" w:hAnsi="Times New Roman" w:eastAsia="Times New Roman" w:cs="Times New Roman"/>
              <w:spacing w:val="6"/>
              <w:sz w:val="22"/>
              <w:szCs w:val="22"/>
            </w:rPr>
            <w:fldChar w:fldCharType="end"/>
          </w:r>
        </w:p>
      </w:sdtContent>
    </w:sdt>
    <w:p w14:paraId="4107FF96">
      <w:pPr>
        <w:spacing w:line="223" w:lineRule="auto"/>
        <w:rPr>
          <w:rFonts w:ascii="Times New Roman" w:hAnsi="Times New Roman" w:eastAsia="Times New Roman" w:cs="Times New Roman"/>
          <w:sz w:val="22"/>
          <w:szCs w:val="22"/>
        </w:rPr>
        <w:sectPr>
          <w:pgSz w:w="11906" w:h="16839"/>
          <w:pgMar w:top="1426" w:right="1473" w:bottom="0" w:left="1594" w:header="0" w:footer="0" w:gutter="0"/>
          <w:cols w:space="720" w:num="1"/>
        </w:sectPr>
      </w:pPr>
    </w:p>
    <w:p w14:paraId="57AD1533">
      <w:pPr>
        <w:pStyle w:val="2"/>
        <w:spacing w:line="315" w:lineRule="auto"/>
      </w:pPr>
    </w:p>
    <w:p w14:paraId="7C58DCD6">
      <w:pPr>
        <w:spacing w:before="101" w:line="227" w:lineRule="auto"/>
        <w:ind w:left="3965"/>
        <w:outlineLvl w:val="0"/>
        <w:rPr>
          <w:rFonts w:ascii="仿宋" w:hAnsi="仿宋" w:eastAsia="仿宋" w:cs="仿宋"/>
          <w:sz w:val="31"/>
          <w:szCs w:val="31"/>
        </w:rPr>
      </w:pPr>
      <w:bookmarkStart w:id="0" w:name="bookmark1"/>
      <w:bookmarkEnd w:id="0"/>
      <w:r>
        <w:rPr>
          <w:rFonts w:ascii="仿宋" w:hAnsi="仿宋" w:eastAsia="仿宋" w:cs="仿宋"/>
          <w:b/>
          <w:bCs/>
          <w:spacing w:val="-12"/>
          <w:sz w:val="31"/>
          <w:szCs w:val="31"/>
        </w:rPr>
        <w:t>前</w:t>
      </w:r>
      <w:r>
        <w:rPr>
          <w:rFonts w:ascii="仿宋" w:hAnsi="仿宋" w:eastAsia="仿宋" w:cs="仿宋"/>
          <w:spacing w:val="19"/>
          <w:sz w:val="31"/>
          <w:szCs w:val="31"/>
        </w:rPr>
        <w:t xml:space="preserve">  </w:t>
      </w:r>
      <w:r>
        <w:rPr>
          <w:rFonts w:ascii="仿宋" w:hAnsi="仿宋" w:eastAsia="仿宋" w:cs="仿宋"/>
          <w:b/>
          <w:bCs/>
          <w:spacing w:val="-12"/>
          <w:sz w:val="31"/>
          <w:szCs w:val="31"/>
        </w:rPr>
        <w:t>言</w:t>
      </w:r>
    </w:p>
    <w:p w14:paraId="77566BD5">
      <w:pPr>
        <w:spacing w:before="128" w:line="340" w:lineRule="auto"/>
        <w:ind w:left="4" w:right="2" w:firstLine="537"/>
        <w:jc w:val="both"/>
        <w:rPr>
          <w:rFonts w:ascii="仿宋" w:hAnsi="仿宋" w:eastAsia="仿宋" w:cs="仿宋"/>
          <w:sz w:val="25"/>
          <w:szCs w:val="25"/>
        </w:rPr>
      </w:pPr>
      <w:r>
        <w:rPr>
          <w:rFonts w:ascii="仿宋" w:hAnsi="仿宋" w:eastAsia="仿宋" w:cs="仿宋"/>
          <w:spacing w:val="9"/>
          <w:sz w:val="25"/>
          <w:szCs w:val="25"/>
        </w:rPr>
        <w:t>黔江地处武陵山区腹地和重庆市东南部中心，东临湖北省的咸丰县，西界</w:t>
      </w:r>
      <w:r>
        <w:rPr>
          <w:rFonts w:ascii="仿宋" w:hAnsi="仿宋" w:eastAsia="仿宋" w:cs="仿宋"/>
          <w:spacing w:val="11"/>
          <w:sz w:val="25"/>
          <w:szCs w:val="25"/>
        </w:rPr>
        <w:t xml:space="preserve"> </w:t>
      </w:r>
      <w:r>
        <w:rPr>
          <w:rFonts w:ascii="仿宋" w:hAnsi="仿宋" w:eastAsia="仿宋" w:cs="仿宋"/>
          <w:spacing w:val="10"/>
          <w:sz w:val="25"/>
          <w:szCs w:val="25"/>
        </w:rPr>
        <w:t>彭水县，南连酉阳县，北接湖北利川市，是渝、鄂、湘、黔四省市的结</w:t>
      </w:r>
      <w:r>
        <w:rPr>
          <w:rFonts w:ascii="仿宋" w:hAnsi="仿宋" w:eastAsia="仿宋" w:cs="仿宋"/>
          <w:spacing w:val="9"/>
          <w:sz w:val="25"/>
          <w:szCs w:val="25"/>
        </w:rPr>
        <w:t>合部，</w:t>
      </w:r>
      <w:r>
        <w:rPr>
          <w:rFonts w:ascii="仿宋" w:hAnsi="仿宋" w:eastAsia="仿宋" w:cs="仿宋"/>
          <w:sz w:val="25"/>
          <w:szCs w:val="25"/>
        </w:rPr>
        <w:t xml:space="preserve"> </w:t>
      </w:r>
      <w:r>
        <w:rPr>
          <w:rFonts w:ascii="仿宋" w:hAnsi="仿宋" w:eastAsia="仿宋" w:cs="仿宋"/>
          <w:spacing w:val="2"/>
          <w:sz w:val="25"/>
          <w:szCs w:val="25"/>
        </w:rPr>
        <w:t>素有“渝鄂咽喉</w:t>
      </w:r>
      <w:r>
        <w:rPr>
          <w:rFonts w:ascii="仿宋" w:hAnsi="仿宋" w:eastAsia="仿宋" w:cs="仿宋"/>
          <w:spacing w:val="-88"/>
          <w:sz w:val="25"/>
          <w:szCs w:val="25"/>
        </w:rPr>
        <w:t xml:space="preserve"> </w:t>
      </w:r>
      <w:r>
        <w:rPr>
          <w:rFonts w:ascii="仿宋" w:hAnsi="仿宋" w:eastAsia="仿宋" w:cs="仿宋"/>
          <w:spacing w:val="2"/>
          <w:sz w:val="25"/>
          <w:szCs w:val="25"/>
        </w:rPr>
        <w:t>”之称，地理坐标在东经</w:t>
      </w:r>
      <w:r>
        <w:rPr>
          <w:rFonts w:ascii="仿宋" w:hAnsi="仿宋" w:eastAsia="仿宋" w:cs="仿宋"/>
          <w:spacing w:val="-30"/>
          <w:sz w:val="25"/>
          <w:szCs w:val="25"/>
        </w:rPr>
        <w:t xml:space="preserve"> </w:t>
      </w:r>
      <w:r>
        <w:rPr>
          <w:rFonts w:ascii="Times New Roman" w:hAnsi="Times New Roman" w:eastAsia="Times New Roman" w:cs="Times New Roman"/>
          <w:spacing w:val="2"/>
          <w:sz w:val="25"/>
          <w:szCs w:val="25"/>
        </w:rPr>
        <w:t>108</w:t>
      </w:r>
      <w:r>
        <w:rPr>
          <w:rFonts w:ascii="Times New Roman" w:hAnsi="Times New Roman" w:eastAsia="Times New Roman" w:cs="Times New Roman"/>
          <w:spacing w:val="-25"/>
          <w:sz w:val="25"/>
          <w:szCs w:val="25"/>
        </w:rPr>
        <w:t xml:space="preserve"> </w:t>
      </w:r>
      <w:r>
        <w:rPr>
          <w:rFonts w:ascii="仿宋" w:hAnsi="仿宋" w:eastAsia="仿宋" w:cs="仿宋"/>
          <w:spacing w:val="2"/>
          <w:sz w:val="25"/>
          <w:szCs w:val="25"/>
        </w:rPr>
        <w:t>°</w:t>
      </w:r>
      <w:r>
        <w:rPr>
          <w:rFonts w:ascii="Times New Roman" w:hAnsi="Times New Roman" w:eastAsia="Times New Roman" w:cs="Times New Roman"/>
          <w:spacing w:val="2"/>
          <w:sz w:val="25"/>
          <w:szCs w:val="25"/>
        </w:rPr>
        <w:t>28'</w:t>
      </w:r>
      <w:r>
        <w:rPr>
          <w:rFonts w:ascii="仿宋" w:hAnsi="仿宋" w:eastAsia="仿宋" w:cs="仿宋"/>
          <w:spacing w:val="2"/>
          <w:sz w:val="25"/>
          <w:szCs w:val="25"/>
        </w:rPr>
        <w:t>至</w:t>
      </w:r>
      <w:r>
        <w:rPr>
          <w:rFonts w:ascii="仿宋" w:hAnsi="仿宋" w:eastAsia="仿宋" w:cs="仿宋"/>
          <w:spacing w:val="-30"/>
          <w:sz w:val="25"/>
          <w:szCs w:val="25"/>
        </w:rPr>
        <w:t xml:space="preserve"> </w:t>
      </w:r>
      <w:r>
        <w:rPr>
          <w:rFonts w:ascii="Times New Roman" w:hAnsi="Times New Roman" w:eastAsia="Times New Roman" w:cs="Times New Roman"/>
          <w:spacing w:val="2"/>
          <w:sz w:val="25"/>
          <w:szCs w:val="25"/>
        </w:rPr>
        <w:t>108</w:t>
      </w:r>
      <w:r>
        <w:rPr>
          <w:rFonts w:ascii="Times New Roman" w:hAnsi="Times New Roman" w:eastAsia="Times New Roman" w:cs="Times New Roman"/>
          <w:spacing w:val="-26"/>
          <w:sz w:val="25"/>
          <w:szCs w:val="25"/>
        </w:rPr>
        <w:t xml:space="preserve"> </w:t>
      </w:r>
      <w:r>
        <w:rPr>
          <w:rFonts w:ascii="仿宋" w:hAnsi="仿宋" w:eastAsia="仿宋" w:cs="仿宋"/>
          <w:spacing w:val="2"/>
          <w:sz w:val="25"/>
          <w:szCs w:val="25"/>
        </w:rPr>
        <w:t>°</w:t>
      </w:r>
      <w:r>
        <w:rPr>
          <w:rFonts w:ascii="Times New Roman" w:hAnsi="Times New Roman" w:eastAsia="Times New Roman" w:cs="Times New Roman"/>
          <w:spacing w:val="2"/>
          <w:sz w:val="25"/>
          <w:szCs w:val="25"/>
        </w:rPr>
        <w:t>56'</w:t>
      </w:r>
      <w:r>
        <w:rPr>
          <w:rFonts w:ascii="Times New Roman" w:hAnsi="Times New Roman" w:eastAsia="Times New Roman" w:cs="Times New Roman"/>
          <w:spacing w:val="-25"/>
          <w:sz w:val="25"/>
          <w:szCs w:val="25"/>
        </w:rPr>
        <w:t xml:space="preserve"> </w:t>
      </w:r>
      <w:r>
        <w:rPr>
          <w:rFonts w:ascii="仿宋" w:hAnsi="仿宋" w:eastAsia="仿宋" w:cs="仿宋"/>
          <w:spacing w:val="2"/>
          <w:sz w:val="25"/>
          <w:szCs w:val="25"/>
        </w:rPr>
        <w:t>，北纬</w:t>
      </w:r>
      <w:r>
        <w:rPr>
          <w:rFonts w:ascii="仿宋" w:hAnsi="仿宋" w:eastAsia="仿宋" w:cs="仿宋"/>
          <w:spacing w:val="1"/>
          <w:sz w:val="25"/>
          <w:szCs w:val="25"/>
        </w:rPr>
        <w:t xml:space="preserve"> </w:t>
      </w:r>
      <w:r>
        <w:rPr>
          <w:rFonts w:ascii="Times New Roman" w:hAnsi="Times New Roman" w:eastAsia="Times New Roman" w:cs="Times New Roman"/>
          <w:spacing w:val="1"/>
          <w:sz w:val="25"/>
          <w:szCs w:val="25"/>
        </w:rPr>
        <w:t>29</w:t>
      </w:r>
      <w:r>
        <w:rPr>
          <w:rFonts w:ascii="Times New Roman" w:hAnsi="Times New Roman" w:eastAsia="Times New Roman" w:cs="Times New Roman"/>
          <w:spacing w:val="-28"/>
          <w:sz w:val="25"/>
          <w:szCs w:val="25"/>
        </w:rPr>
        <w:t xml:space="preserve"> </w:t>
      </w:r>
      <w:r>
        <w:rPr>
          <w:rFonts w:ascii="仿宋" w:hAnsi="仿宋" w:eastAsia="仿宋" w:cs="仿宋"/>
          <w:spacing w:val="1"/>
          <w:sz w:val="25"/>
          <w:szCs w:val="25"/>
        </w:rPr>
        <w:t>°</w:t>
      </w:r>
      <w:r>
        <w:rPr>
          <w:rFonts w:ascii="Times New Roman" w:hAnsi="Times New Roman" w:eastAsia="Times New Roman" w:cs="Times New Roman"/>
          <w:spacing w:val="1"/>
          <w:sz w:val="25"/>
          <w:szCs w:val="25"/>
        </w:rPr>
        <w:t>4'</w:t>
      </w:r>
      <w:r>
        <w:rPr>
          <w:rFonts w:ascii="仿宋" w:hAnsi="仿宋" w:eastAsia="仿宋" w:cs="仿宋"/>
          <w:spacing w:val="1"/>
          <w:sz w:val="25"/>
          <w:szCs w:val="25"/>
        </w:rPr>
        <w:t>至</w:t>
      </w:r>
      <w:r>
        <w:rPr>
          <w:rFonts w:ascii="仿宋" w:hAnsi="仿宋" w:eastAsia="仿宋" w:cs="仿宋"/>
          <w:sz w:val="25"/>
          <w:szCs w:val="25"/>
        </w:rPr>
        <w:t xml:space="preserve"> </w:t>
      </w:r>
      <w:r>
        <w:rPr>
          <w:rFonts w:ascii="Times New Roman" w:hAnsi="Times New Roman" w:eastAsia="Times New Roman" w:cs="Times New Roman"/>
          <w:spacing w:val="1"/>
          <w:sz w:val="25"/>
          <w:szCs w:val="25"/>
        </w:rPr>
        <w:t>29</w:t>
      </w:r>
      <w:r>
        <w:rPr>
          <w:rFonts w:ascii="Times New Roman" w:hAnsi="Times New Roman" w:eastAsia="Times New Roman" w:cs="Times New Roman"/>
          <w:spacing w:val="-15"/>
          <w:sz w:val="25"/>
          <w:szCs w:val="25"/>
        </w:rPr>
        <w:t xml:space="preserve"> </w:t>
      </w:r>
      <w:r>
        <w:rPr>
          <w:rFonts w:ascii="仿宋" w:hAnsi="仿宋" w:eastAsia="仿宋" w:cs="仿宋"/>
          <w:spacing w:val="1"/>
          <w:sz w:val="25"/>
          <w:szCs w:val="25"/>
        </w:rPr>
        <w:t>°</w:t>
      </w:r>
      <w:r>
        <w:rPr>
          <w:rFonts w:ascii="Times New Roman" w:hAnsi="Times New Roman" w:eastAsia="Times New Roman" w:cs="Times New Roman"/>
          <w:spacing w:val="1"/>
          <w:sz w:val="25"/>
          <w:szCs w:val="25"/>
        </w:rPr>
        <w:t>52'</w:t>
      </w:r>
      <w:r>
        <w:rPr>
          <w:rFonts w:ascii="仿宋" w:hAnsi="仿宋" w:eastAsia="仿宋" w:cs="仿宋"/>
          <w:spacing w:val="1"/>
          <w:sz w:val="25"/>
          <w:szCs w:val="25"/>
        </w:rPr>
        <w:t>之间，面积</w:t>
      </w:r>
      <w:r>
        <w:rPr>
          <w:rFonts w:ascii="仿宋" w:hAnsi="仿宋" w:eastAsia="仿宋" w:cs="仿宋"/>
          <w:spacing w:val="-52"/>
          <w:sz w:val="25"/>
          <w:szCs w:val="25"/>
        </w:rPr>
        <w:t xml:space="preserve"> </w:t>
      </w:r>
      <w:r>
        <w:rPr>
          <w:rFonts w:ascii="Times New Roman" w:hAnsi="Times New Roman" w:eastAsia="Times New Roman" w:cs="Times New Roman"/>
          <w:spacing w:val="1"/>
          <w:sz w:val="25"/>
          <w:szCs w:val="25"/>
        </w:rPr>
        <w:t>2392.</w:t>
      </w:r>
      <w:r>
        <w:rPr>
          <w:rFonts w:ascii="Times New Roman" w:hAnsi="Times New Roman" w:eastAsia="Times New Roman" w:cs="Times New Roman"/>
          <w:spacing w:val="-33"/>
          <w:sz w:val="25"/>
          <w:szCs w:val="25"/>
        </w:rPr>
        <w:t xml:space="preserve"> </w:t>
      </w:r>
      <w:r>
        <w:rPr>
          <w:rFonts w:ascii="Times New Roman" w:hAnsi="Times New Roman" w:eastAsia="Times New Roman" w:cs="Times New Roman"/>
          <w:spacing w:val="1"/>
          <w:sz w:val="25"/>
          <w:szCs w:val="25"/>
        </w:rPr>
        <w:t>16</w:t>
      </w:r>
      <w:r>
        <w:rPr>
          <w:rFonts w:ascii="Times New Roman" w:hAnsi="Times New Roman" w:eastAsia="Times New Roman" w:cs="Times New Roman"/>
          <w:spacing w:val="22"/>
          <w:w w:val="101"/>
          <w:sz w:val="25"/>
          <w:szCs w:val="25"/>
        </w:rPr>
        <w:t xml:space="preserve"> </w:t>
      </w:r>
      <w:r>
        <w:rPr>
          <w:rFonts w:ascii="仿宋" w:hAnsi="仿宋" w:eastAsia="仿宋" w:cs="仿宋"/>
          <w:spacing w:val="1"/>
          <w:sz w:val="25"/>
          <w:szCs w:val="25"/>
        </w:rPr>
        <w:t>平方千米，辖</w:t>
      </w:r>
      <w:r>
        <w:rPr>
          <w:rFonts w:ascii="仿宋" w:hAnsi="仿宋" w:eastAsia="仿宋" w:cs="仿宋"/>
          <w:spacing w:val="-50"/>
          <w:sz w:val="25"/>
          <w:szCs w:val="25"/>
        </w:rPr>
        <w:t xml:space="preserve"> </w:t>
      </w:r>
      <w:r>
        <w:rPr>
          <w:rFonts w:ascii="Times New Roman" w:hAnsi="Times New Roman" w:eastAsia="Times New Roman" w:cs="Times New Roman"/>
          <w:spacing w:val="1"/>
          <w:sz w:val="25"/>
          <w:szCs w:val="25"/>
        </w:rPr>
        <w:t>30</w:t>
      </w:r>
      <w:r>
        <w:rPr>
          <w:rFonts w:ascii="Times New Roman" w:hAnsi="Times New Roman" w:eastAsia="Times New Roman" w:cs="Times New Roman"/>
          <w:spacing w:val="23"/>
          <w:w w:val="101"/>
          <w:sz w:val="25"/>
          <w:szCs w:val="25"/>
        </w:rPr>
        <w:t xml:space="preserve"> </w:t>
      </w:r>
      <w:r>
        <w:rPr>
          <w:rFonts w:ascii="仿宋" w:hAnsi="仿宋" w:eastAsia="仿宋" w:cs="仿宋"/>
          <w:spacing w:val="1"/>
          <w:sz w:val="25"/>
          <w:szCs w:val="25"/>
        </w:rPr>
        <w:t>个乡镇街道，户籍人</w:t>
      </w:r>
      <w:r>
        <w:rPr>
          <w:rFonts w:ascii="仿宋" w:hAnsi="仿宋" w:eastAsia="仿宋" w:cs="仿宋"/>
          <w:spacing w:val="-61"/>
          <w:sz w:val="25"/>
          <w:szCs w:val="25"/>
        </w:rPr>
        <w:t xml:space="preserve"> </w:t>
      </w:r>
      <w:r>
        <w:rPr>
          <w:rFonts w:ascii="仿宋" w:hAnsi="仿宋" w:eastAsia="仿宋" w:cs="仿宋"/>
          <w:spacing w:val="1"/>
          <w:sz w:val="25"/>
          <w:szCs w:val="25"/>
        </w:rPr>
        <w:t>口</w:t>
      </w:r>
      <w:r>
        <w:rPr>
          <w:rFonts w:ascii="仿宋" w:hAnsi="仿宋" w:eastAsia="仿宋" w:cs="仿宋"/>
          <w:spacing w:val="-48"/>
          <w:sz w:val="25"/>
          <w:szCs w:val="25"/>
        </w:rPr>
        <w:t xml:space="preserve"> </w:t>
      </w:r>
      <w:r>
        <w:rPr>
          <w:rFonts w:ascii="Times New Roman" w:hAnsi="Times New Roman" w:eastAsia="Times New Roman" w:cs="Times New Roman"/>
          <w:spacing w:val="1"/>
          <w:sz w:val="25"/>
          <w:szCs w:val="25"/>
        </w:rPr>
        <w:t>55.27</w:t>
      </w:r>
      <w:r>
        <w:rPr>
          <w:rFonts w:ascii="Times New Roman" w:hAnsi="Times New Roman" w:eastAsia="Times New Roman" w:cs="Times New Roman"/>
          <w:spacing w:val="24"/>
          <w:sz w:val="25"/>
          <w:szCs w:val="25"/>
        </w:rPr>
        <w:t xml:space="preserve"> </w:t>
      </w:r>
      <w:r>
        <w:rPr>
          <w:rFonts w:ascii="仿宋" w:hAnsi="仿宋" w:eastAsia="仿宋" w:cs="仿宋"/>
          <w:spacing w:val="1"/>
          <w:sz w:val="25"/>
          <w:szCs w:val="25"/>
        </w:rPr>
        <w:t>万，</w:t>
      </w:r>
      <w:r>
        <w:rPr>
          <w:rFonts w:ascii="仿宋" w:hAnsi="仿宋" w:eastAsia="仿宋" w:cs="仿宋"/>
          <w:sz w:val="25"/>
          <w:szCs w:val="25"/>
        </w:rPr>
        <w:t xml:space="preserve"> </w:t>
      </w:r>
      <w:bookmarkStart w:id="59" w:name="_GoBack"/>
      <w:r>
        <w:rPr>
          <w:rFonts w:ascii="仿宋" w:hAnsi="仿宋" w:eastAsia="仿宋" w:cs="仿宋"/>
          <w:spacing w:val="-3"/>
          <w:sz w:val="25"/>
          <w:szCs w:val="25"/>
        </w:rPr>
        <w:t>常</w:t>
      </w:r>
      <w:r>
        <w:rPr>
          <w:rFonts w:hint="eastAsia" w:ascii="仿宋" w:hAnsi="仿宋" w:eastAsia="仿宋" w:cs="仿宋"/>
          <w:spacing w:val="-3"/>
          <w:sz w:val="25"/>
          <w:szCs w:val="25"/>
          <w:lang w:val="en-US" w:eastAsia="zh-CN"/>
        </w:rPr>
        <w:t>住</w:t>
      </w:r>
      <w:bookmarkEnd w:id="59"/>
      <w:r>
        <w:rPr>
          <w:rFonts w:ascii="仿宋" w:hAnsi="仿宋" w:eastAsia="仿宋" w:cs="仿宋"/>
          <w:spacing w:val="-3"/>
          <w:sz w:val="25"/>
          <w:szCs w:val="25"/>
        </w:rPr>
        <w:t>人</w:t>
      </w:r>
      <w:r>
        <w:rPr>
          <w:rFonts w:ascii="仿宋" w:hAnsi="仿宋" w:eastAsia="仿宋" w:cs="仿宋"/>
          <w:spacing w:val="-54"/>
          <w:sz w:val="25"/>
          <w:szCs w:val="25"/>
        </w:rPr>
        <w:t xml:space="preserve"> </w:t>
      </w:r>
      <w:r>
        <w:rPr>
          <w:rFonts w:ascii="仿宋" w:hAnsi="仿宋" w:eastAsia="仿宋" w:cs="仿宋"/>
          <w:spacing w:val="-3"/>
          <w:sz w:val="25"/>
          <w:szCs w:val="25"/>
        </w:rPr>
        <w:t>口</w:t>
      </w:r>
      <w:r>
        <w:rPr>
          <w:rFonts w:ascii="仿宋" w:hAnsi="仿宋" w:eastAsia="仿宋" w:cs="仿宋"/>
          <w:spacing w:val="-53"/>
          <w:sz w:val="25"/>
          <w:szCs w:val="25"/>
        </w:rPr>
        <w:t xml:space="preserve"> </w:t>
      </w:r>
      <w:r>
        <w:rPr>
          <w:rFonts w:ascii="Times New Roman" w:hAnsi="Times New Roman" w:eastAsia="Times New Roman" w:cs="Times New Roman"/>
          <w:spacing w:val="-3"/>
          <w:sz w:val="25"/>
          <w:szCs w:val="25"/>
        </w:rPr>
        <w:t>49.39</w:t>
      </w:r>
      <w:r>
        <w:rPr>
          <w:rFonts w:ascii="Times New Roman" w:hAnsi="Times New Roman" w:eastAsia="Times New Roman" w:cs="Times New Roman"/>
          <w:spacing w:val="21"/>
          <w:w w:val="101"/>
          <w:sz w:val="25"/>
          <w:szCs w:val="25"/>
        </w:rPr>
        <w:t xml:space="preserve"> </w:t>
      </w:r>
      <w:r>
        <w:rPr>
          <w:rFonts w:ascii="仿宋" w:hAnsi="仿宋" w:eastAsia="仿宋" w:cs="仿宋"/>
          <w:spacing w:val="-3"/>
          <w:sz w:val="25"/>
          <w:szCs w:val="25"/>
        </w:rPr>
        <w:t>万。</w:t>
      </w:r>
    </w:p>
    <w:p w14:paraId="2E462F47">
      <w:pPr>
        <w:spacing w:before="5" w:line="339" w:lineRule="auto"/>
        <w:ind w:left="15" w:right="2" w:firstLine="521"/>
        <w:jc w:val="both"/>
        <w:rPr>
          <w:rFonts w:ascii="仿宋" w:hAnsi="仿宋" w:eastAsia="仿宋" w:cs="仿宋"/>
          <w:sz w:val="25"/>
          <w:szCs w:val="25"/>
        </w:rPr>
      </w:pPr>
      <w:r>
        <w:rPr>
          <w:rFonts w:ascii="仿宋" w:hAnsi="仿宋" w:eastAsia="仿宋" w:cs="仿宋"/>
          <w:spacing w:val="9"/>
          <w:sz w:val="25"/>
          <w:szCs w:val="25"/>
        </w:rPr>
        <w:t>矿产资源是经济社会发展的重要物质基础，矿业经济的持续发展，能加快</w:t>
      </w:r>
      <w:r>
        <w:rPr>
          <w:rFonts w:ascii="仿宋" w:hAnsi="仿宋" w:eastAsia="仿宋" w:cs="仿宋"/>
          <w:spacing w:val="16"/>
          <w:sz w:val="25"/>
          <w:szCs w:val="25"/>
        </w:rPr>
        <w:t xml:space="preserve"> </w:t>
      </w:r>
      <w:r>
        <w:rPr>
          <w:rFonts w:ascii="仿宋" w:hAnsi="仿宋" w:eastAsia="仿宋" w:cs="仿宋"/>
          <w:spacing w:val="10"/>
          <w:sz w:val="25"/>
          <w:szCs w:val="25"/>
        </w:rPr>
        <w:t>工业化进程，促进社会进步。为切实有效地加</w:t>
      </w:r>
      <w:r>
        <w:rPr>
          <w:rFonts w:ascii="仿宋" w:hAnsi="仿宋" w:eastAsia="仿宋" w:cs="仿宋"/>
          <w:spacing w:val="9"/>
          <w:sz w:val="25"/>
          <w:szCs w:val="25"/>
        </w:rPr>
        <w:t>强矿产资源勘查、开发利用与保</w:t>
      </w:r>
      <w:r>
        <w:rPr>
          <w:rFonts w:ascii="仿宋" w:hAnsi="仿宋" w:eastAsia="仿宋" w:cs="仿宋"/>
          <w:sz w:val="25"/>
          <w:szCs w:val="25"/>
        </w:rPr>
        <w:t xml:space="preserve"> </w:t>
      </w:r>
      <w:r>
        <w:rPr>
          <w:rFonts w:ascii="仿宋" w:hAnsi="仿宋" w:eastAsia="仿宋" w:cs="仿宋"/>
          <w:spacing w:val="2"/>
          <w:sz w:val="25"/>
          <w:szCs w:val="25"/>
        </w:rPr>
        <w:t>护，促进矿业的可持续发展，满足国民经济和社会发展对矿产资源的需求。</w:t>
      </w:r>
      <w:r>
        <w:rPr>
          <w:rFonts w:ascii="Times New Roman" w:hAnsi="Times New Roman" w:eastAsia="Times New Roman" w:cs="Times New Roman"/>
          <w:spacing w:val="2"/>
          <w:sz w:val="25"/>
          <w:szCs w:val="25"/>
        </w:rPr>
        <w:t xml:space="preserve">2020 </w:t>
      </w:r>
      <w:r>
        <w:rPr>
          <w:rFonts w:ascii="仿宋" w:hAnsi="仿宋" w:eastAsia="仿宋" w:cs="仿宋"/>
          <w:spacing w:val="8"/>
          <w:sz w:val="25"/>
          <w:szCs w:val="25"/>
        </w:rPr>
        <w:t>年</w:t>
      </w:r>
      <w:r>
        <w:rPr>
          <w:rFonts w:ascii="仿宋" w:hAnsi="仿宋" w:eastAsia="仿宋" w:cs="仿宋"/>
          <w:spacing w:val="-40"/>
          <w:sz w:val="25"/>
          <w:szCs w:val="25"/>
        </w:rPr>
        <w:t xml:space="preserve"> </w:t>
      </w:r>
      <w:r>
        <w:rPr>
          <w:rFonts w:ascii="Times New Roman" w:hAnsi="Times New Roman" w:eastAsia="Times New Roman" w:cs="Times New Roman"/>
          <w:spacing w:val="8"/>
          <w:sz w:val="25"/>
          <w:szCs w:val="25"/>
        </w:rPr>
        <w:t>5</w:t>
      </w:r>
      <w:r>
        <w:rPr>
          <w:rFonts w:ascii="Times New Roman" w:hAnsi="Times New Roman" w:eastAsia="Times New Roman" w:cs="Times New Roman"/>
          <w:spacing w:val="31"/>
          <w:w w:val="101"/>
          <w:sz w:val="25"/>
          <w:szCs w:val="25"/>
        </w:rPr>
        <w:t xml:space="preserve"> </w:t>
      </w:r>
      <w:r>
        <w:rPr>
          <w:rFonts w:ascii="仿宋" w:hAnsi="仿宋" w:eastAsia="仿宋" w:cs="仿宋"/>
          <w:spacing w:val="8"/>
          <w:sz w:val="25"/>
          <w:szCs w:val="25"/>
        </w:rPr>
        <w:t>月，黔江区规划和自然资源局启动编制《重庆市黔江区矿产资源总体规划</w:t>
      </w:r>
      <w:r>
        <w:rPr>
          <w:rFonts w:ascii="仿宋" w:hAnsi="仿宋" w:eastAsia="仿宋" w:cs="仿宋"/>
          <w:sz w:val="25"/>
          <w:szCs w:val="25"/>
        </w:rPr>
        <w:t xml:space="preserve"> </w:t>
      </w:r>
      <w:r>
        <w:rPr>
          <w:rFonts w:ascii="仿宋" w:hAnsi="仿宋" w:eastAsia="仿宋" w:cs="仿宋"/>
          <w:spacing w:val="4"/>
          <w:sz w:val="25"/>
          <w:szCs w:val="25"/>
        </w:rPr>
        <w:t>（</w:t>
      </w:r>
      <w:r>
        <w:rPr>
          <w:rFonts w:ascii="Times New Roman" w:hAnsi="Times New Roman" w:eastAsia="Times New Roman" w:cs="Times New Roman"/>
          <w:spacing w:val="4"/>
          <w:sz w:val="25"/>
          <w:szCs w:val="25"/>
        </w:rPr>
        <w:t>2021-2025</w:t>
      </w:r>
      <w:r>
        <w:rPr>
          <w:rFonts w:ascii="Times New Roman" w:hAnsi="Times New Roman" w:eastAsia="Times New Roman" w:cs="Times New Roman"/>
          <w:spacing w:val="28"/>
          <w:w w:val="101"/>
          <w:sz w:val="25"/>
          <w:szCs w:val="25"/>
        </w:rPr>
        <w:t xml:space="preserve"> </w:t>
      </w:r>
      <w:r>
        <w:rPr>
          <w:rFonts w:ascii="仿宋" w:hAnsi="仿宋" w:eastAsia="仿宋" w:cs="仿宋"/>
          <w:spacing w:val="4"/>
          <w:sz w:val="25"/>
          <w:szCs w:val="25"/>
        </w:rPr>
        <w:t>年）》（以下简称《规划》</w:t>
      </w:r>
      <w:r>
        <w:rPr>
          <w:rFonts w:ascii="仿宋" w:hAnsi="仿宋" w:eastAsia="仿宋" w:cs="仿宋"/>
          <w:spacing w:val="-2"/>
          <w:sz w:val="25"/>
          <w:szCs w:val="25"/>
        </w:rPr>
        <w:t>），</w:t>
      </w:r>
      <w:r>
        <w:rPr>
          <w:rFonts w:ascii="仿宋" w:hAnsi="仿宋" w:eastAsia="仿宋" w:cs="仿宋"/>
          <w:spacing w:val="4"/>
          <w:sz w:val="25"/>
          <w:szCs w:val="25"/>
        </w:rPr>
        <w:t>同步开展规划环境影响评价；</w:t>
      </w:r>
      <w:r>
        <w:rPr>
          <w:rFonts w:ascii="Times New Roman" w:hAnsi="Times New Roman" w:eastAsia="Times New Roman" w:cs="Times New Roman"/>
          <w:spacing w:val="4"/>
          <w:sz w:val="25"/>
          <w:szCs w:val="25"/>
        </w:rPr>
        <w:t>2022</w:t>
      </w:r>
      <w:r>
        <w:rPr>
          <w:rFonts w:ascii="Times New Roman" w:hAnsi="Times New Roman" w:eastAsia="Times New Roman" w:cs="Times New Roman"/>
          <w:sz w:val="25"/>
          <w:szCs w:val="25"/>
        </w:rPr>
        <w:t xml:space="preserve"> </w:t>
      </w:r>
      <w:r>
        <w:rPr>
          <w:rFonts w:ascii="仿宋" w:hAnsi="仿宋" w:eastAsia="仿宋" w:cs="仿宋"/>
          <w:spacing w:val="9"/>
          <w:sz w:val="25"/>
          <w:szCs w:val="25"/>
        </w:rPr>
        <w:t>年</w:t>
      </w:r>
      <w:r>
        <w:rPr>
          <w:rFonts w:ascii="仿宋" w:hAnsi="仿宋" w:eastAsia="仿宋" w:cs="仿宋"/>
          <w:spacing w:val="-41"/>
          <w:sz w:val="25"/>
          <w:szCs w:val="25"/>
        </w:rPr>
        <w:t xml:space="preserve"> </w:t>
      </w:r>
      <w:r>
        <w:rPr>
          <w:rFonts w:ascii="Times New Roman" w:hAnsi="Times New Roman" w:eastAsia="Times New Roman" w:cs="Times New Roman"/>
          <w:spacing w:val="9"/>
          <w:sz w:val="25"/>
          <w:szCs w:val="25"/>
        </w:rPr>
        <w:t>9</w:t>
      </w:r>
      <w:r>
        <w:rPr>
          <w:rFonts w:ascii="Times New Roman" w:hAnsi="Times New Roman" w:eastAsia="Times New Roman" w:cs="Times New Roman"/>
          <w:spacing w:val="36"/>
          <w:sz w:val="25"/>
          <w:szCs w:val="25"/>
        </w:rPr>
        <w:t xml:space="preserve"> </w:t>
      </w:r>
      <w:r>
        <w:rPr>
          <w:rFonts w:ascii="仿宋" w:hAnsi="仿宋" w:eastAsia="仿宋" w:cs="仿宋"/>
          <w:spacing w:val="9"/>
          <w:sz w:val="25"/>
          <w:szCs w:val="25"/>
        </w:rPr>
        <w:t>月重庆市生态环境局反馈《规划》环境影响报告书审查意见；</w:t>
      </w:r>
      <w:r>
        <w:rPr>
          <w:rFonts w:ascii="Times New Roman" w:hAnsi="Times New Roman" w:eastAsia="Times New Roman" w:cs="Times New Roman"/>
          <w:spacing w:val="9"/>
          <w:sz w:val="25"/>
          <w:szCs w:val="25"/>
        </w:rPr>
        <w:t>2023</w:t>
      </w:r>
      <w:r>
        <w:rPr>
          <w:rFonts w:ascii="Times New Roman" w:hAnsi="Times New Roman" w:eastAsia="Times New Roman" w:cs="Times New Roman"/>
          <w:spacing w:val="32"/>
          <w:sz w:val="25"/>
          <w:szCs w:val="25"/>
        </w:rPr>
        <w:t xml:space="preserve"> </w:t>
      </w:r>
      <w:r>
        <w:rPr>
          <w:rFonts w:ascii="仿宋" w:hAnsi="仿宋" w:eastAsia="仿宋" w:cs="仿宋"/>
          <w:spacing w:val="9"/>
          <w:sz w:val="25"/>
          <w:szCs w:val="25"/>
        </w:rPr>
        <w:t>年</w:t>
      </w:r>
      <w:r>
        <w:rPr>
          <w:rFonts w:ascii="仿宋" w:hAnsi="仿宋" w:eastAsia="仿宋" w:cs="仿宋"/>
          <w:spacing w:val="-25"/>
          <w:sz w:val="25"/>
          <w:szCs w:val="25"/>
        </w:rPr>
        <w:t xml:space="preserve"> </w:t>
      </w:r>
      <w:r>
        <w:rPr>
          <w:rFonts w:ascii="Times New Roman" w:hAnsi="Times New Roman" w:eastAsia="Times New Roman" w:cs="Times New Roman"/>
          <w:spacing w:val="9"/>
          <w:sz w:val="25"/>
          <w:szCs w:val="25"/>
        </w:rPr>
        <w:t>10</w:t>
      </w:r>
      <w:r>
        <w:rPr>
          <w:rFonts w:ascii="Times New Roman" w:hAnsi="Times New Roman" w:eastAsia="Times New Roman" w:cs="Times New Roman"/>
          <w:sz w:val="25"/>
          <w:szCs w:val="25"/>
        </w:rPr>
        <w:t xml:space="preserve"> </w:t>
      </w:r>
      <w:r>
        <w:rPr>
          <w:rFonts w:ascii="仿宋" w:hAnsi="仿宋" w:eastAsia="仿宋" w:cs="仿宋"/>
          <w:spacing w:val="5"/>
          <w:sz w:val="25"/>
          <w:szCs w:val="25"/>
        </w:rPr>
        <w:t>月《规划》经区政府审核同意后，报市规划和自然资源局审批；</w:t>
      </w:r>
      <w:r>
        <w:rPr>
          <w:rFonts w:ascii="Times New Roman" w:hAnsi="Times New Roman" w:eastAsia="Times New Roman" w:cs="Times New Roman"/>
          <w:spacing w:val="5"/>
          <w:sz w:val="25"/>
          <w:szCs w:val="25"/>
        </w:rPr>
        <w:t>2023</w:t>
      </w:r>
      <w:r>
        <w:rPr>
          <w:rFonts w:ascii="Times New Roman" w:hAnsi="Times New Roman" w:eastAsia="Times New Roman" w:cs="Times New Roman"/>
          <w:spacing w:val="41"/>
          <w:w w:val="101"/>
          <w:sz w:val="25"/>
          <w:szCs w:val="25"/>
        </w:rPr>
        <w:t xml:space="preserve"> </w:t>
      </w:r>
      <w:r>
        <w:rPr>
          <w:rFonts w:ascii="仿宋" w:hAnsi="仿宋" w:eastAsia="仿宋" w:cs="仿宋"/>
          <w:spacing w:val="5"/>
          <w:sz w:val="25"/>
          <w:szCs w:val="25"/>
        </w:rPr>
        <w:t>年</w:t>
      </w:r>
      <w:r>
        <w:rPr>
          <w:rFonts w:ascii="仿宋" w:hAnsi="仿宋" w:eastAsia="仿宋" w:cs="仿宋"/>
          <w:spacing w:val="-52"/>
          <w:sz w:val="25"/>
          <w:szCs w:val="25"/>
        </w:rPr>
        <w:t xml:space="preserve"> </w:t>
      </w:r>
      <w:r>
        <w:rPr>
          <w:rFonts w:ascii="Times New Roman" w:hAnsi="Times New Roman" w:eastAsia="Times New Roman" w:cs="Times New Roman"/>
          <w:spacing w:val="5"/>
          <w:sz w:val="25"/>
          <w:szCs w:val="25"/>
        </w:rPr>
        <w:t>2</w:t>
      </w:r>
      <w:r>
        <w:rPr>
          <w:rFonts w:ascii="Times New Roman" w:hAnsi="Times New Roman" w:eastAsia="Times New Roman" w:cs="Times New Roman"/>
          <w:spacing w:val="31"/>
          <w:w w:val="101"/>
          <w:sz w:val="25"/>
          <w:szCs w:val="25"/>
        </w:rPr>
        <w:t xml:space="preserve"> </w:t>
      </w:r>
      <w:r>
        <w:rPr>
          <w:rFonts w:ascii="仿宋" w:hAnsi="仿宋" w:eastAsia="仿宋" w:cs="仿宋"/>
          <w:spacing w:val="5"/>
          <w:sz w:val="25"/>
          <w:szCs w:val="25"/>
        </w:rPr>
        <w:t>月市</w:t>
      </w:r>
      <w:r>
        <w:rPr>
          <w:rFonts w:ascii="仿宋" w:hAnsi="仿宋" w:eastAsia="仿宋" w:cs="仿宋"/>
          <w:sz w:val="25"/>
          <w:szCs w:val="25"/>
        </w:rPr>
        <w:t xml:space="preserve"> </w:t>
      </w:r>
      <w:r>
        <w:rPr>
          <w:rFonts w:ascii="仿宋" w:hAnsi="仿宋" w:eastAsia="仿宋" w:cs="仿宋"/>
          <w:spacing w:val="6"/>
          <w:sz w:val="25"/>
          <w:szCs w:val="25"/>
        </w:rPr>
        <w:t>规划和自然资源局函复同意《规划》通过审查，</w:t>
      </w:r>
      <w:r>
        <w:rPr>
          <w:rFonts w:ascii="Times New Roman" w:hAnsi="Times New Roman" w:eastAsia="Times New Roman" w:cs="Times New Roman"/>
          <w:spacing w:val="6"/>
          <w:sz w:val="25"/>
          <w:szCs w:val="25"/>
        </w:rPr>
        <w:t>2023</w:t>
      </w:r>
      <w:r>
        <w:rPr>
          <w:rFonts w:ascii="Times New Roman" w:hAnsi="Times New Roman" w:eastAsia="Times New Roman" w:cs="Times New Roman"/>
          <w:spacing w:val="41"/>
          <w:sz w:val="25"/>
          <w:szCs w:val="25"/>
        </w:rPr>
        <w:t xml:space="preserve"> </w:t>
      </w:r>
      <w:r>
        <w:rPr>
          <w:rFonts w:ascii="仿宋" w:hAnsi="仿宋" w:eastAsia="仿宋" w:cs="仿宋"/>
          <w:spacing w:val="6"/>
          <w:sz w:val="25"/>
          <w:szCs w:val="25"/>
        </w:rPr>
        <w:t>年</w:t>
      </w:r>
      <w:r>
        <w:rPr>
          <w:rFonts w:ascii="仿宋" w:hAnsi="仿宋" w:eastAsia="仿宋" w:cs="仿宋"/>
          <w:spacing w:val="-50"/>
          <w:sz w:val="25"/>
          <w:szCs w:val="25"/>
        </w:rPr>
        <w:t xml:space="preserve"> </w:t>
      </w:r>
      <w:r>
        <w:rPr>
          <w:rFonts w:ascii="Times New Roman" w:hAnsi="Times New Roman" w:eastAsia="Times New Roman" w:cs="Times New Roman"/>
          <w:spacing w:val="6"/>
          <w:sz w:val="25"/>
          <w:szCs w:val="25"/>
        </w:rPr>
        <w:t>2</w:t>
      </w:r>
      <w:r>
        <w:rPr>
          <w:rFonts w:ascii="Times New Roman" w:hAnsi="Times New Roman" w:eastAsia="Times New Roman" w:cs="Times New Roman"/>
          <w:spacing w:val="34"/>
          <w:w w:val="101"/>
          <w:sz w:val="25"/>
          <w:szCs w:val="25"/>
        </w:rPr>
        <w:t xml:space="preserve"> </w:t>
      </w:r>
      <w:r>
        <w:rPr>
          <w:rFonts w:ascii="仿宋" w:hAnsi="仿宋" w:eastAsia="仿宋" w:cs="仿宋"/>
          <w:spacing w:val="6"/>
          <w:sz w:val="25"/>
          <w:szCs w:val="25"/>
        </w:rPr>
        <w:t>月</w:t>
      </w:r>
      <w:r>
        <w:rPr>
          <w:rFonts w:ascii="仿宋" w:hAnsi="仿宋" w:eastAsia="仿宋" w:cs="仿宋"/>
          <w:spacing w:val="-53"/>
          <w:sz w:val="25"/>
          <w:szCs w:val="25"/>
        </w:rPr>
        <w:t xml:space="preserve"> </w:t>
      </w:r>
      <w:r>
        <w:rPr>
          <w:rFonts w:ascii="Times New Roman" w:hAnsi="Times New Roman" w:eastAsia="Times New Roman" w:cs="Times New Roman"/>
          <w:spacing w:val="6"/>
          <w:sz w:val="25"/>
          <w:szCs w:val="25"/>
        </w:rPr>
        <w:t xml:space="preserve">23  </w:t>
      </w:r>
      <w:r>
        <w:rPr>
          <w:rFonts w:ascii="仿宋" w:hAnsi="仿宋" w:eastAsia="仿宋" w:cs="仿宋"/>
          <w:spacing w:val="6"/>
          <w:sz w:val="25"/>
          <w:szCs w:val="25"/>
        </w:rPr>
        <w:t>日，黔江区人</w:t>
      </w:r>
      <w:r>
        <w:rPr>
          <w:rFonts w:ascii="仿宋" w:hAnsi="仿宋" w:eastAsia="仿宋" w:cs="仿宋"/>
          <w:sz w:val="25"/>
          <w:szCs w:val="25"/>
        </w:rPr>
        <w:t xml:space="preserve"> </w:t>
      </w:r>
      <w:r>
        <w:rPr>
          <w:rFonts w:ascii="仿宋" w:hAnsi="仿宋" w:eastAsia="仿宋" w:cs="仿宋"/>
          <w:spacing w:val="7"/>
          <w:sz w:val="25"/>
          <w:szCs w:val="25"/>
        </w:rPr>
        <w:t>民政府以黔江府办发〔</w:t>
      </w:r>
      <w:r>
        <w:rPr>
          <w:rFonts w:ascii="Times New Roman" w:hAnsi="Times New Roman" w:eastAsia="Times New Roman" w:cs="Times New Roman"/>
          <w:spacing w:val="7"/>
          <w:sz w:val="25"/>
          <w:szCs w:val="25"/>
        </w:rPr>
        <w:t>2023</w:t>
      </w:r>
      <w:r>
        <w:rPr>
          <w:rFonts w:ascii="仿宋" w:hAnsi="仿宋" w:eastAsia="仿宋" w:cs="仿宋"/>
          <w:spacing w:val="7"/>
          <w:sz w:val="25"/>
          <w:szCs w:val="25"/>
        </w:rPr>
        <w:t>〕</w:t>
      </w:r>
      <w:r>
        <w:rPr>
          <w:rFonts w:ascii="Times New Roman" w:hAnsi="Times New Roman" w:eastAsia="Times New Roman" w:cs="Times New Roman"/>
          <w:spacing w:val="7"/>
          <w:sz w:val="25"/>
          <w:szCs w:val="25"/>
        </w:rPr>
        <w:t>10</w:t>
      </w:r>
      <w:r>
        <w:rPr>
          <w:rFonts w:ascii="Times New Roman" w:hAnsi="Times New Roman" w:eastAsia="Times New Roman" w:cs="Times New Roman"/>
          <w:spacing w:val="44"/>
          <w:sz w:val="25"/>
          <w:szCs w:val="25"/>
        </w:rPr>
        <w:t xml:space="preserve"> </w:t>
      </w:r>
      <w:r>
        <w:rPr>
          <w:rFonts w:ascii="仿宋" w:hAnsi="仿宋" w:eastAsia="仿宋" w:cs="仿宋"/>
          <w:spacing w:val="7"/>
          <w:sz w:val="25"/>
          <w:szCs w:val="25"/>
        </w:rPr>
        <w:t>号文对《规划》进行正式发布实施。</w:t>
      </w:r>
    </w:p>
    <w:p w14:paraId="6646E5E3">
      <w:pPr>
        <w:spacing w:before="1" w:line="339" w:lineRule="auto"/>
        <w:ind w:left="17" w:right="2" w:firstLine="518"/>
        <w:jc w:val="both"/>
        <w:rPr>
          <w:rFonts w:ascii="仿宋" w:hAnsi="仿宋" w:eastAsia="仿宋" w:cs="仿宋"/>
          <w:sz w:val="25"/>
          <w:szCs w:val="25"/>
        </w:rPr>
      </w:pPr>
      <w:r>
        <w:rPr>
          <w:rFonts w:ascii="仿宋" w:hAnsi="仿宋" w:eastAsia="仿宋" w:cs="仿宋"/>
          <w:spacing w:val="6"/>
          <w:sz w:val="25"/>
          <w:szCs w:val="25"/>
        </w:rPr>
        <w:t>《规划》的基准年是</w:t>
      </w:r>
      <w:r>
        <w:rPr>
          <w:rFonts w:ascii="仿宋" w:hAnsi="仿宋" w:eastAsia="仿宋" w:cs="仿宋"/>
          <w:spacing w:val="-52"/>
          <w:sz w:val="25"/>
          <w:szCs w:val="25"/>
        </w:rPr>
        <w:t xml:space="preserve"> </w:t>
      </w:r>
      <w:r>
        <w:rPr>
          <w:rFonts w:ascii="Times New Roman" w:hAnsi="Times New Roman" w:eastAsia="Times New Roman" w:cs="Times New Roman"/>
          <w:spacing w:val="6"/>
          <w:sz w:val="25"/>
          <w:szCs w:val="25"/>
        </w:rPr>
        <w:t>2020</w:t>
      </w:r>
      <w:r>
        <w:rPr>
          <w:rFonts w:ascii="Times New Roman" w:hAnsi="Times New Roman" w:eastAsia="Times New Roman" w:cs="Times New Roman"/>
          <w:spacing w:val="30"/>
          <w:sz w:val="25"/>
          <w:szCs w:val="25"/>
        </w:rPr>
        <w:t xml:space="preserve"> </w:t>
      </w:r>
      <w:r>
        <w:rPr>
          <w:rFonts w:ascii="仿宋" w:hAnsi="仿宋" w:eastAsia="仿宋" w:cs="仿宋"/>
          <w:spacing w:val="6"/>
          <w:sz w:val="25"/>
          <w:szCs w:val="25"/>
        </w:rPr>
        <w:t>年，规划期</w:t>
      </w:r>
      <w:r>
        <w:rPr>
          <w:rFonts w:ascii="仿宋" w:hAnsi="仿宋" w:eastAsia="仿宋" w:cs="仿宋"/>
          <w:spacing w:val="-52"/>
          <w:sz w:val="25"/>
          <w:szCs w:val="25"/>
        </w:rPr>
        <w:t xml:space="preserve"> </w:t>
      </w:r>
      <w:r>
        <w:rPr>
          <w:rFonts w:ascii="Times New Roman" w:hAnsi="Times New Roman" w:eastAsia="Times New Roman" w:cs="Times New Roman"/>
          <w:spacing w:val="6"/>
          <w:sz w:val="25"/>
          <w:szCs w:val="25"/>
        </w:rPr>
        <w:t>2021-2025</w:t>
      </w:r>
      <w:r>
        <w:rPr>
          <w:rFonts w:ascii="Times New Roman" w:hAnsi="Times New Roman" w:eastAsia="Times New Roman" w:cs="Times New Roman"/>
          <w:spacing w:val="27"/>
          <w:sz w:val="25"/>
          <w:szCs w:val="25"/>
        </w:rPr>
        <w:t xml:space="preserve"> </w:t>
      </w:r>
      <w:r>
        <w:rPr>
          <w:rFonts w:ascii="仿宋" w:hAnsi="仿宋" w:eastAsia="仿宋" w:cs="仿宋"/>
          <w:spacing w:val="6"/>
          <w:sz w:val="25"/>
          <w:szCs w:val="25"/>
        </w:rPr>
        <w:t>年，展望到</w:t>
      </w:r>
      <w:r>
        <w:rPr>
          <w:rFonts w:ascii="仿宋" w:hAnsi="仿宋" w:eastAsia="仿宋" w:cs="仿宋"/>
          <w:spacing w:val="-52"/>
          <w:sz w:val="25"/>
          <w:szCs w:val="25"/>
        </w:rPr>
        <w:t xml:space="preserve"> </w:t>
      </w:r>
      <w:r>
        <w:rPr>
          <w:rFonts w:ascii="Times New Roman" w:hAnsi="Times New Roman" w:eastAsia="Times New Roman" w:cs="Times New Roman"/>
          <w:spacing w:val="6"/>
          <w:sz w:val="25"/>
          <w:szCs w:val="25"/>
        </w:rPr>
        <w:t>203</w:t>
      </w:r>
      <w:r>
        <w:rPr>
          <w:rFonts w:ascii="Times New Roman" w:hAnsi="Times New Roman" w:eastAsia="Times New Roman" w:cs="Times New Roman"/>
          <w:spacing w:val="5"/>
          <w:sz w:val="25"/>
          <w:szCs w:val="25"/>
        </w:rPr>
        <w:t>5</w:t>
      </w:r>
      <w:r>
        <w:rPr>
          <w:rFonts w:ascii="Times New Roman" w:hAnsi="Times New Roman" w:eastAsia="Times New Roman" w:cs="Times New Roman"/>
          <w:spacing w:val="29"/>
          <w:sz w:val="25"/>
          <w:szCs w:val="25"/>
        </w:rPr>
        <w:t xml:space="preserve"> </w:t>
      </w:r>
      <w:r>
        <w:rPr>
          <w:rFonts w:ascii="仿宋" w:hAnsi="仿宋" w:eastAsia="仿宋" w:cs="仿宋"/>
          <w:spacing w:val="5"/>
          <w:sz w:val="25"/>
          <w:szCs w:val="25"/>
        </w:rPr>
        <w:t>年。设</w:t>
      </w:r>
      <w:r>
        <w:rPr>
          <w:rFonts w:ascii="仿宋" w:hAnsi="仿宋" w:eastAsia="仿宋" w:cs="仿宋"/>
          <w:sz w:val="25"/>
          <w:szCs w:val="25"/>
        </w:rPr>
        <w:t xml:space="preserve"> </w:t>
      </w:r>
      <w:r>
        <w:rPr>
          <w:rFonts w:ascii="仿宋" w:hAnsi="仿宋" w:eastAsia="仿宋" w:cs="仿宋"/>
          <w:spacing w:val="2"/>
          <w:sz w:val="25"/>
          <w:szCs w:val="25"/>
        </w:rPr>
        <w:t>置</w:t>
      </w:r>
      <w:r>
        <w:rPr>
          <w:rFonts w:ascii="仿宋" w:hAnsi="仿宋" w:eastAsia="仿宋" w:cs="仿宋"/>
          <w:spacing w:val="-38"/>
          <w:sz w:val="25"/>
          <w:szCs w:val="25"/>
        </w:rPr>
        <w:t xml:space="preserve"> </w:t>
      </w:r>
      <w:r>
        <w:rPr>
          <w:rFonts w:ascii="Times New Roman" w:hAnsi="Times New Roman" w:eastAsia="Times New Roman" w:cs="Times New Roman"/>
          <w:spacing w:val="2"/>
          <w:sz w:val="25"/>
          <w:szCs w:val="25"/>
        </w:rPr>
        <w:t>4</w:t>
      </w:r>
      <w:r>
        <w:rPr>
          <w:rFonts w:ascii="Times New Roman" w:hAnsi="Times New Roman" w:eastAsia="Times New Roman" w:cs="Times New Roman"/>
          <w:spacing w:val="20"/>
          <w:w w:val="101"/>
          <w:sz w:val="25"/>
          <w:szCs w:val="25"/>
        </w:rPr>
        <w:t xml:space="preserve"> </w:t>
      </w:r>
      <w:r>
        <w:rPr>
          <w:rFonts w:ascii="仿宋" w:hAnsi="仿宋" w:eastAsia="仿宋" w:cs="仿宋"/>
          <w:spacing w:val="2"/>
          <w:sz w:val="25"/>
          <w:szCs w:val="25"/>
        </w:rPr>
        <w:t>个重点勘查区，</w:t>
      </w:r>
      <w:r>
        <w:rPr>
          <w:rFonts w:ascii="Times New Roman" w:hAnsi="Times New Roman" w:eastAsia="Times New Roman" w:cs="Times New Roman"/>
          <w:spacing w:val="2"/>
          <w:sz w:val="25"/>
          <w:szCs w:val="25"/>
        </w:rPr>
        <w:t>8</w:t>
      </w:r>
      <w:r>
        <w:rPr>
          <w:rFonts w:ascii="Times New Roman" w:hAnsi="Times New Roman" w:eastAsia="Times New Roman" w:cs="Times New Roman"/>
          <w:spacing w:val="20"/>
          <w:w w:val="101"/>
          <w:sz w:val="25"/>
          <w:szCs w:val="25"/>
        </w:rPr>
        <w:t xml:space="preserve"> </w:t>
      </w:r>
      <w:r>
        <w:rPr>
          <w:rFonts w:ascii="仿宋" w:hAnsi="仿宋" w:eastAsia="仿宋" w:cs="仿宋"/>
          <w:spacing w:val="2"/>
          <w:sz w:val="25"/>
          <w:szCs w:val="25"/>
        </w:rPr>
        <w:t>个勘查区块；</w:t>
      </w:r>
      <w:r>
        <w:rPr>
          <w:rFonts w:ascii="Times New Roman" w:hAnsi="Times New Roman" w:eastAsia="Times New Roman" w:cs="Times New Roman"/>
          <w:spacing w:val="2"/>
          <w:sz w:val="25"/>
          <w:szCs w:val="25"/>
        </w:rPr>
        <w:t>2</w:t>
      </w:r>
      <w:r>
        <w:rPr>
          <w:rFonts w:ascii="Times New Roman" w:hAnsi="Times New Roman" w:eastAsia="Times New Roman" w:cs="Times New Roman"/>
          <w:spacing w:val="20"/>
          <w:w w:val="101"/>
          <w:sz w:val="25"/>
          <w:szCs w:val="25"/>
        </w:rPr>
        <w:t xml:space="preserve"> </w:t>
      </w:r>
      <w:r>
        <w:rPr>
          <w:rFonts w:ascii="仿宋" w:hAnsi="仿宋" w:eastAsia="仿宋" w:cs="仿宋"/>
          <w:spacing w:val="2"/>
          <w:sz w:val="25"/>
          <w:szCs w:val="25"/>
        </w:rPr>
        <w:t>个重点开采区，</w:t>
      </w:r>
      <w:r>
        <w:rPr>
          <w:rFonts w:ascii="Times New Roman" w:hAnsi="Times New Roman" w:eastAsia="Times New Roman" w:cs="Times New Roman"/>
          <w:spacing w:val="2"/>
          <w:sz w:val="25"/>
          <w:szCs w:val="25"/>
        </w:rPr>
        <w:t>1</w:t>
      </w:r>
      <w:r>
        <w:rPr>
          <w:rFonts w:ascii="Times New Roman" w:hAnsi="Times New Roman" w:eastAsia="Times New Roman" w:cs="Times New Roman"/>
          <w:spacing w:val="20"/>
          <w:w w:val="101"/>
          <w:sz w:val="25"/>
          <w:szCs w:val="25"/>
        </w:rPr>
        <w:t xml:space="preserve"> </w:t>
      </w:r>
      <w:r>
        <w:rPr>
          <w:rFonts w:ascii="仿宋" w:hAnsi="仿宋" w:eastAsia="仿宋" w:cs="仿宋"/>
          <w:spacing w:val="2"/>
          <w:sz w:val="25"/>
          <w:szCs w:val="25"/>
        </w:rPr>
        <w:t>个集中开采区，</w:t>
      </w:r>
      <w:r>
        <w:rPr>
          <w:rFonts w:ascii="Times New Roman" w:hAnsi="Times New Roman" w:eastAsia="Times New Roman" w:cs="Times New Roman"/>
          <w:spacing w:val="2"/>
          <w:sz w:val="25"/>
          <w:szCs w:val="25"/>
        </w:rPr>
        <w:t>32</w:t>
      </w:r>
      <w:r>
        <w:rPr>
          <w:rFonts w:ascii="Times New Roman" w:hAnsi="Times New Roman" w:eastAsia="Times New Roman" w:cs="Times New Roman"/>
          <w:spacing w:val="20"/>
          <w:w w:val="101"/>
          <w:sz w:val="25"/>
          <w:szCs w:val="25"/>
        </w:rPr>
        <w:t xml:space="preserve"> </w:t>
      </w:r>
      <w:r>
        <w:rPr>
          <w:rFonts w:ascii="仿宋" w:hAnsi="仿宋" w:eastAsia="仿宋" w:cs="仿宋"/>
          <w:spacing w:val="2"/>
          <w:sz w:val="25"/>
          <w:szCs w:val="25"/>
        </w:rPr>
        <w:t>个开</w:t>
      </w:r>
      <w:r>
        <w:rPr>
          <w:rFonts w:ascii="仿宋" w:hAnsi="仿宋" w:eastAsia="仿宋" w:cs="仿宋"/>
          <w:sz w:val="25"/>
          <w:szCs w:val="25"/>
        </w:rPr>
        <w:t xml:space="preserve"> </w:t>
      </w:r>
      <w:r>
        <w:rPr>
          <w:rFonts w:ascii="仿宋" w:hAnsi="仿宋" w:eastAsia="仿宋" w:cs="仿宋"/>
          <w:spacing w:val="5"/>
          <w:sz w:val="25"/>
          <w:szCs w:val="25"/>
        </w:rPr>
        <w:t>采区块，到</w:t>
      </w:r>
      <w:r>
        <w:rPr>
          <w:rFonts w:ascii="仿宋" w:hAnsi="仿宋" w:eastAsia="仿宋" w:cs="仿宋"/>
          <w:spacing w:val="-38"/>
          <w:sz w:val="25"/>
          <w:szCs w:val="25"/>
        </w:rPr>
        <w:t xml:space="preserve"> </w:t>
      </w:r>
      <w:r>
        <w:rPr>
          <w:rFonts w:ascii="Times New Roman" w:hAnsi="Times New Roman" w:eastAsia="Times New Roman" w:cs="Times New Roman"/>
          <w:spacing w:val="5"/>
          <w:sz w:val="25"/>
          <w:szCs w:val="25"/>
        </w:rPr>
        <w:t>2025</w:t>
      </w:r>
      <w:r>
        <w:rPr>
          <w:rFonts w:ascii="Times New Roman" w:hAnsi="Times New Roman" w:eastAsia="Times New Roman" w:cs="Times New Roman"/>
          <w:spacing w:val="27"/>
          <w:sz w:val="25"/>
          <w:szCs w:val="25"/>
        </w:rPr>
        <w:t xml:space="preserve"> </w:t>
      </w:r>
      <w:r>
        <w:rPr>
          <w:rFonts w:ascii="仿宋" w:hAnsi="仿宋" w:eastAsia="仿宋" w:cs="仿宋"/>
          <w:spacing w:val="5"/>
          <w:sz w:val="25"/>
          <w:szCs w:val="25"/>
        </w:rPr>
        <w:t>年，矿山数量控制在</w:t>
      </w:r>
      <w:r>
        <w:rPr>
          <w:rFonts w:ascii="仿宋" w:hAnsi="仿宋" w:eastAsia="仿宋" w:cs="仿宋"/>
          <w:spacing w:val="-54"/>
          <w:sz w:val="25"/>
          <w:szCs w:val="25"/>
        </w:rPr>
        <w:t xml:space="preserve"> </w:t>
      </w:r>
      <w:r>
        <w:rPr>
          <w:rFonts w:ascii="Times New Roman" w:hAnsi="Times New Roman" w:eastAsia="Times New Roman" w:cs="Times New Roman"/>
          <w:spacing w:val="5"/>
          <w:sz w:val="25"/>
          <w:szCs w:val="25"/>
        </w:rPr>
        <w:t>28</w:t>
      </w:r>
      <w:r>
        <w:rPr>
          <w:rFonts w:ascii="Times New Roman" w:hAnsi="Times New Roman" w:eastAsia="Times New Roman" w:cs="Times New Roman"/>
          <w:spacing w:val="20"/>
          <w:sz w:val="25"/>
          <w:szCs w:val="25"/>
        </w:rPr>
        <w:t xml:space="preserve"> </w:t>
      </w:r>
      <w:r>
        <w:rPr>
          <w:rFonts w:ascii="仿宋" w:hAnsi="仿宋" w:eastAsia="仿宋" w:cs="仿宋"/>
          <w:spacing w:val="5"/>
          <w:sz w:val="25"/>
          <w:szCs w:val="25"/>
        </w:rPr>
        <w:t>个以内，大中型矿山比例达到</w:t>
      </w:r>
      <w:r>
        <w:rPr>
          <w:rFonts w:ascii="仿宋" w:hAnsi="仿宋" w:eastAsia="仿宋" w:cs="仿宋"/>
          <w:spacing w:val="-46"/>
          <w:sz w:val="25"/>
          <w:szCs w:val="25"/>
        </w:rPr>
        <w:t xml:space="preserve"> </w:t>
      </w:r>
      <w:r>
        <w:rPr>
          <w:rFonts w:ascii="Times New Roman" w:hAnsi="Times New Roman" w:eastAsia="Times New Roman" w:cs="Times New Roman"/>
          <w:spacing w:val="5"/>
          <w:sz w:val="25"/>
          <w:szCs w:val="25"/>
        </w:rPr>
        <w:t>60%</w:t>
      </w:r>
      <w:r>
        <w:rPr>
          <w:rFonts w:ascii="仿宋" w:hAnsi="仿宋" w:eastAsia="仿宋" w:cs="仿宋"/>
          <w:spacing w:val="5"/>
          <w:sz w:val="25"/>
          <w:szCs w:val="25"/>
        </w:rPr>
        <w:t>。</w:t>
      </w:r>
    </w:p>
    <w:p w14:paraId="118E38E4">
      <w:pPr>
        <w:spacing w:before="10" w:line="339" w:lineRule="auto"/>
        <w:ind w:left="11" w:firstLine="527"/>
        <w:jc w:val="both"/>
        <w:rPr>
          <w:rFonts w:ascii="仿宋" w:hAnsi="仿宋" w:eastAsia="仿宋" w:cs="仿宋"/>
          <w:sz w:val="25"/>
          <w:szCs w:val="25"/>
        </w:rPr>
      </w:pPr>
      <w:r>
        <w:rPr>
          <w:rFonts w:ascii="仿宋" w:hAnsi="仿宋" w:eastAsia="仿宋" w:cs="仿宋"/>
          <w:spacing w:val="8"/>
          <w:sz w:val="25"/>
          <w:szCs w:val="25"/>
        </w:rPr>
        <w:t>在实施过程中，</w:t>
      </w:r>
      <w:r>
        <w:rPr>
          <w:rFonts w:ascii="仿宋" w:hAnsi="仿宋" w:eastAsia="仿宋" w:cs="仿宋"/>
          <w:spacing w:val="-75"/>
          <w:sz w:val="25"/>
          <w:szCs w:val="25"/>
        </w:rPr>
        <w:t xml:space="preserve"> </w:t>
      </w:r>
      <w:r>
        <w:rPr>
          <w:rFonts w:ascii="仿宋" w:hAnsi="仿宋" w:eastAsia="仿宋" w:cs="仿宋"/>
          <w:spacing w:val="8"/>
          <w:sz w:val="25"/>
          <w:szCs w:val="25"/>
        </w:rPr>
        <w:t>因黔江区国民经济和社会发展对矿产资源的需求</w:t>
      </w:r>
      <w:r>
        <w:rPr>
          <w:rFonts w:ascii="仿宋" w:hAnsi="仿宋" w:eastAsia="仿宋" w:cs="仿宋"/>
          <w:spacing w:val="7"/>
          <w:sz w:val="25"/>
          <w:szCs w:val="25"/>
        </w:rPr>
        <w:t>发生了变</w:t>
      </w:r>
      <w:r>
        <w:rPr>
          <w:rFonts w:ascii="仿宋" w:hAnsi="仿宋" w:eastAsia="仿宋" w:cs="仿宋"/>
          <w:sz w:val="25"/>
          <w:szCs w:val="25"/>
        </w:rPr>
        <w:t xml:space="preserve"> </w:t>
      </w:r>
      <w:r>
        <w:rPr>
          <w:rFonts w:ascii="仿宋" w:hAnsi="仿宋" w:eastAsia="仿宋" w:cs="仿宋"/>
          <w:spacing w:val="10"/>
          <w:sz w:val="25"/>
          <w:szCs w:val="25"/>
        </w:rPr>
        <w:t>化及地质勘查中有重大发现，需对矿产资源规划进行调</w:t>
      </w:r>
      <w:r>
        <w:rPr>
          <w:rFonts w:ascii="仿宋" w:hAnsi="仿宋" w:eastAsia="仿宋" w:cs="仿宋"/>
          <w:spacing w:val="9"/>
          <w:sz w:val="25"/>
          <w:szCs w:val="25"/>
        </w:rPr>
        <w:t>整及修编。根据《自然</w:t>
      </w:r>
      <w:r>
        <w:rPr>
          <w:rFonts w:ascii="仿宋" w:hAnsi="仿宋" w:eastAsia="仿宋" w:cs="仿宋"/>
          <w:sz w:val="25"/>
          <w:szCs w:val="25"/>
        </w:rPr>
        <w:t xml:space="preserve"> </w:t>
      </w:r>
      <w:r>
        <w:rPr>
          <w:rFonts w:ascii="仿宋" w:hAnsi="仿宋" w:eastAsia="仿宋" w:cs="仿宋"/>
          <w:spacing w:val="6"/>
          <w:sz w:val="25"/>
          <w:szCs w:val="25"/>
        </w:rPr>
        <w:t>资源部关于完善矿产资源规划实施管理有关事项的通知》（</w:t>
      </w:r>
      <w:r>
        <w:rPr>
          <w:rFonts w:ascii="仿宋" w:hAnsi="仿宋" w:eastAsia="仿宋" w:cs="仿宋"/>
          <w:spacing w:val="-22"/>
          <w:sz w:val="25"/>
          <w:szCs w:val="25"/>
        </w:rPr>
        <w:t xml:space="preserve"> </w:t>
      </w:r>
      <w:r>
        <w:rPr>
          <w:rFonts w:ascii="仿宋" w:hAnsi="仿宋" w:eastAsia="仿宋" w:cs="仿宋"/>
          <w:spacing w:val="6"/>
          <w:sz w:val="25"/>
          <w:szCs w:val="25"/>
        </w:rPr>
        <w:t>自然资发〔</w:t>
      </w:r>
      <w:r>
        <w:rPr>
          <w:rFonts w:ascii="Times New Roman" w:hAnsi="Times New Roman" w:eastAsia="Times New Roman" w:cs="Times New Roman"/>
          <w:spacing w:val="6"/>
          <w:sz w:val="25"/>
          <w:szCs w:val="25"/>
        </w:rPr>
        <w:t>2024</w:t>
      </w:r>
      <w:r>
        <w:rPr>
          <w:rFonts w:ascii="仿宋" w:hAnsi="仿宋" w:eastAsia="仿宋" w:cs="仿宋"/>
          <w:spacing w:val="6"/>
          <w:sz w:val="25"/>
          <w:szCs w:val="25"/>
        </w:rPr>
        <w:t>〕</w:t>
      </w:r>
      <w:r>
        <w:rPr>
          <w:rFonts w:ascii="仿宋" w:hAnsi="仿宋" w:eastAsia="仿宋" w:cs="仿宋"/>
          <w:sz w:val="25"/>
          <w:szCs w:val="25"/>
        </w:rPr>
        <w:t xml:space="preserve"> </w:t>
      </w:r>
      <w:r>
        <w:rPr>
          <w:rFonts w:ascii="Times New Roman" w:hAnsi="Times New Roman" w:eastAsia="Times New Roman" w:cs="Times New Roman"/>
          <w:spacing w:val="4"/>
          <w:sz w:val="25"/>
          <w:szCs w:val="25"/>
        </w:rPr>
        <w:t>53</w:t>
      </w:r>
      <w:r>
        <w:rPr>
          <w:rFonts w:ascii="Times New Roman" w:hAnsi="Times New Roman" w:eastAsia="Times New Roman" w:cs="Times New Roman"/>
          <w:spacing w:val="30"/>
          <w:sz w:val="25"/>
          <w:szCs w:val="25"/>
        </w:rPr>
        <w:t xml:space="preserve"> </w:t>
      </w:r>
      <w:r>
        <w:rPr>
          <w:rFonts w:ascii="仿宋" w:hAnsi="仿宋" w:eastAsia="仿宋" w:cs="仿宋"/>
          <w:spacing w:val="4"/>
          <w:sz w:val="25"/>
          <w:szCs w:val="25"/>
        </w:rPr>
        <w:t>号</w:t>
      </w:r>
      <w:r>
        <w:rPr>
          <w:rFonts w:ascii="仿宋" w:hAnsi="仿宋" w:eastAsia="仿宋" w:cs="仿宋"/>
          <w:spacing w:val="9"/>
          <w:sz w:val="25"/>
          <w:szCs w:val="25"/>
        </w:rPr>
        <w:t>）：</w:t>
      </w:r>
      <w:r>
        <w:rPr>
          <w:rFonts w:ascii="仿宋" w:hAnsi="仿宋" w:eastAsia="仿宋" w:cs="仿宋"/>
          <w:spacing w:val="4"/>
          <w:sz w:val="25"/>
          <w:szCs w:val="25"/>
        </w:rPr>
        <w:t>“（</w:t>
      </w:r>
      <w:r>
        <w:rPr>
          <w:rFonts w:ascii="仿宋" w:hAnsi="仿宋" w:eastAsia="仿宋" w:cs="仿宋"/>
          <w:spacing w:val="-38"/>
          <w:sz w:val="25"/>
          <w:szCs w:val="25"/>
        </w:rPr>
        <w:t xml:space="preserve"> </w:t>
      </w:r>
      <w:r>
        <w:rPr>
          <w:rFonts w:ascii="仿宋" w:hAnsi="仿宋" w:eastAsia="仿宋" w:cs="仿宋"/>
          <w:spacing w:val="4"/>
          <w:sz w:val="25"/>
          <w:szCs w:val="25"/>
        </w:rPr>
        <w:t>四）健全规划动态调整机制。根据地质找矿新发现、新成果，或</w:t>
      </w:r>
      <w:r>
        <w:rPr>
          <w:rFonts w:ascii="仿宋" w:hAnsi="仿宋" w:eastAsia="仿宋" w:cs="仿宋"/>
          <w:sz w:val="25"/>
          <w:szCs w:val="25"/>
        </w:rPr>
        <w:t xml:space="preserve"> </w:t>
      </w:r>
      <w:r>
        <w:rPr>
          <w:rFonts w:ascii="仿宋" w:hAnsi="仿宋" w:eastAsia="仿宋" w:cs="仿宋"/>
          <w:spacing w:val="10"/>
          <w:sz w:val="25"/>
          <w:szCs w:val="25"/>
        </w:rPr>
        <w:t>为满足经济社会发展重要用矿需求，确需新增勘查开采</w:t>
      </w:r>
      <w:r>
        <w:rPr>
          <w:rFonts w:ascii="仿宋" w:hAnsi="仿宋" w:eastAsia="仿宋" w:cs="仿宋"/>
          <w:spacing w:val="9"/>
          <w:sz w:val="25"/>
          <w:szCs w:val="25"/>
        </w:rPr>
        <w:t>规划区块，或需对已有</w:t>
      </w:r>
      <w:r>
        <w:rPr>
          <w:rFonts w:ascii="仿宋" w:hAnsi="仿宋" w:eastAsia="仿宋" w:cs="仿宋"/>
          <w:sz w:val="25"/>
          <w:szCs w:val="25"/>
        </w:rPr>
        <w:t xml:space="preserve"> </w:t>
      </w:r>
      <w:r>
        <w:rPr>
          <w:rFonts w:ascii="仿宋" w:hAnsi="仿宋" w:eastAsia="仿宋" w:cs="仿宋"/>
          <w:spacing w:val="8"/>
          <w:sz w:val="25"/>
          <w:szCs w:val="25"/>
        </w:rPr>
        <w:t>勘查开采规划区块进行调整的，在与国土空间规划充分衔接的基础上，</w:t>
      </w:r>
      <w:r>
        <w:rPr>
          <w:rFonts w:ascii="仿宋" w:hAnsi="仿宋" w:eastAsia="仿宋" w:cs="仿宋"/>
          <w:spacing w:val="-67"/>
          <w:sz w:val="25"/>
          <w:szCs w:val="25"/>
        </w:rPr>
        <w:t xml:space="preserve"> </w:t>
      </w:r>
      <w:r>
        <w:rPr>
          <w:rFonts w:ascii="仿宋" w:hAnsi="仿宋" w:eastAsia="仿宋" w:cs="仿宋"/>
          <w:spacing w:val="8"/>
          <w:sz w:val="25"/>
          <w:szCs w:val="25"/>
        </w:rPr>
        <w:t>由规划</w:t>
      </w:r>
      <w:r>
        <w:rPr>
          <w:rFonts w:ascii="仿宋" w:hAnsi="仿宋" w:eastAsia="仿宋" w:cs="仿宋"/>
          <w:sz w:val="25"/>
          <w:szCs w:val="25"/>
        </w:rPr>
        <w:t xml:space="preserve"> </w:t>
      </w:r>
      <w:r>
        <w:rPr>
          <w:rFonts w:ascii="仿宋" w:hAnsi="仿宋" w:eastAsia="仿宋" w:cs="仿宋"/>
          <w:spacing w:val="4"/>
          <w:sz w:val="25"/>
          <w:szCs w:val="25"/>
        </w:rPr>
        <w:t>编制机关提出调整方案</w:t>
      </w:r>
      <w:r>
        <w:rPr>
          <w:rFonts w:ascii="Times New Roman" w:hAnsi="Times New Roman" w:eastAsia="Times New Roman" w:cs="Times New Roman"/>
          <w:spacing w:val="4"/>
          <w:sz w:val="25"/>
          <w:szCs w:val="25"/>
        </w:rPr>
        <w:t>......</w:t>
      </w:r>
      <w:r>
        <w:rPr>
          <w:rFonts w:ascii="Times New Roman" w:hAnsi="Times New Roman" w:eastAsia="Times New Roman" w:cs="Times New Roman"/>
          <w:spacing w:val="-11"/>
          <w:sz w:val="25"/>
          <w:szCs w:val="25"/>
        </w:rPr>
        <w:t xml:space="preserve"> </w:t>
      </w:r>
      <w:r>
        <w:rPr>
          <w:rFonts w:ascii="仿宋" w:hAnsi="仿宋" w:eastAsia="仿宋" w:cs="仿宋"/>
          <w:spacing w:val="4"/>
          <w:sz w:val="25"/>
          <w:szCs w:val="25"/>
        </w:rPr>
        <w:t>”。为进一步规范黔江区矿业权管理，促进矿产资源</w:t>
      </w:r>
      <w:r>
        <w:rPr>
          <w:rFonts w:ascii="仿宋" w:hAnsi="仿宋" w:eastAsia="仿宋" w:cs="仿宋"/>
          <w:sz w:val="25"/>
          <w:szCs w:val="25"/>
        </w:rPr>
        <w:t xml:space="preserve"> </w:t>
      </w:r>
      <w:r>
        <w:rPr>
          <w:rFonts w:ascii="仿宋" w:hAnsi="仿宋" w:eastAsia="仿宋" w:cs="仿宋"/>
          <w:spacing w:val="10"/>
          <w:sz w:val="25"/>
          <w:szCs w:val="25"/>
        </w:rPr>
        <w:t>勘查开发更加合理布局，黔江区规划和自然资源局编制</w:t>
      </w:r>
      <w:r>
        <w:rPr>
          <w:rFonts w:ascii="仿宋" w:hAnsi="仿宋" w:eastAsia="仿宋" w:cs="仿宋"/>
          <w:spacing w:val="9"/>
          <w:sz w:val="25"/>
          <w:szCs w:val="25"/>
        </w:rPr>
        <w:t>了《重庆市黔江区矿产</w:t>
      </w:r>
      <w:r>
        <w:rPr>
          <w:rFonts w:ascii="仿宋" w:hAnsi="仿宋" w:eastAsia="仿宋" w:cs="仿宋"/>
          <w:sz w:val="25"/>
          <w:szCs w:val="25"/>
        </w:rPr>
        <w:t xml:space="preserve"> </w:t>
      </w:r>
      <w:r>
        <w:rPr>
          <w:rFonts w:ascii="仿宋" w:hAnsi="仿宋" w:eastAsia="仿宋" w:cs="仿宋"/>
          <w:spacing w:val="7"/>
          <w:sz w:val="25"/>
          <w:szCs w:val="25"/>
        </w:rPr>
        <w:t>资源总体规划（</w:t>
      </w:r>
      <w:r>
        <w:rPr>
          <w:rFonts w:ascii="Times New Roman" w:hAnsi="Times New Roman" w:eastAsia="Times New Roman" w:cs="Times New Roman"/>
          <w:spacing w:val="7"/>
          <w:sz w:val="25"/>
          <w:szCs w:val="25"/>
        </w:rPr>
        <w:t>2021-2025</w:t>
      </w:r>
      <w:r>
        <w:rPr>
          <w:rFonts w:ascii="Times New Roman" w:hAnsi="Times New Roman" w:eastAsia="Times New Roman" w:cs="Times New Roman"/>
          <w:spacing w:val="32"/>
          <w:sz w:val="25"/>
          <w:szCs w:val="25"/>
        </w:rPr>
        <w:t xml:space="preserve"> </w:t>
      </w:r>
      <w:r>
        <w:rPr>
          <w:rFonts w:ascii="仿宋" w:hAnsi="仿宋" w:eastAsia="仿宋" w:cs="仿宋"/>
          <w:spacing w:val="7"/>
          <w:sz w:val="25"/>
          <w:szCs w:val="25"/>
        </w:rPr>
        <w:t>年）调整论证方案》（简称《规划调整》）。</w:t>
      </w:r>
    </w:p>
    <w:p w14:paraId="3438CDC0">
      <w:pPr>
        <w:spacing w:before="1" w:line="339" w:lineRule="auto"/>
        <w:ind w:left="18" w:right="4" w:firstLine="519"/>
        <w:jc w:val="both"/>
        <w:rPr>
          <w:rFonts w:ascii="仿宋" w:hAnsi="仿宋" w:eastAsia="仿宋" w:cs="仿宋"/>
          <w:sz w:val="25"/>
          <w:szCs w:val="25"/>
        </w:rPr>
      </w:pPr>
      <w:r>
        <w:rPr>
          <w:rFonts w:ascii="仿宋" w:hAnsi="仿宋" w:eastAsia="仿宋" w:cs="仿宋"/>
          <w:spacing w:val="3"/>
          <w:sz w:val="25"/>
          <w:szCs w:val="25"/>
        </w:rPr>
        <w:t>本次《规划调整》</w:t>
      </w:r>
      <w:r>
        <w:rPr>
          <w:rFonts w:ascii="仿宋" w:hAnsi="仿宋" w:eastAsia="仿宋" w:cs="仿宋"/>
          <w:spacing w:val="-52"/>
          <w:sz w:val="25"/>
          <w:szCs w:val="25"/>
        </w:rPr>
        <w:t xml:space="preserve"> </w:t>
      </w:r>
      <w:r>
        <w:rPr>
          <w:rFonts w:ascii="仿宋" w:hAnsi="仿宋" w:eastAsia="仿宋" w:cs="仿宋"/>
          <w:spacing w:val="3"/>
          <w:sz w:val="25"/>
          <w:szCs w:val="25"/>
        </w:rPr>
        <w:t>以</w:t>
      </w:r>
      <w:r>
        <w:rPr>
          <w:rFonts w:ascii="仿宋" w:hAnsi="仿宋" w:eastAsia="仿宋" w:cs="仿宋"/>
          <w:spacing w:val="-54"/>
          <w:sz w:val="25"/>
          <w:szCs w:val="25"/>
        </w:rPr>
        <w:t xml:space="preserve"> </w:t>
      </w:r>
      <w:r>
        <w:rPr>
          <w:rFonts w:ascii="Times New Roman" w:hAnsi="Times New Roman" w:eastAsia="Times New Roman" w:cs="Times New Roman"/>
          <w:spacing w:val="3"/>
          <w:sz w:val="25"/>
          <w:szCs w:val="25"/>
        </w:rPr>
        <w:t>2024</w:t>
      </w:r>
      <w:r>
        <w:rPr>
          <w:rFonts w:ascii="Times New Roman" w:hAnsi="Times New Roman" w:eastAsia="Times New Roman" w:cs="Times New Roman"/>
          <w:spacing w:val="27"/>
          <w:sz w:val="25"/>
          <w:szCs w:val="25"/>
        </w:rPr>
        <w:t xml:space="preserve"> </w:t>
      </w:r>
      <w:r>
        <w:rPr>
          <w:rFonts w:ascii="仿宋" w:hAnsi="仿宋" w:eastAsia="仿宋" w:cs="仿宋"/>
          <w:spacing w:val="3"/>
          <w:sz w:val="25"/>
          <w:szCs w:val="25"/>
        </w:rPr>
        <w:t>年为基期，</w:t>
      </w:r>
      <w:r>
        <w:rPr>
          <w:rFonts w:ascii="仿宋" w:hAnsi="仿宋" w:eastAsia="仿宋" w:cs="仿宋"/>
          <w:spacing w:val="-75"/>
          <w:sz w:val="25"/>
          <w:szCs w:val="25"/>
        </w:rPr>
        <w:t xml:space="preserve"> </w:t>
      </w:r>
      <w:r>
        <w:rPr>
          <w:rFonts w:ascii="仿宋" w:hAnsi="仿宋" w:eastAsia="仿宋" w:cs="仿宋"/>
          <w:spacing w:val="3"/>
          <w:sz w:val="25"/>
          <w:szCs w:val="25"/>
        </w:rPr>
        <w:t>以</w:t>
      </w:r>
      <w:r>
        <w:rPr>
          <w:rFonts w:ascii="仿宋" w:hAnsi="仿宋" w:eastAsia="仿宋" w:cs="仿宋"/>
          <w:spacing w:val="-52"/>
          <w:sz w:val="25"/>
          <w:szCs w:val="25"/>
        </w:rPr>
        <w:t xml:space="preserve"> </w:t>
      </w:r>
      <w:r>
        <w:rPr>
          <w:rFonts w:ascii="Times New Roman" w:hAnsi="Times New Roman" w:eastAsia="Times New Roman" w:cs="Times New Roman"/>
          <w:spacing w:val="3"/>
          <w:sz w:val="25"/>
          <w:szCs w:val="25"/>
        </w:rPr>
        <w:t>2025</w:t>
      </w:r>
      <w:r>
        <w:rPr>
          <w:rFonts w:ascii="Times New Roman" w:hAnsi="Times New Roman" w:eastAsia="Times New Roman" w:cs="Times New Roman"/>
          <w:spacing w:val="27"/>
          <w:sz w:val="25"/>
          <w:szCs w:val="25"/>
        </w:rPr>
        <w:t xml:space="preserve"> </w:t>
      </w:r>
      <w:r>
        <w:rPr>
          <w:rFonts w:ascii="仿宋" w:hAnsi="仿宋" w:eastAsia="仿宋" w:cs="仿宋"/>
          <w:spacing w:val="3"/>
          <w:sz w:val="25"/>
          <w:szCs w:val="25"/>
        </w:rPr>
        <w:t>年为目标年。本次规划调整</w:t>
      </w:r>
      <w:r>
        <w:rPr>
          <w:rFonts w:ascii="仿宋" w:hAnsi="仿宋" w:eastAsia="仿宋" w:cs="仿宋"/>
          <w:sz w:val="25"/>
          <w:szCs w:val="25"/>
        </w:rPr>
        <w:t xml:space="preserve"> </w:t>
      </w:r>
      <w:r>
        <w:rPr>
          <w:rFonts w:ascii="仿宋" w:hAnsi="仿宋" w:eastAsia="仿宋" w:cs="仿宋"/>
          <w:spacing w:val="8"/>
          <w:sz w:val="25"/>
          <w:szCs w:val="25"/>
        </w:rPr>
        <w:t>无新增、优化能源资源基地、</w:t>
      </w:r>
      <w:r>
        <w:rPr>
          <w:rFonts w:ascii="仿宋" w:hAnsi="仿宋" w:eastAsia="仿宋" w:cs="仿宋"/>
          <w:spacing w:val="-72"/>
          <w:sz w:val="25"/>
          <w:szCs w:val="25"/>
        </w:rPr>
        <w:t xml:space="preserve"> </w:t>
      </w:r>
      <w:r>
        <w:rPr>
          <w:rFonts w:ascii="仿宋" w:hAnsi="仿宋" w:eastAsia="仿宋" w:cs="仿宋"/>
          <w:spacing w:val="8"/>
          <w:sz w:val="25"/>
          <w:szCs w:val="25"/>
        </w:rPr>
        <w:t>国家规划矿区、战略性矿产资源</w:t>
      </w:r>
      <w:r>
        <w:rPr>
          <w:rFonts w:ascii="仿宋" w:hAnsi="仿宋" w:eastAsia="仿宋" w:cs="仿宋"/>
          <w:spacing w:val="7"/>
          <w:sz w:val="25"/>
          <w:szCs w:val="25"/>
        </w:rPr>
        <w:t>保护区、重点勘</w:t>
      </w:r>
      <w:r>
        <w:rPr>
          <w:rFonts w:ascii="仿宋" w:hAnsi="仿宋" w:eastAsia="仿宋" w:cs="仿宋"/>
          <w:sz w:val="25"/>
          <w:szCs w:val="25"/>
        </w:rPr>
        <w:t xml:space="preserve"> </w:t>
      </w:r>
      <w:r>
        <w:rPr>
          <w:rFonts w:ascii="仿宋" w:hAnsi="仿宋" w:eastAsia="仿宋" w:cs="仿宋"/>
          <w:spacing w:val="9"/>
          <w:sz w:val="25"/>
          <w:szCs w:val="25"/>
        </w:rPr>
        <w:t>查区、重点开采区、集中开采区及预期性、约束性指标等规划内容的调整，仅</w:t>
      </w:r>
    </w:p>
    <w:p w14:paraId="10FE3C13">
      <w:pPr>
        <w:spacing w:line="339" w:lineRule="auto"/>
        <w:rPr>
          <w:rFonts w:ascii="仿宋" w:hAnsi="仿宋" w:eastAsia="仿宋" w:cs="仿宋"/>
          <w:sz w:val="25"/>
          <w:szCs w:val="25"/>
        </w:rPr>
        <w:sectPr>
          <w:headerReference r:id="rId5" w:type="default"/>
          <w:footerReference r:id="rId6" w:type="default"/>
          <w:pgSz w:w="11906" w:h="16839"/>
          <w:pgMar w:top="1116" w:right="1473" w:bottom="1278" w:left="1587" w:header="683" w:footer="1116" w:gutter="0"/>
          <w:cols w:space="720" w:num="1"/>
        </w:sectPr>
      </w:pPr>
    </w:p>
    <w:p w14:paraId="7C14D28F">
      <w:pPr>
        <w:pStyle w:val="2"/>
        <w:spacing w:line="382" w:lineRule="auto"/>
      </w:pPr>
    </w:p>
    <w:p w14:paraId="083945B2">
      <w:pPr>
        <w:spacing w:before="82" w:line="340" w:lineRule="auto"/>
        <w:ind w:left="10" w:firstLine="9"/>
        <w:jc w:val="both"/>
        <w:rPr>
          <w:rFonts w:ascii="仿宋" w:hAnsi="仿宋" w:eastAsia="仿宋" w:cs="仿宋"/>
          <w:sz w:val="25"/>
          <w:szCs w:val="25"/>
        </w:rPr>
      </w:pPr>
      <w:r>
        <w:rPr>
          <w:rFonts w:ascii="仿宋" w:hAnsi="仿宋" w:eastAsia="仿宋" w:cs="仿宋"/>
          <w:spacing w:val="6"/>
          <w:sz w:val="25"/>
          <w:szCs w:val="25"/>
        </w:rPr>
        <w:t>涉及勘查和开采规划区块内容的调整。本次新增</w:t>
      </w:r>
      <w:r>
        <w:rPr>
          <w:rFonts w:ascii="仿宋" w:hAnsi="仿宋" w:eastAsia="仿宋" w:cs="仿宋"/>
          <w:spacing w:val="-26"/>
          <w:sz w:val="25"/>
          <w:szCs w:val="25"/>
        </w:rPr>
        <w:t xml:space="preserve"> </w:t>
      </w:r>
      <w:r>
        <w:rPr>
          <w:rFonts w:ascii="Times New Roman" w:hAnsi="Times New Roman" w:eastAsia="Times New Roman" w:cs="Times New Roman"/>
          <w:spacing w:val="6"/>
          <w:sz w:val="25"/>
          <w:szCs w:val="25"/>
        </w:rPr>
        <w:t>1</w:t>
      </w:r>
      <w:r>
        <w:rPr>
          <w:rFonts w:ascii="Times New Roman" w:hAnsi="Times New Roman" w:eastAsia="Times New Roman" w:cs="Times New Roman"/>
          <w:spacing w:val="23"/>
          <w:w w:val="101"/>
          <w:sz w:val="25"/>
          <w:szCs w:val="25"/>
        </w:rPr>
        <w:t xml:space="preserve"> </w:t>
      </w:r>
      <w:r>
        <w:rPr>
          <w:rFonts w:ascii="仿宋" w:hAnsi="仿宋" w:eastAsia="仿宋" w:cs="仿宋"/>
          <w:spacing w:val="6"/>
          <w:sz w:val="25"/>
          <w:szCs w:val="25"/>
        </w:rPr>
        <w:t>个勘查规划区块，调整</w:t>
      </w:r>
      <w:r>
        <w:rPr>
          <w:rFonts w:ascii="仿宋" w:hAnsi="仿宋" w:eastAsia="仿宋" w:cs="仿宋"/>
          <w:spacing w:val="-30"/>
          <w:sz w:val="25"/>
          <w:szCs w:val="25"/>
        </w:rPr>
        <w:t xml:space="preserve"> </w:t>
      </w:r>
      <w:r>
        <w:rPr>
          <w:rFonts w:ascii="Times New Roman" w:hAnsi="Times New Roman" w:eastAsia="Times New Roman" w:cs="Times New Roman"/>
          <w:spacing w:val="6"/>
          <w:sz w:val="25"/>
          <w:szCs w:val="25"/>
        </w:rPr>
        <w:t>1</w:t>
      </w:r>
      <w:r>
        <w:rPr>
          <w:rFonts w:ascii="Times New Roman" w:hAnsi="Times New Roman" w:eastAsia="Times New Roman" w:cs="Times New Roman"/>
          <w:spacing w:val="21"/>
          <w:sz w:val="25"/>
          <w:szCs w:val="25"/>
        </w:rPr>
        <w:t xml:space="preserve"> </w:t>
      </w:r>
      <w:r>
        <w:rPr>
          <w:rFonts w:ascii="仿宋" w:hAnsi="仿宋" w:eastAsia="仿宋" w:cs="仿宋"/>
          <w:spacing w:val="6"/>
          <w:sz w:val="25"/>
          <w:szCs w:val="25"/>
        </w:rPr>
        <w:t>个</w:t>
      </w:r>
      <w:r>
        <w:rPr>
          <w:rFonts w:ascii="仿宋" w:hAnsi="仿宋" w:eastAsia="仿宋" w:cs="仿宋"/>
          <w:sz w:val="25"/>
          <w:szCs w:val="25"/>
        </w:rPr>
        <w:t xml:space="preserve"> </w:t>
      </w:r>
      <w:r>
        <w:rPr>
          <w:rFonts w:ascii="仿宋" w:hAnsi="仿宋" w:eastAsia="仿宋" w:cs="仿宋"/>
          <w:spacing w:val="5"/>
          <w:sz w:val="25"/>
          <w:szCs w:val="25"/>
        </w:rPr>
        <w:t>勘查规划区块，取消</w:t>
      </w:r>
      <w:r>
        <w:rPr>
          <w:rFonts w:ascii="仿宋" w:hAnsi="仿宋" w:eastAsia="仿宋" w:cs="仿宋"/>
          <w:spacing w:val="-28"/>
          <w:sz w:val="25"/>
          <w:szCs w:val="25"/>
        </w:rPr>
        <w:t xml:space="preserve"> </w:t>
      </w:r>
      <w:r>
        <w:rPr>
          <w:rFonts w:ascii="Times New Roman" w:hAnsi="Times New Roman" w:eastAsia="Times New Roman" w:cs="Times New Roman"/>
          <w:spacing w:val="5"/>
          <w:sz w:val="25"/>
          <w:szCs w:val="25"/>
        </w:rPr>
        <w:t>1</w:t>
      </w:r>
      <w:r>
        <w:rPr>
          <w:rFonts w:ascii="Times New Roman" w:hAnsi="Times New Roman" w:eastAsia="Times New Roman" w:cs="Times New Roman"/>
          <w:spacing w:val="21"/>
          <w:sz w:val="25"/>
          <w:szCs w:val="25"/>
        </w:rPr>
        <w:t xml:space="preserve"> </w:t>
      </w:r>
      <w:r>
        <w:rPr>
          <w:rFonts w:ascii="仿宋" w:hAnsi="仿宋" w:eastAsia="仿宋" w:cs="仿宋"/>
          <w:spacing w:val="5"/>
          <w:sz w:val="25"/>
          <w:szCs w:val="25"/>
        </w:rPr>
        <w:t>个开采规划区块，调</w:t>
      </w:r>
      <w:r>
        <w:rPr>
          <w:rFonts w:ascii="仿宋" w:hAnsi="仿宋" w:eastAsia="仿宋" w:cs="仿宋"/>
          <w:spacing w:val="4"/>
          <w:sz w:val="25"/>
          <w:szCs w:val="25"/>
        </w:rPr>
        <w:t>整后全区共设置</w:t>
      </w:r>
      <w:r>
        <w:rPr>
          <w:rFonts w:ascii="Times New Roman" w:hAnsi="Times New Roman" w:eastAsia="Times New Roman" w:cs="Times New Roman"/>
          <w:spacing w:val="4"/>
          <w:sz w:val="25"/>
          <w:szCs w:val="25"/>
        </w:rPr>
        <w:t>9</w:t>
      </w:r>
      <w:r>
        <w:rPr>
          <w:rFonts w:ascii="Times New Roman" w:hAnsi="Times New Roman" w:eastAsia="Times New Roman" w:cs="Times New Roman"/>
          <w:spacing w:val="20"/>
          <w:w w:val="101"/>
          <w:sz w:val="25"/>
          <w:szCs w:val="25"/>
        </w:rPr>
        <w:t xml:space="preserve"> </w:t>
      </w:r>
      <w:r>
        <w:rPr>
          <w:rFonts w:ascii="仿宋" w:hAnsi="仿宋" w:eastAsia="仿宋" w:cs="仿宋"/>
          <w:spacing w:val="4"/>
          <w:sz w:val="25"/>
          <w:szCs w:val="25"/>
        </w:rPr>
        <w:t>个勘查规划区块，</w:t>
      </w:r>
      <w:r>
        <w:rPr>
          <w:rFonts w:ascii="仿宋" w:hAnsi="仿宋" w:eastAsia="仿宋" w:cs="仿宋"/>
          <w:sz w:val="25"/>
          <w:szCs w:val="25"/>
        </w:rPr>
        <w:t xml:space="preserve"> </w:t>
      </w:r>
      <w:r>
        <w:rPr>
          <w:rFonts w:ascii="Times New Roman" w:hAnsi="Times New Roman" w:eastAsia="Times New Roman" w:cs="Times New Roman"/>
          <w:spacing w:val="5"/>
          <w:sz w:val="25"/>
          <w:szCs w:val="25"/>
        </w:rPr>
        <w:t>31</w:t>
      </w:r>
      <w:r>
        <w:rPr>
          <w:rFonts w:ascii="Times New Roman" w:hAnsi="Times New Roman" w:eastAsia="Times New Roman" w:cs="Times New Roman"/>
          <w:spacing w:val="23"/>
          <w:w w:val="101"/>
          <w:sz w:val="25"/>
          <w:szCs w:val="25"/>
        </w:rPr>
        <w:t xml:space="preserve"> </w:t>
      </w:r>
      <w:r>
        <w:rPr>
          <w:rFonts w:ascii="仿宋" w:hAnsi="仿宋" w:eastAsia="仿宋" w:cs="仿宋"/>
          <w:spacing w:val="5"/>
          <w:sz w:val="25"/>
          <w:szCs w:val="25"/>
        </w:rPr>
        <w:t>个开采规划区块。到</w:t>
      </w:r>
      <w:r>
        <w:rPr>
          <w:rFonts w:ascii="仿宋" w:hAnsi="仿宋" w:eastAsia="仿宋" w:cs="仿宋"/>
          <w:spacing w:val="-55"/>
          <w:sz w:val="25"/>
          <w:szCs w:val="25"/>
        </w:rPr>
        <w:t xml:space="preserve"> </w:t>
      </w:r>
      <w:r>
        <w:rPr>
          <w:rFonts w:ascii="Times New Roman" w:hAnsi="Times New Roman" w:eastAsia="Times New Roman" w:cs="Times New Roman"/>
          <w:spacing w:val="5"/>
          <w:sz w:val="25"/>
          <w:szCs w:val="25"/>
        </w:rPr>
        <w:t>2025</w:t>
      </w:r>
      <w:r>
        <w:rPr>
          <w:rFonts w:ascii="Times New Roman" w:hAnsi="Times New Roman" w:eastAsia="Times New Roman" w:cs="Times New Roman"/>
          <w:spacing w:val="27"/>
          <w:sz w:val="25"/>
          <w:szCs w:val="25"/>
        </w:rPr>
        <w:t xml:space="preserve"> </w:t>
      </w:r>
      <w:r>
        <w:rPr>
          <w:rFonts w:ascii="仿宋" w:hAnsi="仿宋" w:eastAsia="仿宋" w:cs="仿宋"/>
          <w:spacing w:val="5"/>
          <w:sz w:val="25"/>
          <w:szCs w:val="25"/>
        </w:rPr>
        <w:t>年，矿山数量控制在</w:t>
      </w:r>
      <w:r>
        <w:rPr>
          <w:rFonts w:ascii="仿宋" w:hAnsi="仿宋" w:eastAsia="仿宋" w:cs="仿宋"/>
          <w:spacing w:val="-52"/>
          <w:sz w:val="25"/>
          <w:szCs w:val="25"/>
        </w:rPr>
        <w:t xml:space="preserve"> </w:t>
      </w:r>
      <w:r>
        <w:rPr>
          <w:rFonts w:ascii="Times New Roman" w:hAnsi="Times New Roman" w:eastAsia="Times New Roman" w:cs="Times New Roman"/>
          <w:spacing w:val="5"/>
          <w:sz w:val="25"/>
          <w:szCs w:val="25"/>
        </w:rPr>
        <w:t>28</w:t>
      </w:r>
      <w:r>
        <w:rPr>
          <w:rFonts w:ascii="Times New Roman" w:hAnsi="Times New Roman" w:eastAsia="Times New Roman" w:cs="Times New Roman"/>
          <w:spacing w:val="20"/>
          <w:w w:val="101"/>
          <w:sz w:val="25"/>
          <w:szCs w:val="25"/>
        </w:rPr>
        <w:t xml:space="preserve"> </w:t>
      </w:r>
      <w:r>
        <w:rPr>
          <w:rFonts w:ascii="仿宋" w:hAnsi="仿宋" w:eastAsia="仿宋" w:cs="仿宋"/>
          <w:spacing w:val="5"/>
          <w:sz w:val="25"/>
          <w:szCs w:val="25"/>
        </w:rPr>
        <w:t>个以内，建筑</w:t>
      </w:r>
      <w:r>
        <w:rPr>
          <w:rFonts w:ascii="仿宋" w:hAnsi="仿宋" w:eastAsia="仿宋" w:cs="仿宋"/>
          <w:spacing w:val="4"/>
          <w:sz w:val="25"/>
          <w:szCs w:val="25"/>
        </w:rPr>
        <w:t>石料用灰岩</w:t>
      </w:r>
      <w:r>
        <w:rPr>
          <w:rFonts w:ascii="仿宋" w:hAnsi="仿宋" w:eastAsia="仿宋" w:cs="仿宋"/>
          <w:sz w:val="25"/>
          <w:szCs w:val="25"/>
        </w:rPr>
        <w:t xml:space="preserve"> </w:t>
      </w:r>
      <w:r>
        <w:rPr>
          <w:rFonts w:ascii="仿宋" w:hAnsi="仿宋" w:eastAsia="仿宋" w:cs="仿宋"/>
          <w:spacing w:val="9"/>
          <w:sz w:val="25"/>
          <w:szCs w:val="25"/>
        </w:rPr>
        <w:t>总产能不超过</w:t>
      </w:r>
      <w:r>
        <w:rPr>
          <w:rFonts w:ascii="仿宋" w:hAnsi="仿宋" w:eastAsia="仿宋" w:cs="仿宋"/>
          <w:spacing w:val="-43"/>
          <w:sz w:val="25"/>
          <w:szCs w:val="25"/>
        </w:rPr>
        <w:t xml:space="preserve"> </w:t>
      </w:r>
      <w:r>
        <w:rPr>
          <w:rFonts w:ascii="Times New Roman" w:hAnsi="Times New Roman" w:eastAsia="Times New Roman" w:cs="Times New Roman"/>
          <w:spacing w:val="9"/>
          <w:sz w:val="25"/>
          <w:szCs w:val="25"/>
        </w:rPr>
        <w:t>700</w:t>
      </w:r>
      <w:r>
        <w:rPr>
          <w:rFonts w:ascii="Times New Roman" w:hAnsi="Times New Roman" w:eastAsia="Times New Roman" w:cs="Times New Roman"/>
          <w:spacing w:val="24"/>
          <w:w w:val="101"/>
          <w:sz w:val="25"/>
          <w:szCs w:val="25"/>
        </w:rPr>
        <w:t xml:space="preserve"> </w:t>
      </w:r>
      <w:r>
        <w:rPr>
          <w:rFonts w:ascii="仿宋" w:hAnsi="仿宋" w:eastAsia="仿宋" w:cs="仿宋"/>
          <w:spacing w:val="9"/>
          <w:sz w:val="25"/>
          <w:szCs w:val="25"/>
        </w:rPr>
        <w:t>万吨，水泥用灰岩总产能不超过</w:t>
      </w:r>
      <w:r>
        <w:rPr>
          <w:rFonts w:ascii="Times New Roman" w:hAnsi="Times New Roman" w:eastAsia="Times New Roman" w:cs="Times New Roman"/>
          <w:spacing w:val="9"/>
          <w:sz w:val="25"/>
          <w:szCs w:val="25"/>
        </w:rPr>
        <w:t>350</w:t>
      </w:r>
      <w:r>
        <w:rPr>
          <w:rFonts w:ascii="Times New Roman" w:hAnsi="Times New Roman" w:eastAsia="Times New Roman" w:cs="Times New Roman"/>
          <w:spacing w:val="21"/>
          <w:w w:val="101"/>
          <w:sz w:val="25"/>
          <w:szCs w:val="25"/>
        </w:rPr>
        <w:t xml:space="preserve"> </w:t>
      </w:r>
      <w:r>
        <w:rPr>
          <w:rFonts w:ascii="仿宋" w:hAnsi="仿宋" w:eastAsia="仿宋" w:cs="仿宋"/>
          <w:spacing w:val="9"/>
          <w:sz w:val="25"/>
          <w:szCs w:val="25"/>
        </w:rPr>
        <w:t>万吨，大中型矿山比例</w:t>
      </w:r>
      <w:r>
        <w:rPr>
          <w:rFonts w:ascii="仿宋" w:hAnsi="仿宋" w:eastAsia="仿宋" w:cs="仿宋"/>
          <w:sz w:val="25"/>
          <w:szCs w:val="25"/>
        </w:rPr>
        <w:t xml:space="preserve"> </w:t>
      </w:r>
      <w:r>
        <w:rPr>
          <w:rFonts w:ascii="仿宋" w:hAnsi="仿宋" w:eastAsia="仿宋" w:cs="仿宋"/>
          <w:spacing w:val="6"/>
          <w:sz w:val="25"/>
          <w:szCs w:val="25"/>
        </w:rPr>
        <w:t>达到</w:t>
      </w:r>
      <w:r>
        <w:rPr>
          <w:rFonts w:ascii="Times New Roman" w:hAnsi="Times New Roman" w:eastAsia="Times New Roman" w:cs="Times New Roman"/>
          <w:spacing w:val="6"/>
          <w:sz w:val="25"/>
          <w:szCs w:val="25"/>
        </w:rPr>
        <w:t>60%</w:t>
      </w:r>
      <w:r>
        <w:rPr>
          <w:rFonts w:ascii="仿宋" w:hAnsi="仿宋" w:eastAsia="仿宋" w:cs="仿宋"/>
          <w:spacing w:val="6"/>
          <w:sz w:val="25"/>
          <w:szCs w:val="25"/>
        </w:rPr>
        <w:t>以上，符合技术要求及市级规划要求。未调整部分按原规划进行实</w:t>
      </w:r>
      <w:r>
        <w:rPr>
          <w:rFonts w:ascii="仿宋" w:hAnsi="仿宋" w:eastAsia="仿宋" w:cs="仿宋"/>
          <w:spacing w:val="5"/>
          <w:sz w:val="25"/>
          <w:szCs w:val="25"/>
        </w:rPr>
        <w:t>施。</w:t>
      </w:r>
    </w:p>
    <w:p w14:paraId="32791E0D">
      <w:pPr>
        <w:spacing w:before="8" w:line="339" w:lineRule="auto"/>
        <w:ind w:left="15" w:right="38" w:firstLine="522"/>
        <w:jc w:val="both"/>
        <w:rPr>
          <w:rFonts w:ascii="仿宋" w:hAnsi="仿宋" w:eastAsia="仿宋" w:cs="仿宋"/>
          <w:sz w:val="25"/>
          <w:szCs w:val="25"/>
        </w:rPr>
      </w:pPr>
      <w:r>
        <w:rPr>
          <w:rFonts w:ascii="仿宋" w:hAnsi="仿宋" w:eastAsia="仿宋" w:cs="仿宋"/>
          <w:spacing w:val="9"/>
          <w:sz w:val="25"/>
          <w:szCs w:val="25"/>
        </w:rPr>
        <w:t>根据《重庆市规划和自然资源局 重庆市生态环境局 关于进一步规范矿产</w:t>
      </w:r>
      <w:r>
        <w:rPr>
          <w:rFonts w:ascii="仿宋" w:hAnsi="仿宋" w:eastAsia="仿宋" w:cs="仿宋"/>
          <w:spacing w:val="6"/>
          <w:sz w:val="25"/>
          <w:szCs w:val="25"/>
        </w:rPr>
        <w:t xml:space="preserve"> 资源规划实施管理的通知》（渝规资〔</w:t>
      </w:r>
      <w:r>
        <w:rPr>
          <w:rFonts w:ascii="Times New Roman" w:hAnsi="Times New Roman" w:eastAsia="Times New Roman" w:cs="Times New Roman"/>
          <w:spacing w:val="6"/>
          <w:sz w:val="25"/>
          <w:szCs w:val="25"/>
        </w:rPr>
        <w:t>2025</w:t>
      </w:r>
      <w:r>
        <w:rPr>
          <w:rFonts w:ascii="仿宋" w:hAnsi="仿宋" w:eastAsia="仿宋" w:cs="仿宋"/>
          <w:spacing w:val="6"/>
          <w:sz w:val="25"/>
          <w:szCs w:val="25"/>
        </w:rPr>
        <w:t>〕</w:t>
      </w:r>
      <w:r>
        <w:rPr>
          <w:rFonts w:ascii="Times New Roman" w:hAnsi="Times New Roman" w:eastAsia="Times New Roman" w:cs="Times New Roman"/>
          <w:spacing w:val="6"/>
          <w:sz w:val="25"/>
          <w:szCs w:val="25"/>
        </w:rPr>
        <w:t>119</w:t>
      </w:r>
      <w:r>
        <w:rPr>
          <w:rFonts w:ascii="Times New Roman" w:hAnsi="Times New Roman" w:eastAsia="Times New Roman" w:cs="Times New Roman"/>
          <w:spacing w:val="28"/>
          <w:sz w:val="25"/>
          <w:szCs w:val="25"/>
        </w:rPr>
        <w:t xml:space="preserve"> </w:t>
      </w:r>
      <w:r>
        <w:rPr>
          <w:rFonts w:ascii="仿宋" w:hAnsi="仿宋" w:eastAsia="仿宋" w:cs="仿宋"/>
          <w:spacing w:val="6"/>
          <w:sz w:val="25"/>
          <w:szCs w:val="25"/>
        </w:rPr>
        <w:t>号</w:t>
      </w:r>
      <w:r>
        <w:rPr>
          <w:rFonts w:ascii="仿宋" w:hAnsi="仿宋" w:eastAsia="仿宋" w:cs="仿宋"/>
          <w:spacing w:val="8"/>
          <w:sz w:val="25"/>
          <w:szCs w:val="25"/>
        </w:rPr>
        <w:t>）：</w:t>
      </w:r>
      <w:r>
        <w:rPr>
          <w:rFonts w:ascii="Times New Roman" w:hAnsi="Times New Roman" w:eastAsia="Times New Roman" w:cs="Times New Roman"/>
          <w:spacing w:val="6"/>
          <w:sz w:val="25"/>
          <w:szCs w:val="25"/>
        </w:rPr>
        <w:t>“</w:t>
      </w:r>
      <w:r>
        <w:rPr>
          <w:rFonts w:ascii="Times New Roman" w:hAnsi="Times New Roman" w:eastAsia="Times New Roman" w:cs="Times New Roman"/>
          <w:spacing w:val="-38"/>
          <w:sz w:val="25"/>
          <w:szCs w:val="25"/>
        </w:rPr>
        <w:t xml:space="preserve"> </w:t>
      </w:r>
      <w:r>
        <w:rPr>
          <w:rFonts w:ascii="仿宋" w:hAnsi="仿宋" w:eastAsia="仿宋" w:cs="仿宋"/>
          <w:spacing w:val="6"/>
          <w:sz w:val="25"/>
          <w:szCs w:val="25"/>
        </w:rPr>
        <w:t>三、</w:t>
      </w:r>
      <w:r>
        <w:rPr>
          <w:rFonts w:ascii="仿宋" w:hAnsi="仿宋" w:eastAsia="仿宋" w:cs="仿宋"/>
          <w:spacing w:val="5"/>
          <w:sz w:val="25"/>
          <w:szCs w:val="25"/>
        </w:rPr>
        <w:t>动态优化矿产资</w:t>
      </w:r>
      <w:r>
        <w:rPr>
          <w:rFonts w:ascii="仿宋" w:hAnsi="仿宋" w:eastAsia="仿宋" w:cs="仿宋"/>
          <w:sz w:val="25"/>
          <w:szCs w:val="25"/>
        </w:rPr>
        <w:t xml:space="preserve"> </w:t>
      </w:r>
      <w:r>
        <w:rPr>
          <w:rFonts w:ascii="仿宋" w:hAnsi="仿宋" w:eastAsia="仿宋" w:cs="仿宋"/>
          <w:spacing w:val="8"/>
          <w:sz w:val="25"/>
          <w:szCs w:val="25"/>
        </w:rPr>
        <w:t>源规划（</w:t>
      </w:r>
      <w:r>
        <w:rPr>
          <w:rFonts w:ascii="仿宋" w:hAnsi="仿宋" w:eastAsia="仿宋" w:cs="仿宋"/>
          <w:spacing w:val="-59"/>
          <w:sz w:val="25"/>
          <w:szCs w:val="25"/>
        </w:rPr>
        <w:t xml:space="preserve"> </w:t>
      </w:r>
      <w:r>
        <w:rPr>
          <w:rFonts w:ascii="仿宋" w:hAnsi="仿宋" w:eastAsia="仿宋" w:cs="仿宋"/>
          <w:spacing w:val="8"/>
          <w:sz w:val="25"/>
          <w:szCs w:val="25"/>
        </w:rPr>
        <w:t>二）开展勘查开采规划区块调整的，按照</w:t>
      </w:r>
      <w:r>
        <w:rPr>
          <w:rFonts w:ascii="仿宋" w:hAnsi="仿宋" w:eastAsia="仿宋" w:cs="仿宋"/>
          <w:spacing w:val="7"/>
          <w:sz w:val="25"/>
          <w:szCs w:val="25"/>
        </w:rPr>
        <w:t>规定编制勘查开采规划区块</w:t>
      </w:r>
      <w:r>
        <w:rPr>
          <w:rFonts w:ascii="仿宋" w:hAnsi="仿宋" w:eastAsia="仿宋" w:cs="仿宋"/>
          <w:sz w:val="25"/>
          <w:szCs w:val="25"/>
        </w:rPr>
        <w:t xml:space="preserve"> </w:t>
      </w:r>
      <w:r>
        <w:rPr>
          <w:rFonts w:ascii="仿宋" w:hAnsi="仿宋" w:eastAsia="仿宋" w:cs="仿宋"/>
          <w:spacing w:val="10"/>
          <w:sz w:val="25"/>
          <w:szCs w:val="25"/>
        </w:rPr>
        <w:t>调整方案及规划补充环境影响报告书。规划补</w:t>
      </w:r>
      <w:r>
        <w:rPr>
          <w:rFonts w:ascii="仿宋" w:hAnsi="仿宋" w:eastAsia="仿宋" w:cs="仿宋"/>
          <w:spacing w:val="9"/>
          <w:sz w:val="25"/>
          <w:szCs w:val="25"/>
        </w:rPr>
        <w:t>充环境影响报告书经市生态环境</w:t>
      </w:r>
      <w:r>
        <w:rPr>
          <w:rFonts w:ascii="仿宋" w:hAnsi="仿宋" w:eastAsia="仿宋" w:cs="仿宋"/>
          <w:sz w:val="25"/>
          <w:szCs w:val="25"/>
        </w:rPr>
        <w:t xml:space="preserve"> </w:t>
      </w:r>
      <w:r>
        <w:rPr>
          <w:rFonts w:ascii="仿宋" w:hAnsi="仿宋" w:eastAsia="仿宋" w:cs="仿宋"/>
          <w:spacing w:val="10"/>
          <w:sz w:val="25"/>
          <w:szCs w:val="25"/>
        </w:rPr>
        <w:t>部门审查后，与经区县人民政府审核后的勘查</w:t>
      </w:r>
      <w:r>
        <w:rPr>
          <w:rFonts w:ascii="仿宋" w:hAnsi="仿宋" w:eastAsia="仿宋" w:cs="仿宋"/>
          <w:spacing w:val="9"/>
          <w:sz w:val="25"/>
          <w:szCs w:val="25"/>
        </w:rPr>
        <w:t>开采规划区块调整方案一并报市</w:t>
      </w:r>
      <w:r>
        <w:rPr>
          <w:rFonts w:ascii="仿宋" w:hAnsi="仿宋" w:eastAsia="仿宋" w:cs="仿宋"/>
          <w:sz w:val="25"/>
          <w:szCs w:val="25"/>
        </w:rPr>
        <w:t xml:space="preserve"> </w:t>
      </w:r>
      <w:r>
        <w:rPr>
          <w:rFonts w:ascii="仿宋" w:hAnsi="仿宋" w:eastAsia="仿宋" w:cs="仿宋"/>
          <w:spacing w:val="8"/>
          <w:sz w:val="25"/>
          <w:szCs w:val="25"/>
        </w:rPr>
        <w:t>规划自然资源部门检查通过后上图入库。</w:t>
      </w:r>
      <w:r>
        <w:rPr>
          <w:rFonts w:ascii="Times New Roman" w:hAnsi="Times New Roman" w:eastAsia="Times New Roman" w:cs="Times New Roman"/>
          <w:spacing w:val="8"/>
          <w:sz w:val="25"/>
          <w:szCs w:val="25"/>
        </w:rPr>
        <w:t>”</w:t>
      </w:r>
      <w:r>
        <w:rPr>
          <w:rFonts w:ascii="仿宋" w:hAnsi="仿宋" w:eastAsia="仿宋" w:cs="仿宋"/>
          <w:spacing w:val="8"/>
          <w:sz w:val="25"/>
          <w:szCs w:val="25"/>
        </w:rPr>
        <w:t>本次调</w:t>
      </w:r>
      <w:r>
        <w:rPr>
          <w:rFonts w:ascii="仿宋" w:hAnsi="仿宋" w:eastAsia="仿宋" w:cs="仿宋"/>
          <w:spacing w:val="7"/>
          <w:sz w:val="25"/>
          <w:szCs w:val="25"/>
        </w:rPr>
        <w:t>整工作需进行环境影响评价，</w:t>
      </w:r>
      <w:r>
        <w:rPr>
          <w:rFonts w:ascii="仿宋" w:hAnsi="仿宋" w:eastAsia="仿宋" w:cs="仿宋"/>
          <w:sz w:val="25"/>
          <w:szCs w:val="25"/>
        </w:rPr>
        <w:t xml:space="preserve"> </w:t>
      </w:r>
      <w:r>
        <w:rPr>
          <w:rFonts w:ascii="仿宋" w:hAnsi="仿宋" w:eastAsia="仿宋" w:cs="仿宋"/>
          <w:spacing w:val="10"/>
          <w:sz w:val="25"/>
          <w:szCs w:val="25"/>
        </w:rPr>
        <w:t>编制类型为补充环境影响报告书，并呈报生态</w:t>
      </w:r>
      <w:r>
        <w:rPr>
          <w:rFonts w:ascii="仿宋" w:hAnsi="仿宋" w:eastAsia="仿宋" w:cs="仿宋"/>
          <w:spacing w:val="9"/>
          <w:sz w:val="25"/>
          <w:szCs w:val="25"/>
        </w:rPr>
        <w:t>环境主管部门审查备案。黔江区</w:t>
      </w:r>
      <w:r>
        <w:rPr>
          <w:rFonts w:ascii="仿宋" w:hAnsi="仿宋" w:eastAsia="仿宋" w:cs="仿宋"/>
          <w:sz w:val="25"/>
          <w:szCs w:val="25"/>
        </w:rPr>
        <w:t xml:space="preserve"> </w:t>
      </w:r>
      <w:r>
        <w:rPr>
          <w:rFonts w:ascii="仿宋" w:hAnsi="仿宋" w:eastAsia="仿宋" w:cs="仿宋"/>
          <w:spacing w:val="2"/>
          <w:sz w:val="25"/>
          <w:szCs w:val="25"/>
        </w:rPr>
        <w:t>规划和自然资源局特委托我单位对规划调整进行环境影响评价，并编制本次《重</w:t>
      </w:r>
      <w:r>
        <w:rPr>
          <w:rFonts w:ascii="仿宋" w:hAnsi="仿宋" w:eastAsia="仿宋" w:cs="仿宋"/>
          <w:spacing w:val="6"/>
          <w:sz w:val="25"/>
          <w:szCs w:val="25"/>
        </w:rPr>
        <w:t xml:space="preserve"> </w:t>
      </w:r>
      <w:r>
        <w:rPr>
          <w:rFonts w:ascii="仿宋" w:hAnsi="仿宋" w:eastAsia="仿宋" w:cs="仿宋"/>
          <w:spacing w:val="7"/>
          <w:sz w:val="25"/>
          <w:szCs w:val="25"/>
        </w:rPr>
        <w:t>庆市黔江区矿产资源总体规划（</w:t>
      </w:r>
      <w:r>
        <w:rPr>
          <w:rFonts w:ascii="Times New Roman" w:hAnsi="Times New Roman" w:eastAsia="Times New Roman" w:cs="Times New Roman"/>
          <w:spacing w:val="7"/>
          <w:sz w:val="25"/>
          <w:szCs w:val="25"/>
        </w:rPr>
        <w:t>2021-2025</w:t>
      </w:r>
      <w:r>
        <w:rPr>
          <w:rFonts w:ascii="Times New Roman" w:hAnsi="Times New Roman" w:eastAsia="Times New Roman" w:cs="Times New Roman"/>
          <w:spacing w:val="24"/>
          <w:w w:val="101"/>
          <w:sz w:val="25"/>
          <w:szCs w:val="25"/>
        </w:rPr>
        <w:t xml:space="preserve"> </w:t>
      </w:r>
      <w:r>
        <w:rPr>
          <w:rFonts w:ascii="仿宋" w:hAnsi="仿宋" w:eastAsia="仿宋" w:cs="仿宋"/>
          <w:spacing w:val="7"/>
          <w:sz w:val="25"/>
          <w:szCs w:val="25"/>
        </w:rPr>
        <w:t>年）补充环境影响报告书》。</w:t>
      </w:r>
    </w:p>
    <w:p w14:paraId="6EB7FB06">
      <w:pPr>
        <w:spacing w:before="5" w:line="339" w:lineRule="auto"/>
        <w:ind w:left="16" w:right="90" w:firstLine="521"/>
        <w:jc w:val="both"/>
        <w:rPr>
          <w:rFonts w:ascii="仿宋" w:hAnsi="仿宋" w:eastAsia="仿宋" w:cs="仿宋"/>
          <w:sz w:val="25"/>
          <w:szCs w:val="25"/>
        </w:rPr>
      </w:pPr>
      <w:r>
        <w:rPr>
          <w:rFonts w:ascii="仿宋" w:hAnsi="仿宋" w:eastAsia="仿宋" w:cs="仿宋"/>
          <w:spacing w:val="9"/>
          <w:sz w:val="25"/>
          <w:szCs w:val="25"/>
        </w:rPr>
        <w:t>本次评价将对规划当前的实施情况进行回顾性评价，分析规划调整内容是</w:t>
      </w:r>
      <w:r>
        <w:rPr>
          <w:rFonts w:ascii="仿宋" w:hAnsi="仿宋" w:eastAsia="仿宋" w:cs="仿宋"/>
          <w:spacing w:val="15"/>
          <w:sz w:val="25"/>
          <w:szCs w:val="25"/>
        </w:rPr>
        <w:t xml:space="preserve"> </w:t>
      </w:r>
      <w:r>
        <w:rPr>
          <w:rFonts w:ascii="仿宋" w:hAnsi="仿宋" w:eastAsia="仿宋" w:cs="仿宋"/>
          <w:spacing w:val="10"/>
          <w:sz w:val="25"/>
          <w:szCs w:val="25"/>
        </w:rPr>
        <w:t>否仍符合最新的产业政策及环保要求，分析</w:t>
      </w:r>
      <w:r>
        <w:rPr>
          <w:rFonts w:ascii="仿宋" w:hAnsi="仿宋" w:eastAsia="仿宋" w:cs="仿宋"/>
          <w:spacing w:val="9"/>
          <w:sz w:val="25"/>
          <w:szCs w:val="25"/>
        </w:rPr>
        <w:t>规划调整内容实施过程中产生的环</w:t>
      </w:r>
      <w:r>
        <w:rPr>
          <w:rFonts w:ascii="仿宋" w:hAnsi="仿宋" w:eastAsia="仿宋" w:cs="仿宋"/>
          <w:sz w:val="25"/>
          <w:szCs w:val="25"/>
        </w:rPr>
        <w:t xml:space="preserve"> </w:t>
      </w:r>
      <w:r>
        <w:rPr>
          <w:rFonts w:ascii="仿宋" w:hAnsi="仿宋" w:eastAsia="仿宋" w:cs="仿宋"/>
          <w:spacing w:val="10"/>
          <w:sz w:val="25"/>
          <w:szCs w:val="25"/>
        </w:rPr>
        <w:t>境问题和环境影响，并在此基础上评价规划</w:t>
      </w:r>
      <w:r>
        <w:rPr>
          <w:rFonts w:ascii="仿宋" w:hAnsi="仿宋" w:eastAsia="仿宋" w:cs="仿宋"/>
          <w:spacing w:val="9"/>
          <w:sz w:val="25"/>
          <w:szCs w:val="25"/>
        </w:rPr>
        <w:t>调整项目对规划整体环境影响所造</w:t>
      </w:r>
      <w:r>
        <w:rPr>
          <w:rFonts w:ascii="仿宋" w:hAnsi="仿宋" w:eastAsia="仿宋" w:cs="仿宋"/>
          <w:sz w:val="25"/>
          <w:szCs w:val="25"/>
        </w:rPr>
        <w:t xml:space="preserve"> </w:t>
      </w:r>
      <w:r>
        <w:rPr>
          <w:rFonts w:ascii="仿宋" w:hAnsi="仿宋" w:eastAsia="仿宋" w:cs="仿宋"/>
          <w:spacing w:val="10"/>
          <w:sz w:val="25"/>
          <w:szCs w:val="25"/>
        </w:rPr>
        <w:t>成的变化情况。其余本次规划调整未涉及内</w:t>
      </w:r>
      <w:r>
        <w:rPr>
          <w:rFonts w:ascii="仿宋" w:hAnsi="仿宋" w:eastAsia="仿宋" w:cs="仿宋"/>
          <w:spacing w:val="9"/>
          <w:sz w:val="25"/>
          <w:szCs w:val="25"/>
        </w:rPr>
        <w:t>容的相关影响分析结论、管控要求</w:t>
      </w:r>
      <w:r>
        <w:rPr>
          <w:rFonts w:ascii="仿宋" w:hAnsi="仿宋" w:eastAsia="仿宋" w:cs="仿宋"/>
          <w:sz w:val="25"/>
          <w:szCs w:val="25"/>
        </w:rPr>
        <w:t xml:space="preserve"> </w:t>
      </w:r>
      <w:r>
        <w:rPr>
          <w:rFonts w:ascii="仿宋" w:hAnsi="仿宋" w:eastAsia="仿宋" w:cs="仿宋"/>
          <w:spacing w:val="10"/>
          <w:sz w:val="25"/>
          <w:szCs w:val="25"/>
        </w:rPr>
        <w:t>维持原《重庆市黔江区矿产资源总体规划（</w:t>
      </w:r>
      <w:r>
        <w:rPr>
          <w:rFonts w:ascii="Times New Roman" w:hAnsi="Times New Roman" w:eastAsia="Times New Roman" w:cs="Times New Roman"/>
          <w:spacing w:val="10"/>
          <w:sz w:val="25"/>
          <w:szCs w:val="25"/>
        </w:rPr>
        <w:t>2021-2025</w:t>
      </w:r>
      <w:r>
        <w:rPr>
          <w:rFonts w:ascii="Times New Roman" w:hAnsi="Times New Roman" w:eastAsia="Times New Roman" w:cs="Times New Roman"/>
          <w:spacing w:val="35"/>
          <w:sz w:val="25"/>
          <w:szCs w:val="25"/>
        </w:rPr>
        <w:t xml:space="preserve"> </w:t>
      </w:r>
      <w:r>
        <w:rPr>
          <w:rFonts w:ascii="仿宋" w:hAnsi="仿宋" w:eastAsia="仿宋" w:cs="仿宋"/>
          <w:spacing w:val="10"/>
          <w:sz w:val="25"/>
          <w:szCs w:val="25"/>
        </w:rPr>
        <w:t>年）环境影响报告书》</w:t>
      </w:r>
      <w:r>
        <w:rPr>
          <w:rFonts w:ascii="仿宋" w:hAnsi="仿宋" w:eastAsia="仿宋" w:cs="仿宋"/>
          <w:sz w:val="25"/>
          <w:szCs w:val="25"/>
        </w:rPr>
        <w:t xml:space="preserve"> </w:t>
      </w:r>
      <w:r>
        <w:rPr>
          <w:rFonts w:ascii="仿宋" w:hAnsi="仿宋" w:eastAsia="仿宋" w:cs="仿宋"/>
          <w:spacing w:val="7"/>
          <w:sz w:val="25"/>
          <w:szCs w:val="25"/>
        </w:rPr>
        <w:t>和审查意见函的相应内容。</w:t>
      </w:r>
    </w:p>
    <w:p w14:paraId="159820EC">
      <w:pPr>
        <w:spacing w:before="3" w:line="339" w:lineRule="auto"/>
        <w:ind w:left="15" w:right="6" w:firstLine="522"/>
        <w:jc w:val="both"/>
        <w:rPr>
          <w:rFonts w:ascii="仿宋" w:hAnsi="仿宋" w:eastAsia="仿宋" w:cs="仿宋"/>
          <w:sz w:val="25"/>
          <w:szCs w:val="25"/>
        </w:rPr>
      </w:pPr>
      <w:r>
        <w:rPr>
          <w:rFonts w:ascii="仿宋" w:hAnsi="仿宋" w:eastAsia="仿宋" w:cs="仿宋"/>
          <w:spacing w:val="9"/>
          <w:sz w:val="25"/>
          <w:szCs w:val="25"/>
        </w:rPr>
        <w:t>本次规划环境影响报告书编制过程中，得到了重庆市生态环境局、重庆市</w:t>
      </w:r>
      <w:r>
        <w:rPr>
          <w:rFonts w:ascii="仿宋" w:hAnsi="仿宋" w:eastAsia="仿宋" w:cs="仿宋"/>
          <w:spacing w:val="15"/>
          <w:sz w:val="25"/>
          <w:szCs w:val="25"/>
        </w:rPr>
        <w:t xml:space="preserve"> </w:t>
      </w:r>
      <w:r>
        <w:rPr>
          <w:rFonts w:ascii="仿宋" w:hAnsi="仿宋" w:eastAsia="仿宋" w:cs="仿宋"/>
          <w:spacing w:val="5"/>
          <w:sz w:val="25"/>
          <w:szCs w:val="25"/>
        </w:rPr>
        <w:t>规划和自然资源局、重庆市生态环境工程评估</w:t>
      </w:r>
      <w:r>
        <w:rPr>
          <w:rFonts w:ascii="仿宋" w:hAnsi="仿宋" w:eastAsia="仿宋" w:cs="仿宋"/>
          <w:spacing w:val="4"/>
          <w:sz w:val="25"/>
          <w:szCs w:val="25"/>
        </w:rPr>
        <w:t>中心、黔江区规划和自然资源局、</w:t>
      </w:r>
      <w:r>
        <w:rPr>
          <w:rFonts w:ascii="仿宋" w:hAnsi="仿宋" w:eastAsia="仿宋" w:cs="仿宋"/>
          <w:sz w:val="25"/>
          <w:szCs w:val="25"/>
        </w:rPr>
        <w:t xml:space="preserve"> </w:t>
      </w:r>
      <w:r>
        <w:rPr>
          <w:rFonts w:ascii="仿宋" w:hAnsi="仿宋" w:eastAsia="仿宋" w:cs="仿宋"/>
          <w:spacing w:val="10"/>
          <w:sz w:val="25"/>
          <w:szCs w:val="25"/>
        </w:rPr>
        <w:t>黔江区生态环境局、区林业局、区交通局、区</w:t>
      </w:r>
      <w:r>
        <w:rPr>
          <w:rFonts w:ascii="仿宋" w:hAnsi="仿宋" w:eastAsia="仿宋" w:cs="仿宋"/>
          <w:spacing w:val="9"/>
          <w:sz w:val="25"/>
          <w:szCs w:val="25"/>
        </w:rPr>
        <w:t>水利局、区文旅委等单位及专家</w:t>
      </w:r>
      <w:r>
        <w:rPr>
          <w:rFonts w:ascii="仿宋" w:hAnsi="仿宋" w:eastAsia="仿宋" w:cs="仿宋"/>
          <w:sz w:val="25"/>
          <w:szCs w:val="25"/>
        </w:rPr>
        <w:t xml:space="preserve"> </w:t>
      </w:r>
      <w:r>
        <w:rPr>
          <w:rFonts w:ascii="仿宋" w:hAnsi="仿宋" w:eastAsia="仿宋" w:cs="仿宋"/>
          <w:spacing w:val="8"/>
          <w:sz w:val="25"/>
          <w:szCs w:val="25"/>
        </w:rPr>
        <w:t>的大力支持和帮助，特此表示衷心感谢！</w:t>
      </w:r>
    </w:p>
    <w:p w14:paraId="6AB118BE">
      <w:pPr>
        <w:spacing w:line="339" w:lineRule="auto"/>
        <w:rPr>
          <w:rFonts w:ascii="仿宋" w:hAnsi="仿宋" w:eastAsia="仿宋" w:cs="仿宋"/>
          <w:sz w:val="25"/>
          <w:szCs w:val="25"/>
        </w:rPr>
        <w:sectPr>
          <w:headerReference r:id="rId7" w:type="default"/>
          <w:footerReference r:id="rId8" w:type="default"/>
          <w:pgSz w:w="11906" w:h="16839"/>
          <w:pgMar w:top="1116" w:right="1385" w:bottom="1278" w:left="1587" w:header="683" w:footer="1116" w:gutter="0"/>
          <w:cols w:space="720" w:num="1"/>
        </w:sectPr>
      </w:pPr>
    </w:p>
    <w:p w14:paraId="7E7344DD">
      <w:pPr>
        <w:pStyle w:val="2"/>
        <w:spacing w:line="315" w:lineRule="auto"/>
      </w:pPr>
    </w:p>
    <w:p w14:paraId="6A9841AE">
      <w:pPr>
        <w:spacing w:before="101" w:line="229" w:lineRule="auto"/>
        <w:ind w:left="3802"/>
        <w:outlineLvl w:val="0"/>
        <w:rPr>
          <w:rFonts w:ascii="仿宋" w:hAnsi="仿宋" w:eastAsia="仿宋" w:cs="仿宋"/>
          <w:sz w:val="31"/>
          <w:szCs w:val="31"/>
        </w:rPr>
      </w:pPr>
      <w:bookmarkStart w:id="1" w:name="bookmark2"/>
      <w:bookmarkEnd w:id="1"/>
      <w:bookmarkStart w:id="2" w:name="bookmark3"/>
      <w:bookmarkEnd w:id="2"/>
      <w:r>
        <w:rPr>
          <w:rFonts w:ascii="Times New Roman" w:hAnsi="Times New Roman" w:eastAsia="Times New Roman" w:cs="Times New Roman"/>
          <w:b/>
          <w:bCs/>
          <w:spacing w:val="-17"/>
          <w:sz w:val="31"/>
          <w:szCs w:val="31"/>
        </w:rPr>
        <w:t>1</w:t>
      </w:r>
      <w:r>
        <w:rPr>
          <w:rFonts w:ascii="Times New Roman" w:hAnsi="Times New Roman" w:eastAsia="Times New Roman" w:cs="Times New Roman"/>
          <w:b/>
          <w:bCs/>
          <w:spacing w:val="20"/>
          <w:sz w:val="31"/>
          <w:szCs w:val="31"/>
        </w:rPr>
        <w:t xml:space="preserve">  </w:t>
      </w:r>
      <w:r>
        <w:rPr>
          <w:rFonts w:ascii="仿宋" w:hAnsi="仿宋" w:eastAsia="仿宋" w:cs="仿宋"/>
          <w:b/>
          <w:bCs/>
          <w:spacing w:val="-17"/>
          <w:sz w:val="31"/>
          <w:szCs w:val="31"/>
        </w:rPr>
        <w:t>总</w:t>
      </w:r>
      <w:r>
        <w:rPr>
          <w:rFonts w:ascii="仿宋" w:hAnsi="仿宋" w:eastAsia="仿宋" w:cs="仿宋"/>
          <w:spacing w:val="18"/>
          <w:sz w:val="31"/>
          <w:szCs w:val="31"/>
        </w:rPr>
        <w:t xml:space="preserve">  </w:t>
      </w:r>
      <w:r>
        <w:rPr>
          <w:rFonts w:ascii="仿宋" w:hAnsi="仿宋" w:eastAsia="仿宋" w:cs="仿宋"/>
          <w:b/>
          <w:bCs/>
          <w:spacing w:val="-17"/>
          <w:sz w:val="31"/>
          <w:szCs w:val="31"/>
        </w:rPr>
        <w:t>则</w:t>
      </w:r>
    </w:p>
    <w:p w14:paraId="5363D4B1">
      <w:pPr>
        <w:spacing w:before="259" w:line="228" w:lineRule="auto"/>
        <w:ind w:left="16"/>
        <w:outlineLvl w:val="1"/>
        <w:rPr>
          <w:rFonts w:ascii="仿宋" w:hAnsi="仿宋" w:eastAsia="仿宋" w:cs="仿宋"/>
          <w:sz w:val="25"/>
          <w:szCs w:val="25"/>
        </w:rPr>
      </w:pPr>
      <w:bookmarkStart w:id="3" w:name="bookmark51"/>
      <w:bookmarkEnd w:id="3"/>
      <w:r>
        <w:rPr>
          <w:rFonts w:ascii="Times New Roman" w:hAnsi="Times New Roman" w:eastAsia="Times New Roman" w:cs="Times New Roman"/>
          <w:b/>
          <w:bCs/>
          <w:spacing w:val="1"/>
          <w:sz w:val="25"/>
          <w:szCs w:val="25"/>
        </w:rPr>
        <w:t>1.1</w:t>
      </w:r>
      <w:r>
        <w:rPr>
          <w:rFonts w:ascii="Times New Roman" w:hAnsi="Times New Roman" w:eastAsia="Times New Roman" w:cs="Times New Roman"/>
          <w:b/>
          <w:bCs/>
          <w:spacing w:val="12"/>
          <w:sz w:val="25"/>
          <w:szCs w:val="25"/>
        </w:rPr>
        <w:t xml:space="preserve">  </w:t>
      </w:r>
      <w:r>
        <w:rPr>
          <w:rFonts w:ascii="仿宋" w:hAnsi="仿宋" w:eastAsia="仿宋" w:cs="仿宋"/>
          <w:b/>
          <w:bCs/>
          <w:spacing w:val="1"/>
          <w:sz w:val="25"/>
          <w:szCs w:val="25"/>
        </w:rPr>
        <w:t>任务由来</w:t>
      </w:r>
    </w:p>
    <w:p w14:paraId="42C41BB7">
      <w:pPr>
        <w:spacing w:before="250" w:line="340" w:lineRule="auto"/>
        <w:ind w:left="15" w:firstLine="515"/>
        <w:jc w:val="both"/>
        <w:rPr>
          <w:rFonts w:ascii="仿宋" w:hAnsi="仿宋" w:eastAsia="仿宋" w:cs="仿宋"/>
          <w:sz w:val="25"/>
          <w:szCs w:val="25"/>
        </w:rPr>
      </w:pPr>
      <w:r>
        <w:rPr>
          <w:rFonts w:ascii="仿宋" w:hAnsi="仿宋" w:eastAsia="仿宋" w:cs="仿宋"/>
          <w:spacing w:val="10"/>
          <w:sz w:val="25"/>
          <w:szCs w:val="25"/>
        </w:rPr>
        <w:t>《矿规》实施以来，黔江区积极推进勘查、开采区</w:t>
      </w:r>
      <w:r>
        <w:rPr>
          <w:rFonts w:ascii="仿宋" w:hAnsi="仿宋" w:eastAsia="仿宋" w:cs="仿宋"/>
          <w:spacing w:val="9"/>
          <w:sz w:val="25"/>
          <w:szCs w:val="25"/>
        </w:rPr>
        <w:t>块的投放与管理，市场</w:t>
      </w:r>
      <w:r>
        <w:rPr>
          <w:rFonts w:ascii="仿宋" w:hAnsi="仿宋" w:eastAsia="仿宋" w:cs="仿宋"/>
          <w:sz w:val="25"/>
          <w:szCs w:val="25"/>
        </w:rPr>
        <w:t xml:space="preserve"> </w:t>
      </w:r>
      <w:r>
        <w:rPr>
          <w:rFonts w:ascii="仿宋" w:hAnsi="仿宋" w:eastAsia="仿宋" w:cs="仿宋"/>
          <w:spacing w:val="10"/>
          <w:sz w:val="25"/>
          <w:szCs w:val="25"/>
        </w:rPr>
        <w:t>表现出较为积极的探矿、采矿热情，随着黔江</w:t>
      </w:r>
      <w:r>
        <w:rPr>
          <w:rFonts w:ascii="仿宋" w:hAnsi="仿宋" w:eastAsia="仿宋" w:cs="仿宋"/>
          <w:spacing w:val="9"/>
          <w:sz w:val="25"/>
          <w:szCs w:val="25"/>
        </w:rPr>
        <w:t>区经济社会的发展需要，市场对</w:t>
      </w:r>
      <w:r>
        <w:rPr>
          <w:rFonts w:ascii="仿宋" w:hAnsi="仿宋" w:eastAsia="仿宋" w:cs="仿宋"/>
          <w:sz w:val="25"/>
          <w:szCs w:val="25"/>
        </w:rPr>
        <w:t xml:space="preserve"> </w:t>
      </w:r>
      <w:r>
        <w:rPr>
          <w:rFonts w:ascii="仿宋" w:hAnsi="仿宋" w:eastAsia="仿宋" w:cs="仿宋"/>
          <w:spacing w:val="8"/>
          <w:sz w:val="25"/>
          <w:szCs w:val="25"/>
        </w:rPr>
        <w:t>矿产资源的种类、数量和质量要求有所提高。</w:t>
      </w:r>
      <w:r>
        <w:rPr>
          <w:rFonts w:ascii="仿宋" w:hAnsi="仿宋" w:eastAsia="仿宋" w:cs="仿宋"/>
          <w:spacing w:val="-45"/>
          <w:sz w:val="25"/>
          <w:szCs w:val="25"/>
        </w:rPr>
        <w:t xml:space="preserve"> </w:t>
      </w:r>
      <w:r>
        <w:rPr>
          <w:rFonts w:ascii="仿宋" w:hAnsi="仿宋" w:eastAsia="仿宋" w:cs="仿宋"/>
          <w:spacing w:val="8"/>
          <w:sz w:val="25"/>
          <w:szCs w:val="25"/>
        </w:rPr>
        <w:t>目前铸型用砂岩市场需求正盛，</w:t>
      </w:r>
      <w:r>
        <w:rPr>
          <w:rFonts w:ascii="仿宋" w:hAnsi="仿宋" w:eastAsia="仿宋" w:cs="仿宋"/>
          <w:sz w:val="25"/>
          <w:szCs w:val="25"/>
        </w:rPr>
        <w:t xml:space="preserve"> </w:t>
      </w:r>
      <w:r>
        <w:rPr>
          <w:rFonts w:ascii="仿宋" w:hAnsi="仿宋" w:eastAsia="仿宋" w:cs="仿宋"/>
          <w:spacing w:val="10"/>
          <w:sz w:val="25"/>
          <w:szCs w:val="25"/>
        </w:rPr>
        <w:t>全球铸造砂市场正经历高端化转型，在汽车、</w:t>
      </w:r>
      <w:r>
        <w:rPr>
          <w:rFonts w:ascii="仿宋" w:hAnsi="仿宋" w:eastAsia="仿宋" w:cs="仿宋"/>
          <w:spacing w:val="9"/>
          <w:sz w:val="25"/>
          <w:szCs w:val="25"/>
        </w:rPr>
        <w:t>航空航天等领域对高性能铸型材</w:t>
      </w:r>
      <w:r>
        <w:rPr>
          <w:rFonts w:ascii="仿宋" w:hAnsi="仿宋" w:eastAsia="仿宋" w:cs="仿宋"/>
          <w:sz w:val="25"/>
          <w:szCs w:val="25"/>
        </w:rPr>
        <w:t xml:space="preserve"> </w:t>
      </w:r>
      <w:r>
        <w:rPr>
          <w:rFonts w:ascii="仿宋" w:hAnsi="仿宋" w:eastAsia="仿宋" w:cs="仿宋"/>
          <w:spacing w:val="8"/>
          <w:sz w:val="25"/>
          <w:szCs w:val="25"/>
        </w:rPr>
        <w:t>料需求激增，为满足市场需求，拟新设</w:t>
      </w:r>
      <w:r>
        <w:rPr>
          <w:rFonts w:ascii="仿宋" w:hAnsi="仿宋" w:eastAsia="仿宋" w:cs="仿宋"/>
          <w:spacing w:val="-27"/>
          <w:sz w:val="25"/>
          <w:szCs w:val="25"/>
        </w:rPr>
        <w:t xml:space="preserve"> </w:t>
      </w:r>
      <w:r>
        <w:rPr>
          <w:rFonts w:ascii="Times New Roman" w:hAnsi="Times New Roman" w:eastAsia="Times New Roman" w:cs="Times New Roman"/>
          <w:spacing w:val="8"/>
          <w:sz w:val="25"/>
          <w:szCs w:val="25"/>
        </w:rPr>
        <w:t>1</w:t>
      </w:r>
      <w:r>
        <w:rPr>
          <w:rFonts w:ascii="Times New Roman" w:hAnsi="Times New Roman" w:eastAsia="Times New Roman" w:cs="Times New Roman"/>
          <w:spacing w:val="21"/>
          <w:sz w:val="25"/>
          <w:szCs w:val="25"/>
        </w:rPr>
        <w:t xml:space="preserve"> </w:t>
      </w:r>
      <w:r>
        <w:rPr>
          <w:rFonts w:ascii="仿宋" w:hAnsi="仿宋" w:eastAsia="仿宋" w:cs="仿宋"/>
          <w:spacing w:val="8"/>
          <w:sz w:val="25"/>
          <w:szCs w:val="25"/>
        </w:rPr>
        <w:t>个铸型用砂岩勘查区块。黔江区计划</w:t>
      </w:r>
      <w:r>
        <w:rPr>
          <w:rFonts w:ascii="仿宋" w:hAnsi="仿宋" w:eastAsia="仿宋" w:cs="仿宋"/>
          <w:sz w:val="25"/>
          <w:szCs w:val="25"/>
        </w:rPr>
        <w:t xml:space="preserve"> </w:t>
      </w:r>
      <w:r>
        <w:rPr>
          <w:rFonts w:ascii="仿宋" w:hAnsi="仿宋" w:eastAsia="仿宋" w:cs="仿宋"/>
          <w:spacing w:val="2"/>
          <w:sz w:val="25"/>
          <w:szCs w:val="25"/>
        </w:rPr>
        <w:t>打造“再生铝</w:t>
      </w:r>
      <w:r>
        <w:rPr>
          <w:rFonts w:ascii="Times New Roman" w:hAnsi="Times New Roman" w:eastAsia="Times New Roman" w:cs="Times New Roman"/>
          <w:spacing w:val="2"/>
          <w:sz w:val="25"/>
          <w:szCs w:val="25"/>
        </w:rPr>
        <w:t>-</w:t>
      </w:r>
      <w:r>
        <w:rPr>
          <w:rFonts w:ascii="仿宋" w:hAnsi="仿宋" w:eastAsia="仿宋" w:cs="仿宋"/>
          <w:spacing w:val="2"/>
          <w:sz w:val="25"/>
          <w:szCs w:val="25"/>
        </w:rPr>
        <w:t>铝精深加工</w:t>
      </w:r>
      <w:r>
        <w:rPr>
          <w:rFonts w:ascii="仿宋" w:hAnsi="仿宋" w:eastAsia="仿宋" w:cs="仿宋"/>
          <w:spacing w:val="-90"/>
          <w:sz w:val="25"/>
          <w:szCs w:val="25"/>
        </w:rPr>
        <w:t xml:space="preserve"> </w:t>
      </w:r>
      <w:r>
        <w:rPr>
          <w:rFonts w:ascii="仿宋" w:hAnsi="仿宋" w:eastAsia="仿宋" w:cs="仿宋"/>
          <w:spacing w:val="2"/>
          <w:sz w:val="25"/>
          <w:szCs w:val="25"/>
        </w:rPr>
        <w:t>”</w:t>
      </w:r>
      <w:r>
        <w:rPr>
          <w:rFonts w:ascii="Times New Roman" w:hAnsi="Times New Roman" w:eastAsia="Times New Roman" w:cs="Times New Roman"/>
          <w:spacing w:val="2"/>
          <w:sz w:val="25"/>
          <w:szCs w:val="25"/>
        </w:rPr>
        <w:t>100</w:t>
      </w:r>
      <w:r>
        <w:rPr>
          <w:rFonts w:ascii="Times New Roman" w:hAnsi="Times New Roman" w:eastAsia="Times New Roman" w:cs="Times New Roman"/>
          <w:spacing w:val="25"/>
          <w:sz w:val="25"/>
          <w:szCs w:val="25"/>
        </w:rPr>
        <w:t xml:space="preserve"> </w:t>
      </w:r>
      <w:r>
        <w:rPr>
          <w:rFonts w:ascii="仿宋" w:hAnsi="仿宋" w:eastAsia="仿宋" w:cs="仿宋"/>
          <w:spacing w:val="2"/>
          <w:sz w:val="25"/>
          <w:szCs w:val="25"/>
        </w:rPr>
        <w:t>亿产业链，铝土矿开发可与现有</w:t>
      </w:r>
      <w:r>
        <w:rPr>
          <w:rFonts w:ascii="仿宋" w:hAnsi="仿宋" w:eastAsia="仿宋" w:cs="仿宋"/>
          <w:spacing w:val="1"/>
          <w:sz w:val="25"/>
          <w:szCs w:val="25"/>
        </w:rPr>
        <w:t>产能形成闭环，</w:t>
      </w:r>
      <w:r>
        <w:rPr>
          <w:rFonts w:ascii="仿宋" w:hAnsi="仿宋" w:eastAsia="仿宋" w:cs="仿宋"/>
          <w:sz w:val="25"/>
          <w:szCs w:val="25"/>
        </w:rPr>
        <w:t xml:space="preserve"> </w:t>
      </w:r>
      <w:r>
        <w:rPr>
          <w:rFonts w:ascii="仿宋" w:hAnsi="仿宋" w:eastAsia="仿宋" w:cs="仿宋"/>
          <w:spacing w:val="6"/>
          <w:sz w:val="25"/>
          <w:szCs w:val="25"/>
        </w:rPr>
        <w:t>上游矿石开采</w:t>
      </w:r>
      <w:r>
        <w:rPr>
          <w:rFonts w:ascii="Times New Roman" w:hAnsi="Times New Roman" w:eastAsia="Times New Roman" w:cs="Times New Roman"/>
          <w:spacing w:val="6"/>
          <w:sz w:val="25"/>
          <w:szCs w:val="25"/>
        </w:rPr>
        <w:t>-</w:t>
      </w:r>
      <w:r>
        <w:rPr>
          <w:rFonts w:ascii="仿宋" w:hAnsi="仿宋" w:eastAsia="仿宋" w:cs="仿宋"/>
          <w:spacing w:val="6"/>
          <w:sz w:val="25"/>
          <w:szCs w:val="25"/>
        </w:rPr>
        <w:t>中游氧化铝提炼</w:t>
      </w:r>
      <w:r>
        <w:rPr>
          <w:rFonts w:ascii="Times New Roman" w:hAnsi="Times New Roman" w:eastAsia="Times New Roman" w:cs="Times New Roman"/>
          <w:spacing w:val="6"/>
          <w:sz w:val="25"/>
          <w:szCs w:val="25"/>
        </w:rPr>
        <w:t>-</w:t>
      </w:r>
      <w:r>
        <w:rPr>
          <w:rFonts w:ascii="仿宋" w:hAnsi="仿宋" w:eastAsia="仿宋" w:cs="仿宋"/>
          <w:spacing w:val="6"/>
          <w:sz w:val="25"/>
          <w:szCs w:val="25"/>
        </w:rPr>
        <w:t>下游再生铝及铝合金加工，减少原料外购成本，</w:t>
      </w:r>
      <w:r>
        <w:rPr>
          <w:rFonts w:ascii="仿宋" w:hAnsi="仿宋" w:eastAsia="仿宋" w:cs="仿宋"/>
          <w:spacing w:val="15"/>
          <w:sz w:val="25"/>
          <w:szCs w:val="25"/>
        </w:rPr>
        <w:t xml:space="preserve"> </w:t>
      </w:r>
      <w:r>
        <w:rPr>
          <w:rFonts w:ascii="仿宋" w:hAnsi="仿宋" w:eastAsia="仿宋" w:cs="仿宋"/>
          <w:spacing w:val="5"/>
          <w:sz w:val="25"/>
          <w:szCs w:val="25"/>
        </w:rPr>
        <w:t>因</w:t>
      </w:r>
      <w:r>
        <w:rPr>
          <w:rFonts w:ascii="仿宋" w:hAnsi="仿宋" w:eastAsia="仿宋" w:cs="仿宋"/>
          <w:spacing w:val="-62"/>
          <w:sz w:val="25"/>
          <w:szCs w:val="25"/>
        </w:rPr>
        <w:t xml:space="preserve"> </w:t>
      </w:r>
      <w:r>
        <w:rPr>
          <w:rFonts w:ascii="仿宋" w:hAnsi="仿宋" w:eastAsia="仿宋" w:cs="仿宋"/>
          <w:spacing w:val="5"/>
          <w:sz w:val="25"/>
          <w:szCs w:val="25"/>
        </w:rPr>
        <w:t>目前铝土矿勘查力度不够，无法进行铝土矿的</w:t>
      </w:r>
      <w:r>
        <w:rPr>
          <w:rFonts w:ascii="仿宋" w:hAnsi="仿宋" w:eastAsia="仿宋" w:cs="仿宋"/>
          <w:spacing w:val="4"/>
          <w:sz w:val="25"/>
          <w:szCs w:val="25"/>
        </w:rPr>
        <w:t>探转采，</w:t>
      </w:r>
      <w:r>
        <w:rPr>
          <w:rFonts w:ascii="仿宋" w:hAnsi="仿宋" w:eastAsia="仿宋" w:cs="仿宋"/>
          <w:spacing w:val="-75"/>
          <w:sz w:val="25"/>
          <w:szCs w:val="25"/>
        </w:rPr>
        <w:t xml:space="preserve"> </w:t>
      </w:r>
      <w:r>
        <w:rPr>
          <w:rFonts w:ascii="仿宋" w:hAnsi="仿宋" w:eastAsia="仿宋" w:cs="仿宋"/>
          <w:spacing w:val="4"/>
          <w:sz w:val="25"/>
          <w:szCs w:val="25"/>
        </w:rPr>
        <w:t>因此本次拟调整</w:t>
      </w:r>
      <w:r>
        <w:rPr>
          <w:rFonts w:ascii="仿宋" w:hAnsi="仿宋" w:eastAsia="仿宋" w:cs="仿宋"/>
          <w:spacing w:val="-27"/>
          <w:sz w:val="25"/>
          <w:szCs w:val="25"/>
        </w:rPr>
        <w:t xml:space="preserve"> </w:t>
      </w:r>
      <w:r>
        <w:rPr>
          <w:rFonts w:ascii="Times New Roman" w:hAnsi="Times New Roman" w:eastAsia="Times New Roman" w:cs="Times New Roman"/>
          <w:spacing w:val="4"/>
          <w:sz w:val="25"/>
          <w:szCs w:val="25"/>
        </w:rPr>
        <w:t>1</w:t>
      </w:r>
      <w:r>
        <w:rPr>
          <w:rFonts w:ascii="Times New Roman" w:hAnsi="Times New Roman" w:eastAsia="Times New Roman" w:cs="Times New Roman"/>
          <w:spacing w:val="20"/>
          <w:w w:val="101"/>
          <w:sz w:val="25"/>
          <w:szCs w:val="25"/>
        </w:rPr>
        <w:t xml:space="preserve"> </w:t>
      </w:r>
      <w:r>
        <w:rPr>
          <w:rFonts w:ascii="仿宋" w:hAnsi="仿宋" w:eastAsia="仿宋" w:cs="仿宋"/>
          <w:spacing w:val="4"/>
          <w:sz w:val="25"/>
          <w:szCs w:val="25"/>
        </w:rPr>
        <w:t>个</w:t>
      </w:r>
      <w:r>
        <w:rPr>
          <w:rFonts w:ascii="仿宋" w:hAnsi="仿宋" w:eastAsia="仿宋" w:cs="仿宋"/>
          <w:sz w:val="25"/>
          <w:szCs w:val="25"/>
        </w:rPr>
        <w:t xml:space="preserve"> </w:t>
      </w:r>
      <w:r>
        <w:rPr>
          <w:rFonts w:ascii="仿宋" w:hAnsi="仿宋" w:eastAsia="仿宋" w:cs="仿宋"/>
          <w:spacing w:val="8"/>
          <w:sz w:val="25"/>
          <w:szCs w:val="25"/>
        </w:rPr>
        <w:t>铝土矿勘查区块，扩大勘查范围。</w:t>
      </w:r>
    </w:p>
    <w:p w14:paraId="05B9CAAD">
      <w:pPr>
        <w:spacing w:before="5" w:line="339" w:lineRule="auto"/>
        <w:ind w:left="16" w:right="71" w:firstLine="517"/>
        <w:jc w:val="both"/>
        <w:rPr>
          <w:rFonts w:ascii="仿宋" w:hAnsi="仿宋" w:eastAsia="仿宋" w:cs="仿宋"/>
          <w:sz w:val="25"/>
          <w:szCs w:val="25"/>
        </w:rPr>
      </w:pPr>
      <w:r>
        <w:rPr>
          <w:rFonts w:ascii="仿宋" w:hAnsi="仿宋" w:eastAsia="仿宋" w:cs="仿宋"/>
          <w:spacing w:val="6"/>
          <w:sz w:val="25"/>
          <w:szCs w:val="25"/>
        </w:rPr>
        <w:t>根据《自然资源部关于完善矿产资源规划实施管理有关事项的通知》（</w:t>
      </w:r>
      <w:r>
        <w:rPr>
          <w:rFonts w:ascii="仿宋" w:hAnsi="仿宋" w:eastAsia="仿宋" w:cs="仿宋"/>
          <w:spacing w:val="-9"/>
          <w:sz w:val="25"/>
          <w:szCs w:val="25"/>
        </w:rPr>
        <w:t xml:space="preserve"> </w:t>
      </w:r>
      <w:r>
        <w:rPr>
          <w:rFonts w:ascii="仿宋" w:hAnsi="仿宋" w:eastAsia="仿宋" w:cs="仿宋"/>
          <w:spacing w:val="6"/>
          <w:sz w:val="25"/>
          <w:szCs w:val="25"/>
        </w:rPr>
        <w:t>自</w:t>
      </w:r>
      <w:r>
        <w:rPr>
          <w:rFonts w:ascii="仿宋" w:hAnsi="仿宋" w:eastAsia="仿宋" w:cs="仿宋"/>
          <w:sz w:val="25"/>
          <w:szCs w:val="25"/>
        </w:rPr>
        <w:t xml:space="preserve"> </w:t>
      </w:r>
      <w:r>
        <w:rPr>
          <w:rFonts w:ascii="仿宋" w:hAnsi="仿宋" w:eastAsia="仿宋" w:cs="仿宋"/>
          <w:spacing w:val="10"/>
          <w:sz w:val="25"/>
          <w:szCs w:val="25"/>
        </w:rPr>
        <w:t>然资发〔</w:t>
      </w:r>
      <w:r>
        <w:rPr>
          <w:rFonts w:ascii="Times New Roman" w:hAnsi="Times New Roman" w:eastAsia="Times New Roman" w:cs="Times New Roman"/>
          <w:spacing w:val="10"/>
          <w:sz w:val="25"/>
          <w:szCs w:val="25"/>
        </w:rPr>
        <w:t>2024</w:t>
      </w:r>
      <w:r>
        <w:rPr>
          <w:rFonts w:ascii="仿宋" w:hAnsi="仿宋" w:eastAsia="仿宋" w:cs="仿宋"/>
          <w:spacing w:val="10"/>
          <w:sz w:val="25"/>
          <w:szCs w:val="25"/>
        </w:rPr>
        <w:t>〕</w:t>
      </w:r>
      <w:r>
        <w:rPr>
          <w:rFonts w:ascii="Times New Roman" w:hAnsi="Times New Roman" w:eastAsia="Times New Roman" w:cs="Times New Roman"/>
          <w:spacing w:val="10"/>
          <w:sz w:val="25"/>
          <w:szCs w:val="25"/>
        </w:rPr>
        <w:t>53</w:t>
      </w:r>
      <w:r>
        <w:rPr>
          <w:rFonts w:ascii="Times New Roman" w:hAnsi="Times New Roman" w:eastAsia="Times New Roman" w:cs="Times New Roman"/>
          <w:spacing w:val="31"/>
          <w:sz w:val="25"/>
          <w:szCs w:val="25"/>
        </w:rPr>
        <w:t xml:space="preserve"> </w:t>
      </w:r>
      <w:r>
        <w:rPr>
          <w:rFonts w:ascii="仿宋" w:hAnsi="仿宋" w:eastAsia="仿宋" w:cs="仿宋"/>
          <w:spacing w:val="10"/>
          <w:sz w:val="25"/>
          <w:szCs w:val="25"/>
        </w:rPr>
        <w:t>号）编制了《重庆市黔江区矿产资源总体规</w:t>
      </w:r>
      <w:r>
        <w:rPr>
          <w:rFonts w:ascii="仿宋" w:hAnsi="仿宋" w:eastAsia="仿宋" w:cs="仿宋"/>
          <w:spacing w:val="9"/>
          <w:sz w:val="25"/>
          <w:szCs w:val="25"/>
        </w:rPr>
        <w:t>划（</w:t>
      </w:r>
      <w:r>
        <w:rPr>
          <w:rFonts w:ascii="Times New Roman" w:hAnsi="Times New Roman" w:eastAsia="Times New Roman" w:cs="Times New Roman"/>
          <w:spacing w:val="9"/>
          <w:sz w:val="25"/>
          <w:szCs w:val="25"/>
        </w:rPr>
        <w:t>2021-2025</w:t>
      </w:r>
      <w:r>
        <w:rPr>
          <w:rFonts w:ascii="Times New Roman" w:hAnsi="Times New Roman" w:eastAsia="Times New Roman" w:cs="Times New Roman"/>
          <w:sz w:val="25"/>
          <w:szCs w:val="25"/>
        </w:rPr>
        <w:t xml:space="preserve"> </w:t>
      </w:r>
      <w:r>
        <w:rPr>
          <w:rFonts w:ascii="仿宋" w:hAnsi="仿宋" w:eastAsia="仿宋" w:cs="仿宋"/>
          <w:spacing w:val="9"/>
          <w:sz w:val="25"/>
          <w:szCs w:val="25"/>
        </w:rPr>
        <w:t>年）调整论证方案》，根据《重庆市规划和自然资源局 重庆市生态环境局 关</w:t>
      </w:r>
      <w:r>
        <w:rPr>
          <w:rFonts w:ascii="仿宋" w:hAnsi="仿宋" w:eastAsia="仿宋" w:cs="仿宋"/>
          <w:spacing w:val="10"/>
          <w:sz w:val="25"/>
          <w:szCs w:val="25"/>
        </w:rPr>
        <w:t xml:space="preserve"> </w:t>
      </w:r>
      <w:r>
        <w:rPr>
          <w:rFonts w:ascii="仿宋" w:hAnsi="仿宋" w:eastAsia="仿宋" w:cs="仿宋"/>
          <w:spacing w:val="9"/>
          <w:sz w:val="25"/>
          <w:szCs w:val="25"/>
        </w:rPr>
        <w:t>于进一步规范矿产资源规划实施管理的通知》（渝规资〔</w:t>
      </w:r>
      <w:r>
        <w:rPr>
          <w:rFonts w:ascii="Times New Roman" w:hAnsi="Times New Roman" w:eastAsia="Times New Roman" w:cs="Times New Roman"/>
          <w:spacing w:val="9"/>
          <w:sz w:val="25"/>
          <w:szCs w:val="25"/>
        </w:rPr>
        <w:t>2025</w:t>
      </w:r>
      <w:r>
        <w:rPr>
          <w:rFonts w:ascii="仿宋" w:hAnsi="仿宋" w:eastAsia="仿宋" w:cs="仿宋"/>
          <w:spacing w:val="9"/>
          <w:sz w:val="25"/>
          <w:szCs w:val="25"/>
        </w:rPr>
        <w:t>〕</w:t>
      </w:r>
      <w:r>
        <w:rPr>
          <w:rFonts w:ascii="Times New Roman" w:hAnsi="Times New Roman" w:eastAsia="Times New Roman" w:cs="Times New Roman"/>
          <w:spacing w:val="9"/>
          <w:sz w:val="25"/>
          <w:szCs w:val="25"/>
        </w:rPr>
        <w:t>119</w:t>
      </w:r>
      <w:r>
        <w:rPr>
          <w:rFonts w:ascii="Times New Roman" w:hAnsi="Times New Roman" w:eastAsia="Times New Roman" w:cs="Times New Roman"/>
          <w:spacing w:val="29"/>
          <w:sz w:val="25"/>
          <w:szCs w:val="25"/>
        </w:rPr>
        <w:t xml:space="preserve"> </w:t>
      </w:r>
      <w:r>
        <w:rPr>
          <w:rFonts w:ascii="仿宋" w:hAnsi="仿宋" w:eastAsia="仿宋" w:cs="仿宋"/>
          <w:spacing w:val="8"/>
          <w:sz w:val="25"/>
          <w:szCs w:val="25"/>
        </w:rPr>
        <w:t>号</w:t>
      </w:r>
      <w:r>
        <w:rPr>
          <w:rFonts w:ascii="仿宋" w:hAnsi="仿宋" w:eastAsia="仿宋" w:cs="仿宋"/>
          <w:spacing w:val="-3"/>
          <w:sz w:val="25"/>
          <w:szCs w:val="25"/>
        </w:rPr>
        <w:t>）</w:t>
      </w:r>
      <w:r>
        <w:rPr>
          <w:rFonts w:ascii="仿宋" w:hAnsi="仿宋" w:eastAsia="仿宋" w:cs="仿宋"/>
          <w:spacing w:val="-73"/>
          <w:sz w:val="25"/>
          <w:szCs w:val="25"/>
        </w:rPr>
        <w:t xml:space="preserve"> </w:t>
      </w:r>
      <w:r>
        <w:rPr>
          <w:rFonts w:ascii="仿宋" w:hAnsi="仿宋" w:eastAsia="仿宋" w:cs="仿宋"/>
          <w:spacing w:val="-3"/>
          <w:sz w:val="25"/>
          <w:szCs w:val="25"/>
        </w:rPr>
        <w:t>，</w:t>
      </w:r>
      <w:r>
        <w:rPr>
          <w:rFonts w:ascii="仿宋" w:hAnsi="仿宋" w:eastAsia="仿宋" w:cs="仿宋"/>
          <w:spacing w:val="8"/>
          <w:sz w:val="25"/>
          <w:szCs w:val="25"/>
        </w:rPr>
        <w:t>本</w:t>
      </w:r>
      <w:r>
        <w:rPr>
          <w:rFonts w:ascii="仿宋" w:hAnsi="仿宋" w:eastAsia="仿宋" w:cs="仿宋"/>
          <w:sz w:val="25"/>
          <w:szCs w:val="25"/>
        </w:rPr>
        <w:t xml:space="preserve"> </w:t>
      </w:r>
      <w:r>
        <w:rPr>
          <w:rFonts w:ascii="仿宋" w:hAnsi="仿宋" w:eastAsia="仿宋" w:cs="仿宋"/>
          <w:spacing w:val="8"/>
          <w:sz w:val="25"/>
          <w:szCs w:val="25"/>
        </w:rPr>
        <w:t>次规划调整论证方案需进行补充环境影响评价。</w:t>
      </w:r>
    </w:p>
    <w:p w14:paraId="7D34F153">
      <w:pPr>
        <w:spacing w:before="13" w:line="229" w:lineRule="auto"/>
        <w:ind w:left="16"/>
        <w:outlineLvl w:val="1"/>
        <w:rPr>
          <w:rFonts w:ascii="仿宋" w:hAnsi="仿宋" w:eastAsia="仿宋" w:cs="仿宋"/>
          <w:sz w:val="25"/>
          <w:szCs w:val="25"/>
        </w:rPr>
      </w:pPr>
      <w:bookmarkStart w:id="4" w:name="bookmark4"/>
      <w:bookmarkEnd w:id="4"/>
      <w:r>
        <w:rPr>
          <w:rFonts w:ascii="Times New Roman" w:hAnsi="Times New Roman" w:eastAsia="Times New Roman" w:cs="Times New Roman"/>
          <w:b/>
          <w:bCs/>
          <w:spacing w:val="3"/>
          <w:sz w:val="25"/>
          <w:szCs w:val="25"/>
        </w:rPr>
        <w:t>1.2</w:t>
      </w:r>
      <w:r>
        <w:rPr>
          <w:rFonts w:ascii="Times New Roman" w:hAnsi="Times New Roman" w:eastAsia="Times New Roman" w:cs="Times New Roman"/>
          <w:b/>
          <w:bCs/>
          <w:spacing w:val="14"/>
          <w:sz w:val="25"/>
          <w:szCs w:val="25"/>
        </w:rPr>
        <w:t xml:space="preserve">  </w:t>
      </w:r>
      <w:r>
        <w:rPr>
          <w:rFonts w:ascii="仿宋" w:hAnsi="仿宋" w:eastAsia="仿宋" w:cs="仿宋"/>
          <w:b/>
          <w:bCs/>
          <w:spacing w:val="3"/>
          <w:sz w:val="25"/>
          <w:szCs w:val="25"/>
        </w:rPr>
        <w:t>评价目的、原则</w:t>
      </w:r>
    </w:p>
    <w:p w14:paraId="1D79C9B0">
      <w:pPr>
        <w:spacing w:before="254" w:line="229" w:lineRule="auto"/>
        <w:ind w:left="16"/>
        <w:outlineLvl w:val="2"/>
        <w:rPr>
          <w:rFonts w:ascii="仿宋" w:hAnsi="仿宋" w:eastAsia="仿宋" w:cs="仿宋"/>
          <w:sz w:val="25"/>
          <w:szCs w:val="25"/>
        </w:rPr>
      </w:pPr>
      <w:r>
        <w:rPr>
          <w:rFonts w:ascii="Times New Roman" w:hAnsi="Times New Roman" w:eastAsia="Times New Roman" w:cs="Times New Roman"/>
          <w:b/>
          <w:bCs/>
          <w:spacing w:val="1"/>
          <w:sz w:val="25"/>
          <w:szCs w:val="25"/>
        </w:rPr>
        <w:t>1.1.1</w:t>
      </w:r>
      <w:r>
        <w:rPr>
          <w:rFonts w:ascii="Times New Roman" w:hAnsi="Times New Roman" w:eastAsia="Times New Roman" w:cs="Times New Roman"/>
          <w:b/>
          <w:bCs/>
          <w:spacing w:val="14"/>
          <w:sz w:val="25"/>
          <w:szCs w:val="25"/>
        </w:rPr>
        <w:t xml:space="preserve">  </w:t>
      </w:r>
      <w:r>
        <w:rPr>
          <w:rFonts w:ascii="仿宋" w:hAnsi="仿宋" w:eastAsia="仿宋" w:cs="仿宋"/>
          <w:b/>
          <w:bCs/>
          <w:spacing w:val="1"/>
          <w:sz w:val="25"/>
          <w:szCs w:val="25"/>
        </w:rPr>
        <w:t>评价目的</w:t>
      </w:r>
    </w:p>
    <w:p w14:paraId="587B1A4A">
      <w:pPr>
        <w:spacing w:before="269" w:line="340" w:lineRule="auto"/>
        <w:ind w:left="18" w:firstLine="540"/>
        <w:jc w:val="both"/>
        <w:rPr>
          <w:rFonts w:ascii="仿宋" w:hAnsi="仿宋" w:eastAsia="仿宋" w:cs="仿宋"/>
          <w:sz w:val="25"/>
          <w:szCs w:val="25"/>
        </w:rPr>
      </w:pPr>
      <w:r>
        <w:rPr>
          <w:rFonts w:ascii="仿宋" w:hAnsi="仿宋" w:eastAsia="仿宋" w:cs="仿宋"/>
          <w:spacing w:val="9"/>
          <w:sz w:val="25"/>
          <w:szCs w:val="25"/>
        </w:rPr>
        <w:t>以改善环境质量和保障生态安全为目标，识别和评价本次规划</w:t>
      </w:r>
      <w:r>
        <w:rPr>
          <w:rFonts w:ascii="仿宋" w:hAnsi="仿宋" w:eastAsia="仿宋" w:cs="仿宋"/>
          <w:spacing w:val="8"/>
          <w:sz w:val="25"/>
          <w:szCs w:val="25"/>
        </w:rPr>
        <w:t>调整内容与</w:t>
      </w:r>
      <w:r>
        <w:rPr>
          <w:rFonts w:ascii="仿宋" w:hAnsi="仿宋" w:eastAsia="仿宋" w:cs="仿宋"/>
          <w:sz w:val="25"/>
          <w:szCs w:val="25"/>
        </w:rPr>
        <w:t xml:space="preserve"> </w:t>
      </w:r>
      <w:r>
        <w:rPr>
          <w:rFonts w:ascii="仿宋" w:hAnsi="仿宋" w:eastAsia="仿宋" w:cs="仿宋"/>
          <w:spacing w:val="8"/>
          <w:sz w:val="25"/>
          <w:szCs w:val="25"/>
        </w:rPr>
        <w:t>相关上位、</w:t>
      </w:r>
      <w:r>
        <w:rPr>
          <w:rFonts w:ascii="仿宋" w:hAnsi="仿宋" w:eastAsia="仿宋" w:cs="仿宋"/>
          <w:spacing w:val="-71"/>
          <w:sz w:val="25"/>
          <w:szCs w:val="25"/>
        </w:rPr>
        <w:t xml:space="preserve"> </w:t>
      </w:r>
      <w:r>
        <w:rPr>
          <w:rFonts w:ascii="仿宋" w:hAnsi="仿宋" w:eastAsia="仿宋" w:cs="仿宋"/>
          <w:spacing w:val="8"/>
          <w:sz w:val="25"/>
          <w:szCs w:val="25"/>
        </w:rPr>
        <w:t>同位规划的协调性，论证规划调整方案的生态环境合理性和</w:t>
      </w:r>
      <w:r>
        <w:rPr>
          <w:rFonts w:ascii="仿宋" w:hAnsi="仿宋" w:eastAsia="仿宋" w:cs="仿宋"/>
          <w:spacing w:val="7"/>
          <w:sz w:val="25"/>
          <w:szCs w:val="25"/>
        </w:rPr>
        <w:t>环境效</w:t>
      </w:r>
      <w:r>
        <w:rPr>
          <w:rFonts w:ascii="仿宋" w:hAnsi="仿宋" w:eastAsia="仿宋" w:cs="仿宋"/>
          <w:sz w:val="25"/>
          <w:szCs w:val="25"/>
        </w:rPr>
        <w:t xml:space="preserve"> </w:t>
      </w:r>
      <w:r>
        <w:rPr>
          <w:rFonts w:ascii="仿宋" w:hAnsi="仿宋" w:eastAsia="仿宋" w:cs="仿宋"/>
          <w:spacing w:val="9"/>
          <w:sz w:val="25"/>
          <w:szCs w:val="25"/>
        </w:rPr>
        <w:t>益，预测和评价规划实施后可能造成的环境影响，明确不良生态环境影响的减</w:t>
      </w:r>
      <w:r>
        <w:rPr>
          <w:rFonts w:ascii="仿宋" w:hAnsi="仿宋" w:eastAsia="仿宋" w:cs="仿宋"/>
          <w:spacing w:val="17"/>
          <w:sz w:val="25"/>
          <w:szCs w:val="25"/>
        </w:rPr>
        <w:t xml:space="preserve"> </w:t>
      </w:r>
      <w:r>
        <w:rPr>
          <w:rFonts w:ascii="仿宋" w:hAnsi="仿宋" w:eastAsia="仿宋" w:cs="仿宋"/>
          <w:spacing w:val="4"/>
          <w:sz w:val="25"/>
          <w:szCs w:val="25"/>
        </w:rPr>
        <w:t>缓措施，提出生态环境保护建议和管控要求，提出《规划调整》优化调整建议，</w:t>
      </w:r>
      <w:r>
        <w:rPr>
          <w:rFonts w:ascii="仿宋" w:hAnsi="仿宋" w:eastAsia="仿宋" w:cs="仿宋"/>
          <w:spacing w:val="5"/>
          <w:sz w:val="25"/>
          <w:szCs w:val="25"/>
        </w:rPr>
        <w:t xml:space="preserve"> </w:t>
      </w:r>
      <w:r>
        <w:rPr>
          <w:rFonts w:ascii="仿宋" w:hAnsi="仿宋" w:eastAsia="仿宋" w:cs="仿宋"/>
          <w:spacing w:val="9"/>
          <w:sz w:val="25"/>
          <w:szCs w:val="25"/>
        </w:rPr>
        <w:t>为规划决策和规划实施过程中的生态环境管理提供依据，为规划补充的建设项</w:t>
      </w:r>
      <w:r>
        <w:rPr>
          <w:rFonts w:ascii="仿宋" w:hAnsi="仿宋" w:eastAsia="仿宋" w:cs="仿宋"/>
          <w:spacing w:val="17"/>
          <w:sz w:val="25"/>
          <w:szCs w:val="25"/>
        </w:rPr>
        <w:t xml:space="preserve"> </w:t>
      </w:r>
      <w:r>
        <w:rPr>
          <w:rFonts w:ascii="仿宋" w:hAnsi="仿宋" w:eastAsia="仿宋" w:cs="仿宋"/>
          <w:spacing w:val="7"/>
          <w:sz w:val="25"/>
          <w:szCs w:val="25"/>
        </w:rPr>
        <w:t>目环境评价提供经验和借鉴。</w:t>
      </w:r>
    </w:p>
    <w:p w14:paraId="7A8111E9">
      <w:pPr>
        <w:spacing w:before="117" w:line="229" w:lineRule="auto"/>
        <w:ind w:left="16"/>
        <w:outlineLvl w:val="2"/>
        <w:rPr>
          <w:rFonts w:ascii="仿宋" w:hAnsi="仿宋" w:eastAsia="仿宋" w:cs="仿宋"/>
          <w:sz w:val="25"/>
          <w:szCs w:val="25"/>
        </w:rPr>
      </w:pPr>
      <w:r>
        <w:rPr>
          <w:rFonts w:ascii="Times New Roman" w:hAnsi="Times New Roman" w:eastAsia="Times New Roman" w:cs="Times New Roman"/>
          <w:b/>
          <w:bCs/>
          <w:spacing w:val="1"/>
          <w:sz w:val="25"/>
          <w:szCs w:val="25"/>
        </w:rPr>
        <w:t>1.1.2</w:t>
      </w:r>
      <w:r>
        <w:rPr>
          <w:rFonts w:ascii="Times New Roman" w:hAnsi="Times New Roman" w:eastAsia="Times New Roman" w:cs="Times New Roman"/>
          <w:b/>
          <w:bCs/>
          <w:spacing w:val="14"/>
          <w:sz w:val="25"/>
          <w:szCs w:val="25"/>
        </w:rPr>
        <w:t xml:space="preserve">  </w:t>
      </w:r>
      <w:r>
        <w:rPr>
          <w:rFonts w:ascii="仿宋" w:hAnsi="仿宋" w:eastAsia="仿宋" w:cs="仿宋"/>
          <w:b/>
          <w:bCs/>
          <w:spacing w:val="1"/>
          <w:sz w:val="25"/>
          <w:szCs w:val="25"/>
        </w:rPr>
        <w:t>评价原则</w:t>
      </w:r>
    </w:p>
    <w:p w14:paraId="6E0A0E9D">
      <w:pPr>
        <w:spacing w:before="271" w:line="229" w:lineRule="auto"/>
        <w:ind w:left="536"/>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1</w:t>
      </w:r>
      <w:r>
        <w:rPr>
          <w:rFonts w:ascii="仿宋" w:hAnsi="仿宋" w:eastAsia="仿宋" w:cs="仿宋"/>
          <w:spacing w:val="7"/>
          <w:sz w:val="25"/>
          <w:szCs w:val="25"/>
        </w:rPr>
        <w:t>）早期介入、过程互动</w:t>
      </w:r>
    </w:p>
    <w:p w14:paraId="10356481">
      <w:pPr>
        <w:spacing w:before="150" w:line="338" w:lineRule="auto"/>
        <w:ind w:left="18" w:right="71" w:firstLine="519"/>
        <w:rPr>
          <w:rFonts w:ascii="仿宋" w:hAnsi="仿宋" w:eastAsia="仿宋" w:cs="仿宋"/>
          <w:sz w:val="25"/>
          <w:szCs w:val="25"/>
        </w:rPr>
      </w:pPr>
      <w:r>
        <w:rPr>
          <w:rFonts w:ascii="仿宋" w:hAnsi="仿宋" w:eastAsia="仿宋" w:cs="仿宋"/>
          <w:spacing w:val="9"/>
          <w:sz w:val="25"/>
          <w:szCs w:val="25"/>
        </w:rPr>
        <w:t>本次评价在规划调整的前期研究和方案编制、论证、审定等关键环节和过</w:t>
      </w:r>
      <w:r>
        <w:rPr>
          <w:rFonts w:ascii="仿宋" w:hAnsi="仿宋" w:eastAsia="仿宋" w:cs="仿宋"/>
          <w:spacing w:val="15"/>
          <w:sz w:val="25"/>
          <w:szCs w:val="25"/>
        </w:rPr>
        <w:t xml:space="preserve"> </w:t>
      </w:r>
      <w:r>
        <w:rPr>
          <w:rFonts w:ascii="仿宋" w:hAnsi="仿宋" w:eastAsia="仿宋" w:cs="仿宋"/>
          <w:spacing w:val="8"/>
          <w:sz w:val="25"/>
          <w:szCs w:val="25"/>
        </w:rPr>
        <w:t>程中充分互动，提高规划调整内容的环境合理性。</w:t>
      </w:r>
    </w:p>
    <w:p w14:paraId="75240E1D">
      <w:pPr>
        <w:spacing w:line="338" w:lineRule="auto"/>
        <w:rPr>
          <w:rFonts w:ascii="仿宋" w:hAnsi="仿宋" w:eastAsia="仿宋" w:cs="仿宋"/>
          <w:sz w:val="25"/>
          <w:szCs w:val="25"/>
        </w:rPr>
        <w:sectPr>
          <w:headerReference r:id="rId9" w:type="default"/>
          <w:footerReference r:id="rId10" w:type="default"/>
          <w:pgSz w:w="11906" w:h="16839"/>
          <w:pgMar w:top="1116" w:right="1404" w:bottom="1480" w:left="1587" w:header="683" w:footer="1318" w:gutter="0"/>
          <w:cols w:space="720" w:num="1"/>
        </w:sectPr>
      </w:pPr>
    </w:p>
    <w:p w14:paraId="7B1887C7">
      <w:pPr>
        <w:pStyle w:val="2"/>
        <w:spacing w:line="386" w:lineRule="auto"/>
      </w:pPr>
    </w:p>
    <w:p w14:paraId="74F160B0">
      <w:pPr>
        <w:spacing w:before="81" w:line="228" w:lineRule="auto"/>
        <w:ind w:left="579"/>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2</w:t>
      </w:r>
      <w:r>
        <w:rPr>
          <w:rFonts w:ascii="仿宋" w:hAnsi="仿宋" w:eastAsia="仿宋" w:cs="仿宋"/>
          <w:spacing w:val="7"/>
          <w:sz w:val="25"/>
          <w:szCs w:val="25"/>
        </w:rPr>
        <w:t>）统筹衔接、分类指导</w:t>
      </w:r>
    </w:p>
    <w:p w14:paraId="2D51F8D7">
      <w:pPr>
        <w:spacing w:before="150" w:line="340" w:lineRule="auto"/>
        <w:ind w:left="58" w:right="41" w:firstLine="521"/>
        <w:rPr>
          <w:rFonts w:ascii="仿宋" w:hAnsi="仿宋" w:eastAsia="仿宋" w:cs="仿宋"/>
          <w:sz w:val="25"/>
          <w:szCs w:val="25"/>
        </w:rPr>
      </w:pPr>
      <w:r>
        <w:rPr>
          <w:rFonts w:ascii="仿宋" w:hAnsi="仿宋" w:eastAsia="仿宋" w:cs="仿宋"/>
          <w:spacing w:val="5"/>
          <w:sz w:val="25"/>
          <w:szCs w:val="25"/>
        </w:rPr>
        <w:t xml:space="preserve">本次评价突出了规划的环境影响特点，充分衔接 </w:t>
      </w:r>
      <w:r>
        <w:rPr>
          <w:rFonts w:ascii="Times New Roman" w:hAnsi="Times New Roman" w:eastAsia="Times New Roman" w:cs="Times New Roman"/>
          <w:spacing w:val="5"/>
          <w:sz w:val="25"/>
          <w:szCs w:val="25"/>
        </w:rPr>
        <w:t>“</w:t>
      </w:r>
      <w:r>
        <w:rPr>
          <w:rFonts w:ascii="Times New Roman" w:hAnsi="Times New Roman" w:eastAsia="Times New Roman" w:cs="Times New Roman"/>
          <w:spacing w:val="-24"/>
          <w:sz w:val="25"/>
          <w:szCs w:val="25"/>
        </w:rPr>
        <w:t xml:space="preserve"> </w:t>
      </w:r>
      <w:r>
        <w:rPr>
          <w:rFonts w:ascii="仿宋" w:hAnsi="仿宋" w:eastAsia="仿宋" w:cs="仿宋"/>
          <w:spacing w:val="5"/>
          <w:sz w:val="25"/>
          <w:szCs w:val="25"/>
        </w:rPr>
        <w:t>三线一单</w:t>
      </w:r>
      <w:r>
        <w:rPr>
          <w:rFonts w:ascii="Times New Roman" w:hAnsi="Times New Roman" w:eastAsia="Times New Roman" w:cs="Times New Roman"/>
          <w:spacing w:val="5"/>
          <w:sz w:val="25"/>
          <w:szCs w:val="25"/>
        </w:rPr>
        <w:t>”</w:t>
      </w:r>
      <w:r>
        <w:rPr>
          <w:rFonts w:ascii="仿宋" w:hAnsi="仿宋" w:eastAsia="仿宋" w:cs="仿宋"/>
          <w:spacing w:val="5"/>
          <w:sz w:val="25"/>
          <w:szCs w:val="25"/>
        </w:rPr>
        <w:t>生态环境分区</w:t>
      </w:r>
      <w:r>
        <w:rPr>
          <w:rFonts w:ascii="仿宋" w:hAnsi="仿宋" w:eastAsia="仿宋" w:cs="仿宋"/>
          <w:sz w:val="25"/>
          <w:szCs w:val="25"/>
        </w:rPr>
        <w:t xml:space="preserve"> </w:t>
      </w:r>
      <w:r>
        <w:rPr>
          <w:rFonts w:ascii="仿宋" w:hAnsi="仿宋" w:eastAsia="仿宋" w:cs="仿宋"/>
          <w:spacing w:val="10"/>
          <w:sz w:val="25"/>
          <w:szCs w:val="25"/>
        </w:rPr>
        <w:t>管控成果，分类指导规划所包含建设项目的</w:t>
      </w:r>
      <w:r>
        <w:rPr>
          <w:rFonts w:ascii="仿宋" w:hAnsi="仿宋" w:eastAsia="仿宋" w:cs="仿宋"/>
          <w:spacing w:val="9"/>
          <w:sz w:val="25"/>
          <w:szCs w:val="25"/>
        </w:rPr>
        <w:t>布局和不同矿种不同开采方式生态</w:t>
      </w:r>
      <w:r>
        <w:rPr>
          <w:rFonts w:ascii="仿宋" w:hAnsi="仿宋" w:eastAsia="仿宋" w:cs="仿宋"/>
          <w:sz w:val="25"/>
          <w:szCs w:val="25"/>
        </w:rPr>
        <w:t xml:space="preserve"> </w:t>
      </w:r>
      <w:r>
        <w:rPr>
          <w:rFonts w:ascii="仿宋" w:hAnsi="仿宋" w:eastAsia="仿宋" w:cs="仿宋"/>
          <w:spacing w:val="4"/>
          <w:sz w:val="25"/>
          <w:szCs w:val="25"/>
        </w:rPr>
        <w:t>环境准入。</w:t>
      </w:r>
    </w:p>
    <w:p w14:paraId="1AC121C5">
      <w:pPr>
        <w:spacing w:line="229" w:lineRule="auto"/>
        <w:ind w:left="579"/>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3</w:t>
      </w:r>
      <w:r>
        <w:rPr>
          <w:rFonts w:ascii="仿宋" w:hAnsi="仿宋" w:eastAsia="仿宋" w:cs="仿宋"/>
          <w:spacing w:val="7"/>
          <w:sz w:val="25"/>
          <w:szCs w:val="25"/>
        </w:rPr>
        <w:t>）客观评价、结论科学</w:t>
      </w:r>
    </w:p>
    <w:p w14:paraId="399B5270">
      <w:pPr>
        <w:spacing w:before="147" w:line="340" w:lineRule="auto"/>
        <w:ind w:left="58" w:right="44" w:firstLine="521"/>
        <w:rPr>
          <w:rFonts w:ascii="仿宋" w:hAnsi="仿宋" w:eastAsia="仿宋" w:cs="仿宋"/>
          <w:sz w:val="25"/>
          <w:szCs w:val="25"/>
        </w:rPr>
      </w:pPr>
      <w:r>
        <w:rPr>
          <w:rFonts w:ascii="仿宋" w:hAnsi="仿宋" w:eastAsia="仿宋" w:cs="仿宋"/>
          <w:spacing w:val="9"/>
          <w:sz w:val="25"/>
          <w:szCs w:val="25"/>
        </w:rPr>
        <w:t>依据现有知识水平和技术条件对规划实施可能产生的不良环境影响的范围</w:t>
      </w:r>
      <w:r>
        <w:rPr>
          <w:rFonts w:ascii="仿宋" w:hAnsi="仿宋" w:eastAsia="仿宋" w:cs="仿宋"/>
          <w:spacing w:val="15"/>
          <w:sz w:val="25"/>
          <w:szCs w:val="25"/>
        </w:rPr>
        <w:t xml:space="preserve"> </w:t>
      </w:r>
      <w:r>
        <w:rPr>
          <w:rFonts w:ascii="仿宋" w:hAnsi="仿宋" w:eastAsia="仿宋" w:cs="仿宋"/>
          <w:spacing w:val="10"/>
          <w:sz w:val="25"/>
          <w:szCs w:val="25"/>
        </w:rPr>
        <w:t>和程度进行客观分析，评价方法成熟可靠，</w:t>
      </w:r>
      <w:r>
        <w:rPr>
          <w:rFonts w:ascii="仿宋" w:hAnsi="仿宋" w:eastAsia="仿宋" w:cs="仿宋"/>
          <w:spacing w:val="9"/>
          <w:sz w:val="25"/>
          <w:szCs w:val="25"/>
        </w:rPr>
        <w:t>数据资料完整可信，结论建议具体</w:t>
      </w:r>
      <w:r>
        <w:rPr>
          <w:rFonts w:ascii="仿宋" w:hAnsi="仿宋" w:eastAsia="仿宋" w:cs="仿宋"/>
          <w:sz w:val="25"/>
          <w:szCs w:val="25"/>
        </w:rPr>
        <w:t xml:space="preserve"> </w:t>
      </w:r>
      <w:r>
        <w:rPr>
          <w:rFonts w:ascii="仿宋" w:hAnsi="仿宋" w:eastAsia="仿宋" w:cs="仿宋"/>
          <w:spacing w:val="7"/>
          <w:sz w:val="25"/>
          <w:szCs w:val="25"/>
        </w:rPr>
        <w:t>明确且具有可操作性。</w:t>
      </w:r>
    </w:p>
    <w:p w14:paraId="43B44768">
      <w:pPr>
        <w:spacing w:before="119" w:line="229" w:lineRule="auto"/>
        <w:ind w:left="58"/>
        <w:outlineLvl w:val="2"/>
        <w:rPr>
          <w:rFonts w:ascii="仿宋" w:hAnsi="仿宋" w:eastAsia="仿宋" w:cs="仿宋"/>
          <w:sz w:val="25"/>
          <w:szCs w:val="25"/>
        </w:rPr>
      </w:pPr>
      <w:r>
        <w:rPr>
          <w:rFonts w:ascii="Times New Roman" w:hAnsi="Times New Roman" w:eastAsia="Times New Roman" w:cs="Times New Roman"/>
          <w:b/>
          <w:bCs/>
          <w:spacing w:val="1"/>
          <w:sz w:val="25"/>
          <w:szCs w:val="25"/>
        </w:rPr>
        <w:t>1.1.3</w:t>
      </w:r>
      <w:r>
        <w:rPr>
          <w:rFonts w:ascii="Times New Roman" w:hAnsi="Times New Roman" w:eastAsia="Times New Roman" w:cs="Times New Roman"/>
          <w:b/>
          <w:bCs/>
          <w:spacing w:val="26"/>
          <w:w w:val="101"/>
          <w:sz w:val="25"/>
          <w:szCs w:val="25"/>
        </w:rPr>
        <w:t xml:space="preserve"> </w:t>
      </w:r>
      <w:r>
        <w:rPr>
          <w:rFonts w:ascii="仿宋" w:hAnsi="仿宋" w:eastAsia="仿宋" w:cs="仿宋"/>
          <w:b/>
          <w:bCs/>
          <w:spacing w:val="1"/>
          <w:sz w:val="25"/>
          <w:szCs w:val="25"/>
        </w:rPr>
        <w:t>评价范围</w:t>
      </w:r>
    </w:p>
    <w:p w14:paraId="54F9C4D1">
      <w:pPr>
        <w:spacing w:before="270" w:line="229" w:lineRule="auto"/>
        <w:ind w:left="580"/>
        <w:rPr>
          <w:rFonts w:ascii="仿宋" w:hAnsi="仿宋" w:eastAsia="仿宋" w:cs="仿宋"/>
          <w:sz w:val="25"/>
          <w:szCs w:val="25"/>
        </w:rPr>
      </w:pPr>
      <w:r>
        <w:rPr>
          <w:rFonts w:ascii="仿宋" w:hAnsi="仿宋" w:eastAsia="仿宋" w:cs="仿宋"/>
          <w:spacing w:val="7"/>
          <w:sz w:val="25"/>
          <w:szCs w:val="25"/>
        </w:rPr>
        <w:t>评价范围主要为本次调整的区块及周边影响区，见表</w:t>
      </w:r>
      <w:r>
        <w:rPr>
          <w:rFonts w:ascii="仿宋" w:hAnsi="仿宋" w:eastAsia="仿宋" w:cs="仿宋"/>
          <w:spacing w:val="-30"/>
          <w:sz w:val="25"/>
          <w:szCs w:val="25"/>
        </w:rPr>
        <w:t xml:space="preserve"> </w:t>
      </w:r>
      <w:r>
        <w:rPr>
          <w:rFonts w:ascii="Times New Roman" w:hAnsi="Times New Roman" w:eastAsia="Times New Roman" w:cs="Times New Roman"/>
          <w:spacing w:val="7"/>
          <w:sz w:val="25"/>
          <w:szCs w:val="25"/>
        </w:rPr>
        <w:t>1.1</w:t>
      </w:r>
      <w:r>
        <w:rPr>
          <w:rFonts w:ascii="Times New Roman" w:hAnsi="Times New Roman" w:eastAsia="Times New Roman" w:cs="Times New Roman"/>
          <w:spacing w:val="6"/>
          <w:sz w:val="25"/>
          <w:szCs w:val="25"/>
        </w:rPr>
        <w:t>-1</w:t>
      </w:r>
      <w:r>
        <w:rPr>
          <w:rFonts w:ascii="仿宋" w:hAnsi="仿宋" w:eastAsia="仿宋" w:cs="仿宋"/>
          <w:spacing w:val="6"/>
          <w:sz w:val="25"/>
          <w:szCs w:val="25"/>
        </w:rPr>
        <w:t>。</w:t>
      </w:r>
    </w:p>
    <w:p w14:paraId="21EF409E">
      <w:pPr>
        <w:spacing w:before="194" w:line="231" w:lineRule="auto"/>
        <w:ind w:left="3287"/>
        <w:rPr>
          <w:rFonts w:ascii="仿宋" w:hAnsi="仿宋" w:eastAsia="仿宋" w:cs="仿宋"/>
          <w:sz w:val="20"/>
          <w:szCs w:val="20"/>
        </w:rPr>
      </w:pPr>
      <w:r>
        <w:rPr>
          <w:rFonts w:ascii="仿宋" w:hAnsi="仿宋" w:eastAsia="仿宋" w:cs="仿宋"/>
          <w:b/>
          <w:bCs/>
          <w:spacing w:val="3"/>
          <w:sz w:val="20"/>
          <w:szCs w:val="20"/>
        </w:rPr>
        <w:t>表</w:t>
      </w:r>
      <w:r>
        <w:rPr>
          <w:rFonts w:ascii="仿宋" w:hAnsi="仿宋" w:eastAsia="仿宋" w:cs="仿宋"/>
          <w:spacing w:val="-33"/>
          <w:sz w:val="20"/>
          <w:szCs w:val="20"/>
        </w:rPr>
        <w:t xml:space="preserve"> </w:t>
      </w:r>
      <w:r>
        <w:rPr>
          <w:rFonts w:ascii="Times New Roman" w:hAnsi="Times New Roman" w:eastAsia="Times New Roman" w:cs="Times New Roman"/>
          <w:b/>
          <w:bCs/>
          <w:spacing w:val="3"/>
          <w:sz w:val="20"/>
          <w:szCs w:val="20"/>
        </w:rPr>
        <w:t>1.1-1</w:t>
      </w:r>
      <w:r>
        <w:rPr>
          <w:rFonts w:ascii="Times New Roman" w:hAnsi="Times New Roman" w:eastAsia="Times New Roman" w:cs="Times New Roman"/>
          <w:b/>
          <w:bCs/>
          <w:spacing w:val="6"/>
          <w:sz w:val="20"/>
          <w:szCs w:val="20"/>
        </w:rPr>
        <w:t xml:space="preserve">    </w:t>
      </w:r>
      <w:r>
        <w:rPr>
          <w:rFonts w:ascii="仿宋" w:hAnsi="仿宋" w:eastAsia="仿宋" w:cs="仿宋"/>
          <w:b/>
          <w:bCs/>
          <w:spacing w:val="3"/>
          <w:sz w:val="20"/>
          <w:szCs w:val="20"/>
        </w:rPr>
        <w:t>评价范围一览表</w:t>
      </w:r>
    </w:p>
    <w:p w14:paraId="3003482B">
      <w:pPr>
        <w:spacing w:line="20" w:lineRule="exact"/>
      </w:pPr>
    </w:p>
    <w:tbl>
      <w:tblPr>
        <w:tblStyle w:val="5"/>
        <w:tblW w:w="8904"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34"/>
        <w:gridCol w:w="7370"/>
      </w:tblGrid>
      <w:tr w14:paraId="3436E6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5" w:hRule="atLeast"/>
        </w:trPr>
        <w:tc>
          <w:tcPr>
            <w:tcW w:w="1534" w:type="dxa"/>
            <w:tcBorders>
              <w:top w:val="single" w:color="000000" w:sz="10" w:space="0"/>
              <w:left w:val="single" w:color="000000" w:sz="10" w:space="0"/>
            </w:tcBorders>
            <w:vAlign w:val="top"/>
          </w:tcPr>
          <w:p w14:paraId="62D027E7">
            <w:pPr>
              <w:pStyle w:val="6"/>
              <w:spacing w:before="37" w:line="208" w:lineRule="auto"/>
              <w:ind w:left="326"/>
            </w:pPr>
            <w:r>
              <w:rPr>
                <w:spacing w:val="-4"/>
              </w:rPr>
              <w:t>环境要素</w:t>
            </w:r>
          </w:p>
        </w:tc>
        <w:tc>
          <w:tcPr>
            <w:tcW w:w="7370" w:type="dxa"/>
            <w:tcBorders>
              <w:top w:val="single" w:color="000000" w:sz="10" w:space="0"/>
              <w:right w:val="single" w:color="000000" w:sz="10" w:space="0"/>
            </w:tcBorders>
            <w:vAlign w:val="top"/>
          </w:tcPr>
          <w:p w14:paraId="330DFFE3">
            <w:pPr>
              <w:pStyle w:val="6"/>
              <w:spacing w:before="37" w:line="208" w:lineRule="auto"/>
              <w:ind w:left="3250"/>
            </w:pPr>
            <w:r>
              <w:rPr>
                <w:spacing w:val="-4"/>
              </w:rPr>
              <w:t>评价范围</w:t>
            </w:r>
          </w:p>
        </w:tc>
      </w:tr>
      <w:tr w14:paraId="5F10AC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1534" w:type="dxa"/>
            <w:tcBorders>
              <w:left w:val="single" w:color="000000" w:sz="10" w:space="0"/>
            </w:tcBorders>
            <w:vAlign w:val="top"/>
          </w:tcPr>
          <w:p w14:paraId="2E502CDB">
            <w:pPr>
              <w:pStyle w:val="6"/>
              <w:spacing w:before="174" w:line="223" w:lineRule="auto"/>
              <w:ind w:left="339"/>
            </w:pPr>
            <w:r>
              <w:rPr>
                <w:spacing w:val="-7"/>
              </w:rPr>
              <w:t>生态环境</w:t>
            </w:r>
          </w:p>
        </w:tc>
        <w:tc>
          <w:tcPr>
            <w:tcW w:w="7370" w:type="dxa"/>
            <w:tcBorders>
              <w:right w:val="single" w:color="000000" w:sz="10" w:space="0"/>
            </w:tcBorders>
            <w:vAlign w:val="top"/>
          </w:tcPr>
          <w:p w14:paraId="6B40C9D0">
            <w:pPr>
              <w:pStyle w:val="6"/>
              <w:spacing w:before="32" w:line="223" w:lineRule="auto"/>
              <w:ind w:left="30"/>
            </w:pPr>
            <w:r>
              <w:rPr>
                <w:spacing w:val="-5"/>
              </w:rPr>
              <w:t>采矿规划区块向外延伸</w:t>
            </w:r>
            <w:r>
              <w:rPr>
                <w:spacing w:val="-30"/>
              </w:rPr>
              <w:t xml:space="preserve"> </w:t>
            </w:r>
            <w:r>
              <w:rPr>
                <w:rFonts w:ascii="Times New Roman" w:hAnsi="Times New Roman" w:eastAsia="Times New Roman" w:cs="Times New Roman"/>
                <w:spacing w:val="-5"/>
              </w:rPr>
              <w:t>300m</w:t>
            </w:r>
            <w:r>
              <w:rPr>
                <w:rFonts w:ascii="Times New Roman" w:hAnsi="Times New Roman" w:eastAsia="Times New Roman" w:cs="Times New Roman"/>
                <w:spacing w:val="25"/>
                <w:w w:val="101"/>
              </w:rPr>
              <w:t xml:space="preserve"> </w:t>
            </w:r>
            <w:r>
              <w:rPr>
                <w:spacing w:val="-5"/>
              </w:rPr>
              <w:t>范围，重点关注矿产资源开发所</w:t>
            </w:r>
            <w:r>
              <w:rPr>
                <w:rFonts w:hint="eastAsia"/>
                <w:spacing w:val="-5"/>
                <w:lang w:eastAsia="zh-CN"/>
              </w:rPr>
              <w:t>至</w:t>
            </w:r>
            <w:r>
              <w:rPr>
                <w:spacing w:val="-5"/>
              </w:rPr>
              <w:t>的生态环</w:t>
            </w:r>
          </w:p>
          <w:p w14:paraId="1C6D74C6">
            <w:pPr>
              <w:pStyle w:val="6"/>
              <w:spacing w:before="19" w:line="204" w:lineRule="auto"/>
              <w:ind w:left="3252"/>
            </w:pPr>
            <w:r>
              <w:rPr>
                <w:spacing w:val="-5"/>
              </w:rPr>
              <w:t>境敏感区</w:t>
            </w:r>
          </w:p>
        </w:tc>
      </w:tr>
      <w:tr w14:paraId="72FA7B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1534" w:type="dxa"/>
            <w:tcBorders>
              <w:left w:val="single" w:color="000000" w:sz="10" w:space="0"/>
            </w:tcBorders>
            <w:vAlign w:val="top"/>
          </w:tcPr>
          <w:p w14:paraId="488BBB86">
            <w:pPr>
              <w:pStyle w:val="6"/>
              <w:spacing w:before="178" w:line="223" w:lineRule="auto"/>
              <w:ind w:left="217"/>
            </w:pPr>
            <w:r>
              <w:rPr>
                <w:spacing w:val="-3"/>
              </w:rPr>
              <w:t>地表水环境</w:t>
            </w:r>
          </w:p>
        </w:tc>
        <w:tc>
          <w:tcPr>
            <w:tcW w:w="7370" w:type="dxa"/>
            <w:tcBorders>
              <w:right w:val="single" w:color="000000" w:sz="10" w:space="0"/>
            </w:tcBorders>
            <w:vAlign w:val="top"/>
          </w:tcPr>
          <w:p w14:paraId="6D585283">
            <w:pPr>
              <w:pStyle w:val="6"/>
              <w:spacing w:before="37" w:line="220" w:lineRule="auto"/>
              <w:ind w:left="30"/>
            </w:pPr>
            <w:r>
              <w:rPr>
                <w:spacing w:val="-4"/>
              </w:rPr>
              <w:t>采矿规划区块所在河流上游</w:t>
            </w:r>
            <w:r>
              <w:rPr>
                <w:spacing w:val="-44"/>
              </w:rPr>
              <w:t xml:space="preserve"> </w:t>
            </w:r>
            <w:r>
              <w:rPr>
                <w:rFonts w:ascii="Times New Roman" w:hAnsi="Times New Roman" w:eastAsia="Times New Roman" w:cs="Times New Roman"/>
                <w:spacing w:val="-4"/>
              </w:rPr>
              <w:t>500m</w:t>
            </w:r>
            <w:r>
              <w:rPr>
                <w:rFonts w:ascii="Times New Roman" w:hAnsi="Times New Roman" w:eastAsia="Times New Roman" w:cs="Times New Roman"/>
                <w:spacing w:val="21"/>
              </w:rPr>
              <w:t xml:space="preserve"> </w:t>
            </w:r>
            <w:r>
              <w:rPr>
                <w:spacing w:val="-4"/>
              </w:rPr>
              <w:t>至下游</w:t>
            </w:r>
            <w:r>
              <w:rPr>
                <w:spacing w:val="-30"/>
              </w:rPr>
              <w:t xml:space="preserve"> </w:t>
            </w:r>
            <w:r>
              <w:rPr>
                <w:rFonts w:ascii="Times New Roman" w:hAnsi="Times New Roman" w:eastAsia="Times New Roman" w:cs="Times New Roman"/>
                <w:spacing w:val="-4"/>
              </w:rPr>
              <w:t>1500km</w:t>
            </w:r>
            <w:r>
              <w:rPr>
                <w:rFonts w:ascii="Times New Roman" w:hAnsi="Times New Roman" w:eastAsia="Times New Roman" w:cs="Times New Roman"/>
                <w:spacing w:val="26"/>
                <w:w w:val="101"/>
              </w:rPr>
              <w:t xml:space="preserve"> </w:t>
            </w:r>
            <w:r>
              <w:rPr>
                <w:spacing w:val="-4"/>
              </w:rPr>
              <w:t>范</w:t>
            </w:r>
            <w:r>
              <w:rPr>
                <w:spacing w:val="-5"/>
              </w:rPr>
              <w:t>围。根据项目周边主要分</w:t>
            </w:r>
          </w:p>
          <w:p w14:paraId="04EB780F">
            <w:pPr>
              <w:pStyle w:val="6"/>
              <w:spacing w:before="20" w:line="202" w:lineRule="auto"/>
              <w:ind w:left="1492"/>
            </w:pPr>
            <w:r>
              <w:rPr>
                <w:spacing w:val="-1"/>
              </w:rPr>
              <w:t>布地表水体特征，评价范围依据实际情况划定</w:t>
            </w:r>
          </w:p>
        </w:tc>
      </w:tr>
      <w:tr w14:paraId="6F784A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1534" w:type="dxa"/>
            <w:tcBorders>
              <w:left w:val="single" w:color="000000" w:sz="10" w:space="0"/>
            </w:tcBorders>
            <w:vAlign w:val="top"/>
          </w:tcPr>
          <w:p w14:paraId="3BE7A4C3">
            <w:pPr>
              <w:pStyle w:val="6"/>
              <w:spacing w:before="41" w:line="198" w:lineRule="auto"/>
              <w:ind w:left="217"/>
            </w:pPr>
            <w:r>
              <w:rPr>
                <w:spacing w:val="-3"/>
              </w:rPr>
              <w:t>地下水环境</w:t>
            </w:r>
          </w:p>
        </w:tc>
        <w:tc>
          <w:tcPr>
            <w:tcW w:w="7370" w:type="dxa"/>
            <w:tcBorders>
              <w:right w:val="single" w:color="000000" w:sz="10" w:space="0"/>
            </w:tcBorders>
            <w:vAlign w:val="top"/>
          </w:tcPr>
          <w:p w14:paraId="1E3443E4">
            <w:pPr>
              <w:pStyle w:val="6"/>
              <w:spacing w:before="41" w:line="198" w:lineRule="auto"/>
              <w:ind w:left="2152"/>
            </w:pPr>
            <w:r>
              <w:rPr>
                <w:spacing w:val="-2"/>
              </w:rPr>
              <w:t>采矿规划区块所在水文地质单元</w:t>
            </w:r>
          </w:p>
        </w:tc>
      </w:tr>
      <w:tr w14:paraId="0B9772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1534" w:type="dxa"/>
            <w:tcBorders>
              <w:left w:val="single" w:color="000000" w:sz="10" w:space="0"/>
            </w:tcBorders>
            <w:vAlign w:val="top"/>
          </w:tcPr>
          <w:p w14:paraId="54A5EA59">
            <w:pPr>
              <w:pStyle w:val="6"/>
              <w:spacing w:before="44" w:line="195" w:lineRule="auto"/>
              <w:ind w:left="329"/>
            </w:pPr>
            <w:r>
              <w:rPr>
                <w:spacing w:val="-5"/>
              </w:rPr>
              <w:t>大气环境</w:t>
            </w:r>
          </w:p>
        </w:tc>
        <w:tc>
          <w:tcPr>
            <w:tcW w:w="7370" w:type="dxa"/>
            <w:tcBorders>
              <w:right w:val="single" w:color="000000" w:sz="10" w:space="0"/>
            </w:tcBorders>
            <w:vAlign w:val="top"/>
          </w:tcPr>
          <w:p w14:paraId="4AE5DCEF">
            <w:pPr>
              <w:pStyle w:val="6"/>
              <w:spacing w:before="44" w:line="195" w:lineRule="auto"/>
              <w:ind w:left="254"/>
            </w:pPr>
            <w:r>
              <w:rPr>
                <w:spacing w:val="-2"/>
              </w:rPr>
              <w:t>黔江区行政区域范围，重点关注本次规划调整区块边界边长</w:t>
            </w:r>
            <w:r>
              <w:rPr>
                <w:spacing w:val="-38"/>
              </w:rPr>
              <w:t xml:space="preserve"> </w:t>
            </w:r>
            <w:r>
              <w:rPr>
                <w:rFonts w:ascii="Times New Roman" w:hAnsi="Times New Roman" w:eastAsia="Times New Roman" w:cs="Times New Roman"/>
                <w:spacing w:val="-2"/>
              </w:rPr>
              <w:t>5km</w:t>
            </w:r>
            <w:r>
              <w:rPr>
                <w:rFonts w:ascii="Times New Roman" w:hAnsi="Times New Roman" w:eastAsia="Times New Roman" w:cs="Times New Roman"/>
                <w:spacing w:val="28"/>
              </w:rPr>
              <w:t xml:space="preserve"> </w:t>
            </w:r>
            <w:r>
              <w:rPr>
                <w:spacing w:val="-2"/>
              </w:rPr>
              <w:t>范围内</w:t>
            </w:r>
          </w:p>
        </w:tc>
      </w:tr>
      <w:tr w14:paraId="02A405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1534" w:type="dxa"/>
            <w:tcBorders>
              <w:left w:val="single" w:color="000000" w:sz="10" w:space="0"/>
            </w:tcBorders>
            <w:vAlign w:val="top"/>
          </w:tcPr>
          <w:p w14:paraId="108690C7">
            <w:pPr>
              <w:pStyle w:val="6"/>
              <w:spacing w:before="48" w:line="193" w:lineRule="auto"/>
              <w:ind w:left="436"/>
            </w:pPr>
            <w:r>
              <w:rPr>
                <w:spacing w:val="-5"/>
              </w:rPr>
              <w:t>声环境</w:t>
            </w:r>
          </w:p>
        </w:tc>
        <w:tc>
          <w:tcPr>
            <w:tcW w:w="7370" w:type="dxa"/>
            <w:tcBorders>
              <w:right w:val="single" w:color="000000" w:sz="10" w:space="0"/>
            </w:tcBorders>
            <w:vAlign w:val="top"/>
          </w:tcPr>
          <w:p w14:paraId="3F142D6B">
            <w:pPr>
              <w:pStyle w:val="6"/>
              <w:spacing w:before="48" w:line="193" w:lineRule="auto"/>
              <w:ind w:left="2522"/>
            </w:pPr>
            <w:r>
              <w:rPr>
                <w:spacing w:val="-6"/>
              </w:rPr>
              <w:t>区块向外延伸</w:t>
            </w:r>
            <w:r>
              <w:rPr>
                <w:spacing w:val="-41"/>
              </w:rPr>
              <w:t xml:space="preserve"> </w:t>
            </w:r>
            <w:r>
              <w:rPr>
                <w:rFonts w:ascii="Times New Roman" w:hAnsi="Times New Roman" w:eastAsia="Times New Roman" w:cs="Times New Roman"/>
                <w:spacing w:val="-6"/>
              </w:rPr>
              <w:t>200m</w:t>
            </w:r>
            <w:r>
              <w:rPr>
                <w:rFonts w:ascii="Times New Roman" w:hAnsi="Times New Roman" w:eastAsia="Times New Roman" w:cs="Times New Roman"/>
                <w:spacing w:val="26"/>
              </w:rPr>
              <w:t xml:space="preserve"> </w:t>
            </w:r>
            <w:r>
              <w:rPr>
                <w:spacing w:val="-6"/>
              </w:rPr>
              <w:t>范围</w:t>
            </w:r>
          </w:p>
        </w:tc>
      </w:tr>
      <w:tr w14:paraId="4E06A2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1534" w:type="dxa"/>
            <w:tcBorders>
              <w:left w:val="single" w:color="000000" w:sz="10" w:space="0"/>
              <w:bottom w:val="single" w:color="000000" w:sz="10" w:space="0"/>
            </w:tcBorders>
            <w:vAlign w:val="top"/>
          </w:tcPr>
          <w:p w14:paraId="3F636D25">
            <w:pPr>
              <w:pStyle w:val="6"/>
              <w:spacing w:before="184" w:line="223" w:lineRule="auto"/>
              <w:ind w:left="329"/>
            </w:pPr>
            <w:r>
              <w:rPr>
                <w:spacing w:val="-5"/>
              </w:rPr>
              <w:t>土壤环境</w:t>
            </w:r>
          </w:p>
        </w:tc>
        <w:tc>
          <w:tcPr>
            <w:tcW w:w="7370" w:type="dxa"/>
            <w:tcBorders>
              <w:bottom w:val="single" w:color="000000" w:sz="10" w:space="0"/>
              <w:right w:val="single" w:color="000000" w:sz="10" w:space="0"/>
            </w:tcBorders>
            <w:vAlign w:val="top"/>
          </w:tcPr>
          <w:p w14:paraId="5539262B">
            <w:pPr>
              <w:pStyle w:val="6"/>
              <w:spacing w:before="49" w:line="223" w:lineRule="auto"/>
              <w:ind w:left="57"/>
              <w:rPr>
                <w:sz w:val="20"/>
                <w:szCs w:val="20"/>
              </w:rPr>
            </w:pPr>
            <w:r>
              <w:rPr>
                <w:spacing w:val="5"/>
              </w:rPr>
              <w:t>按土壤评价导则要求，</w:t>
            </w:r>
            <w:r>
              <w:rPr>
                <w:spacing w:val="5"/>
                <w:sz w:val="20"/>
                <w:szCs w:val="20"/>
              </w:rPr>
              <w:t>不同矿种执行不同范围，一般为矿区</w:t>
            </w:r>
            <w:r>
              <w:rPr>
                <w:spacing w:val="-15"/>
                <w:sz w:val="20"/>
                <w:szCs w:val="20"/>
              </w:rPr>
              <w:t xml:space="preserve"> </w:t>
            </w:r>
            <w:r>
              <w:rPr>
                <w:rFonts w:ascii="Times New Roman" w:hAnsi="Times New Roman" w:eastAsia="Times New Roman" w:cs="Times New Roman"/>
                <w:spacing w:val="5"/>
                <w:sz w:val="20"/>
                <w:szCs w:val="20"/>
              </w:rPr>
              <w:t>1-2</w:t>
            </w:r>
            <w:r>
              <w:rPr>
                <w:rFonts w:ascii="Times New Roman" w:hAnsi="Times New Roman" w:eastAsia="Times New Roman" w:cs="Times New Roman"/>
                <w:sz w:val="20"/>
                <w:szCs w:val="20"/>
              </w:rPr>
              <w:t>km</w:t>
            </w:r>
            <w:r>
              <w:rPr>
                <w:rFonts w:ascii="Times New Roman" w:hAnsi="Times New Roman" w:eastAsia="Times New Roman" w:cs="Times New Roman"/>
                <w:spacing w:val="29"/>
                <w:w w:val="101"/>
                <w:sz w:val="20"/>
                <w:szCs w:val="20"/>
              </w:rPr>
              <w:t xml:space="preserve"> </w:t>
            </w:r>
            <w:r>
              <w:rPr>
                <w:spacing w:val="5"/>
                <w:sz w:val="20"/>
                <w:szCs w:val="20"/>
              </w:rPr>
              <w:t>范围内、工</w:t>
            </w:r>
          </w:p>
          <w:p w14:paraId="63EE8A8A">
            <w:pPr>
              <w:pStyle w:val="6"/>
              <w:spacing w:before="18" w:line="217" w:lineRule="auto"/>
              <w:ind w:left="2137"/>
              <w:rPr>
                <w:sz w:val="20"/>
                <w:szCs w:val="20"/>
              </w:rPr>
            </w:pPr>
            <w:r>
              <w:rPr>
                <w:spacing w:val="5"/>
                <w:sz w:val="20"/>
                <w:szCs w:val="20"/>
              </w:rPr>
              <w:t>业场地和排土场及周边</w:t>
            </w:r>
            <w:r>
              <w:rPr>
                <w:spacing w:val="-29"/>
                <w:sz w:val="20"/>
                <w:szCs w:val="20"/>
              </w:rPr>
              <w:t xml:space="preserve"> </w:t>
            </w:r>
            <w:r>
              <w:rPr>
                <w:rFonts w:ascii="Times New Roman" w:hAnsi="Times New Roman" w:eastAsia="Times New Roman" w:cs="Times New Roman"/>
                <w:spacing w:val="5"/>
                <w:sz w:val="20"/>
                <w:szCs w:val="20"/>
              </w:rPr>
              <w:t>200m</w:t>
            </w:r>
            <w:r>
              <w:rPr>
                <w:rFonts w:ascii="Times New Roman" w:hAnsi="Times New Roman" w:eastAsia="Times New Roman" w:cs="Times New Roman"/>
                <w:spacing w:val="29"/>
                <w:w w:val="101"/>
                <w:sz w:val="20"/>
                <w:szCs w:val="20"/>
              </w:rPr>
              <w:t xml:space="preserve"> </w:t>
            </w:r>
            <w:r>
              <w:rPr>
                <w:spacing w:val="5"/>
                <w:sz w:val="20"/>
                <w:szCs w:val="20"/>
              </w:rPr>
              <w:t>范围</w:t>
            </w:r>
          </w:p>
        </w:tc>
      </w:tr>
    </w:tbl>
    <w:p w14:paraId="254FCA8C">
      <w:pPr>
        <w:spacing w:before="267" w:line="229" w:lineRule="auto"/>
        <w:ind w:left="58"/>
        <w:outlineLvl w:val="2"/>
        <w:rPr>
          <w:rFonts w:ascii="仿宋" w:hAnsi="仿宋" w:eastAsia="仿宋" w:cs="仿宋"/>
          <w:sz w:val="25"/>
          <w:szCs w:val="25"/>
        </w:rPr>
      </w:pPr>
      <w:r>
        <w:rPr>
          <w:rFonts w:ascii="Times New Roman" w:hAnsi="Times New Roman" w:eastAsia="Times New Roman" w:cs="Times New Roman"/>
          <w:b/>
          <w:bCs/>
          <w:spacing w:val="3"/>
          <w:sz w:val="25"/>
          <w:szCs w:val="25"/>
        </w:rPr>
        <w:t>1.1.4</w:t>
      </w:r>
      <w:r>
        <w:rPr>
          <w:rFonts w:ascii="Times New Roman" w:hAnsi="Times New Roman" w:eastAsia="Times New Roman" w:cs="Times New Roman"/>
          <w:b/>
          <w:bCs/>
          <w:spacing w:val="20"/>
          <w:w w:val="101"/>
          <w:sz w:val="25"/>
          <w:szCs w:val="25"/>
        </w:rPr>
        <w:t xml:space="preserve"> </w:t>
      </w:r>
      <w:r>
        <w:rPr>
          <w:rFonts w:ascii="仿宋" w:hAnsi="仿宋" w:eastAsia="仿宋" w:cs="仿宋"/>
          <w:b/>
          <w:bCs/>
          <w:spacing w:val="3"/>
          <w:sz w:val="25"/>
          <w:szCs w:val="25"/>
        </w:rPr>
        <w:t>评价总体构思</w:t>
      </w:r>
    </w:p>
    <w:p w14:paraId="0A97BF55">
      <w:pPr>
        <w:spacing w:before="272" w:line="337" w:lineRule="auto"/>
        <w:ind w:left="63" w:right="44" w:firstLine="520"/>
        <w:jc w:val="both"/>
        <w:rPr>
          <w:rFonts w:ascii="仿宋" w:hAnsi="仿宋" w:eastAsia="仿宋" w:cs="仿宋"/>
          <w:sz w:val="25"/>
          <w:szCs w:val="25"/>
        </w:rPr>
      </w:pPr>
      <w:r>
        <w:rPr>
          <w:rFonts w:ascii="仿宋" w:hAnsi="仿宋" w:eastAsia="仿宋" w:cs="仿宋"/>
          <w:spacing w:val="-5"/>
          <w:sz w:val="25"/>
          <w:szCs w:val="25"/>
        </w:rPr>
        <w:t>（</w:t>
      </w:r>
      <w:r>
        <w:rPr>
          <w:rFonts w:ascii="Times New Roman" w:hAnsi="Times New Roman" w:eastAsia="Times New Roman" w:cs="Times New Roman"/>
          <w:spacing w:val="-5"/>
          <w:sz w:val="25"/>
          <w:szCs w:val="25"/>
        </w:rPr>
        <w:t>1</w:t>
      </w:r>
      <w:r>
        <w:rPr>
          <w:rFonts w:ascii="仿宋" w:hAnsi="仿宋" w:eastAsia="仿宋" w:cs="仿宋"/>
          <w:spacing w:val="-5"/>
          <w:sz w:val="25"/>
          <w:szCs w:val="25"/>
        </w:rPr>
        <w:t>）本次《规划调整》主要是在原《规划》基础上调整</w:t>
      </w:r>
      <w:r>
        <w:rPr>
          <w:rFonts w:ascii="仿宋" w:hAnsi="仿宋" w:eastAsia="仿宋" w:cs="仿宋"/>
          <w:spacing w:val="-30"/>
          <w:sz w:val="25"/>
          <w:szCs w:val="25"/>
        </w:rPr>
        <w:t xml:space="preserve"> </w:t>
      </w:r>
      <w:r>
        <w:rPr>
          <w:rFonts w:ascii="Times New Roman" w:hAnsi="Times New Roman" w:eastAsia="Times New Roman" w:cs="Times New Roman"/>
          <w:spacing w:val="-5"/>
          <w:sz w:val="25"/>
          <w:szCs w:val="25"/>
        </w:rPr>
        <w:t>1</w:t>
      </w:r>
      <w:r>
        <w:rPr>
          <w:rFonts w:ascii="Times New Roman" w:hAnsi="Times New Roman" w:eastAsia="Times New Roman" w:cs="Times New Roman"/>
          <w:spacing w:val="23"/>
          <w:sz w:val="25"/>
          <w:szCs w:val="25"/>
        </w:rPr>
        <w:t xml:space="preserve"> </w:t>
      </w:r>
      <w:r>
        <w:rPr>
          <w:rFonts w:ascii="仿宋" w:hAnsi="仿宋" w:eastAsia="仿宋" w:cs="仿宋"/>
          <w:spacing w:val="-5"/>
          <w:sz w:val="25"/>
          <w:szCs w:val="25"/>
        </w:rPr>
        <w:t>个勘查区</w:t>
      </w:r>
      <w:r>
        <w:rPr>
          <w:rFonts w:ascii="仿宋" w:hAnsi="仿宋" w:eastAsia="仿宋" w:cs="仿宋"/>
          <w:spacing w:val="-6"/>
          <w:sz w:val="25"/>
          <w:szCs w:val="25"/>
        </w:rPr>
        <w:t>块</w:t>
      </w:r>
      <w:r>
        <w:rPr>
          <w:rFonts w:ascii="仿宋" w:hAnsi="仿宋" w:eastAsia="仿宋" w:cs="仿宋"/>
          <w:spacing w:val="-56"/>
          <w:sz w:val="25"/>
          <w:szCs w:val="25"/>
        </w:rPr>
        <w:t xml:space="preserve"> </w:t>
      </w:r>
      <w:r>
        <w:rPr>
          <w:rFonts w:ascii="Times New Roman" w:hAnsi="Times New Roman" w:eastAsia="Times New Roman" w:cs="Times New Roman"/>
          <w:spacing w:val="-6"/>
          <w:sz w:val="25"/>
          <w:szCs w:val="25"/>
        </w:rPr>
        <w:t>KQ004</w:t>
      </w:r>
      <w:r>
        <w:rPr>
          <w:rFonts w:ascii="Times New Roman" w:hAnsi="Times New Roman" w:eastAsia="Times New Roman" w:cs="Times New Roman"/>
          <w:sz w:val="25"/>
          <w:szCs w:val="25"/>
        </w:rPr>
        <w:t xml:space="preserve"> </w:t>
      </w:r>
      <w:r>
        <w:rPr>
          <w:rFonts w:ascii="仿宋" w:hAnsi="仿宋" w:eastAsia="仿宋" w:cs="仿宋"/>
          <w:spacing w:val="7"/>
          <w:sz w:val="25"/>
          <w:szCs w:val="25"/>
        </w:rPr>
        <w:t>（铝土矿，地下开采</w:t>
      </w:r>
      <w:r>
        <w:rPr>
          <w:rFonts w:ascii="仿宋" w:hAnsi="仿宋" w:eastAsia="仿宋" w:cs="仿宋"/>
          <w:spacing w:val="5"/>
          <w:sz w:val="25"/>
          <w:szCs w:val="25"/>
        </w:rPr>
        <w:t>）</w:t>
      </w:r>
      <w:r>
        <w:rPr>
          <w:rFonts w:ascii="仿宋" w:hAnsi="仿宋" w:eastAsia="仿宋" w:cs="仿宋"/>
          <w:spacing w:val="-73"/>
          <w:sz w:val="25"/>
          <w:szCs w:val="25"/>
        </w:rPr>
        <w:t xml:space="preserve"> </w:t>
      </w:r>
      <w:r>
        <w:rPr>
          <w:rFonts w:ascii="仿宋" w:hAnsi="仿宋" w:eastAsia="仿宋" w:cs="仿宋"/>
          <w:spacing w:val="5"/>
          <w:sz w:val="25"/>
          <w:szCs w:val="25"/>
        </w:rPr>
        <w:t>）</w:t>
      </w:r>
      <w:r>
        <w:rPr>
          <w:rFonts w:ascii="仿宋" w:hAnsi="仿宋" w:eastAsia="仿宋" w:cs="仿宋"/>
          <w:spacing w:val="7"/>
          <w:sz w:val="25"/>
          <w:szCs w:val="25"/>
        </w:rPr>
        <w:t>、新增</w:t>
      </w:r>
      <w:r>
        <w:rPr>
          <w:rFonts w:ascii="仿宋" w:hAnsi="仿宋" w:eastAsia="仿宋" w:cs="仿宋"/>
          <w:spacing w:val="-30"/>
          <w:sz w:val="25"/>
          <w:szCs w:val="25"/>
        </w:rPr>
        <w:t xml:space="preserve"> </w:t>
      </w:r>
      <w:r>
        <w:rPr>
          <w:rFonts w:ascii="Times New Roman" w:hAnsi="Times New Roman" w:eastAsia="Times New Roman" w:cs="Times New Roman"/>
          <w:spacing w:val="7"/>
          <w:sz w:val="25"/>
          <w:szCs w:val="25"/>
        </w:rPr>
        <w:t>1</w:t>
      </w:r>
      <w:r>
        <w:rPr>
          <w:rFonts w:ascii="Times New Roman" w:hAnsi="Times New Roman" w:eastAsia="Times New Roman" w:cs="Times New Roman"/>
          <w:spacing w:val="23"/>
          <w:sz w:val="25"/>
          <w:szCs w:val="25"/>
        </w:rPr>
        <w:t xml:space="preserve"> </w:t>
      </w:r>
      <w:r>
        <w:rPr>
          <w:rFonts w:ascii="仿宋" w:hAnsi="仿宋" w:eastAsia="仿宋" w:cs="仿宋"/>
          <w:spacing w:val="7"/>
          <w:sz w:val="25"/>
          <w:szCs w:val="25"/>
        </w:rPr>
        <w:t>个勘查规划区块（</w:t>
      </w:r>
      <w:r>
        <w:rPr>
          <w:rFonts w:ascii="Times New Roman" w:hAnsi="Times New Roman" w:eastAsia="Times New Roman" w:cs="Times New Roman"/>
          <w:sz w:val="25"/>
          <w:szCs w:val="25"/>
        </w:rPr>
        <w:t>KQ</w:t>
      </w:r>
      <w:r>
        <w:rPr>
          <w:rFonts w:ascii="Times New Roman" w:hAnsi="Times New Roman" w:eastAsia="Times New Roman" w:cs="Times New Roman"/>
          <w:spacing w:val="7"/>
          <w:sz w:val="25"/>
          <w:szCs w:val="25"/>
        </w:rPr>
        <w:t>009</w:t>
      </w:r>
      <w:r>
        <w:rPr>
          <w:rFonts w:ascii="仿宋" w:hAnsi="仿宋" w:eastAsia="仿宋" w:cs="仿宋"/>
          <w:spacing w:val="7"/>
          <w:sz w:val="25"/>
          <w:szCs w:val="25"/>
        </w:rPr>
        <w:t>（</w:t>
      </w:r>
      <w:r>
        <w:rPr>
          <w:rFonts w:ascii="仿宋" w:hAnsi="仿宋" w:eastAsia="仿宋" w:cs="仿宋"/>
          <w:spacing w:val="6"/>
          <w:sz w:val="25"/>
          <w:szCs w:val="25"/>
        </w:rPr>
        <w:t>铸型用砂岩，地</w:t>
      </w:r>
      <w:r>
        <w:rPr>
          <w:rFonts w:ascii="仿宋" w:hAnsi="仿宋" w:eastAsia="仿宋" w:cs="仿宋"/>
          <w:sz w:val="25"/>
          <w:szCs w:val="25"/>
        </w:rPr>
        <w:t xml:space="preserve"> </w:t>
      </w:r>
      <w:r>
        <w:rPr>
          <w:rFonts w:ascii="仿宋" w:hAnsi="仿宋" w:eastAsia="仿宋" w:cs="仿宋"/>
          <w:spacing w:val="7"/>
          <w:sz w:val="25"/>
          <w:szCs w:val="25"/>
        </w:rPr>
        <w:t>下开采</w:t>
      </w:r>
      <w:r>
        <w:rPr>
          <w:rFonts w:ascii="仿宋" w:hAnsi="仿宋" w:eastAsia="仿宋" w:cs="仿宋"/>
          <w:spacing w:val="8"/>
          <w:sz w:val="25"/>
          <w:szCs w:val="25"/>
        </w:rPr>
        <w:t>），</w:t>
      </w:r>
      <w:r>
        <w:rPr>
          <w:rFonts w:ascii="仿宋" w:hAnsi="仿宋" w:eastAsia="仿宋" w:cs="仿宋"/>
          <w:spacing w:val="7"/>
          <w:sz w:val="25"/>
          <w:szCs w:val="25"/>
        </w:rPr>
        <w:t>取消</w:t>
      </w:r>
      <w:r>
        <w:rPr>
          <w:rFonts w:ascii="仿宋" w:hAnsi="仿宋" w:eastAsia="仿宋" w:cs="仿宋"/>
          <w:spacing w:val="-24"/>
          <w:sz w:val="25"/>
          <w:szCs w:val="25"/>
        </w:rPr>
        <w:t xml:space="preserve"> </w:t>
      </w:r>
      <w:r>
        <w:rPr>
          <w:rFonts w:ascii="Times New Roman" w:hAnsi="Times New Roman" w:eastAsia="Times New Roman" w:cs="Times New Roman"/>
          <w:spacing w:val="7"/>
          <w:sz w:val="25"/>
          <w:szCs w:val="25"/>
        </w:rPr>
        <w:t>1</w:t>
      </w:r>
      <w:r>
        <w:rPr>
          <w:rFonts w:ascii="Times New Roman" w:hAnsi="Times New Roman" w:eastAsia="Times New Roman" w:cs="Times New Roman"/>
          <w:spacing w:val="20"/>
          <w:w w:val="101"/>
          <w:sz w:val="25"/>
          <w:szCs w:val="25"/>
        </w:rPr>
        <w:t xml:space="preserve"> </w:t>
      </w:r>
      <w:r>
        <w:rPr>
          <w:rFonts w:ascii="仿宋" w:hAnsi="仿宋" w:eastAsia="仿宋" w:cs="仿宋"/>
          <w:spacing w:val="7"/>
          <w:sz w:val="25"/>
          <w:szCs w:val="25"/>
        </w:rPr>
        <w:t>个开采规划区块（</w:t>
      </w:r>
      <w:r>
        <w:rPr>
          <w:rFonts w:ascii="Times New Roman" w:hAnsi="Times New Roman" w:eastAsia="Times New Roman" w:cs="Times New Roman"/>
          <w:sz w:val="25"/>
          <w:szCs w:val="25"/>
        </w:rPr>
        <w:t>CQ</w:t>
      </w:r>
      <w:r>
        <w:rPr>
          <w:rFonts w:ascii="Times New Roman" w:hAnsi="Times New Roman" w:eastAsia="Times New Roman" w:cs="Times New Roman"/>
          <w:spacing w:val="7"/>
          <w:sz w:val="25"/>
          <w:szCs w:val="25"/>
        </w:rPr>
        <w:t>032</w:t>
      </w:r>
      <w:r>
        <w:rPr>
          <w:rFonts w:ascii="仿宋" w:hAnsi="仿宋" w:eastAsia="仿宋" w:cs="仿宋"/>
          <w:spacing w:val="7"/>
          <w:sz w:val="25"/>
          <w:szCs w:val="25"/>
        </w:rPr>
        <w:t>（铝土矿，地下开采</w:t>
      </w:r>
      <w:r>
        <w:rPr>
          <w:rFonts w:ascii="仿宋" w:hAnsi="仿宋" w:eastAsia="仿宋" w:cs="仿宋"/>
          <w:spacing w:val="8"/>
          <w:sz w:val="25"/>
          <w:szCs w:val="25"/>
        </w:rPr>
        <w:t>）</w:t>
      </w:r>
      <w:r>
        <w:rPr>
          <w:rFonts w:ascii="仿宋" w:hAnsi="仿宋" w:eastAsia="仿宋" w:cs="仿宋"/>
          <w:spacing w:val="-74"/>
          <w:sz w:val="25"/>
          <w:szCs w:val="25"/>
        </w:rPr>
        <w:t xml:space="preserve"> </w:t>
      </w:r>
      <w:r>
        <w:rPr>
          <w:rFonts w:ascii="仿宋" w:hAnsi="仿宋" w:eastAsia="仿宋" w:cs="仿宋"/>
          <w:spacing w:val="8"/>
          <w:sz w:val="25"/>
          <w:szCs w:val="25"/>
        </w:rPr>
        <w:t>）</w:t>
      </w:r>
      <w:r>
        <w:rPr>
          <w:rFonts w:ascii="仿宋" w:hAnsi="仿宋" w:eastAsia="仿宋" w:cs="仿宋"/>
          <w:spacing w:val="6"/>
          <w:sz w:val="25"/>
          <w:szCs w:val="25"/>
        </w:rPr>
        <w:t>其他规划</w:t>
      </w:r>
      <w:r>
        <w:rPr>
          <w:rFonts w:ascii="仿宋" w:hAnsi="仿宋" w:eastAsia="仿宋" w:cs="仿宋"/>
          <w:sz w:val="25"/>
          <w:szCs w:val="25"/>
        </w:rPr>
        <w:t xml:space="preserve"> </w:t>
      </w:r>
      <w:r>
        <w:rPr>
          <w:rFonts w:ascii="仿宋" w:hAnsi="仿宋" w:eastAsia="仿宋" w:cs="仿宋"/>
          <w:spacing w:val="7"/>
          <w:sz w:val="25"/>
          <w:szCs w:val="25"/>
        </w:rPr>
        <w:t>内容维持原《规划》不变。</w:t>
      </w:r>
    </w:p>
    <w:p w14:paraId="192DC7E4">
      <w:pPr>
        <w:pStyle w:val="2"/>
        <w:spacing w:before="12" w:line="339" w:lineRule="auto"/>
        <w:ind w:left="58" w:right="44" w:firstLine="525"/>
        <w:jc w:val="both"/>
        <w:rPr>
          <w:rFonts w:ascii="仿宋" w:hAnsi="仿宋" w:eastAsia="仿宋" w:cs="仿宋"/>
          <w:sz w:val="25"/>
          <w:szCs w:val="25"/>
        </w:rPr>
      </w:pPr>
      <w:r>
        <w:rPr>
          <w:rFonts w:ascii="仿宋" w:hAnsi="仿宋" w:eastAsia="仿宋" w:cs="仿宋"/>
          <w:spacing w:val="6"/>
          <w:sz w:val="25"/>
          <w:szCs w:val="25"/>
        </w:rPr>
        <w:t>原《规划环评》中</w:t>
      </w:r>
      <w:r>
        <w:rPr>
          <w:rFonts w:ascii="仿宋" w:hAnsi="仿宋" w:eastAsia="仿宋" w:cs="仿宋"/>
          <w:spacing w:val="-52"/>
          <w:sz w:val="25"/>
          <w:szCs w:val="25"/>
        </w:rPr>
        <w:t xml:space="preserve"> </w:t>
      </w:r>
      <w:r>
        <w:rPr>
          <w:rFonts w:ascii="Times New Roman" w:hAnsi="Times New Roman" w:eastAsia="Times New Roman" w:cs="Times New Roman"/>
          <w:sz w:val="25"/>
          <w:szCs w:val="25"/>
        </w:rPr>
        <w:t>KQ</w:t>
      </w:r>
      <w:r>
        <w:rPr>
          <w:rFonts w:ascii="Times New Roman" w:hAnsi="Times New Roman" w:eastAsia="Times New Roman" w:cs="Times New Roman"/>
          <w:spacing w:val="6"/>
          <w:sz w:val="25"/>
          <w:szCs w:val="25"/>
        </w:rPr>
        <w:t>003/</w:t>
      </w:r>
      <w:r>
        <w:rPr>
          <w:rFonts w:ascii="Times New Roman" w:hAnsi="Times New Roman" w:eastAsia="Times New Roman" w:cs="Times New Roman"/>
          <w:sz w:val="25"/>
          <w:szCs w:val="25"/>
        </w:rPr>
        <w:t>CQ</w:t>
      </w:r>
      <w:r>
        <w:rPr>
          <w:rFonts w:ascii="Times New Roman" w:hAnsi="Times New Roman" w:eastAsia="Times New Roman" w:cs="Times New Roman"/>
          <w:spacing w:val="6"/>
          <w:sz w:val="25"/>
          <w:szCs w:val="25"/>
        </w:rPr>
        <w:t>029</w:t>
      </w:r>
      <w:r>
        <w:rPr>
          <w:rFonts w:ascii="仿宋" w:hAnsi="仿宋" w:eastAsia="仿宋" w:cs="仿宋"/>
          <w:spacing w:val="6"/>
          <w:sz w:val="25"/>
          <w:szCs w:val="25"/>
        </w:rPr>
        <w:t>（重庆市黔江区邻鄂镇阳火坨饰面用灰岩</w:t>
      </w:r>
      <w:r>
        <w:rPr>
          <w:rFonts w:ascii="仿宋" w:hAnsi="仿宋" w:eastAsia="仿宋" w:cs="仿宋"/>
          <w:sz w:val="25"/>
          <w:szCs w:val="25"/>
        </w:rPr>
        <w:t xml:space="preserve"> </w:t>
      </w:r>
      <w:r>
        <w:rPr>
          <w:rFonts w:ascii="仿宋" w:hAnsi="仿宋" w:eastAsia="仿宋" w:cs="仿宋"/>
          <w:spacing w:val="4"/>
          <w:sz w:val="25"/>
          <w:szCs w:val="25"/>
        </w:rPr>
        <w:t>矿）位于重庆市黔江区邻鄂镇，区块面积为</w:t>
      </w:r>
      <w:r>
        <w:rPr>
          <w:rFonts w:ascii="仿宋" w:hAnsi="仿宋" w:eastAsia="仿宋" w:cs="仿宋"/>
          <w:spacing w:val="-42"/>
          <w:sz w:val="25"/>
          <w:szCs w:val="25"/>
        </w:rPr>
        <w:t xml:space="preserve"> </w:t>
      </w:r>
      <w:r>
        <w:rPr>
          <w:rFonts w:ascii="Times New Roman" w:hAnsi="Times New Roman" w:eastAsia="Times New Roman" w:cs="Times New Roman"/>
          <w:spacing w:val="4"/>
          <w:sz w:val="25"/>
          <w:szCs w:val="25"/>
        </w:rPr>
        <w:t>0.</w:t>
      </w:r>
      <w:r>
        <w:rPr>
          <w:rFonts w:ascii="Times New Roman" w:hAnsi="Times New Roman" w:eastAsia="Times New Roman" w:cs="Times New Roman"/>
          <w:spacing w:val="-32"/>
          <w:sz w:val="25"/>
          <w:szCs w:val="25"/>
        </w:rPr>
        <w:t xml:space="preserve"> </w:t>
      </w:r>
      <w:r>
        <w:rPr>
          <w:rFonts w:ascii="Times New Roman" w:hAnsi="Times New Roman" w:eastAsia="Times New Roman" w:cs="Times New Roman"/>
          <w:spacing w:val="4"/>
          <w:sz w:val="25"/>
          <w:szCs w:val="25"/>
        </w:rPr>
        <w:t>1830</w:t>
      </w:r>
      <w:r>
        <w:rPr>
          <w:rFonts w:ascii="Times New Roman" w:hAnsi="Times New Roman" w:eastAsia="Times New Roman" w:cs="Times New Roman"/>
          <w:sz w:val="25"/>
          <w:szCs w:val="25"/>
        </w:rPr>
        <w:t>km</w:t>
      </w:r>
      <w:r>
        <w:rPr>
          <w:rFonts w:ascii="Times New Roman" w:hAnsi="Times New Roman" w:eastAsia="Times New Roman" w:cs="Times New Roman"/>
          <w:spacing w:val="4"/>
          <w:position w:val="8"/>
          <w:sz w:val="16"/>
          <w:szCs w:val="16"/>
        </w:rPr>
        <w:t xml:space="preserve">2 </w:t>
      </w:r>
      <w:r>
        <w:rPr>
          <w:rFonts w:ascii="仿宋" w:hAnsi="仿宋" w:eastAsia="仿宋" w:cs="仿宋"/>
          <w:spacing w:val="4"/>
          <w:sz w:val="25"/>
          <w:szCs w:val="25"/>
        </w:rPr>
        <w:t>，</w:t>
      </w:r>
      <w:r>
        <w:rPr>
          <w:rFonts w:ascii="仿宋" w:hAnsi="仿宋" w:eastAsia="仿宋" w:cs="仿宋"/>
          <w:spacing w:val="-75"/>
          <w:sz w:val="25"/>
          <w:szCs w:val="25"/>
        </w:rPr>
        <w:t xml:space="preserve"> </w:t>
      </w:r>
      <w:r>
        <w:rPr>
          <w:rFonts w:ascii="仿宋" w:hAnsi="仿宋" w:eastAsia="仿宋" w:cs="仿宋"/>
          <w:spacing w:val="4"/>
          <w:sz w:val="25"/>
          <w:szCs w:val="25"/>
        </w:rPr>
        <w:t>因</w:t>
      </w:r>
      <w:r>
        <w:rPr>
          <w:rFonts w:ascii="仿宋" w:hAnsi="仿宋" w:eastAsia="仿宋" w:cs="仿宋"/>
          <w:spacing w:val="-48"/>
          <w:sz w:val="25"/>
          <w:szCs w:val="25"/>
        </w:rPr>
        <w:t xml:space="preserve"> </w:t>
      </w:r>
      <w:r>
        <w:rPr>
          <w:rFonts w:ascii="Times New Roman" w:hAnsi="Times New Roman" w:eastAsia="Times New Roman" w:cs="Times New Roman"/>
          <w:sz w:val="25"/>
          <w:szCs w:val="25"/>
        </w:rPr>
        <w:t>CQ</w:t>
      </w:r>
      <w:r>
        <w:rPr>
          <w:rFonts w:ascii="Times New Roman" w:hAnsi="Times New Roman" w:eastAsia="Times New Roman" w:cs="Times New Roman"/>
          <w:spacing w:val="4"/>
          <w:sz w:val="25"/>
          <w:szCs w:val="25"/>
        </w:rPr>
        <w:t>029</w:t>
      </w:r>
      <w:r>
        <w:rPr>
          <w:rFonts w:ascii="Times New Roman" w:hAnsi="Times New Roman" w:eastAsia="Times New Roman" w:cs="Times New Roman"/>
          <w:spacing w:val="25"/>
          <w:sz w:val="25"/>
          <w:szCs w:val="25"/>
        </w:rPr>
        <w:t xml:space="preserve"> </w:t>
      </w:r>
      <w:r>
        <w:rPr>
          <w:rFonts w:ascii="仿宋" w:hAnsi="仿宋" w:eastAsia="仿宋" w:cs="仿宋"/>
          <w:spacing w:val="4"/>
          <w:sz w:val="25"/>
          <w:szCs w:val="25"/>
        </w:rPr>
        <w:t>位于黔江区</w:t>
      </w:r>
      <w:r>
        <w:rPr>
          <w:rFonts w:ascii="仿宋" w:hAnsi="仿宋" w:eastAsia="仿宋" w:cs="仿宋"/>
          <w:sz w:val="25"/>
          <w:szCs w:val="25"/>
        </w:rPr>
        <w:t xml:space="preserve"> </w:t>
      </w:r>
      <w:r>
        <w:rPr>
          <w:rFonts w:ascii="仿宋" w:hAnsi="仿宋" w:eastAsia="仿宋" w:cs="仿宋"/>
          <w:spacing w:val="11"/>
          <w:sz w:val="25"/>
          <w:szCs w:val="25"/>
        </w:rPr>
        <w:t>城周山体管制区内，其中</w:t>
      </w:r>
      <w:r>
        <w:rPr>
          <w:rFonts w:ascii="Times New Roman" w:hAnsi="Times New Roman" w:eastAsia="Times New Roman" w:cs="Times New Roman"/>
          <w:spacing w:val="11"/>
          <w:sz w:val="25"/>
          <w:szCs w:val="25"/>
        </w:rPr>
        <w:t>90%</w:t>
      </w:r>
      <w:r>
        <w:rPr>
          <w:rFonts w:ascii="仿宋" w:hAnsi="仿宋" w:eastAsia="仿宋" w:cs="仿宋"/>
          <w:spacing w:val="11"/>
          <w:sz w:val="25"/>
          <w:szCs w:val="25"/>
        </w:rPr>
        <w:t>位于禁建区，</w:t>
      </w:r>
      <w:r>
        <w:rPr>
          <w:rFonts w:ascii="Times New Roman" w:hAnsi="Times New Roman" w:eastAsia="Times New Roman" w:cs="Times New Roman"/>
          <w:spacing w:val="11"/>
          <w:sz w:val="25"/>
          <w:szCs w:val="25"/>
        </w:rPr>
        <w:t>10%</w:t>
      </w:r>
      <w:r>
        <w:rPr>
          <w:rFonts w:ascii="仿宋" w:hAnsi="仿宋" w:eastAsia="仿宋" w:cs="仿宋"/>
          <w:spacing w:val="11"/>
          <w:sz w:val="25"/>
          <w:szCs w:val="25"/>
        </w:rPr>
        <w:t>位于重点控建区，根据《黔江</w:t>
      </w:r>
      <w:r>
        <w:rPr>
          <w:rFonts w:ascii="仿宋" w:hAnsi="仿宋" w:eastAsia="仿宋" w:cs="仿宋"/>
          <w:spacing w:val="13"/>
          <w:sz w:val="25"/>
          <w:szCs w:val="25"/>
        </w:rPr>
        <w:t xml:space="preserve"> </w:t>
      </w:r>
      <w:r>
        <w:rPr>
          <w:rFonts w:ascii="仿宋" w:hAnsi="仿宋" w:eastAsia="仿宋" w:cs="仿宋"/>
          <w:spacing w:val="7"/>
          <w:sz w:val="25"/>
          <w:szCs w:val="25"/>
        </w:rPr>
        <w:t>区中心城区周边重要山体管制分区规划（修编）</w:t>
      </w:r>
      <w:r>
        <w:rPr>
          <w:spacing w:val="7"/>
          <w:sz w:val="25"/>
          <w:szCs w:val="25"/>
        </w:rPr>
        <w:t>•</w:t>
      </w:r>
      <w:r>
        <w:rPr>
          <w:rFonts w:ascii="仿宋" w:hAnsi="仿宋" w:eastAsia="仿宋" w:cs="仿宋"/>
          <w:spacing w:val="7"/>
          <w:sz w:val="25"/>
          <w:szCs w:val="25"/>
        </w:rPr>
        <w:t>文本》和《黔</w:t>
      </w:r>
      <w:r>
        <w:rPr>
          <w:rFonts w:ascii="仿宋" w:hAnsi="仿宋" w:eastAsia="仿宋" w:cs="仿宋"/>
          <w:spacing w:val="6"/>
          <w:sz w:val="25"/>
          <w:szCs w:val="25"/>
        </w:rPr>
        <w:t>江区中心城区周</w:t>
      </w:r>
      <w:r>
        <w:rPr>
          <w:rFonts w:ascii="仿宋" w:hAnsi="仿宋" w:eastAsia="仿宋" w:cs="仿宋"/>
          <w:sz w:val="25"/>
          <w:szCs w:val="25"/>
        </w:rPr>
        <w:t xml:space="preserve"> </w:t>
      </w:r>
      <w:r>
        <w:rPr>
          <w:rFonts w:ascii="仿宋" w:hAnsi="仿宋" w:eastAsia="仿宋" w:cs="仿宋"/>
          <w:spacing w:val="6"/>
          <w:sz w:val="25"/>
          <w:szCs w:val="25"/>
        </w:rPr>
        <w:t>边重要山体管制分区规划（修编） ·说明书》：禁建区</w:t>
      </w:r>
      <w:r>
        <w:rPr>
          <w:rFonts w:ascii="仿宋" w:hAnsi="仿宋" w:eastAsia="仿宋" w:cs="仿宋"/>
          <w:spacing w:val="5"/>
          <w:sz w:val="25"/>
          <w:szCs w:val="25"/>
        </w:rPr>
        <w:t>内禁止各类破坏环境的</w:t>
      </w:r>
      <w:r>
        <w:rPr>
          <w:rFonts w:ascii="仿宋" w:hAnsi="仿宋" w:eastAsia="仿宋" w:cs="仿宋"/>
          <w:sz w:val="25"/>
          <w:szCs w:val="25"/>
        </w:rPr>
        <w:t xml:space="preserve"> </w:t>
      </w:r>
      <w:r>
        <w:rPr>
          <w:rFonts w:ascii="仿宋" w:hAnsi="仿宋" w:eastAsia="仿宋" w:cs="仿宋"/>
          <w:spacing w:val="5"/>
          <w:sz w:val="25"/>
          <w:szCs w:val="25"/>
        </w:rPr>
        <w:t>开发建设活动，城市规划区内地下开采的非煤矿</w:t>
      </w:r>
      <w:r>
        <w:rPr>
          <w:rFonts w:ascii="仿宋" w:hAnsi="仿宋" w:eastAsia="仿宋" w:cs="仿宋"/>
          <w:spacing w:val="4"/>
          <w:sz w:val="25"/>
          <w:szCs w:val="25"/>
        </w:rPr>
        <w:t>山在</w:t>
      </w:r>
      <w:r>
        <w:rPr>
          <w:rFonts w:ascii="仿宋" w:hAnsi="仿宋" w:eastAsia="仿宋" w:cs="仿宋"/>
          <w:spacing w:val="-52"/>
          <w:sz w:val="25"/>
          <w:szCs w:val="25"/>
        </w:rPr>
        <w:t xml:space="preserve"> </w:t>
      </w:r>
      <w:r>
        <w:rPr>
          <w:rFonts w:ascii="Times New Roman" w:hAnsi="Times New Roman" w:eastAsia="Times New Roman" w:cs="Times New Roman"/>
          <w:spacing w:val="4"/>
          <w:sz w:val="25"/>
          <w:szCs w:val="25"/>
        </w:rPr>
        <w:t>2025</w:t>
      </w:r>
      <w:r>
        <w:rPr>
          <w:rFonts w:ascii="Times New Roman" w:hAnsi="Times New Roman" w:eastAsia="Times New Roman" w:cs="Times New Roman"/>
          <w:spacing w:val="25"/>
          <w:sz w:val="25"/>
          <w:szCs w:val="25"/>
        </w:rPr>
        <w:t xml:space="preserve"> </w:t>
      </w:r>
      <w:r>
        <w:rPr>
          <w:rFonts w:ascii="仿宋" w:hAnsi="仿宋" w:eastAsia="仿宋" w:cs="仿宋"/>
          <w:spacing w:val="4"/>
          <w:sz w:val="25"/>
          <w:szCs w:val="25"/>
        </w:rPr>
        <w:t>年底前有序关闭，其</w:t>
      </w:r>
    </w:p>
    <w:p w14:paraId="00792A9F">
      <w:pPr>
        <w:spacing w:line="339" w:lineRule="auto"/>
        <w:rPr>
          <w:rFonts w:ascii="仿宋" w:hAnsi="仿宋" w:eastAsia="仿宋" w:cs="仿宋"/>
          <w:sz w:val="25"/>
          <w:szCs w:val="25"/>
        </w:rPr>
        <w:sectPr>
          <w:headerReference r:id="rId11" w:type="default"/>
          <w:footerReference r:id="rId12" w:type="default"/>
          <w:pgSz w:w="11906" w:h="16839"/>
          <w:pgMar w:top="1116" w:right="1431" w:bottom="1480" w:left="1544" w:header="683" w:footer="1318" w:gutter="0"/>
          <w:cols w:space="720" w:num="1"/>
        </w:sectPr>
      </w:pPr>
    </w:p>
    <w:p w14:paraId="7D022A9A">
      <w:pPr>
        <w:pStyle w:val="2"/>
        <w:spacing w:line="386" w:lineRule="auto"/>
      </w:pPr>
    </w:p>
    <w:p w14:paraId="2D6AC72A">
      <w:pPr>
        <w:spacing w:before="81" w:line="339" w:lineRule="auto"/>
        <w:ind w:left="18" w:right="115"/>
        <w:jc w:val="both"/>
        <w:rPr>
          <w:rFonts w:ascii="仿宋" w:hAnsi="仿宋" w:eastAsia="仿宋" w:cs="仿宋"/>
          <w:sz w:val="25"/>
          <w:szCs w:val="25"/>
        </w:rPr>
      </w:pPr>
      <w:r>
        <w:rPr>
          <w:rFonts w:ascii="仿宋" w:hAnsi="仿宋" w:eastAsia="仿宋" w:cs="仿宋"/>
          <w:spacing w:val="9"/>
          <w:sz w:val="25"/>
          <w:szCs w:val="25"/>
        </w:rPr>
        <w:t>余矿山在采矿权合同到期后关闭。重点控建区内禁止非法开矿、非法开山、非</w:t>
      </w:r>
      <w:r>
        <w:rPr>
          <w:rFonts w:ascii="仿宋" w:hAnsi="仿宋" w:eastAsia="仿宋" w:cs="仿宋"/>
          <w:spacing w:val="17"/>
          <w:sz w:val="25"/>
          <w:szCs w:val="25"/>
        </w:rPr>
        <w:t xml:space="preserve"> </w:t>
      </w:r>
      <w:r>
        <w:rPr>
          <w:rFonts w:ascii="仿宋" w:hAnsi="仿宋" w:eastAsia="仿宋" w:cs="仿宋"/>
          <w:spacing w:val="9"/>
          <w:sz w:val="25"/>
          <w:szCs w:val="25"/>
        </w:rPr>
        <w:t>法采石，新采矿权的设置需区城市管理局、生态环境局、林业局、规划和自然</w:t>
      </w:r>
      <w:r>
        <w:rPr>
          <w:rFonts w:ascii="仿宋" w:hAnsi="仿宋" w:eastAsia="仿宋" w:cs="仿宋"/>
          <w:spacing w:val="17"/>
          <w:sz w:val="25"/>
          <w:szCs w:val="25"/>
        </w:rPr>
        <w:t xml:space="preserve"> </w:t>
      </w:r>
      <w:r>
        <w:rPr>
          <w:rFonts w:ascii="仿宋" w:hAnsi="仿宋" w:eastAsia="仿宋" w:cs="仿宋"/>
          <w:spacing w:val="9"/>
          <w:sz w:val="25"/>
          <w:szCs w:val="25"/>
        </w:rPr>
        <w:t>资源局、文旅委等部门审查同意，区政府批准。因此原《规划环评》要求：与</w:t>
      </w:r>
      <w:r>
        <w:rPr>
          <w:rFonts w:ascii="仿宋" w:hAnsi="仿宋" w:eastAsia="仿宋" w:cs="仿宋"/>
          <w:spacing w:val="17"/>
          <w:sz w:val="25"/>
          <w:szCs w:val="25"/>
        </w:rPr>
        <w:t xml:space="preserve"> </w:t>
      </w:r>
      <w:r>
        <w:rPr>
          <w:rFonts w:ascii="仿宋" w:hAnsi="仿宋" w:eastAsia="仿宋" w:cs="仿宋"/>
          <w:spacing w:val="13"/>
          <w:sz w:val="25"/>
          <w:szCs w:val="25"/>
        </w:rPr>
        <w:t>黔江区城周山体禁建区存在冲突的空白区新设开采区块</w:t>
      </w:r>
      <w:r>
        <w:rPr>
          <w:rFonts w:ascii="仿宋" w:hAnsi="仿宋" w:eastAsia="仿宋" w:cs="仿宋"/>
          <w:spacing w:val="-42"/>
          <w:sz w:val="25"/>
          <w:szCs w:val="25"/>
        </w:rPr>
        <w:t xml:space="preserve"> </w:t>
      </w:r>
      <w:r>
        <w:rPr>
          <w:rFonts w:ascii="Times New Roman" w:hAnsi="Times New Roman" w:eastAsia="Times New Roman" w:cs="Times New Roman"/>
          <w:sz w:val="25"/>
          <w:szCs w:val="25"/>
        </w:rPr>
        <w:t>CQ</w:t>
      </w:r>
      <w:r>
        <w:rPr>
          <w:rFonts w:ascii="Times New Roman" w:hAnsi="Times New Roman" w:eastAsia="Times New Roman" w:cs="Times New Roman"/>
          <w:spacing w:val="13"/>
          <w:sz w:val="25"/>
          <w:szCs w:val="25"/>
        </w:rPr>
        <w:t>029</w:t>
      </w:r>
      <w:r>
        <w:rPr>
          <w:rFonts w:ascii="Times New Roman" w:hAnsi="Times New Roman" w:eastAsia="Times New Roman" w:cs="Times New Roman"/>
          <w:spacing w:val="26"/>
          <w:w w:val="101"/>
          <w:sz w:val="25"/>
          <w:szCs w:val="25"/>
        </w:rPr>
        <w:t xml:space="preserve"> </w:t>
      </w:r>
      <w:r>
        <w:rPr>
          <w:rFonts w:ascii="仿宋" w:hAnsi="仿宋" w:eastAsia="仿宋" w:cs="仿宋"/>
          <w:spacing w:val="13"/>
          <w:sz w:val="25"/>
          <w:szCs w:val="25"/>
        </w:rPr>
        <w:t>应进一步优化</w:t>
      </w:r>
      <w:r>
        <w:rPr>
          <w:rFonts w:ascii="仿宋" w:hAnsi="仿宋" w:eastAsia="仿宋" w:cs="仿宋"/>
          <w:sz w:val="25"/>
          <w:szCs w:val="25"/>
        </w:rPr>
        <w:t xml:space="preserve"> </w:t>
      </w:r>
      <w:r>
        <w:rPr>
          <w:rFonts w:ascii="仿宋" w:hAnsi="仿宋" w:eastAsia="仿宋" w:cs="仿宋"/>
          <w:spacing w:val="8"/>
          <w:sz w:val="25"/>
          <w:szCs w:val="25"/>
        </w:rPr>
        <w:t>布局，严格落实黔江区城周山体禁建区管控要求。</w:t>
      </w:r>
    </w:p>
    <w:p w14:paraId="3F3543CA">
      <w:pPr>
        <w:spacing w:before="3" w:line="339" w:lineRule="auto"/>
        <w:ind w:left="15" w:right="115" w:firstLine="523"/>
        <w:jc w:val="both"/>
        <w:rPr>
          <w:rFonts w:ascii="仿宋" w:hAnsi="仿宋" w:eastAsia="仿宋" w:cs="仿宋"/>
          <w:sz w:val="25"/>
          <w:szCs w:val="25"/>
        </w:rPr>
      </w:pPr>
      <w:r>
        <w:rPr>
          <w:rFonts w:ascii="仿宋" w:hAnsi="仿宋" w:eastAsia="仿宋" w:cs="仿宋"/>
          <w:spacing w:val="9"/>
          <w:sz w:val="25"/>
          <w:szCs w:val="25"/>
        </w:rPr>
        <w:t>取得原《规划环评》审查意见后，重庆市黔江区规划和自然资源局编制的</w:t>
      </w:r>
      <w:r>
        <w:rPr>
          <w:rFonts w:ascii="仿宋" w:hAnsi="仿宋" w:eastAsia="仿宋" w:cs="仿宋"/>
          <w:spacing w:val="15"/>
          <w:sz w:val="25"/>
          <w:szCs w:val="25"/>
        </w:rPr>
        <w:t xml:space="preserve"> </w:t>
      </w:r>
      <w:r>
        <w:rPr>
          <w:rFonts w:ascii="仿宋" w:hAnsi="仿宋" w:eastAsia="仿宋" w:cs="仿宋"/>
          <w:spacing w:val="11"/>
          <w:sz w:val="25"/>
          <w:szCs w:val="25"/>
        </w:rPr>
        <w:t>《规划》采纳了原《规划环评》提出的反馈意见，将</w:t>
      </w:r>
      <w:r>
        <w:rPr>
          <w:rFonts w:ascii="仿宋" w:hAnsi="仿宋" w:eastAsia="仿宋" w:cs="仿宋"/>
          <w:spacing w:val="-37"/>
          <w:sz w:val="25"/>
          <w:szCs w:val="25"/>
        </w:rPr>
        <w:t xml:space="preserve"> </w:t>
      </w:r>
      <w:r>
        <w:rPr>
          <w:rFonts w:ascii="Times New Roman" w:hAnsi="Times New Roman" w:eastAsia="Times New Roman" w:cs="Times New Roman"/>
          <w:sz w:val="25"/>
          <w:szCs w:val="25"/>
        </w:rPr>
        <w:t>KQ</w:t>
      </w:r>
      <w:r>
        <w:rPr>
          <w:rFonts w:ascii="Times New Roman" w:hAnsi="Times New Roman" w:eastAsia="Times New Roman" w:cs="Times New Roman"/>
          <w:spacing w:val="11"/>
          <w:sz w:val="25"/>
          <w:szCs w:val="25"/>
        </w:rPr>
        <w:t>003/</w:t>
      </w:r>
      <w:r>
        <w:rPr>
          <w:rFonts w:ascii="Times New Roman" w:hAnsi="Times New Roman" w:eastAsia="Times New Roman" w:cs="Times New Roman"/>
          <w:sz w:val="25"/>
          <w:szCs w:val="25"/>
        </w:rPr>
        <w:t>CQ</w:t>
      </w:r>
      <w:r>
        <w:rPr>
          <w:rFonts w:ascii="Times New Roman" w:hAnsi="Times New Roman" w:eastAsia="Times New Roman" w:cs="Times New Roman"/>
          <w:spacing w:val="11"/>
          <w:sz w:val="25"/>
          <w:szCs w:val="25"/>
        </w:rPr>
        <w:t>029</w:t>
      </w:r>
      <w:r>
        <w:rPr>
          <w:rFonts w:ascii="Times New Roman" w:hAnsi="Times New Roman" w:eastAsia="Times New Roman" w:cs="Times New Roman"/>
          <w:spacing w:val="24"/>
          <w:w w:val="101"/>
          <w:sz w:val="25"/>
          <w:szCs w:val="25"/>
        </w:rPr>
        <w:t xml:space="preserve"> </w:t>
      </w:r>
      <w:r>
        <w:rPr>
          <w:rFonts w:ascii="仿宋" w:hAnsi="仿宋" w:eastAsia="仿宋" w:cs="仿宋"/>
          <w:spacing w:val="11"/>
          <w:sz w:val="25"/>
          <w:szCs w:val="25"/>
        </w:rPr>
        <w:t>调整至重</w:t>
      </w:r>
      <w:r>
        <w:rPr>
          <w:rFonts w:ascii="仿宋" w:hAnsi="仿宋" w:eastAsia="仿宋" w:cs="仿宋"/>
          <w:sz w:val="25"/>
          <w:szCs w:val="25"/>
        </w:rPr>
        <w:t xml:space="preserve"> </w:t>
      </w:r>
      <w:r>
        <w:rPr>
          <w:rFonts w:ascii="仿宋" w:hAnsi="仿宋" w:eastAsia="仿宋" w:cs="仿宋"/>
          <w:spacing w:val="10"/>
          <w:sz w:val="25"/>
          <w:szCs w:val="25"/>
        </w:rPr>
        <w:t>庆市黔江区沙坝镇脉，区块名称调整为重庆市</w:t>
      </w:r>
      <w:r>
        <w:rPr>
          <w:rFonts w:ascii="仿宋" w:hAnsi="仿宋" w:eastAsia="仿宋" w:cs="仿宋"/>
          <w:spacing w:val="9"/>
          <w:sz w:val="25"/>
          <w:szCs w:val="25"/>
        </w:rPr>
        <w:t>黔江区沙坝镇脉东社区石筒漕饰</w:t>
      </w:r>
      <w:r>
        <w:rPr>
          <w:rFonts w:ascii="仿宋" w:hAnsi="仿宋" w:eastAsia="仿宋" w:cs="仿宋"/>
          <w:sz w:val="25"/>
          <w:szCs w:val="25"/>
        </w:rPr>
        <w:t xml:space="preserve"> </w:t>
      </w:r>
      <w:r>
        <w:rPr>
          <w:rFonts w:ascii="仿宋" w:hAnsi="仿宋" w:eastAsia="仿宋" w:cs="仿宋"/>
          <w:spacing w:val="5"/>
          <w:sz w:val="25"/>
          <w:szCs w:val="25"/>
        </w:rPr>
        <w:t>面用灰岩矿，面积缩小为</w:t>
      </w:r>
      <w:r>
        <w:rPr>
          <w:rFonts w:ascii="仿宋" w:hAnsi="仿宋" w:eastAsia="仿宋" w:cs="仿宋"/>
          <w:spacing w:val="-46"/>
          <w:sz w:val="25"/>
          <w:szCs w:val="25"/>
        </w:rPr>
        <w:t xml:space="preserve"> </w:t>
      </w:r>
      <w:r>
        <w:rPr>
          <w:rFonts w:ascii="Times New Roman" w:hAnsi="Times New Roman" w:eastAsia="Times New Roman" w:cs="Times New Roman"/>
          <w:spacing w:val="5"/>
          <w:sz w:val="25"/>
          <w:szCs w:val="25"/>
        </w:rPr>
        <w:t>0.0297</w:t>
      </w:r>
      <w:r>
        <w:rPr>
          <w:rFonts w:ascii="Times New Roman" w:hAnsi="Times New Roman" w:eastAsia="Times New Roman" w:cs="Times New Roman"/>
          <w:sz w:val="25"/>
          <w:szCs w:val="25"/>
        </w:rPr>
        <w:t>km</w:t>
      </w:r>
      <w:r>
        <w:rPr>
          <w:rFonts w:ascii="Times New Roman" w:hAnsi="Times New Roman" w:eastAsia="Times New Roman" w:cs="Times New Roman"/>
          <w:spacing w:val="5"/>
          <w:position w:val="8"/>
          <w:sz w:val="16"/>
          <w:szCs w:val="16"/>
        </w:rPr>
        <w:t xml:space="preserve">2 </w:t>
      </w:r>
      <w:r>
        <w:rPr>
          <w:rFonts w:ascii="仿宋" w:hAnsi="仿宋" w:eastAsia="仿宋" w:cs="仿宋"/>
          <w:spacing w:val="5"/>
          <w:sz w:val="25"/>
          <w:szCs w:val="25"/>
        </w:rPr>
        <w:t>，于</w:t>
      </w:r>
      <w:r>
        <w:rPr>
          <w:rFonts w:ascii="仿宋" w:hAnsi="仿宋" w:eastAsia="仿宋" w:cs="仿宋"/>
          <w:spacing w:val="-49"/>
          <w:sz w:val="25"/>
          <w:szCs w:val="25"/>
        </w:rPr>
        <w:t xml:space="preserve"> </w:t>
      </w:r>
      <w:r>
        <w:rPr>
          <w:rFonts w:ascii="Times New Roman" w:hAnsi="Times New Roman" w:eastAsia="Times New Roman" w:cs="Times New Roman"/>
          <w:spacing w:val="5"/>
          <w:sz w:val="25"/>
          <w:szCs w:val="25"/>
        </w:rPr>
        <w:t>2023</w:t>
      </w:r>
      <w:r>
        <w:rPr>
          <w:rFonts w:ascii="Times New Roman" w:hAnsi="Times New Roman" w:eastAsia="Times New Roman" w:cs="Times New Roman"/>
          <w:spacing w:val="32"/>
          <w:sz w:val="25"/>
          <w:szCs w:val="25"/>
        </w:rPr>
        <w:t xml:space="preserve"> </w:t>
      </w:r>
      <w:r>
        <w:rPr>
          <w:rFonts w:ascii="仿宋" w:hAnsi="仿宋" w:eastAsia="仿宋" w:cs="仿宋"/>
          <w:spacing w:val="5"/>
          <w:sz w:val="25"/>
          <w:szCs w:val="25"/>
        </w:rPr>
        <w:t>年</w:t>
      </w:r>
      <w:r>
        <w:rPr>
          <w:rFonts w:ascii="仿宋" w:hAnsi="仿宋" w:eastAsia="仿宋" w:cs="仿宋"/>
          <w:spacing w:val="-50"/>
          <w:sz w:val="25"/>
          <w:szCs w:val="25"/>
        </w:rPr>
        <w:t xml:space="preserve"> </w:t>
      </w:r>
      <w:r>
        <w:rPr>
          <w:rFonts w:ascii="Times New Roman" w:hAnsi="Times New Roman" w:eastAsia="Times New Roman" w:cs="Times New Roman"/>
          <w:spacing w:val="5"/>
          <w:sz w:val="25"/>
          <w:szCs w:val="25"/>
        </w:rPr>
        <w:t>2</w:t>
      </w:r>
      <w:r>
        <w:rPr>
          <w:rFonts w:ascii="Times New Roman" w:hAnsi="Times New Roman" w:eastAsia="Times New Roman" w:cs="Times New Roman"/>
          <w:spacing w:val="36"/>
          <w:w w:val="101"/>
          <w:sz w:val="25"/>
          <w:szCs w:val="25"/>
        </w:rPr>
        <w:t xml:space="preserve"> </w:t>
      </w:r>
      <w:r>
        <w:rPr>
          <w:rFonts w:ascii="仿宋" w:hAnsi="仿宋" w:eastAsia="仿宋" w:cs="仿宋"/>
          <w:spacing w:val="5"/>
          <w:sz w:val="25"/>
          <w:szCs w:val="25"/>
        </w:rPr>
        <w:t>月</w:t>
      </w:r>
      <w:r>
        <w:rPr>
          <w:rFonts w:ascii="仿宋" w:hAnsi="仿宋" w:eastAsia="仿宋" w:cs="仿宋"/>
          <w:spacing w:val="-45"/>
          <w:sz w:val="25"/>
          <w:szCs w:val="25"/>
        </w:rPr>
        <w:t xml:space="preserve"> </w:t>
      </w:r>
      <w:r>
        <w:rPr>
          <w:rFonts w:ascii="Times New Roman" w:hAnsi="Times New Roman" w:eastAsia="Times New Roman" w:cs="Times New Roman"/>
          <w:spacing w:val="5"/>
          <w:sz w:val="25"/>
          <w:szCs w:val="25"/>
        </w:rPr>
        <w:t xml:space="preserve">30  </w:t>
      </w:r>
      <w:r>
        <w:rPr>
          <w:rFonts w:ascii="仿宋" w:hAnsi="仿宋" w:eastAsia="仿宋" w:cs="仿宋"/>
          <w:spacing w:val="4"/>
          <w:sz w:val="25"/>
          <w:szCs w:val="25"/>
        </w:rPr>
        <w:t>日黔江区人民政府以</w:t>
      </w:r>
      <w:r>
        <w:rPr>
          <w:rFonts w:ascii="仿宋" w:hAnsi="仿宋" w:eastAsia="仿宋" w:cs="仿宋"/>
          <w:sz w:val="25"/>
          <w:szCs w:val="25"/>
        </w:rPr>
        <w:t xml:space="preserve"> </w:t>
      </w:r>
      <w:r>
        <w:rPr>
          <w:rFonts w:ascii="仿宋" w:hAnsi="仿宋" w:eastAsia="仿宋" w:cs="仿宋"/>
          <w:spacing w:val="7"/>
          <w:sz w:val="25"/>
          <w:szCs w:val="25"/>
        </w:rPr>
        <w:t>黔江府办发〔</w:t>
      </w:r>
      <w:r>
        <w:rPr>
          <w:rFonts w:ascii="Times New Roman" w:hAnsi="Times New Roman" w:eastAsia="Times New Roman" w:cs="Times New Roman"/>
          <w:spacing w:val="7"/>
          <w:sz w:val="25"/>
          <w:szCs w:val="25"/>
        </w:rPr>
        <w:t>2023</w:t>
      </w:r>
      <w:r>
        <w:rPr>
          <w:rFonts w:ascii="仿宋" w:hAnsi="仿宋" w:eastAsia="仿宋" w:cs="仿宋"/>
          <w:spacing w:val="7"/>
          <w:sz w:val="25"/>
          <w:szCs w:val="25"/>
        </w:rPr>
        <w:t>〕</w:t>
      </w:r>
      <w:r>
        <w:rPr>
          <w:rFonts w:ascii="Times New Roman" w:hAnsi="Times New Roman" w:eastAsia="Times New Roman" w:cs="Times New Roman"/>
          <w:spacing w:val="7"/>
          <w:sz w:val="25"/>
          <w:szCs w:val="25"/>
        </w:rPr>
        <w:t>10</w:t>
      </w:r>
      <w:r>
        <w:rPr>
          <w:rFonts w:ascii="Times New Roman" w:hAnsi="Times New Roman" w:eastAsia="Times New Roman" w:cs="Times New Roman"/>
          <w:spacing w:val="33"/>
          <w:w w:val="101"/>
          <w:sz w:val="25"/>
          <w:szCs w:val="25"/>
        </w:rPr>
        <w:t xml:space="preserve"> </w:t>
      </w:r>
      <w:r>
        <w:rPr>
          <w:rFonts w:ascii="仿宋" w:hAnsi="仿宋" w:eastAsia="仿宋" w:cs="仿宋"/>
          <w:spacing w:val="7"/>
          <w:sz w:val="25"/>
          <w:szCs w:val="25"/>
        </w:rPr>
        <w:t>号文对《规划》进行正式发布实施。</w:t>
      </w:r>
    </w:p>
    <w:p w14:paraId="144C2CB9">
      <w:pPr>
        <w:spacing w:before="8" w:line="339" w:lineRule="auto"/>
        <w:ind w:left="15" w:firstLine="547"/>
        <w:jc w:val="both"/>
        <w:rPr>
          <w:rFonts w:ascii="仿宋" w:hAnsi="仿宋" w:eastAsia="仿宋" w:cs="仿宋"/>
          <w:sz w:val="25"/>
          <w:szCs w:val="25"/>
        </w:rPr>
      </w:pPr>
      <w:r>
        <w:rPr>
          <w:rFonts w:ascii="仿宋" w:hAnsi="仿宋" w:eastAsia="仿宋" w:cs="仿宋"/>
          <w:spacing w:val="9"/>
          <w:sz w:val="25"/>
          <w:szCs w:val="25"/>
        </w:rPr>
        <w:t>因</w:t>
      </w:r>
      <w:r>
        <w:rPr>
          <w:rFonts w:ascii="仿宋" w:hAnsi="仿宋" w:eastAsia="仿宋" w:cs="仿宋"/>
          <w:spacing w:val="-46"/>
          <w:sz w:val="25"/>
          <w:szCs w:val="25"/>
        </w:rPr>
        <w:t xml:space="preserve"> </w:t>
      </w:r>
      <w:r>
        <w:rPr>
          <w:rFonts w:ascii="Times New Roman" w:hAnsi="Times New Roman" w:eastAsia="Times New Roman" w:cs="Times New Roman"/>
          <w:sz w:val="25"/>
          <w:szCs w:val="25"/>
        </w:rPr>
        <w:t>KQ</w:t>
      </w:r>
      <w:r>
        <w:rPr>
          <w:rFonts w:ascii="Times New Roman" w:hAnsi="Times New Roman" w:eastAsia="Times New Roman" w:cs="Times New Roman"/>
          <w:spacing w:val="9"/>
          <w:sz w:val="25"/>
          <w:szCs w:val="25"/>
        </w:rPr>
        <w:t>003/</w:t>
      </w:r>
      <w:r>
        <w:rPr>
          <w:rFonts w:ascii="Times New Roman" w:hAnsi="Times New Roman" w:eastAsia="Times New Roman" w:cs="Times New Roman"/>
          <w:sz w:val="25"/>
          <w:szCs w:val="25"/>
        </w:rPr>
        <w:t>CQ</w:t>
      </w:r>
      <w:r>
        <w:rPr>
          <w:rFonts w:ascii="Times New Roman" w:hAnsi="Times New Roman" w:eastAsia="Times New Roman" w:cs="Times New Roman"/>
          <w:spacing w:val="9"/>
          <w:sz w:val="25"/>
          <w:szCs w:val="25"/>
        </w:rPr>
        <w:t>029</w:t>
      </w:r>
      <w:r>
        <w:rPr>
          <w:rFonts w:ascii="Times New Roman" w:hAnsi="Times New Roman" w:eastAsia="Times New Roman" w:cs="Times New Roman"/>
          <w:spacing w:val="28"/>
          <w:sz w:val="25"/>
          <w:szCs w:val="25"/>
        </w:rPr>
        <w:t xml:space="preserve"> </w:t>
      </w:r>
      <w:r>
        <w:rPr>
          <w:rFonts w:ascii="仿宋" w:hAnsi="仿宋" w:eastAsia="仿宋" w:cs="仿宋"/>
          <w:spacing w:val="9"/>
          <w:sz w:val="25"/>
          <w:szCs w:val="25"/>
        </w:rPr>
        <w:t>位置调整，未在原《规划环评》</w:t>
      </w:r>
      <w:r>
        <w:rPr>
          <w:rFonts w:ascii="仿宋" w:hAnsi="仿宋" w:eastAsia="仿宋" w:cs="仿宋"/>
          <w:spacing w:val="-56"/>
          <w:sz w:val="25"/>
          <w:szCs w:val="25"/>
        </w:rPr>
        <w:t xml:space="preserve"> </w:t>
      </w:r>
      <w:r>
        <w:rPr>
          <w:rFonts w:ascii="仿宋" w:hAnsi="仿宋" w:eastAsia="仿宋" w:cs="仿宋"/>
          <w:spacing w:val="9"/>
          <w:sz w:val="25"/>
          <w:szCs w:val="25"/>
        </w:rPr>
        <w:t>中进行环境影响分析，</w:t>
      </w:r>
      <w:r>
        <w:rPr>
          <w:rFonts w:ascii="仿宋" w:hAnsi="仿宋" w:eastAsia="仿宋" w:cs="仿宋"/>
          <w:sz w:val="25"/>
          <w:szCs w:val="25"/>
        </w:rPr>
        <w:t xml:space="preserve"> </w:t>
      </w:r>
      <w:r>
        <w:rPr>
          <w:rFonts w:ascii="仿宋" w:hAnsi="仿宋" w:eastAsia="仿宋" w:cs="仿宋"/>
          <w:spacing w:val="1"/>
          <w:sz w:val="25"/>
          <w:szCs w:val="25"/>
        </w:rPr>
        <w:t>因此本次评价将重点对《规划调整》的</w:t>
      </w:r>
      <w:r>
        <w:rPr>
          <w:rFonts w:ascii="仿宋" w:hAnsi="仿宋" w:eastAsia="仿宋" w:cs="仿宋"/>
          <w:spacing w:val="-55"/>
          <w:sz w:val="25"/>
          <w:szCs w:val="25"/>
        </w:rPr>
        <w:t xml:space="preserve"> </w:t>
      </w:r>
      <w:r>
        <w:rPr>
          <w:rFonts w:ascii="Times New Roman" w:hAnsi="Times New Roman" w:eastAsia="Times New Roman" w:cs="Times New Roman"/>
          <w:spacing w:val="1"/>
          <w:sz w:val="25"/>
          <w:szCs w:val="25"/>
        </w:rPr>
        <w:t>2</w:t>
      </w:r>
      <w:r>
        <w:rPr>
          <w:rFonts w:ascii="Times New Roman" w:hAnsi="Times New Roman" w:eastAsia="Times New Roman" w:cs="Times New Roman"/>
          <w:spacing w:val="22"/>
          <w:w w:val="101"/>
          <w:sz w:val="25"/>
          <w:szCs w:val="25"/>
        </w:rPr>
        <w:t xml:space="preserve"> </w:t>
      </w:r>
      <w:r>
        <w:rPr>
          <w:rFonts w:ascii="仿宋" w:hAnsi="仿宋" w:eastAsia="仿宋" w:cs="仿宋"/>
          <w:spacing w:val="1"/>
          <w:sz w:val="25"/>
          <w:szCs w:val="25"/>
        </w:rPr>
        <w:t>个勘查区块</w:t>
      </w:r>
      <w:r>
        <w:rPr>
          <w:rFonts w:ascii="仿宋" w:hAnsi="仿宋" w:eastAsia="仿宋" w:cs="仿宋"/>
          <w:spacing w:val="-56"/>
          <w:sz w:val="25"/>
          <w:szCs w:val="25"/>
        </w:rPr>
        <w:t xml:space="preserve"> </w:t>
      </w:r>
      <w:r>
        <w:rPr>
          <w:rFonts w:ascii="Times New Roman" w:hAnsi="Times New Roman" w:eastAsia="Times New Roman" w:cs="Times New Roman"/>
          <w:sz w:val="25"/>
          <w:szCs w:val="25"/>
        </w:rPr>
        <w:t>KQ</w:t>
      </w:r>
      <w:r>
        <w:rPr>
          <w:rFonts w:ascii="Times New Roman" w:hAnsi="Times New Roman" w:eastAsia="Times New Roman" w:cs="Times New Roman"/>
          <w:spacing w:val="1"/>
          <w:sz w:val="25"/>
          <w:szCs w:val="25"/>
        </w:rPr>
        <w:t>004</w:t>
      </w:r>
      <w:r>
        <w:rPr>
          <w:rFonts w:ascii="仿宋" w:hAnsi="仿宋" w:eastAsia="仿宋" w:cs="仿宋"/>
          <w:spacing w:val="1"/>
          <w:sz w:val="25"/>
          <w:szCs w:val="25"/>
        </w:rPr>
        <w:t>、</w:t>
      </w:r>
      <w:r>
        <w:rPr>
          <w:rFonts w:ascii="Times New Roman" w:hAnsi="Times New Roman" w:eastAsia="Times New Roman" w:cs="Times New Roman"/>
          <w:sz w:val="25"/>
          <w:szCs w:val="25"/>
        </w:rPr>
        <w:t>KQ</w:t>
      </w:r>
      <w:r>
        <w:rPr>
          <w:rFonts w:ascii="Times New Roman" w:hAnsi="Times New Roman" w:eastAsia="Times New Roman" w:cs="Times New Roman"/>
          <w:spacing w:val="1"/>
          <w:sz w:val="25"/>
          <w:szCs w:val="25"/>
        </w:rPr>
        <w:t>009</w:t>
      </w:r>
      <w:r>
        <w:rPr>
          <w:rFonts w:ascii="Times New Roman" w:hAnsi="Times New Roman" w:eastAsia="Times New Roman" w:cs="Times New Roman"/>
          <w:spacing w:val="22"/>
          <w:w w:val="101"/>
          <w:sz w:val="25"/>
          <w:szCs w:val="25"/>
        </w:rPr>
        <w:t xml:space="preserve"> </w:t>
      </w:r>
      <w:r>
        <w:rPr>
          <w:rFonts w:ascii="仿宋" w:hAnsi="仿宋" w:eastAsia="仿宋" w:cs="仿宋"/>
          <w:spacing w:val="1"/>
          <w:sz w:val="25"/>
          <w:szCs w:val="25"/>
        </w:rPr>
        <w:t>和《规划》</w:t>
      </w:r>
      <w:r>
        <w:rPr>
          <w:rFonts w:ascii="仿宋" w:hAnsi="仿宋" w:eastAsia="仿宋" w:cs="仿宋"/>
          <w:sz w:val="25"/>
          <w:szCs w:val="25"/>
        </w:rPr>
        <w:t xml:space="preserve"> </w:t>
      </w:r>
      <w:r>
        <w:rPr>
          <w:rFonts w:ascii="仿宋" w:hAnsi="仿宋" w:eastAsia="仿宋" w:cs="仿宋"/>
          <w:spacing w:val="11"/>
          <w:sz w:val="25"/>
          <w:szCs w:val="25"/>
        </w:rPr>
        <w:t>调整的</w:t>
      </w:r>
      <w:r>
        <w:rPr>
          <w:rFonts w:ascii="仿宋" w:hAnsi="仿宋" w:eastAsia="仿宋" w:cs="仿宋"/>
          <w:spacing w:val="-50"/>
          <w:sz w:val="25"/>
          <w:szCs w:val="25"/>
        </w:rPr>
        <w:t xml:space="preserve"> </w:t>
      </w:r>
      <w:r>
        <w:rPr>
          <w:rFonts w:ascii="Times New Roman" w:hAnsi="Times New Roman" w:eastAsia="Times New Roman" w:cs="Times New Roman"/>
          <w:sz w:val="25"/>
          <w:szCs w:val="25"/>
        </w:rPr>
        <w:t>KQ</w:t>
      </w:r>
      <w:r>
        <w:rPr>
          <w:rFonts w:ascii="Times New Roman" w:hAnsi="Times New Roman" w:eastAsia="Times New Roman" w:cs="Times New Roman"/>
          <w:spacing w:val="11"/>
          <w:sz w:val="25"/>
          <w:szCs w:val="25"/>
        </w:rPr>
        <w:t>003/</w:t>
      </w:r>
      <w:r>
        <w:rPr>
          <w:rFonts w:ascii="Times New Roman" w:hAnsi="Times New Roman" w:eastAsia="Times New Roman" w:cs="Times New Roman"/>
          <w:sz w:val="25"/>
          <w:szCs w:val="25"/>
        </w:rPr>
        <w:t>CQ</w:t>
      </w:r>
      <w:r>
        <w:rPr>
          <w:rFonts w:ascii="Times New Roman" w:hAnsi="Times New Roman" w:eastAsia="Times New Roman" w:cs="Times New Roman"/>
          <w:spacing w:val="11"/>
          <w:sz w:val="25"/>
          <w:szCs w:val="25"/>
        </w:rPr>
        <w:t>029</w:t>
      </w:r>
      <w:r>
        <w:rPr>
          <w:rFonts w:ascii="Times New Roman" w:hAnsi="Times New Roman" w:eastAsia="Times New Roman" w:cs="Times New Roman"/>
          <w:spacing w:val="42"/>
          <w:sz w:val="25"/>
          <w:szCs w:val="25"/>
        </w:rPr>
        <w:t xml:space="preserve"> </w:t>
      </w:r>
      <w:r>
        <w:rPr>
          <w:rFonts w:ascii="仿宋" w:hAnsi="仿宋" w:eastAsia="仿宋" w:cs="仿宋"/>
          <w:spacing w:val="11"/>
          <w:sz w:val="25"/>
          <w:szCs w:val="25"/>
        </w:rPr>
        <w:t>的进行评价。主要分析规划调整规划区块（</w:t>
      </w:r>
      <w:r>
        <w:rPr>
          <w:rFonts w:ascii="仿宋" w:hAnsi="仿宋" w:eastAsia="仿宋" w:cs="仿宋"/>
          <w:spacing w:val="10"/>
          <w:sz w:val="25"/>
          <w:szCs w:val="25"/>
        </w:rPr>
        <w:t>不含取消区</w:t>
      </w:r>
      <w:r>
        <w:rPr>
          <w:rFonts w:ascii="仿宋" w:hAnsi="仿宋" w:eastAsia="仿宋" w:cs="仿宋"/>
          <w:sz w:val="25"/>
          <w:szCs w:val="25"/>
        </w:rPr>
        <w:t xml:space="preserve">  </w:t>
      </w:r>
      <w:r>
        <w:rPr>
          <w:rFonts w:ascii="仿宋" w:hAnsi="仿宋" w:eastAsia="仿宋" w:cs="仿宋"/>
          <w:spacing w:val="10"/>
          <w:sz w:val="25"/>
          <w:szCs w:val="25"/>
        </w:rPr>
        <w:t>块）是否符合最新的产业政策及环保要求，分</w:t>
      </w:r>
      <w:r>
        <w:rPr>
          <w:rFonts w:ascii="仿宋" w:hAnsi="仿宋" w:eastAsia="仿宋" w:cs="仿宋"/>
          <w:spacing w:val="9"/>
          <w:sz w:val="25"/>
          <w:szCs w:val="25"/>
        </w:rPr>
        <w:t>析规划调整实施过程中产生的环</w:t>
      </w:r>
      <w:r>
        <w:rPr>
          <w:rFonts w:ascii="仿宋" w:hAnsi="仿宋" w:eastAsia="仿宋" w:cs="仿宋"/>
          <w:sz w:val="25"/>
          <w:szCs w:val="25"/>
        </w:rPr>
        <w:t xml:space="preserve">  </w:t>
      </w:r>
      <w:r>
        <w:rPr>
          <w:rFonts w:ascii="仿宋" w:hAnsi="仿宋" w:eastAsia="仿宋" w:cs="仿宋"/>
          <w:spacing w:val="5"/>
          <w:sz w:val="25"/>
          <w:szCs w:val="25"/>
        </w:rPr>
        <w:t>境问题和环境影响，评价规划调整项目对规划整体环境影响所造成的变化情况，</w:t>
      </w:r>
      <w:r>
        <w:rPr>
          <w:rFonts w:ascii="仿宋" w:hAnsi="仿宋" w:eastAsia="仿宋" w:cs="仿宋"/>
          <w:spacing w:val="16"/>
          <w:sz w:val="25"/>
          <w:szCs w:val="25"/>
        </w:rPr>
        <w:t xml:space="preserve"> </w:t>
      </w:r>
      <w:r>
        <w:rPr>
          <w:rFonts w:ascii="仿宋" w:hAnsi="仿宋" w:eastAsia="仿宋" w:cs="仿宋"/>
          <w:spacing w:val="10"/>
          <w:sz w:val="25"/>
          <w:szCs w:val="25"/>
        </w:rPr>
        <w:t>并在此基础上分析规划调整项目对规划整体环</w:t>
      </w:r>
      <w:r>
        <w:rPr>
          <w:rFonts w:ascii="仿宋" w:hAnsi="仿宋" w:eastAsia="仿宋" w:cs="仿宋"/>
          <w:spacing w:val="9"/>
          <w:sz w:val="25"/>
          <w:szCs w:val="25"/>
        </w:rPr>
        <w:t>境影响所造成的变化情况，提出</w:t>
      </w:r>
      <w:r>
        <w:rPr>
          <w:rFonts w:ascii="仿宋" w:hAnsi="仿宋" w:eastAsia="仿宋" w:cs="仿宋"/>
          <w:sz w:val="25"/>
          <w:szCs w:val="25"/>
        </w:rPr>
        <w:t xml:space="preserve">  </w:t>
      </w:r>
      <w:r>
        <w:rPr>
          <w:rFonts w:ascii="仿宋" w:hAnsi="仿宋" w:eastAsia="仿宋" w:cs="仿宋"/>
          <w:spacing w:val="5"/>
          <w:sz w:val="25"/>
          <w:szCs w:val="25"/>
        </w:rPr>
        <w:t>环保减缓对策措施，并根据《规划调整》后产生的环境影响，在原《规划环评》</w:t>
      </w:r>
      <w:r>
        <w:rPr>
          <w:rFonts w:ascii="仿宋" w:hAnsi="仿宋" w:eastAsia="仿宋" w:cs="仿宋"/>
          <w:spacing w:val="16"/>
          <w:sz w:val="25"/>
          <w:szCs w:val="25"/>
        </w:rPr>
        <w:t xml:space="preserve"> </w:t>
      </w:r>
      <w:r>
        <w:rPr>
          <w:rFonts w:ascii="仿宋" w:hAnsi="仿宋" w:eastAsia="仿宋" w:cs="仿宋"/>
          <w:spacing w:val="10"/>
          <w:sz w:val="25"/>
          <w:szCs w:val="25"/>
        </w:rPr>
        <w:t>的基础上对规划调整后的环境影响评价指标体</w:t>
      </w:r>
      <w:r>
        <w:rPr>
          <w:rFonts w:ascii="仿宋" w:hAnsi="仿宋" w:eastAsia="仿宋" w:cs="仿宋"/>
          <w:spacing w:val="9"/>
          <w:sz w:val="25"/>
          <w:szCs w:val="25"/>
        </w:rPr>
        <w:t>系进行微调。其余本次规划未做</w:t>
      </w:r>
      <w:r>
        <w:rPr>
          <w:rFonts w:ascii="仿宋" w:hAnsi="仿宋" w:eastAsia="仿宋" w:cs="仿宋"/>
          <w:sz w:val="25"/>
          <w:szCs w:val="25"/>
        </w:rPr>
        <w:t xml:space="preserve">  </w:t>
      </w:r>
      <w:r>
        <w:rPr>
          <w:rFonts w:ascii="仿宋" w:hAnsi="仿宋" w:eastAsia="仿宋" w:cs="仿宋"/>
          <w:spacing w:val="22"/>
          <w:sz w:val="25"/>
          <w:szCs w:val="25"/>
        </w:rPr>
        <w:t>调整的相关影响分析结论</w:t>
      </w:r>
      <w:r>
        <w:rPr>
          <w:rFonts w:ascii="仿宋" w:hAnsi="仿宋" w:eastAsia="仿宋" w:cs="仿宋"/>
          <w:spacing w:val="-60"/>
          <w:sz w:val="25"/>
          <w:szCs w:val="25"/>
        </w:rPr>
        <w:t xml:space="preserve"> </w:t>
      </w:r>
      <w:r>
        <w:rPr>
          <w:rFonts w:ascii="仿宋" w:hAnsi="仿宋" w:eastAsia="仿宋" w:cs="仿宋"/>
          <w:spacing w:val="22"/>
          <w:sz w:val="25"/>
          <w:szCs w:val="25"/>
        </w:rPr>
        <w:t>、</w:t>
      </w:r>
      <w:r>
        <w:rPr>
          <w:rFonts w:ascii="仿宋" w:hAnsi="仿宋" w:eastAsia="仿宋" w:cs="仿宋"/>
          <w:spacing w:val="-68"/>
          <w:sz w:val="25"/>
          <w:szCs w:val="25"/>
        </w:rPr>
        <w:t xml:space="preserve"> </w:t>
      </w:r>
      <w:r>
        <w:rPr>
          <w:rFonts w:ascii="仿宋" w:hAnsi="仿宋" w:eastAsia="仿宋" w:cs="仿宋"/>
          <w:spacing w:val="22"/>
          <w:sz w:val="25"/>
          <w:szCs w:val="25"/>
        </w:rPr>
        <w:t>管控要求按《重庆市黔江区矿产资源总体规划</w:t>
      </w:r>
      <w:r>
        <w:rPr>
          <w:rFonts w:ascii="仿宋" w:hAnsi="仿宋" w:eastAsia="仿宋" w:cs="仿宋"/>
          <w:sz w:val="25"/>
          <w:szCs w:val="25"/>
        </w:rPr>
        <w:t xml:space="preserve">  </w:t>
      </w:r>
      <w:r>
        <w:rPr>
          <w:rFonts w:ascii="仿宋" w:hAnsi="仿宋" w:eastAsia="仿宋" w:cs="仿宋"/>
          <w:spacing w:val="5"/>
          <w:sz w:val="25"/>
          <w:szCs w:val="25"/>
        </w:rPr>
        <w:t>（</w:t>
      </w:r>
      <w:r>
        <w:rPr>
          <w:rFonts w:ascii="Times New Roman" w:hAnsi="Times New Roman" w:eastAsia="Times New Roman" w:cs="Times New Roman"/>
          <w:spacing w:val="5"/>
          <w:sz w:val="25"/>
          <w:szCs w:val="25"/>
        </w:rPr>
        <w:t>2021-2025</w:t>
      </w:r>
      <w:r>
        <w:rPr>
          <w:rFonts w:ascii="Times New Roman" w:hAnsi="Times New Roman" w:eastAsia="Times New Roman" w:cs="Times New Roman"/>
          <w:spacing w:val="28"/>
          <w:sz w:val="25"/>
          <w:szCs w:val="25"/>
        </w:rPr>
        <w:t xml:space="preserve"> </w:t>
      </w:r>
      <w:r>
        <w:rPr>
          <w:rFonts w:ascii="仿宋" w:hAnsi="仿宋" w:eastAsia="仿宋" w:cs="仿宋"/>
          <w:spacing w:val="5"/>
          <w:sz w:val="25"/>
          <w:szCs w:val="25"/>
        </w:rPr>
        <w:t>年）环境影响报告书</w:t>
      </w:r>
      <w:r>
        <w:rPr>
          <w:rFonts w:ascii="仿宋" w:hAnsi="仿宋" w:eastAsia="仿宋" w:cs="仿宋"/>
          <w:spacing w:val="4"/>
          <w:sz w:val="25"/>
          <w:szCs w:val="25"/>
        </w:rPr>
        <w:t>》及其审查意见（渝环函〔</w:t>
      </w:r>
      <w:r>
        <w:rPr>
          <w:rFonts w:ascii="Times New Roman" w:hAnsi="Times New Roman" w:eastAsia="Times New Roman" w:cs="Times New Roman"/>
          <w:spacing w:val="4"/>
          <w:sz w:val="25"/>
          <w:szCs w:val="25"/>
        </w:rPr>
        <w:t>2022</w:t>
      </w:r>
      <w:r>
        <w:rPr>
          <w:rFonts w:ascii="仿宋" w:hAnsi="仿宋" w:eastAsia="仿宋" w:cs="仿宋"/>
          <w:spacing w:val="4"/>
          <w:sz w:val="25"/>
          <w:szCs w:val="25"/>
        </w:rPr>
        <w:t>〕</w:t>
      </w:r>
      <w:r>
        <w:rPr>
          <w:rFonts w:ascii="Times New Roman" w:hAnsi="Times New Roman" w:eastAsia="Times New Roman" w:cs="Times New Roman"/>
          <w:spacing w:val="4"/>
          <w:sz w:val="25"/>
          <w:szCs w:val="25"/>
        </w:rPr>
        <w:t>456</w:t>
      </w:r>
      <w:r>
        <w:rPr>
          <w:rFonts w:ascii="Times New Roman" w:hAnsi="Times New Roman" w:eastAsia="Times New Roman" w:cs="Times New Roman"/>
          <w:spacing w:val="28"/>
          <w:sz w:val="25"/>
          <w:szCs w:val="25"/>
        </w:rPr>
        <w:t xml:space="preserve"> </w:t>
      </w:r>
      <w:r>
        <w:rPr>
          <w:rFonts w:ascii="仿宋" w:hAnsi="仿宋" w:eastAsia="仿宋" w:cs="仿宋"/>
          <w:spacing w:val="4"/>
          <w:sz w:val="25"/>
          <w:szCs w:val="25"/>
        </w:rPr>
        <w:t>号）执</w:t>
      </w:r>
      <w:r>
        <w:rPr>
          <w:rFonts w:ascii="仿宋" w:hAnsi="仿宋" w:eastAsia="仿宋" w:cs="仿宋"/>
          <w:sz w:val="25"/>
          <w:szCs w:val="25"/>
        </w:rPr>
        <w:t xml:space="preserve">  </w:t>
      </w:r>
      <w:r>
        <w:rPr>
          <w:rFonts w:ascii="仿宋" w:hAnsi="仿宋" w:eastAsia="仿宋" w:cs="仿宋"/>
          <w:spacing w:val="8"/>
          <w:sz w:val="25"/>
          <w:szCs w:val="25"/>
        </w:rPr>
        <w:t>行，在本次规划补充环评中不再进行复述。</w:t>
      </w:r>
    </w:p>
    <w:p w14:paraId="767EC374">
      <w:pPr>
        <w:spacing w:before="5" w:line="303" w:lineRule="auto"/>
        <w:ind w:left="16" w:right="115" w:firstLine="525"/>
        <w:rPr>
          <w:rFonts w:ascii="仿宋" w:hAnsi="仿宋" w:eastAsia="仿宋" w:cs="仿宋"/>
          <w:sz w:val="25"/>
          <w:szCs w:val="25"/>
        </w:rPr>
      </w:pPr>
      <w:r>
        <w:rPr>
          <w:rFonts w:ascii="仿宋" w:hAnsi="仿宋" w:eastAsia="仿宋" w:cs="仿宋"/>
          <w:spacing w:val="5"/>
          <w:sz w:val="25"/>
          <w:szCs w:val="25"/>
        </w:rPr>
        <w:t>（</w:t>
      </w:r>
      <w:r>
        <w:rPr>
          <w:rFonts w:ascii="Times New Roman" w:hAnsi="Times New Roman" w:eastAsia="Times New Roman" w:cs="Times New Roman"/>
          <w:spacing w:val="5"/>
          <w:sz w:val="25"/>
          <w:szCs w:val="25"/>
        </w:rPr>
        <w:t>2</w:t>
      </w:r>
      <w:r>
        <w:rPr>
          <w:rFonts w:ascii="仿宋" w:hAnsi="仿宋" w:eastAsia="仿宋" w:cs="仿宋"/>
          <w:spacing w:val="5"/>
          <w:sz w:val="25"/>
          <w:szCs w:val="25"/>
        </w:rPr>
        <w:t>）环境现状调查方面，将对未发生明显变化的自然地理状况、区域生态</w:t>
      </w:r>
      <w:r>
        <w:rPr>
          <w:rFonts w:ascii="仿宋" w:hAnsi="仿宋" w:eastAsia="仿宋" w:cs="仿宋"/>
          <w:spacing w:val="10"/>
          <w:sz w:val="25"/>
          <w:szCs w:val="25"/>
        </w:rPr>
        <w:t xml:space="preserve"> 环境现状等内容进行简化，重点调查规划调</w:t>
      </w:r>
      <w:r>
        <w:rPr>
          <w:rFonts w:ascii="仿宋" w:hAnsi="仿宋" w:eastAsia="仿宋" w:cs="仿宋"/>
          <w:spacing w:val="9"/>
          <w:sz w:val="25"/>
          <w:szCs w:val="25"/>
        </w:rPr>
        <w:t>整内容涉及区域的环境质量和生态</w:t>
      </w:r>
      <w:r>
        <w:rPr>
          <w:rFonts w:ascii="仿宋" w:hAnsi="仿宋" w:eastAsia="仿宋" w:cs="仿宋"/>
          <w:sz w:val="25"/>
          <w:szCs w:val="25"/>
        </w:rPr>
        <w:t xml:space="preserve"> </w:t>
      </w:r>
      <w:r>
        <w:rPr>
          <w:rFonts w:ascii="仿宋" w:hAnsi="仿宋" w:eastAsia="仿宋" w:cs="仿宋"/>
          <w:spacing w:val="5"/>
          <w:sz w:val="25"/>
          <w:szCs w:val="25"/>
        </w:rPr>
        <w:t>环境现状等。</w:t>
      </w:r>
    </w:p>
    <w:p w14:paraId="073338AD">
      <w:pPr>
        <w:spacing w:before="150" w:line="321" w:lineRule="auto"/>
        <w:ind w:left="15" w:right="112" w:firstLine="526"/>
        <w:rPr>
          <w:rFonts w:ascii="仿宋" w:hAnsi="仿宋" w:eastAsia="仿宋" w:cs="仿宋"/>
          <w:sz w:val="25"/>
          <w:szCs w:val="25"/>
        </w:rPr>
      </w:pPr>
      <w:r>
        <w:rPr>
          <w:rFonts w:ascii="仿宋" w:hAnsi="仿宋" w:eastAsia="仿宋" w:cs="仿宋"/>
          <w:spacing w:val="8"/>
          <w:sz w:val="25"/>
          <w:szCs w:val="25"/>
        </w:rPr>
        <w:t>（</w:t>
      </w:r>
      <w:r>
        <w:rPr>
          <w:rFonts w:ascii="Times New Roman" w:hAnsi="Times New Roman" w:eastAsia="Times New Roman" w:cs="Times New Roman"/>
          <w:spacing w:val="8"/>
          <w:sz w:val="25"/>
          <w:szCs w:val="25"/>
        </w:rPr>
        <w:t>3</w:t>
      </w:r>
      <w:r>
        <w:rPr>
          <w:rFonts w:ascii="仿宋" w:hAnsi="仿宋" w:eastAsia="仿宋" w:cs="仿宋"/>
          <w:spacing w:val="8"/>
          <w:sz w:val="25"/>
          <w:szCs w:val="25"/>
        </w:rPr>
        <w:t>）</w:t>
      </w:r>
      <w:r>
        <w:rPr>
          <w:rFonts w:ascii="仿宋" w:hAnsi="仿宋" w:eastAsia="仿宋" w:cs="仿宋"/>
          <w:spacing w:val="-104"/>
          <w:sz w:val="25"/>
          <w:szCs w:val="25"/>
        </w:rPr>
        <w:t xml:space="preserve"> </w:t>
      </w:r>
      <w:r>
        <w:rPr>
          <w:rFonts w:ascii="仿宋" w:hAnsi="仿宋" w:eastAsia="仿宋" w:cs="仿宋"/>
          <w:spacing w:val="8"/>
          <w:sz w:val="25"/>
          <w:szCs w:val="25"/>
        </w:rPr>
        <w:t>《重庆市国土空间总体规划（</w:t>
      </w:r>
      <w:r>
        <w:rPr>
          <w:rFonts w:ascii="Times New Roman" w:hAnsi="Times New Roman" w:eastAsia="Times New Roman" w:cs="Times New Roman"/>
          <w:spacing w:val="8"/>
          <w:sz w:val="25"/>
          <w:szCs w:val="25"/>
        </w:rPr>
        <w:t>2021—2035</w:t>
      </w:r>
      <w:r>
        <w:rPr>
          <w:rFonts w:ascii="Times New Roman" w:hAnsi="Times New Roman" w:eastAsia="Times New Roman" w:cs="Times New Roman"/>
          <w:spacing w:val="30"/>
          <w:sz w:val="25"/>
          <w:szCs w:val="25"/>
        </w:rPr>
        <w:t xml:space="preserve"> </w:t>
      </w:r>
      <w:r>
        <w:rPr>
          <w:rFonts w:ascii="仿宋" w:hAnsi="仿宋" w:eastAsia="仿宋" w:cs="仿宋"/>
          <w:spacing w:val="8"/>
          <w:sz w:val="25"/>
          <w:szCs w:val="25"/>
        </w:rPr>
        <w:t>年）》（国函〔</w:t>
      </w:r>
      <w:r>
        <w:rPr>
          <w:rFonts w:ascii="Times New Roman" w:hAnsi="Times New Roman" w:eastAsia="Times New Roman" w:cs="Times New Roman"/>
          <w:spacing w:val="8"/>
          <w:sz w:val="25"/>
          <w:szCs w:val="25"/>
        </w:rPr>
        <w:t>2024</w:t>
      </w:r>
      <w:r>
        <w:rPr>
          <w:rFonts w:ascii="仿宋" w:hAnsi="仿宋" w:eastAsia="仿宋" w:cs="仿宋"/>
          <w:spacing w:val="8"/>
          <w:sz w:val="25"/>
          <w:szCs w:val="25"/>
        </w:rPr>
        <w:t>〕</w:t>
      </w:r>
      <w:r>
        <w:rPr>
          <w:rFonts w:ascii="Times New Roman" w:hAnsi="Times New Roman" w:eastAsia="Times New Roman" w:cs="Times New Roman"/>
          <w:spacing w:val="8"/>
          <w:sz w:val="25"/>
          <w:szCs w:val="25"/>
        </w:rPr>
        <w:t>32</w:t>
      </w:r>
      <w:r>
        <w:rPr>
          <w:rFonts w:ascii="Times New Roman" w:hAnsi="Times New Roman" w:eastAsia="Times New Roman" w:cs="Times New Roman"/>
          <w:sz w:val="25"/>
          <w:szCs w:val="25"/>
        </w:rPr>
        <w:t xml:space="preserve"> </w:t>
      </w:r>
      <w:r>
        <w:rPr>
          <w:rFonts w:ascii="仿宋" w:hAnsi="仿宋" w:eastAsia="仿宋" w:cs="仿宋"/>
          <w:spacing w:val="8"/>
          <w:sz w:val="25"/>
          <w:szCs w:val="25"/>
        </w:rPr>
        <w:t>号）</w:t>
      </w:r>
      <w:r>
        <w:rPr>
          <w:rFonts w:ascii="仿宋" w:hAnsi="仿宋" w:eastAsia="仿宋" w:cs="仿宋"/>
          <w:spacing w:val="-63"/>
          <w:sz w:val="25"/>
          <w:szCs w:val="25"/>
        </w:rPr>
        <w:t xml:space="preserve"> </w:t>
      </w:r>
      <w:r>
        <w:rPr>
          <w:rFonts w:ascii="仿宋" w:hAnsi="仿宋" w:eastAsia="仿宋" w:cs="仿宋"/>
          <w:spacing w:val="8"/>
          <w:sz w:val="25"/>
          <w:szCs w:val="25"/>
        </w:rPr>
        <w:t>已经发布，其生态保护红线、永久基本农田、城镇开发</w:t>
      </w:r>
      <w:r>
        <w:rPr>
          <w:rFonts w:ascii="仿宋" w:hAnsi="仿宋" w:eastAsia="仿宋" w:cs="仿宋"/>
          <w:spacing w:val="7"/>
          <w:sz w:val="25"/>
          <w:szCs w:val="25"/>
        </w:rPr>
        <w:t>边界等有调整，在</w:t>
      </w:r>
      <w:r>
        <w:rPr>
          <w:rFonts w:ascii="仿宋" w:hAnsi="仿宋" w:eastAsia="仿宋" w:cs="仿宋"/>
          <w:sz w:val="25"/>
          <w:szCs w:val="25"/>
        </w:rPr>
        <w:t xml:space="preserve"> </w:t>
      </w:r>
      <w:r>
        <w:rPr>
          <w:rFonts w:ascii="仿宋" w:hAnsi="仿宋" w:eastAsia="仿宋" w:cs="仿宋"/>
          <w:spacing w:val="9"/>
          <w:sz w:val="25"/>
          <w:szCs w:val="25"/>
        </w:rPr>
        <w:t>回顾性评价、环境影响分析中均采用新的“</w:t>
      </w:r>
      <w:r>
        <w:rPr>
          <w:rFonts w:ascii="仿宋" w:hAnsi="仿宋" w:eastAsia="仿宋" w:cs="仿宋"/>
          <w:spacing w:val="8"/>
          <w:sz w:val="25"/>
          <w:szCs w:val="25"/>
        </w:rPr>
        <w:t>三线</w:t>
      </w:r>
      <w:r>
        <w:rPr>
          <w:rFonts w:ascii="仿宋" w:hAnsi="仿宋" w:eastAsia="仿宋" w:cs="仿宋"/>
          <w:spacing w:val="-88"/>
          <w:sz w:val="25"/>
          <w:szCs w:val="25"/>
        </w:rPr>
        <w:t xml:space="preserve"> </w:t>
      </w:r>
      <w:r>
        <w:rPr>
          <w:rFonts w:ascii="仿宋" w:hAnsi="仿宋" w:eastAsia="仿宋" w:cs="仿宋"/>
          <w:spacing w:val="8"/>
          <w:sz w:val="25"/>
          <w:szCs w:val="25"/>
        </w:rPr>
        <w:t>”进行叠图分析；对发生变化</w:t>
      </w:r>
      <w:r>
        <w:rPr>
          <w:rFonts w:ascii="仿宋" w:hAnsi="仿宋" w:eastAsia="仿宋" w:cs="仿宋"/>
          <w:sz w:val="25"/>
          <w:szCs w:val="25"/>
        </w:rPr>
        <w:t xml:space="preserve"> </w:t>
      </w:r>
      <w:r>
        <w:rPr>
          <w:rFonts w:ascii="仿宋" w:hAnsi="仿宋" w:eastAsia="仿宋" w:cs="仿宋"/>
          <w:spacing w:val="8"/>
          <w:sz w:val="25"/>
          <w:szCs w:val="25"/>
        </w:rPr>
        <w:t>的环境因素（公益林、“三线一单</w:t>
      </w:r>
      <w:r>
        <w:rPr>
          <w:rFonts w:ascii="仿宋" w:hAnsi="仿宋" w:eastAsia="仿宋" w:cs="仿宋"/>
          <w:spacing w:val="-88"/>
          <w:sz w:val="25"/>
          <w:szCs w:val="25"/>
        </w:rPr>
        <w:t xml:space="preserve"> </w:t>
      </w:r>
      <w:r>
        <w:rPr>
          <w:rFonts w:ascii="仿宋" w:hAnsi="仿宋" w:eastAsia="仿宋" w:cs="仿宋"/>
          <w:spacing w:val="8"/>
          <w:sz w:val="25"/>
          <w:szCs w:val="25"/>
        </w:rPr>
        <w:t>”环境管控单元、集中式饮用水</w:t>
      </w:r>
      <w:r>
        <w:rPr>
          <w:rFonts w:ascii="仿宋" w:hAnsi="仿宋" w:eastAsia="仿宋" w:cs="仿宋"/>
          <w:spacing w:val="7"/>
          <w:sz w:val="25"/>
          <w:szCs w:val="25"/>
        </w:rPr>
        <w:t>源保护区）</w:t>
      </w:r>
      <w:r>
        <w:rPr>
          <w:rFonts w:ascii="仿宋" w:hAnsi="仿宋" w:eastAsia="仿宋" w:cs="仿宋"/>
          <w:sz w:val="25"/>
          <w:szCs w:val="25"/>
        </w:rPr>
        <w:t xml:space="preserve"> </w:t>
      </w:r>
      <w:r>
        <w:rPr>
          <w:rFonts w:ascii="仿宋" w:hAnsi="仿宋" w:eastAsia="仿宋" w:cs="仿宋"/>
          <w:spacing w:val="10"/>
          <w:sz w:val="25"/>
          <w:szCs w:val="25"/>
        </w:rPr>
        <w:t>在回顾性评价过程中采用最新的数据；其他未</w:t>
      </w:r>
      <w:r>
        <w:rPr>
          <w:rFonts w:ascii="仿宋" w:hAnsi="仿宋" w:eastAsia="仿宋" w:cs="仿宋"/>
          <w:spacing w:val="9"/>
          <w:sz w:val="25"/>
          <w:szCs w:val="25"/>
        </w:rPr>
        <w:t>发生变化的环境因素（如自然保</w:t>
      </w:r>
      <w:r>
        <w:rPr>
          <w:rFonts w:ascii="仿宋" w:hAnsi="仿宋" w:eastAsia="仿宋" w:cs="仿宋"/>
          <w:sz w:val="25"/>
          <w:szCs w:val="25"/>
        </w:rPr>
        <w:t xml:space="preserve"> </w:t>
      </w:r>
      <w:r>
        <w:rPr>
          <w:rFonts w:ascii="仿宋" w:hAnsi="仿宋" w:eastAsia="仿宋" w:cs="仿宋"/>
          <w:spacing w:val="9"/>
          <w:sz w:val="25"/>
          <w:szCs w:val="25"/>
        </w:rPr>
        <w:t>护地等）只针对本次规划调整的区块进行了叠图</w:t>
      </w:r>
      <w:r>
        <w:rPr>
          <w:rFonts w:ascii="仿宋" w:hAnsi="仿宋" w:eastAsia="仿宋" w:cs="仿宋"/>
          <w:spacing w:val="8"/>
          <w:sz w:val="25"/>
          <w:szCs w:val="25"/>
        </w:rPr>
        <w:t>分析。</w:t>
      </w:r>
    </w:p>
    <w:p w14:paraId="35E22A47">
      <w:pPr>
        <w:spacing w:line="321" w:lineRule="auto"/>
        <w:rPr>
          <w:rFonts w:ascii="仿宋" w:hAnsi="仿宋" w:eastAsia="仿宋" w:cs="仿宋"/>
          <w:sz w:val="25"/>
          <w:szCs w:val="25"/>
        </w:rPr>
        <w:sectPr>
          <w:headerReference r:id="rId13" w:type="default"/>
          <w:footerReference r:id="rId14" w:type="default"/>
          <w:pgSz w:w="11906" w:h="16839"/>
          <w:pgMar w:top="1116" w:right="1360" w:bottom="1477" w:left="1587" w:header="683" w:footer="1318" w:gutter="0"/>
          <w:cols w:space="720" w:num="1"/>
        </w:sectPr>
      </w:pPr>
    </w:p>
    <w:p w14:paraId="038C7435">
      <w:pPr>
        <w:pStyle w:val="2"/>
        <w:spacing w:line="281" w:lineRule="auto"/>
      </w:pPr>
    </w:p>
    <w:p w14:paraId="7E2AA02E">
      <w:pPr>
        <w:spacing w:before="81" w:line="229" w:lineRule="auto"/>
        <w:ind w:left="16"/>
        <w:outlineLvl w:val="1"/>
        <w:rPr>
          <w:rFonts w:ascii="仿宋" w:hAnsi="仿宋" w:eastAsia="仿宋" w:cs="仿宋"/>
          <w:sz w:val="25"/>
          <w:szCs w:val="25"/>
        </w:rPr>
      </w:pPr>
      <w:bookmarkStart w:id="5" w:name="bookmark5"/>
      <w:bookmarkEnd w:id="5"/>
      <w:r>
        <w:rPr>
          <w:rFonts w:ascii="Times New Roman" w:hAnsi="Times New Roman" w:eastAsia="Times New Roman" w:cs="Times New Roman"/>
          <w:b/>
          <w:bCs/>
          <w:spacing w:val="1"/>
          <w:sz w:val="25"/>
          <w:szCs w:val="25"/>
        </w:rPr>
        <w:t>1.2</w:t>
      </w:r>
      <w:r>
        <w:rPr>
          <w:rFonts w:ascii="Times New Roman" w:hAnsi="Times New Roman" w:eastAsia="Times New Roman" w:cs="Times New Roman"/>
          <w:b/>
          <w:bCs/>
          <w:spacing w:val="12"/>
          <w:sz w:val="25"/>
          <w:szCs w:val="25"/>
        </w:rPr>
        <w:t xml:space="preserve">  </w:t>
      </w:r>
      <w:r>
        <w:rPr>
          <w:rFonts w:ascii="仿宋" w:hAnsi="仿宋" w:eastAsia="仿宋" w:cs="仿宋"/>
          <w:b/>
          <w:bCs/>
          <w:spacing w:val="1"/>
          <w:sz w:val="25"/>
          <w:szCs w:val="25"/>
        </w:rPr>
        <w:t>评价依据</w:t>
      </w:r>
    </w:p>
    <w:p w14:paraId="1A0305FE">
      <w:pPr>
        <w:spacing w:before="250" w:line="228" w:lineRule="auto"/>
        <w:ind w:left="16"/>
        <w:outlineLvl w:val="2"/>
        <w:rPr>
          <w:rFonts w:ascii="仿宋" w:hAnsi="仿宋" w:eastAsia="仿宋" w:cs="仿宋"/>
          <w:sz w:val="25"/>
          <w:szCs w:val="25"/>
        </w:rPr>
      </w:pPr>
      <w:r>
        <w:rPr>
          <w:rFonts w:ascii="Times New Roman" w:hAnsi="Times New Roman" w:eastAsia="Times New Roman" w:cs="Times New Roman"/>
          <w:b/>
          <w:bCs/>
          <w:spacing w:val="4"/>
          <w:sz w:val="25"/>
          <w:szCs w:val="25"/>
        </w:rPr>
        <w:t xml:space="preserve">1.2.1  </w:t>
      </w:r>
      <w:r>
        <w:rPr>
          <w:rFonts w:ascii="仿宋" w:hAnsi="仿宋" w:eastAsia="仿宋" w:cs="仿宋"/>
          <w:b/>
          <w:bCs/>
          <w:spacing w:val="4"/>
          <w:sz w:val="25"/>
          <w:szCs w:val="25"/>
        </w:rPr>
        <w:t>环境保护法律法规</w:t>
      </w:r>
    </w:p>
    <w:p w14:paraId="7546733E">
      <w:pPr>
        <w:spacing w:before="271" w:line="285" w:lineRule="auto"/>
        <w:ind w:left="28" w:right="73" w:firstLine="513"/>
        <w:rPr>
          <w:rFonts w:ascii="仿宋" w:hAnsi="仿宋" w:eastAsia="仿宋" w:cs="仿宋"/>
          <w:sz w:val="25"/>
          <w:szCs w:val="25"/>
        </w:rPr>
      </w:pPr>
      <w:r>
        <w:rPr>
          <w:rFonts w:ascii="仿宋" w:hAnsi="仿宋" w:eastAsia="仿宋" w:cs="仿宋"/>
          <w:spacing w:val="5"/>
          <w:sz w:val="25"/>
          <w:szCs w:val="25"/>
        </w:rPr>
        <w:t>（</w:t>
      </w:r>
      <w:r>
        <w:rPr>
          <w:rFonts w:ascii="Times New Roman" w:hAnsi="Times New Roman" w:eastAsia="Times New Roman" w:cs="Times New Roman"/>
          <w:spacing w:val="5"/>
          <w:sz w:val="25"/>
          <w:szCs w:val="25"/>
        </w:rPr>
        <w:t>1</w:t>
      </w:r>
      <w:r>
        <w:rPr>
          <w:rFonts w:ascii="仿宋" w:hAnsi="仿宋" w:eastAsia="仿宋" w:cs="仿宋"/>
          <w:spacing w:val="5"/>
          <w:sz w:val="25"/>
          <w:szCs w:val="25"/>
        </w:rPr>
        <w:t>）《中华人民共和国环境保护法》（主席令</w:t>
      </w:r>
      <w:r>
        <w:rPr>
          <w:rFonts w:ascii="仿宋" w:hAnsi="仿宋" w:eastAsia="仿宋" w:cs="仿宋"/>
          <w:spacing w:val="-49"/>
          <w:sz w:val="25"/>
          <w:szCs w:val="25"/>
        </w:rPr>
        <w:t xml:space="preserve"> </w:t>
      </w:r>
      <w:r>
        <w:rPr>
          <w:rFonts w:ascii="Times New Roman" w:hAnsi="Times New Roman" w:eastAsia="Times New Roman" w:cs="Times New Roman"/>
          <w:spacing w:val="5"/>
          <w:sz w:val="25"/>
          <w:szCs w:val="25"/>
        </w:rPr>
        <w:t>2014</w:t>
      </w:r>
      <w:r>
        <w:rPr>
          <w:rFonts w:ascii="Times New Roman" w:hAnsi="Times New Roman" w:eastAsia="Times New Roman" w:cs="Times New Roman"/>
          <w:spacing w:val="27"/>
          <w:sz w:val="25"/>
          <w:szCs w:val="25"/>
        </w:rPr>
        <w:t xml:space="preserve"> </w:t>
      </w:r>
      <w:r>
        <w:rPr>
          <w:rFonts w:ascii="仿宋" w:hAnsi="仿宋" w:eastAsia="仿宋" w:cs="仿宋"/>
          <w:spacing w:val="5"/>
          <w:sz w:val="25"/>
          <w:szCs w:val="25"/>
        </w:rPr>
        <w:t>年第</w:t>
      </w:r>
      <w:r>
        <w:rPr>
          <w:rFonts w:ascii="仿宋" w:hAnsi="仿宋" w:eastAsia="仿宋" w:cs="仿宋"/>
          <w:spacing w:val="-50"/>
          <w:sz w:val="25"/>
          <w:szCs w:val="25"/>
        </w:rPr>
        <w:t xml:space="preserve"> </w:t>
      </w:r>
      <w:r>
        <w:rPr>
          <w:rFonts w:ascii="Times New Roman" w:hAnsi="Times New Roman" w:eastAsia="Times New Roman" w:cs="Times New Roman"/>
          <w:spacing w:val="5"/>
          <w:sz w:val="25"/>
          <w:szCs w:val="25"/>
        </w:rPr>
        <w:t>9</w:t>
      </w:r>
      <w:r>
        <w:rPr>
          <w:rFonts w:ascii="Times New Roman" w:hAnsi="Times New Roman" w:eastAsia="Times New Roman" w:cs="Times New Roman"/>
          <w:spacing w:val="28"/>
          <w:w w:val="101"/>
          <w:sz w:val="25"/>
          <w:szCs w:val="25"/>
        </w:rPr>
        <w:t xml:space="preserve"> </w:t>
      </w:r>
      <w:r>
        <w:rPr>
          <w:rFonts w:ascii="仿宋" w:hAnsi="仿宋" w:eastAsia="仿宋" w:cs="仿宋"/>
          <w:spacing w:val="5"/>
          <w:sz w:val="25"/>
          <w:szCs w:val="25"/>
        </w:rPr>
        <w:t>号，</w:t>
      </w:r>
      <w:r>
        <w:rPr>
          <w:rFonts w:ascii="Times New Roman" w:hAnsi="Times New Roman" w:eastAsia="Times New Roman" w:cs="Times New Roman"/>
          <w:spacing w:val="5"/>
          <w:sz w:val="25"/>
          <w:szCs w:val="25"/>
        </w:rPr>
        <w:t>2014</w:t>
      </w:r>
      <w:r>
        <w:rPr>
          <w:rFonts w:ascii="Times New Roman" w:hAnsi="Times New Roman" w:eastAsia="Times New Roman" w:cs="Times New Roman"/>
          <w:spacing w:val="27"/>
          <w:sz w:val="25"/>
          <w:szCs w:val="25"/>
        </w:rPr>
        <w:t xml:space="preserve"> </w:t>
      </w:r>
      <w:r>
        <w:rPr>
          <w:rFonts w:ascii="仿宋" w:hAnsi="仿宋" w:eastAsia="仿宋" w:cs="仿宋"/>
          <w:spacing w:val="5"/>
          <w:sz w:val="25"/>
          <w:szCs w:val="25"/>
        </w:rPr>
        <w:t>年</w:t>
      </w:r>
      <w:r>
        <w:rPr>
          <w:rFonts w:ascii="仿宋" w:hAnsi="仿宋" w:eastAsia="仿宋" w:cs="仿宋"/>
          <w:spacing w:val="-56"/>
          <w:sz w:val="25"/>
          <w:szCs w:val="25"/>
        </w:rPr>
        <w:t xml:space="preserve"> </w:t>
      </w:r>
      <w:r>
        <w:rPr>
          <w:rFonts w:ascii="Times New Roman" w:hAnsi="Times New Roman" w:eastAsia="Times New Roman" w:cs="Times New Roman"/>
          <w:spacing w:val="5"/>
          <w:sz w:val="25"/>
          <w:szCs w:val="25"/>
        </w:rPr>
        <w:t>4</w:t>
      </w:r>
      <w:r>
        <w:rPr>
          <w:rFonts w:ascii="Times New Roman" w:hAnsi="Times New Roman" w:eastAsia="Times New Roman" w:cs="Times New Roman"/>
          <w:sz w:val="25"/>
          <w:szCs w:val="25"/>
        </w:rPr>
        <w:t xml:space="preserve"> </w:t>
      </w:r>
      <w:r>
        <w:rPr>
          <w:rFonts w:ascii="仿宋" w:hAnsi="仿宋" w:eastAsia="仿宋" w:cs="仿宋"/>
          <w:spacing w:val="-6"/>
          <w:sz w:val="25"/>
          <w:szCs w:val="25"/>
        </w:rPr>
        <w:t>月</w:t>
      </w:r>
      <w:r>
        <w:rPr>
          <w:rFonts w:ascii="仿宋" w:hAnsi="仿宋" w:eastAsia="仿宋" w:cs="仿宋"/>
          <w:spacing w:val="-51"/>
          <w:sz w:val="25"/>
          <w:szCs w:val="25"/>
        </w:rPr>
        <w:t xml:space="preserve"> </w:t>
      </w:r>
      <w:r>
        <w:rPr>
          <w:rFonts w:ascii="Times New Roman" w:hAnsi="Times New Roman" w:eastAsia="Times New Roman" w:cs="Times New Roman"/>
          <w:spacing w:val="-6"/>
          <w:sz w:val="25"/>
          <w:szCs w:val="25"/>
        </w:rPr>
        <w:t xml:space="preserve">24  </w:t>
      </w:r>
      <w:r>
        <w:rPr>
          <w:rFonts w:ascii="仿宋" w:hAnsi="仿宋" w:eastAsia="仿宋" w:cs="仿宋"/>
          <w:spacing w:val="-6"/>
          <w:sz w:val="25"/>
          <w:szCs w:val="25"/>
        </w:rPr>
        <w:t>日修订，</w:t>
      </w:r>
      <w:r>
        <w:rPr>
          <w:rFonts w:ascii="Times New Roman" w:hAnsi="Times New Roman" w:eastAsia="Times New Roman" w:cs="Times New Roman"/>
          <w:spacing w:val="-6"/>
          <w:sz w:val="25"/>
          <w:szCs w:val="25"/>
        </w:rPr>
        <w:t>2015</w:t>
      </w:r>
      <w:r>
        <w:rPr>
          <w:rFonts w:ascii="Times New Roman" w:hAnsi="Times New Roman" w:eastAsia="Times New Roman" w:cs="Times New Roman"/>
          <w:spacing w:val="27"/>
          <w:sz w:val="25"/>
          <w:szCs w:val="25"/>
        </w:rPr>
        <w:t xml:space="preserve"> </w:t>
      </w:r>
      <w:r>
        <w:rPr>
          <w:rFonts w:ascii="仿宋" w:hAnsi="仿宋" w:eastAsia="仿宋" w:cs="仿宋"/>
          <w:spacing w:val="-6"/>
          <w:sz w:val="25"/>
          <w:szCs w:val="25"/>
        </w:rPr>
        <w:t>年</w:t>
      </w:r>
      <w:r>
        <w:rPr>
          <w:rFonts w:ascii="仿宋" w:hAnsi="仿宋" w:eastAsia="仿宋" w:cs="仿宋"/>
          <w:spacing w:val="-27"/>
          <w:sz w:val="25"/>
          <w:szCs w:val="25"/>
        </w:rPr>
        <w:t xml:space="preserve"> </w:t>
      </w:r>
      <w:r>
        <w:rPr>
          <w:rFonts w:ascii="Times New Roman" w:hAnsi="Times New Roman" w:eastAsia="Times New Roman" w:cs="Times New Roman"/>
          <w:spacing w:val="-6"/>
          <w:sz w:val="25"/>
          <w:szCs w:val="25"/>
        </w:rPr>
        <w:t>1</w:t>
      </w:r>
      <w:r>
        <w:rPr>
          <w:rFonts w:ascii="Times New Roman" w:hAnsi="Times New Roman" w:eastAsia="Times New Roman" w:cs="Times New Roman"/>
          <w:spacing w:val="31"/>
          <w:w w:val="101"/>
          <w:sz w:val="25"/>
          <w:szCs w:val="25"/>
        </w:rPr>
        <w:t xml:space="preserve"> </w:t>
      </w:r>
      <w:r>
        <w:rPr>
          <w:rFonts w:ascii="仿宋" w:hAnsi="仿宋" w:eastAsia="仿宋" w:cs="仿宋"/>
          <w:spacing w:val="-6"/>
          <w:sz w:val="25"/>
          <w:szCs w:val="25"/>
        </w:rPr>
        <w:t>月</w:t>
      </w:r>
      <w:r>
        <w:rPr>
          <w:rFonts w:ascii="仿宋" w:hAnsi="仿宋" w:eastAsia="仿宋" w:cs="仿宋"/>
          <w:spacing w:val="-30"/>
          <w:sz w:val="25"/>
          <w:szCs w:val="25"/>
        </w:rPr>
        <w:t xml:space="preserve"> </w:t>
      </w:r>
      <w:r>
        <w:rPr>
          <w:rFonts w:ascii="Times New Roman" w:hAnsi="Times New Roman" w:eastAsia="Times New Roman" w:cs="Times New Roman"/>
          <w:spacing w:val="-6"/>
          <w:sz w:val="25"/>
          <w:szCs w:val="25"/>
        </w:rPr>
        <w:t xml:space="preserve">1  </w:t>
      </w:r>
      <w:r>
        <w:rPr>
          <w:rFonts w:ascii="仿宋" w:hAnsi="仿宋" w:eastAsia="仿宋" w:cs="仿宋"/>
          <w:spacing w:val="-6"/>
          <w:sz w:val="25"/>
          <w:szCs w:val="25"/>
        </w:rPr>
        <w:t>日起实施</w:t>
      </w:r>
      <w:r>
        <w:rPr>
          <w:rFonts w:ascii="仿宋" w:hAnsi="仿宋" w:eastAsia="仿宋" w:cs="仿宋"/>
          <w:spacing w:val="5"/>
          <w:sz w:val="25"/>
          <w:szCs w:val="25"/>
        </w:rPr>
        <w:t>）；</w:t>
      </w:r>
    </w:p>
    <w:p w14:paraId="35D0928C">
      <w:pPr>
        <w:spacing w:before="148" w:line="228" w:lineRule="auto"/>
        <w:ind w:left="541"/>
        <w:rPr>
          <w:rFonts w:ascii="仿宋" w:hAnsi="仿宋" w:eastAsia="仿宋" w:cs="仿宋"/>
          <w:sz w:val="25"/>
          <w:szCs w:val="25"/>
        </w:rPr>
      </w:pPr>
      <w:r>
        <w:rPr>
          <w:rFonts w:ascii="仿宋" w:hAnsi="仿宋" w:eastAsia="仿宋" w:cs="仿宋"/>
          <w:spacing w:val="3"/>
          <w:sz w:val="25"/>
          <w:szCs w:val="25"/>
        </w:rPr>
        <w:t>（</w:t>
      </w:r>
      <w:r>
        <w:rPr>
          <w:rFonts w:ascii="Times New Roman" w:hAnsi="Times New Roman" w:eastAsia="Times New Roman" w:cs="Times New Roman"/>
          <w:spacing w:val="3"/>
          <w:sz w:val="25"/>
          <w:szCs w:val="25"/>
        </w:rPr>
        <w:t>2</w:t>
      </w:r>
      <w:r>
        <w:rPr>
          <w:rFonts w:ascii="仿宋" w:hAnsi="仿宋" w:eastAsia="仿宋" w:cs="仿宋"/>
          <w:spacing w:val="3"/>
          <w:sz w:val="25"/>
          <w:szCs w:val="25"/>
        </w:rPr>
        <w:t>）《中华人民共和国环境影响评价法》（</w:t>
      </w:r>
      <w:r>
        <w:rPr>
          <w:rFonts w:ascii="Times New Roman" w:hAnsi="Times New Roman" w:eastAsia="Times New Roman" w:cs="Times New Roman"/>
          <w:spacing w:val="3"/>
          <w:sz w:val="25"/>
          <w:szCs w:val="25"/>
        </w:rPr>
        <w:t>2018</w:t>
      </w:r>
      <w:r>
        <w:rPr>
          <w:rFonts w:ascii="Times New Roman" w:hAnsi="Times New Roman" w:eastAsia="Times New Roman" w:cs="Times New Roman"/>
          <w:spacing w:val="28"/>
          <w:sz w:val="25"/>
          <w:szCs w:val="25"/>
        </w:rPr>
        <w:t xml:space="preserve"> </w:t>
      </w:r>
      <w:r>
        <w:rPr>
          <w:rFonts w:ascii="仿宋" w:hAnsi="仿宋" w:eastAsia="仿宋" w:cs="仿宋"/>
          <w:spacing w:val="3"/>
          <w:sz w:val="25"/>
          <w:szCs w:val="25"/>
        </w:rPr>
        <w:t>年</w:t>
      </w:r>
      <w:r>
        <w:rPr>
          <w:rFonts w:ascii="仿宋" w:hAnsi="仿宋" w:eastAsia="仿宋" w:cs="仿宋"/>
          <w:spacing w:val="-27"/>
          <w:sz w:val="25"/>
          <w:szCs w:val="25"/>
        </w:rPr>
        <w:t xml:space="preserve"> </w:t>
      </w:r>
      <w:r>
        <w:rPr>
          <w:rFonts w:ascii="Times New Roman" w:hAnsi="Times New Roman" w:eastAsia="Times New Roman" w:cs="Times New Roman"/>
          <w:spacing w:val="3"/>
          <w:sz w:val="25"/>
          <w:szCs w:val="25"/>
        </w:rPr>
        <w:t>12</w:t>
      </w:r>
      <w:r>
        <w:rPr>
          <w:rFonts w:ascii="Times New Roman" w:hAnsi="Times New Roman" w:eastAsia="Times New Roman" w:cs="Times New Roman"/>
          <w:spacing w:val="31"/>
          <w:w w:val="101"/>
          <w:sz w:val="25"/>
          <w:szCs w:val="25"/>
        </w:rPr>
        <w:t xml:space="preserve"> </w:t>
      </w:r>
      <w:r>
        <w:rPr>
          <w:rFonts w:ascii="仿宋" w:hAnsi="仿宋" w:eastAsia="仿宋" w:cs="仿宋"/>
          <w:spacing w:val="3"/>
          <w:sz w:val="25"/>
          <w:szCs w:val="25"/>
        </w:rPr>
        <w:t>月</w:t>
      </w:r>
      <w:r>
        <w:rPr>
          <w:rFonts w:ascii="仿宋" w:hAnsi="仿宋" w:eastAsia="仿宋" w:cs="仿宋"/>
          <w:spacing w:val="-55"/>
          <w:sz w:val="25"/>
          <w:szCs w:val="25"/>
        </w:rPr>
        <w:t xml:space="preserve"> </w:t>
      </w:r>
      <w:r>
        <w:rPr>
          <w:rFonts w:ascii="Times New Roman" w:hAnsi="Times New Roman" w:eastAsia="Times New Roman" w:cs="Times New Roman"/>
          <w:spacing w:val="3"/>
          <w:sz w:val="25"/>
          <w:szCs w:val="25"/>
        </w:rPr>
        <w:t xml:space="preserve">29  </w:t>
      </w:r>
      <w:r>
        <w:rPr>
          <w:rFonts w:ascii="仿宋" w:hAnsi="仿宋" w:eastAsia="仿宋" w:cs="仿宋"/>
          <w:spacing w:val="3"/>
          <w:sz w:val="25"/>
          <w:szCs w:val="25"/>
        </w:rPr>
        <w:t>日修正</w:t>
      </w:r>
      <w:r>
        <w:rPr>
          <w:rFonts w:ascii="仿宋" w:hAnsi="仿宋" w:eastAsia="仿宋" w:cs="仿宋"/>
          <w:spacing w:val="2"/>
          <w:sz w:val="25"/>
          <w:szCs w:val="25"/>
        </w:rPr>
        <w:t>）；</w:t>
      </w:r>
    </w:p>
    <w:p w14:paraId="6D26B059">
      <w:pPr>
        <w:spacing w:before="152" w:line="228" w:lineRule="auto"/>
        <w:ind w:left="541"/>
        <w:rPr>
          <w:rFonts w:ascii="仿宋" w:hAnsi="仿宋" w:eastAsia="仿宋" w:cs="仿宋"/>
          <w:sz w:val="25"/>
          <w:szCs w:val="25"/>
        </w:rPr>
      </w:pPr>
      <w:r>
        <w:rPr>
          <w:rFonts w:ascii="仿宋" w:hAnsi="仿宋" w:eastAsia="仿宋" w:cs="仿宋"/>
          <w:spacing w:val="3"/>
          <w:sz w:val="25"/>
          <w:szCs w:val="25"/>
        </w:rPr>
        <w:t>（</w:t>
      </w:r>
      <w:r>
        <w:rPr>
          <w:rFonts w:ascii="Times New Roman" w:hAnsi="Times New Roman" w:eastAsia="Times New Roman" w:cs="Times New Roman"/>
          <w:spacing w:val="3"/>
          <w:sz w:val="25"/>
          <w:szCs w:val="25"/>
        </w:rPr>
        <w:t>3</w:t>
      </w:r>
      <w:r>
        <w:rPr>
          <w:rFonts w:ascii="仿宋" w:hAnsi="仿宋" w:eastAsia="仿宋" w:cs="仿宋"/>
          <w:spacing w:val="3"/>
          <w:sz w:val="25"/>
          <w:szCs w:val="25"/>
        </w:rPr>
        <w:t>）《中华人民共和国大气污染防治法》（</w:t>
      </w:r>
      <w:r>
        <w:rPr>
          <w:rFonts w:ascii="Times New Roman" w:hAnsi="Times New Roman" w:eastAsia="Times New Roman" w:cs="Times New Roman"/>
          <w:spacing w:val="3"/>
          <w:sz w:val="25"/>
          <w:szCs w:val="25"/>
        </w:rPr>
        <w:t>2018</w:t>
      </w:r>
      <w:r>
        <w:rPr>
          <w:rFonts w:ascii="Times New Roman" w:hAnsi="Times New Roman" w:eastAsia="Times New Roman" w:cs="Times New Roman"/>
          <w:spacing w:val="28"/>
          <w:sz w:val="25"/>
          <w:szCs w:val="25"/>
        </w:rPr>
        <w:t xml:space="preserve"> </w:t>
      </w:r>
      <w:r>
        <w:rPr>
          <w:rFonts w:ascii="仿宋" w:hAnsi="仿宋" w:eastAsia="仿宋" w:cs="仿宋"/>
          <w:spacing w:val="3"/>
          <w:sz w:val="25"/>
          <w:szCs w:val="25"/>
        </w:rPr>
        <w:t>年</w:t>
      </w:r>
      <w:r>
        <w:rPr>
          <w:rFonts w:ascii="仿宋" w:hAnsi="仿宋" w:eastAsia="仿宋" w:cs="仿宋"/>
          <w:spacing w:val="-27"/>
          <w:sz w:val="25"/>
          <w:szCs w:val="25"/>
        </w:rPr>
        <w:t xml:space="preserve"> </w:t>
      </w:r>
      <w:r>
        <w:rPr>
          <w:rFonts w:ascii="Times New Roman" w:hAnsi="Times New Roman" w:eastAsia="Times New Roman" w:cs="Times New Roman"/>
          <w:spacing w:val="3"/>
          <w:sz w:val="25"/>
          <w:szCs w:val="25"/>
        </w:rPr>
        <w:t>10</w:t>
      </w:r>
      <w:r>
        <w:rPr>
          <w:rFonts w:ascii="Times New Roman" w:hAnsi="Times New Roman" w:eastAsia="Times New Roman" w:cs="Times New Roman"/>
          <w:spacing w:val="31"/>
          <w:w w:val="101"/>
          <w:sz w:val="25"/>
          <w:szCs w:val="25"/>
        </w:rPr>
        <w:t xml:space="preserve"> </w:t>
      </w:r>
      <w:r>
        <w:rPr>
          <w:rFonts w:ascii="仿宋" w:hAnsi="仿宋" w:eastAsia="仿宋" w:cs="仿宋"/>
          <w:spacing w:val="3"/>
          <w:sz w:val="25"/>
          <w:szCs w:val="25"/>
        </w:rPr>
        <w:t>月</w:t>
      </w:r>
      <w:r>
        <w:rPr>
          <w:rFonts w:ascii="仿宋" w:hAnsi="仿宋" w:eastAsia="仿宋" w:cs="仿宋"/>
          <w:spacing w:val="-55"/>
          <w:sz w:val="25"/>
          <w:szCs w:val="25"/>
        </w:rPr>
        <w:t xml:space="preserve"> </w:t>
      </w:r>
      <w:r>
        <w:rPr>
          <w:rFonts w:ascii="Times New Roman" w:hAnsi="Times New Roman" w:eastAsia="Times New Roman" w:cs="Times New Roman"/>
          <w:spacing w:val="3"/>
          <w:sz w:val="25"/>
          <w:szCs w:val="25"/>
        </w:rPr>
        <w:t xml:space="preserve">26  </w:t>
      </w:r>
      <w:r>
        <w:rPr>
          <w:rFonts w:ascii="仿宋" w:hAnsi="仿宋" w:eastAsia="仿宋" w:cs="仿宋"/>
          <w:spacing w:val="3"/>
          <w:sz w:val="25"/>
          <w:szCs w:val="25"/>
        </w:rPr>
        <w:t>日修正</w:t>
      </w:r>
      <w:r>
        <w:rPr>
          <w:rFonts w:ascii="仿宋" w:hAnsi="仿宋" w:eastAsia="仿宋" w:cs="仿宋"/>
          <w:spacing w:val="2"/>
          <w:sz w:val="25"/>
          <w:szCs w:val="25"/>
        </w:rPr>
        <w:t>）；</w:t>
      </w:r>
    </w:p>
    <w:p w14:paraId="2EAD8F54">
      <w:pPr>
        <w:spacing w:before="151" w:line="284" w:lineRule="auto"/>
        <w:ind w:left="4" w:right="66" w:firstLine="536"/>
        <w:rPr>
          <w:rFonts w:ascii="仿宋" w:hAnsi="仿宋" w:eastAsia="仿宋" w:cs="仿宋"/>
          <w:sz w:val="25"/>
          <w:szCs w:val="25"/>
        </w:rPr>
      </w:pPr>
      <w:r>
        <w:rPr>
          <w:rFonts w:ascii="仿宋" w:hAnsi="仿宋" w:eastAsia="仿宋" w:cs="仿宋"/>
          <w:spacing w:val="3"/>
          <w:sz w:val="25"/>
          <w:szCs w:val="25"/>
        </w:rPr>
        <w:t>（</w:t>
      </w:r>
      <w:r>
        <w:rPr>
          <w:rFonts w:ascii="Times New Roman" w:hAnsi="Times New Roman" w:eastAsia="Times New Roman" w:cs="Times New Roman"/>
          <w:spacing w:val="3"/>
          <w:sz w:val="25"/>
          <w:szCs w:val="25"/>
        </w:rPr>
        <w:t>4</w:t>
      </w:r>
      <w:r>
        <w:rPr>
          <w:rFonts w:ascii="仿宋" w:hAnsi="仿宋" w:eastAsia="仿宋" w:cs="仿宋"/>
          <w:spacing w:val="3"/>
          <w:sz w:val="25"/>
          <w:szCs w:val="25"/>
        </w:rPr>
        <w:t>）《中华人民共和国水污染防治法》（</w:t>
      </w:r>
      <w:r>
        <w:rPr>
          <w:rFonts w:ascii="Times New Roman" w:hAnsi="Times New Roman" w:eastAsia="Times New Roman" w:cs="Times New Roman"/>
          <w:spacing w:val="3"/>
          <w:sz w:val="25"/>
          <w:szCs w:val="25"/>
        </w:rPr>
        <w:t>2</w:t>
      </w:r>
      <w:r>
        <w:rPr>
          <w:rFonts w:ascii="Times New Roman" w:hAnsi="Times New Roman" w:eastAsia="Times New Roman" w:cs="Times New Roman"/>
          <w:spacing w:val="2"/>
          <w:sz w:val="25"/>
          <w:szCs w:val="25"/>
        </w:rPr>
        <w:t>017</w:t>
      </w:r>
      <w:r>
        <w:rPr>
          <w:rFonts w:ascii="Times New Roman" w:hAnsi="Times New Roman" w:eastAsia="Times New Roman" w:cs="Times New Roman"/>
          <w:spacing w:val="27"/>
          <w:w w:val="101"/>
          <w:sz w:val="25"/>
          <w:szCs w:val="25"/>
        </w:rPr>
        <w:t xml:space="preserve"> </w:t>
      </w:r>
      <w:r>
        <w:rPr>
          <w:rFonts w:ascii="仿宋" w:hAnsi="仿宋" w:eastAsia="仿宋" w:cs="仿宋"/>
          <w:spacing w:val="2"/>
          <w:sz w:val="25"/>
          <w:szCs w:val="25"/>
        </w:rPr>
        <w:t>年</w:t>
      </w:r>
      <w:r>
        <w:rPr>
          <w:rFonts w:ascii="仿宋" w:hAnsi="仿宋" w:eastAsia="仿宋" w:cs="仿宋"/>
          <w:spacing w:val="-49"/>
          <w:sz w:val="25"/>
          <w:szCs w:val="25"/>
        </w:rPr>
        <w:t xml:space="preserve"> </w:t>
      </w:r>
      <w:r>
        <w:rPr>
          <w:rFonts w:ascii="Times New Roman" w:hAnsi="Times New Roman" w:eastAsia="Times New Roman" w:cs="Times New Roman"/>
          <w:spacing w:val="2"/>
          <w:sz w:val="25"/>
          <w:szCs w:val="25"/>
        </w:rPr>
        <w:t>6</w:t>
      </w:r>
      <w:r>
        <w:rPr>
          <w:rFonts w:ascii="Times New Roman" w:hAnsi="Times New Roman" w:eastAsia="Times New Roman" w:cs="Times New Roman"/>
          <w:spacing w:val="31"/>
          <w:w w:val="101"/>
          <w:sz w:val="25"/>
          <w:szCs w:val="25"/>
        </w:rPr>
        <w:t xml:space="preserve"> </w:t>
      </w:r>
      <w:r>
        <w:rPr>
          <w:rFonts w:ascii="仿宋" w:hAnsi="仿宋" w:eastAsia="仿宋" w:cs="仿宋"/>
          <w:spacing w:val="2"/>
          <w:sz w:val="25"/>
          <w:szCs w:val="25"/>
        </w:rPr>
        <w:t>月</w:t>
      </w:r>
      <w:r>
        <w:rPr>
          <w:rFonts w:ascii="仿宋" w:hAnsi="仿宋" w:eastAsia="仿宋" w:cs="仿宋"/>
          <w:spacing w:val="-52"/>
          <w:sz w:val="25"/>
          <w:szCs w:val="25"/>
        </w:rPr>
        <w:t xml:space="preserve"> </w:t>
      </w:r>
      <w:r>
        <w:rPr>
          <w:rFonts w:ascii="Times New Roman" w:hAnsi="Times New Roman" w:eastAsia="Times New Roman" w:cs="Times New Roman"/>
          <w:spacing w:val="2"/>
          <w:sz w:val="25"/>
          <w:szCs w:val="25"/>
        </w:rPr>
        <w:t xml:space="preserve">27  </w:t>
      </w:r>
      <w:r>
        <w:rPr>
          <w:rFonts w:ascii="仿宋" w:hAnsi="仿宋" w:eastAsia="仿宋" w:cs="仿宋"/>
          <w:spacing w:val="2"/>
          <w:sz w:val="25"/>
          <w:szCs w:val="25"/>
        </w:rPr>
        <w:t>日第二次修正，</w:t>
      </w:r>
      <w:r>
        <w:rPr>
          <w:rFonts w:ascii="仿宋" w:hAnsi="仿宋" w:eastAsia="仿宋" w:cs="仿宋"/>
          <w:sz w:val="25"/>
          <w:szCs w:val="25"/>
        </w:rPr>
        <w:t xml:space="preserve"> </w:t>
      </w:r>
      <w:r>
        <w:rPr>
          <w:rFonts w:ascii="Times New Roman" w:hAnsi="Times New Roman" w:eastAsia="Times New Roman" w:cs="Times New Roman"/>
          <w:spacing w:val="-7"/>
          <w:sz w:val="25"/>
          <w:szCs w:val="25"/>
        </w:rPr>
        <w:t>2018</w:t>
      </w:r>
      <w:r>
        <w:rPr>
          <w:rFonts w:ascii="Times New Roman" w:hAnsi="Times New Roman" w:eastAsia="Times New Roman" w:cs="Times New Roman"/>
          <w:spacing w:val="28"/>
          <w:w w:val="101"/>
          <w:sz w:val="25"/>
          <w:szCs w:val="25"/>
        </w:rPr>
        <w:t xml:space="preserve"> </w:t>
      </w:r>
      <w:r>
        <w:rPr>
          <w:rFonts w:ascii="仿宋" w:hAnsi="仿宋" w:eastAsia="仿宋" w:cs="仿宋"/>
          <w:spacing w:val="-7"/>
          <w:sz w:val="25"/>
          <w:szCs w:val="25"/>
        </w:rPr>
        <w:t>年</w:t>
      </w:r>
      <w:r>
        <w:rPr>
          <w:rFonts w:ascii="仿宋" w:hAnsi="仿宋" w:eastAsia="仿宋" w:cs="仿宋"/>
          <w:spacing w:val="-30"/>
          <w:sz w:val="25"/>
          <w:szCs w:val="25"/>
        </w:rPr>
        <w:t xml:space="preserve"> </w:t>
      </w:r>
      <w:r>
        <w:rPr>
          <w:rFonts w:ascii="Times New Roman" w:hAnsi="Times New Roman" w:eastAsia="Times New Roman" w:cs="Times New Roman"/>
          <w:spacing w:val="-7"/>
          <w:sz w:val="25"/>
          <w:szCs w:val="25"/>
        </w:rPr>
        <w:t>1</w:t>
      </w:r>
      <w:r>
        <w:rPr>
          <w:rFonts w:ascii="Times New Roman" w:hAnsi="Times New Roman" w:eastAsia="Times New Roman" w:cs="Times New Roman"/>
          <w:spacing w:val="34"/>
          <w:sz w:val="25"/>
          <w:szCs w:val="25"/>
        </w:rPr>
        <w:t xml:space="preserve"> </w:t>
      </w:r>
      <w:r>
        <w:rPr>
          <w:rFonts w:ascii="仿宋" w:hAnsi="仿宋" w:eastAsia="仿宋" w:cs="仿宋"/>
          <w:spacing w:val="-7"/>
          <w:sz w:val="25"/>
          <w:szCs w:val="25"/>
        </w:rPr>
        <w:t>月</w:t>
      </w:r>
      <w:r>
        <w:rPr>
          <w:rFonts w:ascii="仿宋" w:hAnsi="仿宋" w:eastAsia="仿宋" w:cs="仿宋"/>
          <w:spacing w:val="-30"/>
          <w:sz w:val="25"/>
          <w:szCs w:val="25"/>
        </w:rPr>
        <w:t xml:space="preserve"> </w:t>
      </w:r>
      <w:r>
        <w:rPr>
          <w:rFonts w:ascii="Times New Roman" w:hAnsi="Times New Roman" w:eastAsia="Times New Roman" w:cs="Times New Roman"/>
          <w:spacing w:val="-7"/>
          <w:sz w:val="25"/>
          <w:szCs w:val="25"/>
        </w:rPr>
        <w:t xml:space="preserve">1  </w:t>
      </w:r>
      <w:r>
        <w:rPr>
          <w:rFonts w:ascii="仿宋" w:hAnsi="仿宋" w:eastAsia="仿宋" w:cs="仿宋"/>
          <w:spacing w:val="-7"/>
          <w:sz w:val="25"/>
          <w:szCs w:val="25"/>
        </w:rPr>
        <w:t>日起实施</w:t>
      </w:r>
      <w:r>
        <w:rPr>
          <w:rFonts w:ascii="仿宋" w:hAnsi="仿宋" w:eastAsia="仿宋" w:cs="仿宋"/>
          <w:spacing w:val="1"/>
          <w:sz w:val="25"/>
          <w:szCs w:val="25"/>
        </w:rPr>
        <w:t>）；</w:t>
      </w:r>
    </w:p>
    <w:p w14:paraId="7136ECC6">
      <w:pPr>
        <w:spacing w:before="150" w:line="228" w:lineRule="auto"/>
        <w:jc w:val="right"/>
        <w:rPr>
          <w:rFonts w:ascii="仿宋" w:hAnsi="仿宋" w:eastAsia="仿宋" w:cs="仿宋"/>
          <w:sz w:val="25"/>
          <w:szCs w:val="25"/>
        </w:rPr>
      </w:pPr>
      <w:r>
        <w:rPr>
          <w:rFonts w:ascii="仿宋" w:hAnsi="仿宋" w:eastAsia="仿宋" w:cs="仿宋"/>
          <w:spacing w:val="-1"/>
          <w:sz w:val="25"/>
          <w:szCs w:val="25"/>
        </w:rPr>
        <w:t>（</w:t>
      </w:r>
      <w:r>
        <w:rPr>
          <w:rFonts w:ascii="Times New Roman" w:hAnsi="Times New Roman" w:eastAsia="Times New Roman" w:cs="Times New Roman"/>
          <w:spacing w:val="-1"/>
          <w:sz w:val="25"/>
          <w:szCs w:val="25"/>
        </w:rPr>
        <w:t>5</w:t>
      </w:r>
      <w:r>
        <w:rPr>
          <w:rFonts w:ascii="仿宋" w:hAnsi="仿宋" w:eastAsia="仿宋" w:cs="仿宋"/>
          <w:spacing w:val="-1"/>
          <w:sz w:val="25"/>
          <w:szCs w:val="25"/>
        </w:rPr>
        <w:t>）《中华人民共和国环境噪声污染防治法》（</w:t>
      </w:r>
      <w:r>
        <w:rPr>
          <w:rFonts w:ascii="Times New Roman" w:hAnsi="Times New Roman" w:eastAsia="Times New Roman" w:cs="Times New Roman"/>
          <w:spacing w:val="-1"/>
          <w:sz w:val="25"/>
          <w:szCs w:val="25"/>
        </w:rPr>
        <w:t>2</w:t>
      </w:r>
      <w:r>
        <w:rPr>
          <w:rFonts w:ascii="Times New Roman" w:hAnsi="Times New Roman" w:eastAsia="Times New Roman" w:cs="Times New Roman"/>
          <w:spacing w:val="-2"/>
          <w:sz w:val="25"/>
          <w:szCs w:val="25"/>
        </w:rPr>
        <w:t>022</w:t>
      </w:r>
      <w:r>
        <w:rPr>
          <w:rFonts w:ascii="Times New Roman" w:hAnsi="Times New Roman" w:eastAsia="Times New Roman" w:cs="Times New Roman"/>
          <w:spacing w:val="31"/>
          <w:sz w:val="25"/>
          <w:szCs w:val="25"/>
        </w:rPr>
        <w:t xml:space="preserve"> </w:t>
      </w:r>
      <w:r>
        <w:rPr>
          <w:rFonts w:ascii="仿宋" w:hAnsi="仿宋" w:eastAsia="仿宋" w:cs="仿宋"/>
          <w:spacing w:val="-2"/>
          <w:sz w:val="25"/>
          <w:szCs w:val="25"/>
        </w:rPr>
        <w:t>年</w:t>
      </w:r>
      <w:r>
        <w:rPr>
          <w:rFonts w:ascii="仿宋" w:hAnsi="仿宋" w:eastAsia="仿宋" w:cs="仿宋"/>
          <w:spacing w:val="-49"/>
          <w:sz w:val="25"/>
          <w:szCs w:val="25"/>
        </w:rPr>
        <w:t xml:space="preserve"> </w:t>
      </w:r>
      <w:r>
        <w:rPr>
          <w:rFonts w:ascii="Times New Roman" w:hAnsi="Times New Roman" w:eastAsia="Times New Roman" w:cs="Times New Roman"/>
          <w:spacing w:val="-2"/>
          <w:sz w:val="25"/>
          <w:szCs w:val="25"/>
        </w:rPr>
        <w:t>6</w:t>
      </w:r>
      <w:r>
        <w:rPr>
          <w:rFonts w:ascii="Times New Roman" w:hAnsi="Times New Roman" w:eastAsia="Times New Roman" w:cs="Times New Roman"/>
          <w:spacing w:val="31"/>
          <w:w w:val="101"/>
          <w:sz w:val="25"/>
          <w:szCs w:val="25"/>
        </w:rPr>
        <w:t xml:space="preserve"> </w:t>
      </w:r>
      <w:r>
        <w:rPr>
          <w:rFonts w:ascii="仿宋" w:hAnsi="仿宋" w:eastAsia="仿宋" w:cs="仿宋"/>
          <w:spacing w:val="-2"/>
          <w:sz w:val="25"/>
          <w:szCs w:val="25"/>
        </w:rPr>
        <w:t>月</w:t>
      </w:r>
      <w:r>
        <w:rPr>
          <w:rFonts w:ascii="仿宋" w:hAnsi="仿宋" w:eastAsia="仿宋" w:cs="仿宋"/>
          <w:spacing w:val="-45"/>
          <w:sz w:val="25"/>
          <w:szCs w:val="25"/>
        </w:rPr>
        <w:t xml:space="preserve"> </w:t>
      </w:r>
      <w:r>
        <w:rPr>
          <w:rFonts w:ascii="Times New Roman" w:hAnsi="Times New Roman" w:eastAsia="Times New Roman" w:cs="Times New Roman"/>
          <w:spacing w:val="-2"/>
          <w:sz w:val="25"/>
          <w:szCs w:val="25"/>
        </w:rPr>
        <w:t xml:space="preserve">5  </w:t>
      </w:r>
      <w:r>
        <w:rPr>
          <w:rFonts w:ascii="仿宋" w:hAnsi="仿宋" w:eastAsia="仿宋" w:cs="仿宋"/>
          <w:spacing w:val="-2"/>
          <w:sz w:val="25"/>
          <w:szCs w:val="25"/>
        </w:rPr>
        <w:t>日起施行</w:t>
      </w:r>
      <w:r>
        <w:rPr>
          <w:rFonts w:ascii="仿宋" w:hAnsi="仿宋" w:eastAsia="仿宋" w:cs="仿宋"/>
          <w:spacing w:val="-63"/>
          <w:w w:val="90"/>
          <w:sz w:val="25"/>
          <w:szCs w:val="25"/>
        </w:rPr>
        <w:t>）；</w:t>
      </w:r>
    </w:p>
    <w:p w14:paraId="2DBB957E">
      <w:pPr>
        <w:spacing w:before="152" w:line="284" w:lineRule="auto"/>
        <w:ind w:left="17" w:right="68" w:firstLine="524"/>
        <w:rPr>
          <w:rFonts w:ascii="仿宋" w:hAnsi="仿宋" w:eastAsia="仿宋" w:cs="仿宋"/>
          <w:sz w:val="25"/>
          <w:szCs w:val="25"/>
        </w:rPr>
      </w:pPr>
      <w:r>
        <w:rPr>
          <w:rFonts w:ascii="仿宋" w:hAnsi="仿宋" w:eastAsia="仿宋" w:cs="仿宋"/>
          <w:spacing w:val="3"/>
          <w:sz w:val="25"/>
          <w:szCs w:val="25"/>
        </w:rPr>
        <w:t>（</w:t>
      </w:r>
      <w:r>
        <w:rPr>
          <w:rFonts w:ascii="Times New Roman" w:hAnsi="Times New Roman" w:eastAsia="Times New Roman" w:cs="Times New Roman"/>
          <w:spacing w:val="3"/>
          <w:sz w:val="25"/>
          <w:szCs w:val="25"/>
        </w:rPr>
        <w:t>6</w:t>
      </w:r>
      <w:r>
        <w:rPr>
          <w:rFonts w:ascii="仿宋" w:hAnsi="仿宋" w:eastAsia="仿宋" w:cs="仿宋"/>
          <w:spacing w:val="3"/>
          <w:sz w:val="25"/>
          <w:szCs w:val="25"/>
        </w:rPr>
        <w:t>）《中华人民共和国固体废物污染环境防治法》（</w:t>
      </w:r>
      <w:r>
        <w:rPr>
          <w:rFonts w:ascii="Times New Roman" w:hAnsi="Times New Roman" w:eastAsia="Times New Roman" w:cs="Times New Roman"/>
          <w:spacing w:val="3"/>
          <w:sz w:val="25"/>
          <w:szCs w:val="25"/>
        </w:rPr>
        <w:t>2</w:t>
      </w:r>
      <w:r>
        <w:rPr>
          <w:rFonts w:ascii="Times New Roman" w:hAnsi="Times New Roman" w:eastAsia="Times New Roman" w:cs="Times New Roman"/>
          <w:spacing w:val="2"/>
          <w:sz w:val="25"/>
          <w:szCs w:val="25"/>
        </w:rPr>
        <w:t>020</w:t>
      </w:r>
      <w:r>
        <w:rPr>
          <w:rFonts w:ascii="Times New Roman" w:hAnsi="Times New Roman" w:eastAsia="Times New Roman" w:cs="Times New Roman"/>
          <w:spacing w:val="25"/>
          <w:sz w:val="25"/>
          <w:szCs w:val="25"/>
        </w:rPr>
        <w:t xml:space="preserve"> </w:t>
      </w:r>
      <w:r>
        <w:rPr>
          <w:rFonts w:ascii="仿宋" w:hAnsi="仿宋" w:eastAsia="仿宋" w:cs="仿宋"/>
          <w:spacing w:val="2"/>
          <w:sz w:val="25"/>
          <w:szCs w:val="25"/>
        </w:rPr>
        <w:t>年</w:t>
      </w:r>
      <w:r>
        <w:rPr>
          <w:rFonts w:ascii="仿宋" w:hAnsi="仿宋" w:eastAsia="仿宋" w:cs="仿宋"/>
          <w:spacing w:val="-54"/>
          <w:sz w:val="25"/>
          <w:szCs w:val="25"/>
        </w:rPr>
        <w:t xml:space="preserve"> </w:t>
      </w:r>
      <w:r>
        <w:rPr>
          <w:rFonts w:ascii="Times New Roman" w:hAnsi="Times New Roman" w:eastAsia="Times New Roman" w:cs="Times New Roman"/>
          <w:spacing w:val="2"/>
          <w:sz w:val="25"/>
          <w:szCs w:val="25"/>
        </w:rPr>
        <w:t>4</w:t>
      </w:r>
      <w:r>
        <w:rPr>
          <w:rFonts w:ascii="Times New Roman" w:hAnsi="Times New Roman" w:eastAsia="Times New Roman" w:cs="Times New Roman"/>
          <w:spacing w:val="32"/>
          <w:sz w:val="25"/>
          <w:szCs w:val="25"/>
        </w:rPr>
        <w:t xml:space="preserve"> </w:t>
      </w:r>
      <w:r>
        <w:rPr>
          <w:rFonts w:ascii="仿宋" w:hAnsi="仿宋" w:eastAsia="仿宋" w:cs="仿宋"/>
          <w:spacing w:val="2"/>
          <w:sz w:val="25"/>
          <w:szCs w:val="25"/>
        </w:rPr>
        <w:t>月</w:t>
      </w:r>
      <w:r>
        <w:rPr>
          <w:rFonts w:ascii="仿宋" w:hAnsi="仿宋" w:eastAsia="仿宋" w:cs="仿宋"/>
          <w:spacing w:val="-52"/>
          <w:sz w:val="25"/>
          <w:szCs w:val="25"/>
        </w:rPr>
        <w:t xml:space="preserve"> </w:t>
      </w:r>
      <w:r>
        <w:rPr>
          <w:rFonts w:ascii="Times New Roman" w:hAnsi="Times New Roman" w:eastAsia="Times New Roman" w:cs="Times New Roman"/>
          <w:spacing w:val="2"/>
          <w:sz w:val="25"/>
          <w:szCs w:val="25"/>
        </w:rPr>
        <w:t xml:space="preserve">29  </w:t>
      </w:r>
      <w:r>
        <w:rPr>
          <w:rFonts w:ascii="仿宋" w:hAnsi="仿宋" w:eastAsia="仿宋" w:cs="仿宋"/>
          <w:spacing w:val="2"/>
          <w:sz w:val="25"/>
          <w:szCs w:val="25"/>
        </w:rPr>
        <w:t>日修</w:t>
      </w:r>
      <w:r>
        <w:rPr>
          <w:rFonts w:ascii="仿宋" w:hAnsi="仿宋" w:eastAsia="仿宋" w:cs="仿宋"/>
          <w:sz w:val="25"/>
          <w:szCs w:val="25"/>
        </w:rPr>
        <w:t xml:space="preserve"> </w:t>
      </w:r>
      <w:r>
        <w:rPr>
          <w:rFonts w:ascii="仿宋" w:hAnsi="仿宋" w:eastAsia="仿宋" w:cs="仿宋"/>
          <w:spacing w:val="-10"/>
          <w:sz w:val="25"/>
          <w:szCs w:val="25"/>
        </w:rPr>
        <w:t>订</w:t>
      </w:r>
      <w:r>
        <w:rPr>
          <w:rFonts w:ascii="仿宋" w:hAnsi="仿宋" w:eastAsia="仿宋" w:cs="仿宋"/>
          <w:sz w:val="25"/>
          <w:szCs w:val="25"/>
        </w:rPr>
        <w:t>）；</w:t>
      </w:r>
    </w:p>
    <w:p w14:paraId="366437D0">
      <w:pPr>
        <w:spacing w:before="150" w:line="285" w:lineRule="auto"/>
        <w:ind w:left="10" w:right="73" w:firstLine="531"/>
        <w:rPr>
          <w:rFonts w:ascii="仿宋" w:hAnsi="仿宋" w:eastAsia="仿宋" w:cs="仿宋"/>
          <w:sz w:val="25"/>
          <w:szCs w:val="25"/>
        </w:rPr>
      </w:pPr>
      <w:r>
        <w:rPr>
          <w:rFonts w:ascii="仿宋" w:hAnsi="仿宋" w:eastAsia="仿宋" w:cs="仿宋"/>
          <w:spacing w:val="3"/>
          <w:sz w:val="25"/>
          <w:szCs w:val="25"/>
        </w:rPr>
        <w:t>（</w:t>
      </w:r>
      <w:r>
        <w:rPr>
          <w:rFonts w:ascii="Times New Roman" w:hAnsi="Times New Roman" w:eastAsia="Times New Roman" w:cs="Times New Roman"/>
          <w:spacing w:val="3"/>
          <w:sz w:val="25"/>
          <w:szCs w:val="25"/>
        </w:rPr>
        <w:t>7</w:t>
      </w:r>
      <w:r>
        <w:rPr>
          <w:rFonts w:ascii="仿宋" w:hAnsi="仿宋" w:eastAsia="仿宋" w:cs="仿宋"/>
          <w:spacing w:val="3"/>
          <w:sz w:val="25"/>
          <w:szCs w:val="25"/>
        </w:rPr>
        <w:t>）《中华人民共和国水土保持法》（</w:t>
      </w:r>
      <w:r>
        <w:rPr>
          <w:rFonts w:ascii="Times New Roman" w:hAnsi="Times New Roman" w:eastAsia="Times New Roman" w:cs="Times New Roman"/>
          <w:spacing w:val="3"/>
          <w:sz w:val="25"/>
          <w:szCs w:val="25"/>
        </w:rPr>
        <w:t>2010</w:t>
      </w:r>
      <w:r>
        <w:rPr>
          <w:rFonts w:ascii="Times New Roman" w:hAnsi="Times New Roman" w:eastAsia="Times New Roman" w:cs="Times New Roman"/>
          <w:spacing w:val="24"/>
          <w:w w:val="101"/>
          <w:sz w:val="25"/>
          <w:szCs w:val="25"/>
        </w:rPr>
        <w:t xml:space="preserve"> </w:t>
      </w:r>
      <w:r>
        <w:rPr>
          <w:rFonts w:ascii="仿宋" w:hAnsi="仿宋" w:eastAsia="仿宋" w:cs="仿宋"/>
          <w:spacing w:val="3"/>
          <w:sz w:val="25"/>
          <w:szCs w:val="25"/>
        </w:rPr>
        <w:t>年</w:t>
      </w:r>
      <w:r>
        <w:rPr>
          <w:rFonts w:ascii="仿宋" w:hAnsi="仿宋" w:eastAsia="仿宋" w:cs="仿宋"/>
          <w:spacing w:val="-28"/>
          <w:sz w:val="25"/>
          <w:szCs w:val="25"/>
        </w:rPr>
        <w:t xml:space="preserve"> </w:t>
      </w:r>
      <w:r>
        <w:rPr>
          <w:rFonts w:ascii="Times New Roman" w:hAnsi="Times New Roman" w:eastAsia="Times New Roman" w:cs="Times New Roman"/>
          <w:spacing w:val="3"/>
          <w:sz w:val="25"/>
          <w:szCs w:val="25"/>
        </w:rPr>
        <w:t>12</w:t>
      </w:r>
      <w:r>
        <w:rPr>
          <w:rFonts w:ascii="Times New Roman" w:hAnsi="Times New Roman" w:eastAsia="Times New Roman" w:cs="Times New Roman"/>
          <w:spacing w:val="32"/>
          <w:sz w:val="25"/>
          <w:szCs w:val="25"/>
        </w:rPr>
        <w:t xml:space="preserve"> </w:t>
      </w:r>
      <w:r>
        <w:rPr>
          <w:rFonts w:ascii="仿宋" w:hAnsi="仿宋" w:eastAsia="仿宋" w:cs="仿宋"/>
          <w:spacing w:val="3"/>
          <w:sz w:val="25"/>
          <w:szCs w:val="25"/>
        </w:rPr>
        <w:t>月</w:t>
      </w:r>
      <w:r>
        <w:rPr>
          <w:rFonts w:ascii="仿宋" w:hAnsi="仿宋" w:eastAsia="仿宋" w:cs="仿宋"/>
          <w:spacing w:val="-52"/>
          <w:sz w:val="25"/>
          <w:szCs w:val="25"/>
        </w:rPr>
        <w:t xml:space="preserve"> </w:t>
      </w:r>
      <w:r>
        <w:rPr>
          <w:rFonts w:ascii="Times New Roman" w:hAnsi="Times New Roman" w:eastAsia="Times New Roman" w:cs="Times New Roman"/>
          <w:spacing w:val="2"/>
          <w:sz w:val="25"/>
          <w:szCs w:val="25"/>
        </w:rPr>
        <w:t xml:space="preserve">25  </w:t>
      </w:r>
      <w:r>
        <w:rPr>
          <w:rFonts w:ascii="仿宋" w:hAnsi="仿宋" w:eastAsia="仿宋" w:cs="仿宋"/>
          <w:spacing w:val="2"/>
          <w:sz w:val="25"/>
          <w:szCs w:val="25"/>
        </w:rPr>
        <w:t>日修订，</w:t>
      </w:r>
      <w:r>
        <w:rPr>
          <w:rFonts w:ascii="Times New Roman" w:hAnsi="Times New Roman" w:eastAsia="Times New Roman" w:cs="Times New Roman"/>
          <w:spacing w:val="2"/>
          <w:sz w:val="25"/>
          <w:szCs w:val="25"/>
        </w:rPr>
        <w:t>2011</w:t>
      </w:r>
      <w:r>
        <w:rPr>
          <w:rFonts w:ascii="Times New Roman" w:hAnsi="Times New Roman" w:eastAsia="Times New Roman" w:cs="Times New Roman"/>
          <w:spacing w:val="27"/>
          <w:sz w:val="25"/>
          <w:szCs w:val="25"/>
        </w:rPr>
        <w:t xml:space="preserve"> </w:t>
      </w:r>
      <w:r>
        <w:rPr>
          <w:rFonts w:ascii="仿宋" w:hAnsi="仿宋" w:eastAsia="仿宋" w:cs="仿宋"/>
          <w:spacing w:val="2"/>
          <w:sz w:val="25"/>
          <w:szCs w:val="25"/>
        </w:rPr>
        <w:t>年</w:t>
      </w:r>
      <w:r>
        <w:rPr>
          <w:rFonts w:ascii="仿宋" w:hAnsi="仿宋" w:eastAsia="仿宋" w:cs="仿宋"/>
          <w:sz w:val="25"/>
          <w:szCs w:val="25"/>
        </w:rPr>
        <w:t xml:space="preserve"> </w:t>
      </w:r>
      <w:r>
        <w:rPr>
          <w:rFonts w:ascii="Times New Roman" w:hAnsi="Times New Roman" w:eastAsia="Times New Roman" w:cs="Times New Roman"/>
          <w:spacing w:val="-13"/>
          <w:sz w:val="25"/>
          <w:szCs w:val="25"/>
        </w:rPr>
        <w:t>3</w:t>
      </w:r>
      <w:r>
        <w:rPr>
          <w:rFonts w:ascii="Times New Roman" w:hAnsi="Times New Roman" w:eastAsia="Times New Roman" w:cs="Times New Roman"/>
          <w:spacing w:val="32"/>
          <w:w w:val="101"/>
          <w:sz w:val="25"/>
          <w:szCs w:val="25"/>
        </w:rPr>
        <w:t xml:space="preserve"> </w:t>
      </w:r>
      <w:r>
        <w:rPr>
          <w:rFonts w:ascii="仿宋" w:hAnsi="仿宋" w:eastAsia="仿宋" w:cs="仿宋"/>
          <w:spacing w:val="-13"/>
          <w:sz w:val="25"/>
          <w:szCs w:val="25"/>
        </w:rPr>
        <w:t>月</w:t>
      </w:r>
      <w:r>
        <w:rPr>
          <w:rFonts w:ascii="仿宋" w:hAnsi="仿宋" w:eastAsia="仿宋" w:cs="仿宋"/>
          <w:spacing w:val="-28"/>
          <w:sz w:val="25"/>
          <w:szCs w:val="25"/>
        </w:rPr>
        <w:t xml:space="preserve"> </w:t>
      </w:r>
      <w:r>
        <w:rPr>
          <w:rFonts w:ascii="Times New Roman" w:hAnsi="Times New Roman" w:eastAsia="Times New Roman" w:cs="Times New Roman"/>
          <w:spacing w:val="-13"/>
          <w:sz w:val="25"/>
          <w:szCs w:val="25"/>
        </w:rPr>
        <w:t>1</w:t>
      </w:r>
      <w:r>
        <w:rPr>
          <w:rFonts w:ascii="Times New Roman" w:hAnsi="Times New Roman" w:eastAsia="Times New Roman" w:cs="Times New Roman"/>
          <w:spacing w:val="6"/>
          <w:sz w:val="25"/>
          <w:szCs w:val="25"/>
        </w:rPr>
        <w:t xml:space="preserve">  </w:t>
      </w:r>
      <w:r>
        <w:rPr>
          <w:rFonts w:ascii="仿宋" w:hAnsi="仿宋" w:eastAsia="仿宋" w:cs="仿宋"/>
          <w:spacing w:val="-13"/>
          <w:sz w:val="25"/>
          <w:szCs w:val="25"/>
        </w:rPr>
        <w:t>日起实施</w:t>
      </w:r>
      <w:r>
        <w:rPr>
          <w:rFonts w:ascii="仿宋" w:hAnsi="仿宋" w:eastAsia="仿宋" w:cs="仿宋"/>
          <w:spacing w:val="2"/>
          <w:sz w:val="25"/>
          <w:szCs w:val="25"/>
        </w:rPr>
        <w:t>）；</w:t>
      </w:r>
    </w:p>
    <w:p w14:paraId="5DA05BF1">
      <w:pPr>
        <w:spacing w:before="147" w:line="285" w:lineRule="auto"/>
        <w:ind w:left="17" w:right="68" w:firstLine="524"/>
        <w:rPr>
          <w:rFonts w:ascii="仿宋" w:hAnsi="仿宋" w:eastAsia="仿宋" w:cs="仿宋"/>
          <w:sz w:val="25"/>
          <w:szCs w:val="25"/>
        </w:rPr>
      </w:pPr>
      <w:r>
        <w:rPr>
          <w:rFonts w:ascii="仿宋" w:hAnsi="仿宋" w:eastAsia="仿宋" w:cs="仿宋"/>
          <w:spacing w:val="2"/>
          <w:sz w:val="25"/>
          <w:szCs w:val="25"/>
        </w:rPr>
        <w:t>（</w:t>
      </w:r>
      <w:r>
        <w:rPr>
          <w:rFonts w:ascii="Times New Roman" w:hAnsi="Times New Roman" w:eastAsia="Times New Roman" w:cs="Times New Roman"/>
          <w:spacing w:val="2"/>
          <w:sz w:val="25"/>
          <w:szCs w:val="25"/>
        </w:rPr>
        <w:t>8</w:t>
      </w:r>
      <w:r>
        <w:rPr>
          <w:rFonts w:ascii="仿宋" w:hAnsi="仿宋" w:eastAsia="仿宋" w:cs="仿宋"/>
          <w:spacing w:val="2"/>
          <w:sz w:val="25"/>
          <w:szCs w:val="25"/>
        </w:rPr>
        <w:t>）《中华人民共和国土地管理法》（</w:t>
      </w:r>
      <w:r>
        <w:rPr>
          <w:rFonts w:ascii="Times New Roman" w:hAnsi="Times New Roman" w:eastAsia="Times New Roman" w:cs="Times New Roman"/>
          <w:spacing w:val="2"/>
          <w:sz w:val="25"/>
          <w:szCs w:val="25"/>
        </w:rPr>
        <w:t>2019</w:t>
      </w:r>
      <w:r>
        <w:rPr>
          <w:rFonts w:ascii="Times New Roman" w:hAnsi="Times New Roman" w:eastAsia="Times New Roman" w:cs="Times New Roman"/>
          <w:spacing w:val="35"/>
          <w:sz w:val="25"/>
          <w:szCs w:val="25"/>
        </w:rPr>
        <w:t xml:space="preserve"> </w:t>
      </w:r>
      <w:r>
        <w:rPr>
          <w:rFonts w:ascii="仿宋" w:hAnsi="仿宋" w:eastAsia="仿宋" w:cs="仿宋"/>
          <w:spacing w:val="2"/>
          <w:sz w:val="25"/>
          <w:szCs w:val="25"/>
        </w:rPr>
        <w:t>年修正版，</w:t>
      </w:r>
      <w:r>
        <w:rPr>
          <w:rFonts w:ascii="Times New Roman" w:hAnsi="Times New Roman" w:eastAsia="Times New Roman" w:cs="Times New Roman"/>
          <w:spacing w:val="2"/>
          <w:sz w:val="25"/>
          <w:szCs w:val="25"/>
        </w:rPr>
        <w:t>2020</w:t>
      </w:r>
      <w:r>
        <w:rPr>
          <w:rFonts w:ascii="Times New Roman" w:hAnsi="Times New Roman" w:eastAsia="Times New Roman" w:cs="Times New Roman"/>
          <w:spacing w:val="27"/>
          <w:sz w:val="25"/>
          <w:szCs w:val="25"/>
        </w:rPr>
        <w:t xml:space="preserve"> </w:t>
      </w:r>
      <w:r>
        <w:rPr>
          <w:rFonts w:ascii="仿宋" w:hAnsi="仿宋" w:eastAsia="仿宋" w:cs="仿宋"/>
          <w:spacing w:val="2"/>
          <w:sz w:val="25"/>
          <w:szCs w:val="25"/>
        </w:rPr>
        <w:t>年</w:t>
      </w:r>
      <w:r>
        <w:rPr>
          <w:rFonts w:ascii="仿宋" w:hAnsi="仿宋" w:eastAsia="仿宋" w:cs="仿宋"/>
          <w:spacing w:val="-30"/>
          <w:sz w:val="25"/>
          <w:szCs w:val="25"/>
        </w:rPr>
        <w:t xml:space="preserve"> </w:t>
      </w:r>
      <w:r>
        <w:rPr>
          <w:rFonts w:ascii="Times New Roman" w:hAnsi="Times New Roman" w:eastAsia="Times New Roman" w:cs="Times New Roman"/>
          <w:spacing w:val="2"/>
          <w:sz w:val="25"/>
          <w:szCs w:val="25"/>
        </w:rPr>
        <w:t>1</w:t>
      </w:r>
      <w:r>
        <w:rPr>
          <w:rFonts w:ascii="Times New Roman" w:hAnsi="Times New Roman" w:eastAsia="Times New Roman" w:cs="Times New Roman"/>
          <w:spacing w:val="32"/>
          <w:sz w:val="25"/>
          <w:szCs w:val="25"/>
        </w:rPr>
        <w:t xml:space="preserve"> </w:t>
      </w:r>
      <w:r>
        <w:rPr>
          <w:rFonts w:ascii="仿宋" w:hAnsi="仿宋" w:eastAsia="仿宋" w:cs="仿宋"/>
          <w:spacing w:val="2"/>
          <w:sz w:val="25"/>
          <w:szCs w:val="25"/>
        </w:rPr>
        <w:t>月</w:t>
      </w:r>
      <w:r>
        <w:rPr>
          <w:rFonts w:ascii="仿宋" w:hAnsi="仿宋" w:eastAsia="仿宋" w:cs="仿宋"/>
          <w:spacing w:val="-28"/>
          <w:sz w:val="25"/>
          <w:szCs w:val="25"/>
        </w:rPr>
        <w:t xml:space="preserve"> </w:t>
      </w:r>
      <w:r>
        <w:rPr>
          <w:rFonts w:ascii="Times New Roman" w:hAnsi="Times New Roman" w:eastAsia="Times New Roman" w:cs="Times New Roman"/>
          <w:spacing w:val="2"/>
          <w:sz w:val="25"/>
          <w:szCs w:val="25"/>
        </w:rPr>
        <w:t xml:space="preserve">1  </w:t>
      </w:r>
      <w:r>
        <w:rPr>
          <w:rFonts w:ascii="仿宋" w:hAnsi="仿宋" w:eastAsia="仿宋" w:cs="仿宋"/>
          <w:spacing w:val="2"/>
          <w:sz w:val="25"/>
          <w:szCs w:val="25"/>
        </w:rPr>
        <w:t>日</w:t>
      </w:r>
      <w:r>
        <w:rPr>
          <w:rFonts w:ascii="仿宋" w:hAnsi="仿宋" w:eastAsia="仿宋" w:cs="仿宋"/>
          <w:sz w:val="25"/>
          <w:szCs w:val="25"/>
        </w:rPr>
        <w:t xml:space="preserve"> </w:t>
      </w:r>
      <w:r>
        <w:rPr>
          <w:rFonts w:ascii="仿宋" w:hAnsi="仿宋" w:eastAsia="仿宋" w:cs="仿宋"/>
          <w:spacing w:val="3"/>
          <w:sz w:val="25"/>
          <w:szCs w:val="25"/>
        </w:rPr>
        <w:t>起实施</w:t>
      </w:r>
      <w:r>
        <w:rPr>
          <w:rFonts w:ascii="仿宋" w:hAnsi="仿宋" w:eastAsia="仿宋" w:cs="仿宋"/>
          <w:sz w:val="25"/>
          <w:szCs w:val="25"/>
        </w:rPr>
        <w:t>）；</w:t>
      </w:r>
    </w:p>
    <w:p w14:paraId="6FF60CD2">
      <w:pPr>
        <w:spacing w:before="151" w:line="228" w:lineRule="auto"/>
        <w:ind w:left="541"/>
        <w:rPr>
          <w:rFonts w:ascii="仿宋" w:hAnsi="仿宋" w:eastAsia="仿宋" w:cs="仿宋"/>
          <w:sz w:val="25"/>
          <w:szCs w:val="25"/>
        </w:rPr>
      </w:pPr>
      <w:r>
        <w:rPr>
          <w:rFonts w:ascii="仿宋" w:hAnsi="仿宋" w:eastAsia="仿宋" w:cs="仿宋"/>
          <w:spacing w:val="2"/>
          <w:sz w:val="25"/>
          <w:szCs w:val="25"/>
        </w:rPr>
        <w:t>（</w:t>
      </w:r>
      <w:r>
        <w:rPr>
          <w:rFonts w:ascii="Times New Roman" w:hAnsi="Times New Roman" w:eastAsia="Times New Roman" w:cs="Times New Roman"/>
          <w:spacing w:val="2"/>
          <w:sz w:val="25"/>
          <w:szCs w:val="25"/>
        </w:rPr>
        <w:t>9</w:t>
      </w:r>
      <w:r>
        <w:rPr>
          <w:rFonts w:ascii="仿宋" w:hAnsi="仿宋" w:eastAsia="仿宋" w:cs="仿宋"/>
          <w:spacing w:val="2"/>
          <w:sz w:val="25"/>
          <w:szCs w:val="25"/>
        </w:rPr>
        <w:t>）《中华人民共和国水法》（</w:t>
      </w:r>
      <w:r>
        <w:rPr>
          <w:rFonts w:ascii="Times New Roman" w:hAnsi="Times New Roman" w:eastAsia="Times New Roman" w:cs="Times New Roman"/>
          <w:spacing w:val="2"/>
          <w:sz w:val="25"/>
          <w:szCs w:val="25"/>
        </w:rPr>
        <w:t>2016</w:t>
      </w:r>
      <w:r>
        <w:rPr>
          <w:rFonts w:ascii="Times New Roman" w:hAnsi="Times New Roman" w:eastAsia="Times New Roman" w:cs="Times New Roman"/>
          <w:spacing w:val="25"/>
          <w:w w:val="101"/>
          <w:sz w:val="25"/>
          <w:szCs w:val="25"/>
        </w:rPr>
        <w:t xml:space="preserve"> </w:t>
      </w:r>
      <w:r>
        <w:rPr>
          <w:rFonts w:ascii="仿宋" w:hAnsi="仿宋" w:eastAsia="仿宋" w:cs="仿宋"/>
          <w:spacing w:val="2"/>
          <w:sz w:val="25"/>
          <w:szCs w:val="25"/>
        </w:rPr>
        <w:t>年</w:t>
      </w:r>
      <w:r>
        <w:rPr>
          <w:rFonts w:ascii="仿宋" w:hAnsi="仿宋" w:eastAsia="仿宋" w:cs="仿宋"/>
          <w:spacing w:val="-48"/>
          <w:sz w:val="25"/>
          <w:szCs w:val="25"/>
        </w:rPr>
        <w:t xml:space="preserve"> </w:t>
      </w:r>
      <w:r>
        <w:rPr>
          <w:rFonts w:ascii="Times New Roman" w:hAnsi="Times New Roman" w:eastAsia="Times New Roman" w:cs="Times New Roman"/>
          <w:spacing w:val="2"/>
          <w:sz w:val="25"/>
          <w:szCs w:val="25"/>
        </w:rPr>
        <w:t>7</w:t>
      </w:r>
      <w:r>
        <w:rPr>
          <w:rFonts w:ascii="Times New Roman" w:hAnsi="Times New Roman" w:eastAsia="Times New Roman" w:cs="Times New Roman"/>
          <w:spacing w:val="31"/>
          <w:w w:val="101"/>
          <w:sz w:val="25"/>
          <w:szCs w:val="25"/>
        </w:rPr>
        <w:t xml:space="preserve"> </w:t>
      </w:r>
      <w:r>
        <w:rPr>
          <w:rFonts w:ascii="仿宋" w:hAnsi="仿宋" w:eastAsia="仿宋" w:cs="仿宋"/>
          <w:spacing w:val="2"/>
          <w:sz w:val="25"/>
          <w:szCs w:val="25"/>
        </w:rPr>
        <w:t>月</w:t>
      </w:r>
      <w:r>
        <w:rPr>
          <w:rFonts w:ascii="仿宋" w:hAnsi="仿宋" w:eastAsia="仿宋" w:cs="仿宋"/>
          <w:spacing w:val="-52"/>
          <w:sz w:val="25"/>
          <w:szCs w:val="25"/>
        </w:rPr>
        <w:t xml:space="preserve"> </w:t>
      </w:r>
      <w:r>
        <w:rPr>
          <w:rFonts w:ascii="Times New Roman" w:hAnsi="Times New Roman" w:eastAsia="Times New Roman" w:cs="Times New Roman"/>
          <w:spacing w:val="2"/>
          <w:sz w:val="25"/>
          <w:szCs w:val="25"/>
        </w:rPr>
        <w:t xml:space="preserve">2  </w:t>
      </w:r>
      <w:r>
        <w:rPr>
          <w:rFonts w:ascii="仿宋" w:hAnsi="仿宋" w:eastAsia="仿宋" w:cs="仿宋"/>
          <w:spacing w:val="2"/>
          <w:sz w:val="25"/>
          <w:szCs w:val="25"/>
        </w:rPr>
        <w:t>日修订</w:t>
      </w:r>
      <w:r>
        <w:rPr>
          <w:rFonts w:ascii="仿宋" w:hAnsi="仿宋" w:eastAsia="仿宋" w:cs="仿宋"/>
          <w:spacing w:val="7"/>
          <w:sz w:val="25"/>
          <w:szCs w:val="25"/>
        </w:rPr>
        <w:t>）；</w:t>
      </w:r>
    </w:p>
    <w:p w14:paraId="7D5D56D4">
      <w:pPr>
        <w:spacing w:before="150" w:line="228" w:lineRule="auto"/>
        <w:ind w:left="541"/>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10</w:t>
      </w:r>
      <w:r>
        <w:rPr>
          <w:rFonts w:ascii="仿宋" w:hAnsi="仿宋" w:eastAsia="仿宋" w:cs="仿宋"/>
          <w:spacing w:val="7"/>
          <w:sz w:val="25"/>
          <w:szCs w:val="25"/>
        </w:rPr>
        <w:t>）《中华人民共和国清洁生产促进法》（</w:t>
      </w:r>
      <w:r>
        <w:rPr>
          <w:rFonts w:ascii="Times New Roman" w:hAnsi="Times New Roman" w:eastAsia="Times New Roman" w:cs="Times New Roman"/>
          <w:spacing w:val="7"/>
          <w:sz w:val="25"/>
          <w:szCs w:val="25"/>
        </w:rPr>
        <w:t>2012</w:t>
      </w:r>
      <w:r>
        <w:rPr>
          <w:rFonts w:ascii="Times New Roman" w:hAnsi="Times New Roman" w:eastAsia="Times New Roman" w:cs="Times New Roman"/>
          <w:spacing w:val="24"/>
          <w:w w:val="101"/>
          <w:sz w:val="25"/>
          <w:szCs w:val="25"/>
        </w:rPr>
        <w:t xml:space="preserve"> </w:t>
      </w:r>
      <w:r>
        <w:rPr>
          <w:rFonts w:ascii="仿宋" w:hAnsi="仿宋" w:eastAsia="仿宋" w:cs="仿宋"/>
          <w:spacing w:val="7"/>
          <w:sz w:val="25"/>
          <w:szCs w:val="25"/>
        </w:rPr>
        <w:t>年修订</w:t>
      </w:r>
      <w:r>
        <w:rPr>
          <w:rFonts w:ascii="仿宋" w:hAnsi="仿宋" w:eastAsia="仿宋" w:cs="仿宋"/>
          <w:spacing w:val="4"/>
          <w:sz w:val="25"/>
          <w:szCs w:val="25"/>
        </w:rPr>
        <w:t>）；</w:t>
      </w:r>
    </w:p>
    <w:p w14:paraId="12A11257">
      <w:pPr>
        <w:spacing w:before="151" w:line="228" w:lineRule="auto"/>
        <w:ind w:right="26"/>
        <w:jc w:val="right"/>
        <w:rPr>
          <w:rFonts w:ascii="仿宋" w:hAnsi="仿宋" w:eastAsia="仿宋" w:cs="仿宋"/>
          <w:sz w:val="25"/>
          <w:szCs w:val="25"/>
        </w:rPr>
      </w:pPr>
      <w:r>
        <w:rPr>
          <w:rFonts w:ascii="仿宋" w:hAnsi="仿宋" w:eastAsia="仿宋" w:cs="仿宋"/>
          <w:spacing w:val="3"/>
          <w:sz w:val="25"/>
          <w:szCs w:val="25"/>
        </w:rPr>
        <w:t>（</w:t>
      </w:r>
      <w:r>
        <w:rPr>
          <w:rFonts w:ascii="Times New Roman" w:hAnsi="Times New Roman" w:eastAsia="Times New Roman" w:cs="Times New Roman"/>
          <w:spacing w:val="3"/>
          <w:sz w:val="25"/>
          <w:szCs w:val="25"/>
        </w:rPr>
        <w:t>11</w:t>
      </w:r>
      <w:r>
        <w:rPr>
          <w:rFonts w:ascii="仿宋" w:hAnsi="仿宋" w:eastAsia="仿宋" w:cs="仿宋"/>
          <w:spacing w:val="3"/>
          <w:sz w:val="25"/>
          <w:szCs w:val="25"/>
        </w:rPr>
        <w:t>）《中华人民共和国循环经济促进法》（</w:t>
      </w:r>
      <w:r>
        <w:rPr>
          <w:rFonts w:ascii="Times New Roman" w:hAnsi="Times New Roman" w:eastAsia="Times New Roman" w:cs="Times New Roman"/>
          <w:spacing w:val="3"/>
          <w:sz w:val="25"/>
          <w:szCs w:val="25"/>
        </w:rPr>
        <w:t>2018</w:t>
      </w:r>
      <w:r>
        <w:rPr>
          <w:rFonts w:ascii="Times New Roman" w:hAnsi="Times New Roman" w:eastAsia="Times New Roman" w:cs="Times New Roman"/>
          <w:spacing w:val="25"/>
          <w:w w:val="101"/>
          <w:sz w:val="25"/>
          <w:szCs w:val="25"/>
        </w:rPr>
        <w:t xml:space="preserve"> </w:t>
      </w:r>
      <w:r>
        <w:rPr>
          <w:rFonts w:ascii="仿宋" w:hAnsi="仿宋" w:eastAsia="仿宋" w:cs="仿宋"/>
          <w:spacing w:val="3"/>
          <w:sz w:val="25"/>
          <w:szCs w:val="25"/>
        </w:rPr>
        <w:t>年</w:t>
      </w:r>
      <w:r>
        <w:rPr>
          <w:rFonts w:ascii="仿宋" w:hAnsi="仿宋" w:eastAsia="仿宋" w:cs="仿宋"/>
          <w:spacing w:val="-28"/>
          <w:sz w:val="25"/>
          <w:szCs w:val="25"/>
        </w:rPr>
        <w:t xml:space="preserve"> </w:t>
      </w:r>
      <w:r>
        <w:rPr>
          <w:rFonts w:ascii="Times New Roman" w:hAnsi="Times New Roman" w:eastAsia="Times New Roman" w:cs="Times New Roman"/>
          <w:spacing w:val="3"/>
          <w:sz w:val="25"/>
          <w:szCs w:val="25"/>
        </w:rPr>
        <w:t>10</w:t>
      </w:r>
      <w:r>
        <w:rPr>
          <w:rFonts w:ascii="Times New Roman" w:hAnsi="Times New Roman" w:eastAsia="Times New Roman" w:cs="Times New Roman"/>
          <w:spacing w:val="32"/>
          <w:sz w:val="25"/>
          <w:szCs w:val="25"/>
        </w:rPr>
        <w:t xml:space="preserve"> </w:t>
      </w:r>
      <w:r>
        <w:rPr>
          <w:rFonts w:ascii="仿宋" w:hAnsi="仿宋" w:eastAsia="仿宋" w:cs="仿宋"/>
          <w:spacing w:val="3"/>
          <w:sz w:val="25"/>
          <w:szCs w:val="25"/>
        </w:rPr>
        <w:t>月</w:t>
      </w:r>
      <w:r>
        <w:rPr>
          <w:rFonts w:ascii="仿宋" w:hAnsi="仿宋" w:eastAsia="仿宋" w:cs="仿宋"/>
          <w:spacing w:val="-52"/>
          <w:sz w:val="25"/>
          <w:szCs w:val="25"/>
        </w:rPr>
        <w:t xml:space="preserve"> </w:t>
      </w:r>
      <w:r>
        <w:rPr>
          <w:rFonts w:ascii="Times New Roman" w:hAnsi="Times New Roman" w:eastAsia="Times New Roman" w:cs="Times New Roman"/>
          <w:spacing w:val="3"/>
          <w:sz w:val="25"/>
          <w:szCs w:val="25"/>
        </w:rPr>
        <w:t xml:space="preserve">26  </w:t>
      </w:r>
      <w:r>
        <w:rPr>
          <w:rFonts w:ascii="仿宋" w:hAnsi="仿宋" w:eastAsia="仿宋" w:cs="仿宋"/>
          <w:spacing w:val="3"/>
          <w:sz w:val="25"/>
          <w:szCs w:val="25"/>
        </w:rPr>
        <w:t>日修正）；</w:t>
      </w:r>
    </w:p>
    <w:p w14:paraId="76CF5273">
      <w:pPr>
        <w:spacing w:before="152" w:line="228" w:lineRule="auto"/>
        <w:ind w:left="541"/>
        <w:rPr>
          <w:rFonts w:ascii="仿宋" w:hAnsi="仿宋" w:eastAsia="仿宋" w:cs="仿宋"/>
          <w:sz w:val="25"/>
          <w:szCs w:val="25"/>
        </w:rPr>
      </w:pPr>
      <w:r>
        <w:rPr>
          <w:rFonts w:ascii="仿宋" w:hAnsi="仿宋" w:eastAsia="仿宋" w:cs="仿宋"/>
          <w:spacing w:val="2"/>
          <w:sz w:val="25"/>
          <w:szCs w:val="25"/>
        </w:rPr>
        <w:t>（</w:t>
      </w:r>
      <w:r>
        <w:rPr>
          <w:rFonts w:ascii="Times New Roman" w:hAnsi="Times New Roman" w:eastAsia="Times New Roman" w:cs="Times New Roman"/>
          <w:spacing w:val="2"/>
          <w:sz w:val="25"/>
          <w:szCs w:val="25"/>
        </w:rPr>
        <w:t>12</w:t>
      </w:r>
      <w:r>
        <w:rPr>
          <w:rFonts w:ascii="仿宋" w:hAnsi="仿宋" w:eastAsia="仿宋" w:cs="仿宋"/>
          <w:spacing w:val="2"/>
          <w:sz w:val="25"/>
          <w:szCs w:val="25"/>
        </w:rPr>
        <w:t>）《中华人民共和国文物保护法》（</w:t>
      </w:r>
      <w:r>
        <w:rPr>
          <w:rFonts w:ascii="Times New Roman" w:hAnsi="Times New Roman" w:eastAsia="Times New Roman" w:cs="Times New Roman"/>
          <w:spacing w:val="2"/>
          <w:sz w:val="25"/>
          <w:szCs w:val="25"/>
        </w:rPr>
        <w:t>2024</w:t>
      </w:r>
      <w:r>
        <w:rPr>
          <w:rFonts w:ascii="Times New Roman" w:hAnsi="Times New Roman" w:eastAsia="Times New Roman" w:cs="Times New Roman"/>
          <w:spacing w:val="28"/>
          <w:sz w:val="25"/>
          <w:szCs w:val="25"/>
        </w:rPr>
        <w:t xml:space="preserve"> </w:t>
      </w:r>
      <w:r>
        <w:rPr>
          <w:rFonts w:ascii="仿宋" w:hAnsi="仿宋" w:eastAsia="仿宋" w:cs="仿宋"/>
          <w:spacing w:val="2"/>
          <w:sz w:val="25"/>
          <w:szCs w:val="25"/>
        </w:rPr>
        <w:t>年</w:t>
      </w:r>
      <w:r>
        <w:rPr>
          <w:rFonts w:ascii="仿宋" w:hAnsi="仿宋" w:eastAsia="仿宋" w:cs="仿宋"/>
          <w:spacing w:val="-30"/>
          <w:sz w:val="25"/>
          <w:szCs w:val="25"/>
        </w:rPr>
        <w:t xml:space="preserve"> </w:t>
      </w:r>
      <w:r>
        <w:rPr>
          <w:rFonts w:ascii="Times New Roman" w:hAnsi="Times New Roman" w:eastAsia="Times New Roman" w:cs="Times New Roman"/>
          <w:spacing w:val="2"/>
          <w:sz w:val="25"/>
          <w:szCs w:val="25"/>
        </w:rPr>
        <w:t>11</w:t>
      </w:r>
      <w:r>
        <w:rPr>
          <w:rFonts w:ascii="Times New Roman" w:hAnsi="Times New Roman" w:eastAsia="Times New Roman" w:cs="Times New Roman"/>
          <w:spacing w:val="32"/>
          <w:sz w:val="25"/>
          <w:szCs w:val="25"/>
        </w:rPr>
        <w:t xml:space="preserve"> </w:t>
      </w:r>
      <w:r>
        <w:rPr>
          <w:rFonts w:ascii="仿宋" w:hAnsi="仿宋" w:eastAsia="仿宋" w:cs="仿宋"/>
          <w:spacing w:val="2"/>
          <w:sz w:val="25"/>
          <w:szCs w:val="25"/>
        </w:rPr>
        <w:t>月</w:t>
      </w:r>
      <w:r>
        <w:rPr>
          <w:rFonts w:ascii="仿宋" w:hAnsi="仿宋" w:eastAsia="仿宋" w:cs="仿宋"/>
          <w:spacing w:val="-42"/>
          <w:sz w:val="25"/>
          <w:szCs w:val="25"/>
        </w:rPr>
        <w:t xml:space="preserve"> </w:t>
      </w:r>
      <w:r>
        <w:rPr>
          <w:rFonts w:ascii="Times New Roman" w:hAnsi="Times New Roman" w:eastAsia="Times New Roman" w:cs="Times New Roman"/>
          <w:spacing w:val="2"/>
          <w:sz w:val="25"/>
          <w:szCs w:val="25"/>
        </w:rPr>
        <w:t xml:space="preserve">8  </w:t>
      </w:r>
      <w:r>
        <w:rPr>
          <w:rFonts w:ascii="仿宋" w:hAnsi="仿宋" w:eastAsia="仿宋" w:cs="仿宋"/>
          <w:spacing w:val="2"/>
          <w:sz w:val="25"/>
          <w:szCs w:val="25"/>
        </w:rPr>
        <w:t>日修正</w:t>
      </w:r>
      <w:r>
        <w:rPr>
          <w:rFonts w:ascii="仿宋" w:hAnsi="仿宋" w:eastAsia="仿宋" w:cs="仿宋"/>
          <w:spacing w:val="6"/>
          <w:sz w:val="25"/>
          <w:szCs w:val="25"/>
        </w:rPr>
        <w:t>）；</w:t>
      </w:r>
    </w:p>
    <w:p w14:paraId="27F8B901">
      <w:pPr>
        <w:spacing w:before="150" w:line="228" w:lineRule="auto"/>
        <w:ind w:left="541"/>
        <w:rPr>
          <w:rFonts w:ascii="仿宋" w:hAnsi="仿宋" w:eastAsia="仿宋" w:cs="仿宋"/>
          <w:sz w:val="25"/>
          <w:szCs w:val="25"/>
        </w:rPr>
      </w:pPr>
      <w:r>
        <w:rPr>
          <w:rFonts w:ascii="仿宋" w:hAnsi="仿宋" w:eastAsia="仿宋" w:cs="仿宋"/>
          <w:spacing w:val="3"/>
          <w:sz w:val="25"/>
          <w:szCs w:val="25"/>
        </w:rPr>
        <w:t>（</w:t>
      </w:r>
      <w:r>
        <w:rPr>
          <w:rFonts w:ascii="Times New Roman" w:hAnsi="Times New Roman" w:eastAsia="Times New Roman" w:cs="Times New Roman"/>
          <w:spacing w:val="3"/>
          <w:sz w:val="25"/>
          <w:szCs w:val="25"/>
        </w:rPr>
        <w:t>13</w:t>
      </w:r>
      <w:r>
        <w:rPr>
          <w:rFonts w:ascii="仿宋" w:hAnsi="仿宋" w:eastAsia="仿宋" w:cs="仿宋"/>
          <w:spacing w:val="3"/>
          <w:sz w:val="25"/>
          <w:szCs w:val="25"/>
        </w:rPr>
        <w:t>）《中华人民共和国环境保护税法》（</w:t>
      </w:r>
      <w:r>
        <w:rPr>
          <w:rFonts w:ascii="Times New Roman" w:hAnsi="Times New Roman" w:eastAsia="Times New Roman" w:cs="Times New Roman"/>
          <w:spacing w:val="3"/>
          <w:sz w:val="25"/>
          <w:szCs w:val="25"/>
        </w:rPr>
        <w:t>2018</w:t>
      </w:r>
      <w:r>
        <w:rPr>
          <w:rFonts w:ascii="Times New Roman" w:hAnsi="Times New Roman" w:eastAsia="Times New Roman" w:cs="Times New Roman"/>
          <w:spacing w:val="27"/>
          <w:w w:val="101"/>
          <w:sz w:val="25"/>
          <w:szCs w:val="25"/>
        </w:rPr>
        <w:t xml:space="preserve"> </w:t>
      </w:r>
      <w:r>
        <w:rPr>
          <w:rFonts w:ascii="仿宋" w:hAnsi="仿宋" w:eastAsia="仿宋" w:cs="仿宋"/>
          <w:spacing w:val="3"/>
          <w:sz w:val="25"/>
          <w:szCs w:val="25"/>
        </w:rPr>
        <w:t>年</w:t>
      </w:r>
      <w:r>
        <w:rPr>
          <w:rFonts w:ascii="仿宋" w:hAnsi="仿宋" w:eastAsia="仿宋" w:cs="仿宋"/>
          <w:spacing w:val="-30"/>
          <w:sz w:val="25"/>
          <w:szCs w:val="25"/>
        </w:rPr>
        <w:t xml:space="preserve"> </w:t>
      </w:r>
      <w:r>
        <w:rPr>
          <w:rFonts w:ascii="Times New Roman" w:hAnsi="Times New Roman" w:eastAsia="Times New Roman" w:cs="Times New Roman"/>
          <w:spacing w:val="3"/>
          <w:sz w:val="25"/>
          <w:szCs w:val="25"/>
        </w:rPr>
        <w:t>10</w:t>
      </w:r>
      <w:r>
        <w:rPr>
          <w:rFonts w:ascii="Times New Roman" w:hAnsi="Times New Roman" w:eastAsia="Times New Roman" w:cs="Times New Roman"/>
          <w:spacing w:val="34"/>
          <w:w w:val="101"/>
          <w:sz w:val="25"/>
          <w:szCs w:val="25"/>
        </w:rPr>
        <w:t xml:space="preserve"> </w:t>
      </w:r>
      <w:r>
        <w:rPr>
          <w:rFonts w:ascii="仿宋" w:hAnsi="仿宋" w:eastAsia="仿宋" w:cs="仿宋"/>
          <w:spacing w:val="3"/>
          <w:sz w:val="25"/>
          <w:szCs w:val="25"/>
        </w:rPr>
        <w:t>月</w:t>
      </w:r>
      <w:r>
        <w:rPr>
          <w:rFonts w:ascii="仿宋" w:hAnsi="仿宋" w:eastAsia="仿宋" w:cs="仿宋"/>
          <w:spacing w:val="-55"/>
          <w:sz w:val="25"/>
          <w:szCs w:val="25"/>
        </w:rPr>
        <w:t xml:space="preserve"> </w:t>
      </w:r>
      <w:r>
        <w:rPr>
          <w:rFonts w:ascii="Times New Roman" w:hAnsi="Times New Roman" w:eastAsia="Times New Roman" w:cs="Times New Roman"/>
          <w:spacing w:val="3"/>
          <w:sz w:val="25"/>
          <w:szCs w:val="25"/>
        </w:rPr>
        <w:t xml:space="preserve">26  </w:t>
      </w:r>
      <w:r>
        <w:rPr>
          <w:rFonts w:ascii="仿宋" w:hAnsi="仿宋" w:eastAsia="仿宋" w:cs="仿宋"/>
          <w:spacing w:val="3"/>
          <w:sz w:val="25"/>
          <w:szCs w:val="25"/>
        </w:rPr>
        <w:t>日修正</w:t>
      </w:r>
      <w:r>
        <w:rPr>
          <w:rFonts w:ascii="仿宋" w:hAnsi="仿宋" w:eastAsia="仿宋" w:cs="仿宋"/>
          <w:sz w:val="25"/>
          <w:szCs w:val="25"/>
        </w:rPr>
        <w:t>）；</w:t>
      </w:r>
    </w:p>
    <w:p w14:paraId="4AB223D3">
      <w:pPr>
        <w:spacing w:before="151" w:line="285" w:lineRule="auto"/>
        <w:ind w:left="8" w:right="73" w:firstLine="532"/>
        <w:rPr>
          <w:rFonts w:ascii="仿宋" w:hAnsi="仿宋" w:eastAsia="仿宋" w:cs="仿宋"/>
          <w:sz w:val="25"/>
          <w:szCs w:val="25"/>
        </w:rPr>
      </w:pPr>
      <w:r>
        <w:rPr>
          <w:rFonts w:ascii="仿宋" w:hAnsi="仿宋" w:eastAsia="仿宋" w:cs="仿宋"/>
          <w:spacing w:val="2"/>
          <w:sz w:val="25"/>
          <w:szCs w:val="25"/>
        </w:rPr>
        <w:t>（</w:t>
      </w:r>
      <w:r>
        <w:rPr>
          <w:rFonts w:ascii="Times New Roman" w:hAnsi="Times New Roman" w:eastAsia="Times New Roman" w:cs="Times New Roman"/>
          <w:spacing w:val="2"/>
          <w:sz w:val="25"/>
          <w:szCs w:val="25"/>
        </w:rPr>
        <w:t>14</w:t>
      </w:r>
      <w:r>
        <w:rPr>
          <w:rFonts w:ascii="仿宋" w:hAnsi="仿宋" w:eastAsia="仿宋" w:cs="仿宋"/>
          <w:spacing w:val="2"/>
          <w:sz w:val="25"/>
          <w:szCs w:val="25"/>
        </w:rPr>
        <w:t>）《中华人民共和国矿产资源法》（</w:t>
      </w:r>
      <w:r>
        <w:rPr>
          <w:rFonts w:ascii="Times New Roman" w:hAnsi="Times New Roman" w:eastAsia="Times New Roman" w:cs="Times New Roman"/>
          <w:spacing w:val="2"/>
          <w:sz w:val="25"/>
          <w:szCs w:val="25"/>
        </w:rPr>
        <w:t>2024</w:t>
      </w:r>
      <w:r>
        <w:rPr>
          <w:rFonts w:ascii="Times New Roman" w:hAnsi="Times New Roman" w:eastAsia="Times New Roman" w:cs="Times New Roman"/>
          <w:spacing w:val="42"/>
          <w:w w:val="101"/>
          <w:sz w:val="25"/>
          <w:szCs w:val="25"/>
        </w:rPr>
        <w:t xml:space="preserve"> </w:t>
      </w:r>
      <w:r>
        <w:rPr>
          <w:rFonts w:ascii="仿宋" w:hAnsi="仿宋" w:eastAsia="仿宋" w:cs="仿宋"/>
          <w:spacing w:val="2"/>
          <w:sz w:val="25"/>
          <w:szCs w:val="25"/>
        </w:rPr>
        <w:t>年</w:t>
      </w:r>
      <w:r>
        <w:rPr>
          <w:rFonts w:ascii="仿宋" w:hAnsi="仿宋" w:eastAsia="仿宋" w:cs="仿宋"/>
          <w:spacing w:val="-30"/>
          <w:sz w:val="25"/>
          <w:szCs w:val="25"/>
        </w:rPr>
        <w:t xml:space="preserve"> </w:t>
      </w:r>
      <w:r>
        <w:rPr>
          <w:rFonts w:ascii="Times New Roman" w:hAnsi="Times New Roman" w:eastAsia="Times New Roman" w:cs="Times New Roman"/>
          <w:spacing w:val="2"/>
          <w:sz w:val="25"/>
          <w:szCs w:val="25"/>
        </w:rPr>
        <w:t>11</w:t>
      </w:r>
      <w:r>
        <w:rPr>
          <w:rFonts w:ascii="Times New Roman" w:hAnsi="Times New Roman" w:eastAsia="Times New Roman" w:cs="Times New Roman"/>
          <w:spacing w:val="32"/>
          <w:sz w:val="25"/>
          <w:szCs w:val="25"/>
        </w:rPr>
        <w:t xml:space="preserve"> </w:t>
      </w:r>
      <w:r>
        <w:rPr>
          <w:rFonts w:ascii="仿宋" w:hAnsi="仿宋" w:eastAsia="仿宋" w:cs="仿宋"/>
          <w:spacing w:val="2"/>
          <w:sz w:val="25"/>
          <w:szCs w:val="25"/>
        </w:rPr>
        <w:t>月</w:t>
      </w:r>
      <w:r>
        <w:rPr>
          <w:rFonts w:ascii="仿宋" w:hAnsi="仿宋" w:eastAsia="仿宋" w:cs="仿宋"/>
          <w:spacing w:val="-42"/>
          <w:sz w:val="25"/>
          <w:szCs w:val="25"/>
        </w:rPr>
        <w:t xml:space="preserve"> </w:t>
      </w:r>
      <w:r>
        <w:rPr>
          <w:rFonts w:ascii="Times New Roman" w:hAnsi="Times New Roman" w:eastAsia="Times New Roman" w:cs="Times New Roman"/>
          <w:spacing w:val="2"/>
          <w:sz w:val="25"/>
          <w:szCs w:val="25"/>
        </w:rPr>
        <w:t xml:space="preserve">8  </w:t>
      </w:r>
      <w:r>
        <w:rPr>
          <w:rFonts w:ascii="仿宋" w:hAnsi="仿宋" w:eastAsia="仿宋" w:cs="仿宋"/>
          <w:spacing w:val="2"/>
          <w:sz w:val="25"/>
          <w:szCs w:val="25"/>
        </w:rPr>
        <w:t>日修订，</w:t>
      </w:r>
      <w:r>
        <w:rPr>
          <w:rFonts w:ascii="Times New Roman" w:hAnsi="Times New Roman" w:eastAsia="Times New Roman" w:cs="Times New Roman"/>
          <w:spacing w:val="2"/>
          <w:sz w:val="25"/>
          <w:szCs w:val="25"/>
        </w:rPr>
        <w:t>2025</w:t>
      </w:r>
      <w:r>
        <w:rPr>
          <w:rFonts w:ascii="Times New Roman" w:hAnsi="Times New Roman" w:eastAsia="Times New Roman" w:cs="Times New Roman"/>
          <w:spacing w:val="27"/>
          <w:sz w:val="25"/>
          <w:szCs w:val="25"/>
        </w:rPr>
        <w:t xml:space="preserve"> </w:t>
      </w:r>
      <w:r>
        <w:rPr>
          <w:rFonts w:ascii="仿宋" w:hAnsi="仿宋" w:eastAsia="仿宋" w:cs="仿宋"/>
          <w:spacing w:val="2"/>
          <w:sz w:val="25"/>
          <w:szCs w:val="25"/>
        </w:rPr>
        <w:t>年</w:t>
      </w:r>
      <w:r>
        <w:rPr>
          <w:rFonts w:ascii="仿宋" w:hAnsi="仿宋" w:eastAsia="仿宋" w:cs="仿宋"/>
          <w:sz w:val="25"/>
          <w:szCs w:val="25"/>
        </w:rPr>
        <w:t xml:space="preserve"> </w:t>
      </w:r>
      <w:r>
        <w:rPr>
          <w:rFonts w:ascii="Times New Roman" w:hAnsi="Times New Roman" w:eastAsia="Times New Roman" w:cs="Times New Roman"/>
          <w:spacing w:val="-16"/>
          <w:sz w:val="25"/>
          <w:szCs w:val="25"/>
        </w:rPr>
        <w:t>7</w:t>
      </w:r>
      <w:r>
        <w:rPr>
          <w:rFonts w:ascii="Times New Roman" w:hAnsi="Times New Roman" w:eastAsia="Times New Roman" w:cs="Times New Roman"/>
          <w:spacing w:val="33"/>
          <w:sz w:val="25"/>
          <w:szCs w:val="25"/>
        </w:rPr>
        <w:t xml:space="preserve"> </w:t>
      </w:r>
      <w:r>
        <w:rPr>
          <w:rFonts w:ascii="仿宋" w:hAnsi="仿宋" w:eastAsia="仿宋" w:cs="仿宋"/>
          <w:spacing w:val="-16"/>
          <w:sz w:val="25"/>
          <w:szCs w:val="25"/>
        </w:rPr>
        <w:t>月</w:t>
      </w:r>
      <w:r>
        <w:rPr>
          <w:rFonts w:ascii="仿宋" w:hAnsi="仿宋" w:eastAsia="仿宋" w:cs="仿宋"/>
          <w:spacing w:val="-27"/>
          <w:sz w:val="25"/>
          <w:szCs w:val="25"/>
        </w:rPr>
        <w:t xml:space="preserve"> </w:t>
      </w:r>
      <w:r>
        <w:rPr>
          <w:rFonts w:ascii="Times New Roman" w:hAnsi="Times New Roman" w:eastAsia="Times New Roman" w:cs="Times New Roman"/>
          <w:spacing w:val="-16"/>
          <w:sz w:val="25"/>
          <w:szCs w:val="25"/>
        </w:rPr>
        <w:t>1</w:t>
      </w:r>
      <w:r>
        <w:rPr>
          <w:rFonts w:ascii="Times New Roman" w:hAnsi="Times New Roman" w:eastAsia="Times New Roman" w:cs="Times New Roman"/>
          <w:spacing w:val="5"/>
          <w:sz w:val="25"/>
          <w:szCs w:val="25"/>
        </w:rPr>
        <w:t xml:space="preserve">  </w:t>
      </w:r>
      <w:r>
        <w:rPr>
          <w:rFonts w:ascii="仿宋" w:hAnsi="仿宋" w:eastAsia="仿宋" w:cs="仿宋"/>
          <w:spacing w:val="-16"/>
          <w:sz w:val="25"/>
          <w:szCs w:val="25"/>
        </w:rPr>
        <w:t>日实施</w:t>
      </w:r>
      <w:r>
        <w:rPr>
          <w:rFonts w:ascii="仿宋" w:hAnsi="仿宋" w:eastAsia="仿宋" w:cs="仿宋"/>
          <w:sz w:val="25"/>
          <w:szCs w:val="25"/>
        </w:rPr>
        <w:t>）；</w:t>
      </w:r>
    </w:p>
    <w:p w14:paraId="27C4B72F">
      <w:pPr>
        <w:spacing w:before="148" w:line="284" w:lineRule="auto"/>
        <w:ind w:left="10" w:right="68" w:firstLine="531"/>
        <w:rPr>
          <w:rFonts w:ascii="仿宋" w:hAnsi="仿宋" w:eastAsia="仿宋" w:cs="仿宋"/>
          <w:sz w:val="25"/>
          <w:szCs w:val="25"/>
        </w:rPr>
      </w:pPr>
      <w:r>
        <w:rPr>
          <w:rFonts w:ascii="仿宋" w:hAnsi="仿宋" w:eastAsia="仿宋" w:cs="仿宋"/>
          <w:spacing w:val="3"/>
          <w:sz w:val="25"/>
          <w:szCs w:val="25"/>
        </w:rPr>
        <w:t>（</w:t>
      </w:r>
      <w:r>
        <w:rPr>
          <w:rFonts w:ascii="Times New Roman" w:hAnsi="Times New Roman" w:eastAsia="Times New Roman" w:cs="Times New Roman"/>
          <w:spacing w:val="3"/>
          <w:sz w:val="25"/>
          <w:szCs w:val="25"/>
        </w:rPr>
        <w:t>15</w:t>
      </w:r>
      <w:r>
        <w:rPr>
          <w:rFonts w:ascii="仿宋" w:hAnsi="仿宋" w:eastAsia="仿宋" w:cs="仿宋"/>
          <w:spacing w:val="3"/>
          <w:sz w:val="25"/>
          <w:szCs w:val="25"/>
        </w:rPr>
        <w:t>）《中华人民共和国土壤污染防治法》（主席令第</w:t>
      </w:r>
      <w:r>
        <w:rPr>
          <w:rFonts w:ascii="仿宋" w:hAnsi="仿宋" w:eastAsia="仿宋" w:cs="仿宋"/>
          <w:spacing w:val="-33"/>
          <w:sz w:val="25"/>
          <w:szCs w:val="25"/>
        </w:rPr>
        <w:t xml:space="preserve"> </w:t>
      </w:r>
      <w:r>
        <w:rPr>
          <w:rFonts w:ascii="Times New Roman" w:hAnsi="Times New Roman" w:eastAsia="Times New Roman" w:cs="Times New Roman"/>
          <w:spacing w:val="3"/>
          <w:sz w:val="25"/>
          <w:szCs w:val="25"/>
        </w:rPr>
        <w:t>8</w:t>
      </w:r>
      <w:r>
        <w:rPr>
          <w:rFonts w:ascii="Times New Roman" w:hAnsi="Times New Roman" w:eastAsia="Times New Roman" w:cs="Times New Roman"/>
          <w:spacing w:val="26"/>
          <w:sz w:val="25"/>
          <w:szCs w:val="25"/>
        </w:rPr>
        <w:t xml:space="preserve"> </w:t>
      </w:r>
      <w:r>
        <w:rPr>
          <w:rFonts w:ascii="仿宋" w:hAnsi="仿宋" w:eastAsia="仿宋" w:cs="仿宋"/>
          <w:spacing w:val="3"/>
          <w:sz w:val="25"/>
          <w:szCs w:val="25"/>
        </w:rPr>
        <w:t>号，</w:t>
      </w:r>
      <w:r>
        <w:rPr>
          <w:rFonts w:ascii="Times New Roman" w:hAnsi="Times New Roman" w:eastAsia="Times New Roman" w:cs="Times New Roman"/>
          <w:spacing w:val="3"/>
          <w:sz w:val="25"/>
          <w:szCs w:val="25"/>
        </w:rPr>
        <w:t>2018</w:t>
      </w:r>
      <w:r>
        <w:rPr>
          <w:rFonts w:ascii="Times New Roman" w:hAnsi="Times New Roman" w:eastAsia="Times New Roman" w:cs="Times New Roman"/>
          <w:spacing w:val="27"/>
          <w:sz w:val="25"/>
          <w:szCs w:val="25"/>
        </w:rPr>
        <w:t xml:space="preserve"> </w:t>
      </w:r>
      <w:r>
        <w:rPr>
          <w:rFonts w:ascii="仿宋" w:hAnsi="仿宋" w:eastAsia="仿宋" w:cs="仿宋"/>
          <w:spacing w:val="3"/>
          <w:sz w:val="25"/>
          <w:szCs w:val="25"/>
        </w:rPr>
        <w:t>年</w:t>
      </w:r>
      <w:r>
        <w:rPr>
          <w:rFonts w:ascii="仿宋" w:hAnsi="仿宋" w:eastAsia="仿宋" w:cs="仿宋"/>
          <w:spacing w:val="-44"/>
          <w:sz w:val="25"/>
          <w:szCs w:val="25"/>
        </w:rPr>
        <w:t xml:space="preserve"> </w:t>
      </w:r>
      <w:r>
        <w:rPr>
          <w:rFonts w:ascii="Times New Roman" w:hAnsi="Times New Roman" w:eastAsia="Times New Roman" w:cs="Times New Roman"/>
          <w:spacing w:val="3"/>
          <w:sz w:val="25"/>
          <w:szCs w:val="25"/>
        </w:rPr>
        <w:t>8</w:t>
      </w:r>
      <w:r>
        <w:rPr>
          <w:rFonts w:ascii="Times New Roman" w:hAnsi="Times New Roman" w:eastAsia="Times New Roman" w:cs="Times New Roman"/>
          <w:spacing w:val="31"/>
          <w:w w:val="101"/>
          <w:sz w:val="25"/>
          <w:szCs w:val="25"/>
        </w:rPr>
        <w:t xml:space="preserve"> </w:t>
      </w:r>
      <w:r>
        <w:rPr>
          <w:rFonts w:ascii="仿宋" w:hAnsi="仿宋" w:eastAsia="仿宋" w:cs="仿宋"/>
          <w:spacing w:val="3"/>
          <w:sz w:val="25"/>
          <w:szCs w:val="25"/>
        </w:rPr>
        <w:t>月</w:t>
      </w:r>
      <w:r>
        <w:rPr>
          <w:rFonts w:ascii="仿宋" w:hAnsi="仿宋" w:eastAsia="仿宋" w:cs="仿宋"/>
          <w:sz w:val="25"/>
          <w:szCs w:val="25"/>
        </w:rPr>
        <w:t xml:space="preserve"> </w:t>
      </w:r>
      <w:r>
        <w:rPr>
          <w:rFonts w:ascii="Times New Roman" w:hAnsi="Times New Roman" w:eastAsia="Times New Roman" w:cs="Times New Roman"/>
          <w:spacing w:val="-7"/>
          <w:sz w:val="25"/>
          <w:szCs w:val="25"/>
        </w:rPr>
        <w:t xml:space="preserve">31  </w:t>
      </w:r>
      <w:r>
        <w:rPr>
          <w:rFonts w:ascii="仿宋" w:hAnsi="仿宋" w:eastAsia="仿宋" w:cs="仿宋"/>
          <w:spacing w:val="-7"/>
          <w:sz w:val="25"/>
          <w:szCs w:val="25"/>
        </w:rPr>
        <w:t>日发布，</w:t>
      </w:r>
      <w:r>
        <w:rPr>
          <w:rFonts w:ascii="Times New Roman" w:hAnsi="Times New Roman" w:eastAsia="Times New Roman" w:cs="Times New Roman"/>
          <w:spacing w:val="-7"/>
          <w:sz w:val="25"/>
          <w:szCs w:val="25"/>
        </w:rPr>
        <w:t>2019</w:t>
      </w:r>
      <w:r>
        <w:rPr>
          <w:rFonts w:ascii="Times New Roman" w:hAnsi="Times New Roman" w:eastAsia="Times New Roman" w:cs="Times New Roman"/>
          <w:spacing w:val="28"/>
          <w:sz w:val="25"/>
          <w:szCs w:val="25"/>
        </w:rPr>
        <w:t xml:space="preserve"> </w:t>
      </w:r>
      <w:r>
        <w:rPr>
          <w:rFonts w:ascii="仿宋" w:hAnsi="仿宋" w:eastAsia="仿宋" w:cs="仿宋"/>
          <w:spacing w:val="-7"/>
          <w:sz w:val="25"/>
          <w:szCs w:val="25"/>
        </w:rPr>
        <w:t>年</w:t>
      </w:r>
      <w:r>
        <w:rPr>
          <w:rFonts w:ascii="仿宋" w:hAnsi="仿宋" w:eastAsia="仿宋" w:cs="仿宋"/>
          <w:spacing w:val="-30"/>
          <w:sz w:val="25"/>
          <w:szCs w:val="25"/>
        </w:rPr>
        <w:t xml:space="preserve"> </w:t>
      </w:r>
      <w:r>
        <w:rPr>
          <w:rFonts w:ascii="Times New Roman" w:hAnsi="Times New Roman" w:eastAsia="Times New Roman" w:cs="Times New Roman"/>
          <w:spacing w:val="-7"/>
          <w:sz w:val="25"/>
          <w:szCs w:val="25"/>
        </w:rPr>
        <w:t>1</w:t>
      </w:r>
      <w:r>
        <w:rPr>
          <w:rFonts w:ascii="Times New Roman" w:hAnsi="Times New Roman" w:eastAsia="Times New Roman" w:cs="Times New Roman"/>
          <w:spacing w:val="32"/>
          <w:sz w:val="25"/>
          <w:szCs w:val="25"/>
        </w:rPr>
        <w:t xml:space="preserve"> </w:t>
      </w:r>
      <w:r>
        <w:rPr>
          <w:rFonts w:ascii="仿宋" w:hAnsi="仿宋" w:eastAsia="仿宋" w:cs="仿宋"/>
          <w:spacing w:val="-7"/>
          <w:sz w:val="25"/>
          <w:szCs w:val="25"/>
        </w:rPr>
        <w:t>月</w:t>
      </w:r>
      <w:r>
        <w:rPr>
          <w:rFonts w:ascii="仿宋" w:hAnsi="仿宋" w:eastAsia="仿宋" w:cs="仿宋"/>
          <w:spacing w:val="-28"/>
          <w:sz w:val="25"/>
          <w:szCs w:val="25"/>
        </w:rPr>
        <w:t xml:space="preserve"> </w:t>
      </w:r>
      <w:r>
        <w:rPr>
          <w:rFonts w:ascii="Times New Roman" w:hAnsi="Times New Roman" w:eastAsia="Times New Roman" w:cs="Times New Roman"/>
          <w:spacing w:val="-7"/>
          <w:sz w:val="25"/>
          <w:szCs w:val="25"/>
        </w:rPr>
        <w:t>1</w:t>
      </w:r>
      <w:r>
        <w:rPr>
          <w:rFonts w:ascii="Times New Roman" w:hAnsi="Times New Roman" w:eastAsia="Times New Roman" w:cs="Times New Roman"/>
          <w:spacing w:val="6"/>
          <w:sz w:val="25"/>
          <w:szCs w:val="25"/>
        </w:rPr>
        <w:t xml:space="preserve">  </w:t>
      </w:r>
      <w:r>
        <w:rPr>
          <w:rFonts w:ascii="仿宋" w:hAnsi="仿宋" w:eastAsia="仿宋" w:cs="仿宋"/>
          <w:spacing w:val="-7"/>
          <w:sz w:val="25"/>
          <w:szCs w:val="25"/>
        </w:rPr>
        <w:t>日实施</w:t>
      </w:r>
      <w:r>
        <w:rPr>
          <w:rFonts w:ascii="仿宋" w:hAnsi="仿宋" w:eastAsia="仿宋" w:cs="仿宋"/>
          <w:spacing w:val="1"/>
          <w:sz w:val="25"/>
          <w:szCs w:val="25"/>
        </w:rPr>
        <w:t>）；</w:t>
      </w:r>
    </w:p>
    <w:p w14:paraId="5A2F768F">
      <w:pPr>
        <w:spacing w:before="154" w:line="228" w:lineRule="auto"/>
        <w:ind w:left="541"/>
        <w:rPr>
          <w:rFonts w:ascii="仿宋" w:hAnsi="仿宋" w:eastAsia="仿宋" w:cs="仿宋"/>
          <w:sz w:val="25"/>
          <w:szCs w:val="25"/>
        </w:rPr>
      </w:pPr>
      <w:r>
        <w:rPr>
          <w:rFonts w:ascii="仿宋" w:hAnsi="仿宋" w:eastAsia="仿宋" w:cs="仿宋"/>
          <w:spacing w:val="3"/>
          <w:sz w:val="25"/>
          <w:szCs w:val="25"/>
        </w:rPr>
        <w:t>（</w:t>
      </w:r>
      <w:r>
        <w:rPr>
          <w:rFonts w:ascii="Times New Roman" w:hAnsi="Times New Roman" w:eastAsia="Times New Roman" w:cs="Times New Roman"/>
          <w:spacing w:val="3"/>
          <w:sz w:val="25"/>
          <w:szCs w:val="25"/>
        </w:rPr>
        <w:t>16</w:t>
      </w:r>
      <w:r>
        <w:rPr>
          <w:rFonts w:ascii="仿宋" w:hAnsi="仿宋" w:eastAsia="仿宋" w:cs="仿宋"/>
          <w:spacing w:val="3"/>
          <w:sz w:val="25"/>
          <w:szCs w:val="25"/>
        </w:rPr>
        <w:t>）《中华人民共和国节约能源法》（</w:t>
      </w:r>
      <w:r>
        <w:rPr>
          <w:rFonts w:ascii="Times New Roman" w:hAnsi="Times New Roman" w:eastAsia="Times New Roman" w:cs="Times New Roman"/>
          <w:spacing w:val="3"/>
          <w:sz w:val="25"/>
          <w:szCs w:val="25"/>
        </w:rPr>
        <w:t>2018</w:t>
      </w:r>
      <w:r>
        <w:rPr>
          <w:rFonts w:ascii="Times New Roman" w:hAnsi="Times New Roman" w:eastAsia="Times New Roman" w:cs="Times New Roman"/>
          <w:spacing w:val="27"/>
          <w:sz w:val="25"/>
          <w:szCs w:val="25"/>
        </w:rPr>
        <w:t xml:space="preserve"> </w:t>
      </w:r>
      <w:r>
        <w:rPr>
          <w:rFonts w:ascii="仿宋" w:hAnsi="仿宋" w:eastAsia="仿宋" w:cs="仿宋"/>
          <w:spacing w:val="3"/>
          <w:sz w:val="25"/>
          <w:szCs w:val="25"/>
        </w:rPr>
        <w:t>年</w:t>
      </w:r>
      <w:r>
        <w:rPr>
          <w:rFonts w:ascii="仿宋" w:hAnsi="仿宋" w:eastAsia="仿宋" w:cs="仿宋"/>
          <w:spacing w:val="-30"/>
          <w:sz w:val="25"/>
          <w:szCs w:val="25"/>
        </w:rPr>
        <w:t xml:space="preserve"> </w:t>
      </w:r>
      <w:r>
        <w:rPr>
          <w:rFonts w:ascii="Times New Roman" w:hAnsi="Times New Roman" w:eastAsia="Times New Roman" w:cs="Times New Roman"/>
          <w:spacing w:val="3"/>
          <w:sz w:val="25"/>
          <w:szCs w:val="25"/>
        </w:rPr>
        <w:t>10</w:t>
      </w:r>
      <w:r>
        <w:rPr>
          <w:rFonts w:ascii="Times New Roman" w:hAnsi="Times New Roman" w:eastAsia="Times New Roman" w:cs="Times New Roman"/>
          <w:spacing w:val="32"/>
          <w:sz w:val="25"/>
          <w:szCs w:val="25"/>
        </w:rPr>
        <w:t xml:space="preserve"> </w:t>
      </w:r>
      <w:r>
        <w:rPr>
          <w:rFonts w:ascii="仿宋" w:hAnsi="仿宋" w:eastAsia="仿宋" w:cs="仿宋"/>
          <w:spacing w:val="2"/>
          <w:sz w:val="25"/>
          <w:szCs w:val="25"/>
        </w:rPr>
        <w:t>月</w:t>
      </w:r>
      <w:r>
        <w:rPr>
          <w:rFonts w:ascii="仿宋" w:hAnsi="仿宋" w:eastAsia="仿宋" w:cs="仿宋"/>
          <w:spacing w:val="-52"/>
          <w:sz w:val="25"/>
          <w:szCs w:val="25"/>
        </w:rPr>
        <w:t xml:space="preserve"> </w:t>
      </w:r>
      <w:r>
        <w:rPr>
          <w:rFonts w:ascii="Times New Roman" w:hAnsi="Times New Roman" w:eastAsia="Times New Roman" w:cs="Times New Roman"/>
          <w:spacing w:val="2"/>
          <w:sz w:val="25"/>
          <w:szCs w:val="25"/>
        </w:rPr>
        <w:t xml:space="preserve">26  </w:t>
      </w:r>
      <w:r>
        <w:rPr>
          <w:rFonts w:ascii="仿宋" w:hAnsi="仿宋" w:eastAsia="仿宋" w:cs="仿宋"/>
          <w:spacing w:val="2"/>
          <w:sz w:val="25"/>
          <w:szCs w:val="25"/>
        </w:rPr>
        <w:t>日修正</w:t>
      </w:r>
      <w:r>
        <w:rPr>
          <w:rFonts w:ascii="仿宋" w:hAnsi="仿宋" w:eastAsia="仿宋" w:cs="仿宋"/>
          <w:sz w:val="25"/>
          <w:szCs w:val="25"/>
        </w:rPr>
        <w:t>）；</w:t>
      </w:r>
    </w:p>
    <w:p w14:paraId="6A8E5FE7">
      <w:pPr>
        <w:spacing w:before="148" w:line="285" w:lineRule="auto"/>
        <w:ind w:left="21" w:right="68" w:firstLine="520"/>
        <w:rPr>
          <w:rFonts w:ascii="仿宋" w:hAnsi="仿宋" w:eastAsia="仿宋" w:cs="仿宋"/>
          <w:sz w:val="25"/>
          <w:szCs w:val="25"/>
        </w:rPr>
      </w:pPr>
      <w:r>
        <w:rPr>
          <w:rFonts w:ascii="仿宋" w:hAnsi="仿宋" w:eastAsia="仿宋" w:cs="仿宋"/>
          <w:spacing w:val="-4"/>
          <w:sz w:val="25"/>
          <w:szCs w:val="25"/>
        </w:rPr>
        <w:t>（</w:t>
      </w:r>
      <w:r>
        <w:rPr>
          <w:rFonts w:ascii="Times New Roman" w:hAnsi="Times New Roman" w:eastAsia="Times New Roman" w:cs="Times New Roman"/>
          <w:spacing w:val="-4"/>
          <w:sz w:val="25"/>
          <w:szCs w:val="25"/>
        </w:rPr>
        <w:t>17</w:t>
      </w:r>
      <w:r>
        <w:rPr>
          <w:rFonts w:ascii="仿宋" w:hAnsi="仿宋" w:eastAsia="仿宋" w:cs="仿宋"/>
          <w:spacing w:val="-4"/>
          <w:sz w:val="25"/>
          <w:szCs w:val="25"/>
        </w:rPr>
        <w:t>）《中华人民共和国野生动物保护法》（</w:t>
      </w:r>
      <w:r>
        <w:rPr>
          <w:rFonts w:ascii="Times New Roman" w:hAnsi="Times New Roman" w:eastAsia="Times New Roman" w:cs="Times New Roman"/>
          <w:spacing w:val="-4"/>
          <w:sz w:val="25"/>
          <w:szCs w:val="25"/>
        </w:rPr>
        <w:t>20</w:t>
      </w:r>
      <w:r>
        <w:rPr>
          <w:rFonts w:ascii="Times New Roman" w:hAnsi="Times New Roman" w:eastAsia="Times New Roman" w:cs="Times New Roman"/>
          <w:spacing w:val="-5"/>
          <w:sz w:val="25"/>
          <w:szCs w:val="25"/>
        </w:rPr>
        <w:t>22</w:t>
      </w:r>
      <w:r>
        <w:rPr>
          <w:rFonts w:ascii="Times New Roman" w:hAnsi="Times New Roman" w:eastAsia="Times New Roman" w:cs="Times New Roman"/>
          <w:spacing w:val="27"/>
          <w:sz w:val="25"/>
          <w:szCs w:val="25"/>
        </w:rPr>
        <w:t xml:space="preserve"> </w:t>
      </w:r>
      <w:r>
        <w:rPr>
          <w:rFonts w:ascii="仿宋" w:hAnsi="仿宋" w:eastAsia="仿宋" w:cs="仿宋"/>
          <w:spacing w:val="-5"/>
          <w:sz w:val="25"/>
          <w:szCs w:val="25"/>
        </w:rPr>
        <w:t>年</w:t>
      </w:r>
      <w:r>
        <w:rPr>
          <w:rFonts w:ascii="仿宋" w:hAnsi="仿宋" w:eastAsia="仿宋" w:cs="仿宋"/>
          <w:spacing w:val="-30"/>
          <w:sz w:val="25"/>
          <w:szCs w:val="25"/>
        </w:rPr>
        <w:t xml:space="preserve"> </w:t>
      </w:r>
      <w:r>
        <w:rPr>
          <w:rFonts w:ascii="Times New Roman" w:hAnsi="Times New Roman" w:eastAsia="Times New Roman" w:cs="Times New Roman"/>
          <w:spacing w:val="-5"/>
          <w:sz w:val="25"/>
          <w:szCs w:val="25"/>
        </w:rPr>
        <w:t>12</w:t>
      </w:r>
      <w:r>
        <w:rPr>
          <w:rFonts w:ascii="Times New Roman" w:hAnsi="Times New Roman" w:eastAsia="Times New Roman" w:cs="Times New Roman"/>
          <w:spacing w:val="32"/>
          <w:sz w:val="25"/>
          <w:szCs w:val="25"/>
        </w:rPr>
        <w:t xml:space="preserve"> </w:t>
      </w:r>
      <w:r>
        <w:rPr>
          <w:rFonts w:ascii="仿宋" w:hAnsi="仿宋" w:eastAsia="仿宋" w:cs="仿宋"/>
          <w:spacing w:val="-5"/>
          <w:sz w:val="25"/>
          <w:szCs w:val="25"/>
        </w:rPr>
        <w:t>月</w:t>
      </w:r>
      <w:r>
        <w:rPr>
          <w:rFonts w:ascii="仿宋" w:hAnsi="仿宋" w:eastAsia="仿宋" w:cs="仿宋"/>
          <w:spacing w:val="-47"/>
          <w:sz w:val="25"/>
          <w:szCs w:val="25"/>
        </w:rPr>
        <w:t xml:space="preserve"> </w:t>
      </w:r>
      <w:r>
        <w:rPr>
          <w:rFonts w:ascii="Times New Roman" w:hAnsi="Times New Roman" w:eastAsia="Times New Roman" w:cs="Times New Roman"/>
          <w:spacing w:val="-5"/>
          <w:sz w:val="25"/>
          <w:szCs w:val="25"/>
        </w:rPr>
        <w:t xml:space="preserve">30  </w:t>
      </w:r>
      <w:r>
        <w:rPr>
          <w:rFonts w:ascii="仿宋" w:hAnsi="仿宋" w:eastAsia="仿宋" w:cs="仿宋"/>
          <w:spacing w:val="-5"/>
          <w:sz w:val="25"/>
          <w:szCs w:val="25"/>
        </w:rPr>
        <w:t>日修订；</w:t>
      </w:r>
      <w:r>
        <w:rPr>
          <w:rFonts w:ascii="Times New Roman" w:hAnsi="Times New Roman" w:eastAsia="Times New Roman" w:cs="Times New Roman"/>
          <w:spacing w:val="-5"/>
          <w:sz w:val="25"/>
          <w:szCs w:val="25"/>
        </w:rPr>
        <w:t>2023</w:t>
      </w:r>
      <w:r>
        <w:rPr>
          <w:rFonts w:ascii="Times New Roman" w:hAnsi="Times New Roman" w:eastAsia="Times New Roman" w:cs="Times New Roman"/>
          <w:sz w:val="25"/>
          <w:szCs w:val="25"/>
        </w:rPr>
        <w:t xml:space="preserve"> </w:t>
      </w:r>
      <w:r>
        <w:rPr>
          <w:rFonts w:ascii="仿宋" w:hAnsi="仿宋" w:eastAsia="仿宋" w:cs="仿宋"/>
          <w:spacing w:val="-16"/>
          <w:sz w:val="25"/>
          <w:szCs w:val="25"/>
        </w:rPr>
        <w:t>年</w:t>
      </w:r>
      <w:r>
        <w:rPr>
          <w:rFonts w:ascii="仿宋" w:hAnsi="仿宋" w:eastAsia="仿宋" w:cs="仿宋"/>
          <w:spacing w:val="-44"/>
          <w:sz w:val="25"/>
          <w:szCs w:val="25"/>
        </w:rPr>
        <w:t xml:space="preserve"> </w:t>
      </w:r>
      <w:r>
        <w:rPr>
          <w:rFonts w:ascii="Times New Roman" w:hAnsi="Times New Roman" w:eastAsia="Times New Roman" w:cs="Times New Roman"/>
          <w:spacing w:val="-16"/>
          <w:sz w:val="25"/>
          <w:szCs w:val="25"/>
        </w:rPr>
        <w:t>5</w:t>
      </w:r>
      <w:r>
        <w:rPr>
          <w:rFonts w:ascii="Times New Roman" w:hAnsi="Times New Roman" w:eastAsia="Times New Roman" w:cs="Times New Roman"/>
          <w:spacing w:val="32"/>
          <w:sz w:val="25"/>
          <w:szCs w:val="25"/>
        </w:rPr>
        <w:t xml:space="preserve"> </w:t>
      </w:r>
      <w:r>
        <w:rPr>
          <w:rFonts w:ascii="仿宋" w:hAnsi="仿宋" w:eastAsia="仿宋" w:cs="仿宋"/>
          <w:spacing w:val="-16"/>
          <w:sz w:val="25"/>
          <w:szCs w:val="25"/>
        </w:rPr>
        <w:t>月</w:t>
      </w:r>
      <w:r>
        <w:rPr>
          <w:rFonts w:ascii="仿宋" w:hAnsi="仿宋" w:eastAsia="仿宋" w:cs="仿宋"/>
          <w:spacing w:val="-30"/>
          <w:sz w:val="25"/>
          <w:szCs w:val="25"/>
        </w:rPr>
        <w:t xml:space="preserve"> </w:t>
      </w:r>
      <w:r>
        <w:rPr>
          <w:rFonts w:ascii="Times New Roman" w:hAnsi="Times New Roman" w:eastAsia="Times New Roman" w:cs="Times New Roman"/>
          <w:spacing w:val="-16"/>
          <w:sz w:val="25"/>
          <w:szCs w:val="25"/>
        </w:rPr>
        <w:t>1</w:t>
      </w:r>
      <w:r>
        <w:rPr>
          <w:rFonts w:ascii="Times New Roman" w:hAnsi="Times New Roman" w:eastAsia="Times New Roman" w:cs="Times New Roman"/>
          <w:spacing w:val="7"/>
          <w:sz w:val="25"/>
          <w:szCs w:val="25"/>
        </w:rPr>
        <w:t xml:space="preserve">  </w:t>
      </w:r>
      <w:r>
        <w:rPr>
          <w:rFonts w:ascii="仿宋" w:hAnsi="仿宋" w:eastAsia="仿宋" w:cs="仿宋"/>
          <w:spacing w:val="-16"/>
          <w:sz w:val="25"/>
          <w:szCs w:val="25"/>
        </w:rPr>
        <w:t>日实施</w:t>
      </w:r>
      <w:r>
        <w:rPr>
          <w:rFonts w:ascii="仿宋" w:hAnsi="仿宋" w:eastAsia="仿宋" w:cs="仿宋"/>
          <w:sz w:val="25"/>
          <w:szCs w:val="25"/>
        </w:rPr>
        <w:t>）；</w:t>
      </w:r>
    </w:p>
    <w:p w14:paraId="49DD0465">
      <w:pPr>
        <w:spacing w:before="150" w:line="228" w:lineRule="auto"/>
        <w:ind w:left="541"/>
        <w:rPr>
          <w:rFonts w:ascii="仿宋" w:hAnsi="仿宋" w:eastAsia="仿宋" w:cs="仿宋"/>
          <w:sz w:val="25"/>
          <w:szCs w:val="25"/>
        </w:rPr>
      </w:pPr>
      <w:r>
        <w:rPr>
          <w:rFonts w:ascii="仿宋" w:hAnsi="仿宋" w:eastAsia="仿宋" w:cs="仿宋"/>
          <w:spacing w:val="3"/>
          <w:sz w:val="25"/>
          <w:szCs w:val="25"/>
        </w:rPr>
        <w:t>（</w:t>
      </w:r>
      <w:r>
        <w:rPr>
          <w:rFonts w:ascii="Times New Roman" w:hAnsi="Times New Roman" w:eastAsia="Times New Roman" w:cs="Times New Roman"/>
          <w:spacing w:val="3"/>
          <w:sz w:val="25"/>
          <w:szCs w:val="25"/>
        </w:rPr>
        <w:t>18</w:t>
      </w:r>
      <w:r>
        <w:rPr>
          <w:rFonts w:ascii="仿宋" w:hAnsi="仿宋" w:eastAsia="仿宋" w:cs="仿宋"/>
          <w:spacing w:val="3"/>
          <w:sz w:val="25"/>
          <w:szCs w:val="25"/>
        </w:rPr>
        <w:t>）《中华人民共和国长江保护法》（</w:t>
      </w:r>
      <w:r>
        <w:rPr>
          <w:rFonts w:ascii="Times New Roman" w:hAnsi="Times New Roman" w:eastAsia="Times New Roman" w:cs="Times New Roman"/>
          <w:spacing w:val="3"/>
          <w:sz w:val="25"/>
          <w:szCs w:val="25"/>
        </w:rPr>
        <w:t>2021</w:t>
      </w:r>
      <w:r>
        <w:rPr>
          <w:rFonts w:ascii="Times New Roman" w:hAnsi="Times New Roman" w:eastAsia="Times New Roman" w:cs="Times New Roman"/>
          <w:spacing w:val="27"/>
          <w:sz w:val="25"/>
          <w:szCs w:val="25"/>
        </w:rPr>
        <w:t xml:space="preserve"> </w:t>
      </w:r>
      <w:r>
        <w:rPr>
          <w:rFonts w:ascii="仿宋" w:hAnsi="仿宋" w:eastAsia="仿宋" w:cs="仿宋"/>
          <w:spacing w:val="2"/>
          <w:sz w:val="25"/>
          <w:szCs w:val="25"/>
        </w:rPr>
        <w:t>年</w:t>
      </w:r>
      <w:r>
        <w:rPr>
          <w:rFonts w:ascii="仿宋" w:hAnsi="仿宋" w:eastAsia="仿宋" w:cs="仿宋"/>
          <w:spacing w:val="-50"/>
          <w:sz w:val="25"/>
          <w:szCs w:val="25"/>
        </w:rPr>
        <w:t xml:space="preserve"> </w:t>
      </w:r>
      <w:r>
        <w:rPr>
          <w:rFonts w:ascii="Times New Roman" w:hAnsi="Times New Roman" w:eastAsia="Times New Roman" w:cs="Times New Roman"/>
          <w:spacing w:val="2"/>
          <w:sz w:val="25"/>
          <w:szCs w:val="25"/>
        </w:rPr>
        <w:t>3</w:t>
      </w:r>
      <w:r>
        <w:rPr>
          <w:rFonts w:ascii="Times New Roman" w:hAnsi="Times New Roman" w:eastAsia="Times New Roman" w:cs="Times New Roman"/>
          <w:spacing w:val="32"/>
          <w:sz w:val="25"/>
          <w:szCs w:val="25"/>
        </w:rPr>
        <w:t xml:space="preserve"> </w:t>
      </w:r>
      <w:r>
        <w:rPr>
          <w:rFonts w:ascii="仿宋" w:hAnsi="仿宋" w:eastAsia="仿宋" w:cs="仿宋"/>
          <w:spacing w:val="2"/>
          <w:sz w:val="25"/>
          <w:szCs w:val="25"/>
        </w:rPr>
        <w:t>月</w:t>
      </w:r>
      <w:r>
        <w:rPr>
          <w:rFonts w:ascii="仿宋" w:hAnsi="仿宋" w:eastAsia="仿宋" w:cs="仿宋"/>
          <w:spacing w:val="-27"/>
          <w:sz w:val="25"/>
          <w:szCs w:val="25"/>
        </w:rPr>
        <w:t xml:space="preserve"> </w:t>
      </w:r>
      <w:r>
        <w:rPr>
          <w:rFonts w:ascii="Times New Roman" w:hAnsi="Times New Roman" w:eastAsia="Times New Roman" w:cs="Times New Roman"/>
          <w:spacing w:val="2"/>
          <w:sz w:val="25"/>
          <w:szCs w:val="25"/>
        </w:rPr>
        <w:t xml:space="preserve">1  </w:t>
      </w:r>
      <w:r>
        <w:rPr>
          <w:rFonts w:ascii="仿宋" w:hAnsi="仿宋" w:eastAsia="仿宋" w:cs="仿宋"/>
          <w:spacing w:val="2"/>
          <w:sz w:val="25"/>
          <w:szCs w:val="25"/>
        </w:rPr>
        <w:t>日起实施</w:t>
      </w:r>
      <w:r>
        <w:rPr>
          <w:rFonts w:ascii="仿宋" w:hAnsi="仿宋" w:eastAsia="仿宋" w:cs="仿宋"/>
          <w:sz w:val="25"/>
          <w:szCs w:val="25"/>
        </w:rPr>
        <w:t>）；</w:t>
      </w:r>
    </w:p>
    <w:p w14:paraId="42F7317D">
      <w:pPr>
        <w:spacing w:before="150" w:line="221" w:lineRule="auto"/>
        <w:ind w:left="541"/>
        <w:rPr>
          <w:rFonts w:ascii="仿宋" w:hAnsi="仿宋" w:eastAsia="仿宋" w:cs="仿宋"/>
          <w:sz w:val="25"/>
          <w:szCs w:val="25"/>
        </w:rPr>
      </w:pPr>
      <w:r>
        <w:rPr>
          <w:rFonts w:ascii="仿宋" w:hAnsi="仿宋" w:eastAsia="仿宋" w:cs="仿宋"/>
          <w:spacing w:val="2"/>
          <w:sz w:val="25"/>
          <w:szCs w:val="25"/>
        </w:rPr>
        <w:t>（</w:t>
      </w:r>
      <w:r>
        <w:rPr>
          <w:rFonts w:ascii="Times New Roman" w:hAnsi="Times New Roman" w:eastAsia="Times New Roman" w:cs="Times New Roman"/>
          <w:spacing w:val="2"/>
          <w:sz w:val="25"/>
          <w:szCs w:val="25"/>
        </w:rPr>
        <w:t>19</w:t>
      </w:r>
      <w:r>
        <w:rPr>
          <w:rFonts w:ascii="仿宋" w:hAnsi="仿宋" w:eastAsia="仿宋" w:cs="仿宋"/>
          <w:spacing w:val="2"/>
          <w:sz w:val="25"/>
          <w:szCs w:val="25"/>
        </w:rPr>
        <w:t>）《中华人民共和国森林法》</w:t>
      </w:r>
      <w:r>
        <w:rPr>
          <w:rFonts w:ascii="Times New Roman" w:hAnsi="Times New Roman" w:eastAsia="Times New Roman" w:cs="Times New Roman"/>
          <w:spacing w:val="2"/>
          <w:sz w:val="25"/>
          <w:szCs w:val="25"/>
        </w:rPr>
        <w:t>(2020</w:t>
      </w:r>
      <w:r>
        <w:rPr>
          <w:rFonts w:ascii="Times New Roman" w:hAnsi="Times New Roman" w:eastAsia="Times New Roman" w:cs="Times New Roman"/>
          <w:spacing w:val="25"/>
          <w:w w:val="101"/>
          <w:sz w:val="25"/>
          <w:szCs w:val="25"/>
        </w:rPr>
        <w:t xml:space="preserve"> </w:t>
      </w:r>
      <w:r>
        <w:rPr>
          <w:rFonts w:ascii="仿宋" w:hAnsi="仿宋" w:eastAsia="仿宋" w:cs="仿宋"/>
          <w:spacing w:val="2"/>
          <w:sz w:val="25"/>
          <w:szCs w:val="25"/>
        </w:rPr>
        <w:t>年</w:t>
      </w:r>
      <w:r>
        <w:rPr>
          <w:rFonts w:ascii="仿宋" w:hAnsi="仿宋" w:eastAsia="仿宋" w:cs="仿宋"/>
          <w:spacing w:val="-48"/>
          <w:sz w:val="25"/>
          <w:szCs w:val="25"/>
        </w:rPr>
        <w:t xml:space="preserve"> </w:t>
      </w:r>
      <w:r>
        <w:rPr>
          <w:rFonts w:ascii="Times New Roman" w:hAnsi="Times New Roman" w:eastAsia="Times New Roman" w:cs="Times New Roman"/>
          <w:spacing w:val="2"/>
          <w:sz w:val="25"/>
          <w:szCs w:val="25"/>
        </w:rPr>
        <w:t>7</w:t>
      </w:r>
      <w:r>
        <w:rPr>
          <w:rFonts w:ascii="Times New Roman" w:hAnsi="Times New Roman" w:eastAsia="Times New Roman" w:cs="Times New Roman"/>
          <w:spacing w:val="31"/>
          <w:w w:val="101"/>
          <w:sz w:val="25"/>
          <w:szCs w:val="25"/>
        </w:rPr>
        <w:t xml:space="preserve"> </w:t>
      </w:r>
      <w:r>
        <w:rPr>
          <w:rFonts w:ascii="仿宋" w:hAnsi="仿宋" w:eastAsia="仿宋" w:cs="仿宋"/>
          <w:spacing w:val="2"/>
          <w:sz w:val="25"/>
          <w:szCs w:val="25"/>
        </w:rPr>
        <w:t>月</w:t>
      </w:r>
      <w:r>
        <w:rPr>
          <w:rFonts w:ascii="仿宋" w:hAnsi="仿宋" w:eastAsia="仿宋" w:cs="仿宋"/>
          <w:spacing w:val="-27"/>
          <w:sz w:val="25"/>
          <w:szCs w:val="25"/>
        </w:rPr>
        <w:t xml:space="preserve"> </w:t>
      </w:r>
      <w:r>
        <w:rPr>
          <w:rFonts w:ascii="Times New Roman" w:hAnsi="Times New Roman" w:eastAsia="Times New Roman" w:cs="Times New Roman"/>
          <w:spacing w:val="2"/>
          <w:sz w:val="25"/>
          <w:szCs w:val="25"/>
        </w:rPr>
        <w:t xml:space="preserve">1  </w:t>
      </w:r>
      <w:r>
        <w:rPr>
          <w:rFonts w:ascii="仿宋" w:hAnsi="仿宋" w:eastAsia="仿宋" w:cs="仿宋"/>
          <w:spacing w:val="2"/>
          <w:sz w:val="25"/>
          <w:szCs w:val="25"/>
        </w:rPr>
        <w:t>日起施行</w:t>
      </w:r>
      <w:r>
        <w:rPr>
          <w:rFonts w:ascii="仿宋" w:hAnsi="仿宋" w:eastAsia="仿宋" w:cs="仿宋"/>
          <w:sz w:val="25"/>
          <w:szCs w:val="25"/>
        </w:rPr>
        <w:t>）；</w:t>
      </w:r>
    </w:p>
    <w:p w14:paraId="7B894DB6">
      <w:pPr>
        <w:spacing w:line="221" w:lineRule="auto"/>
        <w:rPr>
          <w:rFonts w:ascii="仿宋" w:hAnsi="仿宋" w:eastAsia="仿宋" w:cs="仿宋"/>
          <w:sz w:val="25"/>
          <w:szCs w:val="25"/>
        </w:rPr>
        <w:sectPr>
          <w:headerReference r:id="rId15" w:type="default"/>
          <w:footerReference r:id="rId16" w:type="default"/>
          <w:pgSz w:w="11906" w:h="16839"/>
          <w:pgMar w:top="1116" w:right="1407" w:bottom="1480" w:left="1587" w:header="683" w:footer="1318" w:gutter="0"/>
          <w:cols w:space="720" w:num="1"/>
        </w:sectPr>
      </w:pPr>
    </w:p>
    <w:p w14:paraId="779ECEF0">
      <w:pPr>
        <w:pStyle w:val="2"/>
        <w:spacing w:line="385" w:lineRule="auto"/>
      </w:pPr>
    </w:p>
    <w:p w14:paraId="6F9E7E4F">
      <w:pPr>
        <w:spacing w:before="81" w:line="228" w:lineRule="auto"/>
        <w:ind w:left="541"/>
        <w:rPr>
          <w:rFonts w:ascii="仿宋" w:hAnsi="仿宋" w:eastAsia="仿宋" w:cs="仿宋"/>
          <w:sz w:val="25"/>
          <w:szCs w:val="25"/>
        </w:rPr>
      </w:pPr>
      <w:r>
        <w:rPr>
          <w:rFonts w:ascii="仿宋" w:hAnsi="仿宋" w:eastAsia="仿宋" w:cs="仿宋"/>
          <w:spacing w:val="2"/>
          <w:sz w:val="25"/>
          <w:szCs w:val="25"/>
        </w:rPr>
        <w:t>（</w:t>
      </w:r>
      <w:r>
        <w:rPr>
          <w:rFonts w:ascii="Times New Roman" w:hAnsi="Times New Roman" w:eastAsia="Times New Roman" w:cs="Times New Roman"/>
          <w:spacing w:val="2"/>
          <w:sz w:val="25"/>
          <w:szCs w:val="25"/>
        </w:rPr>
        <w:t>20</w:t>
      </w:r>
      <w:r>
        <w:rPr>
          <w:rFonts w:ascii="仿宋" w:hAnsi="仿宋" w:eastAsia="仿宋" w:cs="仿宋"/>
          <w:spacing w:val="2"/>
          <w:sz w:val="25"/>
          <w:szCs w:val="25"/>
        </w:rPr>
        <w:t>）《中华人民共和国湿地保护法》（</w:t>
      </w:r>
      <w:r>
        <w:rPr>
          <w:rFonts w:ascii="Times New Roman" w:hAnsi="Times New Roman" w:eastAsia="Times New Roman" w:cs="Times New Roman"/>
          <w:spacing w:val="2"/>
          <w:sz w:val="25"/>
          <w:szCs w:val="25"/>
        </w:rPr>
        <w:t>2022</w:t>
      </w:r>
      <w:r>
        <w:rPr>
          <w:rFonts w:ascii="Times New Roman" w:hAnsi="Times New Roman" w:eastAsia="Times New Roman" w:cs="Times New Roman"/>
          <w:spacing w:val="45"/>
          <w:w w:val="101"/>
          <w:sz w:val="25"/>
          <w:szCs w:val="25"/>
        </w:rPr>
        <w:t xml:space="preserve"> </w:t>
      </w:r>
      <w:r>
        <w:rPr>
          <w:rFonts w:ascii="仿宋" w:hAnsi="仿宋" w:eastAsia="仿宋" w:cs="仿宋"/>
          <w:spacing w:val="2"/>
          <w:sz w:val="25"/>
          <w:szCs w:val="25"/>
        </w:rPr>
        <w:t>年</w:t>
      </w:r>
      <w:r>
        <w:rPr>
          <w:rFonts w:ascii="仿宋" w:hAnsi="仿宋" w:eastAsia="仿宋" w:cs="仿宋"/>
          <w:spacing w:val="-49"/>
          <w:sz w:val="25"/>
          <w:szCs w:val="25"/>
        </w:rPr>
        <w:t xml:space="preserve"> </w:t>
      </w:r>
      <w:r>
        <w:rPr>
          <w:rFonts w:ascii="Times New Roman" w:hAnsi="Times New Roman" w:eastAsia="Times New Roman" w:cs="Times New Roman"/>
          <w:spacing w:val="2"/>
          <w:sz w:val="25"/>
          <w:szCs w:val="25"/>
        </w:rPr>
        <w:t>6</w:t>
      </w:r>
      <w:r>
        <w:rPr>
          <w:rFonts w:ascii="Times New Roman" w:hAnsi="Times New Roman" w:eastAsia="Times New Roman" w:cs="Times New Roman"/>
          <w:spacing w:val="31"/>
          <w:w w:val="101"/>
          <w:sz w:val="25"/>
          <w:szCs w:val="25"/>
        </w:rPr>
        <w:t xml:space="preserve"> </w:t>
      </w:r>
      <w:r>
        <w:rPr>
          <w:rFonts w:ascii="仿宋" w:hAnsi="仿宋" w:eastAsia="仿宋" w:cs="仿宋"/>
          <w:spacing w:val="2"/>
          <w:sz w:val="25"/>
          <w:szCs w:val="25"/>
        </w:rPr>
        <w:t>月</w:t>
      </w:r>
      <w:r>
        <w:rPr>
          <w:rFonts w:ascii="仿宋" w:hAnsi="仿宋" w:eastAsia="仿宋" w:cs="仿宋"/>
          <w:spacing w:val="-28"/>
          <w:sz w:val="25"/>
          <w:szCs w:val="25"/>
        </w:rPr>
        <w:t xml:space="preserve"> </w:t>
      </w:r>
      <w:r>
        <w:rPr>
          <w:rFonts w:ascii="Times New Roman" w:hAnsi="Times New Roman" w:eastAsia="Times New Roman" w:cs="Times New Roman"/>
          <w:spacing w:val="2"/>
          <w:sz w:val="25"/>
          <w:szCs w:val="25"/>
        </w:rPr>
        <w:t xml:space="preserve">1  </w:t>
      </w:r>
      <w:r>
        <w:rPr>
          <w:rFonts w:ascii="仿宋" w:hAnsi="仿宋" w:eastAsia="仿宋" w:cs="仿宋"/>
          <w:spacing w:val="2"/>
          <w:sz w:val="25"/>
          <w:szCs w:val="25"/>
        </w:rPr>
        <w:t>日起施行）。</w:t>
      </w:r>
    </w:p>
    <w:p w14:paraId="0C6EBD4D">
      <w:pPr>
        <w:spacing w:before="272" w:line="227" w:lineRule="auto"/>
        <w:ind w:left="16"/>
        <w:outlineLvl w:val="2"/>
        <w:rPr>
          <w:rFonts w:ascii="仿宋" w:hAnsi="仿宋" w:eastAsia="仿宋" w:cs="仿宋"/>
          <w:sz w:val="25"/>
          <w:szCs w:val="25"/>
        </w:rPr>
      </w:pPr>
      <w:r>
        <w:rPr>
          <w:rFonts w:ascii="Times New Roman" w:hAnsi="Times New Roman" w:eastAsia="Times New Roman" w:cs="Times New Roman"/>
          <w:b/>
          <w:bCs/>
          <w:spacing w:val="5"/>
          <w:sz w:val="25"/>
          <w:szCs w:val="25"/>
        </w:rPr>
        <w:t xml:space="preserve">1.2.2  </w:t>
      </w:r>
      <w:r>
        <w:rPr>
          <w:rFonts w:ascii="仿宋" w:hAnsi="仿宋" w:eastAsia="仿宋" w:cs="仿宋"/>
          <w:b/>
          <w:bCs/>
          <w:spacing w:val="5"/>
          <w:sz w:val="25"/>
          <w:szCs w:val="25"/>
        </w:rPr>
        <w:t>行政法规及规范性文件</w:t>
      </w:r>
    </w:p>
    <w:p w14:paraId="041ABCAE">
      <w:pPr>
        <w:spacing w:before="271" w:line="229" w:lineRule="auto"/>
        <w:jc w:val="right"/>
        <w:rPr>
          <w:rFonts w:ascii="仿宋" w:hAnsi="仿宋" w:eastAsia="仿宋" w:cs="仿宋"/>
          <w:sz w:val="25"/>
          <w:szCs w:val="25"/>
        </w:rPr>
      </w:pPr>
      <w:r>
        <w:rPr>
          <w:rFonts w:ascii="仿宋" w:hAnsi="仿宋" w:eastAsia="仿宋" w:cs="仿宋"/>
          <w:spacing w:val="-5"/>
          <w:sz w:val="25"/>
          <w:szCs w:val="25"/>
        </w:rPr>
        <w:t>（</w:t>
      </w:r>
      <w:r>
        <w:rPr>
          <w:rFonts w:ascii="Times New Roman" w:hAnsi="Times New Roman" w:eastAsia="Times New Roman" w:cs="Times New Roman"/>
          <w:spacing w:val="-5"/>
          <w:sz w:val="25"/>
          <w:szCs w:val="25"/>
        </w:rPr>
        <w:t>1</w:t>
      </w:r>
      <w:r>
        <w:rPr>
          <w:rFonts w:ascii="仿宋" w:hAnsi="仿宋" w:eastAsia="仿宋" w:cs="仿宋"/>
          <w:spacing w:val="-5"/>
          <w:sz w:val="25"/>
          <w:szCs w:val="25"/>
        </w:rPr>
        <w:t>）《规划环境影响评价条例》（国务院令第</w:t>
      </w:r>
      <w:r>
        <w:rPr>
          <w:rFonts w:ascii="仿宋" w:hAnsi="仿宋" w:eastAsia="仿宋" w:cs="仿宋"/>
          <w:spacing w:val="-41"/>
          <w:sz w:val="25"/>
          <w:szCs w:val="25"/>
        </w:rPr>
        <w:t xml:space="preserve"> </w:t>
      </w:r>
      <w:r>
        <w:rPr>
          <w:rFonts w:ascii="Times New Roman" w:hAnsi="Times New Roman" w:eastAsia="Times New Roman" w:cs="Times New Roman"/>
          <w:spacing w:val="-5"/>
          <w:sz w:val="25"/>
          <w:szCs w:val="25"/>
        </w:rPr>
        <w:t>559</w:t>
      </w:r>
      <w:r>
        <w:rPr>
          <w:rFonts w:ascii="Times New Roman" w:hAnsi="Times New Roman" w:eastAsia="Times New Roman" w:cs="Times New Roman"/>
          <w:spacing w:val="25"/>
          <w:w w:val="101"/>
          <w:sz w:val="25"/>
          <w:szCs w:val="25"/>
        </w:rPr>
        <w:t xml:space="preserve"> </w:t>
      </w:r>
      <w:r>
        <w:rPr>
          <w:rFonts w:ascii="仿宋" w:hAnsi="仿宋" w:eastAsia="仿宋" w:cs="仿宋"/>
          <w:spacing w:val="-5"/>
          <w:sz w:val="25"/>
          <w:szCs w:val="25"/>
        </w:rPr>
        <w:t>号，</w:t>
      </w:r>
      <w:r>
        <w:rPr>
          <w:rFonts w:ascii="Times New Roman" w:hAnsi="Times New Roman" w:eastAsia="Times New Roman" w:cs="Times New Roman"/>
          <w:spacing w:val="-5"/>
          <w:sz w:val="25"/>
          <w:szCs w:val="25"/>
        </w:rPr>
        <w:t>200</w:t>
      </w:r>
      <w:r>
        <w:rPr>
          <w:rFonts w:ascii="Times New Roman" w:hAnsi="Times New Roman" w:eastAsia="Times New Roman" w:cs="Times New Roman"/>
          <w:spacing w:val="-6"/>
          <w:sz w:val="25"/>
          <w:szCs w:val="25"/>
        </w:rPr>
        <w:t>9</w:t>
      </w:r>
      <w:r>
        <w:rPr>
          <w:rFonts w:ascii="Times New Roman" w:hAnsi="Times New Roman" w:eastAsia="Times New Roman" w:cs="Times New Roman"/>
          <w:spacing w:val="24"/>
          <w:w w:val="101"/>
          <w:sz w:val="25"/>
          <w:szCs w:val="25"/>
        </w:rPr>
        <w:t xml:space="preserve"> </w:t>
      </w:r>
      <w:r>
        <w:rPr>
          <w:rFonts w:ascii="仿宋" w:hAnsi="仿宋" w:eastAsia="仿宋" w:cs="仿宋"/>
          <w:spacing w:val="-6"/>
          <w:sz w:val="25"/>
          <w:szCs w:val="25"/>
        </w:rPr>
        <w:t>年</w:t>
      </w:r>
      <w:r>
        <w:rPr>
          <w:rFonts w:ascii="仿宋" w:hAnsi="仿宋" w:eastAsia="仿宋" w:cs="仿宋"/>
          <w:spacing w:val="-42"/>
          <w:sz w:val="25"/>
          <w:szCs w:val="25"/>
        </w:rPr>
        <w:t xml:space="preserve"> </w:t>
      </w:r>
      <w:r>
        <w:rPr>
          <w:rFonts w:ascii="Times New Roman" w:hAnsi="Times New Roman" w:eastAsia="Times New Roman" w:cs="Times New Roman"/>
          <w:spacing w:val="-6"/>
          <w:sz w:val="25"/>
          <w:szCs w:val="25"/>
        </w:rPr>
        <w:t>8</w:t>
      </w:r>
      <w:r>
        <w:rPr>
          <w:rFonts w:ascii="Times New Roman" w:hAnsi="Times New Roman" w:eastAsia="Times New Roman" w:cs="Times New Roman"/>
          <w:spacing w:val="32"/>
          <w:sz w:val="25"/>
          <w:szCs w:val="25"/>
        </w:rPr>
        <w:t xml:space="preserve"> </w:t>
      </w:r>
      <w:r>
        <w:rPr>
          <w:rFonts w:ascii="仿宋" w:hAnsi="仿宋" w:eastAsia="仿宋" w:cs="仿宋"/>
          <w:spacing w:val="-6"/>
          <w:sz w:val="25"/>
          <w:szCs w:val="25"/>
        </w:rPr>
        <w:t>月</w:t>
      </w:r>
      <w:r>
        <w:rPr>
          <w:rFonts w:ascii="仿宋" w:hAnsi="仿宋" w:eastAsia="仿宋" w:cs="仿宋"/>
          <w:spacing w:val="-28"/>
          <w:sz w:val="25"/>
          <w:szCs w:val="25"/>
        </w:rPr>
        <w:t xml:space="preserve"> </w:t>
      </w:r>
      <w:r>
        <w:rPr>
          <w:rFonts w:ascii="Times New Roman" w:hAnsi="Times New Roman" w:eastAsia="Times New Roman" w:cs="Times New Roman"/>
          <w:spacing w:val="-6"/>
          <w:sz w:val="25"/>
          <w:szCs w:val="25"/>
        </w:rPr>
        <w:t xml:space="preserve">17  </w:t>
      </w:r>
      <w:r>
        <w:rPr>
          <w:rFonts w:ascii="仿宋" w:hAnsi="仿宋" w:eastAsia="仿宋" w:cs="仿宋"/>
          <w:spacing w:val="-6"/>
          <w:sz w:val="25"/>
          <w:szCs w:val="25"/>
        </w:rPr>
        <w:t>日</w:t>
      </w:r>
      <w:r>
        <w:rPr>
          <w:rFonts w:ascii="仿宋" w:hAnsi="仿宋" w:eastAsia="仿宋" w:cs="仿宋"/>
          <w:spacing w:val="-63"/>
          <w:w w:val="90"/>
          <w:sz w:val="25"/>
          <w:szCs w:val="25"/>
        </w:rPr>
        <w:t>）；</w:t>
      </w:r>
    </w:p>
    <w:p w14:paraId="299340EE">
      <w:pPr>
        <w:spacing w:before="149" w:line="285" w:lineRule="auto"/>
        <w:ind w:left="28" w:right="68" w:firstLine="472"/>
        <w:rPr>
          <w:rFonts w:ascii="仿宋" w:hAnsi="仿宋" w:eastAsia="仿宋" w:cs="仿宋"/>
          <w:sz w:val="25"/>
          <w:szCs w:val="25"/>
        </w:rPr>
      </w:pPr>
      <w:r>
        <w:rPr>
          <w:rFonts w:ascii="仿宋" w:hAnsi="仿宋" w:eastAsia="仿宋" w:cs="仿宋"/>
          <w:spacing w:val="4"/>
          <w:sz w:val="25"/>
          <w:szCs w:val="25"/>
        </w:rPr>
        <w:t>（</w:t>
      </w:r>
      <w:r>
        <w:rPr>
          <w:rFonts w:ascii="Times New Roman" w:hAnsi="Times New Roman" w:eastAsia="Times New Roman" w:cs="Times New Roman"/>
          <w:spacing w:val="4"/>
          <w:sz w:val="25"/>
          <w:szCs w:val="25"/>
        </w:rPr>
        <w:t>2</w:t>
      </w:r>
      <w:r>
        <w:rPr>
          <w:rFonts w:ascii="仿宋" w:hAnsi="仿宋" w:eastAsia="仿宋" w:cs="仿宋"/>
          <w:spacing w:val="4"/>
          <w:sz w:val="25"/>
          <w:szCs w:val="25"/>
        </w:rPr>
        <w:t>）《中华人民共和国风景名胜区条例》（国务院令第</w:t>
      </w:r>
      <w:r>
        <w:rPr>
          <w:rFonts w:ascii="仿宋" w:hAnsi="仿宋" w:eastAsia="仿宋" w:cs="仿宋"/>
          <w:spacing w:val="-47"/>
          <w:sz w:val="25"/>
          <w:szCs w:val="25"/>
        </w:rPr>
        <w:t xml:space="preserve"> </w:t>
      </w:r>
      <w:r>
        <w:rPr>
          <w:rFonts w:ascii="Times New Roman" w:hAnsi="Times New Roman" w:eastAsia="Times New Roman" w:cs="Times New Roman"/>
          <w:spacing w:val="4"/>
          <w:sz w:val="25"/>
          <w:szCs w:val="25"/>
        </w:rPr>
        <w:t>666</w:t>
      </w:r>
      <w:r>
        <w:rPr>
          <w:rFonts w:ascii="Times New Roman" w:hAnsi="Times New Roman" w:eastAsia="Times New Roman" w:cs="Times New Roman"/>
          <w:spacing w:val="28"/>
          <w:w w:val="101"/>
          <w:sz w:val="25"/>
          <w:szCs w:val="25"/>
        </w:rPr>
        <w:t xml:space="preserve"> </w:t>
      </w:r>
      <w:r>
        <w:rPr>
          <w:rFonts w:ascii="仿宋" w:hAnsi="仿宋" w:eastAsia="仿宋" w:cs="仿宋"/>
          <w:spacing w:val="4"/>
          <w:sz w:val="25"/>
          <w:szCs w:val="25"/>
        </w:rPr>
        <w:t>号</w:t>
      </w:r>
      <w:r>
        <w:rPr>
          <w:rFonts w:ascii="仿宋" w:hAnsi="仿宋" w:eastAsia="仿宋" w:cs="仿宋"/>
          <w:spacing w:val="3"/>
          <w:sz w:val="25"/>
          <w:szCs w:val="25"/>
        </w:rPr>
        <w:t>，</w:t>
      </w:r>
      <w:r>
        <w:rPr>
          <w:rFonts w:ascii="Times New Roman" w:hAnsi="Times New Roman" w:eastAsia="Times New Roman" w:cs="Times New Roman"/>
          <w:spacing w:val="3"/>
          <w:sz w:val="25"/>
          <w:szCs w:val="25"/>
        </w:rPr>
        <w:t>2016</w:t>
      </w:r>
      <w:r>
        <w:rPr>
          <w:rFonts w:ascii="Times New Roman" w:hAnsi="Times New Roman" w:eastAsia="Times New Roman" w:cs="Times New Roman"/>
          <w:spacing w:val="27"/>
          <w:sz w:val="25"/>
          <w:szCs w:val="25"/>
        </w:rPr>
        <w:t xml:space="preserve"> </w:t>
      </w:r>
      <w:r>
        <w:rPr>
          <w:rFonts w:ascii="仿宋" w:hAnsi="仿宋" w:eastAsia="仿宋" w:cs="仿宋"/>
          <w:spacing w:val="3"/>
          <w:sz w:val="25"/>
          <w:szCs w:val="25"/>
        </w:rPr>
        <w:t>年</w:t>
      </w:r>
      <w:r>
        <w:rPr>
          <w:rFonts w:ascii="仿宋" w:hAnsi="仿宋" w:eastAsia="仿宋" w:cs="仿宋"/>
          <w:spacing w:val="-55"/>
          <w:sz w:val="25"/>
          <w:szCs w:val="25"/>
        </w:rPr>
        <w:t xml:space="preserve"> </w:t>
      </w:r>
      <w:r>
        <w:rPr>
          <w:rFonts w:ascii="Times New Roman" w:hAnsi="Times New Roman" w:eastAsia="Times New Roman" w:cs="Times New Roman"/>
          <w:spacing w:val="3"/>
          <w:sz w:val="25"/>
          <w:szCs w:val="25"/>
        </w:rPr>
        <w:t>2</w:t>
      </w:r>
      <w:r>
        <w:rPr>
          <w:rFonts w:ascii="Times New Roman" w:hAnsi="Times New Roman" w:eastAsia="Times New Roman" w:cs="Times New Roman"/>
          <w:sz w:val="25"/>
          <w:szCs w:val="25"/>
        </w:rPr>
        <w:t xml:space="preserve"> </w:t>
      </w:r>
      <w:r>
        <w:rPr>
          <w:rFonts w:ascii="仿宋" w:hAnsi="仿宋" w:eastAsia="仿宋" w:cs="仿宋"/>
          <w:spacing w:val="-14"/>
          <w:sz w:val="25"/>
          <w:szCs w:val="25"/>
        </w:rPr>
        <w:t>月</w:t>
      </w:r>
      <w:r>
        <w:rPr>
          <w:rFonts w:ascii="仿宋" w:hAnsi="仿宋" w:eastAsia="仿宋" w:cs="仿宋"/>
          <w:spacing w:val="-47"/>
          <w:sz w:val="25"/>
          <w:szCs w:val="25"/>
        </w:rPr>
        <w:t xml:space="preserve"> </w:t>
      </w:r>
      <w:r>
        <w:rPr>
          <w:rFonts w:ascii="Times New Roman" w:hAnsi="Times New Roman" w:eastAsia="Times New Roman" w:cs="Times New Roman"/>
          <w:spacing w:val="-14"/>
          <w:sz w:val="25"/>
          <w:szCs w:val="25"/>
        </w:rPr>
        <w:t>6</w:t>
      </w:r>
      <w:r>
        <w:rPr>
          <w:rFonts w:ascii="Times New Roman" w:hAnsi="Times New Roman" w:eastAsia="Times New Roman" w:cs="Times New Roman"/>
          <w:spacing w:val="6"/>
          <w:sz w:val="25"/>
          <w:szCs w:val="25"/>
        </w:rPr>
        <w:t xml:space="preserve">  </w:t>
      </w:r>
      <w:r>
        <w:rPr>
          <w:rFonts w:ascii="仿宋" w:hAnsi="仿宋" w:eastAsia="仿宋" w:cs="仿宋"/>
          <w:spacing w:val="-14"/>
          <w:sz w:val="25"/>
          <w:szCs w:val="25"/>
        </w:rPr>
        <w:t>日修订</w:t>
      </w:r>
      <w:r>
        <w:rPr>
          <w:rFonts w:ascii="仿宋" w:hAnsi="仿宋" w:eastAsia="仿宋" w:cs="仿宋"/>
          <w:sz w:val="25"/>
          <w:szCs w:val="25"/>
        </w:rPr>
        <w:t>）；</w:t>
      </w:r>
    </w:p>
    <w:p w14:paraId="41B97BFF">
      <w:pPr>
        <w:spacing w:before="147" w:line="228" w:lineRule="auto"/>
        <w:ind w:left="500"/>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3</w:t>
      </w:r>
      <w:r>
        <w:rPr>
          <w:rFonts w:ascii="仿宋" w:hAnsi="仿宋" w:eastAsia="仿宋" w:cs="仿宋"/>
          <w:spacing w:val="7"/>
          <w:sz w:val="25"/>
          <w:szCs w:val="25"/>
        </w:rPr>
        <w:t>）《国家级自然公园管理办法（试行）》（林保规〔</w:t>
      </w:r>
      <w:r>
        <w:rPr>
          <w:rFonts w:ascii="Times New Roman" w:hAnsi="Times New Roman" w:eastAsia="Times New Roman" w:cs="Times New Roman"/>
          <w:spacing w:val="7"/>
          <w:sz w:val="25"/>
          <w:szCs w:val="25"/>
        </w:rPr>
        <w:t>2023</w:t>
      </w:r>
      <w:r>
        <w:rPr>
          <w:rFonts w:ascii="仿宋" w:hAnsi="仿宋" w:eastAsia="仿宋" w:cs="仿宋"/>
          <w:spacing w:val="7"/>
          <w:sz w:val="25"/>
          <w:szCs w:val="25"/>
        </w:rPr>
        <w:t>〕</w:t>
      </w:r>
      <w:r>
        <w:rPr>
          <w:rFonts w:ascii="Times New Roman" w:hAnsi="Times New Roman" w:eastAsia="Times New Roman" w:cs="Times New Roman"/>
          <w:spacing w:val="7"/>
          <w:sz w:val="25"/>
          <w:szCs w:val="25"/>
        </w:rPr>
        <w:t>4</w:t>
      </w:r>
      <w:r>
        <w:rPr>
          <w:rFonts w:ascii="Times New Roman" w:hAnsi="Times New Roman" w:eastAsia="Times New Roman" w:cs="Times New Roman"/>
          <w:spacing w:val="28"/>
          <w:sz w:val="25"/>
          <w:szCs w:val="25"/>
        </w:rPr>
        <w:t xml:space="preserve"> </w:t>
      </w:r>
      <w:r>
        <w:rPr>
          <w:rFonts w:ascii="仿宋" w:hAnsi="仿宋" w:eastAsia="仿宋" w:cs="仿宋"/>
          <w:spacing w:val="7"/>
          <w:sz w:val="25"/>
          <w:szCs w:val="25"/>
        </w:rPr>
        <w:t>号</w:t>
      </w:r>
      <w:r>
        <w:rPr>
          <w:rFonts w:ascii="仿宋" w:hAnsi="仿宋" w:eastAsia="仿宋" w:cs="仿宋"/>
          <w:spacing w:val="9"/>
          <w:sz w:val="25"/>
          <w:szCs w:val="25"/>
        </w:rPr>
        <w:t>）；</w:t>
      </w:r>
    </w:p>
    <w:p w14:paraId="4DCFB421">
      <w:pPr>
        <w:spacing w:before="152" w:line="228" w:lineRule="auto"/>
        <w:ind w:left="500"/>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4</w:t>
      </w:r>
      <w:r>
        <w:rPr>
          <w:rFonts w:ascii="仿宋" w:hAnsi="仿宋" w:eastAsia="仿宋" w:cs="仿宋"/>
          <w:spacing w:val="7"/>
          <w:sz w:val="25"/>
          <w:szCs w:val="25"/>
        </w:rPr>
        <w:t>）《国家公园管理暂行办法》（林保发〔</w:t>
      </w:r>
      <w:r>
        <w:rPr>
          <w:rFonts w:ascii="Times New Roman" w:hAnsi="Times New Roman" w:eastAsia="Times New Roman" w:cs="Times New Roman"/>
          <w:spacing w:val="7"/>
          <w:sz w:val="25"/>
          <w:szCs w:val="25"/>
        </w:rPr>
        <w:t>2022</w:t>
      </w:r>
      <w:r>
        <w:rPr>
          <w:rFonts w:ascii="仿宋" w:hAnsi="仿宋" w:eastAsia="仿宋" w:cs="仿宋"/>
          <w:spacing w:val="7"/>
          <w:sz w:val="25"/>
          <w:szCs w:val="25"/>
        </w:rPr>
        <w:t>〕</w:t>
      </w:r>
      <w:r>
        <w:rPr>
          <w:rFonts w:ascii="Times New Roman" w:hAnsi="Times New Roman" w:eastAsia="Times New Roman" w:cs="Times New Roman"/>
          <w:spacing w:val="7"/>
          <w:sz w:val="25"/>
          <w:szCs w:val="25"/>
        </w:rPr>
        <w:t>64</w:t>
      </w:r>
      <w:r>
        <w:rPr>
          <w:rFonts w:ascii="Times New Roman" w:hAnsi="Times New Roman" w:eastAsia="Times New Roman" w:cs="Times New Roman"/>
          <w:spacing w:val="26"/>
          <w:sz w:val="25"/>
          <w:szCs w:val="25"/>
        </w:rPr>
        <w:t xml:space="preserve"> </w:t>
      </w:r>
      <w:r>
        <w:rPr>
          <w:rFonts w:ascii="仿宋" w:hAnsi="仿宋" w:eastAsia="仿宋" w:cs="仿宋"/>
          <w:spacing w:val="7"/>
          <w:sz w:val="25"/>
          <w:szCs w:val="25"/>
        </w:rPr>
        <w:t>号</w:t>
      </w:r>
      <w:r>
        <w:rPr>
          <w:rFonts w:ascii="仿宋" w:hAnsi="仿宋" w:eastAsia="仿宋" w:cs="仿宋"/>
          <w:spacing w:val="1"/>
          <w:sz w:val="25"/>
          <w:szCs w:val="25"/>
        </w:rPr>
        <w:t>）；</w:t>
      </w:r>
    </w:p>
    <w:p w14:paraId="49F83156">
      <w:pPr>
        <w:spacing w:before="152" w:line="284" w:lineRule="auto"/>
        <w:ind w:left="15" w:right="68" w:firstLine="485"/>
        <w:rPr>
          <w:rFonts w:ascii="仿宋" w:hAnsi="仿宋" w:eastAsia="仿宋" w:cs="仿宋"/>
          <w:sz w:val="25"/>
          <w:szCs w:val="25"/>
        </w:rPr>
      </w:pPr>
      <w:r>
        <w:rPr>
          <w:rFonts w:ascii="仿宋" w:hAnsi="仿宋" w:eastAsia="仿宋" w:cs="仿宋"/>
          <w:spacing w:val="8"/>
          <w:sz w:val="25"/>
          <w:szCs w:val="25"/>
        </w:rPr>
        <w:t>（</w:t>
      </w:r>
      <w:r>
        <w:rPr>
          <w:rFonts w:ascii="Times New Roman" w:hAnsi="Times New Roman" w:eastAsia="Times New Roman" w:cs="Times New Roman"/>
          <w:spacing w:val="8"/>
          <w:sz w:val="25"/>
          <w:szCs w:val="25"/>
        </w:rPr>
        <w:t>5</w:t>
      </w:r>
      <w:r>
        <w:rPr>
          <w:rFonts w:ascii="仿宋" w:hAnsi="仿宋" w:eastAsia="仿宋" w:cs="仿宋"/>
          <w:spacing w:val="8"/>
          <w:sz w:val="25"/>
          <w:szCs w:val="25"/>
        </w:rPr>
        <w:t>）</w:t>
      </w:r>
      <w:r>
        <w:rPr>
          <w:rFonts w:ascii="仿宋" w:hAnsi="仿宋" w:eastAsia="仿宋" w:cs="仿宋"/>
          <w:spacing w:val="-101"/>
          <w:sz w:val="25"/>
          <w:szCs w:val="25"/>
        </w:rPr>
        <w:t xml:space="preserve"> </w:t>
      </w:r>
      <w:r>
        <w:rPr>
          <w:rFonts w:ascii="仿宋" w:hAnsi="仿宋" w:eastAsia="仿宋" w:cs="仿宋"/>
          <w:spacing w:val="8"/>
          <w:sz w:val="25"/>
          <w:szCs w:val="25"/>
        </w:rPr>
        <w:t>《中华人民共和国自然保护区条例》</w:t>
      </w:r>
      <w:r>
        <w:rPr>
          <w:rFonts w:ascii="仿宋" w:hAnsi="仿宋" w:eastAsia="仿宋" w:cs="仿宋"/>
          <w:spacing w:val="-101"/>
          <w:sz w:val="25"/>
          <w:szCs w:val="25"/>
        </w:rPr>
        <w:t xml:space="preserve"> </w:t>
      </w:r>
      <w:r>
        <w:rPr>
          <w:rFonts w:ascii="仿宋" w:hAnsi="仿宋" w:eastAsia="仿宋" w:cs="仿宋"/>
          <w:spacing w:val="8"/>
          <w:sz w:val="25"/>
          <w:szCs w:val="25"/>
        </w:rPr>
        <w:t>（国务院令第</w:t>
      </w:r>
      <w:r>
        <w:rPr>
          <w:rFonts w:ascii="仿宋" w:hAnsi="仿宋" w:eastAsia="仿宋" w:cs="仿宋"/>
          <w:spacing w:val="-44"/>
          <w:sz w:val="25"/>
          <w:szCs w:val="25"/>
        </w:rPr>
        <w:t xml:space="preserve"> </w:t>
      </w:r>
      <w:r>
        <w:rPr>
          <w:rFonts w:ascii="Times New Roman" w:hAnsi="Times New Roman" w:eastAsia="Times New Roman" w:cs="Times New Roman"/>
          <w:spacing w:val="8"/>
          <w:sz w:val="25"/>
          <w:szCs w:val="25"/>
        </w:rPr>
        <w:t>687</w:t>
      </w:r>
      <w:r>
        <w:rPr>
          <w:rFonts w:ascii="Times New Roman" w:hAnsi="Times New Roman" w:eastAsia="Times New Roman" w:cs="Times New Roman"/>
          <w:spacing w:val="30"/>
          <w:w w:val="101"/>
          <w:sz w:val="25"/>
          <w:szCs w:val="25"/>
        </w:rPr>
        <w:t xml:space="preserve"> </w:t>
      </w:r>
      <w:r>
        <w:rPr>
          <w:rFonts w:ascii="仿宋" w:hAnsi="仿宋" w:eastAsia="仿宋" w:cs="仿宋"/>
          <w:spacing w:val="8"/>
          <w:sz w:val="25"/>
          <w:szCs w:val="25"/>
        </w:rPr>
        <w:t>号，</w:t>
      </w:r>
      <w:r>
        <w:rPr>
          <w:rFonts w:ascii="Times New Roman" w:hAnsi="Times New Roman" w:eastAsia="Times New Roman" w:cs="Times New Roman"/>
          <w:spacing w:val="8"/>
          <w:sz w:val="25"/>
          <w:szCs w:val="25"/>
        </w:rPr>
        <w:t>20</w:t>
      </w:r>
      <w:r>
        <w:rPr>
          <w:rFonts w:ascii="Times New Roman" w:hAnsi="Times New Roman" w:eastAsia="Times New Roman" w:cs="Times New Roman"/>
          <w:spacing w:val="7"/>
          <w:sz w:val="25"/>
          <w:szCs w:val="25"/>
        </w:rPr>
        <w:t>17</w:t>
      </w:r>
      <w:r>
        <w:rPr>
          <w:rFonts w:ascii="Times New Roman" w:hAnsi="Times New Roman" w:eastAsia="Times New Roman" w:cs="Times New Roman"/>
          <w:spacing w:val="29"/>
          <w:sz w:val="25"/>
          <w:szCs w:val="25"/>
        </w:rPr>
        <w:t xml:space="preserve"> </w:t>
      </w:r>
      <w:r>
        <w:rPr>
          <w:rFonts w:ascii="仿宋" w:hAnsi="仿宋" w:eastAsia="仿宋" w:cs="仿宋"/>
          <w:spacing w:val="7"/>
          <w:sz w:val="25"/>
          <w:szCs w:val="25"/>
        </w:rPr>
        <w:t>年</w:t>
      </w:r>
      <w:r>
        <w:rPr>
          <w:rFonts w:ascii="仿宋" w:hAnsi="仿宋" w:eastAsia="仿宋" w:cs="仿宋"/>
          <w:sz w:val="25"/>
          <w:szCs w:val="25"/>
        </w:rPr>
        <w:t xml:space="preserve"> 修订）；</w:t>
      </w:r>
    </w:p>
    <w:p w14:paraId="223496A0">
      <w:pPr>
        <w:spacing w:before="150" w:line="228" w:lineRule="auto"/>
        <w:jc w:val="right"/>
        <w:rPr>
          <w:rFonts w:ascii="仿宋" w:hAnsi="仿宋" w:eastAsia="仿宋" w:cs="仿宋"/>
          <w:sz w:val="25"/>
          <w:szCs w:val="25"/>
        </w:rPr>
      </w:pPr>
      <w:r>
        <w:rPr>
          <w:rFonts w:ascii="仿宋" w:hAnsi="仿宋" w:eastAsia="仿宋" w:cs="仿宋"/>
          <w:sz w:val="25"/>
          <w:szCs w:val="25"/>
        </w:rPr>
        <w:t>（</w:t>
      </w:r>
      <w:r>
        <w:rPr>
          <w:rFonts w:ascii="Times New Roman" w:hAnsi="Times New Roman" w:eastAsia="Times New Roman" w:cs="Times New Roman"/>
          <w:sz w:val="25"/>
          <w:szCs w:val="25"/>
        </w:rPr>
        <w:t>6</w:t>
      </w:r>
      <w:r>
        <w:rPr>
          <w:rFonts w:ascii="仿宋" w:hAnsi="仿宋" w:eastAsia="仿宋" w:cs="仿宋"/>
          <w:sz w:val="25"/>
          <w:szCs w:val="25"/>
        </w:rPr>
        <w:t>）《中华人民共和国文物保护法实施条例》（</w:t>
      </w:r>
      <w:r>
        <w:rPr>
          <w:rFonts w:ascii="Times New Roman" w:hAnsi="Times New Roman" w:eastAsia="Times New Roman" w:cs="Times New Roman"/>
          <w:sz w:val="25"/>
          <w:szCs w:val="25"/>
        </w:rPr>
        <w:t>2017</w:t>
      </w:r>
      <w:r>
        <w:rPr>
          <w:rFonts w:ascii="Times New Roman" w:hAnsi="Times New Roman" w:eastAsia="Times New Roman" w:cs="Times New Roman"/>
          <w:spacing w:val="27"/>
          <w:w w:val="101"/>
          <w:sz w:val="25"/>
          <w:szCs w:val="25"/>
        </w:rPr>
        <w:t xml:space="preserve"> </w:t>
      </w:r>
      <w:r>
        <w:rPr>
          <w:rFonts w:ascii="仿宋" w:hAnsi="仿宋" w:eastAsia="仿宋" w:cs="仿宋"/>
          <w:sz w:val="25"/>
          <w:szCs w:val="25"/>
        </w:rPr>
        <w:t>年</w:t>
      </w:r>
      <w:r>
        <w:rPr>
          <w:rFonts w:ascii="仿宋" w:hAnsi="仿宋" w:eastAsia="仿宋" w:cs="仿宋"/>
          <w:spacing w:val="-28"/>
          <w:sz w:val="25"/>
          <w:szCs w:val="25"/>
        </w:rPr>
        <w:t xml:space="preserve"> </w:t>
      </w:r>
      <w:r>
        <w:rPr>
          <w:rFonts w:ascii="Times New Roman" w:hAnsi="Times New Roman" w:eastAsia="Times New Roman" w:cs="Times New Roman"/>
          <w:sz w:val="25"/>
          <w:szCs w:val="25"/>
        </w:rPr>
        <w:t>10</w:t>
      </w:r>
      <w:r>
        <w:rPr>
          <w:rFonts w:ascii="Times New Roman" w:hAnsi="Times New Roman" w:eastAsia="Times New Roman" w:cs="Times New Roman"/>
          <w:spacing w:val="32"/>
          <w:sz w:val="25"/>
          <w:szCs w:val="25"/>
        </w:rPr>
        <w:t xml:space="preserve"> </w:t>
      </w:r>
      <w:r>
        <w:rPr>
          <w:rFonts w:ascii="仿宋" w:hAnsi="仿宋" w:eastAsia="仿宋" w:cs="仿宋"/>
          <w:sz w:val="25"/>
          <w:szCs w:val="25"/>
        </w:rPr>
        <w:t>月</w:t>
      </w:r>
      <w:r>
        <w:rPr>
          <w:rFonts w:ascii="仿宋" w:hAnsi="仿宋" w:eastAsia="仿宋" w:cs="仿宋"/>
          <w:spacing w:val="-51"/>
          <w:sz w:val="25"/>
          <w:szCs w:val="25"/>
        </w:rPr>
        <w:t xml:space="preserve"> </w:t>
      </w:r>
      <w:r>
        <w:rPr>
          <w:rFonts w:ascii="Times New Roman" w:hAnsi="Times New Roman" w:eastAsia="Times New Roman" w:cs="Times New Roman"/>
          <w:sz w:val="25"/>
          <w:szCs w:val="25"/>
        </w:rPr>
        <w:t xml:space="preserve">7  </w:t>
      </w:r>
      <w:r>
        <w:rPr>
          <w:rFonts w:ascii="仿宋" w:hAnsi="仿宋" w:eastAsia="仿宋" w:cs="仿宋"/>
          <w:sz w:val="25"/>
          <w:szCs w:val="25"/>
        </w:rPr>
        <w:t>日修改</w:t>
      </w:r>
      <w:r>
        <w:rPr>
          <w:rFonts w:ascii="仿宋" w:hAnsi="仿宋" w:eastAsia="仿宋" w:cs="仿宋"/>
          <w:spacing w:val="-36"/>
          <w:sz w:val="25"/>
          <w:szCs w:val="25"/>
        </w:rPr>
        <w:t>）；</w:t>
      </w:r>
    </w:p>
    <w:p w14:paraId="07547FC3">
      <w:pPr>
        <w:spacing w:before="152" w:line="284" w:lineRule="auto"/>
        <w:ind w:left="17" w:right="68" w:firstLine="483"/>
        <w:rPr>
          <w:rFonts w:ascii="仿宋" w:hAnsi="仿宋" w:eastAsia="仿宋" w:cs="仿宋"/>
          <w:sz w:val="25"/>
          <w:szCs w:val="25"/>
        </w:rPr>
      </w:pPr>
      <w:r>
        <w:rPr>
          <w:rFonts w:ascii="仿宋" w:hAnsi="仿宋" w:eastAsia="仿宋" w:cs="仿宋"/>
          <w:spacing w:val="8"/>
          <w:sz w:val="25"/>
          <w:szCs w:val="25"/>
        </w:rPr>
        <w:t>（</w:t>
      </w:r>
      <w:r>
        <w:rPr>
          <w:rFonts w:ascii="Times New Roman" w:hAnsi="Times New Roman" w:eastAsia="Times New Roman" w:cs="Times New Roman"/>
          <w:spacing w:val="8"/>
          <w:sz w:val="25"/>
          <w:szCs w:val="25"/>
        </w:rPr>
        <w:t>7</w:t>
      </w:r>
      <w:r>
        <w:rPr>
          <w:rFonts w:ascii="仿宋" w:hAnsi="仿宋" w:eastAsia="仿宋" w:cs="仿宋"/>
          <w:spacing w:val="8"/>
          <w:sz w:val="25"/>
          <w:szCs w:val="25"/>
        </w:rPr>
        <w:t>）</w:t>
      </w:r>
      <w:r>
        <w:rPr>
          <w:rFonts w:ascii="仿宋" w:hAnsi="仿宋" w:eastAsia="仿宋" w:cs="仿宋"/>
          <w:spacing w:val="-102"/>
          <w:sz w:val="25"/>
          <w:szCs w:val="25"/>
        </w:rPr>
        <w:t xml:space="preserve"> </w:t>
      </w:r>
      <w:r>
        <w:rPr>
          <w:rFonts w:ascii="仿宋" w:hAnsi="仿宋" w:eastAsia="仿宋" w:cs="仿宋"/>
          <w:spacing w:val="8"/>
          <w:sz w:val="25"/>
          <w:szCs w:val="25"/>
        </w:rPr>
        <w:t>《中华人民共和国野生植物保护条例》</w:t>
      </w:r>
      <w:r>
        <w:rPr>
          <w:rFonts w:ascii="仿宋" w:hAnsi="仿宋" w:eastAsia="仿宋" w:cs="仿宋"/>
          <w:spacing w:val="-103"/>
          <w:sz w:val="25"/>
          <w:szCs w:val="25"/>
        </w:rPr>
        <w:t xml:space="preserve"> </w:t>
      </w:r>
      <w:r>
        <w:rPr>
          <w:rFonts w:ascii="仿宋" w:hAnsi="仿宋" w:eastAsia="仿宋" w:cs="仿宋"/>
          <w:spacing w:val="8"/>
          <w:sz w:val="25"/>
          <w:szCs w:val="25"/>
        </w:rPr>
        <w:t>（国令第</w:t>
      </w:r>
      <w:r>
        <w:rPr>
          <w:rFonts w:ascii="仿宋" w:hAnsi="仿宋" w:eastAsia="仿宋" w:cs="仿宋"/>
          <w:spacing w:val="-44"/>
          <w:sz w:val="25"/>
          <w:szCs w:val="25"/>
        </w:rPr>
        <w:t xml:space="preserve"> </w:t>
      </w:r>
      <w:r>
        <w:rPr>
          <w:rFonts w:ascii="Times New Roman" w:hAnsi="Times New Roman" w:eastAsia="Times New Roman" w:cs="Times New Roman"/>
          <w:spacing w:val="8"/>
          <w:sz w:val="25"/>
          <w:szCs w:val="25"/>
        </w:rPr>
        <w:t>687</w:t>
      </w:r>
      <w:r>
        <w:rPr>
          <w:rFonts w:ascii="Times New Roman" w:hAnsi="Times New Roman" w:eastAsia="Times New Roman" w:cs="Times New Roman"/>
          <w:spacing w:val="30"/>
          <w:w w:val="101"/>
          <w:sz w:val="25"/>
          <w:szCs w:val="25"/>
        </w:rPr>
        <w:t xml:space="preserve"> </w:t>
      </w:r>
      <w:r>
        <w:rPr>
          <w:rFonts w:ascii="仿宋" w:hAnsi="仿宋" w:eastAsia="仿宋" w:cs="仿宋"/>
          <w:spacing w:val="8"/>
          <w:sz w:val="25"/>
          <w:szCs w:val="25"/>
        </w:rPr>
        <w:t>号，</w:t>
      </w:r>
      <w:r>
        <w:rPr>
          <w:rFonts w:ascii="Times New Roman" w:hAnsi="Times New Roman" w:eastAsia="Times New Roman" w:cs="Times New Roman"/>
          <w:spacing w:val="8"/>
          <w:sz w:val="25"/>
          <w:szCs w:val="25"/>
        </w:rPr>
        <w:t>2017</w:t>
      </w:r>
      <w:r>
        <w:rPr>
          <w:rFonts w:ascii="Times New Roman" w:hAnsi="Times New Roman" w:eastAsia="Times New Roman" w:cs="Times New Roman"/>
          <w:spacing w:val="29"/>
          <w:sz w:val="25"/>
          <w:szCs w:val="25"/>
        </w:rPr>
        <w:t xml:space="preserve"> </w:t>
      </w:r>
      <w:r>
        <w:rPr>
          <w:rFonts w:ascii="仿宋" w:hAnsi="仿宋" w:eastAsia="仿宋" w:cs="仿宋"/>
          <w:spacing w:val="8"/>
          <w:sz w:val="25"/>
          <w:szCs w:val="25"/>
        </w:rPr>
        <w:t>年修</w:t>
      </w:r>
      <w:r>
        <w:rPr>
          <w:rFonts w:ascii="仿宋" w:hAnsi="仿宋" w:eastAsia="仿宋" w:cs="仿宋"/>
          <w:sz w:val="25"/>
          <w:szCs w:val="25"/>
        </w:rPr>
        <w:t xml:space="preserve"> </w:t>
      </w:r>
      <w:r>
        <w:rPr>
          <w:rFonts w:ascii="仿宋" w:hAnsi="仿宋" w:eastAsia="仿宋" w:cs="仿宋"/>
          <w:spacing w:val="-10"/>
          <w:sz w:val="25"/>
          <w:szCs w:val="25"/>
        </w:rPr>
        <w:t>订</w:t>
      </w:r>
      <w:r>
        <w:rPr>
          <w:rFonts w:ascii="仿宋" w:hAnsi="仿宋" w:eastAsia="仿宋" w:cs="仿宋"/>
          <w:sz w:val="25"/>
          <w:szCs w:val="25"/>
        </w:rPr>
        <w:t>）；</w:t>
      </w:r>
    </w:p>
    <w:p w14:paraId="059474BA">
      <w:pPr>
        <w:spacing w:before="151" w:line="228" w:lineRule="auto"/>
        <w:jc w:val="right"/>
        <w:rPr>
          <w:rFonts w:ascii="仿宋" w:hAnsi="仿宋" w:eastAsia="仿宋" w:cs="仿宋"/>
          <w:sz w:val="25"/>
          <w:szCs w:val="25"/>
        </w:rPr>
      </w:pPr>
      <w:r>
        <w:rPr>
          <w:rFonts w:ascii="仿宋" w:hAnsi="仿宋" w:eastAsia="仿宋" w:cs="仿宋"/>
          <w:sz w:val="25"/>
          <w:szCs w:val="25"/>
        </w:rPr>
        <w:t>（</w:t>
      </w:r>
      <w:r>
        <w:rPr>
          <w:rFonts w:ascii="Times New Roman" w:hAnsi="Times New Roman" w:eastAsia="Times New Roman" w:cs="Times New Roman"/>
          <w:sz w:val="25"/>
          <w:szCs w:val="25"/>
        </w:rPr>
        <w:t>8</w:t>
      </w:r>
      <w:r>
        <w:rPr>
          <w:rFonts w:ascii="仿宋" w:hAnsi="仿宋" w:eastAsia="仿宋" w:cs="仿宋"/>
          <w:sz w:val="25"/>
          <w:szCs w:val="25"/>
        </w:rPr>
        <w:t>）《中华人民共和国土地管理法实施条例》（</w:t>
      </w:r>
      <w:r>
        <w:rPr>
          <w:rFonts w:ascii="Times New Roman" w:hAnsi="Times New Roman" w:eastAsia="Times New Roman" w:cs="Times New Roman"/>
          <w:sz w:val="25"/>
          <w:szCs w:val="25"/>
        </w:rPr>
        <w:t>2021</w:t>
      </w:r>
      <w:r>
        <w:rPr>
          <w:rFonts w:ascii="Times New Roman" w:hAnsi="Times New Roman" w:eastAsia="Times New Roman" w:cs="Times New Roman"/>
          <w:spacing w:val="31"/>
          <w:sz w:val="25"/>
          <w:szCs w:val="25"/>
        </w:rPr>
        <w:t xml:space="preserve"> </w:t>
      </w:r>
      <w:r>
        <w:rPr>
          <w:rFonts w:ascii="仿宋" w:hAnsi="仿宋" w:eastAsia="仿宋" w:cs="仿宋"/>
          <w:sz w:val="25"/>
          <w:szCs w:val="25"/>
        </w:rPr>
        <w:t>年</w:t>
      </w:r>
      <w:r>
        <w:rPr>
          <w:rFonts w:ascii="仿宋" w:hAnsi="仿宋" w:eastAsia="仿宋" w:cs="仿宋"/>
          <w:spacing w:val="-50"/>
          <w:sz w:val="25"/>
          <w:szCs w:val="25"/>
        </w:rPr>
        <w:t xml:space="preserve"> </w:t>
      </w:r>
      <w:r>
        <w:rPr>
          <w:rFonts w:ascii="Times New Roman" w:hAnsi="Times New Roman" w:eastAsia="Times New Roman" w:cs="Times New Roman"/>
          <w:sz w:val="25"/>
          <w:szCs w:val="25"/>
        </w:rPr>
        <w:t>7</w:t>
      </w:r>
      <w:r>
        <w:rPr>
          <w:rFonts w:ascii="Times New Roman" w:hAnsi="Times New Roman" w:eastAsia="Times New Roman" w:cs="Times New Roman"/>
          <w:spacing w:val="31"/>
          <w:w w:val="101"/>
          <w:sz w:val="25"/>
          <w:szCs w:val="25"/>
        </w:rPr>
        <w:t xml:space="preserve"> </w:t>
      </w:r>
      <w:r>
        <w:rPr>
          <w:rFonts w:ascii="仿宋" w:hAnsi="仿宋" w:eastAsia="仿宋" w:cs="仿宋"/>
          <w:sz w:val="25"/>
          <w:szCs w:val="25"/>
        </w:rPr>
        <w:t>月</w:t>
      </w:r>
      <w:r>
        <w:rPr>
          <w:rFonts w:ascii="仿宋" w:hAnsi="仿宋" w:eastAsia="仿宋" w:cs="仿宋"/>
          <w:spacing w:val="-53"/>
          <w:sz w:val="25"/>
          <w:szCs w:val="25"/>
        </w:rPr>
        <w:t xml:space="preserve"> </w:t>
      </w:r>
      <w:r>
        <w:rPr>
          <w:rFonts w:ascii="Times New Roman" w:hAnsi="Times New Roman" w:eastAsia="Times New Roman" w:cs="Times New Roman"/>
          <w:sz w:val="25"/>
          <w:szCs w:val="25"/>
        </w:rPr>
        <w:t xml:space="preserve">2  </w:t>
      </w:r>
      <w:r>
        <w:rPr>
          <w:rFonts w:ascii="仿宋" w:hAnsi="仿宋" w:eastAsia="仿宋" w:cs="仿宋"/>
          <w:sz w:val="25"/>
          <w:szCs w:val="25"/>
        </w:rPr>
        <w:t>日修正版</w:t>
      </w:r>
      <w:r>
        <w:rPr>
          <w:rFonts w:ascii="仿宋" w:hAnsi="仿宋" w:eastAsia="仿宋" w:cs="仿宋"/>
          <w:spacing w:val="-63"/>
          <w:w w:val="90"/>
          <w:sz w:val="25"/>
          <w:szCs w:val="25"/>
        </w:rPr>
        <w:t>）；</w:t>
      </w:r>
    </w:p>
    <w:p w14:paraId="646B8DE8">
      <w:pPr>
        <w:spacing w:before="151" w:line="228" w:lineRule="auto"/>
        <w:ind w:left="500"/>
        <w:rPr>
          <w:rFonts w:ascii="仿宋" w:hAnsi="仿宋" w:eastAsia="仿宋" w:cs="仿宋"/>
          <w:sz w:val="25"/>
          <w:szCs w:val="25"/>
        </w:rPr>
      </w:pPr>
      <w:r>
        <w:rPr>
          <w:rFonts w:ascii="仿宋" w:hAnsi="仿宋" w:eastAsia="仿宋" w:cs="仿宋"/>
          <w:spacing w:val="2"/>
          <w:sz w:val="25"/>
          <w:szCs w:val="25"/>
        </w:rPr>
        <w:t>（</w:t>
      </w:r>
      <w:r>
        <w:rPr>
          <w:rFonts w:ascii="Times New Roman" w:hAnsi="Times New Roman" w:eastAsia="Times New Roman" w:cs="Times New Roman"/>
          <w:spacing w:val="2"/>
          <w:sz w:val="25"/>
          <w:szCs w:val="25"/>
        </w:rPr>
        <w:t>9</w:t>
      </w:r>
      <w:r>
        <w:rPr>
          <w:rFonts w:ascii="仿宋" w:hAnsi="仿宋" w:eastAsia="仿宋" w:cs="仿宋"/>
          <w:spacing w:val="2"/>
          <w:sz w:val="25"/>
          <w:szCs w:val="25"/>
        </w:rPr>
        <w:t>）《基本农田保护条例》（</w:t>
      </w:r>
      <w:r>
        <w:rPr>
          <w:rFonts w:ascii="Times New Roman" w:hAnsi="Times New Roman" w:eastAsia="Times New Roman" w:cs="Times New Roman"/>
          <w:spacing w:val="2"/>
          <w:sz w:val="25"/>
          <w:szCs w:val="25"/>
        </w:rPr>
        <w:t>1999</w:t>
      </w:r>
      <w:r>
        <w:rPr>
          <w:rFonts w:ascii="Times New Roman" w:hAnsi="Times New Roman" w:eastAsia="Times New Roman" w:cs="Times New Roman"/>
          <w:spacing w:val="25"/>
          <w:sz w:val="25"/>
          <w:szCs w:val="25"/>
        </w:rPr>
        <w:t xml:space="preserve"> </w:t>
      </w:r>
      <w:r>
        <w:rPr>
          <w:rFonts w:ascii="仿宋" w:hAnsi="仿宋" w:eastAsia="仿宋" w:cs="仿宋"/>
          <w:spacing w:val="2"/>
          <w:sz w:val="25"/>
          <w:szCs w:val="25"/>
        </w:rPr>
        <w:t>年</w:t>
      </w:r>
      <w:r>
        <w:rPr>
          <w:rFonts w:ascii="仿宋" w:hAnsi="仿宋" w:eastAsia="仿宋" w:cs="仿宋"/>
          <w:spacing w:val="-27"/>
          <w:sz w:val="25"/>
          <w:szCs w:val="25"/>
        </w:rPr>
        <w:t xml:space="preserve"> </w:t>
      </w:r>
      <w:r>
        <w:rPr>
          <w:rFonts w:ascii="Times New Roman" w:hAnsi="Times New Roman" w:eastAsia="Times New Roman" w:cs="Times New Roman"/>
          <w:spacing w:val="2"/>
          <w:sz w:val="25"/>
          <w:szCs w:val="25"/>
        </w:rPr>
        <w:t>1</w:t>
      </w:r>
      <w:r>
        <w:rPr>
          <w:rFonts w:ascii="Times New Roman" w:hAnsi="Times New Roman" w:eastAsia="Times New Roman" w:cs="Times New Roman"/>
          <w:spacing w:val="31"/>
          <w:w w:val="101"/>
          <w:sz w:val="25"/>
          <w:szCs w:val="25"/>
        </w:rPr>
        <w:t xml:space="preserve"> </w:t>
      </w:r>
      <w:r>
        <w:rPr>
          <w:rFonts w:ascii="仿宋" w:hAnsi="仿宋" w:eastAsia="仿宋" w:cs="仿宋"/>
          <w:spacing w:val="2"/>
          <w:sz w:val="25"/>
          <w:szCs w:val="25"/>
        </w:rPr>
        <w:t>月</w:t>
      </w:r>
      <w:r>
        <w:rPr>
          <w:rFonts w:ascii="仿宋" w:hAnsi="仿宋" w:eastAsia="仿宋" w:cs="仿宋"/>
          <w:spacing w:val="-28"/>
          <w:sz w:val="25"/>
          <w:szCs w:val="25"/>
        </w:rPr>
        <w:t xml:space="preserve"> </w:t>
      </w:r>
      <w:r>
        <w:rPr>
          <w:rFonts w:ascii="Times New Roman" w:hAnsi="Times New Roman" w:eastAsia="Times New Roman" w:cs="Times New Roman"/>
          <w:spacing w:val="2"/>
          <w:sz w:val="25"/>
          <w:szCs w:val="25"/>
        </w:rPr>
        <w:t xml:space="preserve">1  </w:t>
      </w:r>
      <w:r>
        <w:rPr>
          <w:rFonts w:ascii="仿宋" w:hAnsi="仿宋" w:eastAsia="仿宋" w:cs="仿宋"/>
          <w:spacing w:val="1"/>
          <w:sz w:val="25"/>
          <w:szCs w:val="25"/>
        </w:rPr>
        <w:t>日起实施，</w:t>
      </w:r>
      <w:r>
        <w:rPr>
          <w:rFonts w:ascii="Times New Roman" w:hAnsi="Times New Roman" w:eastAsia="Times New Roman" w:cs="Times New Roman"/>
          <w:spacing w:val="1"/>
          <w:sz w:val="25"/>
          <w:szCs w:val="25"/>
        </w:rPr>
        <w:t>2011</w:t>
      </w:r>
      <w:r>
        <w:rPr>
          <w:rFonts w:ascii="Times New Roman" w:hAnsi="Times New Roman" w:eastAsia="Times New Roman" w:cs="Times New Roman"/>
          <w:spacing w:val="28"/>
          <w:sz w:val="25"/>
          <w:szCs w:val="25"/>
        </w:rPr>
        <w:t xml:space="preserve"> </w:t>
      </w:r>
      <w:r>
        <w:rPr>
          <w:rFonts w:ascii="仿宋" w:hAnsi="仿宋" w:eastAsia="仿宋" w:cs="仿宋"/>
          <w:spacing w:val="1"/>
          <w:sz w:val="25"/>
          <w:szCs w:val="25"/>
        </w:rPr>
        <w:t>年修订</w:t>
      </w:r>
      <w:r>
        <w:rPr>
          <w:rFonts w:ascii="仿宋" w:hAnsi="仿宋" w:eastAsia="仿宋" w:cs="仿宋"/>
          <w:sz w:val="25"/>
          <w:szCs w:val="25"/>
        </w:rPr>
        <w:t>）；</w:t>
      </w:r>
    </w:p>
    <w:p w14:paraId="4A9C2815">
      <w:pPr>
        <w:spacing w:before="151" w:line="229" w:lineRule="auto"/>
        <w:jc w:val="right"/>
        <w:rPr>
          <w:rFonts w:ascii="仿宋" w:hAnsi="仿宋" w:eastAsia="仿宋" w:cs="仿宋"/>
          <w:sz w:val="25"/>
          <w:szCs w:val="25"/>
        </w:rPr>
      </w:pPr>
      <w:r>
        <w:rPr>
          <w:rFonts w:ascii="仿宋" w:hAnsi="仿宋" w:eastAsia="仿宋" w:cs="仿宋"/>
          <w:spacing w:val="-1"/>
          <w:sz w:val="25"/>
          <w:szCs w:val="25"/>
        </w:rPr>
        <w:t>（</w:t>
      </w:r>
      <w:r>
        <w:rPr>
          <w:rFonts w:ascii="Times New Roman" w:hAnsi="Times New Roman" w:eastAsia="Times New Roman" w:cs="Times New Roman"/>
          <w:spacing w:val="-1"/>
          <w:sz w:val="25"/>
          <w:szCs w:val="25"/>
        </w:rPr>
        <w:t>10</w:t>
      </w:r>
      <w:r>
        <w:rPr>
          <w:rFonts w:ascii="仿宋" w:hAnsi="仿宋" w:eastAsia="仿宋" w:cs="仿宋"/>
          <w:spacing w:val="-1"/>
          <w:sz w:val="25"/>
          <w:szCs w:val="25"/>
        </w:rPr>
        <w:t>）《土地复垦条例》（国务院令第</w:t>
      </w:r>
      <w:r>
        <w:rPr>
          <w:rFonts w:ascii="仿宋" w:hAnsi="仿宋" w:eastAsia="仿宋" w:cs="仿宋"/>
          <w:spacing w:val="-42"/>
          <w:sz w:val="25"/>
          <w:szCs w:val="25"/>
        </w:rPr>
        <w:t xml:space="preserve"> </w:t>
      </w:r>
      <w:r>
        <w:rPr>
          <w:rFonts w:ascii="Times New Roman" w:hAnsi="Times New Roman" w:eastAsia="Times New Roman" w:cs="Times New Roman"/>
          <w:spacing w:val="-1"/>
          <w:sz w:val="25"/>
          <w:szCs w:val="25"/>
        </w:rPr>
        <w:t>592</w:t>
      </w:r>
      <w:r>
        <w:rPr>
          <w:rFonts w:ascii="Times New Roman" w:hAnsi="Times New Roman" w:eastAsia="Times New Roman" w:cs="Times New Roman"/>
          <w:spacing w:val="29"/>
          <w:sz w:val="25"/>
          <w:szCs w:val="25"/>
        </w:rPr>
        <w:t xml:space="preserve"> </w:t>
      </w:r>
      <w:r>
        <w:rPr>
          <w:rFonts w:ascii="仿宋" w:hAnsi="仿宋" w:eastAsia="仿宋" w:cs="仿宋"/>
          <w:spacing w:val="-1"/>
          <w:sz w:val="25"/>
          <w:szCs w:val="25"/>
        </w:rPr>
        <w:t>号，</w:t>
      </w:r>
      <w:r>
        <w:rPr>
          <w:rFonts w:ascii="Times New Roman" w:hAnsi="Times New Roman" w:eastAsia="Times New Roman" w:cs="Times New Roman"/>
          <w:spacing w:val="-1"/>
          <w:sz w:val="25"/>
          <w:szCs w:val="25"/>
        </w:rPr>
        <w:t>2011</w:t>
      </w:r>
      <w:r>
        <w:rPr>
          <w:rFonts w:ascii="Times New Roman" w:hAnsi="Times New Roman" w:eastAsia="Times New Roman" w:cs="Times New Roman"/>
          <w:spacing w:val="24"/>
          <w:w w:val="101"/>
          <w:sz w:val="25"/>
          <w:szCs w:val="25"/>
        </w:rPr>
        <w:t xml:space="preserve"> </w:t>
      </w:r>
      <w:r>
        <w:rPr>
          <w:rFonts w:ascii="仿宋" w:hAnsi="仿宋" w:eastAsia="仿宋" w:cs="仿宋"/>
          <w:spacing w:val="-1"/>
          <w:sz w:val="25"/>
          <w:szCs w:val="25"/>
        </w:rPr>
        <w:t>年</w:t>
      </w:r>
      <w:r>
        <w:rPr>
          <w:rFonts w:ascii="仿宋" w:hAnsi="仿宋" w:eastAsia="仿宋" w:cs="仿宋"/>
          <w:spacing w:val="-53"/>
          <w:sz w:val="25"/>
          <w:szCs w:val="25"/>
        </w:rPr>
        <w:t xml:space="preserve"> </w:t>
      </w:r>
      <w:r>
        <w:rPr>
          <w:rFonts w:ascii="Times New Roman" w:hAnsi="Times New Roman" w:eastAsia="Times New Roman" w:cs="Times New Roman"/>
          <w:spacing w:val="-1"/>
          <w:sz w:val="25"/>
          <w:szCs w:val="25"/>
        </w:rPr>
        <w:t>2</w:t>
      </w:r>
      <w:r>
        <w:rPr>
          <w:rFonts w:ascii="Times New Roman" w:hAnsi="Times New Roman" w:eastAsia="Times New Roman" w:cs="Times New Roman"/>
          <w:spacing w:val="32"/>
          <w:sz w:val="25"/>
          <w:szCs w:val="25"/>
        </w:rPr>
        <w:t xml:space="preserve"> </w:t>
      </w:r>
      <w:r>
        <w:rPr>
          <w:rFonts w:ascii="仿宋" w:hAnsi="仿宋" w:eastAsia="仿宋" w:cs="仿宋"/>
          <w:spacing w:val="-1"/>
          <w:sz w:val="25"/>
          <w:szCs w:val="25"/>
        </w:rPr>
        <w:t>月</w:t>
      </w:r>
      <w:r>
        <w:rPr>
          <w:rFonts w:ascii="仿宋" w:hAnsi="仿宋" w:eastAsia="仿宋" w:cs="仿宋"/>
          <w:spacing w:val="-52"/>
          <w:sz w:val="25"/>
          <w:szCs w:val="25"/>
        </w:rPr>
        <w:t xml:space="preserve"> </w:t>
      </w:r>
      <w:r>
        <w:rPr>
          <w:rFonts w:ascii="Times New Roman" w:hAnsi="Times New Roman" w:eastAsia="Times New Roman" w:cs="Times New Roman"/>
          <w:spacing w:val="-1"/>
          <w:sz w:val="25"/>
          <w:szCs w:val="25"/>
        </w:rPr>
        <w:t xml:space="preserve">22  </w:t>
      </w:r>
      <w:r>
        <w:rPr>
          <w:rFonts w:ascii="仿宋" w:hAnsi="仿宋" w:eastAsia="仿宋" w:cs="仿宋"/>
          <w:spacing w:val="-1"/>
          <w:sz w:val="25"/>
          <w:szCs w:val="25"/>
        </w:rPr>
        <w:t>日</w:t>
      </w:r>
      <w:r>
        <w:rPr>
          <w:rFonts w:ascii="仿宋" w:hAnsi="仿宋" w:eastAsia="仿宋" w:cs="仿宋"/>
          <w:spacing w:val="-2"/>
          <w:sz w:val="25"/>
          <w:szCs w:val="25"/>
        </w:rPr>
        <w:t>起实施</w:t>
      </w:r>
      <w:r>
        <w:rPr>
          <w:rFonts w:ascii="仿宋" w:hAnsi="仿宋" w:eastAsia="仿宋" w:cs="仿宋"/>
          <w:spacing w:val="-63"/>
          <w:w w:val="90"/>
          <w:sz w:val="25"/>
          <w:szCs w:val="25"/>
        </w:rPr>
        <w:t>）；</w:t>
      </w:r>
    </w:p>
    <w:p w14:paraId="2D1FC8E0">
      <w:pPr>
        <w:spacing w:before="150" w:line="229" w:lineRule="auto"/>
        <w:ind w:left="500"/>
        <w:rPr>
          <w:rFonts w:ascii="仿宋" w:hAnsi="仿宋" w:eastAsia="仿宋" w:cs="仿宋"/>
          <w:sz w:val="25"/>
          <w:szCs w:val="25"/>
        </w:rPr>
      </w:pPr>
      <w:r>
        <w:rPr>
          <w:rFonts w:ascii="仿宋" w:hAnsi="仿宋" w:eastAsia="仿宋" w:cs="仿宋"/>
          <w:spacing w:val="6"/>
          <w:sz w:val="25"/>
          <w:szCs w:val="25"/>
        </w:rPr>
        <w:t>（</w:t>
      </w:r>
      <w:r>
        <w:rPr>
          <w:rFonts w:ascii="Times New Roman" w:hAnsi="Times New Roman" w:eastAsia="Times New Roman" w:cs="Times New Roman"/>
          <w:spacing w:val="6"/>
          <w:sz w:val="25"/>
          <w:szCs w:val="25"/>
        </w:rPr>
        <w:t>11</w:t>
      </w:r>
      <w:r>
        <w:rPr>
          <w:rFonts w:ascii="仿宋" w:hAnsi="仿宋" w:eastAsia="仿宋" w:cs="仿宋"/>
          <w:spacing w:val="6"/>
          <w:sz w:val="25"/>
          <w:szCs w:val="25"/>
        </w:rPr>
        <w:t>）《地下水管理条例》（国务院令第</w:t>
      </w:r>
      <w:r>
        <w:rPr>
          <w:rFonts w:ascii="仿宋" w:hAnsi="仿宋" w:eastAsia="仿宋" w:cs="仿宋"/>
          <w:spacing w:val="-50"/>
          <w:sz w:val="25"/>
          <w:szCs w:val="25"/>
        </w:rPr>
        <w:t xml:space="preserve"> </w:t>
      </w:r>
      <w:r>
        <w:rPr>
          <w:rFonts w:ascii="Times New Roman" w:hAnsi="Times New Roman" w:eastAsia="Times New Roman" w:cs="Times New Roman"/>
          <w:spacing w:val="6"/>
          <w:sz w:val="25"/>
          <w:szCs w:val="25"/>
        </w:rPr>
        <w:t>748</w:t>
      </w:r>
      <w:r>
        <w:rPr>
          <w:rFonts w:ascii="Times New Roman" w:hAnsi="Times New Roman" w:eastAsia="Times New Roman" w:cs="Times New Roman"/>
          <w:spacing w:val="28"/>
          <w:w w:val="101"/>
          <w:sz w:val="25"/>
          <w:szCs w:val="25"/>
        </w:rPr>
        <w:t xml:space="preserve"> </w:t>
      </w:r>
      <w:r>
        <w:rPr>
          <w:rFonts w:ascii="仿宋" w:hAnsi="仿宋" w:eastAsia="仿宋" w:cs="仿宋"/>
          <w:spacing w:val="6"/>
          <w:sz w:val="25"/>
          <w:szCs w:val="25"/>
        </w:rPr>
        <w:t>号</w:t>
      </w:r>
      <w:r>
        <w:rPr>
          <w:rFonts w:ascii="仿宋" w:hAnsi="仿宋" w:eastAsia="仿宋" w:cs="仿宋"/>
          <w:spacing w:val="4"/>
          <w:sz w:val="25"/>
          <w:szCs w:val="25"/>
        </w:rPr>
        <w:t>）；</w:t>
      </w:r>
    </w:p>
    <w:p w14:paraId="5B4FA8F5">
      <w:pPr>
        <w:spacing w:before="150" w:line="284" w:lineRule="auto"/>
        <w:ind w:left="23" w:right="68" w:firstLine="477"/>
        <w:rPr>
          <w:rFonts w:ascii="仿宋" w:hAnsi="仿宋" w:eastAsia="仿宋" w:cs="仿宋"/>
          <w:sz w:val="25"/>
          <w:szCs w:val="25"/>
        </w:rPr>
      </w:pPr>
      <w:r>
        <w:rPr>
          <w:rFonts w:ascii="仿宋" w:hAnsi="仿宋" w:eastAsia="仿宋" w:cs="仿宋"/>
          <w:spacing w:val="10"/>
          <w:sz w:val="25"/>
          <w:szCs w:val="25"/>
        </w:rPr>
        <w:t>（</w:t>
      </w:r>
      <w:r>
        <w:rPr>
          <w:rFonts w:ascii="Times New Roman" w:hAnsi="Times New Roman" w:eastAsia="Times New Roman" w:cs="Times New Roman"/>
          <w:spacing w:val="10"/>
          <w:sz w:val="25"/>
          <w:szCs w:val="25"/>
        </w:rPr>
        <w:t>12</w:t>
      </w:r>
      <w:r>
        <w:rPr>
          <w:rFonts w:ascii="仿宋" w:hAnsi="仿宋" w:eastAsia="仿宋" w:cs="仿宋"/>
          <w:spacing w:val="10"/>
          <w:sz w:val="25"/>
          <w:szCs w:val="25"/>
        </w:rPr>
        <w:t>）《关于建立以国家公园为主体的自然保护地体系的指导意见》（中</w:t>
      </w:r>
      <w:r>
        <w:rPr>
          <w:rFonts w:ascii="仿宋" w:hAnsi="仿宋" w:eastAsia="仿宋" w:cs="仿宋"/>
          <w:spacing w:val="11"/>
          <w:sz w:val="25"/>
          <w:szCs w:val="25"/>
        </w:rPr>
        <w:t xml:space="preserve"> </w:t>
      </w:r>
      <w:r>
        <w:rPr>
          <w:rFonts w:ascii="仿宋" w:hAnsi="仿宋" w:eastAsia="仿宋" w:cs="仿宋"/>
          <w:spacing w:val="3"/>
          <w:sz w:val="25"/>
          <w:szCs w:val="25"/>
        </w:rPr>
        <w:t>共中央办公厅</w:t>
      </w:r>
      <w:r>
        <w:rPr>
          <w:rFonts w:ascii="仿宋" w:hAnsi="仿宋" w:eastAsia="仿宋" w:cs="仿宋"/>
          <w:spacing w:val="53"/>
          <w:sz w:val="25"/>
          <w:szCs w:val="25"/>
        </w:rPr>
        <w:t xml:space="preserve"> </w:t>
      </w:r>
      <w:r>
        <w:rPr>
          <w:rFonts w:ascii="仿宋" w:hAnsi="仿宋" w:eastAsia="仿宋" w:cs="仿宋"/>
          <w:spacing w:val="3"/>
          <w:sz w:val="25"/>
          <w:szCs w:val="25"/>
        </w:rPr>
        <w:t>国务院办公厅，</w:t>
      </w:r>
      <w:r>
        <w:rPr>
          <w:rFonts w:ascii="Times New Roman" w:hAnsi="Times New Roman" w:eastAsia="Times New Roman" w:cs="Times New Roman"/>
          <w:spacing w:val="3"/>
          <w:sz w:val="25"/>
          <w:szCs w:val="25"/>
        </w:rPr>
        <w:t>2019</w:t>
      </w:r>
      <w:r>
        <w:rPr>
          <w:rFonts w:ascii="Times New Roman" w:hAnsi="Times New Roman" w:eastAsia="Times New Roman" w:cs="Times New Roman"/>
          <w:spacing w:val="24"/>
          <w:w w:val="101"/>
          <w:sz w:val="25"/>
          <w:szCs w:val="25"/>
        </w:rPr>
        <w:t xml:space="preserve"> </w:t>
      </w:r>
      <w:r>
        <w:rPr>
          <w:rFonts w:ascii="仿宋" w:hAnsi="仿宋" w:eastAsia="仿宋" w:cs="仿宋"/>
          <w:spacing w:val="3"/>
          <w:sz w:val="25"/>
          <w:szCs w:val="25"/>
        </w:rPr>
        <w:t>年</w:t>
      </w:r>
      <w:r>
        <w:rPr>
          <w:rFonts w:ascii="仿宋" w:hAnsi="仿宋" w:eastAsia="仿宋" w:cs="仿宋"/>
          <w:spacing w:val="-47"/>
          <w:sz w:val="25"/>
          <w:szCs w:val="25"/>
        </w:rPr>
        <w:t xml:space="preserve"> </w:t>
      </w:r>
      <w:r>
        <w:rPr>
          <w:rFonts w:ascii="Times New Roman" w:hAnsi="Times New Roman" w:eastAsia="Times New Roman" w:cs="Times New Roman"/>
          <w:spacing w:val="3"/>
          <w:sz w:val="25"/>
          <w:szCs w:val="25"/>
        </w:rPr>
        <w:t>6</w:t>
      </w:r>
      <w:r>
        <w:rPr>
          <w:rFonts w:ascii="Times New Roman" w:hAnsi="Times New Roman" w:eastAsia="Times New Roman" w:cs="Times New Roman"/>
          <w:spacing w:val="32"/>
          <w:sz w:val="25"/>
          <w:szCs w:val="25"/>
        </w:rPr>
        <w:t xml:space="preserve"> </w:t>
      </w:r>
      <w:r>
        <w:rPr>
          <w:rFonts w:ascii="仿宋" w:hAnsi="仿宋" w:eastAsia="仿宋" w:cs="仿宋"/>
          <w:spacing w:val="3"/>
          <w:sz w:val="25"/>
          <w:szCs w:val="25"/>
        </w:rPr>
        <w:t>月</w:t>
      </w:r>
      <w:r>
        <w:rPr>
          <w:rFonts w:ascii="仿宋" w:hAnsi="仿宋" w:eastAsia="仿宋" w:cs="仿宋"/>
          <w:spacing w:val="-10"/>
          <w:sz w:val="25"/>
          <w:szCs w:val="25"/>
        </w:rPr>
        <w:t>）；</w:t>
      </w:r>
    </w:p>
    <w:p w14:paraId="109F93C6">
      <w:pPr>
        <w:spacing w:before="150" w:line="285" w:lineRule="auto"/>
        <w:ind w:left="26" w:right="68" w:firstLine="474"/>
        <w:rPr>
          <w:rFonts w:ascii="仿宋" w:hAnsi="仿宋" w:eastAsia="仿宋" w:cs="仿宋"/>
          <w:sz w:val="25"/>
          <w:szCs w:val="25"/>
        </w:rPr>
      </w:pPr>
      <w:r>
        <w:rPr>
          <w:rFonts w:ascii="仿宋" w:hAnsi="仿宋" w:eastAsia="仿宋" w:cs="仿宋"/>
          <w:spacing w:val="10"/>
          <w:sz w:val="25"/>
          <w:szCs w:val="25"/>
        </w:rPr>
        <w:t>（</w:t>
      </w:r>
      <w:r>
        <w:rPr>
          <w:rFonts w:ascii="Times New Roman" w:hAnsi="Times New Roman" w:eastAsia="Times New Roman" w:cs="Times New Roman"/>
          <w:spacing w:val="10"/>
          <w:sz w:val="25"/>
          <w:szCs w:val="25"/>
        </w:rPr>
        <w:t>13</w:t>
      </w:r>
      <w:r>
        <w:rPr>
          <w:rFonts w:ascii="仿宋" w:hAnsi="仿宋" w:eastAsia="仿宋" w:cs="仿宋"/>
          <w:spacing w:val="10"/>
          <w:sz w:val="25"/>
          <w:szCs w:val="25"/>
        </w:rPr>
        <w:t>）《关于加强规划环境影响评价与建设项目环境影响评价联动工作的</w:t>
      </w:r>
      <w:r>
        <w:rPr>
          <w:rFonts w:ascii="仿宋" w:hAnsi="仿宋" w:eastAsia="仿宋" w:cs="仿宋"/>
          <w:spacing w:val="11"/>
          <w:sz w:val="25"/>
          <w:szCs w:val="25"/>
        </w:rPr>
        <w:t xml:space="preserve"> </w:t>
      </w:r>
      <w:r>
        <w:rPr>
          <w:rFonts w:ascii="仿宋" w:hAnsi="仿宋" w:eastAsia="仿宋" w:cs="仿宋"/>
          <w:spacing w:val="4"/>
          <w:sz w:val="25"/>
          <w:szCs w:val="25"/>
        </w:rPr>
        <w:t>意见》（环发〔</w:t>
      </w:r>
      <w:r>
        <w:rPr>
          <w:rFonts w:ascii="Times New Roman" w:hAnsi="Times New Roman" w:eastAsia="Times New Roman" w:cs="Times New Roman"/>
          <w:spacing w:val="4"/>
          <w:sz w:val="25"/>
          <w:szCs w:val="25"/>
        </w:rPr>
        <w:t>2015</w:t>
      </w:r>
      <w:r>
        <w:rPr>
          <w:rFonts w:ascii="仿宋" w:hAnsi="仿宋" w:eastAsia="仿宋" w:cs="仿宋"/>
          <w:spacing w:val="4"/>
          <w:sz w:val="25"/>
          <w:szCs w:val="25"/>
        </w:rPr>
        <w:t>〕</w:t>
      </w:r>
      <w:r>
        <w:rPr>
          <w:rFonts w:ascii="Times New Roman" w:hAnsi="Times New Roman" w:eastAsia="Times New Roman" w:cs="Times New Roman"/>
          <w:spacing w:val="4"/>
          <w:sz w:val="25"/>
          <w:szCs w:val="25"/>
        </w:rPr>
        <w:t>178</w:t>
      </w:r>
      <w:r>
        <w:rPr>
          <w:rFonts w:ascii="Times New Roman" w:hAnsi="Times New Roman" w:eastAsia="Times New Roman" w:cs="Times New Roman"/>
          <w:spacing w:val="26"/>
          <w:sz w:val="25"/>
          <w:szCs w:val="25"/>
        </w:rPr>
        <w:t xml:space="preserve"> </w:t>
      </w:r>
      <w:r>
        <w:rPr>
          <w:rFonts w:ascii="仿宋" w:hAnsi="仿宋" w:eastAsia="仿宋" w:cs="仿宋"/>
          <w:spacing w:val="4"/>
          <w:sz w:val="25"/>
          <w:szCs w:val="25"/>
        </w:rPr>
        <w:t>号）；</w:t>
      </w:r>
    </w:p>
    <w:p w14:paraId="5567229E">
      <w:pPr>
        <w:spacing w:before="148" w:line="229" w:lineRule="auto"/>
        <w:ind w:left="500"/>
        <w:rPr>
          <w:rFonts w:ascii="仿宋" w:hAnsi="仿宋" w:eastAsia="仿宋" w:cs="仿宋"/>
          <w:sz w:val="25"/>
          <w:szCs w:val="25"/>
        </w:rPr>
      </w:pPr>
      <w:r>
        <w:rPr>
          <w:rFonts w:ascii="仿宋" w:hAnsi="仿宋" w:eastAsia="仿宋" w:cs="仿宋"/>
          <w:spacing w:val="6"/>
          <w:sz w:val="25"/>
          <w:szCs w:val="25"/>
        </w:rPr>
        <w:t>（</w:t>
      </w:r>
      <w:r>
        <w:rPr>
          <w:rFonts w:ascii="Times New Roman" w:hAnsi="Times New Roman" w:eastAsia="Times New Roman" w:cs="Times New Roman"/>
          <w:spacing w:val="6"/>
          <w:sz w:val="25"/>
          <w:szCs w:val="25"/>
        </w:rPr>
        <w:t>14</w:t>
      </w:r>
      <w:r>
        <w:rPr>
          <w:rFonts w:ascii="仿宋" w:hAnsi="仿宋" w:eastAsia="仿宋" w:cs="仿宋"/>
          <w:spacing w:val="6"/>
          <w:sz w:val="25"/>
          <w:szCs w:val="25"/>
        </w:rPr>
        <w:t>）《产业结构调整指导目录（</w:t>
      </w:r>
      <w:r>
        <w:rPr>
          <w:rFonts w:ascii="Times New Roman" w:hAnsi="Times New Roman" w:eastAsia="Times New Roman" w:cs="Times New Roman"/>
          <w:spacing w:val="6"/>
          <w:sz w:val="25"/>
          <w:szCs w:val="25"/>
        </w:rPr>
        <w:t>2024</w:t>
      </w:r>
      <w:r>
        <w:rPr>
          <w:rFonts w:ascii="Times New Roman" w:hAnsi="Times New Roman" w:eastAsia="Times New Roman" w:cs="Times New Roman"/>
          <w:spacing w:val="34"/>
          <w:w w:val="101"/>
          <w:sz w:val="25"/>
          <w:szCs w:val="25"/>
        </w:rPr>
        <w:t xml:space="preserve"> </w:t>
      </w:r>
      <w:r>
        <w:rPr>
          <w:rFonts w:ascii="仿宋" w:hAnsi="仿宋" w:eastAsia="仿宋" w:cs="仿宋"/>
          <w:spacing w:val="6"/>
          <w:sz w:val="25"/>
          <w:szCs w:val="25"/>
        </w:rPr>
        <w:t>年本）》；</w:t>
      </w:r>
    </w:p>
    <w:p w14:paraId="09C83D35">
      <w:pPr>
        <w:spacing w:before="150" w:line="285" w:lineRule="auto"/>
        <w:ind w:left="31" w:right="68" w:firstLine="469"/>
        <w:rPr>
          <w:rFonts w:ascii="仿宋" w:hAnsi="仿宋" w:eastAsia="仿宋" w:cs="仿宋"/>
          <w:sz w:val="25"/>
          <w:szCs w:val="25"/>
        </w:rPr>
      </w:pPr>
      <w:r>
        <w:rPr>
          <w:rFonts w:ascii="仿宋" w:hAnsi="仿宋" w:eastAsia="仿宋" w:cs="仿宋"/>
          <w:spacing w:val="5"/>
          <w:sz w:val="25"/>
          <w:szCs w:val="25"/>
        </w:rPr>
        <w:t>（</w:t>
      </w:r>
      <w:r>
        <w:rPr>
          <w:rFonts w:ascii="Times New Roman" w:hAnsi="Times New Roman" w:eastAsia="Times New Roman" w:cs="Times New Roman"/>
          <w:spacing w:val="5"/>
          <w:sz w:val="25"/>
          <w:szCs w:val="25"/>
        </w:rPr>
        <w:t>15</w:t>
      </w:r>
      <w:r>
        <w:rPr>
          <w:rFonts w:ascii="仿宋" w:hAnsi="仿宋" w:eastAsia="仿宋" w:cs="仿宋"/>
          <w:spacing w:val="5"/>
          <w:sz w:val="25"/>
          <w:szCs w:val="25"/>
        </w:rPr>
        <w:t>）《关于进一步加强生物多样性保护的意见》（中共中央办公</w:t>
      </w:r>
      <w:r>
        <w:rPr>
          <w:rFonts w:ascii="仿宋" w:hAnsi="仿宋" w:eastAsia="仿宋" w:cs="仿宋"/>
          <w:spacing w:val="4"/>
          <w:sz w:val="25"/>
          <w:szCs w:val="25"/>
        </w:rPr>
        <w:t>厅</w:t>
      </w:r>
      <w:r>
        <w:rPr>
          <w:rFonts w:ascii="仿宋" w:hAnsi="仿宋" w:eastAsia="仿宋" w:cs="仿宋"/>
          <w:spacing w:val="54"/>
          <w:sz w:val="25"/>
          <w:szCs w:val="25"/>
        </w:rPr>
        <w:t xml:space="preserve"> </w:t>
      </w:r>
      <w:r>
        <w:rPr>
          <w:rFonts w:ascii="仿宋" w:hAnsi="仿宋" w:eastAsia="仿宋" w:cs="仿宋"/>
          <w:spacing w:val="4"/>
          <w:sz w:val="25"/>
          <w:szCs w:val="25"/>
        </w:rPr>
        <w:t>国务</w:t>
      </w:r>
      <w:r>
        <w:rPr>
          <w:rFonts w:ascii="仿宋" w:hAnsi="仿宋" w:eastAsia="仿宋" w:cs="仿宋"/>
          <w:sz w:val="25"/>
          <w:szCs w:val="25"/>
        </w:rPr>
        <w:t xml:space="preserve"> </w:t>
      </w:r>
      <w:r>
        <w:rPr>
          <w:rFonts w:ascii="仿宋" w:hAnsi="仿宋" w:eastAsia="仿宋" w:cs="仿宋"/>
          <w:spacing w:val="-3"/>
          <w:sz w:val="25"/>
          <w:szCs w:val="25"/>
        </w:rPr>
        <w:t>院办公厅，</w:t>
      </w:r>
      <w:r>
        <w:rPr>
          <w:rFonts w:ascii="Times New Roman" w:hAnsi="Times New Roman" w:eastAsia="Times New Roman" w:cs="Times New Roman"/>
          <w:spacing w:val="-3"/>
          <w:sz w:val="25"/>
          <w:szCs w:val="25"/>
        </w:rPr>
        <w:t>2021</w:t>
      </w:r>
      <w:r>
        <w:rPr>
          <w:rFonts w:ascii="Times New Roman" w:hAnsi="Times New Roman" w:eastAsia="Times New Roman" w:cs="Times New Roman"/>
          <w:spacing w:val="27"/>
          <w:w w:val="101"/>
          <w:sz w:val="25"/>
          <w:szCs w:val="25"/>
        </w:rPr>
        <w:t xml:space="preserve"> </w:t>
      </w:r>
      <w:r>
        <w:rPr>
          <w:rFonts w:ascii="仿宋" w:hAnsi="仿宋" w:eastAsia="仿宋" w:cs="仿宋"/>
          <w:spacing w:val="-3"/>
          <w:sz w:val="25"/>
          <w:szCs w:val="25"/>
        </w:rPr>
        <w:t>年</w:t>
      </w:r>
      <w:r>
        <w:rPr>
          <w:rFonts w:ascii="仿宋" w:hAnsi="仿宋" w:eastAsia="仿宋" w:cs="仿宋"/>
          <w:spacing w:val="-30"/>
          <w:sz w:val="25"/>
          <w:szCs w:val="25"/>
        </w:rPr>
        <w:t xml:space="preserve"> </w:t>
      </w:r>
      <w:r>
        <w:rPr>
          <w:rFonts w:ascii="Times New Roman" w:hAnsi="Times New Roman" w:eastAsia="Times New Roman" w:cs="Times New Roman"/>
          <w:spacing w:val="-3"/>
          <w:sz w:val="25"/>
          <w:szCs w:val="25"/>
        </w:rPr>
        <w:t>10</w:t>
      </w:r>
      <w:r>
        <w:rPr>
          <w:rFonts w:ascii="Times New Roman" w:hAnsi="Times New Roman" w:eastAsia="Times New Roman" w:cs="Times New Roman"/>
          <w:spacing w:val="32"/>
          <w:sz w:val="25"/>
          <w:szCs w:val="25"/>
        </w:rPr>
        <w:t xml:space="preserve"> </w:t>
      </w:r>
      <w:r>
        <w:rPr>
          <w:rFonts w:ascii="仿宋" w:hAnsi="仿宋" w:eastAsia="仿宋" w:cs="仿宋"/>
          <w:spacing w:val="-3"/>
          <w:sz w:val="25"/>
          <w:szCs w:val="25"/>
        </w:rPr>
        <w:t>月</w:t>
      </w:r>
      <w:r>
        <w:rPr>
          <w:rFonts w:ascii="仿宋" w:hAnsi="仿宋" w:eastAsia="仿宋" w:cs="仿宋"/>
          <w:spacing w:val="-28"/>
          <w:sz w:val="25"/>
          <w:szCs w:val="25"/>
        </w:rPr>
        <w:t xml:space="preserve"> </w:t>
      </w:r>
      <w:r>
        <w:rPr>
          <w:rFonts w:ascii="Times New Roman" w:hAnsi="Times New Roman" w:eastAsia="Times New Roman" w:cs="Times New Roman"/>
          <w:spacing w:val="-3"/>
          <w:sz w:val="25"/>
          <w:szCs w:val="25"/>
        </w:rPr>
        <w:t xml:space="preserve">19  </w:t>
      </w:r>
      <w:r>
        <w:rPr>
          <w:rFonts w:ascii="仿宋" w:hAnsi="仿宋" w:eastAsia="仿宋" w:cs="仿宋"/>
          <w:spacing w:val="-3"/>
          <w:sz w:val="25"/>
          <w:szCs w:val="25"/>
        </w:rPr>
        <w:t>日</w:t>
      </w:r>
      <w:r>
        <w:rPr>
          <w:rFonts w:ascii="仿宋" w:hAnsi="仿宋" w:eastAsia="仿宋" w:cs="仿宋"/>
          <w:spacing w:val="-17"/>
          <w:sz w:val="25"/>
          <w:szCs w:val="25"/>
        </w:rPr>
        <w:t>）；</w:t>
      </w:r>
    </w:p>
    <w:p w14:paraId="03A141DC">
      <w:pPr>
        <w:spacing w:before="148" w:line="285" w:lineRule="auto"/>
        <w:ind w:left="43" w:right="68" w:firstLine="457"/>
        <w:rPr>
          <w:rFonts w:ascii="仿宋" w:hAnsi="仿宋" w:eastAsia="仿宋" w:cs="仿宋"/>
          <w:sz w:val="25"/>
          <w:szCs w:val="25"/>
        </w:rPr>
      </w:pPr>
      <w:r>
        <w:rPr>
          <w:rFonts w:ascii="仿宋" w:hAnsi="仿宋" w:eastAsia="仿宋" w:cs="仿宋"/>
          <w:spacing w:val="11"/>
          <w:sz w:val="25"/>
          <w:szCs w:val="25"/>
        </w:rPr>
        <w:t>（</w:t>
      </w:r>
      <w:r>
        <w:rPr>
          <w:rFonts w:ascii="Times New Roman" w:hAnsi="Times New Roman" w:eastAsia="Times New Roman" w:cs="Times New Roman"/>
          <w:spacing w:val="11"/>
          <w:sz w:val="25"/>
          <w:szCs w:val="25"/>
        </w:rPr>
        <w:t>16</w:t>
      </w:r>
      <w:r>
        <w:rPr>
          <w:rFonts w:ascii="仿宋" w:hAnsi="仿宋" w:eastAsia="仿宋" w:cs="仿宋"/>
          <w:spacing w:val="11"/>
          <w:sz w:val="25"/>
          <w:szCs w:val="25"/>
        </w:rPr>
        <w:t>）</w:t>
      </w:r>
      <w:r>
        <w:rPr>
          <w:rFonts w:ascii="仿宋" w:hAnsi="仿宋" w:eastAsia="仿宋" w:cs="仿宋"/>
          <w:spacing w:val="-99"/>
          <w:sz w:val="25"/>
          <w:szCs w:val="25"/>
        </w:rPr>
        <w:t xml:space="preserve"> </w:t>
      </w:r>
      <w:r>
        <w:rPr>
          <w:rFonts w:ascii="仿宋" w:hAnsi="仿宋" w:eastAsia="仿宋" w:cs="仿宋"/>
          <w:spacing w:val="11"/>
          <w:sz w:val="25"/>
          <w:szCs w:val="25"/>
        </w:rPr>
        <w:t>《中共中央</w:t>
      </w:r>
      <w:r>
        <w:rPr>
          <w:rFonts w:ascii="仿宋" w:hAnsi="仿宋" w:eastAsia="仿宋" w:cs="仿宋"/>
          <w:spacing w:val="64"/>
          <w:sz w:val="25"/>
          <w:szCs w:val="25"/>
        </w:rPr>
        <w:t xml:space="preserve"> </w:t>
      </w:r>
      <w:r>
        <w:rPr>
          <w:rFonts w:ascii="仿宋" w:hAnsi="仿宋" w:eastAsia="仿宋" w:cs="仿宋"/>
          <w:spacing w:val="11"/>
          <w:sz w:val="25"/>
          <w:szCs w:val="25"/>
        </w:rPr>
        <w:t>国务院关于深入打好污染防治攻坚战的意</w:t>
      </w:r>
      <w:r>
        <w:rPr>
          <w:rFonts w:ascii="仿宋" w:hAnsi="仿宋" w:eastAsia="仿宋" w:cs="仿宋"/>
          <w:spacing w:val="10"/>
          <w:sz w:val="25"/>
          <w:szCs w:val="25"/>
        </w:rPr>
        <w:t>见》</w:t>
      </w:r>
      <w:r>
        <w:rPr>
          <w:rFonts w:ascii="仿宋" w:hAnsi="仿宋" w:eastAsia="仿宋" w:cs="仿宋"/>
          <w:spacing w:val="-96"/>
          <w:sz w:val="25"/>
          <w:szCs w:val="25"/>
        </w:rPr>
        <w:t xml:space="preserve"> </w:t>
      </w:r>
      <w:r>
        <w:rPr>
          <w:rFonts w:ascii="仿宋" w:hAnsi="仿宋" w:eastAsia="仿宋" w:cs="仿宋"/>
          <w:spacing w:val="10"/>
          <w:sz w:val="25"/>
          <w:szCs w:val="25"/>
        </w:rPr>
        <w:t>（中发</w:t>
      </w:r>
      <w:r>
        <w:rPr>
          <w:rFonts w:ascii="仿宋" w:hAnsi="仿宋" w:eastAsia="仿宋" w:cs="仿宋"/>
          <w:sz w:val="25"/>
          <w:szCs w:val="25"/>
        </w:rPr>
        <w:t xml:space="preserve"> </w:t>
      </w:r>
      <w:r>
        <w:rPr>
          <w:rFonts w:ascii="仿宋" w:hAnsi="仿宋" w:eastAsia="仿宋" w:cs="仿宋"/>
          <w:spacing w:val="-1"/>
          <w:sz w:val="25"/>
          <w:szCs w:val="25"/>
        </w:rPr>
        <w:t>〔</w:t>
      </w:r>
      <w:r>
        <w:rPr>
          <w:rFonts w:ascii="Times New Roman" w:hAnsi="Times New Roman" w:eastAsia="Times New Roman" w:cs="Times New Roman"/>
          <w:spacing w:val="-1"/>
          <w:sz w:val="25"/>
          <w:szCs w:val="25"/>
        </w:rPr>
        <w:t>2021</w:t>
      </w:r>
      <w:r>
        <w:rPr>
          <w:rFonts w:ascii="仿宋" w:hAnsi="仿宋" w:eastAsia="仿宋" w:cs="仿宋"/>
          <w:spacing w:val="-1"/>
          <w:sz w:val="25"/>
          <w:szCs w:val="25"/>
        </w:rPr>
        <w:t>〕</w:t>
      </w:r>
      <w:r>
        <w:rPr>
          <w:rFonts w:ascii="Times New Roman" w:hAnsi="Times New Roman" w:eastAsia="Times New Roman" w:cs="Times New Roman"/>
          <w:spacing w:val="-1"/>
          <w:sz w:val="25"/>
          <w:szCs w:val="25"/>
        </w:rPr>
        <w:t>40</w:t>
      </w:r>
      <w:r>
        <w:rPr>
          <w:rFonts w:ascii="Times New Roman" w:hAnsi="Times New Roman" w:eastAsia="Times New Roman" w:cs="Times New Roman"/>
          <w:spacing w:val="26"/>
          <w:sz w:val="25"/>
          <w:szCs w:val="25"/>
        </w:rPr>
        <w:t xml:space="preserve"> </w:t>
      </w:r>
      <w:r>
        <w:rPr>
          <w:rFonts w:ascii="仿宋" w:hAnsi="仿宋" w:eastAsia="仿宋" w:cs="仿宋"/>
          <w:spacing w:val="-1"/>
          <w:sz w:val="25"/>
          <w:szCs w:val="25"/>
        </w:rPr>
        <w:t>号</w:t>
      </w:r>
      <w:r>
        <w:rPr>
          <w:rFonts w:ascii="仿宋" w:hAnsi="仿宋" w:eastAsia="仿宋" w:cs="仿宋"/>
          <w:sz w:val="25"/>
          <w:szCs w:val="25"/>
        </w:rPr>
        <w:t>）；</w:t>
      </w:r>
    </w:p>
    <w:p w14:paraId="4586CDB6">
      <w:pPr>
        <w:spacing w:before="149" w:line="283" w:lineRule="auto"/>
        <w:ind w:left="21" w:right="29" w:firstLine="479"/>
        <w:rPr>
          <w:rFonts w:ascii="仿宋" w:hAnsi="仿宋" w:eastAsia="仿宋" w:cs="仿宋"/>
          <w:sz w:val="25"/>
          <w:szCs w:val="25"/>
        </w:rPr>
      </w:pPr>
      <w:r>
        <w:rPr>
          <w:rFonts w:ascii="仿宋" w:hAnsi="仿宋" w:eastAsia="仿宋" w:cs="仿宋"/>
          <w:spacing w:val="9"/>
          <w:sz w:val="25"/>
          <w:szCs w:val="25"/>
        </w:rPr>
        <w:t>（</w:t>
      </w:r>
      <w:r>
        <w:rPr>
          <w:rFonts w:ascii="Times New Roman" w:hAnsi="Times New Roman" w:eastAsia="Times New Roman" w:cs="Times New Roman"/>
          <w:spacing w:val="9"/>
          <w:sz w:val="25"/>
          <w:szCs w:val="25"/>
        </w:rPr>
        <w:t>17</w:t>
      </w:r>
      <w:r>
        <w:rPr>
          <w:rFonts w:ascii="仿宋" w:hAnsi="仿宋" w:eastAsia="仿宋" w:cs="仿宋"/>
          <w:spacing w:val="9"/>
          <w:sz w:val="25"/>
          <w:szCs w:val="25"/>
        </w:rPr>
        <w:t>）《国土资源部、工业和信息化部、财政</w:t>
      </w:r>
      <w:r>
        <w:rPr>
          <w:rFonts w:ascii="仿宋" w:hAnsi="仿宋" w:eastAsia="仿宋" w:cs="仿宋"/>
          <w:spacing w:val="8"/>
          <w:sz w:val="25"/>
          <w:szCs w:val="25"/>
        </w:rPr>
        <w:t>部、环保部、</w:t>
      </w:r>
      <w:r>
        <w:rPr>
          <w:rFonts w:ascii="仿宋" w:hAnsi="仿宋" w:eastAsia="仿宋" w:cs="仿宋"/>
          <w:spacing w:val="-69"/>
          <w:sz w:val="25"/>
          <w:szCs w:val="25"/>
        </w:rPr>
        <w:t xml:space="preserve"> </w:t>
      </w:r>
      <w:r>
        <w:rPr>
          <w:rFonts w:ascii="仿宋" w:hAnsi="仿宋" w:eastAsia="仿宋" w:cs="仿宋"/>
          <w:spacing w:val="8"/>
          <w:sz w:val="25"/>
          <w:szCs w:val="25"/>
        </w:rPr>
        <w:t>国家能源局关</w:t>
      </w:r>
      <w:r>
        <w:rPr>
          <w:rFonts w:ascii="仿宋" w:hAnsi="仿宋" w:eastAsia="仿宋" w:cs="仿宋"/>
          <w:sz w:val="25"/>
          <w:szCs w:val="25"/>
        </w:rPr>
        <w:t xml:space="preserve"> </w:t>
      </w:r>
      <w:r>
        <w:rPr>
          <w:rFonts w:ascii="仿宋" w:hAnsi="仿宋" w:eastAsia="仿宋" w:cs="仿宋"/>
          <w:spacing w:val="7"/>
          <w:sz w:val="25"/>
          <w:szCs w:val="25"/>
        </w:rPr>
        <w:t>于加强矿山地质环境恢复和综合治理的指导意见》（国土资发〔</w:t>
      </w:r>
      <w:r>
        <w:rPr>
          <w:rFonts w:ascii="Times New Roman" w:hAnsi="Times New Roman" w:eastAsia="Times New Roman" w:cs="Times New Roman"/>
          <w:spacing w:val="7"/>
          <w:sz w:val="25"/>
          <w:szCs w:val="25"/>
        </w:rPr>
        <w:t>2016</w:t>
      </w:r>
      <w:r>
        <w:rPr>
          <w:rFonts w:ascii="仿宋" w:hAnsi="仿宋" w:eastAsia="仿宋" w:cs="仿宋"/>
          <w:spacing w:val="7"/>
          <w:sz w:val="25"/>
          <w:szCs w:val="25"/>
        </w:rPr>
        <w:t>〕</w:t>
      </w:r>
      <w:r>
        <w:rPr>
          <w:rFonts w:ascii="Times New Roman" w:hAnsi="Times New Roman" w:eastAsia="Times New Roman" w:cs="Times New Roman"/>
          <w:spacing w:val="7"/>
          <w:sz w:val="25"/>
          <w:szCs w:val="25"/>
        </w:rPr>
        <w:t>63</w:t>
      </w:r>
      <w:r>
        <w:rPr>
          <w:rFonts w:ascii="Times New Roman" w:hAnsi="Times New Roman" w:eastAsia="Times New Roman" w:cs="Times New Roman"/>
          <w:spacing w:val="37"/>
          <w:sz w:val="25"/>
          <w:szCs w:val="25"/>
        </w:rPr>
        <w:t xml:space="preserve"> </w:t>
      </w:r>
      <w:r>
        <w:rPr>
          <w:rFonts w:ascii="仿宋" w:hAnsi="仿宋" w:eastAsia="仿宋" w:cs="仿宋"/>
          <w:spacing w:val="7"/>
          <w:sz w:val="25"/>
          <w:szCs w:val="25"/>
        </w:rPr>
        <w:t>号）</w:t>
      </w:r>
    </w:p>
    <w:p w14:paraId="03413ED1">
      <w:pPr>
        <w:spacing w:before="153" w:line="284" w:lineRule="auto"/>
        <w:ind w:left="21" w:right="73" w:firstLine="520"/>
        <w:rPr>
          <w:rFonts w:ascii="仿宋" w:hAnsi="仿宋" w:eastAsia="仿宋" w:cs="仿宋"/>
          <w:sz w:val="25"/>
          <w:szCs w:val="25"/>
        </w:rPr>
      </w:pPr>
      <w:r>
        <w:rPr>
          <w:rFonts w:ascii="仿宋" w:hAnsi="仿宋" w:eastAsia="仿宋" w:cs="仿宋"/>
          <w:spacing w:val="8"/>
          <w:sz w:val="25"/>
          <w:szCs w:val="25"/>
        </w:rPr>
        <w:t>（</w:t>
      </w:r>
      <w:r>
        <w:rPr>
          <w:rFonts w:ascii="Times New Roman" w:hAnsi="Times New Roman" w:eastAsia="Times New Roman" w:cs="Times New Roman"/>
          <w:spacing w:val="8"/>
          <w:sz w:val="25"/>
          <w:szCs w:val="25"/>
        </w:rPr>
        <w:t>18</w:t>
      </w:r>
      <w:r>
        <w:rPr>
          <w:rFonts w:ascii="仿宋" w:hAnsi="仿宋" w:eastAsia="仿宋" w:cs="仿宋"/>
          <w:spacing w:val="8"/>
          <w:sz w:val="25"/>
          <w:szCs w:val="25"/>
        </w:rPr>
        <w:t>）《中共中央国务院印发成渝地区双城经济圈建设规划纲要》（</w:t>
      </w:r>
      <w:r>
        <w:rPr>
          <w:rFonts w:ascii="Times New Roman" w:hAnsi="Times New Roman" w:eastAsia="Times New Roman" w:cs="Times New Roman"/>
          <w:spacing w:val="8"/>
          <w:sz w:val="25"/>
          <w:szCs w:val="25"/>
        </w:rPr>
        <w:t>2021</w:t>
      </w:r>
      <w:r>
        <w:rPr>
          <w:rFonts w:ascii="Times New Roman" w:hAnsi="Times New Roman" w:eastAsia="Times New Roman" w:cs="Times New Roman"/>
          <w:spacing w:val="15"/>
          <w:w w:val="101"/>
          <w:sz w:val="25"/>
          <w:szCs w:val="25"/>
        </w:rPr>
        <w:t xml:space="preserve"> </w:t>
      </w:r>
      <w:r>
        <w:rPr>
          <w:rFonts w:ascii="仿宋" w:hAnsi="仿宋" w:eastAsia="仿宋" w:cs="仿宋"/>
          <w:spacing w:val="-8"/>
          <w:sz w:val="25"/>
          <w:szCs w:val="25"/>
        </w:rPr>
        <w:t>年</w:t>
      </w:r>
      <w:r>
        <w:rPr>
          <w:rFonts w:ascii="仿宋" w:hAnsi="仿宋" w:eastAsia="仿宋" w:cs="仿宋"/>
          <w:spacing w:val="-26"/>
          <w:sz w:val="25"/>
          <w:szCs w:val="25"/>
        </w:rPr>
        <w:t xml:space="preserve"> </w:t>
      </w:r>
      <w:r>
        <w:rPr>
          <w:rFonts w:ascii="Times New Roman" w:hAnsi="Times New Roman" w:eastAsia="Times New Roman" w:cs="Times New Roman"/>
          <w:spacing w:val="-8"/>
          <w:sz w:val="25"/>
          <w:szCs w:val="25"/>
        </w:rPr>
        <w:t>10</w:t>
      </w:r>
      <w:r>
        <w:rPr>
          <w:rFonts w:ascii="Times New Roman" w:hAnsi="Times New Roman" w:eastAsia="Times New Roman" w:cs="Times New Roman"/>
          <w:spacing w:val="32"/>
          <w:sz w:val="25"/>
          <w:szCs w:val="25"/>
        </w:rPr>
        <w:t xml:space="preserve"> </w:t>
      </w:r>
      <w:r>
        <w:rPr>
          <w:rFonts w:ascii="仿宋" w:hAnsi="仿宋" w:eastAsia="仿宋" w:cs="仿宋"/>
          <w:spacing w:val="-8"/>
          <w:sz w:val="25"/>
          <w:szCs w:val="25"/>
        </w:rPr>
        <w:t>月</w:t>
      </w:r>
      <w:r>
        <w:rPr>
          <w:rFonts w:ascii="仿宋" w:hAnsi="仿宋" w:eastAsia="仿宋" w:cs="仿宋"/>
          <w:spacing w:val="-55"/>
          <w:sz w:val="25"/>
          <w:szCs w:val="25"/>
        </w:rPr>
        <w:t xml:space="preserve"> </w:t>
      </w:r>
      <w:r>
        <w:rPr>
          <w:rFonts w:ascii="Times New Roman" w:hAnsi="Times New Roman" w:eastAsia="Times New Roman" w:cs="Times New Roman"/>
          <w:spacing w:val="-8"/>
          <w:sz w:val="25"/>
          <w:szCs w:val="25"/>
        </w:rPr>
        <w:t>20</w:t>
      </w:r>
      <w:r>
        <w:rPr>
          <w:rFonts w:ascii="Times New Roman" w:hAnsi="Times New Roman" w:eastAsia="Times New Roman" w:cs="Times New Roman"/>
          <w:spacing w:val="29"/>
          <w:w w:val="101"/>
          <w:sz w:val="25"/>
          <w:szCs w:val="25"/>
        </w:rPr>
        <w:t xml:space="preserve"> </w:t>
      </w:r>
      <w:r>
        <w:rPr>
          <w:rFonts w:ascii="仿宋" w:hAnsi="仿宋" w:eastAsia="仿宋" w:cs="仿宋"/>
          <w:spacing w:val="-8"/>
          <w:sz w:val="25"/>
          <w:szCs w:val="25"/>
        </w:rPr>
        <w:t>发布</w:t>
      </w:r>
      <w:r>
        <w:rPr>
          <w:rFonts w:ascii="仿宋" w:hAnsi="仿宋" w:eastAsia="仿宋" w:cs="仿宋"/>
          <w:spacing w:val="2"/>
          <w:sz w:val="25"/>
          <w:szCs w:val="25"/>
        </w:rPr>
        <w:t>）；</w:t>
      </w:r>
    </w:p>
    <w:p w14:paraId="256F2CF8">
      <w:pPr>
        <w:spacing w:line="284" w:lineRule="auto"/>
        <w:rPr>
          <w:rFonts w:ascii="仿宋" w:hAnsi="仿宋" w:eastAsia="仿宋" w:cs="仿宋"/>
          <w:sz w:val="25"/>
          <w:szCs w:val="25"/>
        </w:rPr>
        <w:sectPr>
          <w:footerReference r:id="rId17" w:type="default"/>
          <w:pgSz w:w="11906" w:h="16839"/>
          <w:pgMar w:top="1116" w:right="1407" w:bottom="1477" w:left="1587" w:header="683" w:footer="1318" w:gutter="0"/>
          <w:cols w:space="720" w:num="1"/>
        </w:sectPr>
      </w:pPr>
    </w:p>
    <w:p w14:paraId="16B4315B">
      <w:pPr>
        <w:pStyle w:val="2"/>
        <w:spacing w:line="385" w:lineRule="auto"/>
      </w:pPr>
    </w:p>
    <w:p w14:paraId="784F3741">
      <w:pPr>
        <w:spacing w:before="82" w:line="227" w:lineRule="auto"/>
        <w:jc w:val="right"/>
        <w:rPr>
          <w:rFonts w:ascii="仿宋" w:hAnsi="仿宋" w:eastAsia="仿宋" w:cs="仿宋"/>
          <w:sz w:val="25"/>
          <w:szCs w:val="25"/>
        </w:rPr>
      </w:pPr>
      <w:r>
        <w:rPr>
          <w:rFonts w:ascii="仿宋" w:hAnsi="仿宋" w:eastAsia="仿宋" w:cs="仿宋"/>
          <w:spacing w:val="3"/>
          <w:sz w:val="25"/>
          <w:szCs w:val="25"/>
        </w:rPr>
        <w:t>（</w:t>
      </w:r>
      <w:r>
        <w:rPr>
          <w:rFonts w:ascii="Times New Roman" w:hAnsi="Times New Roman" w:eastAsia="Times New Roman" w:cs="Times New Roman"/>
          <w:spacing w:val="3"/>
          <w:sz w:val="25"/>
          <w:szCs w:val="25"/>
        </w:rPr>
        <w:t>19</w:t>
      </w:r>
      <w:r>
        <w:rPr>
          <w:rFonts w:ascii="仿宋" w:hAnsi="仿宋" w:eastAsia="仿宋" w:cs="仿宋"/>
          <w:spacing w:val="3"/>
          <w:sz w:val="25"/>
          <w:szCs w:val="25"/>
        </w:rPr>
        <w:t>）《关于划定并严守生态保护红线的若干意见》（厅字〔</w:t>
      </w:r>
      <w:r>
        <w:rPr>
          <w:rFonts w:ascii="Times New Roman" w:hAnsi="Times New Roman" w:eastAsia="Times New Roman" w:cs="Times New Roman"/>
          <w:spacing w:val="3"/>
          <w:sz w:val="25"/>
          <w:szCs w:val="25"/>
        </w:rPr>
        <w:t>2017</w:t>
      </w:r>
      <w:r>
        <w:rPr>
          <w:rFonts w:ascii="仿宋" w:hAnsi="仿宋" w:eastAsia="仿宋" w:cs="仿宋"/>
          <w:spacing w:val="3"/>
          <w:sz w:val="25"/>
          <w:szCs w:val="25"/>
        </w:rPr>
        <w:t>〕</w:t>
      </w:r>
      <w:r>
        <w:rPr>
          <w:rFonts w:ascii="Times New Roman" w:hAnsi="Times New Roman" w:eastAsia="Times New Roman" w:cs="Times New Roman"/>
          <w:spacing w:val="3"/>
          <w:sz w:val="25"/>
          <w:szCs w:val="25"/>
        </w:rPr>
        <w:t>2</w:t>
      </w:r>
      <w:r>
        <w:rPr>
          <w:rFonts w:ascii="Times New Roman" w:hAnsi="Times New Roman" w:eastAsia="Times New Roman" w:cs="Times New Roman"/>
          <w:spacing w:val="29"/>
          <w:sz w:val="25"/>
          <w:szCs w:val="25"/>
        </w:rPr>
        <w:t xml:space="preserve"> </w:t>
      </w:r>
      <w:r>
        <w:rPr>
          <w:rFonts w:ascii="仿宋" w:hAnsi="仿宋" w:eastAsia="仿宋" w:cs="仿宋"/>
          <w:spacing w:val="3"/>
          <w:sz w:val="25"/>
          <w:szCs w:val="25"/>
        </w:rPr>
        <w:t>号</w:t>
      </w:r>
      <w:r>
        <w:rPr>
          <w:rFonts w:ascii="仿宋" w:hAnsi="仿宋" w:eastAsia="仿宋" w:cs="仿宋"/>
          <w:spacing w:val="-66"/>
          <w:w w:val="94"/>
          <w:sz w:val="25"/>
          <w:szCs w:val="25"/>
        </w:rPr>
        <w:t>）；</w:t>
      </w:r>
    </w:p>
    <w:p w14:paraId="7CB47817">
      <w:pPr>
        <w:spacing w:before="153" w:line="283" w:lineRule="auto"/>
        <w:ind w:left="24" w:right="115" w:firstLine="476"/>
        <w:rPr>
          <w:rFonts w:ascii="仿宋" w:hAnsi="仿宋" w:eastAsia="仿宋" w:cs="仿宋"/>
          <w:sz w:val="25"/>
          <w:szCs w:val="25"/>
        </w:rPr>
      </w:pPr>
      <w:r>
        <w:rPr>
          <w:rFonts w:ascii="仿宋" w:hAnsi="仿宋" w:eastAsia="仿宋" w:cs="仿宋"/>
          <w:spacing w:val="8"/>
          <w:sz w:val="25"/>
          <w:szCs w:val="25"/>
        </w:rPr>
        <w:t>（</w:t>
      </w:r>
      <w:r>
        <w:rPr>
          <w:rFonts w:ascii="Times New Roman" w:hAnsi="Times New Roman" w:eastAsia="Times New Roman" w:cs="Times New Roman"/>
          <w:spacing w:val="8"/>
          <w:sz w:val="25"/>
          <w:szCs w:val="25"/>
        </w:rPr>
        <w:t>20</w:t>
      </w:r>
      <w:r>
        <w:rPr>
          <w:rFonts w:ascii="仿宋" w:hAnsi="仿宋" w:eastAsia="仿宋" w:cs="仿宋"/>
          <w:spacing w:val="8"/>
          <w:sz w:val="25"/>
          <w:szCs w:val="25"/>
        </w:rPr>
        <w:t>）《自然资源部</w:t>
      </w:r>
      <w:r>
        <w:rPr>
          <w:rFonts w:ascii="仿宋" w:hAnsi="仿宋" w:eastAsia="仿宋" w:cs="仿宋"/>
          <w:spacing w:val="40"/>
          <w:sz w:val="25"/>
          <w:szCs w:val="25"/>
        </w:rPr>
        <w:t xml:space="preserve"> </w:t>
      </w:r>
      <w:r>
        <w:rPr>
          <w:rFonts w:ascii="仿宋" w:hAnsi="仿宋" w:eastAsia="仿宋" w:cs="仿宋"/>
          <w:spacing w:val="8"/>
          <w:sz w:val="25"/>
          <w:szCs w:val="25"/>
        </w:rPr>
        <w:t>生态环境部</w:t>
      </w:r>
      <w:r>
        <w:rPr>
          <w:rFonts w:ascii="仿宋" w:hAnsi="仿宋" w:eastAsia="仿宋" w:cs="仿宋"/>
          <w:spacing w:val="54"/>
          <w:sz w:val="25"/>
          <w:szCs w:val="25"/>
        </w:rPr>
        <w:t xml:space="preserve"> </w:t>
      </w:r>
      <w:r>
        <w:rPr>
          <w:rFonts w:ascii="仿宋" w:hAnsi="仿宋" w:eastAsia="仿宋" w:cs="仿宋"/>
          <w:spacing w:val="8"/>
          <w:sz w:val="25"/>
          <w:szCs w:val="25"/>
        </w:rPr>
        <w:t>国家林业和草原局</w:t>
      </w:r>
      <w:r>
        <w:rPr>
          <w:rFonts w:ascii="仿宋" w:hAnsi="仿宋" w:eastAsia="仿宋" w:cs="仿宋"/>
          <w:spacing w:val="7"/>
          <w:sz w:val="25"/>
          <w:szCs w:val="25"/>
        </w:rPr>
        <w:t>关于加强生态保护红</w:t>
      </w:r>
      <w:r>
        <w:rPr>
          <w:rFonts w:ascii="仿宋" w:hAnsi="仿宋" w:eastAsia="仿宋" w:cs="仿宋"/>
          <w:sz w:val="25"/>
          <w:szCs w:val="25"/>
        </w:rPr>
        <w:t xml:space="preserve"> </w:t>
      </w:r>
      <w:r>
        <w:rPr>
          <w:rFonts w:ascii="仿宋" w:hAnsi="仿宋" w:eastAsia="仿宋" w:cs="仿宋"/>
          <w:spacing w:val="2"/>
          <w:sz w:val="25"/>
          <w:szCs w:val="25"/>
        </w:rPr>
        <w:t>线管理的通知（试行）》（</w:t>
      </w:r>
      <w:r>
        <w:rPr>
          <w:rFonts w:ascii="仿宋" w:hAnsi="仿宋" w:eastAsia="仿宋" w:cs="仿宋"/>
          <w:spacing w:val="-22"/>
          <w:sz w:val="25"/>
          <w:szCs w:val="25"/>
        </w:rPr>
        <w:t xml:space="preserve"> </w:t>
      </w:r>
      <w:r>
        <w:rPr>
          <w:rFonts w:ascii="仿宋" w:hAnsi="仿宋" w:eastAsia="仿宋" w:cs="仿宋"/>
          <w:spacing w:val="2"/>
          <w:sz w:val="25"/>
          <w:szCs w:val="25"/>
        </w:rPr>
        <w:t>自然资发〔</w:t>
      </w:r>
      <w:r>
        <w:rPr>
          <w:rFonts w:ascii="Times New Roman" w:hAnsi="Times New Roman" w:eastAsia="Times New Roman" w:cs="Times New Roman"/>
          <w:spacing w:val="2"/>
          <w:sz w:val="25"/>
          <w:szCs w:val="25"/>
        </w:rPr>
        <w:t>2022</w:t>
      </w:r>
      <w:r>
        <w:rPr>
          <w:rFonts w:ascii="仿宋" w:hAnsi="仿宋" w:eastAsia="仿宋" w:cs="仿宋"/>
          <w:spacing w:val="2"/>
          <w:sz w:val="25"/>
          <w:szCs w:val="25"/>
        </w:rPr>
        <w:t>〕</w:t>
      </w:r>
      <w:r>
        <w:rPr>
          <w:rFonts w:ascii="Times New Roman" w:hAnsi="Times New Roman" w:eastAsia="Times New Roman" w:cs="Times New Roman"/>
          <w:spacing w:val="2"/>
          <w:sz w:val="25"/>
          <w:szCs w:val="25"/>
        </w:rPr>
        <w:t>142</w:t>
      </w:r>
      <w:r>
        <w:rPr>
          <w:rFonts w:ascii="Times New Roman" w:hAnsi="Times New Roman" w:eastAsia="Times New Roman" w:cs="Times New Roman"/>
          <w:spacing w:val="26"/>
          <w:sz w:val="25"/>
          <w:szCs w:val="25"/>
        </w:rPr>
        <w:t xml:space="preserve"> </w:t>
      </w:r>
      <w:r>
        <w:rPr>
          <w:rFonts w:ascii="仿宋" w:hAnsi="仿宋" w:eastAsia="仿宋" w:cs="仿宋"/>
          <w:spacing w:val="2"/>
          <w:sz w:val="25"/>
          <w:szCs w:val="25"/>
        </w:rPr>
        <w:t>号</w:t>
      </w:r>
      <w:r>
        <w:rPr>
          <w:rFonts w:ascii="仿宋" w:hAnsi="仿宋" w:eastAsia="仿宋" w:cs="仿宋"/>
          <w:spacing w:val="9"/>
          <w:sz w:val="25"/>
          <w:szCs w:val="25"/>
        </w:rPr>
        <w:t>）；</w:t>
      </w:r>
    </w:p>
    <w:p w14:paraId="30FB9C77">
      <w:pPr>
        <w:spacing w:before="152" w:line="228" w:lineRule="auto"/>
        <w:jc w:val="right"/>
        <w:rPr>
          <w:rFonts w:ascii="仿宋" w:hAnsi="仿宋" w:eastAsia="仿宋" w:cs="仿宋"/>
          <w:sz w:val="25"/>
          <w:szCs w:val="25"/>
        </w:rPr>
      </w:pPr>
      <w:r>
        <w:rPr>
          <w:rFonts w:ascii="仿宋" w:hAnsi="仿宋" w:eastAsia="仿宋" w:cs="仿宋"/>
          <w:spacing w:val="3"/>
          <w:sz w:val="25"/>
          <w:szCs w:val="25"/>
        </w:rPr>
        <w:t>（</w:t>
      </w:r>
      <w:r>
        <w:rPr>
          <w:rFonts w:ascii="Times New Roman" w:hAnsi="Times New Roman" w:eastAsia="Times New Roman" w:cs="Times New Roman"/>
          <w:spacing w:val="3"/>
          <w:sz w:val="25"/>
          <w:szCs w:val="25"/>
        </w:rPr>
        <w:t>21</w:t>
      </w:r>
      <w:r>
        <w:rPr>
          <w:rFonts w:ascii="仿宋" w:hAnsi="仿宋" w:eastAsia="仿宋" w:cs="仿宋"/>
          <w:spacing w:val="3"/>
          <w:sz w:val="25"/>
          <w:szCs w:val="25"/>
        </w:rPr>
        <w:t>）《矿山生态环境保护与污染防治技术政策》（环发〔</w:t>
      </w:r>
      <w:r>
        <w:rPr>
          <w:rFonts w:ascii="Times New Roman" w:hAnsi="Times New Roman" w:eastAsia="Times New Roman" w:cs="Times New Roman"/>
          <w:spacing w:val="3"/>
          <w:sz w:val="25"/>
          <w:szCs w:val="25"/>
        </w:rPr>
        <w:t>2005</w:t>
      </w:r>
      <w:r>
        <w:rPr>
          <w:rFonts w:ascii="仿宋" w:hAnsi="仿宋" w:eastAsia="仿宋" w:cs="仿宋"/>
          <w:spacing w:val="3"/>
          <w:sz w:val="25"/>
          <w:szCs w:val="25"/>
        </w:rPr>
        <w:t>〕</w:t>
      </w:r>
      <w:r>
        <w:rPr>
          <w:rFonts w:ascii="Times New Roman" w:hAnsi="Times New Roman" w:eastAsia="Times New Roman" w:cs="Times New Roman"/>
          <w:spacing w:val="3"/>
          <w:sz w:val="25"/>
          <w:szCs w:val="25"/>
        </w:rPr>
        <w:t>109</w:t>
      </w:r>
      <w:r>
        <w:rPr>
          <w:rFonts w:ascii="Times New Roman" w:hAnsi="Times New Roman" w:eastAsia="Times New Roman" w:cs="Times New Roman"/>
          <w:spacing w:val="29"/>
          <w:sz w:val="25"/>
          <w:szCs w:val="25"/>
        </w:rPr>
        <w:t xml:space="preserve"> </w:t>
      </w:r>
      <w:r>
        <w:rPr>
          <w:rFonts w:ascii="仿宋" w:hAnsi="仿宋" w:eastAsia="仿宋" w:cs="仿宋"/>
          <w:spacing w:val="3"/>
          <w:sz w:val="25"/>
          <w:szCs w:val="25"/>
        </w:rPr>
        <w:t>号</w:t>
      </w:r>
      <w:r>
        <w:rPr>
          <w:rFonts w:ascii="仿宋" w:hAnsi="仿宋" w:eastAsia="仿宋" w:cs="仿宋"/>
          <w:spacing w:val="-65"/>
          <w:w w:val="93"/>
          <w:sz w:val="25"/>
          <w:szCs w:val="25"/>
        </w:rPr>
        <w:t>）；</w:t>
      </w:r>
    </w:p>
    <w:p w14:paraId="736864DA">
      <w:pPr>
        <w:spacing w:before="152" w:line="284" w:lineRule="auto"/>
        <w:ind w:left="23" w:right="115" w:firstLine="477"/>
        <w:rPr>
          <w:rFonts w:ascii="仿宋" w:hAnsi="仿宋" w:eastAsia="仿宋" w:cs="仿宋"/>
          <w:sz w:val="25"/>
          <w:szCs w:val="25"/>
        </w:rPr>
      </w:pPr>
      <w:r>
        <w:rPr>
          <w:rFonts w:ascii="仿宋" w:hAnsi="仿宋" w:eastAsia="仿宋" w:cs="仿宋"/>
          <w:spacing w:val="9"/>
          <w:sz w:val="25"/>
          <w:szCs w:val="25"/>
        </w:rPr>
        <w:t>（</w:t>
      </w:r>
      <w:r>
        <w:rPr>
          <w:rFonts w:ascii="Times New Roman" w:hAnsi="Times New Roman" w:eastAsia="Times New Roman" w:cs="Times New Roman"/>
          <w:spacing w:val="9"/>
          <w:sz w:val="25"/>
          <w:szCs w:val="25"/>
        </w:rPr>
        <w:t>22</w:t>
      </w:r>
      <w:r>
        <w:rPr>
          <w:rFonts w:ascii="仿宋" w:hAnsi="仿宋" w:eastAsia="仿宋" w:cs="仿宋"/>
          <w:spacing w:val="9"/>
          <w:sz w:val="25"/>
          <w:szCs w:val="25"/>
        </w:rPr>
        <w:t>）《国土资源部、财政部、环境保护部、</w:t>
      </w:r>
      <w:r>
        <w:rPr>
          <w:rFonts w:ascii="仿宋" w:hAnsi="仿宋" w:eastAsia="仿宋" w:cs="仿宋"/>
          <w:spacing w:val="-69"/>
          <w:sz w:val="25"/>
          <w:szCs w:val="25"/>
        </w:rPr>
        <w:t xml:space="preserve"> </w:t>
      </w:r>
      <w:r>
        <w:rPr>
          <w:rFonts w:ascii="仿宋" w:hAnsi="仿宋" w:eastAsia="仿宋" w:cs="仿宋"/>
          <w:spacing w:val="8"/>
          <w:sz w:val="25"/>
          <w:szCs w:val="25"/>
        </w:rPr>
        <w:t>国家质检总局、银监会、证</w:t>
      </w:r>
      <w:r>
        <w:rPr>
          <w:rFonts w:ascii="仿宋" w:hAnsi="仿宋" w:eastAsia="仿宋" w:cs="仿宋"/>
          <w:sz w:val="25"/>
          <w:szCs w:val="25"/>
        </w:rPr>
        <w:t xml:space="preserve"> </w:t>
      </w:r>
      <w:r>
        <w:rPr>
          <w:rFonts w:ascii="仿宋" w:hAnsi="仿宋" w:eastAsia="仿宋" w:cs="仿宋"/>
          <w:spacing w:val="7"/>
          <w:sz w:val="25"/>
          <w:szCs w:val="25"/>
        </w:rPr>
        <w:t>监会</w:t>
      </w:r>
      <w:r>
        <w:rPr>
          <w:rFonts w:ascii="Times New Roman" w:hAnsi="Times New Roman" w:eastAsia="Times New Roman" w:cs="Times New Roman"/>
          <w:spacing w:val="7"/>
          <w:sz w:val="25"/>
          <w:szCs w:val="25"/>
        </w:rPr>
        <w:t>&lt;</w:t>
      </w:r>
      <w:r>
        <w:rPr>
          <w:rFonts w:ascii="仿宋" w:hAnsi="仿宋" w:eastAsia="仿宋" w:cs="仿宋"/>
          <w:spacing w:val="7"/>
          <w:sz w:val="25"/>
          <w:szCs w:val="25"/>
        </w:rPr>
        <w:t>关于加快建设绿色矿山的实施意见</w:t>
      </w:r>
      <w:r>
        <w:rPr>
          <w:rFonts w:ascii="Times New Roman" w:hAnsi="Times New Roman" w:eastAsia="Times New Roman" w:cs="Times New Roman"/>
          <w:spacing w:val="7"/>
          <w:sz w:val="25"/>
          <w:szCs w:val="25"/>
        </w:rPr>
        <w:t>&gt;</w:t>
      </w:r>
      <w:r>
        <w:rPr>
          <w:rFonts w:ascii="仿宋" w:hAnsi="仿宋" w:eastAsia="仿宋" w:cs="仿宋"/>
          <w:spacing w:val="7"/>
          <w:sz w:val="25"/>
          <w:szCs w:val="25"/>
        </w:rPr>
        <w:t>》（国土资规〔</w:t>
      </w:r>
      <w:r>
        <w:rPr>
          <w:rFonts w:ascii="Times New Roman" w:hAnsi="Times New Roman" w:eastAsia="Times New Roman" w:cs="Times New Roman"/>
          <w:spacing w:val="7"/>
          <w:sz w:val="25"/>
          <w:szCs w:val="25"/>
        </w:rPr>
        <w:t>2017</w:t>
      </w:r>
      <w:r>
        <w:rPr>
          <w:rFonts w:ascii="仿宋" w:hAnsi="仿宋" w:eastAsia="仿宋" w:cs="仿宋"/>
          <w:spacing w:val="7"/>
          <w:sz w:val="25"/>
          <w:szCs w:val="25"/>
        </w:rPr>
        <w:t>〕</w:t>
      </w:r>
      <w:r>
        <w:rPr>
          <w:rFonts w:ascii="Times New Roman" w:hAnsi="Times New Roman" w:eastAsia="Times New Roman" w:cs="Times New Roman"/>
          <w:spacing w:val="7"/>
          <w:sz w:val="25"/>
          <w:szCs w:val="25"/>
        </w:rPr>
        <w:t>4</w:t>
      </w:r>
      <w:r>
        <w:rPr>
          <w:rFonts w:ascii="Times New Roman" w:hAnsi="Times New Roman" w:eastAsia="Times New Roman" w:cs="Times New Roman"/>
          <w:spacing w:val="28"/>
          <w:w w:val="101"/>
          <w:sz w:val="25"/>
          <w:szCs w:val="25"/>
        </w:rPr>
        <w:t xml:space="preserve"> </w:t>
      </w:r>
      <w:r>
        <w:rPr>
          <w:rFonts w:ascii="仿宋" w:hAnsi="仿宋" w:eastAsia="仿宋" w:cs="仿宋"/>
          <w:spacing w:val="7"/>
          <w:sz w:val="25"/>
          <w:szCs w:val="25"/>
        </w:rPr>
        <w:t>号）；</w:t>
      </w:r>
    </w:p>
    <w:p w14:paraId="249571EB">
      <w:pPr>
        <w:spacing w:before="149" w:line="285" w:lineRule="auto"/>
        <w:ind w:left="4" w:right="173" w:firstLine="496"/>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23</w:t>
      </w:r>
      <w:r>
        <w:rPr>
          <w:rFonts w:ascii="仿宋" w:hAnsi="仿宋" w:eastAsia="仿宋" w:cs="仿宋"/>
          <w:spacing w:val="7"/>
          <w:sz w:val="25"/>
          <w:szCs w:val="25"/>
        </w:rPr>
        <w:t>）《工矿用地土壤环境管理办法（试行）》（生态环境部令第</w:t>
      </w:r>
      <w:r>
        <w:rPr>
          <w:rFonts w:ascii="仿宋" w:hAnsi="仿宋" w:eastAsia="仿宋" w:cs="仿宋"/>
          <w:spacing w:val="-39"/>
          <w:sz w:val="25"/>
          <w:szCs w:val="25"/>
        </w:rPr>
        <w:t xml:space="preserve"> </w:t>
      </w:r>
      <w:r>
        <w:rPr>
          <w:rFonts w:ascii="Times New Roman" w:hAnsi="Times New Roman" w:eastAsia="Times New Roman" w:cs="Times New Roman"/>
          <w:spacing w:val="7"/>
          <w:sz w:val="25"/>
          <w:szCs w:val="25"/>
        </w:rPr>
        <w:t>3</w:t>
      </w:r>
      <w:r>
        <w:rPr>
          <w:rFonts w:ascii="Times New Roman" w:hAnsi="Times New Roman" w:eastAsia="Times New Roman" w:cs="Times New Roman"/>
          <w:spacing w:val="28"/>
          <w:sz w:val="25"/>
          <w:szCs w:val="25"/>
        </w:rPr>
        <w:t xml:space="preserve"> </w:t>
      </w:r>
      <w:r>
        <w:rPr>
          <w:rFonts w:ascii="仿宋" w:hAnsi="仿宋" w:eastAsia="仿宋" w:cs="仿宋"/>
          <w:spacing w:val="7"/>
          <w:sz w:val="25"/>
          <w:szCs w:val="25"/>
        </w:rPr>
        <w:t>号，</w:t>
      </w:r>
      <w:r>
        <w:rPr>
          <w:rFonts w:ascii="仿宋" w:hAnsi="仿宋" w:eastAsia="仿宋" w:cs="仿宋"/>
          <w:sz w:val="25"/>
          <w:szCs w:val="25"/>
        </w:rPr>
        <w:t xml:space="preserve"> </w:t>
      </w:r>
      <w:r>
        <w:rPr>
          <w:rFonts w:ascii="Times New Roman" w:hAnsi="Times New Roman" w:eastAsia="Times New Roman" w:cs="Times New Roman"/>
          <w:spacing w:val="-7"/>
          <w:sz w:val="25"/>
          <w:szCs w:val="25"/>
        </w:rPr>
        <w:t>2018</w:t>
      </w:r>
      <w:r>
        <w:rPr>
          <w:rFonts w:ascii="Times New Roman" w:hAnsi="Times New Roman" w:eastAsia="Times New Roman" w:cs="Times New Roman"/>
          <w:spacing w:val="27"/>
          <w:w w:val="101"/>
          <w:sz w:val="25"/>
          <w:szCs w:val="25"/>
        </w:rPr>
        <w:t xml:space="preserve"> </w:t>
      </w:r>
      <w:r>
        <w:rPr>
          <w:rFonts w:ascii="仿宋" w:hAnsi="仿宋" w:eastAsia="仿宋" w:cs="仿宋"/>
          <w:spacing w:val="-7"/>
          <w:sz w:val="25"/>
          <w:szCs w:val="25"/>
        </w:rPr>
        <w:t>年</w:t>
      </w:r>
      <w:r>
        <w:rPr>
          <w:rFonts w:ascii="仿宋" w:hAnsi="仿宋" w:eastAsia="仿宋" w:cs="仿宋"/>
          <w:spacing w:val="-48"/>
          <w:sz w:val="25"/>
          <w:szCs w:val="25"/>
        </w:rPr>
        <w:t xml:space="preserve"> </w:t>
      </w:r>
      <w:r>
        <w:rPr>
          <w:rFonts w:ascii="Times New Roman" w:hAnsi="Times New Roman" w:eastAsia="Times New Roman" w:cs="Times New Roman"/>
          <w:spacing w:val="-7"/>
          <w:sz w:val="25"/>
          <w:szCs w:val="25"/>
        </w:rPr>
        <w:t>5</w:t>
      </w:r>
      <w:r>
        <w:rPr>
          <w:rFonts w:ascii="Times New Roman" w:hAnsi="Times New Roman" w:eastAsia="Times New Roman" w:cs="Times New Roman"/>
          <w:spacing w:val="34"/>
          <w:w w:val="101"/>
          <w:sz w:val="25"/>
          <w:szCs w:val="25"/>
        </w:rPr>
        <w:t xml:space="preserve"> </w:t>
      </w:r>
      <w:r>
        <w:rPr>
          <w:rFonts w:ascii="仿宋" w:hAnsi="仿宋" w:eastAsia="仿宋" w:cs="仿宋"/>
          <w:spacing w:val="-7"/>
          <w:sz w:val="25"/>
          <w:szCs w:val="25"/>
        </w:rPr>
        <w:t>月</w:t>
      </w:r>
      <w:r>
        <w:rPr>
          <w:rFonts w:ascii="仿宋" w:hAnsi="仿宋" w:eastAsia="仿宋" w:cs="仿宋"/>
          <w:spacing w:val="-50"/>
          <w:sz w:val="25"/>
          <w:szCs w:val="25"/>
        </w:rPr>
        <w:t xml:space="preserve"> </w:t>
      </w:r>
      <w:r>
        <w:rPr>
          <w:rFonts w:ascii="Times New Roman" w:hAnsi="Times New Roman" w:eastAsia="Times New Roman" w:cs="Times New Roman"/>
          <w:spacing w:val="-7"/>
          <w:sz w:val="25"/>
          <w:szCs w:val="25"/>
        </w:rPr>
        <w:t>3</w:t>
      </w:r>
      <w:r>
        <w:rPr>
          <w:rFonts w:ascii="Times New Roman" w:hAnsi="Times New Roman" w:eastAsia="Times New Roman" w:cs="Times New Roman"/>
          <w:spacing w:val="6"/>
          <w:sz w:val="25"/>
          <w:szCs w:val="25"/>
        </w:rPr>
        <w:t xml:space="preserve">  </w:t>
      </w:r>
      <w:r>
        <w:rPr>
          <w:rFonts w:ascii="仿宋" w:hAnsi="仿宋" w:eastAsia="仿宋" w:cs="仿宋"/>
          <w:spacing w:val="-7"/>
          <w:sz w:val="25"/>
          <w:szCs w:val="25"/>
        </w:rPr>
        <w:t>日</w:t>
      </w:r>
      <w:r>
        <w:rPr>
          <w:rFonts w:ascii="仿宋" w:hAnsi="仿宋" w:eastAsia="仿宋" w:cs="仿宋"/>
          <w:spacing w:val="-16"/>
          <w:sz w:val="25"/>
          <w:szCs w:val="25"/>
        </w:rPr>
        <w:t>）；</w:t>
      </w:r>
    </w:p>
    <w:p w14:paraId="06B2C3AA">
      <w:pPr>
        <w:spacing w:before="147" w:line="285" w:lineRule="auto"/>
        <w:ind w:left="21" w:right="115" w:firstLine="479"/>
        <w:rPr>
          <w:rFonts w:ascii="仿宋" w:hAnsi="仿宋" w:eastAsia="仿宋" w:cs="仿宋"/>
          <w:sz w:val="25"/>
          <w:szCs w:val="25"/>
        </w:rPr>
      </w:pPr>
      <w:r>
        <w:rPr>
          <w:rFonts w:ascii="仿宋" w:hAnsi="仿宋" w:eastAsia="仿宋" w:cs="仿宋"/>
          <w:spacing w:val="6"/>
          <w:sz w:val="25"/>
          <w:szCs w:val="25"/>
        </w:rPr>
        <w:t>（</w:t>
      </w:r>
      <w:r>
        <w:rPr>
          <w:rFonts w:ascii="Times New Roman" w:hAnsi="Times New Roman" w:eastAsia="Times New Roman" w:cs="Times New Roman"/>
          <w:spacing w:val="6"/>
          <w:sz w:val="25"/>
          <w:szCs w:val="25"/>
        </w:rPr>
        <w:t>24</w:t>
      </w:r>
      <w:r>
        <w:rPr>
          <w:rFonts w:ascii="仿宋" w:hAnsi="仿宋" w:eastAsia="仿宋" w:cs="仿宋"/>
          <w:spacing w:val="6"/>
          <w:sz w:val="25"/>
          <w:szCs w:val="25"/>
        </w:rPr>
        <w:t>）《自然资源部 农业农村部关于加强和改进永久基本农田保护工作的</w:t>
      </w:r>
      <w:r>
        <w:rPr>
          <w:rFonts w:ascii="仿宋" w:hAnsi="仿宋" w:eastAsia="仿宋" w:cs="仿宋"/>
          <w:spacing w:val="11"/>
          <w:sz w:val="25"/>
          <w:szCs w:val="25"/>
        </w:rPr>
        <w:t xml:space="preserve"> </w:t>
      </w:r>
      <w:r>
        <w:rPr>
          <w:rFonts w:ascii="仿宋" w:hAnsi="仿宋" w:eastAsia="仿宋" w:cs="仿宋"/>
          <w:spacing w:val="-3"/>
          <w:sz w:val="25"/>
          <w:szCs w:val="25"/>
        </w:rPr>
        <w:t>通知》（ 自然资规〔</w:t>
      </w:r>
      <w:r>
        <w:rPr>
          <w:rFonts w:ascii="Times New Roman" w:hAnsi="Times New Roman" w:eastAsia="Times New Roman" w:cs="Times New Roman"/>
          <w:spacing w:val="-3"/>
          <w:sz w:val="25"/>
          <w:szCs w:val="25"/>
        </w:rPr>
        <w:t>2019</w:t>
      </w:r>
      <w:r>
        <w:rPr>
          <w:rFonts w:ascii="仿宋" w:hAnsi="仿宋" w:eastAsia="仿宋" w:cs="仿宋"/>
          <w:spacing w:val="-3"/>
          <w:sz w:val="25"/>
          <w:szCs w:val="25"/>
        </w:rPr>
        <w:t>〕</w:t>
      </w:r>
      <w:r>
        <w:rPr>
          <w:rFonts w:ascii="Times New Roman" w:hAnsi="Times New Roman" w:eastAsia="Times New Roman" w:cs="Times New Roman"/>
          <w:spacing w:val="-3"/>
          <w:sz w:val="25"/>
          <w:szCs w:val="25"/>
        </w:rPr>
        <w:t>1</w:t>
      </w:r>
      <w:r>
        <w:rPr>
          <w:rFonts w:ascii="Times New Roman" w:hAnsi="Times New Roman" w:eastAsia="Times New Roman" w:cs="Times New Roman"/>
          <w:spacing w:val="26"/>
          <w:w w:val="101"/>
          <w:sz w:val="25"/>
          <w:szCs w:val="25"/>
        </w:rPr>
        <w:t xml:space="preserve"> </w:t>
      </w:r>
      <w:r>
        <w:rPr>
          <w:rFonts w:ascii="仿宋" w:hAnsi="仿宋" w:eastAsia="仿宋" w:cs="仿宋"/>
          <w:spacing w:val="-3"/>
          <w:sz w:val="25"/>
          <w:szCs w:val="25"/>
        </w:rPr>
        <w:t>号</w:t>
      </w:r>
      <w:r>
        <w:rPr>
          <w:rFonts w:ascii="仿宋" w:hAnsi="仿宋" w:eastAsia="仿宋" w:cs="仿宋"/>
          <w:spacing w:val="6"/>
          <w:sz w:val="25"/>
          <w:szCs w:val="25"/>
        </w:rPr>
        <w:t>）；</w:t>
      </w:r>
    </w:p>
    <w:p w14:paraId="7B7EBAF7">
      <w:pPr>
        <w:spacing w:before="150" w:line="229" w:lineRule="auto"/>
        <w:ind w:left="500"/>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25</w:t>
      </w:r>
      <w:r>
        <w:rPr>
          <w:rFonts w:ascii="仿宋" w:hAnsi="仿宋" w:eastAsia="仿宋" w:cs="仿宋"/>
          <w:spacing w:val="7"/>
          <w:sz w:val="25"/>
          <w:szCs w:val="25"/>
        </w:rPr>
        <w:t>）《国家级公益林管理办法》（林资发〔</w:t>
      </w:r>
      <w:r>
        <w:rPr>
          <w:rFonts w:ascii="Times New Roman" w:hAnsi="Times New Roman" w:eastAsia="Times New Roman" w:cs="Times New Roman"/>
          <w:spacing w:val="7"/>
          <w:sz w:val="25"/>
          <w:szCs w:val="25"/>
        </w:rPr>
        <w:t>2017</w:t>
      </w:r>
      <w:r>
        <w:rPr>
          <w:rFonts w:ascii="仿宋" w:hAnsi="仿宋" w:eastAsia="仿宋" w:cs="仿宋"/>
          <w:spacing w:val="7"/>
          <w:sz w:val="25"/>
          <w:szCs w:val="25"/>
        </w:rPr>
        <w:t>〕</w:t>
      </w:r>
      <w:r>
        <w:rPr>
          <w:rFonts w:ascii="Times New Roman" w:hAnsi="Times New Roman" w:eastAsia="Times New Roman" w:cs="Times New Roman"/>
          <w:spacing w:val="7"/>
          <w:sz w:val="25"/>
          <w:szCs w:val="25"/>
        </w:rPr>
        <w:t>34</w:t>
      </w:r>
      <w:r>
        <w:rPr>
          <w:rFonts w:ascii="Times New Roman" w:hAnsi="Times New Roman" w:eastAsia="Times New Roman" w:cs="Times New Roman"/>
          <w:spacing w:val="25"/>
          <w:w w:val="101"/>
          <w:sz w:val="25"/>
          <w:szCs w:val="25"/>
        </w:rPr>
        <w:t xml:space="preserve"> </w:t>
      </w:r>
      <w:r>
        <w:rPr>
          <w:rFonts w:ascii="仿宋" w:hAnsi="仿宋" w:eastAsia="仿宋" w:cs="仿宋"/>
          <w:spacing w:val="7"/>
          <w:sz w:val="25"/>
          <w:szCs w:val="25"/>
        </w:rPr>
        <w:t>号</w:t>
      </w:r>
      <w:r>
        <w:rPr>
          <w:rFonts w:ascii="仿宋" w:hAnsi="仿宋" w:eastAsia="仿宋" w:cs="仿宋"/>
          <w:sz w:val="25"/>
          <w:szCs w:val="25"/>
        </w:rPr>
        <w:t>）；</w:t>
      </w:r>
    </w:p>
    <w:p w14:paraId="2C1F9A20">
      <w:pPr>
        <w:spacing w:before="147" w:line="285" w:lineRule="auto"/>
        <w:ind w:left="29" w:right="32" w:firstLine="471"/>
        <w:rPr>
          <w:rFonts w:ascii="仿宋" w:hAnsi="仿宋" w:eastAsia="仿宋" w:cs="仿宋"/>
          <w:sz w:val="25"/>
          <w:szCs w:val="25"/>
        </w:rPr>
      </w:pPr>
      <w:r>
        <w:rPr>
          <w:rFonts w:ascii="仿宋" w:hAnsi="仿宋" w:eastAsia="仿宋" w:cs="仿宋"/>
          <w:spacing w:val="-2"/>
          <w:sz w:val="25"/>
          <w:szCs w:val="25"/>
        </w:rPr>
        <w:t>（</w:t>
      </w:r>
      <w:r>
        <w:rPr>
          <w:rFonts w:ascii="Times New Roman" w:hAnsi="Times New Roman" w:eastAsia="Times New Roman" w:cs="Times New Roman"/>
          <w:spacing w:val="-2"/>
          <w:sz w:val="25"/>
          <w:szCs w:val="25"/>
        </w:rPr>
        <w:t>26</w:t>
      </w:r>
      <w:r>
        <w:rPr>
          <w:rFonts w:ascii="仿宋" w:hAnsi="仿宋" w:eastAsia="仿宋" w:cs="仿宋"/>
          <w:spacing w:val="-2"/>
          <w:sz w:val="25"/>
          <w:szCs w:val="25"/>
        </w:rPr>
        <w:t>）《关于做好生物多样性保护优先区域有关工作的通知》（环发〔</w:t>
      </w:r>
      <w:r>
        <w:rPr>
          <w:rFonts w:ascii="Times New Roman" w:hAnsi="Times New Roman" w:eastAsia="Times New Roman" w:cs="Times New Roman"/>
          <w:spacing w:val="-2"/>
          <w:sz w:val="25"/>
          <w:szCs w:val="25"/>
        </w:rPr>
        <w:t>20</w:t>
      </w:r>
      <w:r>
        <w:rPr>
          <w:rFonts w:ascii="Times New Roman" w:hAnsi="Times New Roman" w:eastAsia="Times New Roman" w:cs="Times New Roman"/>
          <w:spacing w:val="-3"/>
          <w:sz w:val="25"/>
          <w:szCs w:val="25"/>
        </w:rPr>
        <w:t>15</w:t>
      </w:r>
      <w:r>
        <w:rPr>
          <w:rFonts w:ascii="仿宋" w:hAnsi="仿宋" w:eastAsia="仿宋" w:cs="仿宋"/>
          <w:spacing w:val="-3"/>
          <w:sz w:val="25"/>
          <w:szCs w:val="25"/>
        </w:rPr>
        <w:t>〕</w:t>
      </w:r>
      <w:r>
        <w:rPr>
          <w:rFonts w:ascii="仿宋" w:hAnsi="仿宋" w:eastAsia="仿宋" w:cs="仿宋"/>
          <w:sz w:val="25"/>
          <w:szCs w:val="25"/>
        </w:rPr>
        <w:t xml:space="preserve"> </w:t>
      </w:r>
      <w:r>
        <w:rPr>
          <w:rFonts w:ascii="Times New Roman" w:hAnsi="Times New Roman" w:eastAsia="Times New Roman" w:cs="Times New Roman"/>
          <w:spacing w:val="-8"/>
          <w:sz w:val="25"/>
          <w:szCs w:val="25"/>
        </w:rPr>
        <w:t>177</w:t>
      </w:r>
      <w:r>
        <w:rPr>
          <w:rFonts w:ascii="Times New Roman" w:hAnsi="Times New Roman" w:eastAsia="Times New Roman" w:cs="Times New Roman"/>
          <w:spacing w:val="28"/>
          <w:sz w:val="25"/>
          <w:szCs w:val="25"/>
        </w:rPr>
        <w:t xml:space="preserve"> </w:t>
      </w:r>
      <w:r>
        <w:rPr>
          <w:rFonts w:ascii="仿宋" w:hAnsi="仿宋" w:eastAsia="仿宋" w:cs="仿宋"/>
          <w:spacing w:val="-8"/>
          <w:sz w:val="25"/>
          <w:szCs w:val="25"/>
        </w:rPr>
        <w:t>号</w:t>
      </w:r>
      <w:r>
        <w:rPr>
          <w:rFonts w:ascii="仿宋" w:hAnsi="仿宋" w:eastAsia="仿宋" w:cs="仿宋"/>
          <w:sz w:val="25"/>
          <w:szCs w:val="25"/>
        </w:rPr>
        <w:t>）；</w:t>
      </w:r>
    </w:p>
    <w:p w14:paraId="22C2DB61">
      <w:pPr>
        <w:spacing w:before="150" w:line="284" w:lineRule="auto"/>
        <w:ind w:left="29" w:right="32" w:firstLine="471"/>
        <w:rPr>
          <w:rFonts w:ascii="仿宋" w:hAnsi="仿宋" w:eastAsia="仿宋" w:cs="仿宋"/>
          <w:sz w:val="25"/>
          <w:szCs w:val="25"/>
        </w:rPr>
      </w:pPr>
      <w:r>
        <w:rPr>
          <w:rFonts w:ascii="仿宋" w:hAnsi="仿宋" w:eastAsia="仿宋" w:cs="仿宋"/>
          <w:spacing w:val="-9"/>
          <w:sz w:val="25"/>
          <w:szCs w:val="25"/>
        </w:rPr>
        <w:t>（</w:t>
      </w:r>
      <w:r>
        <w:rPr>
          <w:rFonts w:ascii="Times New Roman" w:hAnsi="Times New Roman" w:eastAsia="Times New Roman" w:cs="Times New Roman"/>
          <w:spacing w:val="-9"/>
          <w:sz w:val="25"/>
          <w:szCs w:val="25"/>
        </w:rPr>
        <w:t>27</w:t>
      </w:r>
      <w:r>
        <w:rPr>
          <w:rFonts w:ascii="仿宋" w:hAnsi="仿宋" w:eastAsia="仿宋" w:cs="仿宋"/>
          <w:spacing w:val="-9"/>
          <w:sz w:val="25"/>
          <w:szCs w:val="25"/>
        </w:rPr>
        <w:t>）《关于加强国家重点生态功能区环境保护和管理的意见》（环发〔</w:t>
      </w:r>
      <w:r>
        <w:rPr>
          <w:rFonts w:ascii="Times New Roman" w:hAnsi="Times New Roman" w:eastAsia="Times New Roman" w:cs="Times New Roman"/>
          <w:spacing w:val="-9"/>
          <w:sz w:val="25"/>
          <w:szCs w:val="25"/>
        </w:rPr>
        <w:t>2013</w:t>
      </w:r>
      <w:r>
        <w:rPr>
          <w:rFonts w:ascii="仿宋" w:hAnsi="仿宋" w:eastAsia="仿宋" w:cs="仿宋"/>
          <w:spacing w:val="-9"/>
          <w:sz w:val="25"/>
          <w:szCs w:val="25"/>
        </w:rPr>
        <w:t>〕</w:t>
      </w:r>
      <w:r>
        <w:rPr>
          <w:rFonts w:ascii="仿宋" w:hAnsi="仿宋" w:eastAsia="仿宋" w:cs="仿宋"/>
          <w:spacing w:val="15"/>
          <w:sz w:val="25"/>
          <w:szCs w:val="25"/>
        </w:rPr>
        <w:t xml:space="preserve"> </w:t>
      </w:r>
      <w:r>
        <w:rPr>
          <w:rFonts w:ascii="Times New Roman" w:hAnsi="Times New Roman" w:eastAsia="Times New Roman" w:cs="Times New Roman"/>
          <w:spacing w:val="-12"/>
          <w:sz w:val="25"/>
          <w:szCs w:val="25"/>
        </w:rPr>
        <w:t>16</w:t>
      </w:r>
      <w:r>
        <w:rPr>
          <w:rFonts w:ascii="Times New Roman" w:hAnsi="Times New Roman" w:eastAsia="Times New Roman" w:cs="Times New Roman"/>
          <w:spacing w:val="28"/>
          <w:sz w:val="25"/>
          <w:szCs w:val="25"/>
        </w:rPr>
        <w:t xml:space="preserve"> </w:t>
      </w:r>
      <w:r>
        <w:rPr>
          <w:rFonts w:ascii="仿宋" w:hAnsi="仿宋" w:eastAsia="仿宋" w:cs="仿宋"/>
          <w:spacing w:val="-12"/>
          <w:sz w:val="25"/>
          <w:szCs w:val="25"/>
        </w:rPr>
        <w:t>号</w:t>
      </w:r>
      <w:r>
        <w:rPr>
          <w:rFonts w:ascii="仿宋" w:hAnsi="仿宋" w:eastAsia="仿宋" w:cs="仿宋"/>
          <w:sz w:val="25"/>
          <w:szCs w:val="25"/>
        </w:rPr>
        <w:t>）；</w:t>
      </w:r>
    </w:p>
    <w:p w14:paraId="631DEE7D">
      <w:pPr>
        <w:spacing w:before="150" w:line="285" w:lineRule="auto"/>
        <w:ind w:left="21" w:right="115" w:firstLine="479"/>
        <w:rPr>
          <w:rFonts w:ascii="仿宋" w:hAnsi="仿宋" w:eastAsia="仿宋" w:cs="仿宋"/>
          <w:sz w:val="25"/>
          <w:szCs w:val="25"/>
        </w:rPr>
      </w:pPr>
      <w:r>
        <w:rPr>
          <w:rFonts w:ascii="仿宋" w:hAnsi="仿宋" w:eastAsia="仿宋" w:cs="仿宋"/>
          <w:spacing w:val="10"/>
          <w:sz w:val="25"/>
          <w:szCs w:val="25"/>
        </w:rPr>
        <w:t>（</w:t>
      </w:r>
      <w:r>
        <w:rPr>
          <w:rFonts w:ascii="Times New Roman" w:hAnsi="Times New Roman" w:eastAsia="Times New Roman" w:cs="Times New Roman"/>
          <w:spacing w:val="10"/>
          <w:sz w:val="25"/>
          <w:szCs w:val="25"/>
        </w:rPr>
        <w:t>28</w:t>
      </w:r>
      <w:r>
        <w:rPr>
          <w:rFonts w:ascii="仿宋" w:hAnsi="仿宋" w:eastAsia="仿宋" w:cs="仿宋"/>
          <w:spacing w:val="10"/>
          <w:sz w:val="25"/>
          <w:szCs w:val="25"/>
        </w:rPr>
        <w:t>）《生态环境部关于发布〈环境影响评价公众参与办法〉配套文件的</w:t>
      </w:r>
      <w:r>
        <w:rPr>
          <w:rFonts w:ascii="仿宋" w:hAnsi="仿宋" w:eastAsia="仿宋" w:cs="仿宋"/>
          <w:spacing w:val="11"/>
          <w:sz w:val="25"/>
          <w:szCs w:val="25"/>
        </w:rPr>
        <w:t xml:space="preserve"> </w:t>
      </w:r>
      <w:r>
        <w:rPr>
          <w:rFonts w:ascii="仿宋" w:hAnsi="仿宋" w:eastAsia="仿宋" w:cs="仿宋"/>
          <w:spacing w:val="4"/>
          <w:sz w:val="25"/>
          <w:szCs w:val="25"/>
        </w:rPr>
        <w:t>公告》（生态环境部公告</w:t>
      </w:r>
      <w:r>
        <w:rPr>
          <w:rFonts w:ascii="仿宋" w:hAnsi="仿宋" w:eastAsia="仿宋" w:cs="仿宋"/>
          <w:spacing w:val="-52"/>
          <w:sz w:val="25"/>
          <w:szCs w:val="25"/>
        </w:rPr>
        <w:t xml:space="preserve"> </w:t>
      </w:r>
      <w:r>
        <w:rPr>
          <w:rFonts w:ascii="Times New Roman" w:hAnsi="Times New Roman" w:eastAsia="Times New Roman" w:cs="Times New Roman"/>
          <w:spacing w:val="4"/>
          <w:sz w:val="25"/>
          <w:szCs w:val="25"/>
        </w:rPr>
        <w:t>2018</w:t>
      </w:r>
      <w:r>
        <w:rPr>
          <w:rFonts w:ascii="Times New Roman" w:hAnsi="Times New Roman" w:eastAsia="Times New Roman" w:cs="Times New Roman"/>
          <w:spacing w:val="27"/>
          <w:sz w:val="25"/>
          <w:szCs w:val="25"/>
        </w:rPr>
        <w:t xml:space="preserve"> </w:t>
      </w:r>
      <w:r>
        <w:rPr>
          <w:rFonts w:ascii="仿宋" w:hAnsi="仿宋" w:eastAsia="仿宋" w:cs="仿宋"/>
          <w:spacing w:val="4"/>
          <w:sz w:val="25"/>
          <w:szCs w:val="25"/>
        </w:rPr>
        <w:t>年第</w:t>
      </w:r>
      <w:r>
        <w:rPr>
          <w:rFonts w:ascii="仿宋" w:hAnsi="仿宋" w:eastAsia="仿宋" w:cs="仿宋"/>
          <w:spacing w:val="-56"/>
          <w:sz w:val="25"/>
          <w:szCs w:val="25"/>
        </w:rPr>
        <w:t xml:space="preserve"> </w:t>
      </w:r>
      <w:r>
        <w:rPr>
          <w:rFonts w:ascii="Times New Roman" w:hAnsi="Times New Roman" w:eastAsia="Times New Roman" w:cs="Times New Roman"/>
          <w:spacing w:val="4"/>
          <w:sz w:val="25"/>
          <w:szCs w:val="25"/>
        </w:rPr>
        <w:t>48</w:t>
      </w:r>
      <w:r>
        <w:rPr>
          <w:rFonts w:ascii="Times New Roman" w:hAnsi="Times New Roman" w:eastAsia="Times New Roman" w:cs="Times New Roman"/>
          <w:spacing w:val="28"/>
          <w:sz w:val="25"/>
          <w:szCs w:val="25"/>
        </w:rPr>
        <w:t xml:space="preserve"> </w:t>
      </w:r>
      <w:r>
        <w:rPr>
          <w:rFonts w:ascii="仿宋" w:hAnsi="仿宋" w:eastAsia="仿宋" w:cs="仿宋"/>
          <w:spacing w:val="4"/>
          <w:sz w:val="25"/>
          <w:szCs w:val="25"/>
        </w:rPr>
        <w:t>号</w:t>
      </w:r>
      <w:r>
        <w:rPr>
          <w:rFonts w:ascii="仿宋" w:hAnsi="仿宋" w:eastAsia="仿宋" w:cs="仿宋"/>
          <w:spacing w:val="2"/>
          <w:sz w:val="25"/>
          <w:szCs w:val="25"/>
        </w:rPr>
        <w:t>）；</w:t>
      </w:r>
    </w:p>
    <w:p w14:paraId="150576B3">
      <w:pPr>
        <w:spacing w:before="148" w:line="229" w:lineRule="auto"/>
        <w:ind w:left="500"/>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29</w:t>
      </w:r>
      <w:r>
        <w:rPr>
          <w:rFonts w:ascii="仿宋" w:hAnsi="仿宋" w:eastAsia="仿宋" w:cs="仿宋"/>
          <w:spacing w:val="7"/>
          <w:sz w:val="25"/>
          <w:szCs w:val="25"/>
        </w:rPr>
        <w:t>）《环境影响评价公众参与办法》（生态环境部令第</w:t>
      </w:r>
      <w:r>
        <w:rPr>
          <w:rFonts w:ascii="仿宋" w:hAnsi="仿宋" w:eastAsia="仿宋" w:cs="仿宋"/>
          <w:spacing w:val="-54"/>
          <w:sz w:val="25"/>
          <w:szCs w:val="25"/>
        </w:rPr>
        <w:t xml:space="preserve"> </w:t>
      </w:r>
      <w:r>
        <w:rPr>
          <w:rFonts w:ascii="Times New Roman" w:hAnsi="Times New Roman" w:eastAsia="Times New Roman" w:cs="Times New Roman"/>
          <w:spacing w:val="7"/>
          <w:sz w:val="25"/>
          <w:szCs w:val="25"/>
        </w:rPr>
        <w:t>4</w:t>
      </w:r>
      <w:r>
        <w:rPr>
          <w:rFonts w:ascii="Times New Roman" w:hAnsi="Times New Roman" w:eastAsia="Times New Roman" w:cs="Times New Roman"/>
          <w:spacing w:val="26"/>
          <w:w w:val="101"/>
          <w:sz w:val="25"/>
          <w:szCs w:val="25"/>
        </w:rPr>
        <w:t xml:space="preserve"> </w:t>
      </w:r>
      <w:r>
        <w:rPr>
          <w:rFonts w:ascii="仿宋" w:hAnsi="仿宋" w:eastAsia="仿宋" w:cs="仿宋"/>
          <w:spacing w:val="7"/>
          <w:sz w:val="25"/>
          <w:szCs w:val="25"/>
        </w:rPr>
        <w:t>号</w:t>
      </w:r>
      <w:r>
        <w:rPr>
          <w:rFonts w:ascii="仿宋" w:hAnsi="仿宋" w:eastAsia="仿宋" w:cs="仿宋"/>
          <w:spacing w:val="8"/>
          <w:sz w:val="25"/>
          <w:szCs w:val="25"/>
        </w:rPr>
        <w:t>）；</w:t>
      </w:r>
    </w:p>
    <w:p w14:paraId="3E62C5BA">
      <w:pPr>
        <w:spacing w:before="150" w:line="285" w:lineRule="auto"/>
        <w:ind w:left="20" w:firstLine="480"/>
        <w:rPr>
          <w:rFonts w:ascii="仿宋" w:hAnsi="仿宋" w:eastAsia="仿宋" w:cs="仿宋"/>
          <w:sz w:val="25"/>
          <w:szCs w:val="25"/>
        </w:rPr>
      </w:pPr>
      <w:r>
        <w:rPr>
          <w:rFonts w:ascii="仿宋" w:hAnsi="仿宋" w:eastAsia="仿宋" w:cs="仿宋"/>
          <w:spacing w:val="6"/>
          <w:sz w:val="25"/>
          <w:szCs w:val="25"/>
        </w:rPr>
        <w:t>（</w:t>
      </w:r>
      <w:r>
        <w:rPr>
          <w:rFonts w:ascii="Times New Roman" w:hAnsi="Times New Roman" w:eastAsia="Times New Roman" w:cs="Times New Roman"/>
          <w:spacing w:val="6"/>
          <w:sz w:val="25"/>
          <w:szCs w:val="25"/>
        </w:rPr>
        <w:t>30</w:t>
      </w:r>
      <w:r>
        <w:rPr>
          <w:rFonts w:ascii="仿宋" w:hAnsi="仿宋" w:eastAsia="仿宋" w:cs="仿宋"/>
          <w:spacing w:val="6"/>
          <w:sz w:val="25"/>
          <w:szCs w:val="25"/>
        </w:rPr>
        <w:t>）《国务院关于加快建立健全绿色低碳循环发展经济体系的指导意见》</w:t>
      </w:r>
      <w:r>
        <w:rPr>
          <w:rFonts w:ascii="仿宋" w:hAnsi="仿宋" w:eastAsia="仿宋" w:cs="仿宋"/>
          <w:spacing w:val="2"/>
          <w:sz w:val="25"/>
          <w:szCs w:val="25"/>
        </w:rPr>
        <w:t xml:space="preserve"> </w:t>
      </w:r>
      <w:r>
        <w:rPr>
          <w:rFonts w:ascii="仿宋" w:hAnsi="仿宋" w:eastAsia="仿宋" w:cs="仿宋"/>
          <w:spacing w:val="3"/>
          <w:sz w:val="25"/>
          <w:szCs w:val="25"/>
        </w:rPr>
        <w:t>（国发〔</w:t>
      </w:r>
      <w:r>
        <w:rPr>
          <w:rFonts w:ascii="Times New Roman" w:hAnsi="Times New Roman" w:eastAsia="Times New Roman" w:cs="Times New Roman"/>
          <w:spacing w:val="3"/>
          <w:sz w:val="25"/>
          <w:szCs w:val="25"/>
        </w:rPr>
        <w:t>2021</w:t>
      </w:r>
      <w:r>
        <w:rPr>
          <w:rFonts w:ascii="仿宋" w:hAnsi="仿宋" w:eastAsia="仿宋" w:cs="仿宋"/>
          <w:spacing w:val="3"/>
          <w:sz w:val="25"/>
          <w:szCs w:val="25"/>
        </w:rPr>
        <w:t>〕</w:t>
      </w:r>
      <w:r>
        <w:rPr>
          <w:rFonts w:ascii="Times New Roman" w:hAnsi="Times New Roman" w:eastAsia="Times New Roman" w:cs="Times New Roman"/>
          <w:spacing w:val="3"/>
          <w:sz w:val="25"/>
          <w:szCs w:val="25"/>
        </w:rPr>
        <w:t>4</w:t>
      </w:r>
      <w:r>
        <w:rPr>
          <w:rFonts w:ascii="Times New Roman" w:hAnsi="Times New Roman" w:eastAsia="Times New Roman" w:cs="Times New Roman"/>
          <w:spacing w:val="25"/>
          <w:w w:val="101"/>
          <w:sz w:val="25"/>
          <w:szCs w:val="25"/>
        </w:rPr>
        <w:t xml:space="preserve"> </w:t>
      </w:r>
      <w:r>
        <w:rPr>
          <w:rFonts w:ascii="仿宋" w:hAnsi="仿宋" w:eastAsia="仿宋" w:cs="仿宋"/>
          <w:spacing w:val="3"/>
          <w:sz w:val="25"/>
          <w:szCs w:val="25"/>
        </w:rPr>
        <w:t>号）；</w:t>
      </w:r>
    </w:p>
    <w:p w14:paraId="67C9146F">
      <w:pPr>
        <w:spacing w:before="147" w:line="285" w:lineRule="auto"/>
        <w:ind w:left="43" w:right="115" w:firstLine="457"/>
        <w:rPr>
          <w:rFonts w:ascii="仿宋" w:hAnsi="仿宋" w:eastAsia="仿宋" w:cs="仿宋"/>
          <w:sz w:val="25"/>
          <w:szCs w:val="25"/>
        </w:rPr>
      </w:pPr>
      <w:r>
        <w:rPr>
          <w:rFonts w:ascii="仿宋" w:hAnsi="仿宋" w:eastAsia="仿宋" w:cs="仿宋"/>
          <w:spacing w:val="10"/>
          <w:sz w:val="25"/>
          <w:szCs w:val="25"/>
        </w:rPr>
        <w:t>（</w:t>
      </w:r>
      <w:r>
        <w:rPr>
          <w:rFonts w:ascii="Times New Roman" w:hAnsi="Times New Roman" w:eastAsia="Times New Roman" w:cs="Times New Roman"/>
          <w:spacing w:val="10"/>
          <w:sz w:val="25"/>
          <w:szCs w:val="25"/>
        </w:rPr>
        <w:t>31</w:t>
      </w:r>
      <w:r>
        <w:rPr>
          <w:rFonts w:ascii="仿宋" w:hAnsi="仿宋" w:eastAsia="仿宋" w:cs="仿宋"/>
          <w:spacing w:val="10"/>
          <w:sz w:val="25"/>
          <w:szCs w:val="25"/>
        </w:rPr>
        <w:t>）《关于</w:t>
      </w:r>
      <w:r>
        <w:rPr>
          <w:rFonts w:ascii="Times New Roman" w:hAnsi="Times New Roman" w:eastAsia="Times New Roman" w:cs="Times New Roman"/>
          <w:spacing w:val="10"/>
          <w:sz w:val="25"/>
          <w:szCs w:val="25"/>
        </w:rPr>
        <w:t>“</w:t>
      </w:r>
      <w:r>
        <w:rPr>
          <w:rFonts w:ascii="仿宋" w:hAnsi="仿宋" w:eastAsia="仿宋" w:cs="仿宋"/>
          <w:spacing w:val="10"/>
          <w:sz w:val="25"/>
          <w:szCs w:val="25"/>
        </w:rPr>
        <w:t>十四五</w:t>
      </w:r>
      <w:r>
        <w:rPr>
          <w:rFonts w:ascii="Times New Roman" w:hAnsi="Times New Roman" w:eastAsia="Times New Roman" w:cs="Times New Roman"/>
          <w:spacing w:val="10"/>
          <w:sz w:val="25"/>
          <w:szCs w:val="25"/>
        </w:rPr>
        <w:t>”</w:t>
      </w:r>
      <w:r>
        <w:rPr>
          <w:rFonts w:ascii="仿宋" w:hAnsi="仿宋" w:eastAsia="仿宋" w:cs="仿宋"/>
          <w:spacing w:val="10"/>
          <w:sz w:val="25"/>
          <w:szCs w:val="25"/>
        </w:rPr>
        <w:t>大宗固体废弃物综合利用的指导意见》</w:t>
      </w:r>
      <w:r>
        <w:rPr>
          <w:rFonts w:ascii="仿宋" w:hAnsi="仿宋" w:eastAsia="仿宋" w:cs="仿宋"/>
          <w:spacing w:val="-96"/>
          <w:sz w:val="25"/>
          <w:szCs w:val="25"/>
        </w:rPr>
        <w:t xml:space="preserve"> </w:t>
      </w:r>
      <w:r>
        <w:rPr>
          <w:rFonts w:ascii="仿宋" w:hAnsi="仿宋" w:eastAsia="仿宋" w:cs="仿宋"/>
          <w:spacing w:val="10"/>
          <w:sz w:val="25"/>
          <w:szCs w:val="25"/>
        </w:rPr>
        <w:t>（发改环资</w:t>
      </w:r>
      <w:r>
        <w:rPr>
          <w:rFonts w:ascii="仿宋" w:hAnsi="仿宋" w:eastAsia="仿宋" w:cs="仿宋"/>
          <w:sz w:val="25"/>
          <w:szCs w:val="25"/>
        </w:rPr>
        <w:t xml:space="preserve"> </w:t>
      </w:r>
      <w:r>
        <w:rPr>
          <w:rFonts w:ascii="仿宋" w:hAnsi="仿宋" w:eastAsia="仿宋" w:cs="仿宋"/>
          <w:spacing w:val="-1"/>
          <w:sz w:val="25"/>
          <w:szCs w:val="25"/>
        </w:rPr>
        <w:t>〔</w:t>
      </w:r>
      <w:r>
        <w:rPr>
          <w:rFonts w:ascii="Times New Roman" w:hAnsi="Times New Roman" w:eastAsia="Times New Roman" w:cs="Times New Roman"/>
          <w:spacing w:val="-1"/>
          <w:sz w:val="25"/>
          <w:szCs w:val="25"/>
        </w:rPr>
        <w:t>2021</w:t>
      </w:r>
      <w:r>
        <w:rPr>
          <w:rFonts w:ascii="仿宋" w:hAnsi="仿宋" w:eastAsia="仿宋" w:cs="仿宋"/>
          <w:spacing w:val="-1"/>
          <w:sz w:val="25"/>
          <w:szCs w:val="25"/>
        </w:rPr>
        <w:t>〕</w:t>
      </w:r>
      <w:r>
        <w:rPr>
          <w:rFonts w:ascii="Times New Roman" w:hAnsi="Times New Roman" w:eastAsia="Times New Roman" w:cs="Times New Roman"/>
          <w:spacing w:val="-1"/>
          <w:sz w:val="25"/>
          <w:szCs w:val="25"/>
        </w:rPr>
        <w:t>381</w:t>
      </w:r>
      <w:r>
        <w:rPr>
          <w:rFonts w:ascii="Times New Roman" w:hAnsi="Times New Roman" w:eastAsia="Times New Roman" w:cs="Times New Roman"/>
          <w:spacing w:val="25"/>
          <w:w w:val="101"/>
          <w:sz w:val="25"/>
          <w:szCs w:val="25"/>
        </w:rPr>
        <w:t xml:space="preserve"> </w:t>
      </w:r>
      <w:r>
        <w:rPr>
          <w:rFonts w:ascii="仿宋" w:hAnsi="仿宋" w:eastAsia="仿宋" w:cs="仿宋"/>
          <w:spacing w:val="-1"/>
          <w:sz w:val="25"/>
          <w:szCs w:val="25"/>
        </w:rPr>
        <w:t>号</w:t>
      </w:r>
      <w:r>
        <w:rPr>
          <w:rFonts w:ascii="仿宋" w:hAnsi="仿宋" w:eastAsia="仿宋" w:cs="仿宋"/>
          <w:spacing w:val="3"/>
          <w:sz w:val="25"/>
          <w:szCs w:val="25"/>
        </w:rPr>
        <w:t>）；</w:t>
      </w:r>
    </w:p>
    <w:p w14:paraId="233A7B93">
      <w:pPr>
        <w:spacing w:before="150" w:line="284" w:lineRule="auto"/>
        <w:ind w:left="18" w:right="115" w:firstLine="482"/>
        <w:rPr>
          <w:rFonts w:ascii="仿宋" w:hAnsi="仿宋" w:eastAsia="仿宋" w:cs="仿宋"/>
          <w:sz w:val="25"/>
          <w:szCs w:val="25"/>
        </w:rPr>
      </w:pPr>
      <w:r>
        <w:rPr>
          <w:rFonts w:ascii="仿宋" w:hAnsi="仿宋" w:eastAsia="仿宋" w:cs="仿宋"/>
          <w:spacing w:val="11"/>
          <w:sz w:val="25"/>
          <w:szCs w:val="25"/>
        </w:rPr>
        <w:t>（</w:t>
      </w:r>
      <w:r>
        <w:rPr>
          <w:rFonts w:ascii="Times New Roman" w:hAnsi="Times New Roman" w:eastAsia="Times New Roman" w:cs="Times New Roman"/>
          <w:spacing w:val="11"/>
          <w:sz w:val="25"/>
          <w:szCs w:val="25"/>
        </w:rPr>
        <w:t>32</w:t>
      </w:r>
      <w:r>
        <w:rPr>
          <w:rFonts w:ascii="仿宋" w:hAnsi="仿宋" w:eastAsia="仿宋" w:cs="仿宋"/>
          <w:spacing w:val="11"/>
          <w:sz w:val="25"/>
          <w:szCs w:val="25"/>
        </w:rPr>
        <w:t>）关于印发《</w:t>
      </w:r>
      <w:r>
        <w:rPr>
          <w:rFonts w:ascii="Times New Roman" w:hAnsi="Times New Roman" w:eastAsia="Times New Roman" w:cs="Times New Roman"/>
          <w:spacing w:val="11"/>
          <w:sz w:val="25"/>
          <w:szCs w:val="25"/>
        </w:rPr>
        <w:t>“</w:t>
      </w:r>
      <w:r>
        <w:rPr>
          <w:rFonts w:ascii="仿宋" w:hAnsi="仿宋" w:eastAsia="仿宋" w:cs="仿宋"/>
          <w:spacing w:val="11"/>
          <w:sz w:val="25"/>
          <w:szCs w:val="25"/>
        </w:rPr>
        <w:t>十四五</w:t>
      </w:r>
      <w:r>
        <w:rPr>
          <w:rFonts w:ascii="Times New Roman" w:hAnsi="Times New Roman" w:eastAsia="Times New Roman" w:cs="Times New Roman"/>
          <w:spacing w:val="11"/>
          <w:sz w:val="25"/>
          <w:szCs w:val="25"/>
        </w:rPr>
        <w:t>”</w:t>
      </w:r>
      <w:r>
        <w:rPr>
          <w:rFonts w:ascii="仿宋" w:hAnsi="仿宋" w:eastAsia="仿宋" w:cs="仿宋"/>
          <w:spacing w:val="11"/>
          <w:sz w:val="25"/>
          <w:szCs w:val="25"/>
        </w:rPr>
        <w:t>环境影响评价与排污许可工作实施</w:t>
      </w:r>
      <w:r>
        <w:rPr>
          <w:rFonts w:ascii="仿宋" w:hAnsi="仿宋" w:eastAsia="仿宋" w:cs="仿宋"/>
          <w:spacing w:val="10"/>
          <w:sz w:val="25"/>
          <w:szCs w:val="25"/>
        </w:rPr>
        <w:t>方案》的通</w:t>
      </w:r>
      <w:r>
        <w:rPr>
          <w:rFonts w:ascii="仿宋" w:hAnsi="仿宋" w:eastAsia="仿宋" w:cs="仿宋"/>
          <w:sz w:val="25"/>
          <w:szCs w:val="25"/>
        </w:rPr>
        <w:t xml:space="preserve"> </w:t>
      </w:r>
      <w:r>
        <w:rPr>
          <w:rFonts w:ascii="仿宋" w:hAnsi="仿宋" w:eastAsia="仿宋" w:cs="仿宋"/>
          <w:spacing w:val="9"/>
          <w:sz w:val="25"/>
          <w:szCs w:val="25"/>
        </w:rPr>
        <w:t>知</w:t>
      </w:r>
      <w:r>
        <w:rPr>
          <w:rFonts w:ascii="仿宋" w:hAnsi="仿宋" w:eastAsia="仿宋" w:cs="仿宋"/>
          <w:spacing w:val="-11"/>
          <w:sz w:val="25"/>
          <w:szCs w:val="25"/>
        </w:rPr>
        <w:t>，（</w:t>
      </w:r>
      <w:r>
        <w:rPr>
          <w:rFonts w:ascii="仿宋" w:hAnsi="仿宋" w:eastAsia="仿宋" w:cs="仿宋"/>
          <w:spacing w:val="9"/>
          <w:sz w:val="25"/>
          <w:szCs w:val="25"/>
        </w:rPr>
        <w:t>环环评〔</w:t>
      </w:r>
      <w:r>
        <w:rPr>
          <w:rFonts w:ascii="Times New Roman" w:hAnsi="Times New Roman" w:eastAsia="Times New Roman" w:cs="Times New Roman"/>
          <w:spacing w:val="9"/>
          <w:sz w:val="25"/>
          <w:szCs w:val="25"/>
        </w:rPr>
        <w:t>2022</w:t>
      </w:r>
      <w:r>
        <w:rPr>
          <w:rFonts w:ascii="仿宋" w:hAnsi="仿宋" w:eastAsia="仿宋" w:cs="仿宋"/>
          <w:spacing w:val="9"/>
          <w:sz w:val="25"/>
          <w:szCs w:val="25"/>
        </w:rPr>
        <w:t>〕</w:t>
      </w:r>
      <w:r>
        <w:rPr>
          <w:rFonts w:ascii="Times New Roman" w:hAnsi="Times New Roman" w:eastAsia="Times New Roman" w:cs="Times New Roman"/>
          <w:spacing w:val="9"/>
          <w:sz w:val="25"/>
          <w:szCs w:val="25"/>
        </w:rPr>
        <w:t>26</w:t>
      </w:r>
      <w:r>
        <w:rPr>
          <w:rFonts w:ascii="Times New Roman" w:hAnsi="Times New Roman" w:eastAsia="Times New Roman" w:cs="Times New Roman"/>
          <w:spacing w:val="28"/>
          <w:w w:val="101"/>
          <w:sz w:val="25"/>
          <w:szCs w:val="25"/>
        </w:rPr>
        <w:t xml:space="preserve"> </w:t>
      </w:r>
      <w:r>
        <w:rPr>
          <w:rFonts w:ascii="仿宋" w:hAnsi="仿宋" w:eastAsia="仿宋" w:cs="仿宋"/>
          <w:spacing w:val="9"/>
          <w:sz w:val="25"/>
          <w:szCs w:val="25"/>
        </w:rPr>
        <w:t>号</w:t>
      </w:r>
      <w:r>
        <w:rPr>
          <w:rFonts w:ascii="仿宋" w:hAnsi="仿宋" w:eastAsia="仿宋" w:cs="仿宋"/>
          <w:spacing w:val="-11"/>
          <w:sz w:val="25"/>
          <w:szCs w:val="25"/>
        </w:rPr>
        <w:t>）；</w:t>
      </w:r>
    </w:p>
    <w:p w14:paraId="5F5D3B47">
      <w:pPr>
        <w:spacing w:before="150" w:line="285" w:lineRule="auto"/>
        <w:ind w:left="9" w:right="32" w:firstLine="491"/>
        <w:rPr>
          <w:rFonts w:ascii="仿宋" w:hAnsi="仿宋" w:eastAsia="仿宋" w:cs="仿宋"/>
          <w:sz w:val="25"/>
          <w:szCs w:val="25"/>
        </w:rPr>
      </w:pPr>
      <w:r>
        <w:rPr>
          <w:rFonts w:ascii="仿宋" w:hAnsi="仿宋" w:eastAsia="仿宋" w:cs="仿宋"/>
          <w:spacing w:val="5"/>
          <w:sz w:val="25"/>
          <w:szCs w:val="25"/>
        </w:rPr>
        <w:t>（</w:t>
      </w:r>
      <w:r>
        <w:rPr>
          <w:rFonts w:ascii="Times New Roman" w:hAnsi="Times New Roman" w:eastAsia="Times New Roman" w:cs="Times New Roman"/>
          <w:spacing w:val="5"/>
          <w:sz w:val="25"/>
          <w:szCs w:val="25"/>
        </w:rPr>
        <w:t>33</w:t>
      </w:r>
      <w:r>
        <w:rPr>
          <w:rFonts w:ascii="仿宋" w:hAnsi="仿宋" w:eastAsia="仿宋" w:cs="仿宋"/>
          <w:spacing w:val="5"/>
          <w:sz w:val="25"/>
          <w:szCs w:val="25"/>
        </w:rPr>
        <w:t>）《关于印发</w:t>
      </w:r>
      <w:r>
        <w:rPr>
          <w:rFonts w:ascii="Times New Roman" w:hAnsi="Times New Roman" w:eastAsia="Times New Roman" w:cs="Times New Roman"/>
          <w:spacing w:val="5"/>
          <w:sz w:val="25"/>
          <w:szCs w:val="25"/>
        </w:rPr>
        <w:t>“</w:t>
      </w:r>
      <w:r>
        <w:rPr>
          <w:rFonts w:ascii="仿宋" w:hAnsi="仿宋" w:eastAsia="仿宋" w:cs="仿宋"/>
          <w:spacing w:val="5"/>
          <w:sz w:val="25"/>
          <w:szCs w:val="25"/>
        </w:rPr>
        <w:t>十四五</w:t>
      </w:r>
      <w:r>
        <w:rPr>
          <w:rFonts w:ascii="Times New Roman" w:hAnsi="Times New Roman" w:eastAsia="Times New Roman" w:cs="Times New Roman"/>
          <w:spacing w:val="5"/>
          <w:sz w:val="25"/>
          <w:szCs w:val="25"/>
        </w:rPr>
        <w:t>”</w:t>
      </w:r>
      <w:r>
        <w:rPr>
          <w:rFonts w:ascii="仿宋" w:hAnsi="仿宋" w:eastAsia="仿宋" w:cs="仿宋"/>
          <w:spacing w:val="5"/>
          <w:sz w:val="25"/>
          <w:szCs w:val="25"/>
        </w:rPr>
        <w:t>循环经济发展规划的通知》（发改环资〔</w:t>
      </w:r>
      <w:r>
        <w:rPr>
          <w:rFonts w:ascii="Times New Roman" w:hAnsi="Times New Roman" w:eastAsia="Times New Roman" w:cs="Times New Roman"/>
          <w:spacing w:val="5"/>
          <w:sz w:val="25"/>
          <w:szCs w:val="25"/>
        </w:rPr>
        <w:t>2021</w:t>
      </w:r>
      <w:r>
        <w:rPr>
          <w:rFonts w:ascii="仿宋" w:hAnsi="仿宋" w:eastAsia="仿宋" w:cs="仿宋"/>
          <w:spacing w:val="5"/>
          <w:sz w:val="25"/>
          <w:szCs w:val="25"/>
        </w:rPr>
        <w:t>〕</w:t>
      </w:r>
      <w:r>
        <w:rPr>
          <w:rFonts w:ascii="仿宋" w:hAnsi="仿宋" w:eastAsia="仿宋" w:cs="仿宋"/>
          <w:spacing w:val="16"/>
          <w:sz w:val="25"/>
          <w:szCs w:val="25"/>
        </w:rPr>
        <w:t xml:space="preserve"> </w:t>
      </w:r>
      <w:r>
        <w:rPr>
          <w:rFonts w:ascii="Times New Roman" w:hAnsi="Times New Roman" w:eastAsia="Times New Roman" w:cs="Times New Roman"/>
          <w:spacing w:val="-3"/>
          <w:sz w:val="25"/>
          <w:szCs w:val="25"/>
        </w:rPr>
        <w:t>969</w:t>
      </w:r>
      <w:r>
        <w:rPr>
          <w:rFonts w:ascii="Times New Roman" w:hAnsi="Times New Roman" w:eastAsia="Times New Roman" w:cs="Times New Roman"/>
          <w:spacing w:val="28"/>
          <w:sz w:val="25"/>
          <w:szCs w:val="25"/>
        </w:rPr>
        <w:t xml:space="preserve"> </w:t>
      </w:r>
      <w:r>
        <w:rPr>
          <w:rFonts w:ascii="仿宋" w:hAnsi="仿宋" w:eastAsia="仿宋" w:cs="仿宋"/>
          <w:spacing w:val="-3"/>
          <w:sz w:val="25"/>
          <w:szCs w:val="25"/>
        </w:rPr>
        <w:t>号</w:t>
      </w:r>
      <w:r>
        <w:rPr>
          <w:rFonts w:ascii="仿宋" w:hAnsi="仿宋" w:eastAsia="仿宋" w:cs="仿宋"/>
          <w:sz w:val="25"/>
          <w:szCs w:val="25"/>
        </w:rPr>
        <w:t>）；</w:t>
      </w:r>
    </w:p>
    <w:p w14:paraId="474EDF46">
      <w:pPr>
        <w:spacing w:before="148" w:line="285" w:lineRule="auto"/>
        <w:ind w:left="29" w:right="32" w:firstLine="471"/>
        <w:rPr>
          <w:rFonts w:ascii="仿宋" w:hAnsi="仿宋" w:eastAsia="仿宋" w:cs="仿宋"/>
          <w:sz w:val="25"/>
          <w:szCs w:val="25"/>
        </w:rPr>
      </w:pPr>
      <w:r>
        <w:rPr>
          <w:rFonts w:ascii="仿宋" w:hAnsi="仿宋" w:eastAsia="仿宋" w:cs="仿宋"/>
          <w:spacing w:val="-3"/>
          <w:sz w:val="25"/>
          <w:szCs w:val="25"/>
        </w:rPr>
        <w:t>（</w:t>
      </w:r>
      <w:r>
        <w:rPr>
          <w:rFonts w:ascii="Times New Roman" w:hAnsi="Times New Roman" w:eastAsia="Times New Roman" w:cs="Times New Roman"/>
          <w:spacing w:val="-3"/>
          <w:sz w:val="25"/>
          <w:szCs w:val="25"/>
        </w:rPr>
        <w:t>34</w:t>
      </w:r>
      <w:r>
        <w:rPr>
          <w:rFonts w:ascii="仿宋" w:hAnsi="仿宋" w:eastAsia="仿宋" w:cs="仿宋"/>
          <w:spacing w:val="-3"/>
          <w:sz w:val="25"/>
          <w:szCs w:val="25"/>
        </w:rPr>
        <w:t>）《“十四五</w:t>
      </w:r>
      <w:r>
        <w:rPr>
          <w:rFonts w:ascii="仿宋" w:hAnsi="仿宋" w:eastAsia="仿宋" w:cs="仿宋"/>
          <w:spacing w:val="-91"/>
          <w:sz w:val="25"/>
          <w:szCs w:val="25"/>
        </w:rPr>
        <w:t xml:space="preserve"> </w:t>
      </w:r>
      <w:r>
        <w:rPr>
          <w:rFonts w:ascii="仿宋" w:hAnsi="仿宋" w:eastAsia="仿宋" w:cs="仿宋"/>
          <w:spacing w:val="-3"/>
          <w:sz w:val="25"/>
          <w:szCs w:val="25"/>
        </w:rPr>
        <w:t>”土壤地下水和农村生态环境保护规划》（环土壤〔</w:t>
      </w:r>
      <w:r>
        <w:rPr>
          <w:rFonts w:ascii="Times New Roman" w:hAnsi="Times New Roman" w:eastAsia="Times New Roman" w:cs="Times New Roman"/>
          <w:spacing w:val="-3"/>
          <w:sz w:val="25"/>
          <w:szCs w:val="25"/>
        </w:rPr>
        <w:t>2021</w:t>
      </w:r>
      <w:r>
        <w:rPr>
          <w:rFonts w:ascii="仿宋" w:hAnsi="仿宋" w:eastAsia="仿宋" w:cs="仿宋"/>
          <w:spacing w:val="-3"/>
          <w:sz w:val="25"/>
          <w:szCs w:val="25"/>
        </w:rPr>
        <w:t>〕</w:t>
      </w:r>
      <w:r>
        <w:rPr>
          <w:rFonts w:ascii="仿宋" w:hAnsi="仿宋" w:eastAsia="仿宋" w:cs="仿宋"/>
          <w:sz w:val="25"/>
          <w:szCs w:val="25"/>
        </w:rPr>
        <w:t xml:space="preserve"> </w:t>
      </w:r>
      <w:r>
        <w:rPr>
          <w:rFonts w:ascii="Times New Roman" w:hAnsi="Times New Roman" w:eastAsia="Times New Roman" w:cs="Times New Roman"/>
          <w:spacing w:val="-8"/>
          <w:sz w:val="25"/>
          <w:szCs w:val="25"/>
        </w:rPr>
        <w:t>120</w:t>
      </w:r>
      <w:r>
        <w:rPr>
          <w:rFonts w:ascii="Times New Roman" w:hAnsi="Times New Roman" w:eastAsia="Times New Roman" w:cs="Times New Roman"/>
          <w:spacing w:val="28"/>
          <w:sz w:val="25"/>
          <w:szCs w:val="25"/>
        </w:rPr>
        <w:t xml:space="preserve"> </w:t>
      </w:r>
      <w:r>
        <w:rPr>
          <w:rFonts w:ascii="仿宋" w:hAnsi="仿宋" w:eastAsia="仿宋" w:cs="仿宋"/>
          <w:spacing w:val="-8"/>
          <w:sz w:val="25"/>
          <w:szCs w:val="25"/>
        </w:rPr>
        <w:t>号</w:t>
      </w:r>
      <w:r>
        <w:rPr>
          <w:rFonts w:ascii="仿宋" w:hAnsi="仿宋" w:eastAsia="仿宋" w:cs="仿宋"/>
          <w:sz w:val="25"/>
          <w:szCs w:val="25"/>
        </w:rPr>
        <w:t>）；</w:t>
      </w:r>
    </w:p>
    <w:p w14:paraId="6F4BF0E9">
      <w:pPr>
        <w:spacing w:before="150" w:line="219" w:lineRule="auto"/>
        <w:jc w:val="right"/>
        <w:rPr>
          <w:rFonts w:ascii="仿宋" w:hAnsi="仿宋" w:eastAsia="仿宋" w:cs="仿宋"/>
          <w:sz w:val="25"/>
          <w:szCs w:val="25"/>
        </w:rPr>
      </w:pPr>
      <w:r>
        <w:rPr>
          <w:rFonts w:ascii="仿宋" w:hAnsi="仿宋" w:eastAsia="仿宋" w:cs="仿宋"/>
          <w:spacing w:val="4"/>
          <w:sz w:val="25"/>
          <w:szCs w:val="25"/>
        </w:rPr>
        <w:t>（</w:t>
      </w:r>
      <w:r>
        <w:rPr>
          <w:rFonts w:ascii="Times New Roman" w:hAnsi="Times New Roman" w:eastAsia="Times New Roman" w:cs="Times New Roman"/>
          <w:spacing w:val="4"/>
          <w:sz w:val="25"/>
          <w:szCs w:val="25"/>
        </w:rPr>
        <w:t>35</w:t>
      </w:r>
      <w:r>
        <w:rPr>
          <w:rFonts w:ascii="仿宋" w:hAnsi="仿宋" w:eastAsia="仿宋" w:cs="仿宋"/>
          <w:spacing w:val="4"/>
          <w:sz w:val="25"/>
          <w:szCs w:val="25"/>
        </w:rPr>
        <w:t>）《</w:t>
      </w:r>
      <w:r>
        <w:rPr>
          <w:rFonts w:ascii="Times New Roman" w:hAnsi="Times New Roman" w:eastAsia="Times New Roman" w:cs="Times New Roman"/>
          <w:spacing w:val="4"/>
          <w:sz w:val="25"/>
          <w:szCs w:val="25"/>
        </w:rPr>
        <w:t>“</w:t>
      </w:r>
      <w:r>
        <w:rPr>
          <w:rFonts w:ascii="仿宋" w:hAnsi="仿宋" w:eastAsia="仿宋" w:cs="仿宋"/>
          <w:spacing w:val="4"/>
          <w:sz w:val="25"/>
          <w:szCs w:val="25"/>
        </w:rPr>
        <w:t>十四五</w:t>
      </w:r>
      <w:r>
        <w:rPr>
          <w:rFonts w:ascii="Times New Roman" w:hAnsi="Times New Roman" w:eastAsia="Times New Roman" w:cs="Times New Roman"/>
          <w:spacing w:val="4"/>
          <w:sz w:val="25"/>
          <w:szCs w:val="25"/>
        </w:rPr>
        <w:t>”</w:t>
      </w:r>
      <w:r>
        <w:rPr>
          <w:rFonts w:ascii="仿宋" w:hAnsi="仿宋" w:eastAsia="仿宋" w:cs="仿宋"/>
          <w:spacing w:val="4"/>
          <w:sz w:val="25"/>
          <w:szCs w:val="25"/>
        </w:rPr>
        <w:t>时期</w:t>
      </w:r>
      <w:r>
        <w:rPr>
          <w:rFonts w:ascii="Times New Roman" w:hAnsi="Times New Roman" w:eastAsia="Times New Roman" w:cs="Times New Roman"/>
          <w:spacing w:val="4"/>
          <w:sz w:val="25"/>
          <w:szCs w:val="25"/>
        </w:rPr>
        <w:t>“</w:t>
      </w:r>
      <w:r>
        <w:rPr>
          <w:rFonts w:ascii="仿宋" w:hAnsi="仿宋" w:eastAsia="仿宋" w:cs="仿宋"/>
          <w:spacing w:val="4"/>
          <w:sz w:val="25"/>
          <w:szCs w:val="25"/>
        </w:rPr>
        <w:t>无废城市</w:t>
      </w:r>
      <w:r>
        <w:rPr>
          <w:rFonts w:ascii="Times New Roman" w:hAnsi="Times New Roman" w:eastAsia="Times New Roman" w:cs="Times New Roman"/>
          <w:spacing w:val="4"/>
          <w:sz w:val="25"/>
          <w:szCs w:val="25"/>
        </w:rPr>
        <w:t>”</w:t>
      </w:r>
      <w:r>
        <w:rPr>
          <w:rFonts w:ascii="仿宋" w:hAnsi="仿宋" w:eastAsia="仿宋" w:cs="仿宋"/>
          <w:spacing w:val="4"/>
          <w:sz w:val="25"/>
          <w:szCs w:val="25"/>
        </w:rPr>
        <w:t>建设工作方案》（环固体</w:t>
      </w:r>
      <w:r>
        <w:rPr>
          <w:rFonts w:ascii="Times New Roman" w:hAnsi="Times New Roman" w:eastAsia="Times New Roman" w:cs="Times New Roman"/>
          <w:spacing w:val="4"/>
          <w:sz w:val="25"/>
          <w:szCs w:val="25"/>
        </w:rPr>
        <w:t>[2021]114</w:t>
      </w:r>
      <w:r>
        <w:rPr>
          <w:rFonts w:ascii="Times New Roman" w:hAnsi="Times New Roman" w:eastAsia="Times New Roman" w:cs="Times New Roman"/>
          <w:spacing w:val="28"/>
          <w:sz w:val="25"/>
          <w:szCs w:val="25"/>
        </w:rPr>
        <w:t xml:space="preserve"> </w:t>
      </w:r>
      <w:r>
        <w:rPr>
          <w:rFonts w:ascii="仿宋" w:hAnsi="仿宋" w:eastAsia="仿宋" w:cs="仿宋"/>
          <w:spacing w:val="4"/>
          <w:sz w:val="25"/>
          <w:szCs w:val="25"/>
        </w:rPr>
        <w:t>号</w:t>
      </w:r>
      <w:r>
        <w:rPr>
          <w:rFonts w:ascii="仿宋" w:hAnsi="仿宋" w:eastAsia="仿宋" w:cs="仿宋"/>
          <w:spacing w:val="-36"/>
          <w:sz w:val="25"/>
          <w:szCs w:val="25"/>
        </w:rPr>
        <w:t>）；</w:t>
      </w:r>
    </w:p>
    <w:p w14:paraId="3BCFF317">
      <w:pPr>
        <w:spacing w:line="219" w:lineRule="auto"/>
        <w:rPr>
          <w:rFonts w:ascii="仿宋" w:hAnsi="仿宋" w:eastAsia="仿宋" w:cs="仿宋"/>
          <w:sz w:val="25"/>
          <w:szCs w:val="25"/>
        </w:rPr>
        <w:sectPr>
          <w:headerReference r:id="rId18" w:type="default"/>
          <w:footerReference r:id="rId19" w:type="default"/>
          <w:pgSz w:w="11906" w:h="16839"/>
          <w:pgMar w:top="1116" w:right="1360" w:bottom="1480" w:left="1587" w:header="683" w:footer="1318" w:gutter="0"/>
          <w:cols w:space="720" w:num="1"/>
        </w:sectPr>
      </w:pPr>
    </w:p>
    <w:p w14:paraId="2DA65BCB">
      <w:pPr>
        <w:pStyle w:val="2"/>
        <w:spacing w:line="385" w:lineRule="auto"/>
      </w:pPr>
    </w:p>
    <w:p w14:paraId="00DAF5B7">
      <w:pPr>
        <w:spacing w:before="82" w:line="284" w:lineRule="auto"/>
        <w:ind w:left="18" w:right="82" w:firstLine="482"/>
        <w:rPr>
          <w:rFonts w:ascii="仿宋" w:hAnsi="仿宋" w:eastAsia="仿宋" w:cs="仿宋"/>
          <w:sz w:val="25"/>
          <w:szCs w:val="25"/>
        </w:rPr>
      </w:pPr>
      <w:r>
        <w:rPr>
          <w:rFonts w:ascii="仿宋" w:hAnsi="仿宋" w:eastAsia="仿宋" w:cs="仿宋"/>
          <w:spacing w:val="10"/>
          <w:sz w:val="25"/>
          <w:szCs w:val="25"/>
        </w:rPr>
        <w:t>（</w:t>
      </w:r>
      <w:r>
        <w:rPr>
          <w:rFonts w:ascii="Times New Roman" w:hAnsi="Times New Roman" w:eastAsia="Times New Roman" w:cs="Times New Roman"/>
          <w:spacing w:val="10"/>
          <w:sz w:val="25"/>
          <w:szCs w:val="25"/>
        </w:rPr>
        <w:t>36</w:t>
      </w:r>
      <w:r>
        <w:rPr>
          <w:rFonts w:ascii="仿宋" w:hAnsi="仿宋" w:eastAsia="仿宋" w:cs="仿宋"/>
          <w:spacing w:val="10"/>
          <w:sz w:val="25"/>
          <w:szCs w:val="25"/>
        </w:rPr>
        <w:t>）《关于规划环境影响评价加强空间管制、总量管控和环境准入的指</w:t>
      </w:r>
      <w:r>
        <w:rPr>
          <w:rFonts w:ascii="仿宋" w:hAnsi="仿宋" w:eastAsia="仿宋" w:cs="仿宋"/>
          <w:spacing w:val="11"/>
          <w:sz w:val="25"/>
          <w:szCs w:val="25"/>
        </w:rPr>
        <w:t xml:space="preserve"> </w:t>
      </w:r>
      <w:r>
        <w:rPr>
          <w:rFonts w:ascii="仿宋" w:hAnsi="仿宋" w:eastAsia="仿宋" w:cs="仿宋"/>
          <w:spacing w:val="6"/>
          <w:sz w:val="25"/>
          <w:szCs w:val="25"/>
        </w:rPr>
        <w:t>导意见（试行）》（环办环评〔</w:t>
      </w:r>
      <w:r>
        <w:rPr>
          <w:rFonts w:ascii="Times New Roman" w:hAnsi="Times New Roman" w:eastAsia="Times New Roman" w:cs="Times New Roman"/>
          <w:spacing w:val="6"/>
          <w:sz w:val="25"/>
          <w:szCs w:val="25"/>
        </w:rPr>
        <w:t>2016</w:t>
      </w:r>
      <w:r>
        <w:rPr>
          <w:rFonts w:ascii="仿宋" w:hAnsi="仿宋" w:eastAsia="仿宋" w:cs="仿宋"/>
          <w:spacing w:val="6"/>
          <w:sz w:val="25"/>
          <w:szCs w:val="25"/>
        </w:rPr>
        <w:t>〕</w:t>
      </w:r>
      <w:r>
        <w:rPr>
          <w:rFonts w:ascii="Times New Roman" w:hAnsi="Times New Roman" w:eastAsia="Times New Roman" w:cs="Times New Roman"/>
          <w:spacing w:val="6"/>
          <w:sz w:val="25"/>
          <w:szCs w:val="25"/>
        </w:rPr>
        <w:t>14</w:t>
      </w:r>
      <w:r>
        <w:rPr>
          <w:rFonts w:ascii="Times New Roman" w:hAnsi="Times New Roman" w:eastAsia="Times New Roman" w:cs="Times New Roman"/>
          <w:spacing w:val="27"/>
          <w:sz w:val="25"/>
          <w:szCs w:val="25"/>
        </w:rPr>
        <w:t xml:space="preserve"> </w:t>
      </w:r>
      <w:r>
        <w:rPr>
          <w:rFonts w:ascii="仿宋" w:hAnsi="仿宋" w:eastAsia="仿宋" w:cs="仿宋"/>
          <w:spacing w:val="6"/>
          <w:sz w:val="25"/>
          <w:szCs w:val="25"/>
        </w:rPr>
        <w:t>号）；</w:t>
      </w:r>
    </w:p>
    <w:p w14:paraId="4DCEF15F">
      <w:pPr>
        <w:spacing w:before="149" w:line="285" w:lineRule="auto"/>
        <w:ind w:left="21" w:right="82" w:firstLine="520"/>
        <w:rPr>
          <w:rFonts w:ascii="仿宋" w:hAnsi="仿宋" w:eastAsia="仿宋" w:cs="仿宋"/>
          <w:sz w:val="25"/>
          <w:szCs w:val="25"/>
        </w:rPr>
      </w:pPr>
      <w:r>
        <w:rPr>
          <w:rFonts w:ascii="仿宋" w:hAnsi="仿宋" w:eastAsia="仿宋" w:cs="仿宋"/>
          <w:spacing w:val="1"/>
          <w:sz w:val="25"/>
          <w:szCs w:val="25"/>
        </w:rPr>
        <w:t>（</w:t>
      </w:r>
      <w:r>
        <w:rPr>
          <w:rFonts w:ascii="Times New Roman" w:hAnsi="Times New Roman" w:eastAsia="Times New Roman" w:cs="Times New Roman"/>
          <w:spacing w:val="1"/>
          <w:sz w:val="25"/>
          <w:szCs w:val="25"/>
        </w:rPr>
        <w:t>37</w:t>
      </w:r>
      <w:r>
        <w:rPr>
          <w:rFonts w:ascii="仿宋" w:hAnsi="仿宋" w:eastAsia="仿宋" w:cs="仿宋"/>
          <w:spacing w:val="1"/>
          <w:sz w:val="25"/>
          <w:szCs w:val="25"/>
        </w:rPr>
        <w:t>）《陆生野生动物重要栖息地名录（第一批）》（</w:t>
      </w:r>
      <w:r>
        <w:rPr>
          <w:rFonts w:ascii="Times New Roman" w:hAnsi="Times New Roman" w:eastAsia="Times New Roman" w:cs="Times New Roman"/>
          <w:spacing w:val="1"/>
          <w:sz w:val="25"/>
          <w:szCs w:val="25"/>
        </w:rPr>
        <w:t>2024</w:t>
      </w:r>
      <w:r>
        <w:rPr>
          <w:rFonts w:ascii="Times New Roman" w:hAnsi="Times New Roman" w:eastAsia="Times New Roman" w:cs="Times New Roman"/>
          <w:spacing w:val="38"/>
          <w:w w:val="101"/>
          <w:sz w:val="25"/>
          <w:szCs w:val="25"/>
        </w:rPr>
        <w:t xml:space="preserve"> </w:t>
      </w:r>
      <w:r>
        <w:rPr>
          <w:rFonts w:ascii="仿宋" w:hAnsi="仿宋" w:eastAsia="仿宋" w:cs="仿宋"/>
          <w:spacing w:val="1"/>
          <w:sz w:val="25"/>
          <w:szCs w:val="25"/>
        </w:rPr>
        <w:t>年</w:t>
      </w:r>
      <w:r>
        <w:rPr>
          <w:rFonts w:ascii="仿宋" w:hAnsi="仿宋" w:eastAsia="仿宋" w:cs="仿宋"/>
          <w:spacing w:val="-30"/>
          <w:sz w:val="25"/>
          <w:szCs w:val="25"/>
        </w:rPr>
        <w:t xml:space="preserve"> </w:t>
      </w:r>
      <w:r>
        <w:rPr>
          <w:rFonts w:ascii="Times New Roman" w:hAnsi="Times New Roman" w:eastAsia="Times New Roman" w:cs="Times New Roman"/>
          <w:spacing w:val="1"/>
          <w:sz w:val="25"/>
          <w:szCs w:val="25"/>
        </w:rPr>
        <w:t>1</w:t>
      </w:r>
      <w:r>
        <w:rPr>
          <w:rFonts w:ascii="Times New Roman" w:hAnsi="Times New Roman" w:eastAsia="Times New Roman" w:cs="Times New Roman"/>
          <w:spacing w:val="32"/>
          <w:sz w:val="25"/>
          <w:szCs w:val="25"/>
        </w:rPr>
        <w:t xml:space="preserve"> </w:t>
      </w:r>
      <w:r>
        <w:rPr>
          <w:rFonts w:ascii="仿宋" w:hAnsi="仿宋" w:eastAsia="仿宋" w:cs="仿宋"/>
          <w:spacing w:val="1"/>
          <w:sz w:val="25"/>
          <w:szCs w:val="25"/>
        </w:rPr>
        <w:t>月</w:t>
      </w:r>
      <w:r>
        <w:rPr>
          <w:rFonts w:ascii="仿宋" w:hAnsi="仿宋" w:eastAsia="仿宋" w:cs="仿宋"/>
          <w:spacing w:val="-28"/>
          <w:sz w:val="25"/>
          <w:szCs w:val="25"/>
        </w:rPr>
        <w:t xml:space="preserve"> </w:t>
      </w:r>
      <w:r>
        <w:rPr>
          <w:rFonts w:ascii="Times New Roman" w:hAnsi="Times New Roman" w:eastAsia="Times New Roman" w:cs="Times New Roman"/>
          <w:spacing w:val="1"/>
          <w:sz w:val="25"/>
          <w:szCs w:val="25"/>
        </w:rPr>
        <w:t xml:space="preserve">1  </w:t>
      </w:r>
      <w:r>
        <w:rPr>
          <w:rFonts w:ascii="仿宋" w:hAnsi="仿宋" w:eastAsia="仿宋" w:cs="仿宋"/>
          <w:spacing w:val="1"/>
          <w:sz w:val="25"/>
          <w:szCs w:val="25"/>
        </w:rPr>
        <w:t>日起</w:t>
      </w:r>
      <w:r>
        <w:rPr>
          <w:rFonts w:ascii="仿宋" w:hAnsi="仿宋" w:eastAsia="仿宋" w:cs="仿宋"/>
          <w:sz w:val="25"/>
          <w:szCs w:val="25"/>
        </w:rPr>
        <w:t xml:space="preserve"> </w:t>
      </w:r>
      <w:r>
        <w:rPr>
          <w:rFonts w:ascii="仿宋" w:hAnsi="仿宋" w:eastAsia="仿宋" w:cs="仿宋"/>
          <w:spacing w:val="-3"/>
          <w:sz w:val="25"/>
          <w:szCs w:val="25"/>
        </w:rPr>
        <w:t>实施</w:t>
      </w:r>
      <w:r>
        <w:rPr>
          <w:rFonts w:ascii="仿宋" w:hAnsi="仿宋" w:eastAsia="仿宋" w:cs="仿宋"/>
          <w:sz w:val="25"/>
          <w:szCs w:val="25"/>
        </w:rPr>
        <w:t>）；</w:t>
      </w:r>
    </w:p>
    <w:p w14:paraId="2AF368BB">
      <w:pPr>
        <w:spacing w:before="150" w:line="284" w:lineRule="auto"/>
        <w:ind w:left="16" w:right="80" w:firstLine="525"/>
        <w:rPr>
          <w:rFonts w:ascii="仿宋" w:hAnsi="仿宋" w:eastAsia="仿宋" w:cs="仿宋"/>
          <w:sz w:val="25"/>
          <w:szCs w:val="25"/>
        </w:rPr>
      </w:pPr>
      <w:r>
        <w:rPr>
          <w:rFonts w:ascii="仿宋" w:hAnsi="仿宋" w:eastAsia="仿宋" w:cs="仿宋"/>
          <w:spacing w:val="5"/>
          <w:sz w:val="25"/>
          <w:szCs w:val="25"/>
        </w:rPr>
        <w:t>（</w:t>
      </w:r>
      <w:r>
        <w:rPr>
          <w:rFonts w:ascii="Times New Roman" w:hAnsi="Times New Roman" w:eastAsia="Times New Roman" w:cs="Times New Roman"/>
          <w:spacing w:val="5"/>
          <w:sz w:val="25"/>
          <w:szCs w:val="25"/>
        </w:rPr>
        <w:t>38</w:t>
      </w:r>
      <w:r>
        <w:rPr>
          <w:rFonts w:ascii="仿宋" w:hAnsi="仿宋" w:eastAsia="仿宋" w:cs="仿宋"/>
          <w:spacing w:val="5"/>
          <w:sz w:val="25"/>
          <w:szCs w:val="25"/>
        </w:rPr>
        <w:t>）《国家重点保护野生动物名录》（国家林业和草原局 农业农村部公</w:t>
      </w:r>
      <w:r>
        <w:rPr>
          <w:rFonts w:ascii="仿宋" w:hAnsi="仿宋" w:eastAsia="仿宋" w:cs="仿宋"/>
          <w:spacing w:val="7"/>
          <w:sz w:val="25"/>
          <w:szCs w:val="25"/>
        </w:rPr>
        <w:t xml:space="preserve"> </w:t>
      </w:r>
      <w:r>
        <w:rPr>
          <w:rFonts w:ascii="仿宋" w:hAnsi="仿宋" w:eastAsia="仿宋" w:cs="仿宋"/>
          <w:spacing w:val="-3"/>
          <w:sz w:val="25"/>
          <w:szCs w:val="25"/>
        </w:rPr>
        <w:t>告</w:t>
      </w:r>
      <w:r>
        <w:rPr>
          <w:rFonts w:ascii="仿宋" w:hAnsi="仿宋" w:eastAsia="仿宋" w:cs="仿宋"/>
          <w:spacing w:val="-52"/>
          <w:sz w:val="25"/>
          <w:szCs w:val="25"/>
        </w:rPr>
        <w:t xml:space="preserve"> </w:t>
      </w:r>
      <w:r>
        <w:rPr>
          <w:rFonts w:ascii="Times New Roman" w:hAnsi="Times New Roman" w:eastAsia="Times New Roman" w:cs="Times New Roman"/>
          <w:spacing w:val="-3"/>
          <w:sz w:val="25"/>
          <w:szCs w:val="25"/>
        </w:rPr>
        <w:t>2021</w:t>
      </w:r>
      <w:r>
        <w:rPr>
          <w:rFonts w:ascii="Times New Roman" w:hAnsi="Times New Roman" w:eastAsia="Times New Roman" w:cs="Times New Roman"/>
          <w:spacing w:val="24"/>
          <w:w w:val="101"/>
          <w:sz w:val="25"/>
          <w:szCs w:val="25"/>
        </w:rPr>
        <w:t xml:space="preserve"> </w:t>
      </w:r>
      <w:r>
        <w:rPr>
          <w:rFonts w:ascii="仿宋" w:hAnsi="仿宋" w:eastAsia="仿宋" w:cs="仿宋"/>
          <w:spacing w:val="-3"/>
          <w:sz w:val="25"/>
          <w:szCs w:val="25"/>
        </w:rPr>
        <w:t>年第</w:t>
      </w:r>
      <w:r>
        <w:rPr>
          <w:rFonts w:ascii="仿宋" w:hAnsi="仿宋" w:eastAsia="仿宋" w:cs="仿宋"/>
          <w:spacing w:val="-47"/>
          <w:sz w:val="25"/>
          <w:szCs w:val="25"/>
        </w:rPr>
        <w:t xml:space="preserve"> </w:t>
      </w:r>
      <w:r>
        <w:rPr>
          <w:rFonts w:ascii="Times New Roman" w:hAnsi="Times New Roman" w:eastAsia="Times New Roman" w:cs="Times New Roman"/>
          <w:spacing w:val="-3"/>
          <w:sz w:val="25"/>
          <w:szCs w:val="25"/>
        </w:rPr>
        <w:t>3</w:t>
      </w:r>
      <w:r>
        <w:rPr>
          <w:rFonts w:ascii="Times New Roman" w:hAnsi="Times New Roman" w:eastAsia="Times New Roman" w:cs="Times New Roman"/>
          <w:spacing w:val="25"/>
          <w:w w:val="101"/>
          <w:sz w:val="25"/>
          <w:szCs w:val="25"/>
        </w:rPr>
        <w:t xml:space="preserve"> </w:t>
      </w:r>
      <w:r>
        <w:rPr>
          <w:rFonts w:ascii="仿宋" w:hAnsi="仿宋" w:eastAsia="仿宋" w:cs="仿宋"/>
          <w:spacing w:val="-3"/>
          <w:sz w:val="25"/>
          <w:szCs w:val="25"/>
        </w:rPr>
        <w:t>号</w:t>
      </w:r>
      <w:r>
        <w:rPr>
          <w:rFonts w:ascii="仿宋" w:hAnsi="仿宋" w:eastAsia="仿宋" w:cs="仿宋"/>
          <w:spacing w:val="3"/>
          <w:sz w:val="25"/>
          <w:szCs w:val="25"/>
        </w:rPr>
        <w:t>）；</w:t>
      </w:r>
    </w:p>
    <w:p w14:paraId="7D285FDB">
      <w:pPr>
        <w:spacing w:before="151" w:line="285" w:lineRule="auto"/>
        <w:ind w:left="15" w:right="80" w:firstLine="526"/>
        <w:rPr>
          <w:rFonts w:ascii="仿宋" w:hAnsi="仿宋" w:eastAsia="仿宋" w:cs="仿宋"/>
          <w:sz w:val="25"/>
          <w:szCs w:val="25"/>
        </w:rPr>
      </w:pPr>
      <w:r>
        <w:rPr>
          <w:rFonts w:ascii="仿宋" w:hAnsi="仿宋" w:eastAsia="仿宋" w:cs="仿宋"/>
          <w:spacing w:val="9"/>
          <w:sz w:val="25"/>
          <w:szCs w:val="25"/>
        </w:rPr>
        <w:t>（</w:t>
      </w:r>
      <w:r>
        <w:rPr>
          <w:rFonts w:ascii="Times New Roman" w:hAnsi="Times New Roman" w:eastAsia="Times New Roman" w:cs="Times New Roman"/>
          <w:spacing w:val="9"/>
          <w:sz w:val="25"/>
          <w:szCs w:val="25"/>
        </w:rPr>
        <w:t>39</w:t>
      </w:r>
      <w:r>
        <w:rPr>
          <w:rFonts w:ascii="仿宋" w:hAnsi="仿宋" w:eastAsia="仿宋" w:cs="仿宋"/>
          <w:spacing w:val="9"/>
          <w:sz w:val="25"/>
          <w:szCs w:val="25"/>
        </w:rPr>
        <w:t>）《重庆市林业局关于进一步规范采挖移植树木管理的通知》（渝林</w:t>
      </w:r>
      <w:r>
        <w:rPr>
          <w:rFonts w:ascii="仿宋" w:hAnsi="仿宋" w:eastAsia="仿宋" w:cs="仿宋"/>
          <w:spacing w:val="5"/>
          <w:sz w:val="25"/>
          <w:szCs w:val="25"/>
        </w:rPr>
        <w:t xml:space="preserve"> </w:t>
      </w:r>
      <w:r>
        <w:rPr>
          <w:rFonts w:ascii="仿宋" w:hAnsi="仿宋" w:eastAsia="仿宋" w:cs="仿宋"/>
          <w:spacing w:val="3"/>
          <w:sz w:val="25"/>
          <w:szCs w:val="25"/>
        </w:rPr>
        <w:t>规范〔</w:t>
      </w:r>
      <w:r>
        <w:rPr>
          <w:rFonts w:ascii="Times New Roman" w:hAnsi="Times New Roman" w:eastAsia="Times New Roman" w:cs="Times New Roman"/>
          <w:spacing w:val="3"/>
          <w:sz w:val="25"/>
          <w:szCs w:val="25"/>
        </w:rPr>
        <w:t>2022</w:t>
      </w:r>
      <w:r>
        <w:rPr>
          <w:rFonts w:ascii="仿宋" w:hAnsi="仿宋" w:eastAsia="仿宋" w:cs="仿宋"/>
          <w:spacing w:val="3"/>
          <w:sz w:val="25"/>
          <w:szCs w:val="25"/>
        </w:rPr>
        <w:t>〕</w:t>
      </w:r>
      <w:r>
        <w:rPr>
          <w:rFonts w:ascii="Times New Roman" w:hAnsi="Times New Roman" w:eastAsia="Times New Roman" w:cs="Times New Roman"/>
          <w:spacing w:val="3"/>
          <w:sz w:val="25"/>
          <w:szCs w:val="25"/>
        </w:rPr>
        <w:t>2</w:t>
      </w:r>
      <w:r>
        <w:rPr>
          <w:rFonts w:ascii="Times New Roman" w:hAnsi="Times New Roman" w:eastAsia="Times New Roman" w:cs="Times New Roman"/>
          <w:spacing w:val="25"/>
          <w:w w:val="101"/>
          <w:sz w:val="25"/>
          <w:szCs w:val="25"/>
        </w:rPr>
        <w:t xml:space="preserve"> </w:t>
      </w:r>
      <w:r>
        <w:rPr>
          <w:rFonts w:ascii="仿宋" w:hAnsi="仿宋" w:eastAsia="仿宋" w:cs="仿宋"/>
          <w:spacing w:val="3"/>
          <w:sz w:val="25"/>
          <w:szCs w:val="25"/>
        </w:rPr>
        <w:t>号）</w:t>
      </w:r>
    </w:p>
    <w:p w14:paraId="534FAB1F">
      <w:pPr>
        <w:spacing w:before="145" w:line="285" w:lineRule="auto"/>
        <w:ind w:left="16" w:right="80" w:firstLine="525"/>
        <w:rPr>
          <w:rFonts w:ascii="仿宋" w:hAnsi="仿宋" w:eastAsia="仿宋" w:cs="仿宋"/>
          <w:sz w:val="25"/>
          <w:szCs w:val="25"/>
        </w:rPr>
      </w:pPr>
      <w:r>
        <w:rPr>
          <w:rFonts w:ascii="仿宋" w:hAnsi="仿宋" w:eastAsia="仿宋" w:cs="仿宋"/>
          <w:spacing w:val="5"/>
          <w:sz w:val="25"/>
          <w:szCs w:val="25"/>
        </w:rPr>
        <w:t>（</w:t>
      </w:r>
      <w:r>
        <w:rPr>
          <w:rFonts w:ascii="Times New Roman" w:hAnsi="Times New Roman" w:eastAsia="Times New Roman" w:cs="Times New Roman"/>
          <w:spacing w:val="5"/>
          <w:sz w:val="25"/>
          <w:szCs w:val="25"/>
        </w:rPr>
        <w:t>40</w:t>
      </w:r>
      <w:r>
        <w:rPr>
          <w:rFonts w:ascii="仿宋" w:hAnsi="仿宋" w:eastAsia="仿宋" w:cs="仿宋"/>
          <w:spacing w:val="5"/>
          <w:sz w:val="25"/>
          <w:szCs w:val="25"/>
        </w:rPr>
        <w:t>）《国家重点保护野生植物名录》（国家林业和草原局 农业农村部公</w:t>
      </w:r>
      <w:r>
        <w:rPr>
          <w:rFonts w:ascii="仿宋" w:hAnsi="仿宋" w:eastAsia="仿宋" w:cs="仿宋"/>
          <w:spacing w:val="7"/>
          <w:sz w:val="25"/>
          <w:szCs w:val="25"/>
        </w:rPr>
        <w:t xml:space="preserve"> </w:t>
      </w:r>
      <w:r>
        <w:rPr>
          <w:rFonts w:ascii="仿宋" w:hAnsi="仿宋" w:eastAsia="仿宋" w:cs="仿宋"/>
          <w:spacing w:val="-4"/>
          <w:sz w:val="25"/>
          <w:szCs w:val="25"/>
        </w:rPr>
        <w:t>告</w:t>
      </w:r>
      <w:r>
        <w:rPr>
          <w:rFonts w:ascii="仿宋" w:hAnsi="仿宋" w:eastAsia="仿宋" w:cs="仿宋"/>
          <w:spacing w:val="-53"/>
          <w:sz w:val="25"/>
          <w:szCs w:val="25"/>
        </w:rPr>
        <w:t xml:space="preserve"> </w:t>
      </w:r>
      <w:r>
        <w:rPr>
          <w:rFonts w:ascii="Times New Roman" w:hAnsi="Times New Roman" w:eastAsia="Times New Roman" w:cs="Times New Roman"/>
          <w:spacing w:val="-4"/>
          <w:sz w:val="25"/>
          <w:szCs w:val="25"/>
        </w:rPr>
        <w:t>2021</w:t>
      </w:r>
      <w:r>
        <w:rPr>
          <w:rFonts w:ascii="Times New Roman" w:hAnsi="Times New Roman" w:eastAsia="Times New Roman" w:cs="Times New Roman"/>
          <w:spacing w:val="25"/>
          <w:w w:val="101"/>
          <w:sz w:val="25"/>
          <w:szCs w:val="25"/>
        </w:rPr>
        <w:t xml:space="preserve"> </w:t>
      </w:r>
      <w:r>
        <w:rPr>
          <w:rFonts w:ascii="仿宋" w:hAnsi="仿宋" w:eastAsia="仿宋" w:cs="仿宋"/>
          <w:spacing w:val="-4"/>
          <w:sz w:val="25"/>
          <w:szCs w:val="25"/>
        </w:rPr>
        <w:t>年第</w:t>
      </w:r>
      <w:r>
        <w:rPr>
          <w:rFonts w:ascii="仿宋" w:hAnsi="仿宋" w:eastAsia="仿宋" w:cs="仿宋"/>
          <w:spacing w:val="-28"/>
          <w:sz w:val="25"/>
          <w:szCs w:val="25"/>
        </w:rPr>
        <w:t xml:space="preserve"> </w:t>
      </w:r>
      <w:r>
        <w:rPr>
          <w:rFonts w:ascii="Times New Roman" w:hAnsi="Times New Roman" w:eastAsia="Times New Roman" w:cs="Times New Roman"/>
          <w:spacing w:val="-4"/>
          <w:sz w:val="25"/>
          <w:szCs w:val="25"/>
        </w:rPr>
        <w:t>15</w:t>
      </w:r>
      <w:r>
        <w:rPr>
          <w:rFonts w:ascii="Times New Roman" w:hAnsi="Times New Roman" w:eastAsia="Times New Roman" w:cs="Times New Roman"/>
          <w:spacing w:val="28"/>
          <w:w w:val="101"/>
          <w:sz w:val="25"/>
          <w:szCs w:val="25"/>
        </w:rPr>
        <w:t xml:space="preserve"> </w:t>
      </w:r>
      <w:r>
        <w:rPr>
          <w:rFonts w:ascii="仿宋" w:hAnsi="仿宋" w:eastAsia="仿宋" w:cs="仿宋"/>
          <w:spacing w:val="-4"/>
          <w:sz w:val="25"/>
          <w:szCs w:val="25"/>
        </w:rPr>
        <w:t>号</w:t>
      </w:r>
      <w:r>
        <w:rPr>
          <w:rFonts w:ascii="仿宋" w:hAnsi="仿宋" w:eastAsia="仿宋" w:cs="仿宋"/>
          <w:spacing w:val="2"/>
          <w:sz w:val="25"/>
          <w:szCs w:val="25"/>
        </w:rPr>
        <w:t>）；</w:t>
      </w:r>
    </w:p>
    <w:p w14:paraId="7DA010AD">
      <w:pPr>
        <w:spacing w:before="150" w:line="284" w:lineRule="auto"/>
        <w:ind w:left="8" w:firstLine="532"/>
        <w:rPr>
          <w:rFonts w:ascii="仿宋" w:hAnsi="仿宋" w:eastAsia="仿宋" w:cs="仿宋"/>
          <w:sz w:val="25"/>
          <w:szCs w:val="25"/>
        </w:rPr>
      </w:pPr>
      <w:r>
        <w:rPr>
          <w:rFonts w:ascii="仿宋" w:hAnsi="仿宋" w:eastAsia="仿宋" w:cs="仿宋"/>
          <w:spacing w:val="-5"/>
          <w:sz w:val="25"/>
          <w:szCs w:val="25"/>
        </w:rPr>
        <w:t>（</w:t>
      </w:r>
      <w:r>
        <w:rPr>
          <w:rFonts w:ascii="Times New Roman" w:hAnsi="Times New Roman" w:eastAsia="Times New Roman" w:cs="Times New Roman"/>
          <w:spacing w:val="-5"/>
          <w:sz w:val="25"/>
          <w:szCs w:val="25"/>
        </w:rPr>
        <w:t>41</w:t>
      </w:r>
      <w:r>
        <w:rPr>
          <w:rFonts w:ascii="仿宋" w:hAnsi="仿宋" w:eastAsia="仿宋" w:cs="仿宋"/>
          <w:spacing w:val="-5"/>
          <w:sz w:val="25"/>
          <w:szCs w:val="25"/>
        </w:rPr>
        <w:t>）《长江经济带发展负面清单指南（试行，</w:t>
      </w:r>
      <w:r>
        <w:rPr>
          <w:rFonts w:ascii="Times New Roman" w:hAnsi="Times New Roman" w:eastAsia="Times New Roman" w:cs="Times New Roman"/>
          <w:spacing w:val="-5"/>
          <w:sz w:val="25"/>
          <w:szCs w:val="25"/>
        </w:rPr>
        <w:t>2022</w:t>
      </w:r>
      <w:r>
        <w:rPr>
          <w:rFonts w:ascii="Times New Roman" w:hAnsi="Times New Roman" w:eastAsia="Times New Roman" w:cs="Times New Roman"/>
          <w:spacing w:val="27"/>
          <w:sz w:val="25"/>
          <w:szCs w:val="25"/>
        </w:rPr>
        <w:t xml:space="preserve"> </w:t>
      </w:r>
      <w:r>
        <w:rPr>
          <w:rFonts w:ascii="仿宋" w:hAnsi="仿宋" w:eastAsia="仿宋" w:cs="仿宋"/>
          <w:spacing w:val="-5"/>
          <w:sz w:val="25"/>
          <w:szCs w:val="25"/>
        </w:rPr>
        <w:t>年</w:t>
      </w:r>
      <w:r>
        <w:rPr>
          <w:rFonts w:ascii="仿宋" w:hAnsi="仿宋" w:eastAsia="仿宋" w:cs="仿宋"/>
          <w:spacing w:val="-6"/>
          <w:sz w:val="25"/>
          <w:szCs w:val="25"/>
        </w:rPr>
        <w:t>版）》长江办〔</w:t>
      </w:r>
      <w:r>
        <w:rPr>
          <w:rFonts w:ascii="Times New Roman" w:hAnsi="Times New Roman" w:eastAsia="Times New Roman" w:cs="Times New Roman"/>
          <w:spacing w:val="-6"/>
          <w:sz w:val="25"/>
          <w:szCs w:val="25"/>
        </w:rPr>
        <w:t>2022</w:t>
      </w:r>
      <w:r>
        <w:rPr>
          <w:rFonts w:ascii="仿宋" w:hAnsi="仿宋" w:eastAsia="仿宋" w:cs="仿宋"/>
          <w:spacing w:val="-6"/>
          <w:sz w:val="25"/>
          <w:szCs w:val="25"/>
        </w:rPr>
        <w:t>〕</w:t>
      </w:r>
      <w:r>
        <w:rPr>
          <w:rFonts w:ascii="仿宋" w:hAnsi="仿宋" w:eastAsia="仿宋" w:cs="仿宋"/>
          <w:sz w:val="25"/>
          <w:szCs w:val="25"/>
        </w:rPr>
        <w:t xml:space="preserve"> </w:t>
      </w:r>
      <w:r>
        <w:rPr>
          <w:rFonts w:ascii="Times New Roman" w:hAnsi="Times New Roman" w:eastAsia="Times New Roman" w:cs="Times New Roman"/>
          <w:spacing w:val="-10"/>
          <w:sz w:val="25"/>
          <w:szCs w:val="25"/>
        </w:rPr>
        <w:t>7</w:t>
      </w:r>
      <w:r>
        <w:rPr>
          <w:rFonts w:ascii="Times New Roman" w:hAnsi="Times New Roman" w:eastAsia="Times New Roman" w:cs="Times New Roman"/>
          <w:spacing w:val="25"/>
          <w:w w:val="101"/>
          <w:sz w:val="25"/>
          <w:szCs w:val="25"/>
        </w:rPr>
        <w:t xml:space="preserve"> </w:t>
      </w:r>
      <w:r>
        <w:rPr>
          <w:rFonts w:ascii="仿宋" w:hAnsi="仿宋" w:eastAsia="仿宋" w:cs="仿宋"/>
          <w:spacing w:val="-10"/>
          <w:sz w:val="25"/>
          <w:szCs w:val="25"/>
        </w:rPr>
        <w:t>号</w:t>
      </w:r>
      <w:r>
        <w:rPr>
          <w:rFonts w:ascii="仿宋" w:hAnsi="仿宋" w:eastAsia="仿宋" w:cs="仿宋"/>
          <w:sz w:val="25"/>
          <w:szCs w:val="25"/>
        </w:rPr>
        <w:t>）；</w:t>
      </w:r>
    </w:p>
    <w:p w14:paraId="680530BF">
      <w:pPr>
        <w:spacing w:before="150" w:line="228" w:lineRule="auto"/>
        <w:jc w:val="right"/>
        <w:rPr>
          <w:rFonts w:ascii="仿宋" w:hAnsi="仿宋" w:eastAsia="仿宋" w:cs="仿宋"/>
          <w:sz w:val="25"/>
          <w:szCs w:val="25"/>
        </w:rPr>
      </w:pPr>
      <w:r>
        <w:rPr>
          <w:rFonts w:ascii="仿宋" w:hAnsi="仿宋" w:eastAsia="仿宋" w:cs="仿宋"/>
          <w:spacing w:val="-1"/>
          <w:sz w:val="25"/>
          <w:szCs w:val="25"/>
        </w:rPr>
        <w:t>（</w:t>
      </w:r>
      <w:r>
        <w:rPr>
          <w:rFonts w:ascii="Times New Roman" w:hAnsi="Times New Roman" w:eastAsia="Times New Roman" w:cs="Times New Roman"/>
          <w:spacing w:val="-1"/>
          <w:sz w:val="25"/>
          <w:szCs w:val="25"/>
        </w:rPr>
        <w:t>42</w:t>
      </w:r>
      <w:r>
        <w:rPr>
          <w:rFonts w:ascii="仿宋" w:hAnsi="仿宋" w:eastAsia="仿宋" w:cs="仿宋"/>
          <w:spacing w:val="-1"/>
          <w:sz w:val="25"/>
          <w:szCs w:val="25"/>
        </w:rPr>
        <w:t>）《成渝地区双城经济圈生态环境保护规划》（环</w:t>
      </w:r>
      <w:r>
        <w:rPr>
          <w:rFonts w:ascii="仿宋" w:hAnsi="仿宋" w:eastAsia="仿宋" w:cs="仿宋"/>
          <w:spacing w:val="-2"/>
          <w:sz w:val="25"/>
          <w:szCs w:val="25"/>
        </w:rPr>
        <w:t>综合〔</w:t>
      </w:r>
      <w:r>
        <w:rPr>
          <w:rFonts w:ascii="Times New Roman" w:hAnsi="Times New Roman" w:eastAsia="Times New Roman" w:cs="Times New Roman"/>
          <w:spacing w:val="-2"/>
          <w:sz w:val="25"/>
          <w:szCs w:val="25"/>
        </w:rPr>
        <w:t>2022</w:t>
      </w:r>
      <w:r>
        <w:rPr>
          <w:rFonts w:ascii="仿宋" w:hAnsi="仿宋" w:eastAsia="仿宋" w:cs="仿宋"/>
          <w:spacing w:val="-2"/>
          <w:sz w:val="25"/>
          <w:szCs w:val="25"/>
        </w:rPr>
        <w:t>〕</w:t>
      </w:r>
      <w:r>
        <w:rPr>
          <w:rFonts w:ascii="Times New Roman" w:hAnsi="Times New Roman" w:eastAsia="Times New Roman" w:cs="Times New Roman"/>
          <w:spacing w:val="-2"/>
          <w:sz w:val="25"/>
          <w:szCs w:val="25"/>
        </w:rPr>
        <w:t>12</w:t>
      </w:r>
      <w:r>
        <w:rPr>
          <w:rFonts w:ascii="Times New Roman" w:hAnsi="Times New Roman" w:eastAsia="Times New Roman" w:cs="Times New Roman"/>
          <w:spacing w:val="29"/>
          <w:sz w:val="25"/>
          <w:szCs w:val="25"/>
        </w:rPr>
        <w:t xml:space="preserve"> </w:t>
      </w:r>
      <w:r>
        <w:rPr>
          <w:rFonts w:ascii="仿宋" w:hAnsi="仿宋" w:eastAsia="仿宋" w:cs="仿宋"/>
          <w:spacing w:val="-2"/>
          <w:sz w:val="25"/>
          <w:szCs w:val="25"/>
        </w:rPr>
        <w:t>号</w:t>
      </w:r>
      <w:r>
        <w:rPr>
          <w:rFonts w:ascii="仿宋" w:hAnsi="仿宋" w:eastAsia="仿宋" w:cs="仿宋"/>
          <w:spacing w:val="-63"/>
          <w:w w:val="90"/>
          <w:sz w:val="25"/>
          <w:szCs w:val="25"/>
        </w:rPr>
        <w:t>）；</w:t>
      </w:r>
    </w:p>
    <w:p w14:paraId="114138EE">
      <w:pPr>
        <w:spacing w:before="153" w:line="228" w:lineRule="auto"/>
        <w:ind w:left="541"/>
        <w:rPr>
          <w:rFonts w:ascii="仿宋" w:hAnsi="仿宋" w:eastAsia="仿宋" w:cs="仿宋"/>
          <w:sz w:val="25"/>
          <w:szCs w:val="25"/>
        </w:rPr>
      </w:pPr>
      <w:r>
        <w:rPr>
          <w:rFonts w:ascii="仿宋" w:hAnsi="仿宋" w:eastAsia="仿宋" w:cs="仿宋"/>
          <w:spacing w:val="6"/>
          <w:sz w:val="25"/>
          <w:szCs w:val="25"/>
        </w:rPr>
        <w:t>（</w:t>
      </w:r>
      <w:r>
        <w:rPr>
          <w:rFonts w:ascii="Times New Roman" w:hAnsi="Times New Roman" w:eastAsia="Times New Roman" w:cs="Times New Roman"/>
          <w:spacing w:val="6"/>
          <w:sz w:val="25"/>
          <w:szCs w:val="25"/>
        </w:rPr>
        <w:t>43</w:t>
      </w:r>
      <w:r>
        <w:rPr>
          <w:rFonts w:ascii="仿宋" w:hAnsi="仿宋" w:eastAsia="仿宋" w:cs="仿宋"/>
          <w:spacing w:val="6"/>
          <w:sz w:val="25"/>
          <w:szCs w:val="25"/>
        </w:rPr>
        <w:t>）《国家适应气候变化战略</w:t>
      </w:r>
      <w:r>
        <w:rPr>
          <w:rFonts w:ascii="仿宋" w:hAnsi="仿宋" w:eastAsia="仿宋" w:cs="仿宋"/>
          <w:spacing w:val="-53"/>
          <w:sz w:val="25"/>
          <w:szCs w:val="25"/>
        </w:rPr>
        <w:t xml:space="preserve"> </w:t>
      </w:r>
      <w:r>
        <w:rPr>
          <w:rFonts w:ascii="Times New Roman" w:hAnsi="Times New Roman" w:eastAsia="Times New Roman" w:cs="Times New Roman"/>
          <w:spacing w:val="6"/>
          <w:sz w:val="25"/>
          <w:szCs w:val="25"/>
        </w:rPr>
        <w:t>2035</w:t>
      </w:r>
      <w:r>
        <w:rPr>
          <w:rFonts w:ascii="仿宋" w:hAnsi="仿宋" w:eastAsia="仿宋" w:cs="仿宋"/>
          <w:spacing w:val="6"/>
          <w:sz w:val="25"/>
          <w:szCs w:val="25"/>
        </w:rPr>
        <w:t>》（环气候〔</w:t>
      </w:r>
      <w:r>
        <w:rPr>
          <w:rFonts w:ascii="Times New Roman" w:hAnsi="Times New Roman" w:eastAsia="Times New Roman" w:cs="Times New Roman"/>
          <w:spacing w:val="6"/>
          <w:sz w:val="25"/>
          <w:szCs w:val="25"/>
        </w:rPr>
        <w:t>2022</w:t>
      </w:r>
      <w:r>
        <w:rPr>
          <w:rFonts w:ascii="仿宋" w:hAnsi="仿宋" w:eastAsia="仿宋" w:cs="仿宋"/>
          <w:spacing w:val="6"/>
          <w:sz w:val="25"/>
          <w:szCs w:val="25"/>
        </w:rPr>
        <w:t>〕</w:t>
      </w:r>
      <w:r>
        <w:rPr>
          <w:rFonts w:ascii="Times New Roman" w:hAnsi="Times New Roman" w:eastAsia="Times New Roman" w:cs="Times New Roman"/>
          <w:spacing w:val="6"/>
          <w:sz w:val="25"/>
          <w:szCs w:val="25"/>
        </w:rPr>
        <w:t>41</w:t>
      </w:r>
      <w:r>
        <w:rPr>
          <w:rFonts w:ascii="Times New Roman" w:hAnsi="Times New Roman" w:eastAsia="Times New Roman" w:cs="Times New Roman"/>
          <w:spacing w:val="28"/>
          <w:sz w:val="25"/>
          <w:szCs w:val="25"/>
        </w:rPr>
        <w:t xml:space="preserve"> </w:t>
      </w:r>
      <w:r>
        <w:rPr>
          <w:rFonts w:ascii="仿宋" w:hAnsi="仿宋" w:eastAsia="仿宋" w:cs="仿宋"/>
          <w:spacing w:val="6"/>
          <w:sz w:val="25"/>
          <w:szCs w:val="25"/>
        </w:rPr>
        <w:t>号</w:t>
      </w:r>
      <w:r>
        <w:rPr>
          <w:rFonts w:ascii="仿宋" w:hAnsi="仿宋" w:eastAsia="仿宋" w:cs="仿宋"/>
          <w:spacing w:val="8"/>
          <w:sz w:val="25"/>
          <w:szCs w:val="25"/>
        </w:rPr>
        <w:t>）；</w:t>
      </w:r>
    </w:p>
    <w:p w14:paraId="651E1D6E">
      <w:pPr>
        <w:spacing w:before="148" w:line="285" w:lineRule="auto"/>
        <w:ind w:left="3" w:right="129" w:firstLine="538"/>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44</w:t>
      </w:r>
      <w:r>
        <w:rPr>
          <w:rFonts w:ascii="仿宋" w:hAnsi="仿宋" w:eastAsia="仿宋" w:cs="仿宋"/>
          <w:spacing w:val="7"/>
          <w:sz w:val="25"/>
          <w:szCs w:val="25"/>
        </w:rPr>
        <w:t>）《关于促进地热能开发利用的若干意见》（国能发新能规〔</w:t>
      </w:r>
      <w:r>
        <w:rPr>
          <w:rFonts w:ascii="Times New Roman" w:hAnsi="Times New Roman" w:eastAsia="Times New Roman" w:cs="Times New Roman"/>
          <w:spacing w:val="7"/>
          <w:sz w:val="25"/>
          <w:szCs w:val="25"/>
        </w:rPr>
        <w:t>2021</w:t>
      </w:r>
      <w:r>
        <w:rPr>
          <w:rFonts w:ascii="仿宋" w:hAnsi="仿宋" w:eastAsia="仿宋" w:cs="仿宋"/>
          <w:spacing w:val="7"/>
          <w:sz w:val="25"/>
          <w:szCs w:val="25"/>
        </w:rPr>
        <w:t>〕</w:t>
      </w:r>
      <w:r>
        <w:rPr>
          <w:rFonts w:ascii="仿宋" w:hAnsi="仿宋" w:eastAsia="仿宋" w:cs="仿宋"/>
          <w:spacing w:val="8"/>
          <w:sz w:val="25"/>
          <w:szCs w:val="25"/>
        </w:rPr>
        <w:t xml:space="preserve"> </w:t>
      </w:r>
      <w:r>
        <w:rPr>
          <w:rFonts w:ascii="Times New Roman" w:hAnsi="Times New Roman" w:eastAsia="Times New Roman" w:cs="Times New Roman"/>
          <w:spacing w:val="-4"/>
          <w:sz w:val="25"/>
          <w:szCs w:val="25"/>
        </w:rPr>
        <w:t>43</w:t>
      </w:r>
      <w:r>
        <w:rPr>
          <w:rFonts w:ascii="Times New Roman" w:hAnsi="Times New Roman" w:eastAsia="Times New Roman" w:cs="Times New Roman"/>
          <w:spacing w:val="29"/>
          <w:w w:val="101"/>
          <w:sz w:val="25"/>
          <w:szCs w:val="25"/>
        </w:rPr>
        <w:t xml:space="preserve"> </w:t>
      </w:r>
      <w:r>
        <w:rPr>
          <w:rFonts w:ascii="仿宋" w:hAnsi="仿宋" w:eastAsia="仿宋" w:cs="仿宋"/>
          <w:spacing w:val="-4"/>
          <w:sz w:val="25"/>
          <w:szCs w:val="25"/>
        </w:rPr>
        <w:t>号</w:t>
      </w:r>
      <w:r>
        <w:rPr>
          <w:rFonts w:ascii="仿宋" w:hAnsi="仿宋" w:eastAsia="仿宋" w:cs="仿宋"/>
          <w:sz w:val="25"/>
          <w:szCs w:val="25"/>
        </w:rPr>
        <w:t>）；</w:t>
      </w:r>
    </w:p>
    <w:p w14:paraId="3C0B5C2A">
      <w:pPr>
        <w:spacing w:before="150" w:line="284" w:lineRule="auto"/>
        <w:ind w:left="20" w:right="95" w:firstLine="520"/>
        <w:rPr>
          <w:rFonts w:ascii="仿宋" w:hAnsi="仿宋" w:eastAsia="仿宋" w:cs="仿宋"/>
          <w:sz w:val="25"/>
          <w:szCs w:val="25"/>
        </w:rPr>
      </w:pPr>
      <w:r>
        <w:rPr>
          <w:rFonts w:ascii="仿宋" w:hAnsi="仿宋" w:eastAsia="仿宋" w:cs="仿宋"/>
          <w:spacing w:val="9"/>
          <w:sz w:val="25"/>
          <w:szCs w:val="25"/>
        </w:rPr>
        <w:t>（</w:t>
      </w:r>
      <w:r>
        <w:rPr>
          <w:rFonts w:ascii="Times New Roman" w:hAnsi="Times New Roman" w:eastAsia="Times New Roman" w:cs="Times New Roman"/>
          <w:spacing w:val="9"/>
          <w:sz w:val="25"/>
          <w:szCs w:val="25"/>
        </w:rPr>
        <w:t>45</w:t>
      </w:r>
      <w:r>
        <w:rPr>
          <w:rFonts w:ascii="仿宋" w:hAnsi="仿宋" w:eastAsia="仿宋" w:cs="仿宋"/>
          <w:spacing w:val="9"/>
          <w:sz w:val="25"/>
          <w:szCs w:val="25"/>
        </w:rPr>
        <w:t>）《自然资源部关于进一步完善矿产资源勘查</w:t>
      </w:r>
      <w:r>
        <w:rPr>
          <w:rFonts w:ascii="仿宋" w:hAnsi="仿宋" w:eastAsia="仿宋" w:cs="仿宋"/>
          <w:spacing w:val="8"/>
          <w:sz w:val="25"/>
          <w:szCs w:val="25"/>
        </w:rPr>
        <w:t>开采登记管理的通知》</w:t>
      </w:r>
      <w:r>
        <w:rPr>
          <w:rFonts w:ascii="仿宋" w:hAnsi="仿宋" w:eastAsia="仿宋" w:cs="仿宋"/>
          <w:sz w:val="25"/>
          <w:szCs w:val="25"/>
        </w:rPr>
        <w:t xml:space="preserve"> </w:t>
      </w:r>
      <w:r>
        <w:rPr>
          <w:rFonts w:ascii="仿宋" w:hAnsi="仿宋" w:eastAsia="仿宋" w:cs="仿宋"/>
          <w:spacing w:val="-1"/>
          <w:sz w:val="25"/>
          <w:szCs w:val="25"/>
        </w:rPr>
        <w:t>（</w:t>
      </w:r>
      <w:r>
        <w:rPr>
          <w:rFonts w:ascii="仿宋" w:hAnsi="仿宋" w:eastAsia="仿宋" w:cs="仿宋"/>
          <w:spacing w:val="-57"/>
          <w:sz w:val="25"/>
          <w:szCs w:val="25"/>
        </w:rPr>
        <w:t xml:space="preserve"> </w:t>
      </w:r>
      <w:r>
        <w:rPr>
          <w:rFonts w:ascii="仿宋" w:hAnsi="仿宋" w:eastAsia="仿宋" w:cs="仿宋"/>
          <w:spacing w:val="-1"/>
          <w:sz w:val="25"/>
          <w:szCs w:val="25"/>
        </w:rPr>
        <w:t>自然资规〔</w:t>
      </w:r>
      <w:r>
        <w:rPr>
          <w:rFonts w:ascii="Times New Roman" w:hAnsi="Times New Roman" w:eastAsia="Times New Roman" w:cs="Times New Roman"/>
          <w:spacing w:val="-1"/>
          <w:sz w:val="25"/>
          <w:szCs w:val="25"/>
        </w:rPr>
        <w:t>2023</w:t>
      </w:r>
      <w:r>
        <w:rPr>
          <w:rFonts w:ascii="仿宋" w:hAnsi="仿宋" w:eastAsia="仿宋" w:cs="仿宋"/>
          <w:spacing w:val="-1"/>
          <w:sz w:val="25"/>
          <w:szCs w:val="25"/>
        </w:rPr>
        <w:t>〕</w:t>
      </w:r>
      <w:r>
        <w:rPr>
          <w:rFonts w:ascii="Times New Roman" w:hAnsi="Times New Roman" w:eastAsia="Times New Roman" w:cs="Times New Roman"/>
          <w:spacing w:val="-1"/>
          <w:sz w:val="25"/>
          <w:szCs w:val="25"/>
        </w:rPr>
        <w:t>4</w:t>
      </w:r>
      <w:r>
        <w:rPr>
          <w:rFonts w:ascii="Times New Roman" w:hAnsi="Times New Roman" w:eastAsia="Times New Roman" w:cs="Times New Roman"/>
          <w:spacing w:val="26"/>
          <w:sz w:val="25"/>
          <w:szCs w:val="25"/>
        </w:rPr>
        <w:t xml:space="preserve"> </w:t>
      </w:r>
      <w:r>
        <w:rPr>
          <w:rFonts w:ascii="仿宋" w:hAnsi="仿宋" w:eastAsia="仿宋" w:cs="仿宋"/>
          <w:spacing w:val="-1"/>
          <w:sz w:val="25"/>
          <w:szCs w:val="25"/>
        </w:rPr>
        <w:t>号</w:t>
      </w:r>
      <w:r>
        <w:rPr>
          <w:rFonts w:ascii="仿宋" w:hAnsi="仿宋" w:eastAsia="仿宋" w:cs="仿宋"/>
          <w:spacing w:val="1"/>
          <w:sz w:val="25"/>
          <w:szCs w:val="25"/>
        </w:rPr>
        <w:t>）；</w:t>
      </w:r>
    </w:p>
    <w:p w14:paraId="0E7A1C80">
      <w:pPr>
        <w:spacing w:before="149" w:line="285" w:lineRule="auto"/>
        <w:ind w:left="18" w:right="80" w:firstLine="523"/>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46</w:t>
      </w:r>
      <w:r>
        <w:rPr>
          <w:rFonts w:ascii="仿宋" w:hAnsi="仿宋" w:eastAsia="仿宋" w:cs="仿宋"/>
          <w:spacing w:val="7"/>
          <w:sz w:val="25"/>
          <w:szCs w:val="25"/>
        </w:rPr>
        <w:t>） 《中共中央办公厅</w:t>
      </w:r>
      <w:r>
        <w:rPr>
          <w:rFonts w:ascii="仿宋" w:hAnsi="仿宋" w:eastAsia="仿宋" w:cs="仿宋"/>
          <w:spacing w:val="71"/>
          <w:sz w:val="25"/>
          <w:szCs w:val="25"/>
        </w:rPr>
        <w:t xml:space="preserve"> </w:t>
      </w:r>
      <w:r>
        <w:rPr>
          <w:rFonts w:ascii="仿宋" w:hAnsi="仿宋" w:eastAsia="仿宋" w:cs="仿宋"/>
          <w:spacing w:val="7"/>
          <w:sz w:val="25"/>
          <w:szCs w:val="25"/>
        </w:rPr>
        <w:t>国务院办公厅关于加强生态环境分区管控的意</w:t>
      </w:r>
      <w:r>
        <w:rPr>
          <w:rFonts w:ascii="仿宋" w:hAnsi="仿宋" w:eastAsia="仿宋" w:cs="仿宋"/>
          <w:sz w:val="25"/>
          <w:szCs w:val="25"/>
        </w:rPr>
        <w:t xml:space="preserve"> </w:t>
      </w:r>
      <w:r>
        <w:rPr>
          <w:rFonts w:ascii="仿宋" w:hAnsi="仿宋" w:eastAsia="仿宋" w:cs="仿宋"/>
          <w:spacing w:val="-3"/>
          <w:sz w:val="25"/>
          <w:szCs w:val="25"/>
        </w:rPr>
        <w:t>见》（</w:t>
      </w:r>
      <w:r>
        <w:rPr>
          <w:rFonts w:ascii="Times New Roman" w:hAnsi="Times New Roman" w:eastAsia="Times New Roman" w:cs="Times New Roman"/>
          <w:spacing w:val="-3"/>
          <w:sz w:val="25"/>
          <w:szCs w:val="25"/>
        </w:rPr>
        <w:t>2024</w:t>
      </w:r>
      <w:r>
        <w:rPr>
          <w:rFonts w:ascii="Times New Roman" w:hAnsi="Times New Roman" w:eastAsia="Times New Roman" w:cs="Times New Roman"/>
          <w:spacing w:val="27"/>
          <w:w w:val="101"/>
          <w:sz w:val="25"/>
          <w:szCs w:val="25"/>
        </w:rPr>
        <w:t xml:space="preserve"> </w:t>
      </w:r>
      <w:r>
        <w:rPr>
          <w:rFonts w:ascii="仿宋" w:hAnsi="仿宋" w:eastAsia="仿宋" w:cs="仿宋"/>
          <w:spacing w:val="-3"/>
          <w:sz w:val="25"/>
          <w:szCs w:val="25"/>
        </w:rPr>
        <w:t>年</w:t>
      </w:r>
      <w:r>
        <w:rPr>
          <w:rFonts w:ascii="仿宋" w:hAnsi="仿宋" w:eastAsia="仿宋" w:cs="仿宋"/>
          <w:spacing w:val="-50"/>
          <w:sz w:val="25"/>
          <w:szCs w:val="25"/>
        </w:rPr>
        <w:t xml:space="preserve"> </w:t>
      </w:r>
      <w:r>
        <w:rPr>
          <w:rFonts w:ascii="Times New Roman" w:hAnsi="Times New Roman" w:eastAsia="Times New Roman" w:cs="Times New Roman"/>
          <w:spacing w:val="-3"/>
          <w:sz w:val="25"/>
          <w:szCs w:val="25"/>
        </w:rPr>
        <w:t>3</w:t>
      </w:r>
      <w:r>
        <w:rPr>
          <w:rFonts w:ascii="Times New Roman" w:hAnsi="Times New Roman" w:eastAsia="Times New Roman" w:cs="Times New Roman"/>
          <w:spacing w:val="35"/>
          <w:sz w:val="25"/>
          <w:szCs w:val="25"/>
        </w:rPr>
        <w:t xml:space="preserve"> </w:t>
      </w:r>
      <w:r>
        <w:rPr>
          <w:rFonts w:ascii="仿宋" w:hAnsi="仿宋" w:eastAsia="仿宋" w:cs="仿宋"/>
          <w:spacing w:val="-3"/>
          <w:sz w:val="25"/>
          <w:szCs w:val="25"/>
        </w:rPr>
        <w:t>月</w:t>
      </w:r>
      <w:r>
        <w:rPr>
          <w:rFonts w:ascii="仿宋" w:hAnsi="仿宋" w:eastAsia="仿宋" w:cs="仿宋"/>
          <w:spacing w:val="-49"/>
          <w:sz w:val="25"/>
          <w:szCs w:val="25"/>
        </w:rPr>
        <w:t xml:space="preserve"> </w:t>
      </w:r>
      <w:r>
        <w:rPr>
          <w:rFonts w:ascii="Times New Roman" w:hAnsi="Times New Roman" w:eastAsia="Times New Roman" w:cs="Times New Roman"/>
          <w:spacing w:val="-3"/>
          <w:sz w:val="25"/>
          <w:szCs w:val="25"/>
        </w:rPr>
        <w:t xml:space="preserve">6  </w:t>
      </w:r>
      <w:r>
        <w:rPr>
          <w:rFonts w:ascii="仿宋" w:hAnsi="仿宋" w:eastAsia="仿宋" w:cs="仿宋"/>
          <w:spacing w:val="-3"/>
          <w:sz w:val="25"/>
          <w:szCs w:val="25"/>
        </w:rPr>
        <w:t>日</w:t>
      </w:r>
      <w:r>
        <w:rPr>
          <w:rFonts w:ascii="仿宋" w:hAnsi="仿宋" w:eastAsia="仿宋" w:cs="仿宋"/>
          <w:spacing w:val="-12"/>
          <w:sz w:val="25"/>
          <w:szCs w:val="25"/>
        </w:rPr>
        <w:t>）；</w:t>
      </w:r>
    </w:p>
    <w:p w14:paraId="0DFF28C6">
      <w:pPr>
        <w:spacing w:before="147" w:line="285" w:lineRule="auto"/>
        <w:ind w:left="29" w:right="82" w:firstLine="512"/>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47</w:t>
      </w:r>
      <w:r>
        <w:rPr>
          <w:rFonts w:ascii="仿宋" w:hAnsi="仿宋" w:eastAsia="仿宋" w:cs="仿宋"/>
          <w:spacing w:val="7"/>
          <w:sz w:val="25"/>
          <w:szCs w:val="25"/>
        </w:rPr>
        <w:t>）《中共中央</w:t>
      </w:r>
      <w:r>
        <w:rPr>
          <w:rFonts w:ascii="仿宋" w:hAnsi="仿宋" w:eastAsia="仿宋" w:cs="仿宋"/>
          <w:spacing w:val="73"/>
          <w:sz w:val="25"/>
          <w:szCs w:val="25"/>
        </w:rPr>
        <w:t xml:space="preserve"> </w:t>
      </w:r>
      <w:r>
        <w:rPr>
          <w:rFonts w:ascii="仿宋" w:hAnsi="仿宋" w:eastAsia="仿宋" w:cs="仿宋"/>
          <w:spacing w:val="7"/>
          <w:sz w:val="25"/>
          <w:szCs w:val="25"/>
        </w:rPr>
        <w:t>国务院关于全面推进美丽中国建设的意见》</w:t>
      </w:r>
      <w:r>
        <w:rPr>
          <w:rFonts w:ascii="仿宋" w:hAnsi="仿宋" w:eastAsia="仿宋" w:cs="仿宋"/>
          <w:spacing w:val="-103"/>
          <w:sz w:val="25"/>
          <w:szCs w:val="25"/>
        </w:rPr>
        <w:t xml:space="preserve"> </w:t>
      </w:r>
      <w:r>
        <w:rPr>
          <w:rFonts w:ascii="仿宋" w:hAnsi="仿宋" w:eastAsia="仿宋" w:cs="仿宋"/>
          <w:spacing w:val="7"/>
          <w:sz w:val="25"/>
          <w:szCs w:val="25"/>
        </w:rPr>
        <w:t>（</w:t>
      </w:r>
      <w:r>
        <w:rPr>
          <w:rFonts w:ascii="Times New Roman" w:hAnsi="Times New Roman" w:eastAsia="Times New Roman" w:cs="Times New Roman"/>
          <w:spacing w:val="7"/>
          <w:sz w:val="25"/>
          <w:szCs w:val="25"/>
        </w:rPr>
        <w:t>2023</w:t>
      </w:r>
      <w:r>
        <w:rPr>
          <w:rFonts w:ascii="Times New Roman" w:hAnsi="Times New Roman" w:eastAsia="Times New Roman" w:cs="Times New Roman"/>
          <w:spacing w:val="29"/>
          <w:w w:val="101"/>
          <w:sz w:val="25"/>
          <w:szCs w:val="25"/>
        </w:rPr>
        <w:t xml:space="preserve"> </w:t>
      </w:r>
      <w:r>
        <w:rPr>
          <w:rFonts w:ascii="仿宋" w:hAnsi="仿宋" w:eastAsia="仿宋" w:cs="仿宋"/>
          <w:spacing w:val="7"/>
          <w:sz w:val="25"/>
          <w:szCs w:val="25"/>
        </w:rPr>
        <w:t>年</w:t>
      </w:r>
      <w:r>
        <w:rPr>
          <w:rFonts w:ascii="仿宋" w:hAnsi="仿宋" w:eastAsia="仿宋" w:cs="仿宋"/>
          <w:sz w:val="25"/>
          <w:szCs w:val="25"/>
        </w:rPr>
        <w:t xml:space="preserve"> </w:t>
      </w:r>
      <w:r>
        <w:rPr>
          <w:rFonts w:ascii="Times New Roman" w:hAnsi="Times New Roman" w:eastAsia="Times New Roman" w:cs="Times New Roman"/>
          <w:spacing w:val="-11"/>
          <w:sz w:val="25"/>
          <w:szCs w:val="25"/>
        </w:rPr>
        <w:t>12</w:t>
      </w:r>
      <w:r>
        <w:rPr>
          <w:rFonts w:ascii="Times New Roman" w:hAnsi="Times New Roman" w:eastAsia="Times New Roman" w:cs="Times New Roman"/>
          <w:spacing w:val="34"/>
          <w:w w:val="101"/>
          <w:sz w:val="25"/>
          <w:szCs w:val="25"/>
        </w:rPr>
        <w:t xml:space="preserve"> </w:t>
      </w:r>
      <w:r>
        <w:rPr>
          <w:rFonts w:ascii="仿宋" w:hAnsi="仿宋" w:eastAsia="仿宋" w:cs="仿宋"/>
          <w:spacing w:val="-11"/>
          <w:sz w:val="25"/>
          <w:szCs w:val="25"/>
        </w:rPr>
        <w:t>月</w:t>
      </w:r>
      <w:r>
        <w:rPr>
          <w:rFonts w:ascii="仿宋" w:hAnsi="仿宋" w:eastAsia="仿宋" w:cs="仿宋"/>
          <w:spacing w:val="-55"/>
          <w:sz w:val="25"/>
          <w:szCs w:val="25"/>
        </w:rPr>
        <w:t xml:space="preserve"> </w:t>
      </w:r>
      <w:r>
        <w:rPr>
          <w:rFonts w:ascii="Times New Roman" w:hAnsi="Times New Roman" w:eastAsia="Times New Roman" w:cs="Times New Roman"/>
          <w:spacing w:val="-11"/>
          <w:sz w:val="25"/>
          <w:szCs w:val="25"/>
        </w:rPr>
        <w:t>27</w:t>
      </w:r>
      <w:r>
        <w:rPr>
          <w:rFonts w:ascii="Times New Roman" w:hAnsi="Times New Roman" w:eastAsia="Times New Roman" w:cs="Times New Roman"/>
          <w:spacing w:val="6"/>
          <w:sz w:val="25"/>
          <w:szCs w:val="25"/>
        </w:rPr>
        <w:t xml:space="preserve">  </w:t>
      </w:r>
      <w:r>
        <w:rPr>
          <w:rFonts w:ascii="仿宋" w:hAnsi="仿宋" w:eastAsia="仿宋" w:cs="仿宋"/>
          <w:spacing w:val="-11"/>
          <w:sz w:val="25"/>
          <w:szCs w:val="25"/>
        </w:rPr>
        <w:t>日</w:t>
      </w:r>
      <w:r>
        <w:rPr>
          <w:rFonts w:ascii="仿宋" w:hAnsi="仿宋" w:eastAsia="仿宋" w:cs="仿宋"/>
          <w:spacing w:val="-16"/>
          <w:sz w:val="25"/>
          <w:szCs w:val="25"/>
        </w:rPr>
        <w:t>）；</w:t>
      </w:r>
    </w:p>
    <w:p w14:paraId="6931895F">
      <w:pPr>
        <w:spacing w:before="150" w:line="284" w:lineRule="auto"/>
        <w:ind w:left="29" w:right="80" w:firstLine="512"/>
        <w:rPr>
          <w:rFonts w:ascii="仿宋" w:hAnsi="仿宋" w:eastAsia="仿宋" w:cs="仿宋"/>
          <w:sz w:val="25"/>
          <w:szCs w:val="25"/>
        </w:rPr>
      </w:pPr>
      <w:r>
        <w:rPr>
          <w:rFonts w:ascii="仿宋" w:hAnsi="仿宋" w:eastAsia="仿宋" w:cs="仿宋"/>
          <w:spacing w:val="6"/>
          <w:sz w:val="25"/>
          <w:szCs w:val="25"/>
        </w:rPr>
        <w:t>（</w:t>
      </w:r>
      <w:r>
        <w:rPr>
          <w:rFonts w:ascii="Times New Roman" w:hAnsi="Times New Roman" w:eastAsia="Times New Roman" w:cs="Times New Roman"/>
          <w:spacing w:val="6"/>
          <w:sz w:val="25"/>
          <w:szCs w:val="25"/>
        </w:rPr>
        <w:t>48</w:t>
      </w:r>
      <w:r>
        <w:rPr>
          <w:rFonts w:ascii="仿宋" w:hAnsi="仿宋" w:eastAsia="仿宋" w:cs="仿宋"/>
          <w:spacing w:val="6"/>
          <w:sz w:val="25"/>
          <w:szCs w:val="25"/>
        </w:rPr>
        <w:t>）《自然资源部关于深化矿产资源管理改革若干事项的意见》（</w:t>
      </w:r>
      <w:r>
        <w:rPr>
          <w:rFonts w:ascii="仿宋" w:hAnsi="仿宋" w:eastAsia="仿宋" w:cs="仿宋"/>
          <w:spacing w:val="-21"/>
          <w:sz w:val="25"/>
          <w:szCs w:val="25"/>
        </w:rPr>
        <w:t xml:space="preserve"> </w:t>
      </w:r>
      <w:r>
        <w:rPr>
          <w:rFonts w:ascii="仿宋" w:hAnsi="仿宋" w:eastAsia="仿宋" w:cs="仿宋"/>
          <w:spacing w:val="6"/>
          <w:sz w:val="25"/>
          <w:szCs w:val="25"/>
        </w:rPr>
        <w:t>自然</w:t>
      </w:r>
      <w:r>
        <w:rPr>
          <w:rFonts w:ascii="仿宋" w:hAnsi="仿宋" w:eastAsia="仿宋" w:cs="仿宋"/>
          <w:sz w:val="25"/>
          <w:szCs w:val="25"/>
        </w:rPr>
        <w:t xml:space="preserve"> </w:t>
      </w:r>
      <w:r>
        <w:rPr>
          <w:rFonts w:ascii="仿宋" w:hAnsi="仿宋" w:eastAsia="仿宋" w:cs="仿宋"/>
          <w:spacing w:val="1"/>
          <w:sz w:val="25"/>
          <w:szCs w:val="25"/>
        </w:rPr>
        <w:t>资规〔</w:t>
      </w:r>
      <w:r>
        <w:rPr>
          <w:rFonts w:ascii="Times New Roman" w:hAnsi="Times New Roman" w:eastAsia="Times New Roman" w:cs="Times New Roman"/>
          <w:spacing w:val="1"/>
          <w:sz w:val="25"/>
          <w:szCs w:val="25"/>
        </w:rPr>
        <w:t>2023</w:t>
      </w:r>
      <w:r>
        <w:rPr>
          <w:rFonts w:ascii="仿宋" w:hAnsi="仿宋" w:eastAsia="仿宋" w:cs="仿宋"/>
          <w:spacing w:val="1"/>
          <w:sz w:val="25"/>
          <w:szCs w:val="25"/>
        </w:rPr>
        <w:t>〕</w:t>
      </w:r>
      <w:r>
        <w:rPr>
          <w:rFonts w:ascii="Times New Roman" w:hAnsi="Times New Roman" w:eastAsia="Times New Roman" w:cs="Times New Roman"/>
          <w:spacing w:val="1"/>
          <w:sz w:val="25"/>
          <w:szCs w:val="25"/>
        </w:rPr>
        <w:t>6</w:t>
      </w:r>
      <w:r>
        <w:rPr>
          <w:rFonts w:ascii="Times New Roman" w:hAnsi="Times New Roman" w:eastAsia="Times New Roman" w:cs="Times New Roman"/>
          <w:spacing w:val="26"/>
          <w:sz w:val="25"/>
          <w:szCs w:val="25"/>
        </w:rPr>
        <w:t xml:space="preserve"> </w:t>
      </w:r>
      <w:r>
        <w:rPr>
          <w:rFonts w:ascii="仿宋" w:hAnsi="仿宋" w:eastAsia="仿宋" w:cs="仿宋"/>
          <w:spacing w:val="1"/>
          <w:sz w:val="25"/>
          <w:szCs w:val="25"/>
        </w:rPr>
        <w:t>号</w:t>
      </w:r>
      <w:r>
        <w:rPr>
          <w:rFonts w:ascii="仿宋" w:hAnsi="仿宋" w:eastAsia="仿宋" w:cs="仿宋"/>
          <w:spacing w:val="4"/>
          <w:sz w:val="25"/>
          <w:szCs w:val="25"/>
        </w:rPr>
        <w:t>）；</w:t>
      </w:r>
    </w:p>
    <w:p w14:paraId="01014F2B">
      <w:pPr>
        <w:spacing w:before="150" w:line="285" w:lineRule="auto"/>
        <w:ind w:left="22" w:right="87" w:firstLine="519"/>
        <w:rPr>
          <w:rFonts w:ascii="仿宋" w:hAnsi="仿宋" w:eastAsia="仿宋" w:cs="仿宋"/>
          <w:sz w:val="25"/>
          <w:szCs w:val="25"/>
        </w:rPr>
      </w:pPr>
      <w:r>
        <w:rPr>
          <w:rFonts w:ascii="仿宋" w:hAnsi="仿宋" w:eastAsia="仿宋" w:cs="仿宋"/>
          <w:spacing w:val="8"/>
          <w:sz w:val="25"/>
          <w:szCs w:val="25"/>
        </w:rPr>
        <w:t>（</w:t>
      </w:r>
      <w:r>
        <w:rPr>
          <w:rFonts w:ascii="Times New Roman" w:hAnsi="Times New Roman" w:eastAsia="Times New Roman" w:cs="Times New Roman"/>
          <w:spacing w:val="8"/>
          <w:sz w:val="25"/>
          <w:szCs w:val="25"/>
        </w:rPr>
        <w:t>49</w:t>
      </w:r>
      <w:r>
        <w:rPr>
          <w:rFonts w:ascii="仿宋" w:hAnsi="仿宋" w:eastAsia="仿宋" w:cs="仿宋"/>
          <w:spacing w:val="8"/>
          <w:sz w:val="25"/>
          <w:szCs w:val="25"/>
        </w:rPr>
        <w:t>）《关于进一步优化环境影响评价工作的意见》（环环评〔</w:t>
      </w:r>
      <w:r>
        <w:rPr>
          <w:rFonts w:ascii="Times New Roman" w:hAnsi="Times New Roman" w:eastAsia="Times New Roman" w:cs="Times New Roman"/>
          <w:spacing w:val="8"/>
          <w:sz w:val="25"/>
          <w:szCs w:val="25"/>
        </w:rPr>
        <w:t>2023</w:t>
      </w:r>
      <w:r>
        <w:rPr>
          <w:rFonts w:ascii="仿宋" w:hAnsi="仿宋" w:eastAsia="仿宋" w:cs="仿宋"/>
          <w:spacing w:val="8"/>
          <w:sz w:val="25"/>
          <w:szCs w:val="25"/>
        </w:rPr>
        <w:t>〕</w:t>
      </w:r>
      <w:r>
        <w:rPr>
          <w:rFonts w:ascii="Times New Roman" w:hAnsi="Times New Roman" w:eastAsia="Times New Roman" w:cs="Times New Roman"/>
          <w:spacing w:val="8"/>
          <w:sz w:val="25"/>
          <w:szCs w:val="25"/>
        </w:rPr>
        <w:t>52</w:t>
      </w:r>
      <w:r>
        <w:rPr>
          <w:rFonts w:ascii="Times New Roman" w:hAnsi="Times New Roman" w:eastAsia="Times New Roman" w:cs="Times New Roman"/>
          <w:spacing w:val="7"/>
          <w:sz w:val="25"/>
          <w:szCs w:val="25"/>
        </w:rPr>
        <w:t xml:space="preserve"> </w:t>
      </w:r>
      <w:r>
        <w:rPr>
          <w:rFonts w:ascii="仿宋" w:hAnsi="仿宋" w:eastAsia="仿宋" w:cs="仿宋"/>
          <w:spacing w:val="-15"/>
          <w:sz w:val="25"/>
          <w:szCs w:val="25"/>
        </w:rPr>
        <w:t>号</w:t>
      </w:r>
      <w:r>
        <w:rPr>
          <w:rFonts w:ascii="仿宋" w:hAnsi="仿宋" w:eastAsia="仿宋" w:cs="仿宋"/>
          <w:sz w:val="25"/>
          <w:szCs w:val="25"/>
        </w:rPr>
        <w:t>）；</w:t>
      </w:r>
    </w:p>
    <w:p w14:paraId="5CFB0CF7">
      <w:pPr>
        <w:spacing w:before="148" w:line="285" w:lineRule="auto"/>
        <w:ind w:left="22" w:right="82" w:firstLine="519"/>
        <w:rPr>
          <w:rFonts w:ascii="仿宋" w:hAnsi="仿宋" w:eastAsia="仿宋" w:cs="仿宋"/>
          <w:sz w:val="25"/>
          <w:szCs w:val="25"/>
        </w:rPr>
      </w:pPr>
      <w:r>
        <w:rPr>
          <w:rFonts w:ascii="仿宋" w:hAnsi="仿宋" w:eastAsia="仿宋" w:cs="仿宋"/>
          <w:spacing w:val="10"/>
          <w:sz w:val="25"/>
          <w:szCs w:val="25"/>
        </w:rPr>
        <w:t>（</w:t>
      </w:r>
      <w:r>
        <w:rPr>
          <w:rFonts w:ascii="Times New Roman" w:hAnsi="Times New Roman" w:eastAsia="Times New Roman" w:cs="Times New Roman"/>
          <w:spacing w:val="10"/>
          <w:sz w:val="25"/>
          <w:szCs w:val="25"/>
        </w:rPr>
        <w:t>50</w:t>
      </w:r>
      <w:r>
        <w:rPr>
          <w:rFonts w:ascii="仿宋" w:hAnsi="仿宋" w:eastAsia="仿宋" w:cs="仿宋"/>
          <w:spacing w:val="10"/>
          <w:sz w:val="25"/>
          <w:szCs w:val="25"/>
        </w:rPr>
        <w:t>）</w:t>
      </w:r>
      <w:r>
        <w:rPr>
          <w:rFonts w:ascii="仿宋" w:hAnsi="仿宋" w:eastAsia="仿宋" w:cs="仿宋"/>
          <w:spacing w:val="-86"/>
          <w:sz w:val="25"/>
          <w:szCs w:val="25"/>
        </w:rPr>
        <w:t xml:space="preserve"> </w:t>
      </w:r>
      <w:r>
        <w:rPr>
          <w:rFonts w:ascii="仿宋" w:hAnsi="仿宋" w:eastAsia="仿宋" w:cs="仿宋"/>
          <w:spacing w:val="10"/>
          <w:sz w:val="25"/>
          <w:szCs w:val="25"/>
        </w:rPr>
        <w:t>《关于加强危险废物鉴别工作的通知》</w:t>
      </w:r>
      <w:r>
        <w:rPr>
          <w:rFonts w:ascii="仿宋" w:hAnsi="仿宋" w:eastAsia="仿宋" w:cs="仿宋"/>
          <w:spacing w:val="-99"/>
          <w:sz w:val="25"/>
          <w:szCs w:val="25"/>
        </w:rPr>
        <w:t xml:space="preserve"> </w:t>
      </w:r>
      <w:r>
        <w:rPr>
          <w:rFonts w:ascii="仿宋" w:hAnsi="仿宋" w:eastAsia="仿宋" w:cs="仿宋"/>
          <w:spacing w:val="10"/>
          <w:sz w:val="25"/>
          <w:szCs w:val="25"/>
        </w:rPr>
        <w:t>（环办固体函〔</w:t>
      </w:r>
      <w:r>
        <w:rPr>
          <w:rFonts w:ascii="Times New Roman" w:hAnsi="Times New Roman" w:eastAsia="Times New Roman" w:cs="Times New Roman"/>
          <w:spacing w:val="10"/>
          <w:sz w:val="25"/>
          <w:szCs w:val="25"/>
        </w:rPr>
        <w:t>2021</w:t>
      </w:r>
      <w:r>
        <w:rPr>
          <w:rFonts w:ascii="仿宋" w:hAnsi="仿宋" w:eastAsia="仿宋" w:cs="仿宋"/>
          <w:spacing w:val="10"/>
          <w:sz w:val="25"/>
          <w:szCs w:val="25"/>
        </w:rPr>
        <w:t>〕</w:t>
      </w:r>
      <w:r>
        <w:rPr>
          <w:rFonts w:ascii="Times New Roman" w:hAnsi="Times New Roman" w:eastAsia="Times New Roman" w:cs="Times New Roman"/>
          <w:spacing w:val="10"/>
          <w:sz w:val="25"/>
          <w:szCs w:val="25"/>
        </w:rPr>
        <w:t>419</w:t>
      </w:r>
      <w:r>
        <w:rPr>
          <w:rFonts w:ascii="Times New Roman" w:hAnsi="Times New Roman" w:eastAsia="Times New Roman" w:cs="Times New Roman"/>
          <w:sz w:val="25"/>
          <w:szCs w:val="25"/>
        </w:rPr>
        <w:t xml:space="preserve"> </w:t>
      </w:r>
      <w:r>
        <w:rPr>
          <w:rFonts w:ascii="仿宋" w:hAnsi="仿宋" w:eastAsia="仿宋" w:cs="仿宋"/>
          <w:spacing w:val="-15"/>
          <w:sz w:val="25"/>
          <w:szCs w:val="25"/>
        </w:rPr>
        <w:t>号</w:t>
      </w:r>
      <w:r>
        <w:rPr>
          <w:rFonts w:ascii="仿宋" w:hAnsi="仿宋" w:eastAsia="仿宋" w:cs="仿宋"/>
          <w:sz w:val="25"/>
          <w:szCs w:val="25"/>
        </w:rPr>
        <w:t>）；</w:t>
      </w:r>
    </w:p>
    <w:p w14:paraId="328D31E0">
      <w:pPr>
        <w:spacing w:before="150" w:line="284" w:lineRule="auto"/>
        <w:ind w:left="24" w:right="82" w:firstLine="516"/>
        <w:rPr>
          <w:rFonts w:ascii="仿宋" w:hAnsi="仿宋" w:eastAsia="仿宋" w:cs="仿宋"/>
          <w:sz w:val="25"/>
          <w:szCs w:val="25"/>
        </w:rPr>
      </w:pPr>
      <w:r>
        <w:rPr>
          <w:rFonts w:ascii="仿宋" w:hAnsi="仿宋" w:eastAsia="仿宋" w:cs="仿宋"/>
          <w:spacing w:val="-1"/>
          <w:sz w:val="25"/>
          <w:szCs w:val="25"/>
        </w:rPr>
        <w:t>（</w:t>
      </w:r>
      <w:r>
        <w:rPr>
          <w:rFonts w:ascii="Times New Roman" w:hAnsi="Times New Roman" w:eastAsia="Times New Roman" w:cs="Times New Roman"/>
          <w:spacing w:val="-1"/>
          <w:sz w:val="25"/>
          <w:szCs w:val="25"/>
        </w:rPr>
        <w:t>51</w:t>
      </w:r>
      <w:r>
        <w:rPr>
          <w:rFonts w:ascii="仿宋" w:hAnsi="仿宋" w:eastAsia="仿宋" w:cs="仿宋"/>
          <w:spacing w:val="-1"/>
          <w:sz w:val="25"/>
          <w:szCs w:val="25"/>
        </w:rPr>
        <w:t>）《自然资源部关于完善矿产资源规划实施管理有关事项的通知》（</w:t>
      </w:r>
      <w:r>
        <w:rPr>
          <w:rFonts w:ascii="仿宋" w:hAnsi="仿宋" w:eastAsia="仿宋" w:cs="仿宋"/>
          <w:spacing w:val="-41"/>
          <w:sz w:val="25"/>
          <w:szCs w:val="25"/>
        </w:rPr>
        <w:t xml:space="preserve"> </w:t>
      </w:r>
      <w:r>
        <w:rPr>
          <w:rFonts w:ascii="仿宋" w:hAnsi="仿宋" w:eastAsia="仿宋" w:cs="仿宋"/>
          <w:spacing w:val="-1"/>
          <w:sz w:val="25"/>
          <w:szCs w:val="25"/>
        </w:rPr>
        <w:t>自</w:t>
      </w:r>
      <w:r>
        <w:rPr>
          <w:rFonts w:ascii="仿宋" w:hAnsi="仿宋" w:eastAsia="仿宋" w:cs="仿宋"/>
          <w:sz w:val="25"/>
          <w:szCs w:val="25"/>
        </w:rPr>
        <w:t xml:space="preserve"> </w:t>
      </w:r>
      <w:r>
        <w:rPr>
          <w:rFonts w:ascii="仿宋" w:hAnsi="仿宋" w:eastAsia="仿宋" w:cs="仿宋"/>
          <w:spacing w:val="3"/>
          <w:sz w:val="25"/>
          <w:szCs w:val="25"/>
        </w:rPr>
        <w:t>然资发〔</w:t>
      </w:r>
      <w:r>
        <w:rPr>
          <w:rFonts w:ascii="Times New Roman" w:hAnsi="Times New Roman" w:eastAsia="Times New Roman" w:cs="Times New Roman"/>
          <w:spacing w:val="3"/>
          <w:sz w:val="25"/>
          <w:szCs w:val="25"/>
        </w:rPr>
        <w:t>2024</w:t>
      </w:r>
      <w:r>
        <w:rPr>
          <w:rFonts w:ascii="仿宋" w:hAnsi="仿宋" w:eastAsia="仿宋" w:cs="仿宋"/>
          <w:spacing w:val="3"/>
          <w:sz w:val="25"/>
          <w:szCs w:val="25"/>
        </w:rPr>
        <w:t>〕</w:t>
      </w:r>
      <w:r>
        <w:rPr>
          <w:rFonts w:ascii="Times New Roman" w:hAnsi="Times New Roman" w:eastAsia="Times New Roman" w:cs="Times New Roman"/>
          <w:spacing w:val="3"/>
          <w:sz w:val="25"/>
          <w:szCs w:val="25"/>
        </w:rPr>
        <w:t>53</w:t>
      </w:r>
      <w:r>
        <w:rPr>
          <w:rFonts w:ascii="Times New Roman" w:hAnsi="Times New Roman" w:eastAsia="Times New Roman" w:cs="Times New Roman"/>
          <w:spacing w:val="25"/>
          <w:w w:val="101"/>
          <w:sz w:val="25"/>
          <w:szCs w:val="25"/>
        </w:rPr>
        <w:t xml:space="preserve"> </w:t>
      </w:r>
      <w:r>
        <w:rPr>
          <w:rFonts w:ascii="仿宋" w:hAnsi="仿宋" w:eastAsia="仿宋" w:cs="仿宋"/>
          <w:spacing w:val="3"/>
          <w:sz w:val="25"/>
          <w:szCs w:val="25"/>
        </w:rPr>
        <w:t>号</w:t>
      </w:r>
      <w:r>
        <w:rPr>
          <w:rFonts w:ascii="仿宋" w:hAnsi="仿宋" w:eastAsia="仿宋" w:cs="仿宋"/>
          <w:spacing w:val="2"/>
          <w:sz w:val="25"/>
          <w:szCs w:val="25"/>
        </w:rPr>
        <w:t>）；</w:t>
      </w:r>
    </w:p>
    <w:p w14:paraId="7965B137">
      <w:pPr>
        <w:spacing w:line="284" w:lineRule="auto"/>
        <w:rPr>
          <w:rFonts w:ascii="仿宋" w:hAnsi="仿宋" w:eastAsia="仿宋" w:cs="仿宋"/>
          <w:sz w:val="25"/>
          <w:szCs w:val="25"/>
        </w:rPr>
        <w:sectPr>
          <w:headerReference r:id="rId20" w:type="default"/>
          <w:footerReference r:id="rId21" w:type="default"/>
          <w:pgSz w:w="11906" w:h="16839"/>
          <w:pgMar w:top="1116" w:right="1393" w:bottom="1480" w:left="1587" w:header="683" w:footer="1318" w:gutter="0"/>
          <w:cols w:space="720" w:num="1"/>
        </w:sectPr>
      </w:pPr>
    </w:p>
    <w:p w14:paraId="3B44FBB0">
      <w:pPr>
        <w:pStyle w:val="2"/>
        <w:spacing w:line="385" w:lineRule="auto"/>
      </w:pPr>
    </w:p>
    <w:p w14:paraId="1D584931">
      <w:pPr>
        <w:spacing w:before="82" w:line="229" w:lineRule="auto"/>
        <w:jc w:val="right"/>
        <w:rPr>
          <w:rFonts w:ascii="仿宋" w:hAnsi="仿宋" w:eastAsia="仿宋" w:cs="仿宋"/>
          <w:sz w:val="25"/>
          <w:szCs w:val="25"/>
        </w:rPr>
      </w:pPr>
      <w:r>
        <w:rPr>
          <w:rFonts w:ascii="仿宋" w:hAnsi="仿宋" w:eastAsia="仿宋" w:cs="仿宋"/>
          <w:sz w:val="25"/>
          <w:szCs w:val="25"/>
        </w:rPr>
        <w:t>（</w:t>
      </w:r>
      <w:r>
        <w:rPr>
          <w:rFonts w:ascii="Times New Roman" w:hAnsi="Times New Roman" w:eastAsia="Times New Roman" w:cs="Times New Roman"/>
          <w:sz w:val="25"/>
          <w:szCs w:val="25"/>
        </w:rPr>
        <w:t>52</w:t>
      </w:r>
      <w:r>
        <w:rPr>
          <w:rFonts w:ascii="仿宋" w:hAnsi="仿宋" w:eastAsia="仿宋" w:cs="仿宋"/>
          <w:sz w:val="25"/>
          <w:szCs w:val="25"/>
        </w:rPr>
        <w:t>）《关于进一步加强绿色矿山建设的通知》（</w:t>
      </w:r>
      <w:r>
        <w:rPr>
          <w:rFonts w:ascii="仿宋" w:hAnsi="仿宋" w:eastAsia="仿宋" w:cs="仿宋"/>
          <w:spacing w:val="-55"/>
          <w:sz w:val="25"/>
          <w:szCs w:val="25"/>
        </w:rPr>
        <w:t xml:space="preserve"> </w:t>
      </w:r>
      <w:r>
        <w:rPr>
          <w:rFonts w:ascii="仿宋" w:hAnsi="仿宋" w:eastAsia="仿宋" w:cs="仿宋"/>
          <w:sz w:val="25"/>
          <w:szCs w:val="25"/>
        </w:rPr>
        <w:t>自然资规〔</w:t>
      </w:r>
      <w:r>
        <w:rPr>
          <w:rFonts w:ascii="Times New Roman" w:hAnsi="Times New Roman" w:eastAsia="Times New Roman" w:cs="Times New Roman"/>
          <w:sz w:val="25"/>
          <w:szCs w:val="25"/>
        </w:rPr>
        <w:t>2024</w:t>
      </w:r>
      <w:r>
        <w:rPr>
          <w:rFonts w:ascii="仿宋" w:hAnsi="仿宋" w:eastAsia="仿宋" w:cs="仿宋"/>
          <w:sz w:val="25"/>
          <w:szCs w:val="25"/>
        </w:rPr>
        <w:t>〕</w:t>
      </w:r>
      <w:r>
        <w:rPr>
          <w:rFonts w:ascii="Times New Roman" w:hAnsi="Times New Roman" w:eastAsia="Times New Roman" w:cs="Times New Roman"/>
          <w:sz w:val="25"/>
          <w:szCs w:val="25"/>
        </w:rPr>
        <w:t>1</w:t>
      </w:r>
      <w:r>
        <w:rPr>
          <w:rFonts w:ascii="Times New Roman" w:hAnsi="Times New Roman" w:eastAsia="Times New Roman" w:cs="Times New Roman"/>
          <w:spacing w:val="26"/>
          <w:sz w:val="25"/>
          <w:szCs w:val="25"/>
        </w:rPr>
        <w:t xml:space="preserve"> </w:t>
      </w:r>
      <w:r>
        <w:rPr>
          <w:rFonts w:ascii="仿宋" w:hAnsi="仿宋" w:eastAsia="仿宋" w:cs="仿宋"/>
          <w:sz w:val="25"/>
          <w:szCs w:val="25"/>
        </w:rPr>
        <w:t>号</w:t>
      </w:r>
      <w:r>
        <w:rPr>
          <w:rFonts w:ascii="仿宋" w:hAnsi="仿宋" w:eastAsia="仿宋" w:cs="仿宋"/>
          <w:spacing w:val="-65"/>
          <w:w w:val="93"/>
          <w:sz w:val="25"/>
          <w:szCs w:val="25"/>
        </w:rPr>
        <w:t>）；</w:t>
      </w:r>
    </w:p>
    <w:p w14:paraId="2D2713B4">
      <w:pPr>
        <w:spacing w:before="150" w:line="284" w:lineRule="auto"/>
        <w:ind w:left="43" w:right="115" w:firstLine="498"/>
        <w:rPr>
          <w:rFonts w:ascii="仿宋" w:hAnsi="仿宋" w:eastAsia="仿宋" w:cs="仿宋"/>
          <w:sz w:val="25"/>
          <w:szCs w:val="25"/>
        </w:rPr>
      </w:pPr>
      <w:r>
        <w:rPr>
          <w:rFonts w:ascii="仿宋" w:hAnsi="仿宋" w:eastAsia="仿宋" w:cs="仿宋"/>
          <w:spacing w:val="9"/>
          <w:sz w:val="25"/>
          <w:szCs w:val="25"/>
        </w:rPr>
        <w:t>（</w:t>
      </w:r>
      <w:r>
        <w:rPr>
          <w:rFonts w:ascii="Times New Roman" w:hAnsi="Times New Roman" w:eastAsia="Times New Roman" w:cs="Times New Roman"/>
          <w:spacing w:val="9"/>
          <w:sz w:val="25"/>
          <w:szCs w:val="25"/>
        </w:rPr>
        <w:t>53</w:t>
      </w:r>
      <w:r>
        <w:rPr>
          <w:rFonts w:ascii="仿宋" w:hAnsi="仿宋" w:eastAsia="仿宋" w:cs="仿宋"/>
          <w:spacing w:val="9"/>
          <w:sz w:val="25"/>
          <w:szCs w:val="25"/>
        </w:rPr>
        <w:t>）《国家林业和草原局关于规范林木采挖移植管理的通知》（林资规</w:t>
      </w:r>
      <w:r>
        <w:rPr>
          <w:rFonts w:ascii="仿宋" w:hAnsi="仿宋" w:eastAsia="仿宋" w:cs="仿宋"/>
          <w:spacing w:val="3"/>
          <w:sz w:val="25"/>
          <w:szCs w:val="25"/>
        </w:rPr>
        <w:t xml:space="preserve"> </w:t>
      </w:r>
      <w:r>
        <w:rPr>
          <w:rFonts w:ascii="仿宋" w:hAnsi="仿宋" w:eastAsia="仿宋" w:cs="仿宋"/>
          <w:spacing w:val="-2"/>
          <w:sz w:val="25"/>
          <w:szCs w:val="25"/>
        </w:rPr>
        <w:t>〔</w:t>
      </w:r>
      <w:r>
        <w:rPr>
          <w:rFonts w:ascii="Times New Roman" w:hAnsi="Times New Roman" w:eastAsia="Times New Roman" w:cs="Times New Roman"/>
          <w:spacing w:val="-2"/>
          <w:sz w:val="25"/>
          <w:szCs w:val="25"/>
        </w:rPr>
        <w:t>2021</w:t>
      </w:r>
      <w:r>
        <w:rPr>
          <w:rFonts w:ascii="仿宋" w:hAnsi="仿宋" w:eastAsia="仿宋" w:cs="仿宋"/>
          <w:spacing w:val="-2"/>
          <w:sz w:val="25"/>
          <w:szCs w:val="25"/>
        </w:rPr>
        <w:t>〕</w:t>
      </w:r>
      <w:r>
        <w:rPr>
          <w:rFonts w:ascii="Times New Roman" w:hAnsi="Times New Roman" w:eastAsia="Times New Roman" w:cs="Times New Roman"/>
          <w:spacing w:val="-2"/>
          <w:sz w:val="25"/>
          <w:szCs w:val="25"/>
        </w:rPr>
        <w:t>4</w:t>
      </w:r>
      <w:r>
        <w:rPr>
          <w:rFonts w:ascii="Times New Roman" w:hAnsi="Times New Roman" w:eastAsia="Times New Roman" w:cs="Times New Roman"/>
          <w:spacing w:val="26"/>
          <w:w w:val="101"/>
          <w:sz w:val="25"/>
          <w:szCs w:val="25"/>
        </w:rPr>
        <w:t xml:space="preserve"> </w:t>
      </w:r>
      <w:r>
        <w:rPr>
          <w:rFonts w:ascii="仿宋" w:hAnsi="仿宋" w:eastAsia="仿宋" w:cs="仿宋"/>
          <w:spacing w:val="-2"/>
          <w:sz w:val="25"/>
          <w:szCs w:val="25"/>
        </w:rPr>
        <w:t>号</w:t>
      </w:r>
      <w:r>
        <w:rPr>
          <w:rFonts w:ascii="仿宋" w:hAnsi="仿宋" w:eastAsia="仿宋" w:cs="仿宋"/>
          <w:spacing w:val="1"/>
          <w:sz w:val="25"/>
          <w:szCs w:val="25"/>
        </w:rPr>
        <w:t>）；</w:t>
      </w:r>
    </w:p>
    <w:p w14:paraId="01AF091C">
      <w:pPr>
        <w:spacing w:before="149" w:line="280" w:lineRule="auto"/>
        <w:ind w:left="31" w:firstLine="509"/>
        <w:rPr>
          <w:rFonts w:ascii="仿宋" w:hAnsi="仿宋" w:eastAsia="仿宋" w:cs="仿宋"/>
          <w:sz w:val="25"/>
          <w:szCs w:val="25"/>
        </w:rPr>
      </w:pPr>
      <w:r>
        <w:rPr>
          <w:rFonts w:ascii="仿宋" w:hAnsi="仿宋" w:eastAsia="仿宋" w:cs="仿宋"/>
          <w:spacing w:val="5"/>
          <w:sz w:val="25"/>
          <w:szCs w:val="25"/>
        </w:rPr>
        <w:t>（</w:t>
      </w:r>
      <w:r>
        <w:rPr>
          <w:rFonts w:ascii="Times New Roman" w:hAnsi="Times New Roman" w:eastAsia="Times New Roman" w:cs="Times New Roman"/>
          <w:spacing w:val="5"/>
          <w:sz w:val="25"/>
          <w:szCs w:val="25"/>
        </w:rPr>
        <w:t>54</w:t>
      </w:r>
      <w:r>
        <w:rPr>
          <w:rFonts w:ascii="仿宋" w:hAnsi="仿宋" w:eastAsia="仿宋" w:cs="仿宋"/>
          <w:spacing w:val="5"/>
          <w:sz w:val="25"/>
          <w:szCs w:val="25"/>
        </w:rPr>
        <w:t>）国家林业和草原局《关于印发建设项目使用林地审核审批</w:t>
      </w:r>
      <w:r>
        <w:rPr>
          <w:rFonts w:ascii="仿宋" w:hAnsi="仿宋" w:eastAsia="仿宋" w:cs="仿宋"/>
          <w:spacing w:val="4"/>
          <w:sz w:val="25"/>
          <w:szCs w:val="25"/>
        </w:rPr>
        <w:t>管理规范》</w:t>
      </w:r>
      <w:r>
        <w:rPr>
          <w:rFonts w:ascii="仿宋" w:hAnsi="仿宋" w:eastAsia="仿宋" w:cs="仿宋"/>
          <w:sz w:val="25"/>
          <w:szCs w:val="25"/>
        </w:rPr>
        <w:t xml:space="preserve"> </w:t>
      </w:r>
      <w:r>
        <w:rPr>
          <w:rFonts w:ascii="仿宋" w:hAnsi="仿宋" w:eastAsia="仿宋" w:cs="仿宋"/>
          <w:spacing w:val="4"/>
          <w:sz w:val="25"/>
          <w:szCs w:val="25"/>
        </w:rPr>
        <w:t>的通知（林资规〔</w:t>
      </w:r>
      <w:r>
        <w:rPr>
          <w:rFonts w:ascii="Times New Roman" w:hAnsi="Times New Roman" w:eastAsia="Times New Roman" w:cs="Times New Roman"/>
          <w:spacing w:val="4"/>
          <w:sz w:val="25"/>
          <w:szCs w:val="25"/>
        </w:rPr>
        <w:t>2021]5</w:t>
      </w:r>
      <w:r>
        <w:rPr>
          <w:rFonts w:ascii="Times New Roman" w:hAnsi="Times New Roman" w:eastAsia="Times New Roman" w:cs="Times New Roman"/>
          <w:spacing w:val="28"/>
          <w:sz w:val="25"/>
          <w:szCs w:val="25"/>
        </w:rPr>
        <w:t xml:space="preserve"> </w:t>
      </w:r>
      <w:r>
        <w:rPr>
          <w:rFonts w:ascii="仿宋" w:hAnsi="仿宋" w:eastAsia="仿宋" w:cs="仿宋"/>
          <w:spacing w:val="4"/>
          <w:sz w:val="25"/>
          <w:szCs w:val="25"/>
        </w:rPr>
        <w:t>号</w:t>
      </w:r>
      <w:r>
        <w:rPr>
          <w:rFonts w:ascii="仿宋" w:hAnsi="仿宋" w:eastAsia="仿宋" w:cs="仿宋"/>
          <w:sz w:val="25"/>
          <w:szCs w:val="25"/>
        </w:rPr>
        <w:t>）；</w:t>
      </w:r>
    </w:p>
    <w:p w14:paraId="3C8F97DB">
      <w:pPr>
        <w:spacing w:before="161" w:line="229" w:lineRule="auto"/>
        <w:ind w:left="541"/>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55</w:t>
      </w:r>
      <w:r>
        <w:rPr>
          <w:rFonts w:ascii="仿宋" w:hAnsi="仿宋" w:eastAsia="仿宋" w:cs="仿宋"/>
          <w:spacing w:val="7"/>
          <w:sz w:val="25"/>
          <w:szCs w:val="25"/>
        </w:rPr>
        <w:t>）《排污许可管理办法》（生态环境部令</w:t>
      </w:r>
      <w:r>
        <w:rPr>
          <w:rFonts w:ascii="仿宋" w:hAnsi="仿宋" w:eastAsia="仿宋" w:cs="仿宋"/>
          <w:spacing w:val="6"/>
          <w:sz w:val="25"/>
          <w:szCs w:val="25"/>
        </w:rPr>
        <w:t>第</w:t>
      </w:r>
      <w:r>
        <w:rPr>
          <w:rFonts w:ascii="仿宋" w:hAnsi="仿宋" w:eastAsia="仿宋" w:cs="仿宋"/>
          <w:spacing w:val="-49"/>
          <w:sz w:val="25"/>
          <w:szCs w:val="25"/>
        </w:rPr>
        <w:t xml:space="preserve"> </w:t>
      </w:r>
      <w:r>
        <w:rPr>
          <w:rFonts w:ascii="Times New Roman" w:hAnsi="Times New Roman" w:eastAsia="Times New Roman" w:cs="Times New Roman"/>
          <w:spacing w:val="6"/>
          <w:sz w:val="25"/>
          <w:szCs w:val="25"/>
        </w:rPr>
        <w:t>32</w:t>
      </w:r>
      <w:r>
        <w:rPr>
          <w:rFonts w:ascii="Times New Roman" w:hAnsi="Times New Roman" w:eastAsia="Times New Roman" w:cs="Times New Roman"/>
          <w:spacing w:val="25"/>
          <w:w w:val="101"/>
          <w:sz w:val="25"/>
          <w:szCs w:val="25"/>
        </w:rPr>
        <w:t xml:space="preserve"> </w:t>
      </w:r>
      <w:r>
        <w:rPr>
          <w:rFonts w:ascii="仿宋" w:hAnsi="仿宋" w:eastAsia="仿宋" w:cs="仿宋"/>
          <w:spacing w:val="6"/>
          <w:sz w:val="25"/>
          <w:szCs w:val="25"/>
        </w:rPr>
        <w:t>号</w:t>
      </w:r>
      <w:r>
        <w:rPr>
          <w:rFonts w:ascii="仿宋" w:hAnsi="仿宋" w:eastAsia="仿宋" w:cs="仿宋"/>
          <w:sz w:val="25"/>
          <w:szCs w:val="25"/>
        </w:rPr>
        <w:t>）；</w:t>
      </w:r>
    </w:p>
    <w:p w14:paraId="457E643C">
      <w:pPr>
        <w:spacing w:before="150" w:line="228" w:lineRule="auto"/>
        <w:ind w:left="541"/>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56</w:t>
      </w:r>
      <w:r>
        <w:rPr>
          <w:rFonts w:ascii="仿宋" w:hAnsi="仿宋" w:eastAsia="仿宋" w:cs="仿宋"/>
          <w:spacing w:val="7"/>
          <w:sz w:val="25"/>
          <w:szCs w:val="25"/>
        </w:rPr>
        <w:t>）《生态保护补偿条例》（中华人民共和国国务院令第</w:t>
      </w:r>
      <w:r>
        <w:rPr>
          <w:rFonts w:ascii="仿宋" w:hAnsi="仿宋" w:eastAsia="仿宋" w:cs="仿宋"/>
          <w:spacing w:val="-50"/>
          <w:sz w:val="25"/>
          <w:szCs w:val="25"/>
        </w:rPr>
        <w:t xml:space="preserve"> </w:t>
      </w:r>
      <w:r>
        <w:rPr>
          <w:rFonts w:ascii="Times New Roman" w:hAnsi="Times New Roman" w:eastAsia="Times New Roman" w:cs="Times New Roman"/>
          <w:spacing w:val="7"/>
          <w:sz w:val="25"/>
          <w:szCs w:val="25"/>
        </w:rPr>
        <w:t>779</w:t>
      </w:r>
      <w:r>
        <w:rPr>
          <w:rFonts w:ascii="Times New Roman" w:hAnsi="Times New Roman" w:eastAsia="Times New Roman" w:cs="Times New Roman"/>
          <w:spacing w:val="26"/>
          <w:sz w:val="25"/>
          <w:szCs w:val="25"/>
        </w:rPr>
        <w:t xml:space="preserve"> </w:t>
      </w:r>
      <w:r>
        <w:rPr>
          <w:rFonts w:ascii="仿宋" w:hAnsi="仿宋" w:eastAsia="仿宋" w:cs="仿宋"/>
          <w:spacing w:val="7"/>
          <w:sz w:val="25"/>
          <w:szCs w:val="25"/>
        </w:rPr>
        <w:t>号</w:t>
      </w:r>
      <w:r>
        <w:rPr>
          <w:rFonts w:ascii="仿宋" w:hAnsi="仿宋" w:eastAsia="仿宋" w:cs="仿宋"/>
          <w:spacing w:val="5"/>
          <w:sz w:val="25"/>
          <w:szCs w:val="25"/>
        </w:rPr>
        <w:t>）；</w:t>
      </w:r>
    </w:p>
    <w:p w14:paraId="6D5E3D31">
      <w:pPr>
        <w:spacing w:before="152" w:line="284" w:lineRule="auto"/>
        <w:ind w:left="21" w:right="114" w:firstLine="520"/>
        <w:rPr>
          <w:rFonts w:ascii="仿宋" w:hAnsi="仿宋" w:eastAsia="仿宋" w:cs="仿宋"/>
          <w:sz w:val="25"/>
          <w:szCs w:val="25"/>
        </w:rPr>
      </w:pPr>
      <w:r>
        <w:rPr>
          <w:rFonts w:ascii="仿宋" w:hAnsi="仿宋" w:eastAsia="仿宋" w:cs="仿宋"/>
          <w:spacing w:val="1"/>
          <w:sz w:val="25"/>
          <w:szCs w:val="25"/>
        </w:rPr>
        <w:t>（</w:t>
      </w:r>
      <w:r>
        <w:rPr>
          <w:rFonts w:ascii="Times New Roman" w:hAnsi="Times New Roman" w:eastAsia="Times New Roman" w:cs="Times New Roman"/>
          <w:spacing w:val="1"/>
          <w:sz w:val="25"/>
          <w:szCs w:val="25"/>
        </w:rPr>
        <w:t>57</w:t>
      </w:r>
      <w:r>
        <w:rPr>
          <w:rFonts w:ascii="仿宋" w:hAnsi="仿宋" w:eastAsia="仿宋" w:cs="仿宋"/>
          <w:spacing w:val="1"/>
          <w:sz w:val="25"/>
          <w:szCs w:val="25"/>
        </w:rPr>
        <w:t>）《中共中央国务院关于加快经济社会发展全面绿色转型的意见（</w:t>
      </w:r>
      <w:r>
        <w:rPr>
          <w:rFonts w:ascii="Times New Roman" w:hAnsi="Times New Roman" w:eastAsia="Times New Roman" w:cs="Times New Roman"/>
          <w:spacing w:val="1"/>
          <w:sz w:val="25"/>
          <w:szCs w:val="25"/>
        </w:rPr>
        <w:t>2024</w:t>
      </w:r>
      <w:r>
        <w:rPr>
          <w:rFonts w:ascii="Times New Roman" w:hAnsi="Times New Roman" w:eastAsia="Times New Roman" w:cs="Times New Roman"/>
          <w:spacing w:val="14"/>
          <w:sz w:val="25"/>
          <w:szCs w:val="25"/>
        </w:rPr>
        <w:t xml:space="preserve"> </w:t>
      </w:r>
      <w:r>
        <w:rPr>
          <w:rFonts w:ascii="仿宋" w:hAnsi="仿宋" w:eastAsia="仿宋" w:cs="仿宋"/>
          <w:spacing w:val="-10"/>
          <w:sz w:val="25"/>
          <w:szCs w:val="25"/>
        </w:rPr>
        <w:t>年</w:t>
      </w:r>
      <w:r>
        <w:rPr>
          <w:rFonts w:ascii="仿宋" w:hAnsi="仿宋" w:eastAsia="仿宋" w:cs="仿宋"/>
          <w:spacing w:val="-46"/>
          <w:sz w:val="25"/>
          <w:szCs w:val="25"/>
        </w:rPr>
        <w:t xml:space="preserve"> </w:t>
      </w:r>
      <w:r>
        <w:rPr>
          <w:rFonts w:ascii="Times New Roman" w:hAnsi="Times New Roman" w:eastAsia="Times New Roman" w:cs="Times New Roman"/>
          <w:spacing w:val="-10"/>
          <w:sz w:val="25"/>
          <w:szCs w:val="25"/>
        </w:rPr>
        <w:t>7</w:t>
      </w:r>
      <w:r>
        <w:rPr>
          <w:rFonts w:ascii="Times New Roman" w:hAnsi="Times New Roman" w:eastAsia="Times New Roman" w:cs="Times New Roman"/>
          <w:spacing w:val="31"/>
          <w:w w:val="101"/>
          <w:sz w:val="25"/>
          <w:szCs w:val="25"/>
        </w:rPr>
        <w:t xml:space="preserve"> </w:t>
      </w:r>
      <w:r>
        <w:rPr>
          <w:rFonts w:ascii="仿宋" w:hAnsi="仿宋" w:eastAsia="仿宋" w:cs="仿宋"/>
          <w:spacing w:val="-10"/>
          <w:sz w:val="25"/>
          <w:szCs w:val="25"/>
        </w:rPr>
        <w:t>月</w:t>
      </w:r>
      <w:r>
        <w:rPr>
          <w:rFonts w:ascii="仿宋" w:hAnsi="仿宋" w:eastAsia="仿宋" w:cs="仿宋"/>
          <w:spacing w:val="-50"/>
          <w:sz w:val="25"/>
          <w:szCs w:val="25"/>
        </w:rPr>
        <w:t xml:space="preserve"> </w:t>
      </w:r>
      <w:r>
        <w:rPr>
          <w:rFonts w:ascii="Times New Roman" w:hAnsi="Times New Roman" w:eastAsia="Times New Roman" w:cs="Times New Roman"/>
          <w:spacing w:val="-10"/>
          <w:sz w:val="25"/>
          <w:szCs w:val="25"/>
        </w:rPr>
        <w:t>31</w:t>
      </w:r>
      <w:r>
        <w:rPr>
          <w:rFonts w:ascii="Times New Roman" w:hAnsi="Times New Roman" w:eastAsia="Times New Roman" w:cs="Times New Roman"/>
          <w:spacing w:val="7"/>
          <w:sz w:val="25"/>
          <w:szCs w:val="25"/>
        </w:rPr>
        <w:t xml:space="preserve">  </w:t>
      </w:r>
      <w:r>
        <w:rPr>
          <w:rFonts w:ascii="仿宋" w:hAnsi="仿宋" w:eastAsia="仿宋" w:cs="仿宋"/>
          <w:spacing w:val="-10"/>
          <w:sz w:val="25"/>
          <w:szCs w:val="25"/>
        </w:rPr>
        <w:t>日）》；</w:t>
      </w:r>
    </w:p>
    <w:p w14:paraId="48834995">
      <w:pPr>
        <w:spacing w:before="150" w:line="228" w:lineRule="auto"/>
        <w:ind w:left="541"/>
        <w:rPr>
          <w:rFonts w:ascii="仿宋" w:hAnsi="仿宋" w:eastAsia="仿宋" w:cs="仿宋"/>
          <w:sz w:val="25"/>
          <w:szCs w:val="25"/>
        </w:rPr>
      </w:pPr>
      <w:r>
        <w:rPr>
          <w:rFonts w:ascii="仿宋" w:hAnsi="仿宋" w:eastAsia="仿宋" w:cs="仿宋"/>
          <w:spacing w:val="5"/>
          <w:sz w:val="25"/>
          <w:szCs w:val="25"/>
        </w:rPr>
        <w:t>（</w:t>
      </w:r>
      <w:r>
        <w:rPr>
          <w:rFonts w:ascii="Times New Roman" w:hAnsi="Times New Roman" w:eastAsia="Times New Roman" w:cs="Times New Roman"/>
          <w:spacing w:val="5"/>
          <w:sz w:val="25"/>
          <w:szCs w:val="25"/>
        </w:rPr>
        <w:t>58</w:t>
      </w:r>
      <w:r>
        <w:rPr>
          <w:rFonts w:ascii="仿宋" w:hAnsi="仿宋" w:eastAsia="仿宋" w:cs="仿宋"/>
          <w:spacing w:val="5"/>
          <w:sz w:val="25"/>
          <w:szCs w:val="25"/>
        </w:rPr>
        <w:t>）《铝行业规范条件》（工信部公告</w:t>
      </w:r>
      <w:r>
        <w:rPr>
          <w:rFonts w:ascii="仿宋" w:hAnsi="仿宋" w:eastAsia="仿宋" w:cs="仿宋"/>
          <w:spacing w:val="-55"/>
          <w:sz w:val="25"/>
          <w:szCs w:val="25"/>
        </w:rPr>
        <w:t xml:space="preserve"> </w:t>
      </w:r>
      <w:r>
        <w:rPr>
          <w:rFonts w:ascii="Times New Roman" w:hAnsi="Times New Roman" w:eastAsia="Times New Roman" w:cs="Times New Roman"/>
          <w:spacing w:val="5"/>
          <w:sz w:val="25"/>
          <w:szCs w:val="25"/>
        </w:rPr>
        <w:t>2020</w:t>
      </w:r>
      <w:r>
        <w:rPr>
          <w:rFonts w:ascii="Times New Roman" w:hAnsi="Times New Roman" w:eastAsia="Times New Roman" w:cs="Times New Roman"/>
          <w:spacing w:val="27"/>
          <w:sz w:val="25"/>
          <w:szCs w:val="25"/>
        </w:rPr>
        <w:t xml:space="preserve"> </w:t>
      </w:r>
      <w:r>
        <w:rPr>
          <w:rFonts w:ascii="仿宋" w:hAnsi="仿宋" w:eastAsia="仿宋" w:cs="仿宋"/>
          <w:spacing w:val="5"/>
          <w:sz w:val="25"/>
          <w:szCs w:val="25"/>
        </w:rPr>
        <w:t>年第</w:t>
      </w:r>
      <w:r>
        <w:rPr>
          <w:rFonts w:ascii="仿宋" w:hAnsi="仿宋" w:eastAsia="仿宋" w:cs="仿宋"/>
          <w:spacing w:val="-49"/>
          <w:sz w:val="25"/>
          <w:szCs w:val="25"/>
        </w:rPr>
        <w:t xml:space="preserve"> </w:t>
      </w:r>
      <w:r>
        <w:rPr>
          <w:rFonts w:ascii="Times New Roman" w:hAnsi="Times New Roman" w:eastAsia="Times New Roman" w:cs="Times New Roman"/>
          <w:spacing w:val="5"/>
          <w:sz w:val="25"/>
          <w:szCs w:val="25"/>
        </w:rPr>
        <w:t>6</w:t>
      </w:r>
      <w:r>
        <w:rPr>
          <w:rFonts w:ascii="Times New Roman" w:hAnsi="Times New Roman" w:eastAsia="Times New Roman" w:cs="Times New Roman"/>
          <w:spacing w:val="28"/>
          <w:w w:val="101"/>
          <w:sz w:val="25"/>
          <w:szCs w:val="25"/>
        </w:rPr>
        <w:t xml:space="preserve"> </w:t>
      </w:r>
      <w:r>
        <w:rPr>
          <w:rFonts w:ascii="仿宋" w:hAnsi="仿宋" w:eastAsia="仿宋" w:cs="仿宋"/>
          <w:spacing w:val="5"/>
          <w:sz w:val="25"/>
          <w:szCs w:val="25"/>
        </w:rPr>
        <w:t>号）。</w:t>
      </w:r>
    </w:p>
    <w:p w14:paraId="7A56B45F">
      <w:pPr>
        <w:spacing w:before="272" w:line="227" w:lineRule="auto"/>
        <w:ind w:left="16"/>
        <w:outlineLvl w:val="2"/>
        <w:rPr>
          <w:rFonts w:ascii="仿宋" w:hAnsi="仿宋" w:eastAsia="仿宋" w:cs="仿宋"/>
          <w:sz w:val="25"/>
          <w:szCs w:val="25"/>
        </w:rPr>
      </w:pPr>
      <w:r>
        <w:rPr>
          <w:rFonts w:ascii="Times New Roman" w:hAnsi="Times New Roman" w:eastAsia="Times New Roman" w:cs="Times New Roman"/>
          <w:b/>
          <w:bCs/>
          <w:spacing w:val="5"/>
          <w:sz w:val="25"/>
          <w:szCs w:val="25"/>
        </w:rPr>
        <w:t xml:space="preserve">1.2.3  </w:t>
      </w:r>
      <w:r>
        <w:rPr>
          <w:rFonts w:ascii="仿宋" w:hAnsi="仿宋" w:eastAsia="仿宋" w:cs="仿宋"/>
          <w:b/>
          <w:bCs/>
          <w:spacing w:val="5"/>
          <w:sz w:val="25"/>
          <w:szCs w:val="25"/>
        </w:rPr>
        <w:t>地方行政规章及规范性文件</w:t>
      </w:r>
    </w:p>
    <w:p w14:paraId="65CB00A2">
      <w:pPr>
        <w:spacing w:before="271" w:line="221" w:lineRule="auto"/>
        <w:ind w:left="440"/>
        <w:rPr>
          <w:rFonts w:ascii="仿宋" w:hAnsi="仿宋" w:eastAsia="仿宋" w:cs="仿宋"/>
          <w:sz w:val="25"/>
          <w:szCs w:val="25"/>
        </w:rPr>
      </w:pPr>
      <w:r>
        <w:rPr>
          <w:rFonts w:ascii="仿宋" w:hAnsi="仿宋" w:eastAsia="仿宋" w:cs="仿宋"/>
          <w:spacing w:val="3"/>
          <w:sz w:val="25"/>
          <w:szCs w:val="25"/>
        </w:rPr>
        <w:t>（</w:t>
      </w:r>
      <w:r>
        <w:rPr>
          <w:rFonts w:ascii="Times New Roman" w:hAnsi="Times New Roman" w:eastAsia="Times New Roman" w:cs="Times New Roman"/>
          <w:spacing w:val="3"/>
          <w:sz w:val="25"/>
          <w:szCs w:val="25"/>
        </w:rPr>
        <w:t>1</w:t>
      </w:r>
      <w:r>
        <w:rPr>
          <w:rFonts w:ascii="仿宋" w:hAnsi="仿宋" w:eastAsia="仿宋" w:cs="仿宋"/>
          <w:spacing w:val="3"/>
          <w:sz w:val="25"/>
          <w:szCs w:val="25"/>
        </w:rPr>
        <w:t>）《重庆市环境保护条例》</w:t>
      </w:r>
      <w:r>
        <w:rPr>
          <w:rFonts w:ascii="Times New Roman" w:hAnsi="Times New Roman" w:eastAsia="Times New Roman" w:cs="Times New Roman"/>
          <w:spacing w:val="3"/>
          <w:sz w:val="25"/>
          <w:szCs w:val="25"/>
        </w:rPr>
        <w:t>(2022</w:t>
      </w:r>
      <w:r>
        <w:rPr>
          <w:rFonts w:ascii="Times New Roman" w:hAnsi="Times New Roman" w:eastAsia="Times New Roman" w:cs="Times New Roman"/>
          <w:spacing w:val="26"/>
          <w:sz w:val="25"/>
          <w:szCs w:val="25"/>
        </w:rPr>
        <w:t xml:space="preserve"> </w:t>
      </w:r>
      <w:r>
        <w:rPr>
          <w:rFonts w:ascii="仿宋" w:hAnsi="仿宋" w:eastAsia="仿宋" w:cs="仿宋"/>
          <w:spacing w:val="3"/>
          <w:sz w:val="25"/>
          <w:szCs w:val="25"/>
        </w:rPr>
        <w:t>年</w:t>
      </w:r>
      <w:r>
        <w:rPr>
          <w:rFonts w:ascii="仿宋" w:hAnsi="仿宋" w:eastAsia="仿宋" w:cs="仿宋"/>
          <w:spacing w:val="-48"/>
          <w:sz w:val="25"/>
          <w:szCs w:val="25"/>
        </w:rPr>
        <w:t xml:space="preserve"> </w:t>
      </w:r>
      <w:r>
        <w:rPr>
          <w:rFonts w:ascii="Times New Roman" w:hAnsi="Times New Roman" w:eastAsia="Times New Roman" w:cs="Times New Roman"/>
          <w:spacing w:val="3"/>
          <w:sz w:val="25"/>
          <w:szCs w:val="25"/>
        </w:rPr>
        <w:t>9</w:t>
      </w:r>
      <w:r>
        <w:rPr>
          <w:rFonts w:ascii="Times New Roman" w:hAnsi="Times New Roman" w:eastAsia="Times New Roman" w:cs="Times New Roman"/>
          <w:spacing w:val="32"/>
          <w:sz w:val="25"/>
          <w:szCs w:val="25"/>
        </w:rPr>
        <w:t xml:space="preserve"> </w:t>
      </w:r>
      <w:r>
        <w:rPr>
          <w:rFonts w:ascii="仿宋" w:hAnsi="仿宋" w:eastAsia="仿宋" w:cs="仿宋"/>
          <w:spacing w:val="3"/>
          <w:sz w:val="25"/>
          <w:szCs w:val="25"/>
        </w:rPr>
        <w:t>月</w:t>
      </w:r>
      <w:r>
        <w:rPr>
          <w:rFonts w:ascii="仿宋" w:hAnsi="仿宋" w:eastAsia="仿宋" w:cs="仿宋"/>
          <w:spacing w:val="-55"/>
          <w:sz w:val="25"/>
          <w:szCs w:val="25"/>
        </w:rPr>
        <w:t xml:space="preserve"> </w:t>
      </w:r>
      <w:r>
        <w:rPr>
          <w:rFonts w:ascii="Times New Roman" w:hAnsi="Times New Roman" w:eastAsia="Times New Roman" w:cs="Times New Roman"/>
          <w:spacing w:val="3"/>
          <w:sz w:val="25"/>
          <w:szCs w:val="25"/>
        </w:rPr>
        <w:t xml:space="preserve">28  </w:t>
      </w:r>
      <w:r>
        <w:rPr>
          <w:rFonts w:ascii="仿宋" w:hAnsi="仿宋" w:eastAsia="仿宋" w:cs="仿宋"/>
          <w:spacing w:val="3"/>
          <w:sz w:val="25"/>
          <w:szCs w:val="25"/>
        </w:rPr>
        <w:t>日第三次修正</w:t>
      </w:r>
      <w:r>
        <w:rPr>
          <w:rFonts w:ascii="仿宋" w:hAnsi="仿宋" w:eastAsia="仿宋" w:cs="仿宋"/>
          <w:spacing w:val="2"/>
          <w:sz w:val="25"/>
          <w:szCs w:val="25"/>
        </w:rPr>
        <w:t>）；</w:t>
      </w:r>
    </w:p>
    <w:p w14:paraId="5A5477E5">
      <w:pPr>
        <w:spacing w:before="162" w:line="228" w:lineRule="auto"/>
        <w:ind w:right="44"/>
        <w:jc w:val="right"/>
        <w:rPr>
          <w:rFonts w:ascii="仿宋" w:hAnsi="仿宋" w:eastAsia="仿宋" w:cs="仿宋"/>
          <w:sz w:val="25"/>
          <w:szCs w:val="25"/>
        </w:rPr>
      </w:pPr>
      <w:r>
        <w:rPr>
          <w:rFonts w:ascii="仿宋" w:hAnsi="仿宋" w:eastAsia="仿宋" w:cs="仿宋"/>
          <w:spacing w:val="8"/>
          <w:sz w:val="25"/>
          <w:szCs w:val="25"/>
        </w:rPr>
        <w:t>（</w:t>
      </w:r>
      <w:r>
        <w:rPr>
          <w:rFonts w:ascii="Times New Roman" w:hAnsi="Times New Roman" w:eastAsia="Times New Roman" w:cs="Times New Roman"/>
          <w:spacing w:val="8"/>
          <w:sz w:val="25"/>
          <w:szCs w:val="25"/>
        </w:rPr>
        <w:t>2</w:t>
      </w:r>
      <w:r>
        <w:rPr>
          <w:rFonts w:ascii="仿宋" w:hAnsi="仿宋" w:eastAsia="仿宋" w:cs="仿宋"/>
          <w:spacing w:val="8"/>
          <w:sz w:val="25"/>
          <w:szCs w:val="25"/>
        </w:rPr>
        <w:t>）《重庆市环境空气质量功能区划分规定</w:t>
      </w:r>
      <w:r>
        <w:rPr>
          <w:rFonts w:ascii="仿宋" w:hAnsi="仿宋" w:eastAsia="仿宋" w:cs="仿宋"/>
          <w:spacing w:val="7"/>
          <w:sz w:val="25"/>
          <w:szCs w:val="25"/>
        </w:rPr>
        <w:t>》（渝府发〔</w:t>
      </w:r>
      <w:r>
        <w:rPr>
          <w:rFonts w:ascii="Times New Roman" w:hAnsi="Times New Roman" w:eastAsia="Times New Roman" w:cs="Times New Roman"/>
          <w:spacing w:val="7"/>
          <w:sz w:val="25"/>
          <w:szCs w:val="25"/>
        </w:rPr>
        <w:t>2016</w:t>
      </w:r>
      <w:r>
        <w:rPr>
          <w:rFonts w:ascii="仿宋" w:hAnsi="仿宋" w:eastAsia="仿宋" w:cs="仿宋"/>
          <w:spacing w:val="7"/>
          <w:sz w:val="25"/>
          <w:szCs w:val="25"/>
        </w:rPr>
        <w:t>〕</w:t>
      </w:r>
      <w:r>
        <w:rPr>
          <w:rFonts w:ascii="Times New Roman" w:hAnsi="Times New Roman" w:eastAsia="Times New Roman" w:cs="Times New Roman"/>
          <w:spacing w:val="7"/>
          <w:sz w:val="25"/>
          <w:szCs w:val="25"/>
        </w:rPr>
        <w:t>19</w:t>
      </w:r>
      <w:r>
        <w:rPr>
          <w:rFonts w:ascii="Times New Roman" w:hAnsi="Times New Roman" w:eastAsia="Times New Roman" w:cs="Times New Roman"/>
          <w:spacing w:val="26"/>
          <w:sz w:val="25"/>
          <w:szCs w:val="25"/>
        </w:rPr>
        <w:t xml:space="preserve"> </w:t>
      </w:r>
      <w:r>
        <w:rPr>
          <w:rFonts w:ascii="仿宋" w:hAnsi="仿宋" w:eastAsia="仿宋" w:cs="仿宋"/>
          <w:spacing w:val="7"/>
          <w:sz w:val="25"/>
          <w:szCs w:val="25"/>
        </w:rPr>
        <w:t>号</w:t>
      </w:r>
      <w:r>
        <w:rPr>
          <w:rFonts w:ascii="仿宋" w:hAnsi="仿宋" w:eastAsia="仿宋" w:cs="仿宋"/>
          <w:sz w:val="25"/>
          <w:szCs w:val="25"/>
        </w:rPr>
        <w:t>）；</w:t>
      </w:r>
    </w:p>
    <w:p w14:paraId="6347E07A">
      <w:pPr>
        <w:spacing w:before="152" w:line="229" w:lineRule="auto"/>
        <w:ind w:left="440"/>
        <w:rPr>
          <w:rFonts w:ascii="仿宋" w:hAnsi="仿宋" w:eastAsia="仿宋" w:cs="仿宋"/>
          <w:sz w:val="25"/>
          <w:szCs w:val="25"/>
        </w:rPr>
      </w:pPr>
      <w:r>
        <w:rPr>
          <w:rFonts w:ascii="仿宋" w:hAnsi="仿宋" w:eastAsia="仿宋" w:cs="仿宋"/>
          <w:spacing w:val="3"/>
          <w:sz w:val="25"/>
          <w:szCs w:val="25"/>
        </w:rPr>
        <w:t>（</w:t>
      </w:r>
      <w:r>
        <w:rPr>
          <w:rFonts w:ascii="Times New Roman" w:hAnsi="Times New Roman" w:eastAsia="Times New Roman" w:cs="Times New Roman"/>
          <w:spacing w:val="3"/>
          <w:sz w:val="25"/>
          <w:szCs w:val="25"/>
        </w:rPr>
        <w:t>3</w:t>
      </w:r>
      <w:r>
        <w:rPr>
          <w:rFonts w:ascii="仿宋" w:hAnsi="仿宋" w:eastAsia="仿宋" w:cs="仿宋"/>
          <w:spacing w:val="3"/>
          <w:sz w:val="25"/>
          <w:szCs w:val="25"/>
        </w:rPr>
        <w:t>）《重庆市大气污染防治条例》（</w:t>
      </w:r>
      <w:r>
        <w:rPr>
          <w:rFonts w:ascii="Times New Roman" w:hAnsi="Times New Roman" w:eastAsia="Times New Roman" w:cs="Times New Roman"/>
          <w:spacing w:val="3"/>
          <w:sz w:val="25"/>
          <w:szCs w:val="25"/>
        </w:rPr>
        <w:t>2021</w:t>
      </w:r>
      <w:r>
        <w:rPr>
          <w:rFonts w:ascii="Times New Roman" w:hAnsi="Times New Roman" w:eastAsia="Times New Roman" w:cs="Times New Roman"/>
          <w:spacing w:val="25"/>
          <w:sz w:val="25"/>
          <w:szCs w:val="25"/>
        </w:rPr>
        <w:t xml:space="preserve"> </w:t>
      </w:r>
      <w:r>
        <w:rPr>
          <w:rFonts w:ascii="仿宋" w:hAnsi="仿宋" w:eastAsia="仿宋" w:cs="仿宋"/>
          <w:spacing w:val="3"/>
          <w:sz w:val="25"/>
          <w:szCs w:val="25"/>
        </w:rPr>
        <w:t>年</w:t>
      </w:r>
      <w:r>
        <w:rPr>
          <w:rFonts w:ascii="仿宋" w:hAnsi="仿宋" w:eastAsia="仿宋" w:cs="仿宋"/>
          <w:spacing w:val="-45"/>
          <w:sz w:val="25"/>
          <w:szCs w:val="25"/>
        </w:rPr>
        <w:t xml:space="preserve"> </w:t>
      </w:r>
      <w:r>
        <w:rPr>
          <w:rFonts w:ascii="Times New Roman" w:hAnsi="Times New Roman" w:eastAsia="Times New Roman" w:cs="Times New Roman"/>
          <w:spacing w:val="3"/>
          <w:sz w:val="25"/>
          <w:szCs w:val="25"/>
        </w:rPr>
        <w:t>5</w:t>
      </w:r>
      <w:r>
        <w:rPr>
          <w:rFonts w:ascii="Times New Roman" w:hAnsi="Times New Roman" w:eastAsia="Times New Roman" w:cs="Times New Roman"/>
          <w:spacing w:val="31"/>
          <w:w w:val="101"/>
          <w:sz w:val="25"/>
          <w:szCs w:val="25"/>
        </w:rPr>
        <w:t xml:space="preserve"> </w:t>
      </w:r>
      <w:r>
        <w:rPr>
          <w:rFonts w:ascii="仿宋" w:hAnsi="仿宋" w:eastAsia="仿宋" w:cs="仿宋"/>
          <w:spacing w:val="3"/>
          <w:sz w:val="25"/>
          <w:szCs w:val="25"/>
        </w:rPr>
        <w:t>月</w:t>
      </w:r>
      <w:r>
        <w:rPr>
          <w:rFonts w:ascii="仿宋" w:hAnsi="仿宋" w:eastAsia="仿宋" w:cs="仿宋"/>
          <w:spacing w:val="-52"/>
          <w:sz w:val="25"/>
          <w:szCs w:val="25"/>
        </w:rPr>
        <w:t xml:space="preserve"> </w:t>
      </w:r>
      <w:r>
        <w:rPr>
          <w:rFonts w:ascii="Times New Roman" w:hAnsi="Times New Roman" w:eastAsia="Times New Roman" w:cs="Times New Roman"/>
          <w:spacing w:val="3"/>
          <w:sz w:val="25"/>
          <w:szCs w:val="25"/>
        </w:rPr>
        <w:t xml:space="preserve">27  </w:t>
      </w:r>
      <w:r>
        <w:rPr>
          <w:rFonts w:ascii="仿宋" w:hAnsi="仿宋" w:eastAsia="仿宋" w:cs="仿宋"/>
          <w:spacing w:val="3"/>
          <w:sz w:val="25"/>
          <w:szCs w:val="25"/>
        </w:rPr>
        <w:t>日修正</w:t>
      </w:r>
      <w:r>
        <w:rPr>
          <w:rFonts w:ascii="仿宋" w:hAnsi="仿宋" w:eastAsia="仿宋" w:cs="仿宋"/>
          <w:sz w:val="25"/>
          <w:szCs w:val="25"/>
        </w:rPr>
        <w:t>）；</w:t>
      </w:r>
    </w:p>
    <w:p w14:paraId="2ABD2B7E">
      <w:pPr>
        <w:spacing w:before="147" w:line="285" w:lineRule="auto"/>
        <w:ind w:left="71" w:right="114" w:firstLine="369"/>
        <w:rPr>
          <w:rFonts w:ascii="仿宋" w:hAnsi="仿宋" w:eastAsia="仿宋" w:cs="仿宋"/>
          <w:sz w:val="25"/>
          <w:szCs w:val="25"/>
        </w:rPr>
      </w:pPr>
      <w:r>
        <w:rPr>
          <w:rFonts w:ascii="仿宋" w:hAnsi="仿宋" w:eastAsia="仿宋" w:cs="仿宋"/>
          <w:spacing w:val="-2"/>
          <w:sz w:val="25"/>
          <w:szCs w:val="25"/>
        </w:rPr>
        <w:t>（</w:t>
      </w:r>
      <w:r>
        <w:rPr>
          <w:rFonts w:ascii="Times New Roman" w:hAnsi="Times New Roman" w:eastAsia="Times New Roman" w:cs="Times New Roman"/>
          <w:spacing w:val="-2"/>
          <w:sz w:val="25"/>
          <w:szCs w:val="25"/>
        </w:rPr>
        <w:t>4</w:t>
      </w:r>
      <w:r>
        <w:rPr>
          <w:rFonts w:ascii="仿宋" w:hAnsi="仿宋" w:eastAsia="仿宋" w:cs="仿宋"/>
          <w:spacing w:val="-2"/>
          <w:sz w:val="25"/>
          <w:szCs w:val="25"/>
        </w:rPr>
        <w:t>）《重庆市水污染防治条例》（</w:t>
      </w:r>
      <w:r>
        <w:rPr>
          <w:rFonts w:ascii="Times New Roman" w:hAnsi="Times New Roman" w:eastAsia="Times New Roman" w:cs="Times New Roman"/>
          <w:spacing w:val="-2"/>
          <w:sz w:val="25"/>
          <w:szCs w:val="25"/>
        </w:rPr>
        <w:t>2020</w:t>
      </w:r>
      <w:r>
        <w:rPr>
          <w:rFonts w:ascii="Times New Roman" w:hAnsi="Times New Roman" w:eastAsia="Times New Roman" w:cs="Times New Roman"/>
          <w:spacing w:val="45"/>
          <w:sz w:val="25"/>
          <w:szCs w:val="25"/>
        </w:rPr>
        <w:t xml:space="preserve"> </w:t>
      </w:r>
      <w:r>
        <w:rPr>
          <w:rFonts w:ascii="仿宋" w:hAnsi="仿宋" w:eastAsia="仿宋" w:cs="仿宋"/>
          <w:spacing w:val="-2"/>
          <w:sz w:val="25"/>
          <w:szCs w:val="25"/>
        </w:rPr>
        <w:t>年</w:t>
      </w:r>
      <w:r>
        <w:rPr>
          <w:rFonts w:ascii="仿宋" w:hAnsi="仿宋" w:eastAsia="仿宋" w:cs="仿宋"/>
          <w:spacing w:val="-48"/>
          <w:sz w:val="25"/>
          <w:szCs w:val="25"/>
        </w:rPr>
        <w:t xml:space="preserve"> </w:t>
      </w:r>
      <w:r>
        <w:rPr>
          <w:rFonts w:ascii="Times New Roman" w:hAnsi="Times New Roman" w:eastAsia="Times New Roman" w:cs="Times New Roman"/>
          <w:spacing w:val="-2"/>
          <w:sz w:val="25"/>
          <w:szCs w:val="25"/>
        </w:rPr>
        <w:t>7</w:t>
      </w:r>
      <w:r>
        <w:rPr>
          <w:rFonts w:ascii="Times New Roman" w:hAnsi="Times New Roman" w:eastAsia="Times New Roman" w:cs="Times New Roman"/>
          <w:spacing w:val="31"/>
          <w:w w:val="101"/>
          <w:sz w:val="25"/>
          <w:szCs w:val="25"/>
        </w:rPr>
        <w:t xml:space="preserve"> </w:t>
      </w:r>
      <w:r>
        <w:rPr>
          <w:rFonts w:ascii="仿宋" w:hAnsi="仿宋" w:eastAsia="仿宋" w:cs="仿宋"/>
          <w:spacing w:val="-2"/>
          <w:sz w:val="25"/>
          <w:szCs w:val="25"/>
        </w:rPr>
        <w:t>月</w:t>
      </w:r>
      <w:r>
        <w:rPr>
          <w:rFonts w:ascii="仿宋" w:hAnsi="仿宋" w:eastAsia="仿宋" w:cs="仿宋"/>
          <w:spacing w:val="-50"/>
          <w:sz w:val="25"/>
          <w:szCs w:val="25"/>
        </w:rPr>
        <w:t xml:space="preserve"> </w:t>
      </w:r>
      <w:r>
        <w:rPr>
          <w:rFonts w:ascii="Times New Roman" w:hAnsi="Times New Roman" w:eastAsia="Times New Roman" w:cs="Times New Roman"/>
          <w:spacing w:val="-2"/>
          <w:sz w:val="25"/>
          <w:szCs w:val="25"/>
        </w:rPr>
        <w:t xml:space="preserve">30  </w:t>
      </w:r>
      <w:r>
        <w:rPr>
          <w:rFonts w:ascii="仿宋" w:hAnsi="仿宋" w:eastAsia="仿宋" w:cs="仿宋"/>
          <w:spacing w:val="-2"/>
          <w:sz w:val="25"/>
          <w:szCs w:val="25"/>
        </w:rPr>
        <w:t>日发布，</w:t>
      </w:r>
      <w:r>
        <w:rPr>
          <w:rFonts w:ascii="Times New Roman" w:hAnsi="Times New Roman" w:eastAsia="Times New Roman" w:cs="Times New Roman"/>
          <w:spacing w:val="-2"/>
          <w:sz w:val="25"/>
          <w:szCs w:val="25"/>
        </w:rPr>
        <w:t>2020</w:t>
      </w:r>
      <w:r>
        <w:rPr>
          <w:rFonts w:ascii="Times New Roman" w:hAnsi="Times New Roman" w:eastAsia="Times New Roman" w:cs="Times New Roman"/>
          <w:spacing w:val="27"/>
          <w:w w:val="101"/>
          <w:sz w:val="25"/>
          <w:szCs w:val="25"/>
        </w:rPr>
        <w:t xml:space="preserve"> </w:t>
      </w:r>
      <w:r>
        <w:rPr>
          <w:rFonts w:ascii="仿宋" w:hAnsi="仿宋" w:eastAsia="仿宋" w:cs="仿宋"/>
          <w:spacing w:val="-2"/>
          <w:sz w:val="25"/>
          <w:szCs w:val="25"/>
        </w:rPr>
        <w:t>年</w:t>
      </w:r>
      <w:r>
        <w:rPr>
          <w:rFonts w:ascii="仿宋" w:hAnsi="仿宋" w:eastAsia="仿宋" w:cs="仿宋"/>
          <w:spacing w:val="-27"/>
          <w:sz w:val="25"/>
          <w:szCs w:val="25"/>
        </w:rPr>
        <w:t xml:space="preserve"> </w:t>
      </w:r>
      <w:r>
        <w:rPr>
          <w:rFonts w:ascii="Times New Roman" w:hAnsi="Times New Roman" w:eastAsia="Times New Roman" w:cs="Times New Roman"/>
          <w:spacing w:val="-2"/>
          <w:sz w:val="25"/>
          <w:szCs w:val="25"/>
        </w:rPr>
        <w:t>10</w:t>
      </w:r>
      <w:r>
        <w:rPr>
          <w:rFonts w:ascii="Times New Roman" w:hAnsi="Times New Roman" w:eastAsia="Times New Roman" w:cs="Times New Roman"/>
          <w:spacing w:val="31"/>
          <w:w w:val="101"/>
          <w:sz w:val="25"/>
          <w:szCs w:val="25"/>
        </w:rPr>
        <w:t xml:space="preserve"> </w:t>
      </w:r>
      <w:r>
        <w:rPr>
          <w:rFonts w:ascii="仿宋" w:hAnsi="仿宋" w:eastAsia="仿宋" w:cs="仿宋"/>
          <w:spacing w:val="-2"/>
          <w:sz w:val="25"/>
          <w:szCs w:val="25"/>
        </w:rPr>
        <w:t>月</w:t>
      </w:r>
      <w:r>
        <w:rPr>
          <w:rFonts w:ascii="仿宋" w:hAnsi="仿宋" w:eastAsia="仿宋" w:cs="仿宋"/>
          <w:spacing w:val="-30"/>
          <w:sz w:val="25"/>
          <w:szCs w:val="25"/>
        </w:rPr>
        <w:t xml:space="preserve"> </w:t>
      </w:r>
      <w:r>
        <w:rPr>
          <w:rFonts w:ascii="Times New Roman" w:hAnsi="Times New Roman" w:eastAsia="Times New Roman" w:cs="Times New Roman"/>
          <w:spacing w:val="-2"/>
          <w:sz w:val="25"/>
          <w:szCs w:val="25"/>
        </w:rPr>
        <w:t>1</w:t>
      </w:r>
      <w:r>
        <w:rPr>
          <w:rFonts w:ascii="Times New Roman" w:hAnsi="Times New Roman" w:eastAsia="Times New Roman" w:cs="Times New Roman"/>
          <w:sz w:val="25"/>
          <w:szCs w:val="25"/>
        </w:rPr>
        <w:t xml:space="preserve"> </w:t>
      </w:r>
      <w:r>
        <w:rPr>
          <w:rFonts w:ascii="仿宋" w:hAnsi="仿宋" w:eastAsia="仿宋" w:cs="仿宋"/>
          <w:spacing w:val="-9"/>
          <w:sz w:val="25"/>
          <w:szCs w:val="25"/>
        </w:rPr>
        <w:t>日起实施</w:t>
      </w:r>
      <w:r>
        <w:rPr>
          <w:rFonts w:ascii="仿宋" w:hAnsi="仿宋" w:eastAsia="仿宋" w:cs="仿宋"/>
          <w:spacing w:val="1"/>
          <w:sz w:val="25"/>
          <w:szCs w:val="25"/>
        </w:rPr>
        <w:t>）；</w:t>
      </w:r>
    </w:p>
    <w:p w14:paraId="4C4F02E3">
      <w:pPr>
        <w:spacing w:before="150" w:line="284" w:lineRule="auto"/>
        <w:ind w:left="71" w:right="114" w:firstLine="369"/>
        <w:rPr>
          <w:rFonts w:ascii="仿宋" w:hAnsi="仿宋" w:eastAsia="仿宋" w:cs="仿宋"/>
          <w:sz w:val="25"/>
          <w:szCs w:val="25"/>
        </w:rPr>
      </w:pPr>
      <w:r>
        <w:rPr>
          <w:rFonts w:ascii="仿宋" w:hAnsi="仿宋" w:eastAsia="仿宋" w:cs="仿宋"/>
          <w:spacing w:val="3"/>
          <w:sz w:val="25"/>
          <w:szCs w:val="25"/>
        </w:rPr>
        <w:t>（</w:t>
      </w:r>
      <w:r>
        <w:rPr>
          <w:rFonts w:ascii="Times New Roman" w:hAnsi="Times New Roman" w:eastAsia="Times New Roman" w:cs="Times New Roman"/>
          <w:spacing w:val="3"/>
          <w:sz w:val="25"/>
          <w:szCs w:val="25"/>
        </w:rPr>
        <w:t>5</w:t>
      </w:r>
      <w:r>
        <w:rPr>
          <w:rFonts w:ascii="仿宋" w:hAnsi="仿宋" w:eastAsia="仿宋" w:cs="仿宋"/>
          <w:spacing w:val="3"/>
          <w:sz w:val="25"/>
          <w:szCs w:val="25"/>
        </w:rPr>
        <w:t>）《重庆市湿地保护条例》</w:t>
      </w:r>
      <w:r>
        <w:rPr>
          <w:rFonts w:ascii="仿宋" w:hAnsi="仿宋" w:eastAsia="仿宋" w:cs="仿宋"/>
          <w:spacing w:val="-94"/>
          <w:sz w:val="25"/>
          <w:szCs w:val="25"/>
        </w:rPr>
        <w:t xml:space="preserve"> </w:t>
      </w:r>
      <w:r>
        <w:rPr>
          <w:rFonts w:ascii="仿宋" w:hAnsi="仿宋" w:eastAsia="仿宋" w:cs="仿宋"/>
          <w:spacing w:val="3"/>
          <w:sz w:val="25"/>
          <w:szCs w:val="25"/>
        </w:rPr>
        <w:t>（</w:t>
      </w:r>
      <w:r>
        <w:rPr>
          <w:rFonts w:ascii="Times New Roman" w:hAnsi="Times New Roman" w:eastAsia="Times New Roman" w:cs="Times New Roman"/>
          <w:spacing w:val="3"/>
          <w:sz w:val="25"/>
          <w:szCs w:val="25"/>
        </w:rPr>
        <w:t>2019</w:t>
      </w:r>
      <w:r>
        <w:rPr>
          <w:rFonts w:ascii="Times New Roman" w:hAnsi="Times New Roman" w:eastAsia="Times New Roman" w:cs="Times New Roman"/>
          <w:spacing w:val="32"/>
          <w:w w:val="101"/>
          <w:sz w:val="25"/>
          <w:szCs w:val="25"/>
        </w:rPr>
        <w:t xml:space="preserve"> </w:t>
      </w:r>
      <w:r>
        <w:rPr>
          <w:rFonts w:ascii="仿宋" w:hAnsi="仿宋" w:eastAsia="仿宋" w:cs="仿宋"/>
          <w:spacing w:val="3"/>
          <w:sz w:val="25"/>
          <w:szCs w:val="25"/>
        </w:rPr>
        <w:t>年</w:t>
      </w:r>
      <w:r>
        <w:rPr>
          <w:rFonts w:ascii="仿宋" w:hAnsi="仿宋" w:eastAsia="仿宋" w:cs="仿宋"/>
          <w:spacing w:val="-40"/>
          <w:sz w:val="25"/>
          <w:szCs w:val="25"/>
        </w:rPr>
        <w:t xml:space="preserve"> </w:t>
      </w:r>
      <w:r>
        <w:rPr>
          <w:rFonts w:ascii="Times New Roman" w:hAnsi="Times New Roman" w:eastAsia="Times New Roman" w:cs="Times New Roman"/>
          <w:spacing w:val="3"/>
          <w:sz w:val="25"/>
          <w:szCs w:val="25"/>
        </w:rPr>
        <w:t>9</w:t>
      </w:r>
      <w:r>
        <w:rPr>
          <w:rFonts w:ascii="Times New Roman" w:hAnsi="Times New Roman" w:eastAsia="Times New Roman" w:cs="Times New Roman"/>
          <w:spacing w:val="38"/>
          <w:w w:val="101"/>
          <w:sz w:val="25"/>
          <w:szCs w:val="25"/>
        </w:rPr>
        <w:t xml:space="preserve"> </w:t>
      </w:r>
      <w:r>
        <w:rPr>
          <w:rFonts w:ascii="仿宋" w:hAnsi="仿宋" w:eastAsia="仿宋" w:cs="仿宋"/>
          <w:spacing w:val="3"/>
          <w:sz w:val="25"/>
          <w:szCs w:val="25"/>
        </w:rPr>
        <w:t>月</w:t>
      </w:r>
      <w:r>
        <w:rPr>
          <w:rFonts w:ascii="仿宋" w:hAnsi="仿宋" w:eastAsia="仿宋" w:cs="仿宋"/>
          <w:spacing w:val="-48"/>
          <w:sz w:val="25"/>
          <w:szCs w:val="25"/>
        </w:rPr>
        <w:t xml:space="preserve"> </w:t>
      </w:r>
      <w:r>
        <w:rPr>
          <w:rFonts w:ascii="Times New Roman" w:hAnsi="Times New Roman" w:eastAsia="Times New Roman" w:cs="Times New Roman"/>
          <w:spacing w:val="3"/>
          <w:sz w:val="25"/>
          <w:szCs w:val="25"/>
        </w:rPr>
        <w:t xml:space="preserve">26  </w:t>
      </w:r>
      <w:r>
        <w:rPr>
          <w:rFonts w:ascii="仿宋" w:hAnsi="仿宋" w:eastAsia="仿宋" w:cs="仿宋"/>
          <w:spacing w:val="3"/>
          <w:sz w:val="25"/>
          <w:szCs w:val="25"/>
        </w:rPr>
        <w:t>日发布，</w:t>
      </w:r>
      <w:r>
        <w:rPr>
          <w:rFonts w:ascii="Times New Roman" w:hAnsi="Times New Roman" w:eastAsia="Times New Roman" w:cs="Times New Roman"/>
          <w:spacing w:val="2"/>
          <w:sz w:val="25"/>
          <w:szCs w:val="25"/>
        </w:rPr>
        <w:t>2019</w:t>
      </w:r>
      <w:r>
        <w:rPr>
          <w:rFonts w:ascii="Times New Roman" w:hAnsi="Times New Roman" w:eastAsia="Times New Roman" w:cs="Times New Roman"/>
          <w:spacing w:val="32"/>
          <w:w w:val="101"/>
          <w:sz w:val="25"/>
          <w:szCs w:val="25"/>
        </w:rPr>
        <w:t xml:space="preserve"> </w:t>
      </w:r>
      <w:r>
        <w:rPr>
          <w:rFonts w:ascii="仿宋" w:hAnsi="仿宋" w:eastAsia="仿宋" w:cs="仿宋"/>
          <w:spacing w:val="2"/>
          <w:sz w:val="25"/>
          <w:szCs w:val="25"/>
        </w:rPr>
        <w:t>年</w:t>
      </w:r>
      <w:r>
        <w:rPr>
          <w:rFonts w:ascii="仿宋" w:hAnsi="仿宋" w:eastAsia="仿宋" w:cs="仿宋"/>
          <w:spacing w:val="-20"/>
          <w:sz w:val="25"/>
          <w:szCs w:val="25"/>
        </w:rPr>
        <w:t xml:space="preserve"> </w:t>
      </w:r>
      <w:r>
        <w:rPr>
          <w:rFonts w:ascii="Times New Roman" w:hAnsi="Times New Roman" w:eastAsia="Times New Roman" w:cs="Times New Roman"/>
          <w:spacing w:val="2"/>
          <w:sz w:val="25"/>
          <w:szCs w:val="25"/>
        </w:rPr>
        <w:t>12</w:t>
      </w:r>
      <w:r>
        <w:rPr>
          <w:rFonts w:ascii="Times New Roman" w:hAnsi="Times New Roman" w:eastAsia="Times New Roman" w:cs="Times New Roman"/>
          <w:spacing w:val="38"/>
          <w:w w:val="101"/>
          <w:sz w:val="25"/>
          <w:szCs w:val="25"/>
        </w:rPr>
        <w:t xml:space="preserve"> </w:t>
      </w:r>
      <w:r>
        <w:rPr>
          <w:rFonts w:ascii="仿宋" w:hAnsi="仿宋" w:eastAsia="仿宋" w:cs="仿宋"/>
          <w:spacing w:val="2"/>
          <w:sz w:val="25"/>
          <w:szCs w:val="25"/>
        </w:rPr>
        <w:t>月</w:t>
      </w:r>
      <w:r>
        <w:rPr>
          <w:rFonts w:ascii="仿宋" w:hAnsi="仿宋" w:eastAsia="仿宋" w:cs="仿宋"/>
          <w:spacing w:val="-23"/>
          <w:sz w:val="25"/>
          <w:szCs w:val="25"/>
        </w:rPr>
        <w:t xml:space="preserve"> </w:t>
      </w:r>
      <w:r>
        <w:rPr>
          <w:rFonts w:ascii="Times New Roman" w:hAnsi="Times New Roman" w:eastAsia="Times New Roman" w:cs="Times New Roman"/>
          <w:spacing w:val="2"/>
          <w:sz w:val="25"/>
          <w:szCs w:val="25"/>
        </w:rPr>
        <w:t>1</w:t>
      </w:r>
      <w:r>
        <w:rPr>
          <w:rFonts w:ascii="Times New Roman" w:hAnsi="Times New Roman" w:eastAsia="Times New Roman" w:cs="Times New Roman"/>
          <w:sz w:val="25"/>
          <w:szCs w:val="25"/>
        </w:rPr>
        <w:t xml:space="preserve"> </w:t>
      </w:r>
      <w:r>
        <w:rPr>
          <w:rFonts w:ascii="仿宋" w:hAnsi="仿宋" w:eastAsia="仿宋" w:cs="仿宋"/>
          <w:spacing w:val="-9"/>
          <w:sz w:val="25"/>
          <w:szCs w:val="25"/>
        </w:rPr>
        <w:t>日起实施</w:t>
      </w:r>
      <w:r>
        <w:rPr>
          <w:rFonts w:ascii="仿宋" w:hAnsi="仿宋" w:eastAsia="仿宋" w:cs="仿宋"/>
          <w:spacing w:val="1"/>
          <w:sz w:val="25"/>
          <w:szCs w:val="25"/>
        </w:rPr>
        <w:t>）；</w:t>
      </w:r>
    </w:p>
    <w:p w14:paraId="79D40192">
      <w:pPr>
        <w:spacing w:before="151" w:line="229" w:lineRule="auto"/>
        <w:ind w:left="440"/>
        <w:rPr>
          <w:rFonts w:ascii="仿宋" w:hAnsi="仿宋" w:eastAsia="仿宋" w:cs="仿宋"/>
          <w:sz w:val="25"/>
          <w:szCs w:val="25"/>
        </w:rPr>
      </w:pPr>
      <w:r>
        <w:rPr>
          <w:rFonts w:ascii="仿宋" w:hAnsi="仿宋" w:eastAsia="仿宋" w:cs="仿宋"/>
          <w:spacing w:val="3"/>
          <w:sz w:val="25"/>
          <w:szCs w:val="25"/>
        </w:rPr>
        <w:t>（</w:t>
      </w:r>
      <w:r>
        <w:rPr>
          <w:rFonts w:ascii="Times New Roman" w:hAnsi="Times New Roman" w:eastAsia="Times New Roman" w:cs="Times New Roman"/>
          <w:spacing w:val="3"/>
          <w:sz w:val="25"/>
          <w:szCs w:val="25"/>
        </w:rPr>
        <w:t>6</w:t>
      </w:r>
      <w:r>
        <w:rPr>
          <w:rFonts w:ascii="仿宋" w:hAnsi="仿宋" w:eastAsia="仿宋" w:cs="仿宋"/>
          <w:spacing w:val="3"/>
          <w:sz w:val="25"/>
          <w:szCs w:val="25"/>
        </w:rPr>
        <w:t>）《重庆市矿产资源管理条例》（</w:t>
      </w:r>
      <w:r>
        <w:rPr>
          <w:rFonts w:ascii="Times New Roman" w:hAnsi="Times New Roman" w:eastAsia="Times New Roman" w:cs="Times New Roman"/>
          <w:spacing w:val="3"/>
          <w:sz w:val="25"/>
          <w:szCs w:val="25"/>
        </w:rPr>
        <w:t>2020</w:t>
      </w:r>
      <w:r>
        <w:rPr>
          <w:rFonts w:ascii="Times New Roman" w:hAnsi="Times New Roman" w:eastAsia="Times New Roman" w:cs="Times New Roman"/>
          <w:spacing w:val="25"/>
          <w:sz w:val="25"/>
          <w:szCs w:val="25"/>
        </w:rPr>
        <w:t xml:space="preserve"> </w:t>
      </w:r>
      <w:r>
        <w:rPr>
          <w:rFonts w:ascii="仿宋" w:hAnsi="仿宋" w:eastAsia="仿宋" w:cs="仿宋"/>
          <w:spacing w:val="3"/>
          <w:sz w:val="25"/>
          <w:szCs w:val="25"/>
        </w:rPr>
        <w:t>年</w:t>
      </w:r>
      <w:r>
        <w:rPr>
          <w:rFonts w:ascii="仿宋" w:hAnsi="仿宋" w:eastAsia="仿宋" w:cs="仿宋"/>
          <w:spacing w:val="-47"/>
          <w:sz w:val="25"/>
          <w:szCs w:val="25"/>
        </w:rPr>
        <w:t xml:space="preserve"> </w:t>
      </w:r>
      <w:r>
        <w:rPr>
          <w:rFonts w:ascii="Times New Roman" w:hAnsi="Times New Roman" w:eastAsia="Times New Roman" w:cs="Times New Roman"/>
          <w:spacing w:val="3"/>
          <w:sz w:val="25"/>
          <w:szCs w:val="25"/>
        </w:rPr>
        <w:t>6</w:t>
      </w:r>
      <w:r>
        <w:rPr>
          <w:rFonts w:ascii="Times New Roman" w:hAnsi="Times New Roman" w:eastAsia="Times New Roman" w:cs="Times New Roman"/>
          <w:spacing w:val="32"/>
          <w:sz w:val="25"/>
          <w:szCs w:val="25"/>
        </w:rPr>
        <w:t xml:space="preserve"> </w:t>
      </w:r>
      <w:r>
        <w:rPr>
          <w:rFonts w:ascii="仿宋" w:hAnsi="仿宋" w:eastAsia="仿宋" w:cs="仿宋"/>
          <w:spacing w:val="2"/>
          <w:sz w:val="25"/>
          <w:szCs w:val="25"/>
        </w:rPr>
        <w:t>月</w:t>
      </w:r>
      <w:r>
        <w:rPr>
          <w:rFonts w:ascii="仿宋" w:hAnsi="仿宋" w:eastAsia="仿宋" w:cs="仿宋"/>
          <w:spacing w:val="-45"/>
          <w:sz w:val="25"/>
          <w:szCs w:val="25"/>
        </w:rPr>
        <w:t xml:space="preserve"> </w:t>
      </w:r>
      <w:r>
        <w:rPr>
          <w:rFonts w:ascii="Times New Roman" w:hAnsi="Times New Roman" w:eastAsia="Times New Roman" w:cs="Times New Roman"/>
          <w:spacing w:val="2"/>
          <w:sz w:val="25"/>
          <w:szCs w:val="25"/>
        </w:rPr>
        <w:t xml:space="preserve">5  </w:t>
      </w:r>
      <w:r>
        <w:rPr>
          <w:rFonts w:ascii="仿宋" w:hAnsi="仿宋" w:eastAsia="仿宋" w:cs="仿宋"/>
          <w:spacing w:val="2"/>
          <w:sz w:val="25"/>
          <w:szCs w:val="25"/>
        </w:rPr>
        <w:t>日修正</w:t>
      </w:r>
      <w:r>
        <w:rPr>
          <w:rFonts w:ascii="仿宋" w:hAnsi="仿宋" w:eastAsia="仿宋" w:cs="仿宋"/>
          <w:sz w:val="25"/>
          <w:szCs w:val="25"/>
        </w:rPr>
        <w:t>）；</w:t>
      </w:r>
    </w:p>
    <w:p w14:paraId="13C992B9">
      <w:pPr>
        <w:spacing w:before="150" w:line="228" w:lineRule="auto"/>
        <w:ind w:left="440"/>
        <w:rPr>
          <w:rFonts w:ascii="仿宋" w:hAnsi="仿宋" w:eastAsia="仿宋" w:cs="仿宋"/>
          <w:sz w:val="25"/>
          <w:szCs w:val="25"/>
        </w:rPr>
      </w:pPr>
      <w:r>
        <w:rPr>
          <w:rFonts w:ascii="仿宋" w:hAnsi="仿宋" w:eastAsia="仿宋" w:cs="仿宋"/>
          <w:spacing w:val="2"/>
          <w:sz w:val="25"/>
          <w:szCs w:val="25"/>
        </w:rPr>
        <w:t>（</w:t>
      </w:r>
      <w:r>
        <w:rPr>
          <w:rFonts w:ascii="Times New Roman" w:hAnsi="Times New Roman" w:eastAsia="Times New Roman" w:cs="Times New Roman"/>
          <w:spacing w:val="2"/>
          <w:sz w:val="25"/>
          <w:szCs w:val="25"/>
        </w:rPr>
        <w:t>7</w:t>
      </w:r>
      <w:r>
        <w:rPr>
          <w:rFonts w:ascii="仿宋" w:hAnsi="仿宋" w:eastAsia="仿宋" w:cs="仿宋"/>
          <w:spacing w:val="2"/>
          <w:sz w:val="25"/>
          <w:szCs w:val="25"/>
        </w:rPr>
        <w:t>）《重庆市噪声污染防治办法》（</w:t>
      </w:r>
      <w:r>
        <w:rPr>
          <w:rFonts w:ascii="Times New Roman" w:hAnsi="Times New Roman" w:eastAsia="Times New Roman" w:cs="Times New Roman"/>
          <w:spacing w:val="2"/>
          <w:sz w:val="25"/>
          <w:szCs w:val="25"/>
        </w:rPr>
        <w:t>2024</w:t>
      </w:r>
      <w:r>
        <w:rPr>
          <w:rFonts w:ascii="Times New Roman" w:hAnsi="Times New Roman" w:eastAsia="Times New Roman" w:cs="Times New Roman"/>
          <w:spacing w:val="25"/>
          <w:sz w:val="25"/>
          <w:szCs w:val="25"/>
        </w:rPr>
        <w:t xml:space="preserve"> </w:t>
      </w:r>
      <w:r>
        <w:rPr>
          <w:rFonts w:ascii="仿宋" w:hAnsi="仿宋" w:eastAsia="仿宋" w:cs="仿宋"/>
          <w:spacing w:val="2"/>
          <w:sz w:val="25"/>
          <w:szCs w:val="25"/>
        </w:rPr>
        <w:t>年</w:t>
      </w:r>
      <w:r>
        <w:rPr>
          <w:rFonts w:ascii="仿宋" w:hAnsi="仿宋" w:eastAsia="仿宋" w:cs="仿宋"/>
          <w:spacing w:val="-53"/>
          <w:sz w:val="25"/>
          <w:szCs w:val="25"/>
        </w:rPr>
        <w:t xml:space="preserve"> </w:t>
      </w:r>
      <w:r>
        <w:rPr>
          <w:rFonts w:ascii="Times New Roman" w:hAnsi="Times New Roman" w:eastAsia="Times New Roman" w:cs="Times New Roman"/>
          <w:spacing w:val="2"/>
          <w:sz w:val="25"/>
          <w:szCs w:val="25"/>
        </w:rPr>
        <w:t>2</w:t>
      </w:r>
      <w:r>
        <w:rPr>
          <w:rFonts w:ascii="Times New Roman" w:hAnsi="Times New Roman" w:eastAsia="Times New Roman" w:cs="Times New Roman"/>
          <w:spacing w:val="32"/>
          <w:w w:val="101"/>
          <w:sz w:val="25"/>
          <w:szCs w:val="25"/>
        </w:rPr>
        <w:t xml:space="preserve"> </w:t>
      </w:r>
      <w:r>
        <w:rPr>
          <w:rFonts w:ascii="仿宋" w:hAnsi="仿宋" w:eastAsia="仿宋" w:cs="仿宋"/>
          <w:spacing w:val="2"/>
          <w:sz w:val="25"/>
          <w:szCs w:val="25"/>
        </w:rPr>
        <w:t>月</w:t>
      </w:r>
      <w:r>
        <w:rPr>
          <w:rFonts w:ascii="仿宋" w:hAnsi="仿宋" w:eastAsia="仿宋" w:cs="仿宋"/>
          <w:spacing w:val="-28"/>
          <w:sz w:val="25"/>
          <w:szCs w:val="25"/>
        </w:rPr>
        <w:t xml:space="preserve"> </w:t>
      </w:r>
      <w:r>
        <w:rPr>
          <w:rFonts w:ascii="Times New Roman" w:hAnsi="Times New Roman" w:eastAsia="Times New Roman" w:cs="Times New Roman"/>
          <w:spacing w:val="2"/>
          <w:sz w:val="25"/>
          <w:szCs w:val="25"/>
        </w:rPr>
        <w:t xml:space="preserve">1  </w:t>
      </w:r>
      <w:r>
        <w:rPr>
          <w:rFonts w:ascii="仿宋" w:hAnsi="仿宋" w:eastAsia="仿宋" w:cs="仿宋"/>
          <w:spacing w:val="2"/>
          <w:sz w:val="25"/>
          <w:szCs w:val="25"/>
        </w:rPr>
        <w:t>日起施行</w:t>
      </w:r>
      <w:r>
        <w:rPr>
          <w:rFonts w:ascii="仿宋" w:hAnsi="仿宋" w:eastAsia="仿宋" w:cs="仿宋"/>
          <w:spacing w:val="9"/>
          <w:sz w:val="25"/>
          <w:szCs w:val="25"/>
        </w:rPr>
        <w:t>）；</w:t>
      </w:r>
    </w:p>
    <w:p w14:paraId="60A49F51">
      <w:pPr>
        <w:spacing w:before="149" w:line="284" w:lineRule="auto"/>
        <w:ind w:left="49" w:right="46" w:firstLine="391"/>
        <w:rPr>
          <w:rFonts w:ascii="仿宋" w:hAnsi="仿宋" w:eastAsia="仿宋" w:cs="仿宋"/>
          <w:sz w:val="25"/>
          <w:szCs w:val="25"/>
        </w:rPr>
      </w:pPr>
      <w:r>
        <w:rPr>
          <w:rFonts w:ascii="仿宋" w:hAnsi="仿宋" w:eastAsia="仿宋" w:cs="仿宋"/>
          <w:spacing w:val="4"/>
          <w:sz w:val="25"/>
          <w:szCs w:val="25"/>
        </w:rPr>
        <w:t>（</w:t>
      </w:r>
      <w:r>
        <w:rPr>
          <w:rFonts w:ascii="Times New Roman" w:hAnsi="Times New Roman" w:eastAsia="Times New Roman" w:cs="Times New Roman"/>
          <w:spacing w:val="4"/>
          <w:sz w:val="25"/>
          <w:szCs w:val="25"/>
        </w:rPr>
        <w:t>8</w:t>
      </w:r>
      <w:r>
        <w:rPr>
          <w:rFonts w:ascii="仿宋" w:hAnsi="仿宋" w:eastAsia="仿宋" w:cs="仿宋"/>
          <w:spacing w:val="4"/>
          <w:sz w:val="25"/>
          <w:szCs w:val="25"/>
        </w:rPr>
        <w:t>）《重庆市建设用地土壤污染防治办法》（</w:t>
      </w:r>
      <w:r>
        <w:rPr>
          <w:rFonts w:ascii="Times New Roman" w:hAnsi="Times New Roman" w:eastAsia="Times New Roman" w:cs="Times New Roman"/>
          <w:spacing w:val="4"/>
          <w:sz w:val="25"/>
          <w:szCs w:val="25"/>
        </w:rPr>
        <w:t>2019</w:t>
      </w:r>
      <w:r>
        <w:rPr>
          <w:rFonts w:ascii="Times New Roman" w:hAnsi="Times New Roman" w:eastAsia="Times New Roman" w:cs="Times New Roman"/>
          <w:spacing w:val="38"/>
          <w:sz w:val="25"/>
          <w:szCs w:val="25"/>
        </w:rPr>
        <w:t xml:space="preserve"> </w:t>
      </w:r>
      <w:r>
        <w:rPr>
          <w:rFonts w:ascii="仿宋" w:hAnsi="仿宋" w:eastAsia="仿宋" w:cs="仿宋"/>
          <w:spacing w:val="4"/>
          <w:sz w:val="25"/>
          <w:szCs w:val="25"/>
        </w:rPr>
        <w:t>年</w:t>
      </w:r>
      <w:r>
        <w:rPr>
          <w:rFonts w:ascii="仿宋" w:hAnsi="仿宋" w:eastAsia="仿宋" w:cs="仿宋"/>
          <w:spacing w:val="-28"/>
          <w:sz w:val="25"/>
          <w:szCs w:val="25"/>
        </w:rPr>
        <w:t xml:space="preserve"> </w:t>
      </w:r>
      <w:r>
        <w:rPr>
          <w:rFonts w:ascii="Times New Roman" w:hAnsi="Times New Roman" w:eastAsia="Times New Roman" w:cs="Times New Roman"/>
          <w:spacing w:val="4"/>
          <w:sz w:val="25"/>
          <w:szCs w:val="25"/>
        </w:rPr>
        <w:t>12</w:t>
      </w:r>
      <w:r>
        <w:rPr>
          <w:rFonts w:ascii="Times New Roman" w:hAnsi="Times New Roman" w:eastAsia="Times New Roman" w:cs="Times New Roman"/>
          <w:spacing w:val="37"/>
          <w:sz w:val="25"/>
          <w:szCs w:val="25"/>
        </w:rPr>
        <w:t xml:space="preserve"> </w:t>
      </w:r>
      <w:r>
        <w:rPr>
          <w:rFonts w:ascii="仿宋" w:hAnsi="仿宋" w:eastAsia="仿宋" w:cs="仿宋"/>
          <w:spacing w:val="4"/>
          <w:sz w:val="25"/>
          <w:szCs w:val="25"/>
        </w:rPr>
        <w:t>月</w:t>
      </w:r>
      <w:r>
        <w:rPr>
          <w:rFonts w:ascii="仿宋" w:hAnsi="仿宋" w:eastAsia="仿宋" w:cs="仿宋"/>
          <w:spacing w:val="-44"/>
          <w:sz w:val="25"/>
          <w:szCs w:val="25"/>
        </w:rPr>
        <w:t xml:space="preserve"> </w:t>
      </w:r>
      <w:r>
        <w:rPr>
          <w:rFonts w:ascii="Times New Roman" w:hAnsi="Times New Roman" w:eastAsia="Times New Roman" w:cs="Times New Roman"/>
          <w:spacing w:val="4"/>
          <w:sz w:val="25"/>
          <w:szCs w:val="25"/>
        </w:rPr>
        <w:t xml:space="preserve">8  </w:t>
      </w:r>
      <w:r>
        <w:rPr>
          <w:rFonts w:ascii="仿宋" w:hAnsi="仿宋" w:eastAsia="仿宋" w:cs="仿宋"/>
          <w:spacing w:val="4"/>
          <w:sz w:val="25"/>
          <w:szCs w:val="25"/>
        </w:rPr>
        <w:t>日重庆市人</w:t>
      </w:r>
      <w:r>
        <w:rPr>
          <w:rFonts w:ascii="仿宋" w:hAnsi="仿宋" w:eastAsia="仿宋" w:cs="仿宋"/>
          <w:sz w:val="25"/>
          <w:szCs w:val="25"/>
        </w:rPr>
        <w:t xml:space="preserve"> 民政府令第</w:t>
      </w:r>
      <w:r>
        <w:rPr>
          <w:rFonts w:ascii="仿宋" w:hAnsi="仿宋" w:eastAsia="仿宋" w:cs="仿宋"/>
          <w:spacing w:val="-68"/>
          <w:sz w:val="25"/>
          <w:szCs w:val="25"/>
        </w:rPr>
        <w:t xml:space="preserve"> </w:t>
      </w:r>
      <w:r>
        <w:rPr>
          <w:rFonts w:ascii="Times New Roman" w:hAnsi="Times New Roman" w:eastAsia="Times New Roman" w:cs="Times New Roman"/>
          <w:sz w:val="25"/>
          <w:szCs w:val="25"/>
        </w:rPr>
        <w:t xml:space="preserve">332 </w:t>
      </w:r>
      <w:r>
        <w:rPr>
          <w:rFonts w:ascii="仿宋" w:hAnsi="仿宋" w:eastAsia="仿宋" w:cs="仿宋"/>
          <w:sz w:val="25"/>
          <w:szCs w:val="25"/>
        </w:rPr>
        <w:t>号发布，</w:t>
      </w:r>
      <w:r>
        <w:rPr>
          <w:rFonts w:ascii="Times New Roman" w:hAnsi="Times New Roman" w:eastAsia="Times New Roman" w:cs="Times New Roman"/>
          <w:sz w:val="25"/>
          <w:szCs w:val="25"/>
        </w:rPr>
        <w:t xml:space="preserve">2021 </w:t>
      </w:r>
      <w:r>
        <w:rPr>
          <w:rFonts w:ascii="仿宋" w:hAnsi="仿宋" w:eastAsia="仿宋" w:cs="仿宋"/>
          <w:sz w:val="25"/>
          <w:szCs w:val="25"/>
        </w:rPr>
        <w:t>年</w:t>
      </w:r>
      <w:r>
        <w:rPr>
          <w:rFonts w:ascii="Times New Roman" w:hAnsi="Times New Roman" w:eastAsia="Times New Roman" w:cs="Times New Roman"/>
          <w:sz w:val="25"/>
          <w:szCs w:val="25"/>
        </w:rPr>
        <w:t xml:space="preserve">2 </w:t>
      </w:r>
      <w:r>
        <w:rPr>
          <w:rFonts w:ascii="仿宋" w:hAnsi="仿宋" w:eastAsia="仿宋" w:cs="仿宋"/>
          <w:sz w:val="25"/>
          <w:szCs w:val="25"/>
        </w:rPr>
        <w:t>月</w:t>
      </w:r>
      <w:r>
        <w:rPr>
          <w:rFonts w:ascii="仿宋" w:hAnsi="仿宋" w:eastAsia="仿宋" w:cs="仿宋"/>
          <w:spacing w:val="-69"/>
          <w:sz w:val="25"/>
          <w:szCs w:val="25"/>
        </w:rPr>
        <w:t xml:space="preserve"> </w:t>
      </w:r>
      <w:r>
        <w:rPr>
          <w:rFonts w:ascii="Times New Roman" w:hAnsi="Times New Roman" w:eastAsia="Times New Roman" w:cs="Times New Roman"/>
          <w:sz w:val="25"/>
          <w:szCs w:val="25"/>
        </w:rPr>
        <w:t xml:space="preserve">9  </w:t>
      </w:r>
      <w:r>
        <w:rPr>
          <w:rFonts w:ascii="仿宋" w:hAnsi="仿宋" w:eastAsia="仿宋" w:cs="仿宋"/>
          <w:sz w:val="25"/>
          <w:szCs w:val="25"/>
        </w:rPr>
        <w:t>日重庆市人民政府</w:t>
      </w:r>
      <w:r>
        <w:rPr>
          <w:rFonts w:ascii="仿宋" w:hAnsi="仿宋" w:eastAsia="仿宋" w:cs="仿宋"/>
          <w:spacing w:val="-1"/>
          <w:sz w:val="25"/>
          <w:szCs w:val="25"/>
        </w:rPr>
        <w:t>令第</w:t>
      </w:r>
      <w:r>
        <w:rPr>
          <w:rFonts w:ascii="仿宋" w:hAnsi="仿宋" w:eastAsia="仿宋" w:cs="仿宋"/>
          <w:spacing w:val="-69"/>
          <w:sz w:val="25"/>
          <w:szCs w:val="25"/>
        </w:rPr>
        <w:t xml:space="preserve"> </w:t>
      </w:r>
      <w:r>
        <w:rPr>
          <w:rFonts w:ascii="Times New Roman" w:hAnsi="Times New Roman" w:eastAsia="Times New Roman" w:cs="Times New Roman"/>
          <w:spacing w:val="-1"/>
          <w:sz w:val="25"/>
          <w:szCs w:val="25"/>
        </w:rPr>
        <w:t xml:space="preserve">343 </w:t>
      </w:r>
      <w:r>
        <w:rPr>
          <w:rFonts w:ascii="仿宋" w:hAnsi="仿宋" w:eastAsia="仿宋" w:cs="仿宋"/>
          <w:spacing w:val="-1"/>
          <w:sz w:val="25"/>
          <w:szCs w:val="25"/>
        </w:rPr>
        <w:t>号公布修改</w:t>
      </w:r>
      <w:r>
        <w:rPr>
          <w:rFonts w:ascii="仿宋" w:hAnsi="仿宋" w:eastAsia="仿宋" w:cs="仿宋"/>
          <w:spacing w:val="-64"/>
          <w:w w:val="91"/>
          <w:sz w:val="25"/>
          <w:szCs w:val="25"/>
        </w:rPr>
        <w:t>）；</w:t>
      </w:r>
    </w:p>
    <w:p w14:paraId="31B0B7FF">
      <w:pPr>
        <w:spacing w:before="155" w:line="283" w:lineRule="auto"/>
        <w:ind w:left="20" w:right="103" w:firstLine="420"/>
        <w:rPr>
          <w:rFonts w:ascii="仿宋" w:hAnsi="仿宋" w:eastAsia="仿宋" w:cs="仿宋"/>
          <w:sz w:val="25"/>
          <w:szCs w:val="25"/>
        </w:rPr>
      </w:pPr>
      <w:r>
        <w:rPr>
          <w:rFonts w:ascii="仿宋" w:hAnsi="仿宋" w:eastAsia="仿宋" w:cs="仿宋"/>
          <w:spacing w:val="9"/>
          <w:sz w:val="25"/>
          <w:szCs w:val="25"/>
        </w:rPr>
        <w:t>（</w:t>
      </w:r>
      <w:r>
        <w:rPr>
          <w:rFonts w:ascii="Times New Roman" w:hAnsi="Times New Roman" w:eastAsia="Times New Roman" w:cs="Times New Roman"/>
          <w:spacing w:val="9"/>
          <w:sz w:val="25"/>
          <w:szCs w:val="25"/>
        </w:rPr>
        <w:t>9</w:t>
      </w:r>
      <w:r>
        <w:rPr>
          <w:rFonts w:ascii="仿宋" w:hAnsi="仿宋" w:eastAsia="仿宋" w:cs="仿宋"/>
          <w:spacing w:val="9"/>
          <w:sz w:val="25"/>
          <w:szCs w:val="25"/>
        </w:rPr>
        <w:t>）《重庆市人民政府批转重庆市地表水环境功能类</w:t>
      </w:r>
      <w:r>
        <w:rPr>
          <w:rFonts w:ascii="仿宋" w:hAnsi="仿宋" w:eastAsia="仿宋" w:cs="仿宋"/>
          <w:spacing w:val="8"/>
          <w:sz w:val="25"/>
          <w:szCs w:val="25"/>
        </w:rPr>
        <w:t>别调整方案的通知》</w:t>
      </w:r>
      <w:r>
        <w:rPr>
          <w:rFonts w:ascii="仿宋" w:hAnsi="仿宋" w:eastAsia="仿宋" w:cs="仿宋"/>
          <w:sz w:val="25"/>
          <w:szCs w:val="25"/>
        </w:rPr>
        <w:t xml:space="preserve"> </w:t>
      </w:r>
      <w:r>
        <w:rPr>
          <w:rFonts w:ascii="仿宋" w:hAnsi="仿宋" w:eastAsia="仿宋" w:cs="仿宋"/>
          <w:spacing w:val="4"/>
          <w:sz w:val="25"/>
          <w:szCs w:val="25"/>
        </w:rPr>
        <w:t>（渝府发〔</w:t>
      </w:r>
      <w:r>
        <w:rPr>
          <w:rFonts w:ascii="Times New Roman" w:hAnsi="Times New Roman" w:eastAsia="Times New Roman" w:cs="Times New Roman"/>
          <w:spacing w:val="4"/>
          <w:sz w:val="25"/>
          <w:szCs w:val="25"/>
        </w:rPr>
        <w:t>2012</w:t>
      </w:r>
      <w:r>
        <w:rPr>
          <w:rFonts w:ascii="仿宋" w:hAnsi="仿宋" w:eastAsia="仿宋" w:cs="仿宋"/>
          <w:spacing w:val="4"/>
          <w:sz w:val="25"/>
          <w:szCs w:val="25"/>
        </w:rPr>
        <w:t>〕</w:t>
      </w:r>
      <w:r>
        <w:rPr>
          <w:rFonts w:ascii="Times New Roman" w:hAnsi="Times New Roman" w:eastAsia="Times New Roman" w:cs="Times New Roman"/>
          <w:spacing w:val="4"/>
          <w:sz w:val="25"/>
          <w:szCs w:val="25"/>
        </w:rPr>
        <w:t>4</w:t>
      </w:r>
      <w:r>
        <w:rPr>
          <w:rFonts w:ascii="Times New Roman" w:hAnsi="Times New Roman" w:eastAsia="Times New Roman" w:cs="Times New Roman"/>
          <w:spacing w:val="26"/>
          <w:sz w:val="25"/>
          <w:szCs w:val="25"/>
        </w:rPr>
        <w:t xml:space="preserve"> </w:t>
      </w:r>
      <w:r>
        <w:rPr>
          <w:rFonts w:ascii="仿宋" w:hAnsi="仿宋" w:eastAsia="仿宋" w:cs="仿宋"/>
          <w:spacing w:val="4"/>
          <w:sz w:val="25"/>
          <w:szCs w:val="25"/>
        </w:rPr>
        <w:t>号</w:t>
      </w:r>
      <w:r>
        <w:rPr>
          <w:rFonts w:ascii="仿宋" w:hAnsi="仿宋" w:eastAsia="仿宋" w:cs="仿宋"/>
          <w:sz w:val="25"/>
          <w:szCs w:val="25"/>
        </w:rPr>
        <w:t>）；</w:t>
      </w:r>
    </w:p>
    <w:p w14:paraId="3BC59A38">
      <w:pPr>
        <w:spacing w:before="152" w:line="284" w:lineRule="auto"/>
        <w:ind w:left="17" w:right="115" w:firstLine="423"/>
        <w:rPr>
          <w:rFonts w:ascii="仿宋" w:hAnsi="仿宋" w:eastAsia="仿宋" w:cs="仿宋"/>
          <w:sz w:val="25"/>
          <w:szCs w:val="25"/>
        </w:rPr>
      </w:pPr>
      <w:r>
        <w:rPr>
          <w:rFonts w:ascii="仿宋" w:hAnsi="仿宋" w:eastAsia="仿宋" w:cs="仿宋"/>
          <w:spacing w:val="12"/>
          <w:sz w:val="25"/>
          <w:szCs w:val="25"/>
        </w:rPr>
        <w:t>（</w:t>
      </w:r>
      <w:r>
        <w:rPr>
          <w:rFonts w:ascii="Times New Roman" w:hAnsi="Times New Roman" w:eastAsia="Times New Roman" w:cs="Times New Roman"/>
          <w:spacing w:val="12"/>
          <w:sz w:val="25"/>
          <w:szCs w:val="25"/>
        </w:rPr>
        <w:t>10</w:t>
      </w:r>
      <w:r>
        <w:rPr>
          <w:rFonts w:ascii="仿宋" w:hAnsi="仿宋" w:eastAsia="仿宋" w:cs="仿宋"/>
          <w:spacing w:val="12"/>
          <w:sz w:val="25"/>
          <w:szCs w:val="25"/>
        </w:rPr>
        <w:t>）《重庆市人民政府关于批转重庆市地表水环境功能类别局部调整方</w:t>
      </w:r>
      <w:r>
        <w:rPr>
          <w:rFonts w:ascii="仿宋" w:hAnsi="仿宋" w:eastAsia="仿宋" w:cs="仿宋"/>
          <w:spacing w:val="5"/>
          <w:sz w:val="25"/>
          <w:szCs w:val="25"/>
        </w:rPr>
        <w:t xml:space="preserve"> </w:t>
      </w:r>
      <w:r>
        <w:rPr>
          <w:rFonts w:ascii="仿宋" w:hAnsi="仿宋" w:eastAsia="仿宋" w:cs="仿宋"/>
          <w:spacing w:val="6"/>
          <w:sz w:val="25"/>
          <w:szCs w:val="25"/>
        </w:rPr>
        <w:t>案的通知》（渝府发〔</w:t>
      </w:r>
      <w:r>
        <w:rPr>
          <w:rFonts w:ascii="Times New Roman" w:hAnsi="Times New Roman" w:eastAsia="Times New Roman" w:cs="Times New Roman"/>
          <w:spacing w:val="6"/>
          <w:sz w:val="25"/>
          <w:szCs w:val="25"/>
        </w:rPr>
        <w:t>2016</w:t>
      </w:r>
      <w:r>
        <w:rPr>
          <w:rFonts w:ascii="仿宋" w:hAnsi="仿宋" w:eastAsia="仿宋" w:cs="仿宋"/>
          <w:spacing w:val="6"/>
          <w:sz w:val="25"/>
          <w:szCs w:val="25"/>
        </w:rPr>
        <w:t>〕</w:t>
      </w:r>
      <w:r>
        <w:rPr>
          <w:rFonts w:ascii="Times New Roman" w:hAnsi="Times New Roman" w:eastAsia="Times New Roman" w:cs="Times New Roman"/>
          <w:spacing w:val="6"/>
          <w:sz w:val="25"/>
          <w:szCs w:val="25"/>
        </w:rPr>
        <w:t>43</w:t>
      </w:r>
      <w:r>
        <w:rPr>
          <w:rFonts w:ascii="Times New Roman" w:hAnsi="Times New Roman" w:eastAsia="Times New Roman" w:cs="Times New Roman"/>
          <w:spacing w:val="25"/>
          <w:w w:val="101"/>
          <w:sz w:val="25"/>
          <w:szCs w:val="25"/>
        </w:rPr>
        <w:t xml:space="preserve"> </w:t>
      </w:r>
      <w:r>
        <w:rPr>
          <w:rFonts w:ascii="仿宋" w:hAnsi="仿宋" w:eastAsia="仿宋" w:cs="仿宋"/>
          <w:spacing w:val="6"/>
          <w:sz w:val="25"/>
          <w:szCs w:val="25"/>
        </w:rPr>
        <w:t>号</w:t>
      </w:r>
      <w:r>
        <w:rPr>
          <w:rFonts w:ascii="仿宋" w:hAnsi="仿宋" w:eastAsia="仿宋" w:cs="仿宋"/>
          <w:sz w:val="25"/>
          <w:szCs w:val="25"/>
        </w:rPr>
        <w:t>）；</w:t>
      </w:r>
    </w:p>
    <w:p w14:paraId="2F72C8A9">
      <w:pPr>
        <w:spacing w:before="148" w:line="285" w:lineRule="auto"/>
        <w:ind w:left="17" w:right="115" w:firstLine="423"/>
        <w:rPr>
          <w:rFonts w:ascii="仿宋" w:hAnsi="仿宋" w:eastAsia="仿宋" w:cs="仿宋"/>
          <w:sz w:val="25"/>
          <w:szCs w:val="25"/>
        </w:rPr>
      </w:pPr>
      <w:r>
        <w:rPr>
          <w:rFonts w:ascii="仿宋" w:hAnsi="仿宋" w:eastAsia="仿宋" w:cs="仿宋"/>
          <w:spacing w:val="11"/>
          <w:sz w:val="25"/>
          <w:szCs w:val="25"/>
        </w:rPr>
        <w:t>（</w:t>
      </w:r>
      <w:r>
        <w:rPr>
          <w:rFonts w:ascii="Times New Roman" w:hAnsi="Times New Roman" w:eastAsia="Times New Roman" w:cs="Times New Roman"/>
          <w:spacing w:val="11"/>
          <w:sz w:val="25"/>
          <w:szCs w:val="25"/>
        </w:rPr>
        <w:t>11</w:t>
      </w:r>
      <w:r>
        <w:rPr>
          <w:rFonts w:ascii="仿宋" w:hAnsi="仿宋" w:eastAsia="仿宋" w:cs="仿宋"/>
          <w:spacing w:val="11"/>
          <w:sz w:val="25"/>
          <w:szCs w:val="25"/>
        </w:rPr>
        <w:t>）《重庆市人民政府关于加强集中式饮用水源保护工作的通知》</w:t>
      </w:r>
      <w:r>
        <w:rPr>
          <w:rFonts w:ascii="仿宋" w:hAnsi="仿宋" w:eastAsia="仿宋" w:cs="仿宋"/>
          <w:spacing w:val="-87"/>
          <w:sz w:val="25"/>
          <w:szCs w:val="25"/>
        </w:rPr>
        <w:t xml:space="preserve"> </w:t>
      </w:r>
      <w:r>
        <w:rPr>
          <w:rFonts w:ascii="仿宋" w:hAnsi="仿宋" w:eastAsia="仿宋" w:cs="仿宋"/>
          <w:spacing w:val="11"/>
          <w:sz w:val="25"/>
          <w:szCs w:val="25"/>
        </w:rPr>
        <w:t>（渝</w:t>
      </w:r>
      <w:r>
        <w:rPr>
          <w:rFonts w:ascii="仿宋" w:hAnsi="仿宋" w:eastAsia="仿宋" w:cs="仿宋"/>
          <w:sz w:val="25"/>
          <w:szCs w:val="25"/>
        </w:rPr>
        <w:t xml:space="preserve"> </w:t>
      </w:r>
      <w:r>
        <w:rPr>
          <w:rFonts w:ascii="仿宋" w:hAnsi="仿宋" w:eastAsia="仿宋" w:cs="仿宋"/>
          <w:spacing w:val="3"/>
          <w:sz w:val="25"/>
          <w:szCs w:val="25"/>
        </w:rPr>
        <w:t>府发〔</w:t>
      </w:r>
      <w:r>
        <w:rPr>
          <w:rFonts w:ascii="Times New Roman" w:hAnsi="Times New Roman" w:eastAsia="Times New Roman" w:cs="Times New Roman"/>
          <w:spacing w:val="3"/>
          <w:sz w:val="25"/>
          <w:szCs w:val="25"/>
        </w:rPr>
        <w:t>2012</w:t>
      </w:r>
      <w:r>
        <w:rPr>
          <w:rFonts w:ascii="仿宋" w:hAnsi="仿宋" w:eastAsia="仿宋" w:cs="仿宋"/>
          <w:spacing w:val="3"/>
          <w:sz w:val="25"/>
          <w:szCs w:val="25"/>
        </w:rPr>
        <w:t>〕</w:t>
      </w:r>
      <w:r>
        <w:rPr>
          <w:rFonts w:ascii="Times New Roman" w:hAnsi="Times New Roman" w:eastAsia="Times New Roman" w:cs="Times New Roman"/>
          <w:spacing w:val="3"/>
          <w:sz w:val="25"/>
          <w:szCs w:val="25"/>
        </w:rPr>
        <w:t>79</w:t>
      </w:r>
      <w:r>
        <w:rPr>
          <w:rFonts w:ascii="Times New Roman" w:hAnsi="Times New Roman" w:eastAsia="Times New Roman" w:cs="Times New Roman"/>
          <w:spacing w:val="28"/>
          <w:w w:val="101"/>
          <w:sz w:val="25"/>
          <w:szCs w:val="25"/>
        </w:rPr>
        <w:t xml:space="preserve"> </w:t>
      </w:r>
      <w:r>
        <w:rPr>
          <w:rFonts w:ascii="仿宋" w:hAnsi="仿宋" w:eastAsia="仿宋" w:cs="仿宋"/>
          <w:spacing w:val="3"/>
          <w:sz w:val="25"/>
          <w:szCs w:val="25"/>
        </w:rPr>
        <w:t>号</w:t>
      </w:r>
      <w:r>
        <w:rPr>
          <w:rFonts w:ascii="仿宋" w:hAnsi="仿宋" w:eastAsia="仿宋" w:cs="仿宋"/>
          <w:spacing w:val="1"/>
          <w:sz w:val="25"/>
          <w:szCs w:val="25"/>
        </w:rPr>
        <w:t>）；</w:t>
      </w:r>
    </w:p>
    <w:p w14:paraId="131AD9F5">
      <w:pPr>
        <w:spacing w:before="151" w:line="227" w:lineRule="auto"/>
        <w:ind w:left="440"/>
        <w:rPr>
          <w:rFonts w:ascii="仿宋" w:hAnsi="仿宋" w:eastAsia="仿宋" w:cs="仿宋"/>
          <w:sz w:val="25"/>
          <w:szCs w:val="25"/>
        </w:rPr>
      </w:pPr>
      <w:r>
        <w:rPr>
          <w:rFonts w:ascii="仿宋" w:hAnsi="仿宋" w:eastAsia="仿宋" w:cs="仿宋"/>
          <w:spacing w:val="12"/>
          <w:sz w:val="25"/>
          <w:szCs w:val="25"/>
        </w:rPr>
        <w:t>（</w:t>
      </w:r>
      <w:r>
        <w:rPr>
          <w:rFonts w:ascii="Times New Roman" w:hAnsi="Times New Roman" w:eastAsia="Times New Roman" w:cs="Times New Roman"/>
          <w:spacing w:val="12"/>
          <w:sz w:val="25"/>
          <w:szCs w:val="25"/>
        </w:rPr>
        <w:t>12</w:t>
      </w:r>
      <w:r>
        <w:rPr>
          <w:rFonts w:ascii="仿宋" w:hAnsi="仿宋" w:eastAsia="仿宋" w:cs="仿宋"/>
          <w:spacing w:val="12"/>
          <w:sz w:val="25"/>
          <w:szCs w:val="25"/>
        </w:rPr>
        <w:t>）《重庆市人民政府办公厅关于公布水土流失重点预防区和重点治理</w:t>
      </w:r>
    </w:p>
    <w:p w14:paraId="0B380009">
      <w:pPr>
        <w:spacing w:line="227" w:lineRule="auto"/>
        <w:rPr>
          <w:rFonts w:ascii="仿宋" w:hAnsi="仿宋" w:eastAsia="仿宋" w:cs="仿宋"/>
          <w:sz w:val="25"/>
          <w:szCs w:val="25"/>
        </w:rPr>
        <w:sectPr>
          <w:headerReference r:id="rId22" w:type="default"/>
          <w:footerReference r:id="rId23" w:type="default"/>
          <w:pgSz w:w="11906" w:h="16839"/>
          <w:pgMar w:top="1116" w:right="1360" w:bottom="1480" w:left="1587" w:header="683" w:footer="1318" w:gutter="0"/>
          <w:cols w:space="720" w:num="1"/>
        </w:sectPr>
      </w:pPr>
    </w:p>
    <w:p w14:paraId="1D4E943B">
      <w:pPr>
        <w:pStyle w:val="2"/>
        <w:spacing w:line="386" w:lineRule="auto"/>
      </w:pPr>
    </w:p>
    <w:p w14:paraId="23AAAFF0">
      <w:pPr>
        <w:spacing w:before="81" w:line="228" w:lineRule="auto"/>
        <w:ind w:left="38"/>
        <w:rPr>
          <w:rFonts w:ascii="仿宋" w:hAnsi="仿宋" w:eastAsia="仿宋" w:cs="仿宋"/>
          <w:sz w:val="25"/>
          <w:szCs w:val="25"/>
        </w:rPr>
      </w:pPr>
      <w:r>
        <w:rPr>
          <w:rFonts w:ascii="仿宋" w:hAnsi="仿宋" w:eastAsia="仿宋" w:cs="仿宋"/>
          <w:spacing w:val="6"/>
          <w:sz w:val="25"/>
          <w:szCs w:val="25"/>
        </w:rPr>
        <w:t>区复核划分成果的通知》（渝府办发〔</w:t>
      </w:r>
      <w:r>
        <w:rPr>
          <w:rFonts w:ascii="Times New Roman" w:hAnsi="Times New Roman" w:eastAsia="Times New Roman" w:cs="Times New Roman"/>
          <w:spacing w:val="6"/>
          <w:sz w:val="25"/>
          <w:szCs w:val="25"/>
        </w:rPr>
        <w:t>2015</w:t>
      </w:r>
      <w:r>
        <w:rPr>
          <w:rFonts w:ascii="仿宋" w:hAnsi="仿宋" w:eastAsia="仿宋" w:cs="仿宋"/>
          <w:spacing w:val="6"/>
          <w:sz w:val="25"/>
          <w:szCs w:val="25"/>
        </w:rPr>
        <w:t>〕</w:t>
      </w:r>
      <w:r>
        <w:rPr>
          <w:rFonts w:ascii="Times New Roman" w:hAnsi="Times New Roman" w:eastAsia="Times New Roman" w:cs="Times New Roman"/>
          <w:spacing w:val="6"/>
          <w:sz w:val="25"/>
          <w:szCs w:val="25"/>
        </w:rPr>
        <w:t>197</w:t>
      </w:r>
      <w:r>
        <w:rPr>
          <w:rFonts w:ascii="Times New Roman" w:hAnsi="Times New Roman" w:eastAsia="Times New Roman" w:cs="Times New Roman"/>
          <w:spacing w:val="27"/>
          <w:sz w:val="25"/>
          <w:szCs w:val="25"/>
        </w:rPr>
        <w:t xml:space="preserve"> </w:t>
      </w:r>
      <w:r>
        <w:rPr>
          <w:rFonts w:ascii="仿宋" w:hAnsi="仿宋" w:eastAsia="仿宋" w:cs="仿宋"/>
          <w:spacing w:val="6"/>
          <w:sz w:val="25"/>
          <w:szCs w:val="25"/>
        </w:rPr>
        <w:t>号</w:t>
      </w:r>
      <w:r>
        <w:rPr>
          <w:rFonts w:ascii="仿宋" w:hAnsi="仿宋" w:eastAsia="仿宋" w:cs="仿宋"/>
          <w:spacing w:val="1"/>
          <w:sz w:val="25"/>
          <w:szCs w:val="25"/>
        </w:rPr>
        <w:t>）；</w:t>
      </w:r>
    </w:p>
    <w:p w14:paraId="579C92A5">
      <w:pPr>
        <w:spacing w:before="152" w:line="283" w:lineRule="auto"/>
        <w:ind w:left="19" w:right="82" w:firstLine="421"/>
        <w:rPr>
          <w:rFonts w:ascii="仿宋" w:hAnsi="仿宋" w:eastAsia="仿宋" w:cs="仿宋"/>
          <w:sz w:val="25"/>
          <w:szCs w:val="25"/>
        </w:rPr>
      </w:pPr>
      <w:r>
        <w:rPr>
          <w:rFonts w:ascii="仿宋" w:hAnsi="仿宋" w:eastAsia="仿宋" w:cs="仿宋"/>
          <w:spacing w:val="12"/>
          <w:sz w:val="25"/>
          <w:szCs w:val="25"/>
        </w:rPr>
        <w:t>（</w:t>
      </w:r>
      <w:r>
        <w:rPr>
          <w:rFonts w:ascii="Times New Roman" w:hAnsi="Times New Roman" w:eastAsia="Times New Roman" w:cs="Times New Roman"/>
          <w:spacing w:val="12"/>
          <w:sz w:val="25"/>
          <w:szCs w:val="25"/>
        </w:rPr>
        <w:t>13</w:t>
      </w:r>
      <w:r>
        <w:rPr>
          <w:rFonts w:ascii="仿宋" w:hAnsi="仿宋" w:eastAsia="仿宋" w:cs="仿宋"/>
          <w:spacing w:val="12"/>
          <w:sz w:val="25"/>
          <w:szCs w:val="25"/>
        </w:rPr>
        <w:t>）《重庆市人民政府办公厅关于印发主城区集中式饮用水水源保护区</w:t>
      </w:r>
      <w:r>
        <w:rPr>
          <w:rFonts w:ascii="仿宋" w:hAnsi="仿宋" w:eastAsia="仿宋" w:cs="仿宋"/>
          <w:spacing w:val="5"/>
          <w:sz w:val="25"/>
          <w:szCs w:val="25"/>
        </w:rPr>
        <w:t xml:space="preserve"> 划定方案的通知》（渝办〔</w:t>
      </w:r>
      <w:r>
        <w:rPr>
          <w:rFonts w:ascii="Times New Roman" w:hAnsi="Times New Roman" w:eastAsia="Times New Roman" w:cs="Times New Roman"/>
          <w:spacing w:val="5"/>
          <w:sz w:val="25"/>
          <w:szCs w:val="25"/>
        </w:rPr>
        <w:t>2011</w:t>
      </w:r>
      <w:r>
        <w:rPr>
          <w:rFonts w:ascii="仿宋" w:hAnsi="仿宋" w:eastAsia="仿宋" w:cs="仿宋"/>
          <w:spacing w:val="5"/>
          <w:sz w:val="25"/>
          <w:szCs w:val="25"/>
        </w:rPr>
        <w:t>〕</w:t>
      </w:r>
      <w:r>
        <w:rPr>
          <w:rFonts w:ascii="Times New Roman" w:hAnsi="Times New Roman" w:eastAsia="Times New Roman" w:cs="Times New Roman"/>
          <w:spacing w:val="5"/>
          <w:sz w:val="25"/>
          <w:szCs w:val="25"/>
        </w:rPr>
        <w:t>92</w:t>
      </w:r>
      <w:r>
        <w:rPr>
          <w:rFonts w:ascii="Times New Roman" w:hAnsi="Times New Roman" w:eastAsia="Times New Roman" w:cs="Times New Roman"/>
          <w:spacing w:val="27"/>
          <w:w w:val="101"/>
          <w:sz w:val="25"/>
          <w:szCs w:val="25"/>
        </w:rPr>
        <w:t xml:space="preserve"> </w:t>
      </w:r>
      <w:r>
        <w:rPr>
          <w:rFonts w:ascii="仿宋" w:hAnsi="仿宋" w:eastAsia="仿宋" w:cs="仿宋"/>
          <w:spacing w:val="5"/>
          <w:sz w:val="25"/>
          <w:szCs w:val="25"/>
        </w:rPr>
        <w:t>号</w:t>
      </w:r>
      <w:r>
        <w:rPr>
          <w:rFonts w:ascii="仿宋" w:hAnsi="仿宋" w:eastAsia="仿宋" w:cs="仿宋"/>
          <w:spacing w:val="6"/>
          <w:sz w:val="25"/>
          <w:szCs w:val="25"/>
        </w:rPr>
        <w:t>）；</w:t>
      </w:r>
    </w:p>
    <w:p w14:paraId="61B57AB8">
      <w:pPr>
        <w:spacing w:before="151" w:line="284" w:lineRule="auto"/>
        <w:ind w:left="49" w:right="82" w:firstLine="391"/>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14</w:t>
      </w:r>
      <w:r>
        <w:rPr>
          <w:rFonts w:ascii="仿宋" w:hAnsi="仿宋" w:eastAsia="仿宋" w:cs="仿宋"/>
          <w:spacing w:val="7"/>
          <w:sz w:val="25"/>
          <w:szCs w:val="25"/>
        </w:rPr>
        <w:t>）《重庆市人民政府办公厅关于调整万州区等</w:t>
      </w:r>
      <w:r>
        <w:rPr>
          <w:rFonts w:ascii="Times New Roman" w:hAnsi="Times New Roman" w:eastAsia="Times New Roman" w:cs="Times New Roman"/>
          <w:spacing w:val="7"/>
          <w:sz w:val="25"/>
          <w:szCs w:val="25"/>
        </w:rPr>
        <w:t>36</w:t>
      </w:r>
      <w:r>
        <w:rPr>
          <w:rFonts w:ascii="Times New Roman" w:hAnsi="Times New Roman" w:eastAsia="Times New Roman" w:cs="Times New Roman"/>
          <w:spacing w:val="33"/>
          <w:sz w:val="25"/>
          <w:szCs w:val="25"/>
        </w:rPr>
        <w:t xml:space="preserve"> </w:t>
      </w:r>
      <w:r>
        <w:rPr>
          <w:rFonts w:ascii="仿宋" w:hAnsi="仿宋" w:eastAsia="仿宋" w:cs="仿宋"/>
          <w:spacing w:val="7"/>
          <w:sz w:val="25"/>
          <w:szCs w:val="25"/>
        </w:rPr>
        <w:t>个区县（</w:t>
      </w:r>
      <w:r>
        <w:rPr>
          <w:rFonts w:ascii="仿宋" w:hAnsi="仿宋" w:eastAsia="仿宋" w:cs="仿宋"/>
          <w:spacing w:val="-58"/>
          <w:sz w:val="25"/>
          <w:szCs w:val="25"/>
        </w:rPr>
        <w:t xml:space="preserve"> </w:t>
      </w:r>
      <w:r>
        <w:rPr>
          <w:rFonts w:ascii="仿宋" w:hAnsi="仿宋" w:eastAsia="仿宋" w:cs="仿宋"/>
          <w:spacing w:val="7"/>
          <w:sz w:val="25"/>
          <w:szCs w:val="25"/>
        </w:rPr>
        <w:t>自治县）集</w:t>
      </w:r>
      <w:r>
        <w:rPr>
          <w:rFonts w:ascii="仿宋" w:hAnsi="仿宋" w:eastAsia="仿宋" w:cs="仿宋"/>
          <w:sz w:val="25"/>
          <w:szCs w:val="25"/>
        </w:rPr>
        <w:t xml:space="preserve"> </w:t>
      </w:r>
      <w:r>
        <w:rPr>
          <w:rFonts w:ascii="仿宋" w:hAnsi="仿宋" w:eastAsia="仿宋" w:cs="仿宋"/>
          <w:spacing w:val="6"/>
          <w:sz w:val="25"/>
          <w:szCs w:val="25"/>
        </w:rPr>
        <w:t>中式饮用水水源保护区的通知》（渝府办〔</w:t>
      </w:r>
      <w:r>
        <w:rPr>
          <w:rFonts w:ascii="Times New Roman" w:hAnsi="Times New Roman" w:eastAsia="Times New Roman" w:cs="Times New Roman"/>
          <w:spacing w:val="6"/>
          <w:sz w:val="25"/>
          <w:szCs w:val="25"/>
        </w:rPr>
        <w:t>2016</w:t>
      </w:r>
      <w:r>
        <w:rPr>
          <w:rFonts w:ascii="仿宋" w:hAnsi="仿宋" w:eastAsia="仿宋" w:cs="仿宋"/>
          <w:spacing w:val="6"/>
          <w:sz w:val="25"/>
          <w:szCs w:val="25"/>
        </w:rPr>
        <w:t>〕</w:t>
      </w:r>
      <w:r>
        <w:rPr>
          <w:rFonts w:ascii="Times New Roman" w:hAnsi="Times New Roman" w:eastAsia="Times New Roman" w:cs="Times New Roman"/>
          <w:spacing w:val="6"/>
          <w:sz w:val="25"/>
          <w:szCs w:val="25"/>
        </w:rPr>
        <w:t>19</w:t>
      </w:r>
      <w:r>
        <w:rPr>
          <w:rFonts w:ascii="Times New Roman" w:hAnsi="Times New Roman" w:eastAsia="Times New Roman" w:cs="Times New Roman"/>
          <w:spacing w:val="26"/>
          <w:sz w:val="25"/>
          <w:szCs w:val="25"/>
        </w:rPr>
        <w:t xml:space="preserve"> </w:t>
      </w:r>
      <w:r>
        <w:rPr>
          <w:rFonts w:ascii="仿宋" w:hAnsi="仿宋" w:eastAsia="仿宋" w:cs="仿宋"/>
          <w:spacing w:val="6"/>
          <w:sz w:val="25"/>
          <w:szCs w:val="25"/>
        </w:rPr>
        <w:t>号</w:t>
      </w:r>
      <w:r>
        <w:rPr>
          <w:rFonts w:ascii="仿宋" w:hAnsi="仿宋" w:eastAsia="仿宋" w:cs="仿宋"/>
          <w:spacing w:val="1"/>
          <w:sz w:val="25"/>
          <w:szCs w:val="25"/>
        </w:rPr>
        <w:t>）；</w:t>
      </w:r>
    </w:p>
    <w:p w14:paraId="223F7D5A">
      <w:pPr>
        <w:spacing w:before="150" w:line="284" w:lineRule="auto"/>
        <w:ind w:left="49" w:right="82" w:firstLine="391"/>
        <w:rPr>
          <w:rFonts w:ascii="仿宋" w:hAnsi="仿宋" w:eastAsia="仿宋" w:cs="仿宋"/>
          <w:sz w:val="25"/>
          <w:szCs w:val="25"/>
        </w:rPr>
      </w:pPr>
      <w:r>
        <w:rPr>
          <w:rFonts w:ascii="仿宋" w:hAnsi="仿宋" w:eastAsia="仿宋" w:cs="仿宋"/>
          <w:spacing w:val="6"/>
          <w:sz w:val="25"/>
          <w:szCs w:val="25"/>
        </w:rPr>
        <w:t>（</w:t>
      </w:r>
      <w:r>
        <w:rPr>
          <w:rFonts w:ascii="Times New Roman" w:hAnsi="Times New Roman" w:eastAsia="Times New Roman" w:cs="Times New Roman"/>
          <w:spacing w:val="6"/>
          <w:sz w:val="25"/>
          <w:szCs w:val="25"/>
        </w:rPr>
        <w:t>15</w:t>
      </w:r>
      <w:r>
        <w:rPr>
          <w:rFonts w:ascii="仿宋" w:hAnsi="仿宋" w:eastAsia="仿宋" w:cs="仿宋"/>
          <w:spacing w:val="6"/>
          <w:sz w:val="25"/>
          <w:szCs w:val="25"/>
        </w:rPr>
        <w:t>）《重庆市人民政府办公厅关于印发万州区等</w:t>
      </w:r>
      <w:r>
        <w:rPr>
          <w:rFonts w:ascii="仿宋" w:hAnsi="仿宋" w:eastAsia="仿宋" w:cs="仿宋"/>
          <w:spacing w:val="-11"/>
          <w:sz w:val="25"/>
          <w:szCs w:val="25"/>
        </w:rPr>
        <w:t xml:space="preserve"> </w:t>
      </w:r>
      <w:r>
        <w:rPr>
          <w:rFonts w:ascii="Times New Roman" w:hAnsi="Times New Roman" w:eastAsia="Times New Roman" w:cs="Times New Roman"/>
          <w:spacing w:val="6"/>
          <w:sz w:val="25"/>
          <w:szCs w:val="25"/>
        </w:rPr>
        <w:t>18</w:t>
      </w:r>
      <w:r>
        <w:rPr>
          <w:rFonts w:ascii="Times New Roman" w:hAnsi="Times New Roman" w:eastAsia="Times New Roman" w:cs="Times New Roman"/>
          <w:spacing w:val="20"/>
          <w:w w:val="101"/>
          <w:sz w:val="25"/>
          <w:szCs w:val="25"/>
        </w:rPr>
        <w:t xml:space="preserve"> </w:t>
      </w:r>
      <w:r>
        <w:rPr>
          <w:rFonts w:ascii="仿宋" w:hAnsi="仿宋" w:eastAsia="仿宋" w:cs="仿宋"/>
          <w:spacing w:val="6"/>
          <w:sz w:val="25"/>
          <w:szCs w:val="25"/>
        </w:rPr>
        <w:t>个区县（开发区）集</w:t>
      </w:r>
      <w:r>
        <w:rPr>
          <w:rFonts w:ascii="仿宋" w:hAnsi="仿宋" w:eastAsia="仿宋" w:cs="仿宋"/>
          <w:sz w:val="25"/>
          <w:szCs w:val="25"/>
        </w:rPr>
        <w:t xml:space="preserve"> </w:t>
      </w:r>
      <w:r>
        <w:rPr>
          <w:rFonts w:ascii="仿宋" w:hAnsi="仿宋" w:eastAsia="仿宋" w:cs="仿宋"/>
          <w:spacing w:val="7"/>
          <w:sz w:val="25"/>
          <w:szCs w:val="25"/>
        </w:rPr>
        <w:t>中式饮用水水源地保护区划分及调整方案的通知》（渝府办〔</w:t>
      </w:r>
      <w:r>
        <w:rPr>
          <w:rFonts w:ascii="Times New Roman" w:hAnsi="Times New Roman" w:eastAsia="Times New Roman" w:cs="Times New Roman"/>
          <w:spacing w:val="7"/>
          <w:sz w:val="25"/>
          <w:szCs w:val="25"/>
        </w:rPr>
        <w:t>2017</w:t>
      </w:r>
      <w:r>
        <w:rPr>
          <w:rFonts w:ascii="仿宋" w:hAnsi="仿宋" w:eastAsia="仿宋" w:cs="仿宋"/>
          <w:spacing w:val="7"/>
          <w:sz w:val="25"/>
          <w:szCs w:val="25"/>
        </w:rPr>
        <w:t>〕</w:t>
      </w:r>
      <w:r>
        <w:rPr>
          <w:rFonts w:ascii="Times New Roman" w:hAnsi="Times New Roman" w:eastAsia="Times New Roman" w:cs="Times New Roman"/>
          <w:spacing w:val="7"/>
          <w:sz w:val="25"/>
          <w:szCs w:val="25"/>
        </w:rPr>
        <w:t>2</w:t>
      </w:r>
      <w:r>
        <w:rPr>
          <w:rFonts w:ascii="Times New Roman" w:hAnsi="Times New Roman" w:eastAsia="Times New Roman" w:cs="Times New Roman"/>
          <w:spacing w:val="6"/>
          <w:sz w:val="25"/>
          <w:szCs w:val="25"/>
        </w:rPr>
        <w:t>1</w:t>
      </w:r>
      <w:r>
        <w:rPr>
          <w:rFonts w:ascii="Times New Roman" w:hAnsi="Times New Roman" w:eastAsia="Times New Roman" w:cs="Times New Roman"/>
          <w:spacing w:val="29"/>
          <w:sz w:val="25"/>
          <w:szCs w:val="25"/>
        </w:rPr>
        <w:t xml:space="preserve"> </w:t>
      </w:r>
      <w:r>
        <w:rPr>
          <w:rFonts w:ascii="仿宋" w:hAnsi="仿宋" w:eastAsia="仿宋" w:cs="仿宋"/>
          <w:spacing w:val="6"/>
          <w:sz w:val="25"/>
          <w:szCs w:val="25"/>
        </w:rPr>
        <w:t>号</w:t>
      </w:r>
      <w:r>
        <w:rPr>
          <w:rFonts w:ascii="仿宋" w:hAnsi="仿宋" w:eastAsia="仿宋" w:cs="仿宋"/>
          <w:spacing w:val="-22"/>
          <w:sz w:val="25"/>
          <w:szCs w:val="25"/>
        </w:rPr>
        <w:t>）；</w:t>
      </w:r>
    </w:p>
    <w:p w14:paraId="50F27D1B">
      <w:pPr>
        <w:spacing w:before="152" w:line="283" w:lineRule="auto"/>
        <w:ind w:left="15" w:right="82" w:firstLine="425"/>
        <w:rPr>
          <w:rFonts w:ascii="仿宋" w:hAnsi="仿宋" w:eastAsia="仿宋" w:cs="仿宋"/>
          <w:sz w:val="25"/>
          <w:szCs w:val="25"/>
        </w:rPr>
      </w:pPr>
      <w:r>
        <w:rPr>
          <w:rFonts w:ascii="仿宋" w:hAnsi="仿宋" w:eastAsia="仿宋" w:cs="仿宋"/>
          <w:spacing w:val="12"/>
          <w:sz w:val="25"/>
          <w:szCs w:val="25"/>
        </w:rPr>
        <w:t>（</w:t>
      </w:r>
      <w:r>
        <w:rPr>
          <w:rFonts w:ascii="Times New Roman" w:hAnsi="Times New Roman" w:eastAsia="Times New Roman" w:cs="Times New Roman"/>
          <w:spacing w:val="12"/>
          <w:sz w:val="25"/>
          <w:szCs w:val="25"/>
        </w:rPr>
        <w:t>16</w:t>
      </w:r>
      <w:r>
        <w:rPr>
          <w:rFonts w:ascii="仿宋" w:hAnsi="仿宋" w:eastAsia="仿宋" w:cs="仿宋"/>
          <w:spacing w:val="12"/>
          <w:sz w:val="25"/>
          <w:szCs w:val="25"/>
        </w:rPr>
        <w:t>）《重庆市人民政府办公厅关于印发万州区等区县（开发区）集中式</w:t>
      </w:r>
      <w:r>
        <w:rPr>
          <w:rFonts w:ascii="仿宋" w:hAnsi="仿宋" w:eastAsia="仿宋" w:cs="仿宋"/>
          <w:spacing w:val="5"/>
          <w:sz w:val="25"/>
          <w:szCs w:val="25"/>
        </w:rPr>
        <w:t xml:space="preserve"> </w:t>
      </w:r>
      <w:r>
        <w:rPr>
          <w:rFonts w:ascii="仿宋" w:hAnsi="仿宋" w:eastAsia="仿宋" w:cs="仿宋"/>
          <w:spacing w:val="8"/>
          <w:sz w:val="25"/>
          <w:szCs w:val="25"/>
        </w:rPr>
        <w:t>饮用水水源地保护区划分及调整方案的通知》（渝府办〔</w:t>
      </w:r>
      <w:r>
        <w:rPr>
          <w:rFonts w:ascii="Times New Roman" w:hAnsi="Times New Roman" w:eastAsia="Times New Roman" w:cs="Times New Roman"/>
          <w:spacing w:val="8"/>
          <w:sz w:val="25"/>
          <w:szCs w:val="25"/>
        </w:rPr>
        <w:t>2018</w:t>
      </w:r>
      <w:r>
        <w:rPr>
          <w:rFonts w:ascii="仿宋" w:hAnsi="仿宋" w:eastAsia="仿宋" w:cs="仿宋"/>
          <w:spacing w:val="8"/>
          <w:sz w:val="25"/>
          <w:szCs w:val="25"/>
        </w:rPr>
        <w:t>〕</w:t>
      </w:r>
      <w:r>
        <w:rPr>
          <w:rFonts w:ascii="Times New Roman" w:hAnsi="Times New Roman" w:eastAsia="Times New Roman" w:cs="Times New Roman"/>
          <w:spacing w:val="7"/>
          <w:sz w:val="25"/>
          <w:szCs w:val="25"/>
        </w:rPr>
        <w:t>7</w:t>
      </w:r>
      <w:r>
        <w:rPr>
          <w:rFonts w:ascii="Times New Roman" w:hAnsi="Times New Roman" w:eastAsia="Times New Roman" w:cs="Times New Roman"/>
          <w:spacing w:val="26"/>
          <w:sz w:val="25"/>
          <w:szCs w:val="25"/>
        </w:rPr>
        <w:t xml:space="preserve"> </w:t>
      </w:r>
      <w:r>
        <w:rPr>
          <w:rFonts w:ascii="仿宋" w:hAnsi="仿宋" w:eastAsia="仿宋" w:cs="仿宋"/>
          <w:spacing w:val="7"/>
          <w:sz w:val="25"/>
          <w:szCs w:val="25"/>
        </w:rPr>
        <w:t>号</w:t>
      </w:r>
      <w:r>
        <w:rPr>
          <w:rFonts w:ascii="仿宋" w:hAnsi="仿宋" w:eastAsia="仿宋" w:cs="仿宋"/>
          <w:sz w:val="25"/>
          <w:szCs w:val="25"/>
        </w:rPr>
        <w:t>）；</w:t>
      </w:r>
    </w:p>
    <w:p w14:paraId="6765785A">
      <w:pPr>
        <w:spacing w:before="153" w:line="284" w:lineRule="auto"/>
        <w:ind w:left="15" w:right="82" w:firstLine="425"/>
        <w:rPr>
          <w:rFonts w:ascii="仿宋" w:hAnsi="仿宋" w:eastAsia="仿宋" w:cs="仿宋"/>
          <w:sz w:val="25"/>
          <w:szCs w:val="25"/>
        </w:rPr>
      </w:pPr>
      <w:r>
        <w:rPr>
          <w:rFonts w:ascii="仿宋" w:hAnsi="仿宋" w:eastAsia="仿宋" w:cs="仿宋"/>
          <w:spacing w:val="12"/>
          <w:sz w:val="25"/>
          <w:szCs w:val="25"/>
        </w:rPr>
        <w:t>（</w:t>
      </w:r>
      <w:r>
        <w:rPr>
          <w:rFonts w:ascii="Times New Roman" w:hAnsi="Times New Roman" w:eastAsia="Times New Roman" w:cs="Times New Roman"/>
          <w:spacing w:val="12"/>
          <w:sz w:val="25"/>
          <w:szCs w:val="25"/>
        </w:rPr>
        <w:t>17</w:t>
      </w:r>
      <w:r>
        <w:rPr>
          <w:rFonts w:ascii="仿宋" w:hAnsi="仿宋" w:eastAsia="仿宋" w:cs="仿宋"/>
          <w:spacing w:val="12"/>
          <w:sz w:val="25"/>
          <w:szCs w:val="25"/>
        </w:rPr>
        <w:t>）《重庆市人民政府办公厅关于印发璧山区等区县（开发区）集中式</w:t>
      </w:r>
      <w:r>
        <w:rPr>
          <w:rFonts w:ascii="仿宋" w:hAnsi="仿宋" w:eastAsia="仿宋" w:cs="仿宋"/>
          <w:spacing w:val="5"/>
          <w:sz w:val="25"/>
          <w:szCs w:val="25"/>
        </w:rPr>
        <w:t xml:space="preserve"> </w:t>
      </w:r>
      <w:r>
        <w:rPr>
          <w:rFonts w:ascii="仿宋" w:hAnsi="仿宋" w:eastAsia="仿宋" w:cs="仿宋"/>
          <w:spacing w:val="8"/>
          <w:sz w:val="25"/>
          <w:szCs w:val="25"/>
        </w:rPr>
        <w:t>饮用水水源地保护区调整及撤销方案的通知》（渝府办〔</w:t>
      </w:r>
      <w:r>
        <w:rPr>
          <w:rFonts w:ascii="Times New Roman" w:hAnsi="Times New Roman" w:eastAsia="Times New Roman" w:cs="Times New Roman"/>
          <w:spacing w:val="8"/>
          <w:sz w:val="25"/>
          <w:szCs w:val="25"/>
        </w:rPr>
        <w:t>2019</w:t>
      </w:r>
      <w:r>
        <w:rPr>
          <w:rFonts w:ascii="仿宋" w:hAnsi="仿宋" w:eastAsia="仿宋" w:cs="仿宋"/>
          <w:spacing w:val="8"/>
          <w:sz w:val="25"/>
          <w:szCs w:val="25"/>
        </w:rPr>
        <w:t>〕</w:t>
      </w:r>
      <w:r>
        <w:rPr>
          <w:rFonts w:ascii="Times New Roman" w:hAnsi="Times New Roman" w:eastAsia="Times New Roman" w:cs="Times New Roman"/>
          <w:spacing w:val="7"/>
          <w:sz w:val="25"/>
          <w:szCs w:val="25"/>
        </w:rPr>
        <w:t>6</w:t>
      </w:r>
      <w:r>
        <w:rPr>
          <w:rFonts w:ascii="Times New Roman" w:hAnsi="Times New Roman" w:eastAsia="Times New Roman" w:cs="Times New Roman"/>
          <w:spacing w:val="26"/>
          <w:sz w:val="25"/>
          <w:szCs w:val="25"/>
        </w:rPr>
        <w:t xml:space="preserve"> </w:t>
      </w:r>
      <w:r>
        <w:rPr>
          <w:rFonts w:ascii="仿宋" w:hAnsi="仿宋" w:eastAsia="仿宋" w:cs="仿宋"/>
          <w:spacing w:val="7"/>
          <w:sz w:val="25"/>
          <w:szCs w:val="25"/>
        </w:rPr>
        <w:t>号</w:t>
      </w:r>
      <w:r>
        <w:rPr>
          <w:rFonts w:ascii="仿宋" w:hAnsi="仿宋" w:eastAsia="仿宋" w:cs="仿宋"/>
          <w:sz w:val="25"/>
          <w:szCs w:val="25"/>
        </w:rPr>
        <w:t>）；</w:t>
      </w:r>
    </w:p>
    <w:p w14:paraId="3B0A6A99">
      <w:pPr>
        <w:spacing w:before="150" w:line="284" w:lineRule="auto"/>
        <w:ind w:left="15" w:right="82" w:firstLine="425"/>
        <w:rPr>
          <w:rFonts w:ascii="仿宋" w:hAnsi="仿宋" w:eastAsia="仿宋" w:cs="仿宋"/>
          <w:sz w:val="25"/>
          <w:szCs w:val="25"/>
        </w:rPr>
      </w:pPr>
      <w:r>
        <w:rPr>
          <w:rFonts w:ascii="仿宋" w:hAnsi="仿宋" w:eastAsia="仿宋" w:cs="仿宋"/>
          <w:spacing w:val="8"/>
          <w:sz w:val="25"/>
          <w:szCs w:val="25"/>
        </w:rPr>
        <w:t>（</w:t>
      </w:r>
      <w:r>
        <w:rPr>
          <w:rFonts w:ascii="Times New Roman" w:hAnsi="Times New Roman" w:eastAsia="Times New Roman" w:cs="Times New Roman"/>
          <w:spacing w:val="8"/>
          <w:sz w:val="25"/>
          <w:szCs w:val="25"/>
        </w:rPr>
        <w:t>18</w:t>
      </w:r>
      <w:r>
        <w:rPr>
          <w:rFonts w:ascii="仿宋" w:hAnsi="仿宋" w:eastAsia="仿宋" w:cs="仿宋"/>
          <w:spacing w:val="8"/>
          <w:sz w:val="25"/>
          <w:szCs w:val="25"/>
        </w:rPr>
        <w:t>）《重庆市生态环境局关于公布实施万州区等区县（ 自治县）集中式</w:t>
      </w:r>
      <w:r>
        <w:rPr>
          <w:rFonts w:ascii="仿宋" w:hAnsi="仿宋" w:eastAsia="仿宋" w:cs="仿宋"/>
          <w:spacing w:val="4"/>
          <w:sz w:val="25"/>
          <w:szCs w:val="25"/>
        </w:rPr>
        <w:t xml:space="preserve"> </w:t>
      </w:r>
      <w:r>
        <w:rPr>
          <w:rFonts w:ascii="仿宋" w:hAnsi="仿宋" w:eastAsia="仿宋" w:cs="仿宋"/>
          <w:spacing w:val="7"/>
          <w:sz w:val="25"/>
          <w:szCs w:val="25"/>
        </w:rPr>
        <w:t>饮用水水源地保护区的函》（渝环函〔</w:t>
      </w:r>
      <w:r>
        <w:rPr>
          <w:rFonts w:ascii="Times New Roman" w:hAnsi="Times New Roman" w:eastAsia="Times New Roman" w:cs="Times New Roman"/>
          <w:spacing w:val="7"/>
          <w:sz w:val="25"/>
          <w:szCs w:val="25"/>
        </w:rPr>
        <w:t>2021</w:t>
      </w:r>
      <w:r>
        <w:rPr>
          <w:rFonts w:ascii="仿宋" w:hAnsi="仿宋" w:eastAsia="仿宋" w:cs="仿宋"/>
          <w:spacing w:val="7"/>
          <w:sz w:val="25"/>
          <w:szCs w:val="25"/>
        </w:rPr>
        <w:t>〕</w:t>
      </w:r>
      <w:r>
        <w:rPr>
          <w:rFonts w:ascii="Times New Roman" w:hAnsi="Times New Roman" w:eastAsia="Times New Roman" w:cs="Times New Roman"/>
          <w:spacing w:val="7"/>
          <w:sz w:val="25"/>
          <w:szCs w:val="25"/>
        </w:rPr>
        <w:t>394</w:t>
      </w:r>
      <w:r>
        <w:rPr>
          <w:rFonts w:ascii="Times New Roman" w:hAnsi="Times New Roman" w:eastAsia="Times New Roman" w:cs="Times New Roman"/>
          <w:spacing w:val="26"/>
          <w:sz w:val="25"/>
          <w:szCs w:val="25"/>
        </w:rPr>
        <w:t xml:space="preserve"> </w:t>
      </w:r>
      <w:r>
        <w:rPr>
          <w:rFonts w:ascii="仿宋" w:hAnsi="仿宋" w:eastAsia="仿宋" w:cs="仿宋"/>
          <w:spacing w:val="7"/>
          <w:sz w:val="25"/>
          <w:szCs w:val="25"/>
        </w:rPr>
        <w:t>号</w:t>
      </w:r>
      <w:r>
        <w:rPr>
          <w:rFonts w:ascii="仿宋" w:hAnsi="仿宋" w:eastAsia="仿宋" w:cs="仿宋"/>
          <w:sz w:val="25"/>
          <w:szCs w:val="25"/>
        </w:rPr>
        <w:t>）；</w:t>
      </w:r>
    </w:p>
    <w:p w14:paraId="5E17294E">
      <w:pPr>
        <w:spacing w:before="153" w:line="283" w:lineRule="auto"/>
        <w:ind w:left="38" w:right="82" w:firstLine="402"/>
        <w:rPr>
          <w:rFonts w:ascii="仿宋" w:hAnsi="仿宋" w:eastAsia="仿宋" w:cs="仿宋"/>
          <w:sz w:val="25"/>
          <w:szCs w:val="25"/>
        </w:rPr>
      </w:pPr>
      <w:r>
        <w:rPr>
          <w:rFonts w:ascii="仿宋" w:hAnsi="仿宋" w:eastAsia="仿宋" w:cs="仿宋"/>
          <w:spacing w:val="8"/>
          <w:sz w:val="25"/>
          <w:szCs w:val="25"/>
        </w:rPr>
        <w:t>（</w:t>
      </w:r>
      <w:r>
        <w:rPr>
          <w:rFonts w:ascii="Times New Roman" w:hAnsi="Times New Roman" w:eastAsia="Times New Roman" w:cs="Times New Roman"/>
          <w:spacing w:val="8"/>
          <w:sz w:val="25"/>
          <w:szCs w:val="25"/>
        </w:rPr>
        <w:t>19</w:t>
      </w:r>
      <w:r>
        <w:rPr>
          <w:rFonts w:ascii="仿宋" w:hAnsi="仿宋" w:eastAsia="仿宋" w:cs="仿宋"/>
          <w:spacing w:val="8"/>
          <w:sz w:val="25"/>
          <w:szCs w:val="25"/>
        </w:rPr>
        <w:t>）《关于公布实施黔江区等区县（ 自治县）集中式饮用水水源地保护</w:t>
      </w:r>
      <w:r>
        <w:rPr>
          <w:rFonts w:ascii="仿宋" w:hAnsi="仿宋" w:eastAsia="仿宋" w:cs="仿宋"/>
          <w:spacing w:val="4"/>
          <w:sz w:val="25"/>
          <w:szCs w:val="25"/>
        </w:rPr>
        <w:t xml:space="preserve"> 区的函》（渝环函〔</w:t>
      </w:r>
      <w:r>
        <w:rPr>
          <w:rFonts w:ascii="Times New Roman" w:hAnsi="Times New Roman" w:eastAsia="Times New Roman" w:cs="Times New Roman"/>
          <w:spacing w:val="4"/>
          <w:sz w:val="25"/>
          <w:szCs w:val="25"/>
        </w:rPr>
        <w:t>2021</w:t>
      </w:r>
      <w:r>
        <w:rPr>
          <w:rFonts w:ascii="仿宋" w:hAnsi="仿宋" w:eastAsia="仿宋" w:cs="仿宋"/>
          <w:spacing w:val="4"/>
          <w:sz w:val="25"/>
          <w:szCs w:val="25"/>
        </w:rPr>
        <w:t>〕</w:t>
      </w:r>
      <w:r>
        <w:rPr>
          <w:rFonts w:ascii="Times New Roman" w:hAnsi="Times New Roman" w:eastAsia="Times New Roman" w:cs="Times New Roman"/>
          <w:spacing w:val="4"/>
          <w:sz w:val="25"/>
          <w:szCs w:val="25"/>
        </w:rPr>
        <w:t>566</w:t>
      </w:r>
      <w:r>
        <w:rPr>
          <w:rFonts w:ascii="Times New Roman" w:hAnsi="Times New Roman" w:eastAsia="Times New Roman" w:cs="Times New Roman"/>
          <w:spacing w:val="29"/>
          <w:sz w:val="25"/>
          <w:szCs w:val="25"/>
        </w:rPr>
        <w:t xml:space="preserve"> </w:t>
      </w:r>
      <w:r>
        <w:rPr>
          <w:rFonts w:ascii="仿宋" w:hAnsi="仿宋" w:eastAsia="仿宋" w:cs="仿宋"/>
          <w:spacing w:val="4"/>
          <w:sz w:val="25"/>
          <w:szCs w:val="25"/>
        </w:rPr>
        <w:t>号</w:t>
      </w:r>
      <w:r>
        <w:rPr>
          <w:rFonts w:ascii="仿宋" w:hAnsi="仿宋" w:eastAsia="仿宋" w:cs="仿宋"/>
          <w:spacing w:val="3"/>
          <w:sz w:val="25"/>
          <w:szCs w:val="25"/>
        </w:rPr>
        <w:t>）；</w:t>
      </w:r>
    </w:p>
    <w:p w14:paraId="3A7F4DD9">
      <w:pPr>
        <w:spacing w:before="151" w:line="285" w:lineRule="auto"/>
        <w:ind w:left="16" w:right="82" w:firstLine="424"/>
        <w:rPr>
          <w:rFonts w:ascii="仿宋" w:hAnsi="仿宋" w:eastAsia="仿宋" w:cs="仿宋"/>
          <w:sz w:val="25"/>
          <w:szCs w:val="25"/>
        </w:rPr>
      </w:pPr>
      <w:r>
        <w:rPr>
          <w:rFonts w:ascii="仿宋" w:hAnsi="仿宋" w:eastAsia="仿宋" w:cs="仿宋"/>
          <w:spacing w:val="4"/>
          <w:sz w:val="25"/>
          <w:szCs w:val="25"/>
        </w:rPr>
        <w:t>（</w:t>
      </w:r>
      <w:r>
        <w:rPr>
          <w:rFonts w:ascii="Times New Roman" w:hAnsi="Times New Roman" w:eastAsia="Times New Roman" w:cs="Times New Roman"/>
          <w:spacing w:val="4"/>
          <w:sz w:val="25"/>
          <w:szCs w:val="25"/>
        </w:rPr>
        <w:t>20</w:t>
      </w:r>
      <w:r>
        <w:rPr>
          <w:rFonts w:ascii="仿宋" w:hAnsi="仿宋" w:eastAsia="仿宋" w:cs="仿宋"/>
          <w:spacing w:val="4"/>
          <w:sz w:val="25"/>
          <w:szCs w:val="25"/>
        </w:rPr>
        <w:t>）《关于公布实施潼南区等区县集中式饮用水水源地保护区的函》（渝</w:t>
      </w:r>
      <w:r>
        <w:rPr>
          <w:rFonts w:ascii="仿宋" w:hAnsi="仿宋" w:eastAsia="仿宋" w:cs="仿宋"/>
          <w:spacing w:val="15"/>
          <w:sz w:val="25"/>
          <w:szCs w:val="25"/>
        </w:rPr>
        <w:t xml:space="preserve"> </w:t>
      </w:r>
      <w:r>
        <w:rPr>
          <w:rFonts w:ascii="仿宋" w:hAnsi="仿宋" w:eastAsia="仿宋" w:cs="仿宋"/>
          <w:spacing w:val="3"/>
          <w:sz w:val="25"/>
          <w:szCs w:val="25"/>
        </w:rPr>
        <w:t>环函〔</w:t>
      </w:r>
      <w:r>
        <w:rPr>
          <w:rFonts w:ascii="Times New Roman" w:hAnsi="Times New Roman" w:eastAsia="Times New Roman" w:cs="Times New Roman"/>
          <w:spacing w:val="3"/>
          <w:sz w:val="25"/>
          <w:szCs w:val="25"/>
        </w:rPr>
        <w:t>2023</w:t>
      </w:r>
      <w:r>
        <w:rPr>
          <w:rFonts w:ascii="仿宋" w:hAnsi="仿宋" w:eastAsia="仿宋" w:cs="仿宋"/>
          <w:spacing w:val="3"/>
          <w:sz w:val="25"/>
          <w:szCs w:val="25"/>
        </w:rPr>
        <w:t>〕</w:t>
      </w:r>
      <w:r>
        <w:rPr>
          <w:rFonts w:ascii="Times New Roman" w:hAnsi="Times New Roman" w:eastAsia="Times New Roman" w:cs="Times New Roman"/>
          <w:spacing w:val="3"/>
          <w:sz w:val="25"/>
          <w:szCs w:val="25"/>
        </w:rPr>
        <w:t>75</w:t>
      </w:r>
      <w:r>
        <w:rPr>
          <w:rFonts w:ascii="Times New Roman" w:hAnsi="Times New Roman" w:eastAsia="Times New Roman" w:cs="Times New Roman"/>
          <w:spacing w:val="29"/>
          <w:w w:val="101"/>
          <w:sz w:val="25"/>
          <w:szCs w:val="25"/>
        </w:rPr>
        <w:t xml:space="preserve"> </w:t>
      </w:r>
      <w:r>
        <w:rPr>
          <w:rFonts w:ascii="仿宋" w:hAnsi="仿宋" w:eastAsia="仿宋" w:cs="仿宋"/>
          <w:spacing w:val="3"/>
          <w:sz w:val="25"/>
          <w:szCs w:val="25"/>
        </w:rPr>
        <w:t>号</w:t>
      </w:r>
      <w:r>
        <w:rPr>
          <w:rFonts w:ascii="仿宋" w:hAnsi="仿宋" w:eastAsia="仿宋" w:cs="仿宋"/>
          <w:spacing w:val="1"/>
          <w:sz w:val="25"/>
          <w:szCs w:val="25"/>
        </w:rPr>
        <w:t>）；</w:t>
      </w:r>
    </w:p>
    <w:p w14:paraId="5E667CC1">
      <w:pPr>
        <w:spacing w:before="149" w:line="284" w:lineRule="auto"/>
        <w:ind w:left="31" w:right="82" w:firstLine="409"/>
        <w:rPr>
          <w:rFonts w:ascii="仿宋" w:hAnsi="仿宋" w:eastAsia="仿宋" w:cs="仿宋"/>
          <w:sz w:val="25"/>
          <w:szCs w:val="25"/>
        </w:rPr>
      </w:pPr>
      <w:r>
        <w:rPr>
          <w:rFonts w:ascii="仿宋" w:hAnsi="仿宋" w:eastAsia="仿宋" w:cs="仿宋"/>
          <w:spacing w:val="12"/>
          <w:sz w:val="25"/>
          <w:szCs w:val="25"/>
        </w:rPr>
        <w:t>（</w:t>
      </w:r>
      <w:r>
        <w:rPr>
          <w:rFonts w:ascii="Times New Roman" w:hAnsi="Times New Roman" w:eastAsia="Times New Roman" w:cs="Times New Roman"/>
          <w:spacing w:val="12"/>
          <w:sz w:val="25"/>
          <w:szCs w:val="25"/>
        </w:rPr>
        <w:t>21</w:t>
      </w:r>
      <w:r>
        <w:rPr>
          <w:rFonts w:ascii="仿宋" w:hAnsi="仿宋" w:eastAsia="仿宋" w:cs="仿宋"/>
          <w:spacing w:val="12"/>
          <w:sz w:val="25"/>
          <w:szCs w:val="25"/>
        </w:rPr>
        <w:t>）《关于公布实施涪陵等区县（经开区）集中式饮用水水源地保护区</w:t>
      </w:r>
      <w:r>
        <w:rPr>
          <w:rFonts w:ascii="仿宋" w:hAnsi="仿宋" w:eastAsia="仿宋" w:cs="仿宋"/>
          <w:spacing w:val="5"/>
          <w:sz w:val="25"/>
          <w:szCs w:val="25"/>
        </w:rPr>
        <w:t xml:space="preserve"> </w:t>
      </w:r>
      <w:r>
        <w:rPr>
          <w:rFonts w:ascii="仿宋" w:hAnsi="仿宋" w:eastAsia="仿宋" w:cs="仿宋"/>
          <w:spacing w:val="4"/>
          <w:sz w:val="25"/>
          <w:szCs w:val="25"/>
        </w:rPr>
        <w:t>的函》（渝环函〔</w:t>
      </w:r>
      <w:r>
        <w:rPr>
          <w:rFonts w:ascii="Times New Roman" w:hAnsi="Times New Roman" w:eastAsia="Times New Roman" w:cs="Times New Roman"/>
          <w:spacing w:val="4"/>
          <w:sz w:val="25"/>
          <w:szCs w:val="25"/>
        </w:rPr>
        <w:t>2024</w:t>
      </w:r>
      <w:r>
        <w:rPr>
          <w:rFonts w:ascii="仿宋" w:hAnsi="仿宋" w:eastAsia="仿宋" w:cs="仿宋"/>
          <w:spacing w:val="4"/>
          <w:sz w:val="25"/>
          <w:szCs w:val="25"/>
        </w:rPr>
        <w:t>〕</w:t>
      </w:r>
      <w:r>
        <w:rPr>
          <w:rFonts w:ascii="Times New Roman" w:hAnsi="Times New Roman" w:eastAsia="Times New Roman" w:cs="Times New Roman"/>
          <w:spacing w:val="4"/>
          <w:sz w:val="25"/>
          <w:szCs w:val="25"/>
        </w:rPr>
        <w:t>23</w:t>
      </w:r>
      <w:r>
        <w:rPr>
          <w:rFonts w:ascii="Times New Roman" w:hAnsi="Times New Roman" w:eastAsia="Times New Roman" w:cs="Times New Roman"/>
          <w:spacing w:val="25"/>
          <w:w w:val="101"/>
          <w:sz w:val="25"/>
          <w:szCs w:val="25"/>
        </w:rPr>
        <w:t xml:space="preserve"> </w:t>
      </w:r>
      <w:r>
        <w:rPr>
          <w:rFonts w:ascii="仿宋" w:hAnsi="仿宋" w:eastAsia="仿宋" w:cs="仿宋"/>
          <w:spacing w:val="4"/>
          <w:sz w:val="25"/>
          <w:szCs w:val="25"/>
        </w:rPr>
        <w:t>号）；</w:t>
      </w:r>
    </w:p>
    <w:p w14:paraId="636EDD88">
      <w:pPr>
        <w:spacing w:before="151" w:line="284" w:lineRule="auto"/>
        <w:ind w:left="16" w:right="82" w:firstLine="424"/>
        <w:rPr>
          <w:rFonts w:ascii="仿宋" w:hAnsi="仿宋" w:eastAsia="仿宋" w:cs="仿宋"/>
          <w:sz w:val="25"/>
          <w:szCs w:val="25"/>
        </w:rPr>
      </w:pPr>
      <w:r>
        <w:rPr>
          <w:rFonts w:ascii="仿宋" w:hAnsi="仿宋" w:eastAsia="仿宋" w:cs="仿宋"/>
          <w:spacing w:val="11"/>
          <w:sz w:val="25"/>
          <w:szCs w:val="25"/>
        </w:rPr>
        <w:t>（</w:t>
      </w:r>
      <w:r>
        <w:rPr>
          <w:rFonts w:ascii="Times New Roman" w:hAnsi="Times New Roman" w:eastAsia="Times New Roman" w:cs="Times New Roman"/>
          <w:spacing w:val="11"/>
          <w:sz w:val="25"/>
          <w:szCs w:val="25"/>
        </w:rPr>
        <w:t>22</w:t>
      </w:r>
      <w:r>
        <w:rPr>
          <w:rFonts w:ascii="仿宋" w:hAnsi="仿宋" w:eastAsia="仿宋" w:cs="仿宋"/>
          <w:spacing w:val="11"/>
          <w:sz w:val="25"/>
          <w:szCs w:val="25"/>
        </w:rPr>
        <w:t>）《关于公布实施南岸等区县集中式饮用水水源地保护区的函》</w:t>
      </w:r>
      <w:r>
        <w:rPr>
          <w:rFonts w:ascii="仿宋" w:hAnsi="仿宋" w:eastAsia="仿宋" w:cs="仿宋"/>
          <w:spacing w:val="-87"/>
          <w:sz w:val="25"/>
          <w:szCs w:val="25"/>
        </w:rPr>
        <w:t xml:space="preserve"> </w:t>
      </w:r>
      <w:r>
        <w:rPr>
          <w:rFonts w:ascii="仿宋" w:hAnsi="仿宋" w:eastAsia="仿宋" w:cs="仿宋"/>
          <w:spacing w:val="11"/>
          <w:sz w:val="25"/>
          <w:szCs w:val="25"/>
        </w:rPr>
        <w:t>（渝</w:t>
      </w:r>
      <w:r>
        <w:rPr>
          <w:rFonts w:ascii="仿宋" w:hAnsi="仿宋" w:eastAsia="仿宋" w:cs="仿宋"/>
          <w:sz w:val="25"/>
          <w:szCs w:val="25"/>
        </w:rPr>
        <w:t xml:space="preserve"> </w:t>
      </w:r>
      <w:r>
        <w:rPr>
          <w:rFonts w:ascii="仿宋" w:hAnsi="仿宋" w:eastAsia="仿宋" w:cs="仿宋"/>
          <w:spacing w:val="3"/>
          <w:sz w:val="25"/>
          <w:szCs w:val="25"/>
        </w:rPr>
        <w:t>环函〔</w:t>
      </w:r>
      <w:r>
        <w:rPr>
          <w:rFonts w:ascii="Times New Roman" w:hAnsi="Times New Roman" w:eastAsia="Times New Roman" w:cs="Times New Roman"/>
          <w:spacing w:val="3"/>
          <w:sz w:val="25"/>
          <w:szCs w:val="25"/>
        </w:rPr>
        <w:t>2024</w:t>
      </w:r>
      <w:r>
        <w:rPr>
          <w:rFonts w:ascii="仿宋" w:hAnsi="仿宋" w:eastAsia="仿宋" w:cs="仿宋"/>
          <w:spacing w:val="3"/>
          <w:sz w:val="25"/>
          <w:szCs w:val="25"/>
        </w:rPr>
        <w:t>〕</w:t>
      </w:r>
      <w:r>
        <w:rPr>
          <w:rFonts w:ascii="Times New Roman" w:hAnsi="Times New Roman" w:eastAsia="Times New Roman" w:cs="Times New Roman"/>
          <w:spacing w:val="3"/>
          <w:sz w:val="25"/>
          <w:szCs w:val="25"/>
        </w:rPr>
        <w:t>377</w:t>
      </w:r>
      <w:r>
        <w:rPr>
          <w:rFonts w:ascii="Times New Roman" w:hAnsi="Times New Roman" w:eastAsia="Times New Roman" w:cs="Times New Roman"/>
          <w:spacing w:val="29"/>
          <w:sz w:val="25"/>
          <w:szCs w:val="25"/>
        </w:rPr>
        <w:t xml:space="preserve"> </w:t>
      </w:r>
      <w:r>
        <w:rPr>
          <w:rFonts w:ascii="仿宋" w:hAnsi="仿宋" w:eastAsia="仿宋" w:cs="仿宋"/>
          <w:spacing w:val="3"/>
          <w:sz w:val="25"/>
          <w:szCs w:val="25"/>
        </w:rPr>
        <w:t>号</w:t>
      </w:r>
      <w:r>
        <w:rPr>
          <w:rFonts w:ascii="仿宋" w:hAnsi="仿宋" w:eastAsia="仿宋" w:cs="仿宋"/>
          <w:spacing w:val="2"/>
          <w:sz w:val="25"/>
          <w:szCs w:val="25"/>
        </w:rPr>
        <w:t>）；</w:t>
      </w:r>
    </w:p>
    <w:p w14:paraId="59AD7477">
      <w:pPr>
        <w:spacing w:before="151" w:line="284" w:lineRule="auto"/>
        <w:ind w:left="17" w:right="82" w:firstLine="423"/>
        <w:rPr>
          <w:rFonts w:ascii="仿宋" w:hAnsi="仿宋" w:eastAsia="仿宋" w:cs="仿宋"/>
          <w:sz w:val="25"/>
          <w:szCs w:val="25"/>
        </w:rPr>
      </w:pPr>
      <w:r>
        <w:rPr>
          <w:rFonts w:ascii="仿宋" w:hAnsi="仿宋" w:eastAsia="仿宋" w:cs="仿宋"/>
          <w:spacing w:val="12"/>
          <w:sz w:val="25"/>
          <w:szCs w:val="25"/>
        </w:rPr>
        <w:t>（</w:t>
      </w:r>
      <w:r>
        <w:rPr>
          <w:rFonts w:ascii="Times New Roman" w:hAnsi="Times New Roman" w:eastAsia="Times New Roman" w:cs="Times New Roman"/>
          <w:spacing w:val="12"/>
          <w:sz w:val="25"/>
          <w:szCs w:val="25"/>
        </w:rPr>
        <w:t>23</w:t>
      </w:r>
      <w:r>
        <w:rPr>
          <w:rFonts w:ascii="仿宋" w:hAnsi="仿宋" w:eastAsia="仿宋" w:cs="仿宋"/>
          <w:spacing w:val="12"/>
          <w:sz w:val="25"/>
          <w:szCs w:val="25"/>
        </w:rPr>
        <w:t>）《重庆市生态环境局关于公布实施万州等区县集中式饮用水水源地</w:t>
      </w:r>
      <w:r>
        <w:rPr>
          <w:rFonts w:ascii="仿宋" w:hAnsi="仿宋" w:eastAsia="仿宋" w:cs="仿宋"/>
          <w:spacing w:val="5"/>
          <w:sz w:val="25"/>
          <w:szCs w:val="25"/>
        </w:rPr>
        <w:t xml:space="preserve"> </w:t>
      </w:r>
      <w:r>
        <w:rPr>
          <w:rFonts w:ascii="仿宋" w:hAnsi="仿宋" w:eastAsia="仿宋" w:cs="仿宋"/>
          <w:spacing w:val="6"/>
          <w:sz w:val="25"/>
          <w:szCs w:val="25"/>
        </w:rPr>
        <w:t>保护区的函》（渝环函〔</w:t>
      </w:r>
      <w:r>
        <w:rPr>
          <w:rFonts w:ascii="Times New Roman" w:hAnsi="Times New Roman" w:eastAsia="Times New Roman" w:cs="Times New Roman"/>
          <w:spacing w:val="6"/>
          <w:sz w:val="25"/>
          <w:szCs w:val="25"/>
        </w:rPr>
        <w:t>2025</w:t>
      </w:r>
      <w:r>
        <w:rPr>
          <w:rFonts w:ascii="仿宋" w:hAnsi="仿宋" w:eastAsia="仿宋" w:cs="仿宋"/>
          <w:spacing w:val="6"/>
          <w:sz w:val="25"/>
          <w:szCs w:val="25"/>
        </w:rPr>
        <w:t>〕</w:t>
      </w:r>
      <w:r>
        <w:rPr>
          <w:rFonts w:ascii="Times New Roman" w:hAnsi="Times New Roman" w:eastAsia="Times New Roman" w:cs="Times New Roman"/>
          <w:spacing w:val="6"/>
          <w:sz w:val="25"/>
          <w:szCs w:val="25"/>
        </w:rPr>
        <w:t>27</w:t>
      </w:r>
      <w:r>
        <w:rPr>
          <w:rFonts w:ascii="Times New Roman" w:hAnsi="Times New Roman" w:eastAsia="Times New Roman" w:cs="Times New Roman"/>
          <w:spacing w:val="26"/>
          <w:sz w:val="25"/>
          <w:szCs w:val="25"/>
        </w:rPr>
        <w:t xml:space="preserve"> </w:t>
      </w:r>
      <w:r>
        <w:rPr>
          <w:rFonts w:ascii="仿宋" w:hAnsi="仿宋" w:eastAsia="仿宋" w:cs="仿宋"/>
          <w:spacing w:val="6"/>
          <w:sz w:val="25"/>
          <w:szCs w:val="25"/>
        </w:rPr>
        <w:t>号</w:t>
      </w:r>
      <w:r>
        <w:rPr>
          <w:rFonts w:ascii="仿宋" w:hAnsi="仿宋" w:eastAsia="仿宋" w:cs="仿宋"/>
          <w:spacing w:val="1"/>
          <w:sz w:val="25"/>
          <w:szCs w:val="25"/>
        </w:rPr>
        <w:t>）；</w:t>
      </w:r>
    </w:p>
    <w:p w14:paraId="2D85C342">
      <w:pPr>
        <w:spacing w:before="149" w:line="285" w:lineRule="auto"/>
        <w:ind w:left="16" w:right="80" w:firstLine="424"/>
        <w:rPr>
          <w:rFonts w:ascii="仿宋" w:hAnsi="仿宋" w:eastAsia="仿宋" w:cs="仿宋"/>
          <w:sz w:val="25"/>
          <w:szCs w:val="25"/>
        </w:rPr>
      </w:pPr>
      <w:r>
        <w:rPr>
          <w:rFonts w:ascii="仿宋" w:hAnsi="仿宋" w:eastAsia="仿宋" w:cs="仿宋"/>
          <w:spacing w:val="2"/>
          <w:sz w:val="25"/>
          <w:szCs w:val="25"/>
        </w:rPr>
        <w:t>（</w:t>
      </w:r>
      <w:r>
        <w:rPr>
          <w:rFonts w:ascii="Times New Roman" w:hAnsi="Times New Roman" w:eastAsia="Times New Roman" w:cs="Times New Roman"/>
          <w:spacing w:val="2"/>
          <w:sz w:val="25"/>
          <w:szCs w:val="25"/>
        </w:rPr>
        <w:t>24</w:t>
      </w:r>
      <w:r>
        <w:rPr>
          <w:rFonts w:ascii="仿宋" w:hAnsi="仿宋" w:eastAsia="仿宋" w:cs="仿宋"/>
          <w:spacing w:val="2"/>
          <w:sz w:val="25"/>
          <w:szCs w:val="25"/>
        </w:rPr>
        <w:t>）《重庆市风景名胜区条例》（</w:t>
      </w:r>
      <w:r>
        <w:rPr>
          <w:rFonts w:ascii="Times New Roman" w:hAnsi="Times New Roman" w:eastAsia="Times New Roman" w:cs="Times New Roman"/>
          <w:spacing w:val="2"/>
          <w:sz w:val="25"/>
          <w:szCs w:val="25"/>
        </w:rPr>
        <w:t>2008</w:t>
      </w:r>
      <w:r>
        <w:rPr>
          <w:rFonts w:ascii="Times New Roman" w:hAnsi="Times New Roman" w:eastAsia="Times New Roman" w:cs="Times New Roman"/>
          <w:spacing w:val="27"/>
          <w:w w:val="101"/>
          <w:sz w:val="25"/>
          <w:szCs w:val="25"/>
        </w:rPr>
        <w:t xml:space="preserve"> </w:t>
      </w:r>
      <w:r>
        <w:rPr>
          <w:rFonts w:ascii="仿宋" w:hAnsi="仿宋" w:eastAsia="仿宋" w:cs="仿宋"/>
          <w:spacing w:val="2"/>
          <w:sz w:val="25"/>
          <w:szCs w:val="25"/>
        </w:rPr>
        <w:t>年</w:t>
      </w:r>
      <w:r>
        <w:rPr>
          <w:rFonts w:ascii="仿宋" w:hAnsi="仿宋" w:eastAsia="仿宋" w:cs="仿宋"/>
          <w:spacing w:val="-42"/>
          <w:sz w:val="25"/>
          <w:szCs w:val="25"/>
        </w:rPr>
        <w:t xml:space="preserve"> </w:t>
      </w:r>
      <w:r>
        <w:rPr>
          <w:rFonts w:ascii="Times New Roman" w:hAnsi="Times New Roman" w:eastAsia="Times New Roman" w:cs="Times New Roman"/>
          <w:spacing w:val="2"/>
          <w:sz w:val="25"/>
          <w:szCs w:val="25"/>
        </w:rPr>
        <w:t>8</w:t>
      </w:r>
      <w:r>
        <w:rPr>
          <w:rFonts w:ascii="Times New Roman" w:hAnsi="Times New Roman" w:eastAsia="Times New Roman" w:cs="Times New Roman"/>
          <w:spacing w:val="32"/>
          <w:sz w:val="25"/>
          <w:szCs w:val="25"/>
        </w:rPr>
        <w:t xml:space="preserve"> </w:t>
      </w:r>
      <w:r>
        <w:rPr>
          <w:rFonts w:ascii="仿宋" w:hAnsi="仿宋" w:eastAsia="仿宋" w:cs="仿宋"/>
          <w:spacing w:val="2"/>
          <w:sz w:val="25"/>
          <w:szCs w:val="25"/>
        </w:rPr>
        <w:t>月</w:t>
      </w:r>
      <w:r>
        <w:rPr>
          <w:rFonts w:ascii="仿宋" w:hAnsi="仿宋" w:eastAsia="仿宋" w:cs="仿宋"/>
          <w:spacing w:val="-30"/>
          <w:sz w:val="25"/>
          <w:szCs w:val="25"/>
        </w:rPr>
        <w:t xml:space="preserve"> </w:t>
      </w:r>
      <w:r>
        <w:rPr>
          <w:rFonts w:ascii="Times New Roman" w:hAnsi="Times New Roman" w:eastAsia="Times New Roman" w:cs="Times New Roman"/>
          <w:spacing w:val="2"/>
          <w:sz w:val="25"/>
          <w:szCs w:val="25"/>
        </w:rPr>
        <w:t xml:space="preserve">1  </w:t>
      </w:r>
      <w:r>
        <w:rPr>
          <w:rFonts w:ascii="仿宋" w:hAnsi="仿宋" w:eastAsia="仿宋" w:cs="仿宋"/>
          <w:spacing w:val="2"/>
          <w:sz w:val="25"/>
          <w:szCs w:val="25"/>
        </w:rPr>
        <w:t>日起施行，</w:t>
      </w:r>
      <w:r>
        <w:rPr>
          <w:rFonts w:ascii="Times New Roman" w:hAnsi="Times New Roman" w:eastAsia="Times New Roman" w:cs="Times New Roman"/>
          <w:spacing w:val="2"/>
          <w:sz w:val="25"/>
          <w:szCs w:val="25"/>
        </w:rPr>
        <w:t>2018</w:t>
      </w:r>
      <w:r>
        <w:rPr>
          <w:rFonts w:ascii="Times New Roman" w:hAnsi="Times New Roman" w:eastAsia="Times New Roman" w:cs="Times New Roman"/>
          <w:spacing w:val="27"/>
          <w:sz w:val="25"/>
          <w:szCs w:val="25"/>
        </w:rPr>
        <w:t xml:space="preserve"> </w:t>
      </w:r>
      <w:r>
        <w:rPr>
          <w:rFonts w:ascii="仿宋" w:hAnsi="仿宋" w:eastAsia="仿宋" w:cs="仿宋"/>
          <w:spacing w:val="2"/>
          <w:sz w:val="25"/>
          <w:szCs w:val="25"/>
        </w:rPr>
        <w:t>年</w:t>
      </w:r>
      <w:r>
        <w:rPr>
          <w:rFonts w:ascii="仿宋" w:hAnsi="仿宋" w:eastAsia="仿宋" w:cs="仿宋"/>
          <w:spacing w:val="1"/>
          <w:sz w:val="25"/>
          <w:szCs w:val="25"/>
        </w:rPr>
        <w:t>第二</w:t>
      </w:r>
      <w:r>
        <w:rPr>
          <w:rFonts w:ascii="仿宋" w:hAnsi="仿宋" w:eastAsia="仿宋" w:cs="仿宋"/>
          <w:sz w:val="25"/>
          <w:szCs w:val="25"/>
        </w:rPr>
        <w:t xml:space="preserve"> </w:t>
      </w:r>
      <w:r>
        <w:rPr>
          <w:rFonts w:ascii="仿宋" w:hAnsi="仿宋" w:eastAsia="仿宋" w:cs="仿宋"/>
          <w:spacing w:val="5"/>
          <w:sz w:val="25"/>
          <w:szCs w:val="25"/>
        </w:rPr>
        <w:t>次修正，</w:t>
      </w:r>
      <w:r>
        <w:rPr>
          <w:rFonts w:ascii="Times New Roman" w:hAnsi="Times New Roman" w:eastAsia="Times New Roman" w:cs="Times New Roman"/>
          <w:spacing w:val="5"/>
          <w:sz w:val="25"/>
          <w:szCs w:val="25"/>
        </w:rPr>
        <w:t>2022</w:t>
      </w:r>
      <w:r>
        <w:rPr>
          <w:rFonts w:ascii="Times New Roman" w:hAnsi="Times New Roman" w:eastAsia="Times New Roman" w:cs="Times New Roman"/>
          <w:spacing w:val="25"/>
          <w:w w:val="101"/>
          <w:sz w:val="25"/>
          <w:szCs w:val="25"/>
        </w:rPr>
        <w:t xml:space="preserve"> </w:t>
      </w:r>
      <w:r>
        <w:rPr>
          <w:rFonts w:ascii="仿宋" w:hAnsi="仿宋" w:eastAsia="仿宋" w:cs="仿宋"/>
          <w:spacing w:val="5"/>
          <w:sz w:val="25"/>
          <w:szCs w:val="25"/>
        </w:rPr>
        <w:t>年第三次修正</w:t>
      </w:r>
      <w:r>
        <w:rPr>
          <w:rFonts w:ascii="仿宋" w:hAnsi="仿宋" w:eastAsia="仿宋" w:cs="仿宋"/>
          <w:spacing w:val="4"/>
          <w:sz w:val="25"/>
          <w:szCs w:val="25"/>
        </w:rPr>
        <w:t>）；</w:t>
      </w:r>
    </w:p>
    <w:p w14:paraId="01CF0D8C">
      <w:pPr>
        <w:spacing w:before="151" w:line="283" w:lineRule="auto"/>
        <w:ind w:left="10" w:right="121" w:firstLine="430"/>
        <w:rPr>
          <w:rFonts w:ascii="仿宋" w:hAnsi="仿宋" w:eastAsia="仿宋" w:cs="仿宋"/>
          <w:sz w:val="25"/>
          <w:szCs w:val="25"/>
        </w:rPr>
      </w:pPr>
      <w:r>
        <w:rPr>
          <w:rFonts w:ascii="仿宋" w:hAnsi="仿宋" w:eastAsia="仿宋" w:cs="仿宋"/>
          <w:spacing w:val="6"/>
          <w:sz w:val="25"/>
          <w:szCs w:val="25"/>
        </w:rPr>
        <w:t>（</w:t>
      </w:r>
      <w:r>
        <w:rPr>
          <w:rFonts w:ascii="Times New Roman" w:hAnsi="Times New Roman" w:eastAsia="Times New Roman" w:cs="Times New Roman"/>
          <w:spacing w:val="6"/>
          <w:sz w:val="25"/>
          <w:szCs w:val="25"/>
        </w:rPr>
        <w:t>25</w:t>
      </w:r>
      <w:r>
        <w:rPr>
          <w:rFonts w:ascii="仿宋" w:hAnsi="仿宋" w:eastAsia="仿宋" w:cs="仿宋"/>
          <w:spacing w:val="6"/>
          <w:sz w:val="25"/>
          <w:szCs w:val="25"/>
        </w:rPr>
        <w:t>）《重庆市公益林管理办法》（重庆市人民政府令第</w:t>
      </w:r>
      <w:r>
        <w:rPr>
          <w:rFonts w:ascii="仿宋" w:hAnsi="仿宋" w:eastAsia="仿宋" w:cs="仿宋"/>
          <w:spacing w:val="-32"/>
          <w:sz w:val="25"/>
          <w:szCs w:val="25"/>
        </w:rPr>
        <w:t xml:space="preserve"> </w:t>
      </w:r>
      <w:r>
        <w:rPr>
          <w:rFonts w:ascii="Times New Roman" w:hAnsi="Times New Roman" w:eastAsia="Times New Roman" w:cs="Times New Roman"/>
          <w:spacing w:val="6"/>
          <w:sz w:val="25"/>
          <w:szCs w:val="25"/>
        </w:rPr>
        <w:t>312</w:t>
      </w:r>
      <w:r>
        <w:rPr>
          <w:rFonts w:ascii="Times New Roman" w:hAnsi="Times New Roman" w:eastAsia="Times New Roman" w:cs="Times New Roman"/>
          <w:spacing w:val="26"/>
          <w:w w:val="101"/>
          <w:sz w:val="25"/>
          <w:szCs w:val="25"/>
        </w:rPr>
        <w:t xml:space="preserve"> </w:t>
      </w:r>
      <w:r>
        <w:rPr>
          <w:rFonts w:ascii="仿宋" w:hAnsi="仿宋" w:eastAsia="仿宋" w:cs="仿宋"/>
          <w:spacing w:val="6"/>
          <w:sz w:val="25"/>
          <w:szCs w:val="25"/>
        </w:rPr>
        <w:t>号，</w:t>
      </w:r>
      <w:r>
        <w:rPr>
          <w:rFonts w:ascii="Times New Roman" w:hAnsi="Times New Roman" w:eastAsia="Times New Roman" w:cs="Times New Roman"/>
          <w:spacing w:val="6"/>
          <w:sz w:val="25"/>
          <w:szCs w:val="25"/>
        </w:rPr>
        <w:t>2017</w:t>
      </w:r>
      <w:r>
        <w:rPr>
          <w:rFonts w:ascii="Times New Roman" w:hAnsi="Times New Roman" w:eastAsia="Times New Roman" w:cs="Times New Roman"/>
          <w:spacing w:val="27"/>
          <w:sz w:val="25"/>
          <w:szCs w:val="25"/>
        </w:rPr>
        <w:t xml:space="preserve"> </w:t>
      </w:r>
      <w:r>
        <w:rPr>
          <w:rFonts w:ascii="仿宋" w:hAnsi="仿宋" w:eastAsia="仿宋" w:cs="仿宋"/>
          <w:spacing w:val="6"/>
          <w:sz w:val="25"/>
          <w:szCs w:val="25"/>
        </w:rPr>
        <w:t>年</w:t>
      </w:r>
      <w:r>
        <w:rPr>
          <w:rFonts w:ascii="仿宋" w:hAnsi="仿宋" w:eastAsia="仿宋" w:cs="仿宋"/>
          <w:sz w:val="25"/>
          <w:szCs w:val="25"/>
        </w:rPr>
        <w:t xml:space="preserve"> </w:t>
      </w:r>
      <w:r>
        <w:rPr>
          <w:rFonts w:ascii="Times New Roman" w:hAnsi="Times New Roman" w:eastAsia="Times New Roman" w:cs="Times New Roman"/>
          <w:spacing w:val="-13"/>
          <w:sz w:val="25"/>
          <w:szCs w:val="25"/>
        </w:rPr>
        <w:t>3</w:t>
      </w:r>
      <w:r>
        <w:rPr>
          <w:rFonts w:ascii="Times New Roman" w:hAnsi="Times New Roman" w:eastAsia="Times New Roman" w:cs="Times New Roman"/>
          <w:spacing w:val="32"/>
          <w:w w:val="101"/>
          <w:sz w:val="25"/>
          <w:szCs w:val="25"/>
        </w:rPr>
        <w:t xml:space="preserve"> </w:t>
      </w:r>
      <w:r>
        <w:rPr>
          <w:rFonts w:ascii="仿宋" w:hAnsi="仿宋" w:eastAsia="仿宋" w:cs="仿宋"/>
          <w:spacing w:val="-13"/>
          <w:sz w:val="25"/>
          <w:szCs w:val="25"/>
        </w:rPr>
        <w:t>月</w:t>
      </w:r>
      <w:r>
        <w:rPr>
          <w:rFonts w:ascii="仿宋" w:hAnsi="仿宋" w:eastAsia="仿宋" w:cs="仿宋"/>
          <w:spacing w:val="-28"/>
          <w:sz w:val="25"/>
          <w:szCs w:val="25"/>
        </w:rPr>
        <w:t xml:space="preserve"> </w:t>
      </w:r>
      <w:r>
        <w:rPr>
          <w:rFonts w:ascii="Times New Roman" w:hAnsi="Times New Roman" w:eastAsia="Times New Roman" w:cs="Times New Roman"/>
          <w:spacing w:val="-13"/>
          <w:sz w:val="25"/>
          <w:szCs w:val="25"/>
        </w:rPr>
        <w:t>1</w:t>
      </w:r>
      <w:r>
        <w:rPr>
          <w:rFonts w:ascii="Times New Roman" w:hAnsi="Times New Roman" w:eastAsia="Times New Roman" w:cs="Times New Roman"/>
          <w:spacing w:val="6"/>
          <w:sz w:val="25"/>
          <w:szCs w:val="25"/>
        </w:rPr>
        <w:t xml:space="preserve">  </w:t>
      </w:r>
      <w:r>
        <w:rPr>
          <w:rFonts w:ascii="仿宋" w:hAnsi="仿宋" w:eastAsia="仿宋" w:cs="仿宋"/>
          <w:spacing w:val="-13"/>
          <w:sz w:val="25"/>
          <w:szCs w:val="25"/>
        </w:rPr>
        <w:t>日起施行</w:t>
      </w:r>
      <w:r>
        <w:rPr>
          <w:rFonts w:ascii="仿宋" w:hAnsi="仿宋" w:eastAsia="仿宋" w:cs="仿宋"/>
          <w:spacing w:val="2"/>
          <w:sz w:val="25"/>
          <w:szCs w:val="25"/>
        </w:rPr>
        <w:t>）；</w:t>
      </w:r>
    </w:p>
    <w:p w14:paraId="56192131">
      <w:pPr>
        <w:spacing w:before="151" w:line="303" w:lineRule="auto"/>
        <w:ind w:left="4" w:firstLine="436"/>
        <w:rPr>
          <w:rFonts w:ascii="仿宋" w:hAnsi="仿宋" w:eastAsia="仿宋" w:cs="仿宋"/>
          <w:sz w:val="25"/>
          <w:szCs w:val="25"/>
        </w:rPr>
      </w:pPr>
      <w:r>
        <w:rPr>
          <w:rFonts w:ascii="仿宋" w:hAnsi="仿宋" w:eastAsia="仿宋" w:cs="仿宋"/>
          <w:spacing w:val="8"/>
          <w:sz w:val="25"/>
          <w:szCs w:val="25"/>
        </w:rPr>
        <w:t>（</w:t>
      </w:r>
      <w:r>
        <w:rPr>
          <w:rFonts w:ascii="Times New Roman" w:hAnsi="Times New Roman" w:eastAsia="Times New Roman" w:cs="Times New Roman"/>
          <w:spacing w:val="8"/>
          <w:sz w:val="25"/>
          <w:szCs w:val="25"/>
        </w:rPr>
        <w:t>26</w:t>
      </w:r>
      <w:r>
        <w:rPr>
          <w:rFonts w:ascii="仿宋" w:hAnsi="仿宋" w:eastAsia="仿宋" w:cs="仿宋"/>
          <w:spacing w:val="8"/>
          <w:sz w:val="25"/>
          <w:szCs w:val="25"/>
        </w:rPr>
        <w:t>）《重庆市林业局 重庆市农业农村委员会关于印发《重庆市重点保护</w:t>
      </w:r>
      <w:r>
        <w:rPr>
          <w:rFonts w:ascii="仿宋" w:hAnsi="仿宋" w:eastAsia="仿宋" w:cs="仿宋"/>
          <w:spacing w:val="4"/>
          <w:sz w:val="25"/>
          <w:szCs w:val="25"/>
        </w:rPr>
        <w:t xml:space="preserve"> </w:t>
      </w:r>
      <w:r>
        <w:rPr>
          <w:rFonts w:ascii="仿宋" w:hAnsi="仿宋" w:eastAsia="仿宋" w:cs="仿宋"/>
          <w:spacing w:val="-2"/>
          <w:sz w:val="25"/>
          <w:szCs w:val="25"/>
        </w:rPr>
        <w:t>野生动物名录》和《重庆市重点保护野生植物名录》的通知》（渝林规范〔</w:t>
      </w:r>
      <w:r>
        <w:rPr>
          <w:rFonts w:ascii="Times New Roman" w:hAnsi="Times New Roman" w:eastAsia="Times New Roman" w:cs="Times New Roman"/>
          <w:spacing w:val="-3"/>
          <w:sz w:val="25"/>
          <w:szCs w:val="25"/>
        </w:rPr>
        <w:t>2023</w:t>
      </w:r>
      <w:r>
        <w:rPr>
          <w:rFonts w:ascii="仿宋" w:hAnsi="仿宋" w:eastAsia="仿宋" w:cs="仿宋"/>
          <w:spacing w:val="-3"/>
          <w:sz w:val="25"/>
          <w:szCs w:val="25"/>
        </w:rPr>
        <w:t>〕</w:t>
      </w:r>
      <w:r>
        <w:rPr>
          <w:rFonts w:ascii="仿宋" w:hAnsi="仿宋" w:eastAsia="仿宋" w:cs="仿宋"/>
          <w:sz w:val="25"/>
          <w:szCs w:val="25"/>
        </w:rPr>
        <w:t xml:space="preserve"> </w:t>
      </w:r>
      <w:r>
        <w:rPr>
          <w:rFonts w:ascii="Times New Roman" w:hAnsi="Times New Roman" w:eastAsia="Times New Roman" w:cs="Times New Roman"/>
          <w:spacing w:val="-8"/>
          <w:sz w:val="25"/>
          <w:szCs w:val="25"/>
        </w:rPr>
        <w:t>2</w:t>
      </w:r>
      <w:r>
        <w:rPr>
          <w:rFonts w:ascii="Times New Roman" w:hAnsi="Times New Roman" w:eastAsia="Times New Roman" w:cs="Times New Roman"/>
          <w:spacing w:val="25"/>
          <w:w w:val="101"/>
          <w:sz w:val="25"/>
          <w:szCs w:val="25"/>
        </w:rPr>
        <w:t xml:space="preserve"> </w:t>
      </w:r>
      <w:r>
        <w:rPr>
          <w:rFonts w:ascii="仿宋" w:hAnsi="仿宋" w:eastAsia="仿宋" w:cs="仿宋"/>
          <w:spacing w:val="-8"/>
          <w:sz w:val="25"/>
          <w:szCs w:val="25"/>
        </w:rPr>
        <w:t>号</w:t>
      </w:r>
      <w:r>
        <w:rPr>
          <w:rFonts w:ascii="仿宋" w:hAnsi="仿宋" w:eastAsia="仿宋" w:cs="仿宋"/>
          <w:sz w:val="25"/>
          <w:szCs w:val="25"/>
        </w:rPr>
        <w:t>）；</w:t>
      </w:r>
    </w:p>
    <w:p w14:paraId="541120B5">
      <w:pPr>
        <w:spacing w:line="303" w:lineRule="auto"/>
        <w:rPr>
          <w:rFonts w:ascii="仿宋" w:hAnsi="仿宋" w:eastAsia="仿宋" w:cs="仿宋"/>
          <w:sz w:val="25"/>
          <w:szCs w:val="25"/>
        </w:rPr>
        <w:sectPr>
          <w:headerReference r:id="rId24" w:type="default"/>
          <w:footerReference r:id="rId25" w:type="default"/>
          <w:pgSz w:w="11906" w:h="16839"/>
          <w:pgMar w:top="1116" w:right="1393" w:bottom="1480" w:left="1587" w:header="683" w:footer="1318" w:gutter="0"/>
          <w:cols w:space="720" w:num="1"/>
        </w:sectPr>
      </w:pPr>
    </w:p>
    <w:p w14:paraId="7CAD9E3F">
      <w:pPr>
        <w:pStyle w:val="2"/>
        <w:spacing w:line="386" w:lineRule="auto"/>
      </w:pPr>
    </w:p>
    <w:p w14:paraId="493AA632">
      <w:pPr>
        <w:spacing w:before="82" w:line="284" w:lineRule="auto"/>
        <w:ind w:left="31" w:right="82" w:firstLine="409"/>
        <w:rPr>
          <w:rFonts w:ascii="仿宋" w:hAnsi="仿宋" w:eastAsia="仿宋" w:cs="仿宋"/>
          <w:sz w:val="25"/>
          <w:szCs w:val="25"/>
        </w:rPr>
      </w:pPr>
      <w:r>
        <w:rPr>
          <w:rFonts w:ascii="仿宋" w:hAnsi="仿宋" w:eastAsia="仿宋" w:cs="仿宋"/>
          <w:spacing w:val="12"/>
          <w:sz w:val="25"/>
          <w:szCs w:val="25"/>
        </w:rPr>
        <w:t>（</w:t>
      </w:r>
      <w:r>
        <w:rPr>
          <w:rFonts w:ascii="Times New Roman" w:hAnsi="Times New Roman" w:eastAsia="Times New Roman" w:cs="Times New Roman"/>
          <w:spacing w:val="12"/>
          <w:sz w:val="25"/>
          <w:szCs w:val="25"/>
        </w:rPr>
        <w:t>27</w:t>
      </w:r>
      <w:r>
        <w:rPr>
          <w:rFonts w:ascii="仿宋" w:hAnsi="仿宋" w:eastAsia="仿宋" w:cs="仿宋"/>
          <w:spacing w:val="12"/>
          <w:sz w:val="25"/>
          <w:szCs w:val="25"/>
        </w:rPr>
        <w:t>）《重庆市发展和改革委员会关于印发重庆市产业投资准入工作手册</w:t>
      </w:r>
      <w:r>
        <w:rPr>
          <w:rFonts w:ascii="仿宋" w:hAnsi="仿宋" w:eastAsia="仿宋" w:cs="仿宋"/>
          <w:spacing w:val="5"/>
          <w:sz w:val="25"/>
          <w:szCs w:val="25"/>
        </w:rPr>
        <w:t xml:space="preserve"> 的通知》（渝发改投资〔</w:t>
      </w:r>
      <w:r>
        <w:rPr>
          <w:rFonts w:ascii="Times New Roman" w:hAnsi="Times New Roman" w:eastAsia="Times New Roman" w:cs="Times New Roman"/>
          <w:spacing w:val="5"/>
          <w:sz w:val="25"/>
          <w:szCs w:val="25"/>
        </w:rPr>
        <w:t>2022</w:t>
      </w:r>
      <w:r>
        <w:rPr>
          <w:rFonts w:ascii="仿宋" w:hAnsi="仿宋" w:eastAsia="仿宋" w:cs="仿宋"/>
          <w:spacing w:val="5"/>
          <w:sz w:val="25"/>
          <w:szCs w:val="25"/>
        </w:rPr>
        <w:t>〕</w:t>
      </w:r>
      <w:r>
        <w:rPr>
          <w:rFonts w:ascii="Times New Roman" w:hAnsi="Times New Roman" w:eastAsia="Times New Roman" w:cs="Times New Roman"/>
          <w:spacing w:val="5"/>
          <w:sz w:val="25"/>
          <w:szCs w:val="25"/>
        </w:rPr>
        <w:t>1436</w:t>
      </w:r>
      <w:r>
        <w:rPr>
          <w:rFonts w:ascii="Times New Roman" w:hAnsi="Times New Roman" w:eastAsia="Times New Roman" w:cs="Times New Roman"/>
          <w:spacing w:val="28"/>
          <w:sz w:val="25"/>
          <w:szCs w:val="25"/>
        </w:rPr>
        <w:t xml:space="preserve"> </w:t>
      </w:r>
      <w:r>
        <w:rPr>
          <w:rFonts w:ascii="仿宋" w:hAnsi="仿宋" w:eastAsia="仿宋" w:cs="仿宋"/>
          <w:spacing w:val="5"/>
          <w:sz w:val="25"/>
          <w:szCs w:val="25"/>
        </w:rPr>
        <w:t>号</w:t>
      </w:r>
      <w:r>
        <w:rPr>
          <w:rFonts w:ascii="仿宋" w:hAnsi="仿宋" w:eastAsia="仿宋" w:cs="仿宋"/>
          <w:spacing w:val="3"/>
          <w:sz w:val="25"/>
          <w:szCs w:val="25"/>
        </w:rPr>
        <w:t>）；</w:t>
      </w:r>
    </w:p>
    <w:p w14:paraId="7ADFD5A7">
      <w:pPr>
        <w:spacing w:before="149" w:line="228" w:lineRule="auto"/>
        <w:ind w:left="440"/>
        <w:rPr>
          <w:rFonts w:ascii="仿宋" w:hAnsi="仿宋" w:eastAsia="仿宋" w:cs="仿宋"/>
          <w:sz w:val="25"/>
          <w:szCs w:val="25"/>
        </w:rPr>
      </w:pPr>
      <w:r>
        <w:rPr>
          <w:rFonts w:ascii="仿宋" w:hAnsi="仿宋" w:eastAsia="仿宋" w:cs="仿宋"/>
          <w:spacing w:val="8"/>
          <w:sz w:val="25"/>
          <w:szCs w:val="25"/>
        </w:rPr>
        <w:t>（</w:t>
      </w:r>
      <w:r>
        <w:rPr>
          <w:rFonts w:ascii="Times New Roman" w:hAnsi="Times New Roman" w:eastAsia="Times New Roman" w:cs="Times New Roman"/>
          <w:spacing w:val="8"/>
          <w:sz w:val="25"/>
          <w:szCs w:val="25"/>
        </w:rPr>
        <w:t>28</w:t>
      </w:r>
      <w:r>
        <w:rPr>
          <w:rFonts w:ascii="仿宋" w:hAnsi="仿宋" w:eastAsia="仿宋" w:cs="仿宋"/>
          <w:spacing w:val="8"/>
          <w:sz w:val="25"/>
          <w:szCs w:val="25"/>
        </w:rPr>
        <w:t>）《关于印发重庆市绿色矿山建设标准的通知》（</w:t>
      </w:r>
      <w:r>
        <w:rPr>
          <w:rFonts w:ascii="Times New Roman" w:hAnsi="Times New Roman" w:eastAsia="Times New Roman" w:cs="Times New Roman"/>
          <w:spacing w:val="8"/>
          <w:sz w:val="25"/>
          <w:szCs w:val="25"/>
        </w:rPr>
        <w:t xml:space="preserve">2021 </w:t>
      </w:r>
      <w:r>
        <w:rPr>
          <w:rFonts w:ascii="仿宋" w:hAnsi="仿宋" w:eastAsia="仿宋" w:cs="仿宋"/>
          <w:spacing w:val="8"/>
          <w:sz w:val="25"/>
          <w:szCs w:val="25"/>
        </w:rPr>
        <w:t>版</w:t>
      </w:r>
      <w:r>
        <w:rPr>
          <w:rFonts w:ascii="仿宋" w:hAnsi="仿宋" w:eastAsia="仿宋" w:cs="仿宋"/>
          <w:sz w:val="25"/>
          <w:szCs w:val="25"/>
        </w:rPr>
        <w:t>）；</w:t>
      </w:r>
    </w:p>
    <w:p w14:paraId="0C29D21A">
      <w:pPr>
        <w:spacing w:before="151" w:line="284" w:lineRule="auto"/>
        <w:ind w:left="16" w:right="14" w:firstLine="424"/>
        <w:rPr>
          <w:rFonts w:ascii="仿宋" w:hAnsi="仿宋" w:eastAsia="仿宋" w:cs="仿宋"/>
          <w:sz w:val="25"/>
          <w:szCs w:val="25"/>
        </w:rPr>
      </w:pPr>
      <w:r>
        <w:rPr>
          <w:rFonts w:ascii="仿宋" w:hAnsi="仿宋" w:eastAsia="仿宋" w:cs="仿宋"/>
          <w:spacing w:val="12"/>
          <w:sz w:val="25"/>
          <w:szCs w:val="25"/>
        </w:rPr>
        <w:t>（</w:t>
      </w:r>
      <w:r>
        <w:rPr>
          <w:rFonts w:ascii="Times New Roman" w:hAnsi="Times New Roman" w:eastAsia="Times New Roman" w:cs="Times New Roman"/>
          <w:spacing w:val="12"/>
          <w:sz w:val="25"/>
          <w:szCs w:val="25"/>
        </w:rPr>
        <w:t>29</w:t>
      </w:r>
      <w:r>
        <w:rPr>
          <w:rFonts w:ascii="仿宋" w:hAnsi="仿宋" w:eastAsia="仿宋" w:cs="仿宋"/>
          <w:spacing w:val="12"/>
          <w:sz w:val="25"/>
          <w:szCs w:val="25"/>
        </w:rPr>
        <w:t>）《关于落实生态保护红线、环境质量底线、资源利用上线制定生态</w:t>
      </w:r>
      <w:r>
        <w:rPr>
          <w:rFonts w:ascii="仿宋" w:hAnsi="仿宋" w:eastAsia="仿宋" w:cs="仿宋"/>
          <w:spacing w:val="5"/>
          <w:sz w:val="25"/>
          <w:szCs w:val="25"/>
        </w:rPr>
        <w:t xml:space="preserve"> </w:t>
      </w:r>
      <w:r>
        <w:rPr>
          <w:rFonts w:ascii="仿宋" w:hAnsi="仿宋" w:eastAsia="仿宋" w:cs="仿宋"/>
          <w:spacing w:val="6"/>
          <w:sz w:val="25"/>
          <w:szCs w:val="25"/>
        </w:rPr>
        <w:t>环境准入清单 实施生态环境分区管控的实施意见》（渝府发〔</w:t>
      </w:r>
      <w:r>
        <w:rPr>
          <w:rFonts w:ascii="Times New Roman" w:hAnsi="Times New Roman" w:eastAsia="Times New Roman" w:cs="Times New Roman"/>
          <w:spacing w:val="6"/>
          <w:sz w:val="25"/>
          <w:szCs w:val="25"/>
        </w:rPr>
        <w:t>2020</w:t>
      </w:r>
      <w:r>
        <w:rPr>
          <w:rFonts w:ascii="仿宋" w:hAnsi="仿宋" w:eastAsia="仿宋" w:cs="仿宋"/>
          <w:spacing w:val="6"/>
          <w:sz w:val="25"/>
          <w:szCs w:val="25"/>
        </w:rPr>
        <w:t>〕</w:t>
      </w:r>
      <w:r>
        <w:rPr>
          <w:rFonts w:ascii="Times New Roman" w:hAnsi="Times New Roman" w:eastAsia="Times New Roman" w:cs="Times New Roman"/>
          <w:spacing w:val="6"/>
          <w:sz w:val="25"/>
          <w:szCs w:val="25"/>
        </w:rPr>
        <w:t>11</w:t>
      </w:r>
      <w:r>
        <w:rPr>
          <w:rFonts w:ascii="Times New Roman" w:hAnsi="Times New Roman" w:eastAsia="Times New Roman" w:cs="Times New Roman"/>
          <w:spacing w:val="28"/>
          <w:sz w:val="25"/>
          <w:szCs w:val="25"/>
        </w:rPr>
        <w:t xml:space="preserve"> </w:t>
      </w:r>
      <w:r>
        <w:rPr>
          <w:rFonts w:ascii="仿宋" w:hAnsi="仿宋" w:eastAsia="仿宋" w:cs="仿宋"/>
          <w:spacing w:val="6"/>
          <w:sz w:val="25"/>
          <w:szCs w:val="25"/>
        </w:rPr>
        <w:t>号</w:t>
      </w:r>
      <w:r>
        <w:rPr>
          <w:rFonts w:ascii="仿宋" w:hAnsi="仿宋" w:eastAsia="仿宋" w:cs="仿宋"/>
          <w:spacing w:val="-19"/>
          <w:sz w:val="25"/>
          <w:szCs w:val="25"/>
        </w:rPr>
        <w:t>）；</w:t>
      </w:r>
    </w:p>
    <w:p w14:paraId="65FF2EC2">
      <w:pPr>
        <w:spacing w:before="150" w:line="284" w:lineRule="auto"/>
        <w:ind w:left="47" w:right="82" w:firstLine="393"/>
        <w:rPr>
          <w:rFonts w:ascii="仿宋" w:hAnsi="仿宋" w:eastAsia="仿宋" w:cs="仿宋"/>
          <w:sz w:val="25"/>
          <w:szCs w:val="25"/>
        </w:rPr>
      </w:pPr>
      <w:r>
        <w:rPr>
          <w:rFonts w:ascii="仿宋" w:hAnsi="仿宋" w:eastAsia="仿宋" w:cs="仿宋"/>
          <w:spacing w:val="16"/>
          <w:sz w:val="25"/>
          <w:szCs w:val="25"/>
        </w:rPr>
        <w:t>（</w:t>
      </w:r>
      <w:r>
        <w:rPr>
          <w:rFonts w:ascii="Times New Roman" w:hAnsi="Times New Roman" w:eastAsia="Times New Roman" w:cs="Times New Roman"/>
          <w:spacing w:val="16"/>
          <w:sz w:val="25"/>
          <w:szCs w:val="25"/>
        </w:rPr>
        <w:t>30</w:t>
      </w:r>
      <w:r>
        <w:rPr>
          <w:rFonts w:ascii="仿宋" w:hAnsi="仿宋" w:eastAsia="仿宋" w:cs="仿宋"/>
          <w:spacing w:val="16"/>
          <w:sz w:val="25"/>
          <w:szCs w:val="25"/>
        </w:rPr>
        <w:t>）《重庆市人民政府关于印发重庆市筑牢长江上游重要生态屏障</w:t>
      </w:r>
      <w:r>
        <w:rPr>
          <w:rFonts w:ascii="Times New Roman" w:hAnsi="Times New Roman" w:eastAsia="Times New Roman" w:cs="Times New Roman"/>
          <w:spacing w:val="16"/>
          <w:sz w:val="25"/>
          <w:szCs w:val="25"/>
        </w:rPr>
        <w:t>“</w:t>
      </w:r>
      <w:r>
        <w:rPr>
          <w:rFonts w:ascii="仿宋" w:hAnsi="仿宋" w:eastAsia="仿宋" w:cs="仿宋"/>
          <w:spacing w:val="16"/>
          <w:sz w:val="25"/>
          <w:szCs w:val="25"/>
        </w:rPr>
        <w:t>十</w:t>
      </w:r>
      <w:r>
        <w:rPr>
          <w:rFonts w:ascii="仿宋" w:hAnsi="仿宋" w:eastAsia="仿宋" w:cs="仿宋"/>
          <w:spacing w:val="12"/>
          <w:sz w:val="25"/>
          <w:szCs w:val="25"/>
        </w:rPr>
        <w:t xml:space="preserve"> </w:t>
      </w:r>
      <w:r>
        <w:rPr>
          <w:rFonts w:ascii="仿宋" w:hAnsi="仿宋" w:eastAsia="仿宋" w:cs="仿宋"/>
          <w:spacing w:val="5"/>
          <w:sz w:val="25"/>
          <w:szCs w:val="25"/>
        </w:rPr>
        <w:t>四五</w:t>
      </w:r>
      <w:r>
        <w:rPr>
          <w:rFonts w:ascii="Times New Roman" w:hAnsi="Times New Roman" w:eastAsia="Times New Roman" w:cs="Times New Roman"/>
          <w:spacing w:val="5"/>
          <w:sz w:val="25"/>
          <w:szCs w:val="25"/>
        </w:rPr>
        <w:t>”</w:t>
      </w:r>
      <w:r>
        <w:rPr>
          <w:rFonts w:ascii="仿宋" w:hAnsi="仿宋" w:eastAsia="仿宋" w:cs="仿宋"/>
          <w:spacing w:val="5"/>
          <w:sz w:val="25"/>
          <w:szCs w:val="25"/>
        </w:rPr>
        <w:t>建设规划（</w:t>
      </w:r>
      <w:r>
        <w:rPr>
          <w:rFonts w:ascii="Times New Roman" w:hAnsi="Times New Roman" w:eastAsia="Times New Roman" w:cs="Times New Roman"/>
          <w:spacing w:val="5"/>
          <w:sz w:val="25"/>
          <w:szCs w:val="25"/>
        </w:rPr>
        <w:t>2021—2025</w:t>
      </w:r>
      <w:r>
        <w:rPr>
          <w:rFonts w:ascii="Times New Roman" w:hAnsi="Times New Roman" w:eastAsia="Times New Roman" w:cs="Times New Roman"/>
          <w:spacing w:val="27"/>
          <w:sz w:val="25"/>
          <w:szCs w:val="25"/>
        </w:rPr>
        <w:t xml:space="preserve"> </w:t>
      </w:r>
      <w:r>
        <w:rPr>
          <w:rFonts w:ascii="仿宋" w:hAnsi="仿宋" w:eastAsia="仿宋" w:cs="仿宋"/>
          <w:spacing w:val="5"/>
          <w:sz w:val="25"/>
          <w:szCs w:val="25"/>
        </w:rPr>
        <w:t>年）的通知》（渝府发〔</w:t>
      </w:r>
      <w:r>
        <w:rPr>
          <w:rFonts w:ascii="Times New Roman" w:hAnsi="Times New Roman" w:eastAsia="Times New Roman" w:cs="Times New Roman"/>
          <w:spacing w:val="5"/>
          <w:sz w:val="25"/>
          <w:szCs w:val="25"/>
        </w:rPr>
        <w:t>2021</w:t>
      </w:r>
      <w:r>
        <w:rPr>
          <w:rFonts w:ascii="仿宋" w:hAnsi="仿宋" w:eastAsia="仿宋" w:cs="仿宋"/>
          <w:spacing w:val="5"/>
          <w:sz w:val="25"/>
          <w:szCs w:val="25"/>
        </w:rPr>
        <w:t>〕</w:t>
      </w:r>
      <w:r>
        <w:rPr>
          <w:rFonts w:ascii="Times New Roman" w:hAnsi="Times New Roman" w:eastAsia="Times New Roman" w:cs="Times New Roman"/>
          <w:spacing w:val="5"/>
          <w:sz w:val="25"/>
          <w:szCs w:val="25"/>
        </w:rPr>
        <w:t>12</w:t>
      </w:r>
      <w:r>
        <w:rPr>
          <w:rFonts w:ascii="Times New Roman" w:hAnsi="Times New Roman" w:eastAsia="Times New Roman" w:cs="Times New Roman"/>
          <w:spacing w:val="26"/>
          <w:sz w:val="25"/>
          <w:szCs w:val="25"/>
        </w:rPr>
        <w:t xml:space="preserve"> </w:t>
      </w:r>
      <w:r>
        <w:rPr>
          <w:rFonts w:ascii="仿宋" w:hAnsi="仿宋" w:eastAsia="仿宋" w:cs="仿宋"/>
          <w:spacing w:val="5"/>
          <w:sz w:val="25"/>
          <w:szCs w:val="25"/>
        </w:rPr>
        <w:t>号</w:t>
      </w:r>
      <w:r>
        <w:rPr>
          <w:rFonts w:ascii="仿宋" w:hAnsi="仿宋" w:eastAsia="仿宋" w:cs="仿宋"/>
          <w:spacing w:val="3"/>
          <w:sz w:val="25"/>
          <w:szCs w:val="25"/>
        </w:rPr>
        <w:t>）；</w:t>
      </w:r>
    </w:p>
    <w:p w14:paraId="28D87001">
      <w:pPr>
        <w:spacing w:before="152" w:line="283" w:lineRule="auto"/>
        <w:ind w:left="31" w:right="80" w:firstLine="409"/>
        <w:rPr>
          <w:rFonts w:ascii="仿宋" w:hAnsi="仿宋" w:eastAsia="仿宋" w:cs="仿宋"/>
          <w:sz w:val="25"/>
          <w:szCs w:val="25"/>
        </w:rPr>
      </w:pPr>
      <w:r>
        <w:rPr>
          <w:rFonts w:ascii="仿宋" w:hAnsi="仿宋" w:eastAsia="仿宋" w:cs="仿宋"/>
          <w:spacing w:val="8"/>
          <w:sz w:val="25"/>
          <w:szCs w:val="25"/>
        </w:rPr>
        <w:t>（</w:t>
      </w:r>
      <w:r>
        <w:rPr>
          <w:rFonts w:ascii="Times New Roman" w:hAnsi="Times New Roman" w:eastAsia="Times New Roman" w:cs="Times New Roman"/>
          <w:spacing w:val="8"/>
          <w:sz w:val="25"/>
          <w:szCs w:val="25"/>
        </w:rPr>
        <w:t>31</w:t>
      </w:r>
      <w:r>
        <w:rPr>
          <w:rFonts w:ascii="仿宋" w:hAnsi="仿宋" w:eastAsia="仿宋" w:cs="仿宋"/>
          <w:spacing w:val="8"/>
          <w:sz w:val="25"/>
          <w:szCs w:val="25"/>
        </w:rPr>
        <w:t>）《重庆市人民政府办公厅关于调整各区县</w:t>
      </w:r>
      <w:r>
        <w:rPr>
          <w:rFonts w:ascii="仿宋" w:hAnsi="仿宋" w:eastAsia="仿宋" w:cs="仿宋"/>
          <w:spacing w:val="-66"/>
          <w:sz w:val="25"/>
          <w:szCs w:val="25"/>
        </w:rPr>
        <w:t xml:space="preserve"> </w:t>
      </w:r>
      <w:r>
        <w:rPr>
          <w:rFonts w:ascii="Times New Roman" w:hAnsi="Times New Roman" w:eastAsia="Times New Roman" w:cs="Times New Roman"/>
          <w:spacing w:val="8"/>
          <w:sz w:val="25"/>
          <w:szCs w:val="25"/>
        </w:rPr>
        <w:t xml:space="preserve">2030 </w:t>
      </w:r>
      <w:r>
        <w:rPr>
          <w:rFonts w:ascii="仿宋" w:hAnsi="仿宋" w:eastAsia="仿宋" w:cs="仿宋"/>
          <w:spacing w:val="8"/>
          <w:sz w:val="25"/>
          <w:szCs w:val="25"/>
        </w:rPr>
        <w:t>年用水</w:t>
      </w:r>
      <w:r>
        <w:rPr>
          <w:rFonts w:ascii="仿宋" w:hAnsi="仿宋" w:eastAsia="仿宋" w:cs="仿宋"/>
          <w:spacing w:val="7"/>
          <w:sz w:val="25"/>
          <w:szCs w:val="25"/>
        </w:rPr>
        <w:t>总量控制目标</w:t>
      </w:r>
      <w:r>
        <w:rPr>
          <w:rFonts w:ascii="仿宋" w:hAnsi="仿宋" w:eastAsia="仿宋" w:cs="仿宋"/>
          <w:sz w:val="25"/>
          <w:szCs w:val="25"/>
        </w:rPr>
        <w:t xml:space="preserve"> </w:t>
      </w:r>
      <w:r>
        <w:rPr>
          <w:rFonts w:ascii="仿宋" w:hAnsi="仿宋" w:eastAsia="仿宋" w:cs="仿宋"/>
          <w:spacing w:val="5"/>
          <w:sz w:val="25"/>
          <w:szCs w:val="25"/>
        </w:rPr>
        <w:t>的通知》（渝府办发〔</w:t>
      </w:r>
      <w:r>
        <w:rPr>
          <w:rFonts w:ascii="Times New Roman" w:hAnsi="Times New Roman" w:eastAsia="Times New Roman" w:cs="Times New Roman"/>
          <w:spacing w:val="5"/>
          <w:sz w:val="25"/>
          <w:szCs w:val="25"/>
        </w:rPr>
        <w:t>2021</w:t>
      </w:r>
      <w:r>
        <w:rPr>
          <w:rFonts w:ascii="仿宋" w:hAnsi="仿宋" w:eastAsia="仿宋" w:cs="仿宋"/>
          <w:spacing w:val="5"/>
          <w:sz w:val="25"/>
          <w:szCs w:val="25"/>
        </w:rPr>
        <w:t>〕</w:t>
      </w:r>
      <w:r>
        <w:rPr>
          <w:rFonts w:ascii="Times New Roman" w:hAnsi="Times New Roman" w:eastAsia="Times New Roman" w:cs="Times New Roman"/>
          <w:spacing w:val="5"/>
          <w:sz w:val="25"/>
          <w:szCs w:val="25"/>
        </w:rPr>
        <w:t>147</w:t>
      </w:r>
      <w:r>
        <w:rPr>
          <w:rFonts w:ascii="Times New Roman" w:hAnsi="Times New Roman" w:eastAsia="Times New Roman" w:cs="Times New Roman"/>
          <w:spacing w:val="26"/>
          <w:sz w:val="25"/>
          <w:szCs w:val="25"/>
        </w:rPr>
        <w:t xml:space="preserve"> </w:t>
      </w:r>
      <w:r>
        <w:rPr>
          <w:rFonts w:ascii="仿宋" w:hAnsi="仿宋" w:eastAsia="仿宋" w:cs="仿宋"/>
          <w:spacing w:val="5"/>
          <w:sz w:val="25"/>
          <w:szCs w:val="25"/>
        </w:rPr>
        <w:t>号</w:t>
      </w:r>
      <w:r>
        <w:rPr>
          <w:rFonts w:ascii="仿宋" w:hAnsi="仿宋" w:eastAsia="仿宋" w:cs="仿宋"/>
          <w:spacing w:val="1"/>
          <w:sz w:val="25"/>
          <w:szCs w:val="25"/>
        </w:rPr>
        <w:t>）；</w:t>
      </w:r>
    </w:p>
    <w:p w14:paraId="1C80AFF5">
      <w:pPr>
        <w:spacing w:before="151" w:line="284" w:lineRule="auto"/>
        <w:ind w:left="18" w:right="82" w:firstLine="422"/>
        <w:rPr>
          <w:rFonts w:ascii="仿宋" w:hAnsi="仿宋" w:eastAsia="仿宋" w:cs="仿宋"/>
          <w:sz w:val="25"/>
          <w:szCs w:val="25"/>
        </w:rPr>
      </w:pPr>
      <w:r>
        <w:rPr>
          <w:rFonts w:ascii="仿宋" w:hAnsi="仿宋" w:eastAsia="仿宋" w:cs="仿宋"/>
          <w:spacing w:val="15"/>
          <w:sz w:val="25"/>
          <w:szCs w:val="25"/>
        </w:rPr>
        <w:t>（</w:t>
      </w:r>
      <w:r>
        <w:rPr>
          <w:rFonts w:ascii="Times New Roman" w:hAnsi="Times New Roman" w:eastAsia="Times New Roman" w:cs="Times New Roman"/>
          <w:spacing w:val="15"/>
          <w:sz w:val="25"/>
          <w:szCs w:val="25"/>
        </w:rPr>
        <w:t>32</w:t>
      </w:r>
      <w:r>
        <w:rPr>
          <w:rFonts w:ascii="仿宋" w:hAnsi="仿宋" w:eastAsia="仿宋" w:cs="仿宋"/>
          <w:spacing w:val="15"/>
          <w:sz w:val="25"/>
          <w:szCs w:val="25"/>
        </w:rPr>
        <w:t>）《重庆市规划和自然资源局</w:t>
      </w:r>
      <w:r>
        <w:rPr>
          <w:rFonts w:ascii="仿宋" w:hAnsi="仿宋" w:eastAsia="仿宋" w:cs="仿宋"/>
          <w:spacing w:val="50"/>
          <w:sz w:val="25"/>
          <w:szCs w:val="25"/>
        </w:rPr>
        <w:t xml:space="preserve"> </w:t>
      </w:r>
      <w:r>
        <w:rPr>
          <w:rFonts w:ascii="仿宋" w:hAnsi="仿宋" w:eastAsia="仿宋" w:cs="仿宋"/>
          <w:spacing w:val="15"/>
          <w:sz w:val="25"/>
          <w:szCs w:val="25"/>
        </w:rPr>
        <w:t>重庆市农业农村委员会关于</w:t>
      </w:r>
      <w:r>
        <w:rPr>
          <w:rFonts w:ascii="仿宋" w:hAnsi="仿宋" w:eastAsia="仿宋" w:cs="仿宋"/>
          <w:spacing w:val="14"/>
          <w:sz w:val="25"/>
          <w:szCs w:val="25"/>
        </w:rPr>
        <w:t>加强和改</w:t>
      </w:r>
      <w:r>
        <w:rPr>
          <w:rFonts w:ascii="仿宋" w:hAnsi="仿宋" w:eastAsia="仿宋" w:cs="仿宋"/>
          <w:sz w:val="25"/>
          <w:szCs w:val="25"/>
        </w:rPr>
        <w:t xml:space="preserve"> </w:t>
      </w:r>
      <w:r>
        <w:rPr>
          <w:rFonts w:ascii="仿宋" w:hAnsi="仿宋" w:eastAsia="仿宋" w:cs="仿宋"/>
          <w:spacing w:val="8"/>
          <w:sz w:val="25"/>
          <w:szCs w:val="25"/>
        </w:rPr>
        <w:t>进永久基本农田保护工作的实施意见》（渝规资规范</w:t>
      </w:r>
      <w:r>
        <w:rPr>
          <w:rFonts w:ascii="仿宋" w:hAnsi="仿宋" w:eastAsia="仿宋" w:cs="仿宋"/>
          <w:spacing w:val="7"/>
          <w:sz w:val="25"/>
          <w:szCs w:val="25"/>
        </w:rPr>
        <w:t>〔</w:t>
      </w:r>
      <w:r>
        <w:rPr>
          <w:rFonts w:ascii="Times New Roman" w:hAnsi="Times New Roman" w:eastAsia="Times New Roman" w:cs="Times New Roman"/>
          <w:spacing w:val="7"/>
          <w:sz w:val="25"/>
          <w:szCs w:val="25"/>
        </w:rPr>
        <w:t>2020</w:t>
      </w:r>
      <w:r>
        <w:rPr>
          <w:rFonts w:ascii="仿宋" w:hAnsi="仿宋" w:eastAsia="仿宋" w:cs="仿宋"/>
          <w:spacing w:val="7"/>
          <w:sz w:val="25"/>
          <w:szCs w:val="25"/>
        </w:rPr>
        <w:t>〕</w:t>
      </w:r>
      <w:r>
        <w:rPr>
          <w:rFonts w:ascii="Times New Roman" w:hAnsi="Times New Roman" w:eastAsia="Times New Roman" w:cs="Times New Roman"/>
          <w:spacing w:val="7"/>
          <w:sz w:val="25"/>
          <w:szCs w:val="25"/>
        </w:rPr>
        <w:t>1</w:t>
      </w:r>
      <w:r>
        <w:rPr>
          <w:rFonts w:ascii="Times New Roman" w:hAnsi="Times New Roman" w:eastAsia="Times New Roman" w:cs="Times New Roman"/>
          <w:spacing w:val="25"/>
          <w:w w:val="101"/>
          <w:sz w:val="25"/>
          <w:szCs w:val="25"/>
        </w:rPr>
        <w:t xml:space="preserve"> </w:t>
      </w:r>
      <w:r>
        <w:rPr>
          <w:rFonts w:ascii="仿宋" w:hAnsi="仿宋" w:eastAsia="仿宋" w:cs="仿宋"/>
          <w:spacing w:val="7"/>
          <w:sz w:val="25"/>
          <w:szCs w:val="25"/>
        </w:rPr>
        <w:t>号</w:t>
      </w:r>
      <w:r>
        <w:rPr>
          <w:rFonts w:ascii="仿宋" w:hAnsi="仿宋" w:eastAsia="仿宋" w:cs="仿宋"/>
          <w:sz w:val="25"/>
          <w:szCs w:val="25"/>
        </w:rPr>
        <w:t>）；</w:t>
      </w:r>
    </w:p>
    <w:p w14:paraId="58B000B9">
      <w:pPr>
        <w:spacing w:before="152" w:line="284" w:lineRule="auto"/>
        <w:ind w:left="19" w:right="82" w:firstLine="421"/>
        <w:rPr>
          <w:rFonts w:ascii="仿宋" w:hAnsi="仿宋" w:eastAsia="仿宋" w:cs="仿宋"/>
          <w:sz w:val="25"/>
          <w:szCs w:val="25"/>
        </w:rPr>
      </w:pPr>
      <w:r>
        <w:rPr>
          <w:rFonts w:ascii="仿宋" w:hAnsi="仿宋" w:eastAsia="仿宋" w:cs="仿宋"/>
          <w:spacing w:val="13"/>
          <w:sz w:val="25"/>
          <w:szCs w:val="25"/>
        </w:rPr>
        <w:t>（</w:t>
      </w:r>
      <w:r>
        <w:rPr>
          <w:rFonts w:ascii="Times New Roman" w:hAnsi="Times New Roman" w:eastAsia="Times New Roman" w:cs="Times New Roman"/>
          <w:spacing w:val="13"/>
          <w:sz w:val="25"/>
          <w:szCs w:val="25"/>
        </w:rPr>
        <w:t>33</w:t>
      </w:r>
      <w:r>
        <w:rPr>
          <w:rFonts w:ascii="仿宋" w:hAnsi="仿宋" w:eastAsia="仿宋" w:cs="仿宋"/>
          <w:spacing w:val="13"/>
          <w:sz w:val="25"/>
          <w:szCs w:val="25"/>
        </w:rPr>
        <w:t>）《重庆市人民政府关于印发重庆市自然</w:t>
      </w:r>
      <w:r>
        <w:rPr>
          <w:rFonts w:ascii="仿宋" w:hAnsi="仿宋" w:eastAsia="仿宋" w:cs="仿宋"/>
          <w:spacing w:val="12"/>
          <w:sz w:val="25"/>
          <w:szCs w:val="25"/>
        </w:rPr>
        <w:t>资源保护和利用</w:t>
      </w:r>
      <w:r>
        <w:rPr>
          <w:rFonts w:ascii="Times New Roman" w:hAnsi="Times New Roman" w:eastAsia="Times New Roman" w:cs="Times New Roman"/>
          <w:spacing w:val="12"/>
          <w:sz w:val="25"/>
          <w:szCs w:val="25"/>
        </w:rPr>
        <w:t>“</w:t>
      </w:r>
      <w:r>
        <w:rPr>
          <w:rFonts w:ascii="仿宋" w:hAnsi="仿宋" w:eastAsia="仿宋" w:cs="仿宋"/>
          <w:spacing w:val="12"/>
          <w:sz w:val="25"/>
          <w:szCs w:val="25"/>
        </w:rPr>
        <w:t>十四五</w:t>
      </w:r>
      <w:r>
        <w:rPr>
          <w:rFonts w:ascii="Times New Roman" w:hAnsi="Times New Roman" w:eastAsia="Times New Roman" w:cs="Times New Roman"/>
          <w:spacing w:val="12"/>
          <w:sz w:val="25"/>
          <w:szCs w:val="25"/>
        </w:rPr>
        <w:t>”</w:t>
      </w:r>
      <w:r>
        <w:rPr>
          <w:rFonts w:ascii="仿宋" w:hAnsi="仿宋" w:eastAsia="仿宋" w:cs="仿宋"/>
          <w:spacing w:val="12"/>
          <w:sz w:val="25"/>
          <w:szCs w:val="25"/>
        </w:rPr>
        <w:t>规</w:t>
      </w:r>
      <w:r>
        <w:rPr>
          <w:rFonts w:ascii="仿宋" w:hAnsi="仿宋" w:eastAsia="仿宋" w:cs="仿宋"/>
          <w:sz w:val="25"/>
          <w:szCs w:val="25"/>
        </w:rPr>
        <w:t xml:space="preserve"> </w:t>
      </w:r>
      <w:r>
        <w:rPr>
          <w:rFonts w:ascii="仿宋" w:hAnsi="仿宋" w:eastAsia="仿宋" w:cs="仿宋"/>
          <w:spacing w:val="5"/>
          <w:sz w:val="25"/>
          <w:szCs w:val="25"/>
        </w:rPr>
        <w:t>划（</w:t>
      </w:r>
      <w:r>
        <w:rPr>
          <w:rFonts w:ascii="Times New Roman" w:hAnsi="Times New Roman" w:eastAsia="Times New Roman" w:cs="Times New Roman"/>
          <w:spacing w:val="5"/>
          <w:sz w:val="25"/>
          <w:szCs w:val="25"/>
        </w:rPr>
        <w:t>2021—2025</w:t>
      </w:r>
      <w:r>
        <w:rPr>
          <w:rFonts w:ascii="Times New Roman" w:hAnsi="Times New Roman" w:eastAsia="Times New Roman" w:cs="Times New Roman"/>
          <w:spacing w:val="27"/>
          <w:w w:val="101"/>
          <w:sz w:val="25"/>
          <w:szCs w:val="25"/>
        </w:rPr>
        <w:t xml:space="preserve"> </w:t>
      </w:r>
      <w:r>
        <w:rPr>
          <w:rFonts w:ascii="仿宋" w:hAnsi="仿宋" w:eastAsia="仿宋" w:cs="仿宋"/>
          <w:spacing w:val="5"/>
          <w:sz w:val="25"/>
          <w:szCs w:val="25"/>
        </w:rPr>
        <w:t>年）的通知》（渝府发〔</w:t>
      </w:r>
      <w:r>
        <w:rPr>
          <w:rFonts w:ascii="Times New Roman" w:hAnsi="Times New Roman" w:eastAsia="Times New Roman" w:cs="Times New Roman"/>
          <w:spacing w:val="5"/>
          <w:sz w:val="25"/>
          <w:szCs w:val="25"/>
        </w:rPr>
        <w:t>2021</w:t>
      </w:r>
      <w:r>
        <w:rPr>
          <w:rFonts w:ascii="仿宋" w:hAnsi="仿宋" w:eastAsia="仿宋" w:cs="仿宋"/>
          <w:spacing w:val="5"/>
          <w:sz w:val="25"/>
          <w:szCs w:val="25"/>
        </w:rPr>
        <w:t>〕</w:t>
      </w:r>
      <w:r>
        <w:rPr>
          <w:rFonts w:ascii="Times New Roman" w:hAnsi="Times New Roman" w:eastAsia="Times New Roman" w:cs="Times New Roman"/>
          <w:spacing w:val="5"/>
          <w:sz w:val="25"/>
          <w:szCs w:val="25"/>
        </w:rPr>
        <w:t>44</w:t>
      </w:r>
      <w:r>
        <w:rPr>
          <w:rFonts w:ascii="Times New Roman" w:hAnsi="Times New Roman" w:eastAsia="Times New Roman" w:cs="Times New Roman"/>
          <w:spacing w:val="28"/>
          <w:sz w:val="25"/>
          <w:szCs w:val="25"/>
        </w:rPr>
        <w:t xml:space="preserve"> </w:t>
      </w:r>
      <w:r>
        <w:rPr>
          <w:rFonts w:ascii="仿宋" w:hAnsi="仿宋" w:eastAsia="仿宋" w:cs="仿宋"/>
          <w:spacing w:val="5"/>
          <w:sz w:val="25"/>
          <w:szCs w:val="25"/>
        </w:rPr>
        <w:t>号</w:t>
      </w:r>
      <w:r>
        <w:rPr>
          <w:rFonts w:ascii="仿宋" w:hAnsi="仿宋" w:eastAsia="仿宋" w:cs="仿宋"/>
          <w:spacing w:val="4"/>
          <w:sz w:val="25"/>
          <w:szCs w:val="25"/>
        </w:rPr>
        <w:t>）；</w:t>
      </w:r>
    </w:p>
    <w:p w14:paraId="662BC640">
      <w:pPr>
        <w:spacing w:before="151" w:line="284" w:lineRule="auto"/>
        <w:ind w:left="11" w:firstLine="429"/>
        <w:rPr>
          <w:rFonts w:ascii="仿宋" w:hAnsi="仿宋" w:eastAsia="仿宋" w:cs="仿宋"/>
          <w:sz w:val="25"/>
          <w:szCs w:val="25"/>
        </w:rPr>
      </w:pPr>
      <w:r>
        <w:rPr>
          <w:rFonts w:ascii="仿宋" w:hAnsi="仿宋" w:eastAsia="仿宋" w:cs="仿宋"/>
          <w:spacing w:val="-8"/>
          <w:sz w:val="25"/>
          <w:szCs w:val="25"/>
        </w:rPr>
        <w:t>（</w:t>
      </w:r>
      <w:r>
        <w:rPr>
          <w:rFonts w:ascii="Times New Roman" w:hAnsi="Times New Roman" w:eastAsia="Times New Roman" w:cs="Times New Roman"/>
          <w:spacing w:val="-8"/>
          <w:sz w:val="25"/>
          <w:szCs w:val="25"/>
        </w:rPr>
        <w:t>34</w:t>
      </w:r>
      <w:r>
        <w:rPr>
          <w:rFonts w:ascii="仿宋" w:hAnsi="仿宋" w:eastAsia="仿宋" w:cs="仿宋"/>
          <w:spacing w:val="-8"/>
          <w:sz w:val="25"/>
          <w:szCs w:val="25"/>
        </w:rPr>
        <w:t>）《重庆市应对气候变化</w:t>
      </w:r>
      <w:r>
        <w:rPr>
          <w:rFonts w:ascii="Times New Roman" w:hAnsi="Times New Roman" w:eastAsia="Times New Roman" w:cs="Times New Roman"/>
          <w:spacing w:val="-8"/>
          <w:sz w:val="25"/>
          <w:szCs w:val="25"/>
        </w:rPr>
        <w:t>“</w:t>
      </w:r>
      <w:r>
        <w:rPr>
          <w:rFonts w:ascii="仿宋" w:hAnsi="仿宋" w:eastAsia="仿宋" w:cs="仿宋"/>
          <w:spacing w:val="-8"/>
          <w:sz w:val="25"/>
          <w:szCs w:val="25"/>
        </w:rPr>
        <w:t>十四五</w:t>
      </w:r>
      <w:r>
        <w:rPr>
          <w:rFonts w:ascii="Times New Roman" w:hAnsi="Times New Roman" w:eastAsia="Times New Roman" w:cs="Times New Roman"/>
          <w:spacing w:val="-8"/>
          <w:sz w:val="25"/>
          <w:szCs w:val="25"/>
        </w:rPr>
        <w:t>”</w:t>
      </w:r>
      <w:r>
        <w:rPr>
          <w:rFonts w:ascii="仿宋" w:hAnsi="仿宋" w:eastAsia="仿宋" w:cs="仿宋"/>
          <w:spacing w:val="-8"/>
          <w:sz w:val="25"/>
          <w:szCs w:val="25"/>
        </w:rPr>
        <w:t>规划（</w:t>
      </w:r>
      <w:r>
        <w:rPr>
          <w:rFonts w:ascii="Times New Roman" w:hAnsi="Times New Roman" w:eastAsia="Times New Roman" w:cs="Times New Roman"/>
          <w:spacing w:val="-8"/>
          <w:sz w:val="25"/>
          <w:szCs w:val="25"/>
        </w:rPr>
        <w:t>2021—2025</w:t>
      </w:r>
      <w:r>
        <w:rPr>
          <w:rFonts w:ascii="Times New Roman" w:hAnsi="Times New Roman" w:eastAsia="Times New Roman" w:cs="Times New Roman"/>
          <w:spacing w:val="43"/>
          <w:sz w:val="25"/>
          <w:szCs w:val="25"/>
        </w:rPr>
        <w:t xml:space="preserve"> </w:t>
      </w:r>
      <w:r>
        <w:rPr>
          <w:rFonts w:ascii="仿宋" w:hAnsi="仿宋" w:eastAsia="仿宋" w:cs="仿宋"/>
          <w:spacing w:val="-8"/>
          <w:sz w:val="25"/>
          <w:szCs w:val="25"/>
        </w:rPr>
        <w:t>年）》（渝环〔</w:t>
      </w:r>
      <w:r>
        <w:rPr>
          <w:rFonts w:ascii="Times New Roman" w:hAnsi="Times New Roman" w:eastAsia="Times New Roman" w:cs="Times New Roman"/>
          <w:spacing w:val="-8"/>
          <w:sz w:val="25"/>
          <w:szCs w:val="25"/>
        </w:rPr>
        <w:t>2022</w:t>
      </w:r>
      <w:r>
        <w:rPr>
          <w:rFonts w:ascii="仿宋" w:hAnsi="仿宋" w:eastAsia="仿宋" w:cs="仿宋"/>
          <w:spacing w:val="-8"/>
          <w:sz w:val="25"/>
          <w:szCs w:val="25"/>
        </w:rPr>
        <w:t>〕</w:t>
      </w:r>
      <w:r>
        <w:rPr>
          <w:rFonts w:ascii="仿宋" w:hAnsi="仿宋" w:eastAsia="仿宋" w:cs="仿宋"/>
          <w:sz w:val="25"/>
          <w:szCs w:val="25"/>
        </w:rPr>
        <w:t xml:space="preserve"> </w:t>
      </w:r>
      <w:r>
        <w:rPr>
          <w:rFonts w:ascii="Times New Roman" w:hAnsi="Times New Roman" w:eastAsia="Times New Roman" w:cs="Times New Roman"/>
          <w:spacing w:val="-6"/>
          <w:sz w:val="25"/>
          <w:szCs w:val="25"/>
        </w:rPr>
        <w:t>50</w:t>
      </w:r>
      <w:r>
        <w:rPr>
          <w:rFonts w:ascii="Times New Roman" w:hAnsi="Times New Roman" w:eastAsia="Times New Roman" w:cs="Times New Roman"/>
          <w:spacing w:val="28"/>
          <w:sz w:val="25"/>
          <w:szCs w:val="25"/>
        </w:rPr>
        <w:t xml:space="preserve"> </w:t>
      </w:r>
      <w:r>
        <w:rPr>
          <w:rFonts w:ascii="仿宋" w:hAnsi="仿宋" w:eastAsia="仿宋" w:cs="仿宋"/>
          <w:spacing w:val="-6"/>
          <w:sz w:val="25"/>
          <w:szCs w:val="25"/>
        </w:rPr>
        <w:t>号</w:t>
      </w:r>
      <w:r>
        <w:rPr>
          <w:rFonts w:ascii="仿宋" w:hAnsi="仿宋" w:eastAsia="仿宋" w:cs="仿宋"/>
          <w:sz w:val="25"/>
          <w:szCs w:val="25"/>
        </w:rPr>
        <w:t>）；</w:t>
      </w:r>
    </w:p>
    <w:p w14:paraId="3B6FF5CD">
      <w:pPr>
        <w:spacing w:before="150" w:line="285" w:lineRule="auto"/>
        <w:ind w:left="39" w:right="85" w:firstLine="401"/>
        <w:rPr>
          <w:rFonts w:ascii="仿宋" w:hAnsi="仿宋" w:eastAsia="仿宋" w:cs="仿宋"/>
          <w:sz w:val="25"/>
          <w:szCs w:val="25"/>
        </w:rPr>
      </w:pPr>
      <w:r>
        <w:rPr>
          <w:rFonts w:ascii="仿宋" w:hAnsi="仿宋" w:eastAsia="仿宋" w:cs="仿宋"/>
          <w:spacing w:val="9"/>
          <w:sz w:val="25"/>
          <w:szCs w:val="25"/>
        </w:rPr>
        <w:t>（</w:t>
      </w:r>
      <w:r>
        <w:rPr>
          <w:rFonts w:ascii="Times New Roman" w:hAnsi="Times New Roman" w:eastAsia="Times New Roman" w:cs="Times New Roman"/>
          <w:spacing w:val="9"/>
          <w:sz w:val="25"/>
          <w:szCs w:val="25"/>
        </w:rPr>
        <w:t>35</w:t>
      </w:r>
      <w:r>
        <w:rPr>
          <w:rFonts w:ascii="仿宋" w:hAnsi="仿宋" w:eastAsia="仿宋" w:cs="仿宋"/>
          <w:spacing w:val="9"/>
          <w:sz w:val="25"/>
          <w:szCs w:val="25"/>
        </w:rPr>
        <w:t>）《重庆市水生态环境保护</w:t>
      </w:r>
      <w:r>
        <w:rPr>
          <w:rFonts w:ascii="Times New Roman" w:hAnsi="Times New Roman" w:eastAsia="Times New Roman" w:cs="Times New Roman"/>
          <w:spacing w:val="9"/>
          <w:sz w:val="25"/>
          <w:szCs w:val="25"/>
        </w:rPr>
        <w:t>“</w:t>
      </w:r>
      <w:r>
        <w:rPr>
          <w:rFonts w:ascii="仿宋" w:hAnsi="仿宋" w:eastAsia="仿宋" w:cs="仿宋"/>
          <w:spacing w:val="9"/>
          <w:sz w:val="25"/>
          <w:szCs w:val="25"/>
        </w:rPr>
        <w:t>十四五</w:t>
      </w:r>
      <w:r>
        <w:rPr>
          <w:rFonts w:ascii="Times New Roman" w:hAnsi="Times New Roman" w:eastAsia="Times New Roman" w:cs="Times New Roman"/>
          <w:spacing w:val="9"/>
          <w:sz w:val="25"/>
          <w:szCs w:val="25"/>
        </w:rPr>
        <w:t>”</w:t>
      </w:r>
      <w:r>
        <w:rPr>
          <w:rFonts w:ascii="仿宋" w:hAnsi="仿宋" w:eastAsia="仿宋" w:cs="仿宋"/>
          <w:spacing w:val="9"/>
          <w:sz w:val="25"/>
          <w:szCs w:val="25"/>
        </w:rPr>
        <w:t>规划（</w:t>
      </w:r>
      <w:r>
        <w:rPr>
          <w:rFonts w:ascii="Times New Roman" w:hAnsi="Times New Roman" w:eastAsia="Times New Roman" w:cs="Times New Roman"/>
          <w:spacing w:val="9"/>
          <w:sz w:val="25"/>
          <w:szCs w:val="25"/>
        </w:rPr>
        <w:t>2021—2025</w:t>
      </w:r>
      <w:r>
        <w:rPr>
          <w:rFonts w:ascii="Times New Roman" w:hAnsi="Times New Roman" w:eastAsia="Times New Roman" w:cs="Times New Roman"/>
          <w:spacing w:val="27"/>
          <w:sz w:val="25"/>
          <w:szCs w:val="25"/>
        </w:rPr>
        <w:t xml:space="preserve"> </w:t>
      </w:r>
      <w:r>
        <w:rPr>
          <w:rFonts w:ascii="仿宋" w:hAnsi="仿宋" w:eastAsia="仿宋" w:cs="仿宋"/>
          <w:spacing w:val="9"/>
          <w:sz w:val="25"/>
          <w:szCs w:val="25"/>
        </w:rPr>
        <w:t>年</w:t>
      </w:r>
      <w:r>
        <w:rPr>
          <w:rFonts w:ascii="仿宋" w:hAnsi="仿宋" w:eastAsia="仿宋" w:cs="仿宋"/>
          <w:spacing w:val="8"/>
          <w:sz w:val="25"/>
          <w:szCs w:val="25"/>
        </w:rPr>
        <w:t>）》（渝环</w:t>
      </w:r>
      <w:r>
        <w:rPr>
          <w:rFonts w:ascii="仿宋" w:hAnsi="仿宋" w:eastAsia="仿宋" w:cs="仿宋"/>
          <w:sz w:val="25"/>
          <w:szCs w:val="25"/>
        </w:rPr>
        <w:t xml:space="preserve"> 函〔</w:t>
      </w:r>
      <w:r>
        <w:rPr>
          <w:rFonts w:ascii="Times New Roman" w:hAnsi="Times New Roman" w:eastAsia="Times New Roman" w:cs="Times New Roman"/>
          <w:sz w:val="25"/>
          <w:szCs w:val="25"/>
        </w:rPr>
        <w:t>2022</w:t>
      </w:r>
      <w:r>
        <w:rPr>
          <w:rFonts w:ascii="仿宋" w:hAnsi="仿宋" w:eastAsia="仿宋" w:cs="仿宋"/>
          <w:sz w:val="25"/>
          <w:szCs w:val="25"/>
        </w:rPr>
        <w:t>〕</w:t>
      </w:r>
      <w:r>
        <w:rPr>
          <w:rFonts w:ascii="Times New Roman" w:hAnsi="Times New Roman" w:eastAsia="Times New Roman" w:cs="Times New Roman"/>
          <w:sz w:val="25"/>
          <w:szCs w:val="25"/>
        </w:rPr>
        <w:t>347</w:t>
      </w:r>
      <w:r>
        <w:rPr>
          <w:rFonts w:ascii="Times New Roman" w:hAnsi="Times New Roman" w:eastAsia="Times New Roman" w:cs="Times New Roman"/>
          <w:spacing w:val="26"/>
          <w:sz w:val="25"/>
          <w:szCs w:val="25"/>
        </w:rPr>
        <w:t xml:space="preserve"> </w:t>
      </w:r>
      <w:r>
        <w:rPr>
          <w:rFonts w:ascii="仿宋" w:hAnsi="仿宋" w:eastAsia="仿宋" w:cs="仿宋"/>
          <w:sz w:val="25"/>
          <w:szCs w:val="25"/>
        </w:rPr>
        <w:t>号</w:t>
      </w:r>
      <w:r>
        <w:rPr>
          <w:rFonts w:ascii="仿宋" w:hAnsi="仿宋" w:eastAsia="仿宋" w:cs="仿宋"/>
          <w:spacing w:val="4"/>
          <w:sz w:val="25"/>
          <w:szCs w:val="25"/>
        </w:rPr>
        <w:t>）；</w:t>
      </w:r>
    </w:p>
    <w:p w14:paraId="47886525">
      <w:pPr>
        <w:spacing w:before="147" w:line="284" w:lineRule="auto"/>
        <w:ind w:left="15" w:right="82" w:firstLine="425"/>
        <w:rPr>
          <w:rFonts w:ascii="仿宋" w:hAnsi="仿宋" w:eastAsia="仿宋" w:cs="仿宋"/>
          <w:sz w:val="25"/>
          <w:szCs w:val="25"/>
        </w:rPr>
      </w:pPr>
      <w:r>
        <w:rPr>
          <w:rFonts w:ascii="仿宋" w:hAnsi="仿宋" w:eastAsia="仿宋" w:cs="仿宋"/>
          <w:spacing w:val="15"/>
          <w:sz w:val="25"/>
          <w:szCs w:val="25"/>
        </w:rPr>
        <w:t>（</w:t>
      </w:r>
      <w:r>
        <w:rPr>
          <w:rFonts w:ascii="Times New Roman" w:hAnsi="Times New Roman" w:eastAsia="Times New Roman" w:cs="Times New Roman"/>
          <w:spacing w:val="15"/>
          <w:sz w:val="25"/>
          <w:szCs w:val="25"/>
        </w:rPr>
        <w:t>36</w:t>
      </w:r>
      <w:r>
        <w:rPr>
          <w:rFonts w:ascii="仿宋" w:hAnsi="仿宋" w:eastAsia="仿宋" w:cs="仿宋"/>
          <w:spacing w:val="15"/>
          <w:sz w:val="25"/>
          <w:szCs w:val="25"/>
        </w:rPr>
        <w:t>）《重庆市生态环境局</w:t>
      </w:r>
      <w:r>
        <w:rPr>
          <w:rFonts w:ascii="仿宋" w:hAnsi="仿宋" w:eastAsia="仿宋" w:cs="仿宋"/>
          <w:spacing w:val="47"/>
          <w:sz w:val="25"/>
          <w:szCs w:val="25"/>
        </w:rPr>
        <w:t xml:space="preserve"> </w:t>
      </w:r>
      <w:r>
        <w:rPr>
          <w:rFonts w:ascii="仿宋" w:hAnsi="仿宋" w:eastAsia="仿宋" w:cs="仿宋"/>
          <w:spacing w:val="15"/>
          <w:sz w:val="25"/>
          <w:szCs w:val="25"/>
        </w:rPr>
        <w:t>重庆市规划和自然资源局关于进一步加强建</w:t>
      </w:r>
      <w:r>
        <w:rPr>
          <w:rFonts w:ascii="仿宋" w:hAnsi="仿宋" w:eastAsia="仿宋" w:cs="仿宋"/>
          <w:sz w:val="25"/>
          <w:szCs w:val="25"/>
        </w:rPr>
        <w:t xml:space="preserve"> </w:t>
      </w:r>
      <w:r>
        <w:rPr>
          <w:rFonts w:ascii="仿宋" w:hAnsi="仿宋" w:eastAsia="仿宋" w:cs="仿宋"/>
          <w:spacing w:val="7"/>
          <w:sz w:val="25"/>
          <w:szCs w:val="25"/>
        </w:rPr>
        <w:t>设用地土壤污染分类分级管理工作的通知》（渝环〔</w:t>
      </w:r>
      <w:r>
        <w:rPr>
          <w:rFonts w:ascii="Times New Roman" w:hAnsi="Times New Roman" w:eastAsia="Times New Roman" w:cs="Times New Roman"/>
          <w:spacing w:val="7"/>
          <w:sz w:val="25"/>
          <w:szCs w:val="25"/>
        </w:rPr>
        <w:t>2021</w:t>
      </w:r>
      <w:r>
        <w:rPr>
          <w:rFonts w:ascii="仿宋" w:hAnsi="仿宋" w:eastAsia="仿宋" w:cs="仿宋"/>
          <w:spacing w:val="7"/>
          <w:sz w:val="25"/>
          <w:szCs w:val="25"/>
        </w:rPr>
        <w:t>〕</w:t>
      </w:r>
      <w:r>
        <w:rPr>
          <w:rFonts w:ascii="Times New Roman" w:hAnsi="Times New Roman" w:eastAsia="Times New Roman" w:cs="Times New Roman"/>
          <w:spacing w:val="7"/>
          <w:sz w:val="25"/>
          <w:szCs w:val="25"/>
        </w:rPr>
        <w:t>102</w:t>
      </w:r>
      <w:r>
        <w:rPr>
          <w:rFonts w:ascii="Times New Roman" w:hAnsi="Times New Roman" w:eastAsia="Times New Roman" w:cs="Times New Roman"/>
          <w:spacing w:val="26"/>
          <w:sz w:val="25"/>
          <w:szCs w:val="25"/>
        </w:rPr>
        <w:t xml:space="preserve"> </w:t>
      </w:r>
      <w:r>
        <w:rPr>
          <w:rFonts w:ascii="仿宋" w:hAnsi="仿宋" w:eastAsia="仿宋" w:cs="仿宋"/>
          <w:spacing w:val="7"/>
          <w:sz w:val="25"/>
          <w:szCs w:val="25"/>
        </w:rPr>
        <w:t>号</w:t>
      </w:r>
      <w:r>
        <w:rPr>
          <w:rFonts w:ascii="仿宋" w:hAnsi="仿宋" w:eastAsia="仿宋" w:cs="仿宋"/>
          <w:spacing w:val="9"/>
          <w:sz w:val="25"/>
          <w:szCs w:val="25"/>
        </w:rPr>
        <w:t>）；</w:t>
      </w:r>
    </w:p>
    <w:p w14:paraId="76C52943">
      <w:pPr>
        <w:spacing w:before="154" w:line="283" w:lineRule="auto"/>
        <w:ind w:left="31" w:right="82" w:firstLine="409"/>
        <w:rPr>
          <w:rFonts w:ascii="仿宋" w:hAnsi="仿宋" w:eastAsia="仿宋" w:cs="仿宋"/>
          <w:sz w:val="25"/>
          <w:szCs w:val="25"/>
        </w:rPr>
      </w:pPr>
      <w:r>
        <w:rPr>
          <w:rFonts w:ascii="仿宋" w:hAnsi="仿宋" w:eastAsia="仿宋" w:cs="仿宋"/>
          <w:spacing w:val="12"/>
          <w:sz w:val="25"/>
          <w:szCs w:val="25"/>
        </w:rPr>
        <w:t>（</w:t>
      </w:r>
      <w:r>
        <w:rPr>
          <w:rFonts w:ascii="Times New Roman" w:hAnsi="Times New Roman" w:eastAsia="Times New Roman" w:cs="Times New Roman"/>
          <w:spacing w:val="12"/>
          <w:sz w:val="25"/>
          <w:szCs w:val="25"/>
        </w:rPr>
        <w:t>37</w:t>
      </w:r>
      <w:r>
        <w:rPr>
          <w:rFonts w:ascii="仿宋" w:hAnsi="仿宋" w:eastAsia="仿宋" w:cs="仿宋"/>
          <w:spacing w:val="12"/>
          <w:sz w:val="25"/>
          <w:szCs w:val="25"/>
        </w:rPr>
        <w:t>）《重庆市规划和自然资源局关于进一步加强占用永久基本农田管理</w:t>
      </w:r>
      <w:r>
        <w:rPr>
          <w:rFonts w:ascii="仿宋" w:hAnsi="仿宋" w:eastAsia="仿宋" w:cs="仿宋"/>
          <w:spacing w:val="5"/>
          <w:sz w:val="25"/>
          <w:szCs w:val="25"/>
        </w:rPr>
        <w:t xml:space="preserve"> 的通知》（渝规资规范〔</w:t>
      </w:r>
      <w:r>
        <w:rPr>
          <w:rFonts w:ascii="Times New Roman" w:hAnsi="Times New Roman" w:eastAsia="Times New Roman" w:cs="Times New Roman"/>
          <w:spacing w:val="5"/>
          <w:sz w:val="25"/>
          <w:szCs w:val="25"/>
        </w:rPr>
        <w:t>2020</w:t>
      </w:r>
      <w:r>
        <w:rPr>
          <w:rFonts w:ascii="仿宋" w:hAnsi="仿宋" w:eastAsia="仿宋" w:cs="仿宋"/>
          <w:spacing w:val="5"/>
          <w:sz w:val="25"/>
          <w:szCs w:val="25"/>
        </w:rPr>
        <w:t>〕</w:t>
      </w:r>
      <w:r>
        <w:rPr>
          <w:rFonts w:ascii="Times New Roman" w:hAnsi="Times New Roman" w:eastAsia="Times New Roman" w:cs="Times New Roman"/>
          <w:spacing w:val="5"/>
          <w:sz w:val="25"/>
          <w:szCs w:val="25"/>
        </w:rPr>
        <w:t>9</w:t>
      </w:r>
      <w:r>
        <w:rPr>
          <w:rFonts w:ascii="Times New Roman" w:hAnsi="Times New Roman" w:eastAsia="Times New Roman" w:cs="Times New Roman"/>
          <w:spacing w:val="27"/>
          <w:sz w:val="25"/>
          <w:szCs w:val="25"/>
        </w:rPr>
        <w:t xml:space="preserve"> </w:t>
      </w:r>
      <w:r>
        <w:rPr>
          <w:rFonts w:ascii="仿宋" w:hAnsi="仿宋" w:eastAsia="仿宋" w:cs="仿宋"/>
          <w:spacing w:val="5"/>
          <w:sz w:val="25"/>
          <w:szCs w:val="25"/>
        </w:rPr>
        <w:t>号</w:t>
      </w:r>
      <w:r>
        <w:rPr>
          <w:rFonts w:ascii="仿宋" w:hAnsi="仿宋" w:eastAsia="仿宋" w:cs="仿宋"/>
          <w:spacing w:val="3"/>
          <w:sz w:val="25"/>
          <w:szCs w:val="25"/>
        </w:rPr>
        <w:t>）；</w:t>
      </w:r>
    </w:p>
    <w:p w14:paraId="36C47D34">
      <w:pPr>
        <w:spacing w:before="153" w:line="284" w:lineRule="auto"/>
        <w:ind w:left="17" w:right="82" w:firstLine="423"/>
        <w:rPr>
          <w:rFonts w:ascii="仿宋" w:hAnsi="仿宋" w:eastAsia="仿宋" w:cs="仿宋"/>
          <w:sz w:val="25"/>
          <w:szCs w:val="25"/>
        </w:rPr>
      </w:pPr>
      <w:r>
        <w:rPr>
          <w:rFonts w:ascii="仿宋" w:hAnsi="仿宋" w:eastAsia="仿宋" w:cs="仿宋"/>
          <w:spacing w:val="15"/>
          <w:sz w:val="25"/>
          <w:szCs w:val="25"/>
        </w:rPr>
        <w:t>（</w:t>
      </w:r>
      <w:r>
        <w:rPr>
          <w:rFonts w:ascii="Times New Roman" w:hAnsi="Times New Roman" w:eastAsia="Times New Roman" w:cs="Times New Roman"/>
          <w:spacing w:val="15"/>
          <w:sz w:val="25"/>
          <w:szCs w:val="25"/>
        </w:rPr>
        <w:t>38</w:t>
      </w:r>
      <w:r>
        <w:rPr>
          <w:rFonts w:ascii="仿宋" w:hAnsi="仿宋" w:eastAsia="仿宋" w:cs="仿宋"/>
          <w:spacing w:val="15"/>
          <w:sz w:val="25"/>
          <w:szCs w:val="25"/>
        </w:rPr>
        <w:t>）《重庆市黔江区人民政府办公室</w:t>
      </w:r>
      <w:r>
        <w:rPr>
          <w:rFonts w:ascii="仿宋" w:hAnsi="仿宋" w:eastAsia="仿宋" w:cs="仿宋"/>
          <w:spacing w:val="46"/>
          <w:sz w:val="25"/>
          <w:szCs w:val="25"/>
        </w:rPr>
        <w:t xml:space="preserve"> </w:t>
      </w:r>
      <w:r>
        <w:rPr>
          <w:rFonts w:ascii="仿宋" w:hAnsi="仿宋" w:eastAsia="仿宋" w:cs="仿宋"/>
          <w:spacing w:val="15"/>
          <w:sz w:val="25"/>
          <w:szCs w:val="25"/>
        </w:rPr>
        <w:t>关于印发黔江区噪声敏感建筑物</w:t>
      </w:r>
      <w:r>
        <w:rPr>
          <w:rFonts w:ascii="仿宋" w:hAnsi="仿宋" w:eastAsia="仿宋" w:cs="仿宋"/>
          <w:sz w:val="25"/>
          <w:szCs w:val="25"/>
        </w:rPr>
        <w:t xml:space="preserve"> </w:t>
      </w:r>
      <w:r>
        <w:rPr>
          <w:rFonts w:ascii="仿宋" w:hAnsi="仿宋" w:eastAsia="仿宋" w:cs="仿宋"/>
          <w:spacing w:val="7"/>
          <w:sz w:val="25"/>
          <w:szCs w:val="25"/>
        </w:rPr>
        <w:t>集中区域划分方案的通知》（黔江府办发〔</w:t>
      </w:r>
      <w:r>
        <w:rPr>
          <w:rFonts w:ascii="Times New Roman" w:hAnsi="Times New Roman" w:eastAsia="Times New Roman" w:cs="Times New Roman"/>
          <w:spacing w:val="7"/>
          <w:sz w:val="25"/>
          <w:szCs w:val="25"/>
        </w:rPr>
        <w:t>2024</w:t>
      </w:r>
      <w:r>
        <w:rPr>
          <w:rFonts w:ascii="仿宋" w:hAnsi="仿宋" w:eastAsia="仿宋" w:cs="仿宋"/>
          <w:spacing w:val="7"/>
          <w:sz w:val="25"/>
          <w:szCs w:val="25"/>
        </w:rPr>
        <w:t>〕</w:t>
      </w:r>
      <w:r>
        <w:rPr>
          <w:rFonts w:ascii="Times New Roman" w:hAnsi="Times New Roman" w:eastAsia="Times New Roman" w:cs="Times New Roman"/>
          <w:spacing w:val="7"/>
          <w:sz w:val="25"/>
          <w:szCs w:val="25"/>
        </w:rPr>
        <w:t>60</w:t>
      </w:r>
      <w:r>
        <w:rPr>
          <w:rFonts w:ascii="Times New Roman" w:hAnsi="Times New Roman" w:eastAsia="Times New Roman" w:cs="Times New Roman"/>
          <w:spacing w:val="25"/>
          <w:w w:val="101"/>
          <w:sz w:val="25"/>
          <w:szCs w:val="25"/>
        </w:rPr>
        <w:t xml:space="preserve"> </w:t>
      </w:r>
      <w:r>
        <w:rPr>
          <w:rFonts w:ascii="仿宋" w:hAnsi="仿宋" w:eastAsia="仿宋" w:cs="仿宋"/>
          <w:spacing w:val="7"/>
          <w:sz w:val="25"/>
          <w:szCs w:val="25"/>
        </w:rPr>
        <w:t>号</w:t>
      </w:r>
      <w:r>
        <w:rPr>
          <w:rFonts w:ascii="仿宋" w:hAnsi="仿宋" w:eastAsia="仿宋" w:cs="仿宋"/>
          <w:spacing w:val="4"/>
          <w:sz w:val="25"/>
          <w:szCs w:val="25"/>
        </w:rPr>
        <w:t>）；</w:t>
      </w:r>
    </w:p>
    <w:p w14:paraId="16F4E1A5">
      <w:pPr>
        <w:spacing w:before="148" w:line="285" w:lineRule="auto"/>
        <w:ind w:left="22" w:right="82" w:firstLine="418"/>
        <w:rPr>
          <w:rFonts w:ascii="仿宋" w:hAnsi="仿宋" w:eastAsia="仿宋" w:cs="仿宋"/>
          <w:sz w:val="25"/>
          <w:szCs w:val="25"/>
        </w:rPr>
      </w:pPr>
      <w:r>
        <w:rPr>
          <w:rFonts w:ascii="仿宋" w:hAnsi="仿宋" w:eastAsia="仿宋" w:cs="仿宋"/>
          <w:spacing w:val="10"/>
          <w:sz w:val="25"/>
          <w:szCs w:val="25"/>
        </w:rPr>
        <w:t>（</w:t>
      </w:r>
      <w:r>
        <w:rPr>
          <w:rFonts w:ascii="Times New Roman" w:hAnsi="Times New Roman" w:eastAsia="Times New Roman" w:cs="Times New Roman"/>
          <w:spacing w:val="10"/>
          <w:sz w:val="25"/>
          <w:szCs w:val="25"/>
        </w:rPr>
        <w:t>39</w:t>
      </w:r>
      <w:r>
        <w:rPr>
          <w:rFonts w:ascii="仿宋" w:hAnsi="仿宋" w:eastAsia="仿宋" w:cs="仿宋"/>
          <w:spacing w:val="10"/>
          <w:sz w:val="25"/>
          <w:szCs w:val="25"/>
        </w:rPr>
        <w:t>）《重庆市深入打好污染防治攻坚战实施方案》</w:t>
      </w:r>
      <w:r>
        <w:rPr>
          <w:rFonts w:ascii="仿宋" w:hAnsi="仿宋" w:eastAsia="仿宋" w:cs="仿宋"/>
          <w:spacing w:val="-84"/>
          <w:sz w:val="25"/>
          <w:szCs w:val="25"/>
        </w:rPr>
        <w:t xml:space="preserve"> </w:t>
      </w:r>
      <w:r>
        <w:rPr>
          <w:rFonts w:ascii="仿宋" w:hAnsi="仿宋" w:eastAsia="仿宋" w:cs="仿宋"/>
          <w:spacing w:val="10"/>
          <w:sz w:val="25"/>
          <w:szCs w:val="25"/>
        </w:rPr>
        <w:t>（渝委发〔</w:t>
      </w:r>
      <w:r>
        <w:rPr>
          <w:rFonts w:ascii="Times New Roman" w:hAnsi="Times New Roman" w:eastAsia="Times New Roman" w:cs="Times New Roman"/>
          <w:spacing w:val="10"/>
          <w:sz w:val="25"/>
          <w:szCs w:val="25"/>
        </w:rPr>
        <w:t>2022</w:t>
      </w:r>
      <w:r>
        <w:rPr>
          <w:rFonts w:ascii="仿宋" w:hAnsi="仿宋" w:eastAsia="仿宋" w:cs="仿宋"/>
          <w:spacing w:val="10"/>
          <w:sz w:val="25"/>
          <w:szCs w:val="25"/>
        </w:rPr>
        <w:t>〕</w:t>
      </w:r>
      <w:r>
        <w:rPr>
          <w:rFonts w:ascii="Times New Roman" w:hAnsi="Times New Roman" w:eastAsia="Times New Roman" w:cs="Times New Roman"/>
          <w:spacing w:val="10"/>
          <w:sz w:val="25"/>
          <w:szCs w:val="25"/>
        </w:rPr>
        <w:t>17</w:t>
      </w:r>
      <w:r>
        <w:rPr>
          <w:rFonts w:ascii="Times New Roman" w:hAnsi="Times New Roman" w:eastAsia="Times New Roman" w:cs="Times New Roman"/>
          <w:sz w:val="25"/>
          <w:szCs w:val="25"/>
        </w:rPr>
        <w:t xml:space="preserve"> </w:t>
      </w:r>
      <w:r>
        <w:rPr>
          <w:rFonts w:ascii="仿宋" w:hAnsi="仿宋" w:eastAsia="仿宋" w:cs="仿宋"/>
          <w:spacing w:val="-15"/>
          <w:sz w:val="25"/>
          <w:szCs w:val="25"/>
        </w:rPr>
        <w:t>号</w:t>
      </w:r>
      <w:r>
        <w:rPr>
          <w:rFonts w:ascii="仿宋" w:hAnsi="仿宋" w:eastAsia="仿宋" w:cs="仿宋"/>
          <w:sz w:val="25"/>
          <w:szCs w:val="25"/>
        </w:rPr>
        <w:t>）；</w:t>
      </w:r>
    </w:p>
    <w:p w14:paraId="41EEF5E1">
      <w:pPr>
        <w:spacing w:before="150" w:line="284" w:lineRule="auto"/>
        <w:ind w:left="22" w:right="82" w:firstLine="418"/>
        <w:rPr>
          <w:rFonts w:ascii="仿宋" w:hAnsi="仿宋" w:eastAsia="仿宋" w:cs="仿宋"/>
          <w:sz w:val="25"/>
          <w:szCs w:val="25"/>
        </w:rPr>
      </w:pPr>
      <w:r>
        <w:rPr>
          <w:rFonts w:ascii="仿宋" w:hAnsi="仿宋" w:eastAsia="仿宋" w:cs="仿宋"/>
          <w:spacing w:val="5"/>
          <w:sz w:val="25"/>
          <w:szCs w:val="25"/>
        </w:rPr>
        <w:t>（</w:t>
      </w:r>
      <w:r>
        <w:rPr>
          <w:rFonts w:ascii="Times New Roman" w:hAnsi="Times New Roman" w:eastAsia="Times New Roman" w:cs="Times New Roman"/>
          <w:spacing w:val="5"/>
          <w:sz w:val="25"/>
          <w:szCs w:val="25"/>
        </w:rPr>
        <w:t>40</w:t>
      </w:r>
      <w:r>
        <w:rPr>
          <w:rFonts w:ascii="仿宋" w:hAnsi="仿宋" w:eastAsia="仿宋" w:cs="仿宋"/>
          <w:spacing w:val="5"/>
          <w:sz w:val="25"/>
          <w:szCs w:val="25"/>
        </w:rPr>
        <w:t>）《重庆市</w:t>
      </w:r>
      <w:r>
        <w:rPr>
          <w:rFonts w:ascii="Times New Roman" w:hAnsi="Times New Roman" w:eastAsia="Times New Roman" w:cs="Times New Roman"/>
          <w:spacing w:val="5"/>
          <w:sz w:val="25"/>
          <w:szCs w:val="25"/>
        </w:rPr>
        <w:t>“</w:t>
      </w:r>
      <w:r>
        <w:rPr>
          <w:rFonts w:ascii="仿宋" w:hAnsi="仿宋" w:eastAsia="仿宋" w:cs="仿宋"/>
          <w:spacing w:val="5"/>
          <w:sz w:val="25"/>
          <w:szCs w:val="25"/>
        </w:rPr>
        <w:t>十四五</w:t>
      </w:r>
      <w:r>
        <w:rPr>
          <w:rFonts w:ascii="Times New Roman" w:hAnsi="Times New Roman" w:eastAsia="Times New Roman" w:cs="Times New Roman"/>
          <w:spacing w:val="5"/>
          <w:sz w:val="25"/>
          <w:szCs w:val="25"/>
        </w:rPr>
        <w:t>”</w:t>
      </w:r>
      <w:r>
        <w:rPr>
          <w:rFonts w:ascii="仿宋" w:hAnsi="仿宋" w:eastAsia="仿宋" w:cs="仿宋"/>
          <w:spacing w:val="5"/>
          <w:sz w:val="25"/>
          <w:szCs w:val="25"/>
        </w:rPr>
        <w:t>节能减排综合工作实施方案》（</w:t>
      </w:r>
      <w:r>
        <w:rPr>
          <w:rFonts w:ascii="仿宋" w:hAnsi="仿宋" w:eastAsia="仿宋" w:cs="仿宋"/>
          <w:spacing w:val="4"/>
          <w:sz w:val="25"/>
          <w:szCs w:val="25"/>
        </w:rPr>
        <w:t>渝府发〔</w:t>
      </w:r>
      <w:r>
        <w:rPr>
          <w:rFonts w:ascii="Times New Roman" w:hAnsi="Times New Roman" w:eastAsia="Times New Roman" w:cs="Times New Roman"/>
          <w:spacing w:val="4"/>
          <w:sz w:val="25"/>
          <w:szCs w:val="25"/>
        </w:rPr>
        <w:t>2022</w:t>
      </w:r>
      <w:r>
        <w:rPr>
          <w:rFonts w:ascii="仿宋" w:hAnsi="仿宋" w:eastAsia="仿宋" w:cs="仿宋"/>
          <w:spacing w:val="4"/>
          <w:sz w:val="25"/>
          <w:szCs w:val="25"/>
        </w:rPr>
        <w:t>〕</w:t>
      </w:r>
      <w:r>
        <w:rPr>
          <w:rFonts w:ascii="Times New Roman" w:hAnsi="Times New Roman" w:eastAsia="Times New Roman" w:cs="Times New Roman"/>
          <w:spacing w:val="4"/>
          <w:sz w:val="25"/>
          <w:szCs w:val="25"/>
        </w:rPr>
        <w:t>39</w:t>
      </w:r>
      <w:r>
        <w:rPr>
          <w:rFonts w:ascii="Times New Roman" w:hAnsi="Times New Roman" w:eastAsia="Times New Roman" w:cs="Times New Roman"/>
          <w:sz w:val="25"/>
          <w:szCs w:val="25"/>
        </w:rPr>
        <w:t xml:space="preserve"> </w:t>
      </w:r>
      <w:r>
        <w:rPr>
          <w:rFonts w:ascii="仿宋" w:hAnsi="仿宋" w:eastAsia="仿宋" w:cs="仿宋"/>
          <w:spacing w:val="-15"/>
          <w:sz w:val="25"/>
          <w:szCs w:val="25"/>
        </w:rPr>
        <w:t>号</w:t>
      </w:r>
      <w:r>
        <w:rPr>
          <w:rFonts w:ascii="仿宋" w:hAnsi="仿宋" w:eastAsia="仿宋" w:cs="仿宋"/>
          <w:spacing w:val="5"/>
          <w:sz w:val="25"/>
          <w:szCs w:val="25"/>
        </w:rPr>
        <w:t>））；</w:t>
      </w:r>
    </w:p>
    <w:p w14:paraId="4B333E55">
      <w:pPr>
        <w:spacing w:before="150" w:line="285" w:lineRule="auto"/>
        <w:ind w:left="21" w:right="82" w:firstLine="419"/>
        <w:rPr>
          <w:rFonts w:ascii="仿宋" w:hAnsi="仿宋" w:eastAsia="仿宋" w:cs="仿宋"/>
          <w:sz w:val="25"/>
          <w:szCs w:val="25"/>
        </w:rPr>
      </w:pPr>
      <w:r>
        <w:rPr>
          <w:rFonts w:ascii="仿宋" w:hAnsi="仿宋" w:eastAsia="仿宋" w:cs="仿宋"/>
          <w:spacing w:val="11"/>
          <w:sz w:val="25"/>
          <w:szCs w:val="25"/>
        </w:rPr>
        <w:t>（</w:t>
      </w:r>
      <w:r>
        <w:rPr>
          <w:rFonts w:ascii="Times New Roman" w:hAnsi="Times New Roman" w:eastAsia="Times New Roman" w:cs="Times New Roman"/>
          <w:spacing w:val="11"/>
          <w:sz w:val="25"/>
          <w:szCs w:val="25"/>
        </w:rPr>
        <w:t>41</w:t>
      </w:r>
      <w:r>
        <w:rPr>
          <w:rFonts w:ascii="仿宋" w:hAnsi="仿宋" w:eastAsia="仿宋" w:cs="仿宋"/>
          <w:spacing w:val="11"/>
          <w:sz w:val="25"/>
          <w:szCs w:val="25"/>
        </w:rPr>
        <w:t>）《四川省、重庆市长江经济带发展负面清单实施细则（试行，</w:t>
      </w:r>
      <w:r>
        <w:rPr>
          <w:rFonts w:ascii="Times New Roman" w:hAnsi="Times New Roman" w:eastAsia="Times New Roman" w:cs="Times New Roman"/>
          <w:spacing w:val="11"/>
          <w:sz w:val="25"/>
          <w:szCs w:val="25"/>
        </w:rPr>
        <w:t>2022</w:t>
      </w:r>
      <w:r>
        <w:rPr>
          <w:rFonts w:ascii="Times New Roman" w:hAnsi="Times New Roman" w:eastAsia="Times New Roman" w:cs="Times New Roman"/>
          <w:spacing w:val="16"/>
          <w:sz w:val="25"/>
          <w:szCs w:val="25"/>
        </w:rPr>
        <w:t xml:space="preserve"> </w:t>
      </w:r>
      <w:r>
        <w:rPr>
          <w:rFonts w:ascii="仿宋" w:hAnsi="仿宋" w:eastAsia="仿宋" w:cs="仿宋"/>
          <w:spacing w:val="5"/>
          <w:sz w:val="25"/>
          <w:szCs w:val="25"/>
        </w:rPr>
        <w:t>年版）》（川长江办〔</w:t>
      </w:r>
      <w:r>
        <w:rPr>
          <w:rFonts w:ascii="Times New Roman" w:hAnsi="Times New Roman" w:eastAsia="Times New Roman" w:cs="Times New Roman"/>
          <w:spacing w:val="5"/>
          <w:sz w:val="25"/>
          <w:szCs w:val="25"/>
        </w:rPr>
        <w:t>2022</w:t>
      </w:r>
      <w:r>
        <w:rPr>
          <w:rFonts w:ascii="仿宋" w:hAnsi="仿宋" w:eastAsia="仿宋" w:cs="仿宋"/>
          <w:spacing w:val="5"/>
          <w:sz w:val="25"/>
          <w:szCs w:val="25"/>
        </w:rPr>
        <w:t>〕</w:t>
      </w:r>
      <w:r>
        <w:rPr>
          <w:rFonts w:ascii="Times New Roman" w:hAnsi="Times New Roman" w:eastAsia="Times New Roman" w:cs="Times New Roman"/>
          <w:spacing w:val="5"/>
          <w:sz w:val="25"/>
          <w:szCs w:val="25"/>
        </w:rPr>
        <w:t>17</w:t>
      </w:r>
      <w:r>
        <w:rPr>
          <w:rFonts w:ascii="Times New Roman" w:hAnsi="Times New Roman" w:eastAsia="Times New Roman" w:cs="Times New Roman"/>
          <w:spacing w:val="26"/>
          <w:w w:val="101"/>
          <w:sz w:val="25"/>
          <w:szCs w:val="25"/>
        </w:rPr>
        <w:t xml:space="preserve"> </w:t>
      </w:r>
      <w:r>
        <w:rPr>
          <w:rFonts w:ascii="仿宋" w:hAnsi="仿宋" w:eastAsia="仿宋" w:cs="仿宋"/>
          <w:spacing w:val="5"/>
          <w:sz w:val="25"/>
          <w:szCs w:val="25"/>
        </w:rPr>
        <w:t>号</w:t>
      </w:r>
      <w:r>
        <w:rPr>
          <w:rFonts w:ascii="仿宋" w:hAnsi="仿宋" w:eastAsia="仿宋" w:cs="仿宋"/>
          <w:spacing w:val="6"/>
          <w:sz w:val="25"/>
          <w:szCs w:val="25"/>
        </w:rPr>
        <w:t>）；</w:t>
      </w:r>
    </w:p>
    <w:p w14:paraId="79EE6AE1">
      <w:pPr>
        <w:spacing w:before="148" w:line="228" w:lineRule="auto"/>
        <w:ind w:left="440"/>
        <w:rPr>
          <w:rFonts w:ascii="仿宋" w:hAnsi="仿宋" w:eastAsia="仿宋" w:cs="仿宋"/>
          <w:sz w:val="25"/>
          <w:szCs w:val="25"/>
        </w:rPr>
      </w:pPr>
      <w:r>
        <w:rPr>
          <w:rFonts w:ascii="仿宋" w:hAnsi="仿宋" w:eastAsia="仿宋" w:cs="仿宋"/>
          <w:spacing w:val="13"/>
          <w:sz w:val="25"/>
          <w:szCs w:val="25"/>
        </w:rPr>
        <w:t>（</w:t>
      </w:r>
      <w:r>
        <w:rPr>
          <w:rFonts w:ascii="Times New Roman" w:hAnsi="Times New Roman" w:eastAsia="Times New Roman" w:cs="Times New Roman"/>
          <w:spacing w:val="13"/>
          <w:sz w:val="25"/>
          <w:szCs w:val="25"/>
        </w:rPr>
        <w:t>42</w:t>
      </w:r>
      <w:r>
        <w:rPr>
          <w:rFonts w:ascii="仿宋" w:hAnsi="仿宋" w:eastAsia="仿宋" w:cs="仿宋"/>
          <w:spacing w:val="13"/>
          <w:sz w:val="25"/>
          <w:szCs w:val="25"/>
        </w:rPr>
        <w:t>）《重庆市生态环境局关于印发重庆市</w:t>
      </w:r>
      <w:r>
        <w:rPr>
          <w:rFonts w:ascii="Times New Roman" w:hAnsi="Times New Roman" w:eastAsia="Times New Roman" w:cs="Times New Roman"/>
          <w:spacing w:val="13"/>
          <w:sz w:val="25"/>
          <w:szCs w:val="25"/>
        </w:rPr>
        <w:t>“</w:t>
      </w:r>
      <w:r>
        <w:rPr>
          <w:rFonts w:ascii="仿宋" w:hAnsi="仿宋" w:eastAsia="仿宋" w:cs="仿宋"/>
          <w:spacing w:val="12"/>
          <w:sz w:val="25"/>
          <w:szCs w:val="25"/>
        </w:rPr>
        <w:t>三线一单</w:t>
      </w:r>
      <w:r>
        <w:rPr>
          <w:rFonts w:ascii="Times New Roman" w:hAnsi="Times New Roman" w:eastAsia="Times New Roman" w:cs="Times New Roman"/>
          <w:spacing w:val="12"/>
          <w:sz w:val="25"/>
          <w:szCs w:val="25"/>
        </w:rPr>
        <w:t>”</w:t>
      </w:r>
      <w:r>
        <w:rPr>
          <w:rFonts w:ascii="仿宋" w:hAnsi="仿宋" w:eastAsia="仿宋" w:cs="仿宋"/>
          <w:spacing w:val="12"/>
          <w:sz w:val="25"/>
          <w:szCs w:val="25"/>
        </w:rPr>
        <w:t>生态环境分区管控</w:t>
      </w:r>
    </w:p>
    <w:p w14:paraId="2DBAA9C9">
      <w:pPr>
        <w:spacing w:line="228" w:lineRule="auto"/>
        <w:rPr>
          <w:rFonts w:ascii="仿宋" w:hAnsi="仿宋" w:eastAsia="仿宋" w:cs="仿宋"/>
          <w:sz w:val="25"/>
          <w:szCs w:val="25"/>
        </w:rPr>
        <w:sectPr>
          <w:footerReference r:id="rId26" w:type="default"/>
          <w:pgSz w:w="11906" w:h="16839"/>
          <w:pgMar w:top="1116" w:right="1393" w:bottom="1480" w:left="1587" w:header="683" w:footer="1318" w:gutter="0"/>
          <w:cols w:space="720" w:num="1"/>
        </w:sectPr>
      </w:pPr>
    </w:p>
    <w:p w14:paraId="41451645">
      <w:pPr>
        <w:pStyle w:val="2"/>
        <w:spacing w:line="386" w:lineRule="auto"/>
      </w:pPr>
    </w:p>
    <w:p w14:paraId="37D8DCF9">
      <w:pPr>
        <w:spacing w:before="81" w:line="228" w:lineRule="auto"/>
        <w:ind w:left="16"/>
        <w:rPr>
          <w:rFonts w:ascii="仿宋" w:hAnsi="仿宋" w:eastAsia="仿宋" w:cs="仿宋"/>
          <w:sz w:val="25"/>
          <w:szCs w:val="25"/>
        </w:rPr>
      </w:pPr>
      <w:r>
        <w:rPr>
          <w:rFonts w:ascii="仿宋" w:hAnsi="仿宋" w:eastAsia="仿宋" w:cs="仿宋"/>
          <w:spacing w:val="6"/>
          <w:sz w:val="25"/>
          <w:szCs w:val="25"/>
        </w:rPr>
        <w:t>调整方案（</w:t>
      </w:r>
      <w:r>
        <w:rPr>
          <w:rFonts w:ascii="Times New Roman" w:hAnsi="Times New Roman" w:eastAsia="Times New Roman" w:cs="Times New Roman"/>
          <w:spacing w:val="6"/>
          <w:sz w:val="25"/>
          <w:szCs w:val="25"/>
        </w:rPr>
        <w:t>2023</w:t>
      </w:r>
      <w:r>
        <w:rPr>
          <w:rFonts w:ascii="Times New Roman" w:hAnsi="Times New Roman" w:eastAsia="Times New Roman" w:cs="Times New Roman"/>
          <w:spacing w:val="27"/>
          <w:sz w:val="25"/>
          <w:szCs w:val="25"/>
        </w:rPr>
        <w:t xml:space="preserve"> </w:t>
      </w:r>
      <w:r>
        <w:rPr>
          <w:rFonts w:ascii="仿宋" w:hAnsi="仿宋" w:eastAsia="仿宋" w:cs="仿宋"/>
          <w:spacing w:val="6"/>
          <w:sz w:val="25"/>
          <w:szCs w:val="25"/>
        </w:rPr>
        <w:t>年）的通知》（渝环规〔</w:t>
      </w:r>
      <w:r>
        <w:rPr>
          <w:rFonts w:ascii="Times New Roman" w:hAnsi="Times New Roman" w:eastAsia="Times New Roman" w:cs="Times New Roman"/>
          <w:spacing w:val="6"/>
          <w:sz w:val="25"/>
          <w:szCs w:val="25"/>
        </w:rPr>
        <w:t>20</w:t>
      </w:r>
      <w:r>
        <w:rPr>
          <w:rFonts w:ascii="Times New Roman" w:hAnsi="Times New Roman" w:eastAsia="Times New Roman" w:cs="Times New Roman"/>
          <w:spacing w:val="5"/>
          <w:sz w:val="25"/>
          <w:szCs w:val="25"/>
        </w:rPr>
        <w:t>24</w:t>
      </w:r>
      <w:r>
        <w:rPr>
          <w:rFonts w:ascii="仿宋" w:hAnsi="仿宋" w:eastAsia="仿宋" w:cs="仿宋"/>
          <w:spacing w:val="5"/>
          <w:sz w:val="25"/>
          <w:szCs w:val="25"/>
        </w:rPr>
        <w:t>〕</w:t>
      </w:r>
      <w:r>
        <w:rPr>
          <w:rFonts w:ascii="Times New Roman" w:hAnsi="Times New Roman" w:eastAsia="Times New Roman" w:cs="Times New Roman"/>
          <w:spacing w:val="5"/>
          <w:sz w:val="25"/>
          <w:szCs w:val="25"/>
        </w:rPr>
        <w:t>2</w:t>
      </w:r>
      <w:r>
        <w:rPr>
          <w:rFonts w:ascii="Times New Roman" w:hAnsi="Times New Roman" w:eastAsia="Times New Roman" w:cs="Times New Roman"/>
          <w:spacing w:val="28"/>
          <w:sz w:val="25"/>
          <w:szCs w:val="25"/>
        </w:rPr>
        <w:t xml:space="preserve"> </w:t>
      </w:r>
      <w:r>
        <w:rPr>
          <w:rFonts w:ascii="仿宋" w:hAnsi="仿宋" w:eastAsia="仿宋" w:cs="仿宋"/>
          <w:spacing w:val="5"/>
          <w:sz w:val="25"/>
          <w:szCs w:val="25"/>
        </w:rPr>
        <w:t>号</w:t>
      </w:r>
      <w:r>
        <w:rPr>
          <w:rFonts w:ascii="仿宋" w:hAnsi="仿宋" w:eastAsia="仿宋" w:cs="仿宋"/>
          <w:sz w:val="25"/>
          <w:szCs w:val="25"/>
        </w:rPr>
        <w:t>）；</w:t>
      </w:r>
    </w:p>
    <w:p w14:paraId="349D25E6">
      <w:pPr>
        <w:spacing w:before="151" w:line="284" w:lineRule="auto"/>
        <w:ind w:left="22" w:right="153" w:firstLine="418"/>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43</w:t>
      </w:r>
      <w:r>
        <w:rPr>
          <w:rFonts w:ascii="仿宋" w:hAnsi="仿宋" w:eastAsia="仿宋" w:cs="仿宋"/>
          <w:spacing w:val="7"/>
          <w:sz w:val="25"/>
          <w:szCs w:val="25"/>
        </w:rPr>
        <w:t>）《重庆市国土空间总体规划（</w:t>
      </w:r>
      <w:r>
        <w:rPr>
          <w:rFonts w:ascii="Times New Roman" w:hAnsi="Times New Roman" w:eastAsia="Times New Roman" w:cs="Times New Roman"/>
          <w:spacing w:val="7"/>
          <w:sz w:val="25"/>
          <w:szCs w:val="25"/>
        </w:rPr>
        <w:t>2021—2035</w:t>
      </w:r>
      <w:r>
        <w:rPr>
          <w:rFonts w:ascii="Times New Roman" w:hAnsi="Times New Roman" w:eastAsia="Times New Roman" w:cs="Times New Roman"/>
          <w:spacing w:val="25"/>
          <w:sz w:val="25"/>
          <w:szCs w:val="25"/>
        </w:rPr>
        <w:t xml:space="preserve"> </w:t>
      </w:r>
      <w:r>
        <w:rPr>
          <w:rFonts w:ascii="仿宋" w:hAnsi="仿宋" w:eastAsia="仿宋" w:cs="仿宋"/>
          <w:spacing w:val="7"/>
          <w:sz w:val="25"/>
          <w:szCs w:val="25"/>
        </w:rPr>
        <w:t>年）》（国函〔</w:t>
      </w:r>
      <w:r>
        <w:rPr>
          <w:rFonts w:ascii="Times New Roman" w:hAnsi="Times New Roman" w:eastAsia="Times New Roman" w:cs="Times New Roman"/>
          <w:spacing w:val="7"/>
          <w:sz w:val="25"/>
          <w:szCs w:val="25"/>
        </w:rPr>
        <w:t>20</w:t>
      </w:r>
      <w:r>
        <w:rPr>
          <w:rFonts w:ascii="Times New Roman" w:hAnsi="Times New Roman" w:eastAsia="Times New Roman" w:cs="Times New Roman"/>
          <w:spacing w:val="6"/>
          <w:sz w:val="25"/>
          <w:szCs w:val="25"/>
        </w:rPr>
        <w:t>24</w:t>
      </w:r>
      <w:r>
        <w:rPr>
          <w:rFonts w:ascii="仿宋" w:hAnsi="仿宋" w:eastAsia="仿宋" w:cs="仿宋"/>
          <w:spacing w:val="6"/>
          <w:sz w:val="25"/>
          <w:szCs w:val="25"/>
        </w:rPr>
        <w:t>〕</w:t>
      </w:r>
      <w:r>
        <w:rPr>
          <w:rFonts w:ascii="Times New Roman" w:hAnsi="Times New Roman" w:eastAsia="Times New Roman" w:cs="Times New Roman"/>
          <w:spacing w:val="6"/>
          <w:sz w:val="25"/>
          <w:szCs w:val="25"/>
        </w:rPr>
        <w:t>32</w:t>
      </w:r>
      <w:r>
        <w:rPr>
          <w:rFonts w:ascii="Times New Roman" w:hAnsi="Times New Roman" w:eastAsia="Times New Roman" w:cs="Times New Roman"/>
          <w:sz w:val="25"/>
          <w:szCs w:val="25"/>
        </w:rPr>
        <w:t xml:space="preserve"> </w:t>
      </w:r>
      <w:r>
        <w:rPr>
          <w:rFonts w:ascii="仿宋" w:hAnsi="仿宋" w:eastAsia="仿宋" w:cs="仿宋"/>
          <w:spacing w:val="-15"/>
          <w:sz w:val="25"/>
          <w:szCs w:val="25"/>
        </w:rPr>
        <w:t>号</w:t>
      </w:r>
      <w:r>
        <w:rPr>
          <w:rFonts w:ascii="仿宋" w:hAnsi="仿宋" w:eastAsia="仿宋" w:cs="仿宋"/>
          <w:sz w:val="25"/>
          <w:szCs w:val="25"/>
        </w:rPr>
        <w:t>）；</w:t>
      </w:r>
    </w:p>
    <w:p w14:paraId="235E84AF">
      <w:pPr>
        <w:spacing w:before="149" w:line="280" w:lineRule="auto"/>
        <w:ind w:left="22" w:right="114" w:firstLine="418"/>
        <w:rPr>
          <w:rFonts w:ascii="仿宋" w:hAnsi="仿宋" w:eastAsia="仿宋" w:cs="仿宋"/>
          <w:sz w:val="25"/>
          <w:szCs w:val="25"/>
        </w:rPr>
      </w:pPr>
      <w:r>
        <w:rPr>
          <w:rFonts w:ascii="仿宋" w:hAnsi="仿宋" w:eastAsia="仿宋" w:cs="仿宋"/>
          <w:spacing w:val="5"/>
          <w:sz w:val="25"/>
          <w:szCs w:val="25"/>
        </w:rPr>
        <w:t>（</w:t>
      </w:r>
      <w:r>
        <w:rPr>
          <w:rFonts w:ascii="Times New Roman" w:hAnsi="Times New Roman" w:eastAsia="Times New Roman" w:cs="Times New Roman"/>
          <w:spacing w:val="5"/>
          <w:sz w:val="25"/>
          <w:szCs w:val="25"/>
        </w:rPr>
        <w:t>44</w:t>
      </w:r>
      <w:r>
        <w:rPr>
          <w:rFonts w:ascii="仿宋" w:hAnsi="仿宋" w:eastAsia="仿宋" w:cs="仿宋"/>
          <w:spacing w:val="5"/>
          <w:sz w:val="25"/>
          <w:szCs w:val="25"/>
        </w:rPr>
        <w:t>）《重庆市深入打好长江保护修复攻坚战行动方案》</w:t>
      </w:r>
      <w:r>
        <w:rPr>
          <w:rFonts w:ascii="Times New Roman" w:hAnsi="Times New Roman" w:eastAsia="Times New Roman" w:cs="Times New Roman"/>
          <w:spacing w:val="5"/>
          <w:sz w:val="25"/>
          <w:szCs w:val="25"/>
        </w:rPr>
        <w:t>(</w:t>
      </w:r>
      <w:r>
        <w:rPr>
          <w:rFonts w:ascii="仿宋" w:hAnsi="仿宋" w:eastAsia="仿宋" w:cs="仿宋"/>
          <w:spacing w:val="5"/>
          <w:sz w:val="25"/>
          <w:szCs w:val="25"/>
        </w:rPr>
        <w:t>渝环规〔</w:t>
      </w:r>
      <w:r>
        <w:rPr>
          <w:rFonts w:ascii="Times New Roman" w:hAnsi="Times New Roman" w:eastAsia="Times New Roman" w:cs="Times New Roman"/>
          <w:spacing w:val="5"/>
          <w:sz w:val="25"/>
          <w:szCs w:val="25"/>
        </w:rPr>
        <w:t>2023</w:t>
      </w:r>
      <w:r>
        <w:rPr>
          <w:rFonts w:ascii="仿宋" w:hAnsi="仿宋" w:eastAsia="仿宋" w:cs="仿宋"/>
          <w:spacing w:val="5"/>
          <w:sz w:val="25"/>
          <w:szCs w:val="25"/>
        </w:rPr>
        <w:t>〕</w:t>
      </w:r>
      <w:r>
        <w:rPr>
          <w:rFonts w:ascii="Times New Roman" w:hAnsi="Times New Roman" w:eastAsia="Times New Roman" w:cs="Times New Roman"/>
          <w:spacing w:val="5"/>
          <w:sz w:val="25"/>
          <w:szCs w:val="25"/>
        </w:rPr>
        <w:t>1</w:t>
      </w:r>
      <w:r>
        <w:rPr>
          <w:rFonts w:ascii="Times New Roman" w:hAnsi="Times New Roman" w:eastAsia="Times New Roman" w:cs="Times New Roman"/>
          <w:spacing w:val="8"/>
          <w:sz w:val="25"/>
          <w:szCs w:val="25"/>
        </w:rPr>
        <w:t xml:space="preserve"> </w:t>
      </w:r>
      <w:r>
        <w:rPr>
          <w:rFonts w:ascii="仿宋" w:hAnsi="仿宋" w:eastAsia="仿宋" w:cs="仿宋"/>
          <w:spacing w:val="-3"/>
          <w:sz w:val="25"/>
          <w:szCs w:val="25"/>
        </w:rPr>
        <w:t>号</w:t>
      </w:r>
      <w:r>
        <w:rPr>
          <w:rFonts w:ascii="Times New Roman" w:hAnsi="Times New Roman" w:eastAsia="Times New Roman" w:cs="Times New Roman"/>
          <w:spacing w:val="-3"/>
          <w:sz w:val="25"/>
          <w:szCs w:val="25"/>
        </w:rPr>
        <w:t>)</w:t>
      </w:r>
      <w:r>
        <w:rPr>
          <w:rFonts w:ascii="仿宋" w:hAnsi="仿宋" w:eastAsia="仿宋" w:cs="仿宋"/>
          <w:spacing w:val="-3"/>
          <w:sz w:val="25"/>
          <w:szCs w:val="25"/>
        </w:rPr>
        <w:t>；</w:t>
      </w:r>
    </w:p>
    <w:p w14:paraId="645A03FA">
      <w:pPr>
        <w:spacing w:before="162" w:line="284" w:lineRule="auto"/>
        <w:ind w:left="20" w:right="115" w:firstLine="420"/>
        <w:rPr>
          <w:rFonts w:ascii="仿宋" w:hAnsi="仿宋" w:eastAsia="仿宋" w:cs="仿宋"/>
          <w:sz w:val="25"/>
          <w:szCs w:val="25"/>
        </w:rPr>
      </w:pPr>
      <w:r>
        <w:rPr>
          <w:rFonts w:ascii="仿宋" w:hAnsi="仿宋" w:eastAsia="仿宋" w:cs="仿宋"/>
          <w:spacing w:val="20"/>
          <w:sz w:val="25"/>
          <w:szCs w:val="25"/>
        </w:rPr>
        <w:t>（</w:t>
      </w:r>
      <w:r>
        <w:rPr>
          <w:rFonts w:ascii="Times New Roman" w:hAnsi="Times New Roman" w:eastAsia="Times New Roman" w:cs="Times New Roman"/>
          <w:spacing w:val="20"/>
          <w:sz w:val="25"/>
          <w:szCs w:val="25"/>
        </w:rPr>
        <w:t>45</w:t>
      </w:r>
      <w:r>
        <w:rPr>
          <w:rFonts w:ascii="仿宋" w:hAnsi="仿宋" w:eastAsia="仿宋" w:cs="仿宋"/>
          <w:spacing w:val="20"/>
          <w:sz w:val="25"/>
          <w:szCs w:val="25"/>
        </w:rPr>
        <w:t>）《重庆市生态环境局关于开展规划环境影响评价工作的实施意见</w:t>
      </w:r>
      <w:r>
        <w:rPr>
          <w:rFonts w:ascii="仿宋" w:hAnsi="仿宋" w:eastAsia="仿宋" w:cs="仿宋"/>
          <w:spacing w:val="11"/>
          <w:sz w:val="25"/>
          <w:szCs w:val="25"/>
        </w:rPr>
        <w:t xml:space="preserve"> </w:t>
      </w:r>
      <w:r>
        <w:rPr>
          <w:rFonts w:ascii="仿宋" w:hAnsi="仿宋" w:eastAsia="仿宋" w:cs="仿宋"/>
          <w:spacing w:val="5"/>
          <w:sz w:val="25"/>
          <w:szCs w:val="25"/>
        </w:rPr>
        <w:t>（修订）》（渝环〔</w:t>
      </w:r>
      <w:r>
        <w:rPr>
          <w:rFonts w:ascii="Times New Roman" w:hAnsi="Times New Roman" w:eastAsia="Times New Roman" w:cs="Times New Roman"/>
          <w:spacing w:val="5"/>
          <w:sz w:val="25"/>
          <w:szCs w:val="25"/>
        </w:rPr>
        <w:t>2024</w:t>
      </w:r>
      <w:r>
        <w:rPr>
          <w:rFonts w:ascii="仿宋" w:hAnsi="仿宋" w:eastAsia="仿宋" w:cs="仿宋"/>
          <w:spacing w:val="5"/>
          <w:sz w:val="25"/>
          <w:szCs w:val="25"/>
        </w:rPr>
        <w:t>〕</w:t>
      </w:r>
      <w:r>
        <w:rPr>
          <w:rFonts w:ascii="Times New Roman" w:hAnsi="Times New Roman" w:eastAsia="Times New Roman" w:cs="Times New Roman"/>
          <w:spacing w:val="5"/>
          <w:sz w:val="25"/>
          <w:szCs w:val="25"/>
        </w:rPr>
        <w:t>38</w:t>
      </w:r>
      <w:r>
        <w:rPr>
          <w:rFonts w:ascii="Times New Roman" w:hAnsi="Times New Roman" w:eastAsia="Times New Roman" w:cs="Times New Roman"/>
          <w:spacing w:val="29"/>
          <w:sz w:val="25"/>
          <w:szCs w:val="25"/>
        </w:rPr>
        <w:t xml:space="preserve"> </w:t>
      </w:r>
      <w:r>
        <w:rPr>
          <w:rFonts w:ascii="仿宋" w:hAnsi="仿宋" w:eastAsia="仿宋" w:cs="仿宋"/>
          <w:spacing w:val="5"/>
          <w:sz w:val="25"/>
          <w:szCs w:val="25"/>
        </w:rPr>
        <w:t>号</w:t>
      </w:r>
      <w:r>
        <w:rPr>
          <w:rFonts w:ascii="仿宋" w:hAnsi="仿宋" w:eastAsia="仿宋" w:cs="仿宋"/>
          <w:spacing w:val="3"/>
          <w:sz w:val="25"/>
          <w:szCs w:val="25"/>
        </w:rPr>
        <w:t>）；</w:t>
      </w:r>
    </w:p>
    <w:p w14:paraId="7AF9D4DD">
      <w:pPr>
        <w:spacing w:before="151" w:line="284" w:lineRule="auto"/>
        <w:ind w:left="22" w:right="114" w:firstLine="418"/>
        <w:rPr>
          <w:rFonts w:ascii="仿宋" w:hAnsi="仿宋" w:eastAsia="仿宋" w:cs="仿宋"/>
          <w:sz w:val="25"/>
          <w:szCs w:val="25"/>
        </w:rPr>
      </w:pPr>
      <w:r>
        <w:rPr>
          <w:rFonts w:ascii="仿宋" w:hAnsi="仿宋" w:eastAsia="仿宋" w:cs="仿宋"/>
          <w:spacing w:val="9"/>
          <w:sz w:val="25"/>
          <w:szCs w:val="25"/>
        </w:rPr>
        <w:t>（</w:t>
      </w:r>
      <w:r>
        <w:rPr>
          <w:rFonts w:ascii="Times New Roman" w:hAnsi="Times New Roman" w:eastAsia="Times New Roman" w:cs="Times New Roman"/>
          <w:spacing w:val="9"/>
          <w:sz w:val="25"/>
          <w:szCs w:val="25"/>
        </w:rPr>
        <w:t>46</w:t>
      </w:r>
      <w:r>
        <w:rPr>
          <w:rFonts w:ascii="仿宋" w:hAnsi="仿宋" w:eastAsia="仿宋" w:cs="仿宋"/>
          <w:spacing w:val="9"/>
          <w:sz w:val="25"/>
          <w:szCs w:val="25"/>
        </w:rPr>
        <w:t>）《重庆市“</w:t>
      </w:r>
      <w:r>
        <w:rPr>
          <w:rFonts w:ascii="仿宋" w:hAnsi="仿宋" w:eastAsia="仿宋" w:cs="仿宋"/>
          <w:spacing w:val="-95"/>
          <w:sz w:val="25"/>
          <w:szCs w:val="25"/>
        </w:rPr>
        <w:t xml:space="preserve"> </w:t>
      </w:r>
      <w:r>
        <w:rPr>
          <w:rFonts w:ascii="仿宋" w:hAnsi="仿宋" w:eastAsia="仿宋" w:cs="仿宋"/>
          <w:spacing w:val="9"/>
          <w:sz w:val="25"/>
          <w:szCs w:val="25"/>
        </w:rPr>
        <w:t>十四五</w:t>
      </w:r>
      <w:r>
        <w:rPr>
          <w:rFonts w:ascii="仿宋" w:hAnsi="仿宋" w:eastAsia="仿宋" w:cs="仿宋"/>
          <w:spacing w:val="-86"/>
          <w:sz w:val="25"/>
          <w:szCs w:val="25"/>
        </w:rPr>
        <w:t xml:space="preserve"> </w:t>
      </w:r>
      <w:r>
        <w:rPr>
          <w:rFonts w:ascii="仿宋" w:hAnsi="仿宋" w:eastAsia="仿宋" w:cs="仿宋"/>
          <w:spacing w:val="9"/>
          <w:sz w:val="25"/>
          <w:szCs w:val="25"/>
        </w:rPr>
        <w:t>”用水总量和强度双控</w:t>
      </w:r>
      <w:r>
        <w:rPr>
          <w:rFonts w:ascii="仿宋" w:hAnsi="仿宋" w:eastAsia="仿宋" w:cs="仿宋"/>
          <w:spacing w:val="8"/>
          <w:sz w:val="25"/>
          <w:szCs w:val="25"/>
        </w:rPr>
        <w:t>目标》</w:t>
      </w:r>
      <w:r>
        <w:rPr>
          <w:rFonts w:ascii="仿宋" w:hAnsi="仿宋" w:eastAsia="仿宋" w:cs="仿宋"/>
          <w:spacing w:val="-103"/>
          <w:sz w:val="25"/>
          <w:szCs w:val="25"/>
        </w:rPr>
        <w:t xml:space="preserve"> </w:t>
      </w:r>
      <w:r>
        <w:rPr>
          <w:rFonts w:ascii="仿宋" w:hAnsi="仿宋" w:eastAsia="仿宋" w:cs="仿宋"/>
          <w:spacing w:val="8"/>
          <w:sz w:val="25"/>
          <w:szCs w:val="25"/>
        </w:rPr>
        <w:t>（渝水〔</w:t>
      </w:r>
      <w:r>
        <w:rPr>
          <w:rFonts w:ascii="Times New Roman" w:hAnsi="Times New Roman" w:eastAsia="Times New Roman" w:cs="Times New Roman"/>
          <w:spacing w:val="8"/>
          <w:sz w:val="25"/>
          <w:szCs w:val="25"/>
        </w:rPr>
        <w:t>2022</w:t>
      </w:r>
      <w:r>
        <w:rPr>
          <w:rFonts w:ascii="仿宋" w:hAnsi="仿宋" w:eastAsia="仿宋" w:cs="仿宋"/>
          <w:spacing w:val="8"/>
          <w:sz w:val="25"/>
          <w:szCs w:val="25"/>
        </w:rPr>
        <w:t>〕</w:t>
      </w:r>
      <w:r>
        <w:rPr>
          <w:rFonts w:ascii="Times New Roman" w:hAnsi="Times New Roman" w:eastAsia="Times New Roman" w:cs="Times New Roman"/>
          <w:spacing w:val="8"/>
          <w:sz w:val="25"/>
          <w:szCs w:val="25"/>
        </w:rPr>
        <w:t>92</w:t>
      </w:r>
      <w:r>
        <w:rPr>
          <w:rFonts w:ascii="Times New Roman" w:hAnsi="Times New Roman" w:eastAsia="Times New Roman" w:cs="Times New Roman"/>
          <w:sz w:val="25"/>
          <w:szCs w:val="25"/>
        </w:rPr>
        <w:t xml:space="preserve"> </w:t>
      </w:r>
      <w:r>
        <w:rPr>
          <w:rFonts w:ascii="仿宋" w:hAnsi="仿宋" w:eastAsia="仿宋" w:cs="仿宋"/>
          <w:spacing w:val="-15"/>
          <w:sz w:val="25"/>
          <w:szCs w:val="25"/>
        </w:rPr>
        <w:t>号</w:t>
      </w:r>
      <w:r>
        <w:rPr>
          <w:rFonts w:ascii="仿宋" w:hAnsi="仿宋" w:eastAsia="仿宋" w:cs="仿宋"/>
          <w:sz w:val="25"/>
          <w:szCs w:val="25"/>
        </w:rPr>
        <w:t>）；</w:t>
      </w:r>
    </w:p>
    <w:p w14:paraId="361D9EB2">
      <w:pPr>
        <w:spacing w:before="151" w:line="284" w:lineRule="auto"/>
        <w:ind w:left="20" w:firstLine="420"/>
        <w:rPr>
          <w:rFonts w:ascii="仿宋" w:hAnsi="仿宋" w:eastAsia="仿宋" w:cs="仿宋"/>
          <w:sz w:val="25"/>
          <w:szCs w:val="25"/>
        </w:rPr>
      </w:pPr>
      <w:r>
        <w:rPr>
          <w:rFonts w:ascii="仿宋" w:hAnsi="仿宋" w:eastAsia="仿宋" w:cs="仿宋"/>
          <w:spacing w:val="-3"/>
          <w:sz w:val="25"/>
          <w:szCs w:val="25"/>
        </w:rPr>
        <w:t>（</w:t>
      </w:r>
      <w:r>
        <w:rPr>
          <w:rFonts w:ascii="Times New Roman" w:hAnsi="Times New Roman" w:eastAsia="Times New Roman" w:cs="Times New Roman"/>
          <w:spacing w:val="-3"/>
          <w:sz w:val="25"/>
          <w:szCs w:val="25"/>
        </w:rPr>
        <w:t>47</w:t>
      </w:r>
      <w:r>
        <w:rPr>
          <w:rFonts w:ascii="仿宋" w:hAnsi="仿宋" w:eastAsia="仿宋" w:cs="仿宋"/>
          <w:spacing w:val="-3"/>
          <w:sz w:val="25"/>
          <w:szCs w:val="25"/>
        </w:rPr>
        <w:t>）《成渝地区双城经济圈“六江</w:t>
      </w:r>
      <w:r>
        <w:rPr>
          <w:rFonts w:ascii="仿宋" w:hAnsi="仿宋" w:eastAsia="仿宋" w:cs="仿宋"/>
          <w:spacing w:val="-82"/>
          <w:sz w:val="25"/>
          <w:szCs w:val="25"/>
        </w:rPr>
        <w:t xml:space="preserve"> </w:t>
      </w:r>
      <w:r>
        <w:rPr>
          <w:rFonts w:ascii="仿宋" w:hAnsi="仿宋" w:eastAsia="仿宋" w:cs="仿宋"/>
          <w:spacing w:val="-3"/>
          <w:sz w:val="25"/>
          <w:szCs w:val="25"/>
        </w:rPr>
        <w:t>”生态廊道建设规划（</w:t>
      </w:r>
      <w:r>
        <w:rPr>
          <w:rFonts w:ascii="Times New Roman" w:hAnsi="Times New Roman" w:eastAsia="Times New Roman" w:cs="Times New Roman"/>
          <w:spacing w:val="-3"/>
          <w:sz w:val="25"/>
          <w:szCs w:val="25"/>
        </w:rPr>
        <w:t>2022</w:t>
      </w:r>
      <w:r>
        <w:rPr>
          <w:rFonts w:ascii="仿宋" w:hAnsi="仿宋" w:eastAsia="仿宋" w:cs="仿宋"/>
          <w:spacing w:val="-3"/>
          <w:sz w:val="25"/>
          <w:szCs w:val="25"/>
        </w:rPr>
        <w:t>—</w:t>
      </w:r>
      <w:r>
        <w:rPr>
          <w:rFonts w:ascii="Times New Roman" w:hAnsi="Times New Roman" w:eastAsia="Times New Roman" w:cs="Times New Roman"/>
          <w:spacing w:val="-3"/>
          <w:sz w:val="25"/>
          <w:szCs w:val="25"/>
        </w:rPr>
        <w:t>2035</w:t>
      </w:r>
      <w:r>
        <w:rPr>
          <w:rFonts w:ascii="Times New Roman" w:hAnsi="Times New Roman" w:eastAsia="Times New Roman" w:cs="Times New Roman"/>
          <w:spacing w:val="27"/>
          <w:w w:val="101"/>
          <w:sz w:val="25"/>
          <w:szCs w:val="25"/>
        </w:rPr>
        <w:t xml:space="preserve"> </w:t>
      </w:r>
      <w:r>
        <w:rPr>
          <w:rFonts w:ascii="仿宋" w:hAnsi="仿宋" w:eastAsia="仿宋" w:cs="仿宋"/>
          <w:spacing w:val="-3"/>
          <w:sz w:val="25"/>
          <w:szCs w:val="25"/>
        </w:rPr>
        <w:t>年）》</w:t>
      </w:r>
      <w:r>
        <w:rPr>
          <w:rFonts w:ascii="仿宋" w:hAnsi="仿宋" w:eastAsia="仿宋" w:cs="仿宋"/>
          <w:sz w:val="25"/>
          <w:szCs w:val="25"/>
        </w:rPr>
        <w:t xml:space="preserve"> </w:t>
      </w:r>
      <w:r>
        <w:rPr>
          <w:rFonts w:ascii="仿宋" w:hAnsi="仿宋" w:eastAsia="仿宋" w:cs="仿宋"/>
          <w:spacing w:val="4"/>
          <w:sz w:val="25"/>
          <w:szCs w:val="25"/>
        </w:rPr>
        <w:t>（渝府办发〔</w:t>
      </w:r>
      <w:r>
        <w:rPr>
          <w:rFonts w:ascii="Times New Roman" w:hAnsi="Times New Roman" w:eastAsia="Times New Roman" w:cs="Times New Roman"/>
          <w:spacing w:val="4"/>
          <w:sz w:val="25"/>
          <w:szCs w:val="25"/>
        </w:rPr>
        <w:t>2023</w:t>
      </w:r>
      <w:r>
        <w:rPr>
          <w:rFonts w:ascii="仿宋" w:hAnsi="仿宋" w:eastAsia="仿宋" w:cs="仿宋"/>
          <w:spacing w:val="4"/>
          <w:sz w:val="25"/>
          <w:szCs w:val="25"/>
        </w:rPr>
        <w:t>〕</w:t>
      </w:r>
      <w:r>
        <w:rPr>
          <w:rFonts w:ascii="Times New Roman" w:hAnsi="Times New Roman" w:eastAsia="Times New Roman" w:cs="Times New Roman"/>
          <w:spacing w:val="4"/>
          <w:sz w:val="25"/>
          <w:szCs w:val="25"/>
        </w:rPr>
        <w:t>85</w:t>
      </w:r>
      <w:r>
        <w:rPr>
          <w:rFonts w:ascii="Times New Roman" w:hAnsi="Times New Roman" w:eastAsia="Times New Roman" w:cs="Times New Roman"/>
          <w:spacing w:val="28"/>
          <w:sz w:val="25"/>
          <w:szCs w:val="25"/>
        </w:rPr>
        <w:t xml:space="preserve"> </w:t>
      </w:r>
      <w:r>
        <w:rPr>
          <w:rFonts w:ascii="仿宋" w:hAnsi="仿宋" w:eastAsia="仿宋" w:cs="仿宋"/>
          <w:spacing w:val="4"/>
          <w:sz w:val="25"/>
          <w:szCs w:val="25"/>
        </w:rPr>
        <w:t>号</w:t>
      </w:r>
      <w:r>
        <w:rPr>
          <w:rFonts w:ascii="仿宋" w:hAnsi="仿宋" w:eastAsia="仿宋" w:cs="仿宋"/>
          <w:spacing w:val="3"/>
          <w:sz w:val="25"/>
          <w:szCs w:val="25"/>
        </w:rPr>
        <w:t>）；</w:t>
      </w:r>
    </w:p>
    <w:p w14:paraId="5B5E5A91">
      <w:pPr>
        <w:spacing w:before="149" w:line="284" w:lineRule="auto"/>
        <w:ind w:left="24" w:right="115" w:firstLine="416"/>
        <w:rPr>
          <w:rFonts w:ascii="仿宋" w:hAnsi="仿宋" w:eastAsia="仿宋" w:cs="仿宋"/>
          <w:sz w:val="25"/>
          <w:szCs w:val="25"/>
        </w:rPr>
      </w:pPr>
      <w:r>
        <w:rPr>
          <w:rFonts w:ascii="仿宋" w:hAnsi="仿宋" w:eastAsia="仿宋" w:cs="仿宋"/>
          <w:spacing w:val="12"/>
          <w:sz w:val="25"/>
          <w:szCs w:val="25"/>
        </w:rPr>
        <w:t>（</w:t>
      </w:r>
      <w:r>
        <w:rPr>
          <w:rFonts w:ascii="Times New Roman" w:hAnsi="Times New Roman" w:eastAsia="Times New Roman" w:cs="Times New Roman"/>
          <w:spacing w:val="12"/>
          <w:sz w:val="25"/>
          <w:szCs w:val="25"/>
        </w:rPr>
        <w:t>48</w:t>
      </w:r>
      <w:r>
        <w:rPr>
          <w:rFonts w:ascii="仿宋" w:hAnsi="仿宋" w:eastAsia="仿宋" w:cs="仿宋"/>
          <w:spacing w:val="12"/>
          <w:sz w:val="25"/>
          <w:szCs w:val="25"/>
        </w:rPr>
        <w:t>）《重庆市规划和自然资源局重庆市生态环境局重庆市林业局关于加</w:t>
      </w:r>
      <w:r>
        <w:rPr>
          <w:rFonts w:ascii="仿宋" w:hAnsi="仿宋" w:eastAsia="仿宋" w:cs="仿宋"/>
          <w:spacing w:val="5"/>
          <w:sz w:val="25"/>
          <w:szCs w:val="25"/>
        </w:rPr>
        <w:t xml:space="preserve"> </w:t>
      </w:r>
      <w:r>
        <w:rPr>
          <w:rFonts w:ascii="仿宋" w:hAnsi="仿宋" w:eastAsia="仿宋" w:cs="仿宋"/>
          <w:spacing w:val="7"/>
          <w:sz w:val="25"/>
          <w:szCs w:val="25"/>
        </w:rPr>
        <w:t>强生态保护红线实施管理的通知》（渝规资〔</w:t>
      </w:r>
      <w:r>
        <w:rPr>
          <w:rFonts w:ascii="Times New Roman" w:hAnsi="Times New Roman" w:eastAsia="Times New Roman" w:cs="Times New Roman"/>
          <w:spacing w:val="7"/>
          <w:sz w:val="25"/>
          <w:szCs w:val="25"/>
        </w:rPr>
        <w:t>2023</w:t>
      </w:r>
      <w:r>
        <w:rPr>
          <w:rFonts w:ascii="仿宋" w:hAnsi="仿宋" w:eastAsia="仿宋" w:cs="仿宋"/>
          <w:spacing w:val="7"/>
          <w:sz w:val="25"/>
          <w:szCs w:val="25"/>
        </w:rPr>
        <w:t>〕</w:t>
      </w:r>
      <w:r>
        <w:rPr>
          <w:rFonts w:ascii="Times New Roman" w:hAnsi="Times New Roman" w:eastAsia="Times New Roman" w:cs="Times New Roman"/>
          <w:spacing w:val="7"/>
          <w:sz w:val="25"/>
          <w:szCs w:val="25"/>
        </w:rPr>
        <w:t>323</w:t>
      </w:r>
      <w:r>
        <w:rPr>
          <w:rFonts w:ascii="Times New Roman" w:hAnsi="Times New Roman" w:eastAsia="Times New Roman" w:cs="Times New Roman"/>
          <w:spacing w:val="26"/>
          <w:sz w:val="25"/>
          <w:szCs w:val="25"/>
        </w:rPr>
        <w:t xml:space="preserve"> </w:t>
      </w:r>
      <w:r>
        <w:rPr>
          <w:rFonts w:ascii="仿宋" w:hAnsi="仿宋" w:eastAsia="仿宋" w:cs="仿宋"/>
          <w:spacing w:val="7"/>
          <w:sz w:val="25"/>
          <w:szCs w:val="25"/>
        </w:rPr>
        <w:t>号</w:t>
      </w:r>
      <w:r>
        <w:rPr>
          <w:rFonts w:ascii="仿宋" w:hAnsi="仿宋" w:eastAsia="仿宋" w:cs="仿宋"/>
          <w:sz w:val="25"/>
          <w:szCs w:val="25"/>
        </w:rPr>
        <w:t>）；</w:t>
      </w:r>
    </w:p>
    <w:p w14:paraId="2B837F2B">
      <w:pPr>
        <w:spacing w:before="152" w:line="284" w:lineRule="auto"/>
        <w:ind w:left="26" w:right="46" w:firstLine="414"/>
        <w:rPr>
          <w:rFonts w:ascii="仿宋" w:hAnsi="仿宋" w:eastAsia="仿宋" w:cs="仿宋"/>
          <w:sz w:val="25"/>
          <w:szCs w:val="25"/>
        </w:rPr>
      </w:pPr>
      <w:r>
        <w:rPr>
          <w:rFonts w:ascii="仿宋" w:hAnsi="仿宋" w:eastAsia="仿宋" w:cs="仿宋"/>
          <w:spacing w:val="9"/>
          <w:sz w:val="25"/>
          <w:szCs w:val="25"/>
        </w:rPr>
        <w:t>（</w:t>
      </w:r>
      <w:r>
        <w:rPr>
          <w:rFonts w:ascii="Times New Roman" w:hAnsi="Times New Roman" w:eastAsia="Times New Roman" w:cs="Times New Roman"/>
          <w:spacing w:val="9"/>
          <w:sz w:val="25"/>
          <w:szCs w:val="25"/>
        </w:rPr>
        <w:t>49</w:t>
      </w:r>
      <w:r>
        <w:rPr>
          <w:rFonts w:ascii="仿宋" w:hAnsi="仿宋" w:eastAsia="仿宋" w:cs="仿宋"/>
          <w:spacing w:val="9"/>
          <w:sz w:val="25"/>
          <w:szCs w:val="25"/>
        </w:rPr>
        <w:t>）《重庆市黔江区人民政府办公室关于印</w:t>
      </w:r>
      <w:r>
        <w:rPr>
          <w:rFonts w:ascii="仿宋" w:hAnsi="仿宋" w:eastAsia="仿宋" w:cs="仿宋"/>
          <w:spacing w:val="8"/>
          <w:sz w:val="25"/>
          <w:szCs w:val="25"/>
        </w:rPr>
        <w:t>发</w:t>
      </w:r>
      <w:r>
        <w:rPr>
          <w:rFonts w:ascii="Times New Roman" w:hAnsi="Times New Roman" w:eastAsia="Times New Roman" w:cs="Times New Roman"/>
          <w:spacing w:val="8"/>
          <w:sz w:val="25"/>
          <w:szCs w:val="25"/>
        </w:rPr>
        <w:t>&lt;</w:t>
      </w:r>
      <w:r>
        <w:rPr>
          <w:rFonts w:ascii="Times New Roman" w:hAnsi="Times New Roman" w:eastAsia="Times New Roman" w:cs="Times New Roman"/>
          <w:spacing w:val="-37"/>
          <w:sz w:val="25"/>
          <w:szCs w:val="25"/>
        </w:rPr>
        <w:t xml:space="preserve"> </w:t>
      </w:r>
      <w:r>
        <w:rPr>
          <w:rFonts w:ascii="仿宋" w:hAnsi="仿宋" w:eastAsia="仿宋" w:cs="仿宋"/>
          <w:spacing w:val="8"/>
          <w:sz w:val="25"/>
          <w:szCs w:val="25"/>
        </w:rPr>
        <w:t>黔江区 “</w:t>
      </w:r>
      <w:r>
        <w:rPr>
          <w:rFonts w:ascii="仿宋" w:hAnsi="仿宋" w:eastAsia="仿宋" w:cs="仿宋"/>
          <w:spacing w:val="-96"/>
          <w:sz w:val="25"/>
          <w:szCs w:val="25"/>
        </w:rPr>
        <w:t xml:space="preserve"> </w:t>
      </w:r>
      <w:r>
        <w:rPr>
          <w:rFonts w:ascii="仿宋" w:hAnsi="仿宋" w:eastAsia="仿宋" w:cs="仿宋"/>
          <w:spacing w:val="8"/>
          <w:sz w:val="25"/>
          <w:szCs w:val="25"/>
        </w:rPr>
        <w:t>三线一单</w:t>
      </w:r>
      <w:r>
        <w:rPr>
          <w:rFonts w:ascii="仿宋" w:hAnsi="仿宋" w:eastAsia="仿宋" w:cs="仿宋"/>
          <w:spacing w:val="-88"/>
          <w:sz w:val="25"/>
          <w:szCs w:val="25"/>
        </w:rPr>
        <w:t xml:space="preserve"> </w:t>
      </w:r>
      <w:r>
        <w:rPr>
          <w:rFonts w:ascii="仿宋" w:hAnsi="仿宋" w:eastAsia="仿宋" w:cs="仿宋"/>
          <w:spacing w:val="8"/>
          <w:sz w:val="25"/>
          <w:szCs w:val="25"/>
        </w:rPr>
        <w:t>”生</w:t>
      </w:r>
      <w:r>
        <w:rPr>
          <w:rFonts w:ascii="仿宋" w:hAnsi="仿宋" w:eastAsia="仿宋" w:cs="仿宋"/>
          <w:sz w:val="25"/>
          <w:szCs w:val="25"/>
        </w:rPr>
        <w:t xml:space="preserve"> </w:t>
      </w:r>
      <w:r>
        <w:rPr>
          <w:rFonts w:ascii="仿宋" w:hAnsi="仿宋" w:eastAsia="仿宋" w:cs="仿宋"/>
          <w:spacing w:val="3"/>
          <w:sz w:val="25"/>
          <w:szCs w:val="25"/>
        </w:rPr>
        <w:t>态环境分区管控调整方案（</w:t>
      </w:r>
      <w:r>
        <w:rPr>
          <w:rFonts w:ascii="Times New Roman" w:hAnsi="Times New Roman" w:eastAsia="Times New Roman" w:cs="Times New Roman"/>
          <w:spacing w:val="3"/>
          <w:sz w:val="25"/>
          <w:szCs w:val="25"/>
        </w:rPr>
        <w:t>2023</w:t>
      </w:r>
      <w:r>
        <w:rPr>
          <w:rFonts w:ascii="Times New Roman" w:hAnsi="Times New Roman" w:eastAsia="Times New Roman" w:cs="Times New Roman"/>
          <w:spacing w:val="28"/>
          <w:sz w:val="25"/>
          <w:szCs w:val="25"/>
        </w:rPr>
        <w:t xml:space="preserve"> </w:t>
      </w:r>
      <w:r>
        <w:rPr>
          <w:rFonts w:ascii="仿宋" w:hAnsi="仿宋" w:eastAsia="仿宋" w:cs="仿宋"/>
          <w:spacing w:val="3"/>
          <w:sz w:val="25"/>
          <w:szCs w:val="25"/>
        </w:rPr>
        <w:t>年）</w:t>
      </w:r>
      <w:r>
        <w:rPr>
          <w:rFonts w:ascii="Times New Roman" w:hAnsi="Times New Roman" w:eastAsia="Times New Roman" w:cs="Times New Roman"/>
          <w:spacing w:val="3"/>
          <w:sz w:val="25"/>
          <w:szCs w:val="25"/>
        </w:rPr>
        <w:t>&gt;</w:t>
      </w:r>
      <w:r>
        <w:rPr>
          <w:rFonts w:ascii="Times New Roman" w:hAnsi="Times New Roman" w:eastAsia="Times New Roman" w:cs="Times New Roman"/>
          <w:spacing w:val="-30"/>
          <w:sz w:val="25"/>
          <w:szCs w:val="25"/>
        </w:rPr>
        <w:t xml:space="preserve"> </w:t>
      </w:r>
      <w:r>
        <w:rPr>
          <w:rFonts w:ascii="仿宋" w:hAnsi="仿宋" w:eastAsia="仿宋" w:cs="仿宋"/>
          <w:spacing w:val="3"/>
          <w:sz w:val="25"/>
          <w:szCs w:val="25"/>
        </w:rPr>
        <w:t>的通知》（黔</w:t>
      </w:r>
      <w:r>
        <w:rPr>
          <w:rFonts w:ascii="仿宋" w:hAnsi="仿宋" w:eastAsia="仿宋" w:cs="仿宋"/>
          <w:spacing w:val="2"/>
          <w:sz w:val="25"/>
          <w:szCs w:val="25"/>
        </w:rPr>
        <w:t>江府办发〔</w:t>
      </w:r>
      <w:r>
        <w:rPr>
          <w:rFonts w:ascii="Times New Roman" w:hAnsi="Times New Roman" w:eastAsia="Times New Roman" w:cs="Times New Roman"/>
          <w:spacing w:val="2"/>
          <w:sz w:val="25"/>
          <w:szCs w:val="25"/>
        </w:rPr>
        <w:t>2024</w:t>
      </w:r>
      <w:r>
        <w:rPr>
          <w:rFonts w:ascii="仿宋" w:hAnsi="仿宋" w:eastAsia="仿宋" w:cs="仿宋"/>
          <w:spacing w:val="2"/>
          <w:sz w:val="25"/>
          <w:szCs w:val="25"/>
        </w:rPr>
        <w:t>〕</w:t>
      </w:r>
      <w:r>
        <w:rPr>
          <w:rFonts w:ascii="Times New Roman" w:hAnsi="Times New Roman" w:eastAsia="Times New Roman" w:cs="Times New Roman"/>
          <w:spacing w:val="2"/>
          <w:sz w:val="25"/>
          <w:szCs w:val="25"/>
        </w:rPr>
        <w:t>54</w:t>
      </w:r>
      <w:r>
        <w:rPr>
          <w:rFonts w:ascii="Times New Roman" w:hAnsi="Times New Roman" w:eastAsia="Times New Roman" w:cs="Times New Roman"/>
          <w:spacing w:val="26"/>
          <w:sz w:val="25"/>
          <w:szCs w:val="25"/>
        </w:rPr>
        <w:t xml:space="preserve"> </w:t>
      </w:r>
      <w:r>
        <w:rPr>
          <w:rFonts w:ascii="仿宋" w:hAnsi="仿宋" w:eastAsia="仿宋" w:cs="仿宋"/>
          <w:spacing w:val="2"/>
          <w:sz w:val="25"/>
          <w:szCs w:val="25"/>
        </w:rPr>
        <w:t>号</w:t>
      </w:r>
      <w:r>
        <w:rPr>
          <w:rFonts w:ascii="仿宋" w:hAnsi="仿宋" w:eastAsia="仿宋" w:cs="仿宋"/>
          <w:spacing w:val="-35"/>
          <w:sz w:val="25"/>
          <w:szCs w:val="25"/>
        </w:rPr>
        <w:t>）；</w:t>
      </w:r>
    </w:p>
    <w:p w14:paraId="56BC22EA">
      <w:pPr>
        <w:spacing w:before="151" w:line="284" w:lineRule="auto"/>
        <w:ind w:left="18" w:right="115" w:firstLine="422"/>
        <w:rPr>
          <w:rFonts w:ascii="仿宋" w:hAnsi="仿宋" w:eastAsia="仿宋" w:cs="仿宋"/>
          <w:sz w:val="25"/>
          <w:szCs w:val="25"/>
        </w:rPr>
      </w:pPr>
      <w:r>
        <w:rPr>
          <w:rFonts w:ascii="仿宋" w:hAnsi="仿宋" w:eastAsia="仿宋" w:cs="仿宋"/>
          <w:spacing w:val="11"/>
          <w:sz w:val="25"/>
          <w:szCs w:val="25"/>
        </w:rPr>
        <w:t>（</w:t>
      </w:r>
      <w:r>
        <w:rPr>
          <w:rFonts w:ascii="Times New Roman" w:hAnsi="Times New Roman" w:eastAsia="Times New Roman" w:cs="Times New Roman"/>
          <w:spacing w:val="11"/>
          <w:sz w:val="25"/>
          <w:szCs w:val="25"/>
        </w:rPr>
        <w:t>50</w:t>
      </w:r>
      <w:r>
        <w:rPr>
          <w:rFonts w:ascii="仿宋" w:hAnsi="仿宋" w:eastAsia="仿宋" w:cs="仿宋"/>
          <w:spacing w:val="11"/>
          <w:sz w:val="25"/>
          <w:szCs w:val="25"/>
        </w:rPr>
        <w:t>）《重庆市规划和自然资源局</w:t>
      </w:r>
      <w:r>
        <w:rPr>
          <w:rFonts w:ascii="仿宋" w:hAnsi="仿宋" w:eastAsia="仿宋" w:cs="仿宋"/>
          <w:spacing w:val="40"/>
          <w:sz w:val="25"/>
          <w:szCs w:val="25"/>
        </w:rPr>
        <w:t xml:space="preserve"> </w:t>
      </w:r>
      <w:r>
        <w:rPr>
          <w:rFonts w:ascii="仿宋" w:hAnsi="仿宋" w:eastAsia="仿宋" w:cs="仿宋"/>
          <w:spacing w:val="11"/>
          <w:sz w:val="25"/>
          <w:szCs w:val="25"/>
        </w:rPr>
        <w:t>重庆市生态环境局 关于进一步规</w:t>
      </w:r>
      <w:r>
        <w:rPr>
          <w:rFonts w:ascii="仿宋" w:hAnsi="仿宋" w:eastAsia="仿宋" w:cs="仿宋"/>
          <w:spacing w:val="10"/>
          <w:sz w:val="25"/>
          <w:szCs w:val="25"/>
        </w:rPr>
        <w:t>范矿</w:t>
      </w:r>
      <w:r>
        <w:rPr>
          <w:rFonts w:ascii="仿宋" w:hAnsi="仿宋" w:eastAsia="仿宋" w:cs="仿宋"/>
          <w:sz w:val="25"/>
          <w:szCs w:val="25"/>
        </w:rPr>
        <w:t xml:space="preserve"> </w:t>
      </w:r>
      <w:r>
        <w:rPr>
          <w:rFonts w:ascii="仿宋" w:hAnsi="仿宋" w:eastAsia="仿宋" w:cs="仿宋"/>
          <w:spacing w:val="7"/>
          <w:sz w:val="25"/>
          <w:szCs w:val="25"/>
        </w:rPr>
        <w:t>产资源规划实施管理的通知》（渝规资〔</w:t>
      </w:r>
      <w:r>
        <w:rPr>
          <w:rFonts w:ascii="Times New Roman" w:hAnsi="Times New Roman" w:eastAsia="Times New Roman" w:cs="Times New Roman"/>
          <w:spacing w:val="7"/>
          <w:sz w:val="25"/>
          <w:szCs w:val="25"/>
        </w:rPr>
        <w:t>20</w:t>
      </w:r>
      <w:r>
        <w:rPr>
          <w:rFonts w:ascii="Times New Roman" w:hAnsi="Times New Roman" w:eastAsia="Times New Roman" w:cs="Times New Roman"/>
          <w:spacing w:val="6"/>
          <w:sz w:val="25"/>
          <w:szCs w:val="25"/>
        </w:rPr>
        <w:t>25</w:t>
      </w:r>
      <w:r>
        <w:rPr>
          <w:rFonts w:ascii="仿宋" w:hAnsi="仿宋" w:eastAsia="仿宋" w:cs="仿宋"/>
          <w:spacing w:val="6"/>
          <w:sz w:val="25"/>
          <w:szCs w:val="25"/>
        </w:rPr>
        <w:t>〕</w:t>
      </w:r>
      <w:r>
        <w:rPr>
          <w:rFonts w:ascii="Times New Roman" w:hAnsi="Times New Roman" w:eastAsia="Times New Roman" w:cs="Times New Roman"/>
          <w:spacing w:val="6"/>
          <w:sz w:val="25"/>
          <w:szCs w:val="25"/>
        </w:rPr>
        <w:t>119</w:t>
      </w:r>
      <w:r>
        <w:rPr>
          <w:rFonts w:ascii="Times New Roman" w:hAnsi="Times New Roman" w:eastAsia="Times New Roman" w:cs="Times New Roman"/>
          <w:spacing w:val="25"/>
          <w:w w:val="101"/>
          <w:sz w:val="25"/>
          <w:szCs w:val="25"/>
        </w:rPr>
        <w:t xml:space="preserve"> </w:t>
      </w:r>
      <w:r>
        <w:rPr>
          <w:rFonts w:ascii="仿宋" w:hAnsi="仿宋" w:eastAsia="仿宋" w:cs="仿宋"/>
          <w:spacing w:val="6"/>
          <w:sz w:val="25"/>
          <w:szCs w:val="25"/>
        </w:rPr>
        <w:t>号</w:t>
      </w:r>
      <w:r>
        <w:rPr>
          <w:rFonts w:ascii="仿宋" w:hAnsi="仿宋" w:eastAsia="仿宋" w:cs="仿宋"/>
          <w:sz w:val="25"/>
          <w:szCs w:val="25"/>
        </w:rPr>
        <w:t>）；</w:t>
      </w:r>
    </w:p>
    <w:p w14:paraId="78D8FA4D">
      <w:pPr>
        <w:spacing w:before="149" w:line="280" w:lineRule="auto"/>
        <w:ind w:left="22" w:right="114" w:firstLine="418"/>
        <w:rPr>
          <w:rFonts w:ascii="仿宋" w:hAnsi="仿宋" w:eastAsia="仿宋" w:cs="仿宋"/>
          <w:sz w:val="25"/>
          <w:szCs w:val="25"/>
        </w:rPr>
      </w:pPr>
      <w:r>
        <w:rPr>
          <w:rFonts w:ascii="仿宋" w:hAnsi="仿宋" w:eastAsia="仿宋" w:cs="仿宋"/>
          <w:spacing w:val="12"/>
          <w:sz w:val="25"/>
          <w:szCs w:val="25"/>
        </w:rPr>
        <w:t>（</w:t>
      </w:r>
      <w:r>
        <w:rPr>
          <w:rFonts w:ascii="Times New Roman" w:hAnsi="Times New Roman" w:eastAsia="Times New Roman" w:cs="Times New Roman"/>
          <w:spacing w:val="12"/>
          <w:sz w:val="25"/>
          <w:szCs w:val="25"/>
        </w:rPr>
        <w:t>51</w:t>
      </w:r>
      <w:r>
        <w:rPr>
          <w:rFonts w:ascii="仿宋" w:hAnsi="仿宋" w:eastAsia="仿宋" w:cs="仿宋"/>
          <w:spacing w:val="12"/>
          <w:sz w:val="25"/>
          <w:szCs w:val="25"/>
        </w:rPr>
        <w:t>）《关于加强矿井水保护和利用的指导意见》</w:t>
      </w:r>
      <w:r>
        <w:rPr>
          <w:rFonts w:ascii="Times New Roman" w:hAnsi="Times New Roman" w:eastAsia="Times New Roman" w:cs="Times New Roman"/>
          <w:spacing w:val="12"/>
          <w:sz w:val="25"/>
          <w:szCs w:val="25"/>
        </w:rPr>
        <w:t>(</w:t>
      </w:r>
      <w:r>
        <w:rPr>
          <w:rFonts w:ascii="仿宋" w:hAnsi="仿宋" w:eastAsia="仿宋" w:cs="仿宋"/>
          <w:spacing w:val="12"/>
          <w:sz w:val="25"/>
          <w:szCs w:val="25"/>
        </w:rPr>
        <w:t>发改环资〔</w:t>
      </w:r>
      <w:r>
        <w:rPr>
          <w:rFonts w:ascii="Times New Roman" w:hAnsi="Times New Roman" w:eastAsia="Times New Roman" w:cs="Times New Roman"/>
          <w:spacing w:val="12"/>
          <w:sz w:val="25"/>
          <w:szCs w:val="25"/>
        </w:rPr>
        <w:t>2024</w:t>
      </w:r>
      <w:r>
        <w:rPr>
          <w:rFonts w:ascii="仿宋" w:hAnsi="仿宋" w:eastAsia="仿宋" w:cs="仿宋"/>
          <w:spacing w:val="12"/>
          <w:sz w:val="25"/>
          <w:szCs w:val="25"/>
        </w:rPr>
        <w:t>〕</w:t>
      </w:r>
      <w:r>
        <w:rPr>
          <w:rFonts w:ascii="Times New Roman" w:hAnsi="Times New Roman" w:eastAsia="Times New Roman" w:cs="Times New Roman"/>
          <w:spacing w:val="12"/>
          <w:sz w:val="25"/>
          <w:szCs w:val="25"/>
        </w:rPr>
        <w:t>226</w:t>
      </w:r>
      <w:r>
        <w:rPr>
          <w:rFonts w:ascii="Times New Roman" w:hAnsi="Times New Roman" w:eastAsia="Times New Roman" w:cs="Times New Roman"/>
          <w:sz w:val="25"/>
          <w:szCs w:val="25"/>
        </w:rPr>
        <w:t xml:space="preserve"> </w:t>
      </w:r>
      <w:r>
        <w:rPr>
          <w:rFonts w:ascii="仿宋" w:hAnsi="仿宋" w:eastAsia="仿宋" w:cs="仿宋"/>
          <w:spacing w:val="-3"/>
          <w:sz w:val="25"/>
          <w:szCs w:val="25"/>
        </w:rPr>
        <w:t>号</w:t>
      </w:r>
      <w:r>
        <w:rPr>
          <w:rFonts w:ascii="Times New Roman" w:hAnsi="Times New Roman" w:eastAsia="Times New Roman" w:cs="Times New Roman"/>
          <w:spacing w:val="-3"/>
          <w:sz w:val="25"/>
          <w:szCs w:val="25"/>
        </w:rPr>
        <w:t>)</w:t>
      </w:r>
      <w:r>
        <w:rPr>
          <w:rFonts w:ascii="仿宋" w:hAnsi="仿宋" w:eastAsia="仿宋" w:cs="仿宋"/>
          <w:spacing w:val="-3"/>
          <w:sz w:val="25"/>
          <w:szCs w:val="25"/>
        </w:rPr>
        <w:t>；</w:t>
      </w:r>
    </w:p>
    <w:p w14:paraId="18559931">
      <w:pPr>
        <w:spacing w:before="163" w:line="228" w:lineRule="auto"/>
        <w:ind w:left="440"/>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52</w:t>
      </w:r>
      <w:r>
        <w:rPr>
          <w:rFonts w:ascii="仿宋" w:hAnsi="仿宋" w:eastAsia="仿宋" w:cs="仿宋"/>
          <w:spacing w:val="7"/>
          <w:sz w:val="25"/>
          <w:szCs w:val="25"/>
        </w:rPr>
        <w:t>）《生态环境分区管控管理暂行规定》（环环评〔</w:t>
      </w:r>
      <w:r>
        <w:rPr>
          <w:rFonts w:ascii="Times New Roman" w:hAnsi="Times New Roman" w:eastAsia="Times New Roman" w:cs="Times New Roman"/>
          <w:spacing w:val="7"/>
          <w:sz w:val="25"/>
          <w:szCs w:val="25"/>
        </w:rPr>
        <w:t>2024</w:t>
      </w:r>
      <w:r>
        <w:rPr>
          <w:rFonts w:ascii="仿宋" w:hAnsi="仿宋" w:eastAsia="仿宋" w:cs="仿宋"/>
          <w:spacing w:val="7"/>
          <w:sz w:val="25"/>
          <w:szCs w:val="25"/>
        </w:rPr>
        <w:t>〕</w:t>
      </w:r>
      <w:r>
        <w:rPr>
          <w:rFonts w:ascii="Times New Roman" w:hAnsi="Times New Roman" w:eastAsia="Times New Roman" w:cs="Times New Roman"/>
          <w:spacing w:val="7"/>
          <w:sz w:val="25"/>
          <w:szCs w:val="25"/>
        </w:rPr>
        <w:t>41</w:t>
      </w:r>
      <w:r>
        <w:rPr>
          <w:rFonts w:ascii="Times New Roman" w:hAnsi="Times New Roman" w:eastAsia="Times New Roman" w:cs="Times New Roman"/>
          <w:spacing w:val="29"/>
          <w:sz w:val="25"/>
          <w:szCs w:val="25"/>
        </w:rPr>
        <w:t xml:space="preserve"> </w:t>
      </w:r>
      <w:r>
        <w:rPr>
          <w:rFonts w:ascii="仿宋" w:hAnsi="仿宋" w:eastAsia="仿宋" w:cs="仿宋"/>
          <w:spacing w:val="7"/>
          <w:sz w:val="25"/>
          <w:szCs w:val="25"/>
        </w:rPr>
        <w:t>号</w:t>
      </w:r>
      <w:r>
        <w:rPr>
          <w:rFonts w:ascii="仿宋" w:hAnsi="仿宋" w:eastAsia="仿宋" w:cs="仿宋"/>
          <w:spacing w:val="5"/>
          <w:sz w:val="25"/>
          <w:szCs w:val="25"/>
        </w:rPr>
        <w:t>）；</w:t>
      </w:r>
    </w:p>
    <w:p w14:paraId="66CA6FE3">
      <w:pPr>
        <w:spacing w:before="151" w:line="284" w:lineRule="auto"/>
        <w:ind w:left="4" w:right="115" w:firstLine="436"/>
        <w:rPr>
          <w:rFonts w:ascii="仿宋" w:hAnsi="仿宋" w:eastAsia="仿宋" w:cs="仿宋"/>
          <w:sz w:val="25"/>
          <w:szCs w:val="25"/>
        </w:rPr>
      </w:pPr>
      <w:r>
        <w:rPr>
          <w:rFonts w:ascii="仿宋" w:hAnsi="仿宋" w:eastAsia="仿宋" w:cs="仿宋"/>
          <w:spacing w:val="13"/>
          <w:sz w:val="25"/>
          <w:szCs w:val="25"/>
        </w:rPr>
        <w:t>（</w:t>
      </w:r>
      <w:r>
        <w:rPr>
          <w:rFonts w:ascii="Times New Roman" w:hAnsi="Times New Roman" w:eastAsia="Times New Roman" w:cs="Times New Roman"/>
          <w:spacing w:val="13"/>
          <w:sz w:val="25"/>
          <w:szCs w:val="25"/>
        </w:rPr>
        <w:t>53</w:t>
      </w:r>
      <w:r>
        <w:rPr>
          <w:rFonts w:ascii="仿宋" w:hAnsi="仿宋" w:eastAsia="仿宋" w:cs="仿宋"/>
          <w:spacing w:val="13"/>
          <w:sz w:val="25"/>
          <w:szCs w:val="25"/>
        </w:rPr>
        <w:t>）《重庆市人民政府关于</w:t>
      </w:r>
      <w:r>
        <w:rPr>
          <w:rFonts w:ascii="Times New Roman" w:hAnsi="Times New Roman" w:eastAsia="Times New Roman" w:cs="Times New Roman"/>
          <w:spacing w:val="13"/>
          <w:sz w:val="25"/>
          <w:szCs w:val="25"/>
        </w:rPr>
        <w:t>&lt;</w:t>
      </w:r>
      <w:r>
        <w:rPr>
          <w:rFonts w:ascii="Times New Roman" w:hAnsi="Times New Roman" w:eastAsia="Times New Roman" w:cs="Times New Roman"/>
          <w:spacing w:val="-26"/>
          <w:sz w:val="25"/>
          <w:szCs w:val="25"/>
        </w:rPr>
        <w:t xml:space="preserve"> </w:t>
      </w:r>
      <w:r>
        <w:rPr>
          <w:rFonts w:ascii="仿宋" w:hAnsi="仿宋" w:eastAsia="仿宋" w:cs="仿宋"/>
          <w:spacing w:val="13"/>
          <w:sz w:val="25"/>
          <w:szCs w:val="25"/>
        </w:rPr>
        <w:t>重庆市黔江区国土空间总体规划（</w:t>
      </w:r>
      <w:r>
        <w:rPr>
          <w:rFonts w:ascii="Times New Roman" w:hAnsi="Times New Roman" w:eastAsia="Times New Roman" w:cs="Times New Roman"/>
          <w:spacing w:val="13"/>
          <w:sz w:val="25"/>
          <w:szCs w:val="25"/>
        </w:rPr>
        <w:t>2021</w:t>
      </w:r>
      <w:r>
        <w:rPr>
          <w:rFonts w:ascii="Times New Roman" w:hAnsi="Times New Roman" w:eastAsia="Times New Roman" w:cs="Times New Roman"/>
          <w:spacing w:val="-44"/>
          <w:sz w:val="25"/>
          <w:szCs w:val="25"/>
        </w:rPr>
        <w:t xml:space="preserve"> </w:t>
      </w:r>
      <w:r>
        <w:rPr>
          <w:rFonts w:ascii="仿宋" w:hAnsi="仿宋" w:eastAsia="仿宋" w:cs="仿宋"/>
          <w:spacing w:val="13"/>
          <w:sz w:val="25"/>
          <w:szCs w:val="25"/>
        </w:rPr>
        <w:t>—</w:t>
      </w:r>
      <w:r>
        <w:rPr>
          <w:rFonts w:ascii="仿宋" w:hAnsi="仿宋" w:eastAsia="仿宋" w:cs="仿宋"/>
          <w:sz w:val="25"/>
          <w:szCs w:val="25"/>
        </w:rPr>
        <w:t xml:space="preserve"> </w:t>
      </w:r>
      <w:r>
        <w:rPr>
          <w:rFonts w:ascii="Times New Roman" w:hAnsi="Times New Roman" w:eastAsia="Times New Roman" w:cs="Times New Roman"/>
          <w:spacing w:val="4"/>
          <w:sz w:val="25"/>
          <w:szCs w:val="25"/>
        </w:rPr>
        <w:t>2035</w:t>
      </w:r>
      <w:r>
        <w:rPr>
          <w:rFonts w:ascii="Times New Roman" w:hAnsi="Times New Roman" w:eastAsia="Times New Roman" w:cs="Times New Roman"/>
          <w:spacing w:val="27"/>
          <w:sz w:val="25"/>
          <w:szCs w:val="25"/>
        </w:rPr>
        <w:t xml:space="preserve"> </w:t>
      </w:r>
      <w:r>
        <w:rPr>
          <w:rFonts w:ascii="仿宋" w:hAnsi="仿宋" w:eastAsia="仿宋" w:cs="仿宋"/>
          <w:spacing w:val="4"/>
          <w:sz w:val="25"/>
          <w:szCs w:val="25"/>
        </w:rPr>
        <w:t>年）</w:t>
      </w:r>
      <w:r>
        <w:rPr>
          <w:rFonts w:ascii="Times New Roman" w:hAnsi="Times New Roman" w:eastAsia="Times New Roman" w:cs="Times New Roman"/>
          <w:spacing w:val="4"/>
          <w:sz w:val="25"/>
          <w:szCs w:val="25"/>
        </w:rPr>
        <w:t>&gt;</w:t>
      </w:r>
      <w:r>
        <w:rPr>
          <w:rFonts w:ascii="Times New Roman" w:hAnsi="Times New Roman" w:eastAsia="Times New Roman" w:cs="Times New Roman"/>
          <w:spacing w:val="-32"/>
          <w:sz w:val="25"/>
          <w:szCs w:val="25"/>
        </w:rPr>
        <w:t xml:space="preserve"> </w:t>
      </w:r>
      <w:r>
        <w:rPr>
          <w:rFonts w:ascii="仿宋" w:hAnsi="仿宋" w:eastAsia="仿宋" w:cs="仿宋"/>
          <w:spacing w:val="4"/>
          <w:sz w:val="25"/>
          <w:szCs w:val="25"/>
        </w:rPr>
        <w:t>的批复》（渝府〔</w:t>
      </w:r>
      <w:r>
        <w:rPr>
          <w:rFonts w:ascii="Times New Roman" w:hAnsi="Times New Roman" w:eastAsia="Times New Roman" w:cs="Times New Roman"/>
          <w:spacing w:val="4"/>
          <w:sz w:val="25"/>
          <w:szCs w:val="25"/>
        </w:rPr>
        <w:t>2024</w:t>
      </w:r>
      <w:r>
        <w:rPr>
          <w:rFonts w:ascii="仿宋" w:hAnsi="仿宋" w:eastAsia="仿宋" w:cs="仿宋"/>
          <w:spacing w:val="3"/>
          <w:sz w:val="25"/>
          <w:szCs w:val="25"/>
        </w:rPr>
        <w:t>〕</w:t>
      </w:r>
      <w:r>
        <w:rPr>
          <w:rFonts w:ascii="Times New Roman" w:hAnsi="Times New Roman" w:eastAsia="Times New Roman" w:cs="Times New Roman"/>
          <w:spacing w:val="3"/>
          <w:sz w:val="25"/>
          <w:szCs w:val="25"/>
        </w:rPr>
        <w:t>21</w:t>
      </w:r>
      <w:r>
        <w:rPr>
          <w:rFonts w:ascii="Times New Roman" w:hAnsi="Times New Roman" w:eastAsia="Times New Roman" w:cs="Times New Roman"/>
          <w:spacing w:val="28"/>
          <w:w w:val="101"/>
          <w:sz w:val="25"/>
          <w:szCs w:val="25"/>
        </w:rPr>
        <w:t xml:space="preserve"> </w:t>
      </w:r>
      <w:r>
        <w:rPr>
          <w:rFonts w:ascii="仿宋" w:hAnsi="仿宋" w:eastAsia="仿宋" w:cs="仿宋"/>
          <w:spacing w:val="3"/>
          <w:sz w:val="25"/>
          <w:szCs w:val="25"/>
        </w:rPr>
        <w:t>号</w:t>
      </w:r>
      <w:r>
        <w:rPr>
          <w:rFonts w:ascii="仿宋" w:hAnsi="仿宋" w:eastAsia="仿宋" w:cs="仿宋"/>
          <w:sz w:val="25"/>
          <w:szCs w:val="25"/>
        </w:rPr>
        <w:t>）；</w:t>
      </w:r>
    </w:p>
    <w:p w14:paraId="55E589DE">
      <w:pPr>
        <w:spacing w:before="151" w:line="228" w:lineRule="auto"/>
        <w:jc w:val="right"/>
        <w:rPr>
          <w:rFonts w:ascii="仿宋" w:hAnsi="仿宋" w:eastAsia="仿宋" w:cs="仿宋"/>
          <w:sz w:val="25"/>
          <w:szCs w:val="25"/>
        </w:rPr>
      </w:pPr>
      <w:r>
        <w:rPr>
          <w:rFonts w:ascii="仿宋" w:hAnsi="仿宋" w:eastAsia="仿宋" w:cs="仿宋"/>
          <w:spacing w:val="1"/>
          <w:sz w:val="25"/>
          <w:szCs w:val="25"/>
        </w:rPr>
        <w:t>（</w:t>
      </w:r>
      <w:r>
        <w:rPr>
          <w:rFonts w:ascii="Times New Roman" w:hAnsi="Times New Roman" w:eastAsia="Times New Roman" w:cs="Times New Roman"/>
          <w:spacing w:val="1"/>
          <w:sz w:val="25"/>
          <w:szCs w:val="25"/>
        </w:rPr>
        <w:t>54</w:t>
      </w:r>
      <w:r>
        <w:rPr>
          <w:rFonts w:ascii="仿宋" w:hAnsi="仿宋" w:eastAsia="仿宋" w:cs="仿宋"/>
          <w:spacing w:val="1"/>
          <w:sz w:val="25"/>
          <w:szCs w:val="25"/>
        </w:rPr>
        <w:t>）《重庆市空气质量持续改善行动实施方案》（渝府发〔</w:t>
      </w:r>
      <w:r>
        <w:rPr>
          <w:rFonts w:ascii="Times New Roman" w:hAnsi="Times New Roman" w:eastAsia="Times New Roman" w:cs="Times New Roman"/>
          <w:spacing w:val="1"/>
          <w:sz w:val="25"/>
          <w:szCs w:val="25"/>
        </w:rPr>
        <w:t>2024</w:t>
      </w:r>
      <w:r>
        <w:rPr>
          <w:rFonts w:ascii="仿宋" w:hAnsi="仿宋" w:eastAsia="仿宋" w:cs="仿宋"/>
          <w:spacing w:val="1"/>
          <w:sz w:val="25"/>
          <w:szCs w:val="25"/>
        </w:rPr>
        <w:t>〕</w:t>
      </w:r>
      <w:r>
        <w:rPr>
          <w:rFonts w:ascii="Times New Roman" w:hAnsi="Times New Roman" w:eastAsia="Times New Roman" w:cs="Times New Roman"/>
          <w:spacing w:val="1"/>
          <w:sz w:val="25"/>
          <w:szCs w:val="25"/>
        </w:rPr>
        <w:t>15</w:t>
      </w:r>
      <w:r>
        <w:rPr>
          <w:rFonts w:ascii="Times New Roman" w:hAnsi="Times New Roman" w:eastAsia="Times New Roman" w:cs="Times New Roman"/>
          <w:spacing w:val="30"/>
          <w:sz w:val="25"/>
          <w:szCs w:val="25"/>
        </w:rPr>
        <w:t xml:space="preserve"> </w:t>
      </w:r>
      <w:r>
        <w:rPr>
          <w:rFonts w:ascii="仿宋" w:hAnsi="仿宋" w:eastAsia="仿宋" w:cs="仿宋"/>
          <w:spacing w:val="1"/>
          <w:sz w:val="25"/>
          <w:szCs w:val="25"/>
        </w:rPr>
        <w:t>号</w:t>
      </w:r>
      <w:r>
        <w:rPr>
          <w:rFonts w:ascii="仿宋" w:hAnsi="仿宋" w:eastAsia="仿宋" w:cs="仿宋"/>
          <w:spacing w:val="-67"/>
          <w:w w:val="95"/>
          <w:sz w:val="25"/>
          <w:szCs w:val="25"/>
        </w:rPr>
        <w:t>）；</w:t>
      </w:r>
    </w:p>
    <w:p w14:paraId="61FEA2C1">
      <w:pPr>
        <w:spacing w:before="150" w:line="228" w:lineRule="auto"/>
        <w:ind w:left="440"/>
        <w:rPr>
          <w:rFonts w:ascii="仿宋" w:hAnsi="仿宋" w:eastAsia="仿宋" w:cs="仿宋"/>
          <w:sz w:val="25"/>
          <w:szCs w:val="25"/>
        </w:rPr>
      </w:pPr>
      <w:r>
        <w:rPr>
          <w:rFonts w:ascii="仿宋" w:hAnsi="仿宋" w:eastAsia="仿宋" w:cs="仿宋"/>
          <w:spacing w:val="3"/>
          <w:sz w:val="25"/>
          <w:szCs w:val="25"/>
        </w:rPr>
        <w:t>（</w:t>
      </w:r>
      <w:r>
        <w:rPr>
          <w:rFonts w:ascii="Times New Roman" w:hAnsi="Times New Roman" w:eastAsia="Times New Roman" w:cs="Times New Roman"/>
          <w:spacing w:val="3"/>
          <w:sz w:val="25"/>
          <w:szCs w:val="25"/>
        </w:rPr>
        <w:t>55</w:t>
      </w:r>
      <w:r>
        <w:rPr>
          <w:rFonts w:ascii="仿宋" w:hAnsi="仿宋" w:eastAsia="仿宋" w:cs="仿宋"/>
          <w:spacing w:val="3"/>
          <w:sz w:val="25"/>
          <w:szCs w:val="25"/>
        </w:rPr>
        <w:t>）《重庆市林地保护管理条例》（</w:t>
      </w:r>
      <w:r>
        <w:rPr>
          <w:rFonts w:ascii="Times New Roman" w:hAnsi="Times New Roman" w:eastAsia="Times New Roman" w:cs="Times New Roman"/>
          <w:spacing w:val="3"/>
          <w:sz w:val="25"/>
          <w:szCs w:val="25"/>
        </w:rPr>
        <w:t>2018</w:t>
      </w:r>
      <w:r>
        <w:rPr>
          <w:rFonts w:ascii="Times New Roman" w:hAnsi="Times New Roman" w:eastAsia="Times New Roman" w:cs="Times New Roman"/>
          <w:spacing w:val="28"/>
          <w:sz w:val="25"/>
          <w:szCs w:val="25"/>
        </w:rPr>
        <w:t xml:space="preserve"> </w:t>
      </w:r>
      <w:r>
        <w:rPr>
          <w:rFonts w:ascii="仿宋" w:hAnsi="仿宋" w:eastAsia="仿宋" w:cs="仿宋"/>
          <w:spacing w:val="3"/>
          <w:sz w:val="25"/>
          <w:szCs w:val="25"/>
        </w:rPr>
        <w:t>年</w:t>
      </w:r>
      <w:r>
        <w:rPr>
          <w:rFonts w:ascii="仿宋" w:hAnsi="仿宋" w:eastAsia="仿宋" w:cs="仿宋"/>
          <w:spacing w:val="-51"/>
          <w:sz w:val="25"/>
          <w:szCs w:val="25"/>
        </w:rPr>
        <w:t xml:space="preserve"> </w:t>
      </w:r>
      <w:r>
        <w:rPr>
          <w:rFonts w:ascii="Times New Roman" w:hAnsi="Times New Roman" w:eastAsia="Times New Roman" w:cs="Times New Roman"/>
          <w:spacing w:val="3"/>
          <w:sz w:val="25"/>
          <w:szCs w:val="25"/>
        </w:rPr>
        <w:t>7</w:t>
      </w:r>
      <w:r>
        <w:rPr>
          <w:rFonts w:ascii="Times New Roman" w:hAnsi="Times New Roman" w:eastAsia="Times New Roman" w:cs="Times New Roman"/>
          <w:spacing w:val="32"/>
          <w:sz w:val="25"/>
          <w:szCs w:val="25"/>
        </w:rPr>
        <w:t xml:space="preserve"> </w:t>
      </w:r>
      <w:r>
        <w:rPr>
          <w:rFonts w:ascii="仿宋" w:hAnsi="仿宋" w:eastAsia="仿宋" w:cs="仿宋"/>
          <w:spacing w:val="3"/>
          <w:sz w:val="25"/>
          <w:szCs w:val="25"/>
        </w:rPr>
        <w:t>月</w:t>
      </w:r>
      <w:r>
        <w:rPr>
          <w:rFonts w:ascii="仿宋" w:hAnsi="仿宋" w:eastAsia="仿宋" w:cs="仿宋"/>
          <w:spacing w:val="-52"/>
          <w:sz w:val="25"/>
          <w:szCs w:val="25"/>
        </w:rPr>
        <w:t xml:space="preserve"> </w:t>
      </w:r>
      <w:r>
        <w:rPr>
          <w:rFonts w:ascii="Times New Roman" w:hAnsi="Times New Roman" w:eastAsia="Times New Roman" w:cs="Times New Roman"/>
          <w:spacing w:val="3"/>
          <w:sz w:val="25"/>
          <w:szCs w:val="25"/>
        </w:rPr>
        <w:t xml:space="preserve">26  </w:t>
      </w:r>
      <w:r>
        <w:rPr>
          <w:rFonts w:ascii="仿宋" w:hAnsi="仿宋" w:eastAsia="仿宋" w:cs="仿宋"/>
          <w:spacing w:val="3"/>
          <w:sz w:val="25"/>
          <w:szCs w:val="25"/>
        </w:rPr>
        <w:t>日修正</w:t>
      </w:r>
      <w:r>
        <w:rPr>
          <w:rFonts w:ascii="仿宋" w:hAnsi="仿宋" w:eastAsia="仿宋" w:cs="仿宋"/>
          <w:spacing w:val="2"/>
          <w:sz w:val="25"/>
          <w:szCs w:val="25"/>
        </w:rPr>
        <w:t>）；</w:t>
      </w:r>
    </w:p>
    <w:p w14:paraId="6508FAD2">
      <w:pPr>
        <w:spacing w:before="152" w:line="228" w:lineRule="auto"/>
        <w:jc w:val="right"/>
        <w:rPr>
          <w:rFonts w:ascii="仿宋" w:hAnsi="仿宋" w:eastAsia="仿宋" w:cs="仿宋"/>
          <w:sz w:val="25"/>
          <w:szCs w:val="25"/>
        </w:rPr>
      </w:pPr>
      <w:r>
        <w:rPr>
          <w:rFonts w:ascii="仿宋" w:hAnsi="仿宋" w:eastAsia="仿宋" w:cs="仿宋"/>
          <w:spacing w:val="-2"/>
          <w:sz w:val="25"/>
          <w:szCs w:val="25"/>
        </w:rPr>
        <w:t>（</w:t>
      </w:r>
      <w:r>
        <w:rPr>
          <w:rFonts w:ascii="Times New Roman" w:hAnsi="Times New Roman" w:eastAsia="Times New Roman" w:cs="Times New Roman"/>
          <w:spacing w:val="-2"/>
          <w:sz w:val="25"/>
          <w:szCs w:val="25"/>
        </w:rPr>
        <w:t>56</w:t>
      </w:r>
      <w:r>
        <w:rPr>
          <w:rFonts w:ascii="仿宋" w:hAnsi="仿宋" w:eastAsia="仿宋" w:cs="仿宋"/>
          <w:spacing w:val="-2"/>
          <w:sz w:val="25"/>
          <w:szCs w:val="25"/>
        </w:rPr>
        <w:t>）《重庆市市级自然公园管理办法（试行）》（渝林规范〔</w:t>
      </w:r>
      <w:r>
        <w:rPr>
          <w:rFonts w:ascii="Times New Roman" w:hAnsi="Times New Roman" w:eastAsia="Times New Roman" w:cs="Times New Roman"/>
          <w:spacing w:val="-2"/>
          <w:sz w:val="25"/>
          <w:szCs w:val="25"/>
        </w:rPr>
        <w:t>2024</w:t>
      </w:r>
      <w:r>
        <w:rPr>
          <w:rFonts w:ascii="仿宋" w:hAnsi="仿宋" w:eastAsia="仿宋" w:cs="仿宋"/>
          <w:spacing w:val="-2"/>
          <w:sz w:val="25"/>
          <w:szCs w:val="25"/>
        </w:rPr>
        <w:t>〕</w:t>
      </w:r>
      <w:r>
        <w:rPr>
          <w:rFonts w:ascii="Times New Roman" w:hAnsi="Times New Roman" w:eastAsia="Times New Roman" w:cs="Times New Roman"/>
          <w:spacing w:val="-2"/>
          <w:sz w:val="25"/>
          <w:szCs w:val="25"/>
        </w:rPr>
        <w:t>8</w:t>
      </w:r>
      <w:r>
        <w:rPr>
          <w:rFonts w:ascii="Times New Roman" w:hAnsi="Times New Roman" w:eastAsia="Times New Roman" w:cs="Times New Roman"/>
          <w:spacing w:val="30"/>
          <w:sz w:val="25"/>
          <w:szCs w:val="25"/>
        </w:rPr>
        <w:t xml:space="preserve"> </w:t>
      </w:r>
      <w:r>
        <w:rPr>
          <w:rFonts w:ascii="仿宋" w:hAnsi="仿宋" w:eastAsia="仿宋" w:cs="仿宋"/>
          <w:spacing w:val="-2"/>
          <w:sz w:val="25"/>
          <w:szCs w:val="25"/>
        </w:rPr>
        <w:t>号</w:t>
      </w:r>
      <w:r>
        <w:rPr>
          <w:rFonts w:ascii="仿宋" w:hAnsi="仿宋" w:eastAsia="仿宋" w:cs="仿宋"/>
          <w:spacing w:val="-63"/>
          <w:w w:val="90"/>
          <w:sz w:val="25"/>
          <w:szCs w:val="25"/>
        </w:rPr>
        <w:t>）；</w:t>
      </w:r>
    </w:p>
    <w:p w14:paraId="035E253D">
      <w:pPr>
        <w:spacing w:before="152" w:line="284" w:lineRule="auto"/>
        <w:ind w:left="16" w:right="115" w:firstLine="424"/>
        <w:rPr>
          <w:rFonts w:ascii="仿宋" w:hAnsi="仿宋" w:eastAsia="仿宋" w:cs="仿宋"/>
          <w:sz w:val="25"/>
          <w:szCs w:val="25"/>
        </w:rPr>
      </w:pPr>
      <w:r>
        <w:rPr>
          <w:rFonts w:ascii="仿宋" w:hAnsi="仿宋" w:eastAsia="仿宋" w:cs="仿宋"/>
          <w:spacing w:val="4"/>
          <w:sz w:val="25"/>
          <w:szCs w:val="25"/>
        </w:rPr>
        <w:t>（</w:t>
      </w:r>
      <w:r>
        <w:rPr>
          <w:rFonts w:ascii="Times New Roman" w:hAnsi="Times New Roman" w:eastAsia="Times New Roman" w:cs="Times New Roman"/>
          <w:spacing w:val="4"/>
          <w:sz w:val="25"/>
          <w:szCs w:val="25"/>
        </w:rPr>
        <w:t>57</w:t>
      </w:r>
      <w:r>
        <w:rPr>
          <w:rFonts w:ascii="仿宋" w:hAnsi="仿宋" w:eastAsia="仿宋" w:cs="仿宋"/>
          <w:spacing w:val="4"/>
          <w:sz w:val="25"/>
          <w:szCs w:val="25"/>
        </w:rPr>
        <w:t>）《重庆市林业局关于进一步规范建设项目占用湿地管理的通知》（渝</w:t>
      </w:r>
      <w:r>
        <w:rPr>
          <w:rFonts w:ascii="仿宋" w:hAnsi="仿宋" w:eastAsia="仿宋" w:cs="仿宋"/>
          <w:spacing w:val="15"/>
          <w:sz w:val="25"/>
          <w:szCs w:val="25"/>
        </w:rPr>
        <w:t xml:space="preserve"> </w:t>
      </w:r>
      <w:r>
        <w:rPr>
          <w:rFonts w:ascii="仿宋" w:hAnsi="仿宋" w:eastAsia="仿宋" w:cs="仿宋"/>
          <w:spacing w:val="4"/>
          <w:sz w:val="25"/>
          <w:szCs w:val="25"/>
        </w:rPr>
        <w:t>林规范〔</w:t>
      </w:r>
      <w:r>
        <w:rPr>
          <w:rFonts w:ascii="Times New Roman" w:hAnsi="Times New Roman" w:eastAsia="Times New Roman" w:cs="Times New Roman"/>
          <w:spacing w:val="4"/>
          <w:sz w:val="25"/>
          <w:szCs w:val="25"/>
        </w:rPr>
        <w:t>2024</w:t>
      </w:r>
      <w:r>
        <w:rPr>
          <w:rFonts w:ascii="仿宋" w:hAnsi="仿宋" w:eastAsia="仿宋" w:cs="仿宋"/>
          <w:spacing w:val="4"/>
          <w:sz w:val="25"/>
          <w:szCs w:val="25"/>
        </w:rPr>
        <w:t>〕</w:t>
      </w:r>
      <w:r>
        <w:rPr>
          <w:rFonts w:ascii="Times New Roman" w:hAnsi="Times New Roman" w:eastAsia="Times New Roman" w:cs="Times New Roman"/>
          <w:spacing w:val="4"/>
          <w:sz w:val="25"/>
          <w:szCs w:val="25"/>
        </w:rPr>
        <w:t>9</w:t>
      </w:r>
      <w:r>
        <w:rPr>
          <w:rFonts w:ascii="Times New Roman" w:hAnsi="Times New Roman" w:eastAsia="Times New Roman" w:cs="Times New Roman"/>
          <w:spacing w:val="25"/>
          <w:w w:val="101"/>
          <w:sz w:val="25"/>
          <w:szCs w:val="25"/>
        </w:rPr>
        <w:t xml:space="preserve"> </w:t>
      </w:r>
      <w:r>
        <w:rPr>
          <w:rFonts w:ascii="仿宋" w:hAnsi="仿宋" w:eastAsia="仿宋" w:cs="仿宋"/>
          <w:spacing w:val="4"/>
          <w:sz w:val="25"/>
          <w:szCs w:val="25"/>
        </w:rPr>
        <w:t>号</w:t>
      </w:r>
      <w:r>
        <w:rPr>
          <w:rFonts w:ascii="仿宋" w:hAnsi="仿宋" w:eastAsia="仿宋" w:cs="仿宋"/>
          <w:sz w:val="25"/>
          <w:szCs w:val="25"/>
        </w:rPr>
        <w:t>）；</w:t>
      </w:r>
    </w:p>
    <w:p w14:paraId="0187AB31">
      <w:pPr>
        <w:spacing w:before="150" w:line="228" w:lineRule="auto"/>
        <w:ind w:right="44"/>
        <w:jc w:val="right"/>
        <w:rPr>
          <w:rFonts w:ascii="仿宋" w:hAnsi="仿宋" w:eastAsia="仿宋" w:cs="仿宋"/>
          <w:sz w:val="25"/>
          <w:szCs w:val="25"/>
        </w:rPr>
      </w:pPr>
      <w:r>
        <w:rPr>
          <w:rFonts w:ascii="仿宋" w:hAnsi="仿宋" w:eastAsia="仿宋" w:cs="仿宋"/>
          <w:spacing w:val="8"/>
          <w:sz w:val="25"/>
          <w:szCs w:val="25"/>
        </w:rPr>
        <w:t>（</w:t>
      </w:r>
      <w:r>
        <w:rPr>
          <w:rFonts w:ascii="Times New Roman" w:hAnsi="Times New Roman" w:eastAsia="Times New Roman" w:cs="Times New Roman"/>
          <w:spacing w:val="8"/>
          <w:sz w:val="25"/>
          <w:szCs w:val="25"/>
        </w:rPr>
        <w:t>58</w:t>
      </w:r>
      <w:r>
        <w:rPr>
          <w:rFonts w:ascii="仿宋" w:hAnsi="仿宋" w:eastAsia="仿宋" w:cs="仿宋"/>
          <w:spacing w:val="8"/>
          <w:sz w:val="25"/>
          <w:szCs w:val="25"/>
        </w:rPr>
        <w:t>）《重庆市野生植物管理办法（暂行）</w:t>
      </w:r>
      <w:r>
        <w:rPr>
          <w:rFonts w:ascii="仿宋" w:hAnsi="仿宋" w:eastAsia="仿宋" w:cs="仿宋"/>
          <w:spacing w:val="7"/>
          <w:sz w:val="25"/>
          <w:szCs w:val="25"/>
        </w:rPr>
        <w:t>》（渝林规范〔</w:t>
      </w:r>
      <w:r>
        <w:rPr>
          <w:rFonts w:ascii="Times New Roman" w:hAnsi="Times New Roman" w:eastAsia="Times New Roman" w:cs="Times New Roman"/>
          <w:spacing w:val="7"/>
          <w:sz w:val="25"/>
          <w:szCs w:val="25"/>
        </w:rPr>
        <w:t>2024</w:t>
      </w:r>
      <w:r>
        <w:rPr>
          <w:rFonts w:ascii="仿宋" w:hAnsi="仿宋" w:eastAsia="仿宋" w:cs="仿宋"/>
          <w:spacing w:val="7"/>
          <w:sz w:val="25"/>
          <w:szCs w:val="25"/>
        </w:rPr>
        <w:t>〕</w:t>
      </w:r>
      <w:r>
        <w:rPr>
          <w:rFonts w:ascii="Times New Roman" w:hAnsi="Times New Roman" w:eastAsia="Times New Roman" w:cs="Times New Roman"/>
          <w:spacing w:val="7"/>
          <w:sz w:val="25"/>
          <w:szCs w:val="25"/>
        </w:rPr>
        <w:t>2</w:t>
      </w:r>
      <w:r>
        <w:rPr>
          <w:rFonts w:ascii="Times New Roman" w:hAnsi="Times New Roman" w:eastAsia="Times New Roman" w:cs="Times New Roman"/>
          <w:spacing w:val="26"/>
          <w:sz w:val="25"/>
          <w:szCs w:val="25"/>
        </w:rPr>
        <w:t xml:space="preserve"> </w:t>
      </w:r>
      <w:r>
        <w:rPr>
          <w:rFonts w:ascii="仿宋" w:hAnsi="仿宋" w:eastAsia="仿宋" w:cs="仿宋"/>
          <w:spacing w:val="7"/>
          <w:sz w:val="25"/>
          <w:szCs w:val="25"/>
        </w:rPr>
        <w:t>号</w:t>
      </w:r>
      <w:r>
        <w:rPr>
          <w:rFonts w:ascii="仿宋" w:hAnsi="仿宋" w:eastAsia="仿宋" w:cs="仿宋"/>
          <w:sz w:val="25"/>
          <w:szCs w:val="25"/>
        </w:rPr>
        <w:t>）；</w:t>
      </w:r>
    </w:p>
    <w:p w14:paraId="47C33768">
      <w:pPr>
        <w:spacing w:before="151" w:line="285" w:lineRule="auto"/>
        <w:ind w:left="22" w:right="114" w:firstLine="418"/>
        <w:rPr>
          <w:rFonts w:ascii="仿宋" w:hAnsi="仿宋" w:eastAsia="仿宋" w:cs="仿宋"/>
          <w:sz w:val="25"/>
          <w:szCs w:val="25"/>
        </w:rPr>
      </w:pPr>
      <w:r>
        <w:rPr>
          <w:rFonts w:ascii="仿宋" w:hAnsi="仿宋" w:eastAsia="仿宋" w:cs="仿宋"/>
          <w:spacing w:val="10"/>
          <w:sz w:val="25"/>
          <w:szCs w:val="25"/>
        </w:rPr>
        <w:t>（</w:t>
      </w:r>
      <w:r>
        <w:rPr>
          <w:rFonts w:ascii="Times New Roman" w:hAnsi="Times New Roman" w:eastAsia="Times New Roman" w:cs="Times New Roman"/>
          <w:spacing w:val="10"/>
          <w:sz w:val="25"/>
          <w:szCs w:val="25"/>
        </w:rPr>
        <w:t>59</w:t>
      </w:r>
      <w:r>
        <w:rPr>
          <w:rFonts w:ascii="仿宋" w:hAnsi="仿宋" w:eastAsia="仿宋" w:cs="仿宋"/>
          <w:spacing w:val="10"/>
          <w:sz w:val="25"/>
          <w:szCs w:val="25"/>
        </w:rPr>
        <w:t>）《重庆市黔江区声环境功能区调整方案》</w:t>
      </w:r>
      <w:r>
        <w:rPr>
          <w:rFonts w:ascii="仿宋" w:hAnsi="仿宋" w:eastAsia="仿宋" w:cs="仿宋"/>
          <w:spacing w:val="-84"/>
          <w:sz w:val="25"/>
          <w:szCs w:val="25"/>
        </w:rPr>
        <w:t xml:space="preserve"> </w:t>
      </w:r>
      <w:r>
        <w:rPr>
          <w:rFonts w:ascii="仿宋" w:hAnsi="仿宋" w:eastAsia="仿宋" w:cs="仿宋"/>
          <w:spacing w:val="10"/>
          <w:sz w:val="25"/>
          <w:szCs w:val="25"/>
        </w:rPr>
        <w:t>（黔江府办发〔</w:t>
      </w:r>
      <w:r>
        <w:rPr>
          <w:rFonts w:ascii="Times New Roman" w:hAnsi="Times New Roman" w:eastAsia="Times New Roman" w:cs="Times New Roman"/>
          <w:spacing w:val="10"/>
          <w:sz w:val="25"/>
          <w:szCs w:val="25"/>
        </w:rPr>
        <w:t>2022</w:t>
      </w:r>
      <w:r>
        <w:rPr>
          <w:rFonts w:ascii="仿宋" w:hAnsi="仿宋" w:eastAsia="仿宋" w:cs="仿宋"/>
          <w:spacing w:val="10"/>
          <w:sz w:val="25"/>
          <w:szCs w:val="25"/>
        </w:rPr>
        <w:t>〕</w:t>
      </w:r>
      <w:r>
        <w:rPr>
          <w:rFonts w:ascii="Times New Roman" w:hAnsi="Times New Roman" w:eastAsia="Times New Roman" w:cs="Times New Roman"/>
          <w:spacing w:val="10"/>
          <w:sz w:val="25"/>
          <w:szCs w:val="25"/>
        </w:rPr>
        <w:t>89</w:t>
      </w:r>
      <w:r>
        <w:rPr>
          <w:rFonts w:ascii="Times New Roman" w:hAnsi="Times New Roman" w:eastAsia="Times New Roman" w:cs="Times New Roman"/>
          <w:sz w:val="25"/>
          <w:szCs w:val="25"/>
        </w:rPr>
        <w:t xml:space="preserve"> </w:t>
      </w:r>
      <w:r>
        <w:rPr>
          <w:rFonts w:ascii="仿宋" w:hAnsi="仿宋" w:eastAsia="仿宋" w:cs="仿宋"/>
          <w:spacing w:val="-5"/>
          <w:sz w:val="25"/>
          <w:szCs w:val="25"/>
        </w:rPr>
        <w:t>号）。</w:t>
      </w:r>
    </w:p>
    <w:p w14:paraId="3E86817C">
      <w:pPr>
        <w:spacing w:line="285" w:lineRule="auto"/>
        <w:rPr>
          <w:rFonts w:ascii="仿宋" w:hAnsi="仿宋" w:eastAsia="仿宋" w:cs="仿宋"/>
          <w:sz w:val="25"/>
          <w:szCs w:val="25"/>
        </w:rPr>
        <w:sectPr>
          <w:headerReference r:id="rId27" w:type="default"/>
          <w:footerReference r:id="rId28" w:type="default"/>
          <w:pgSz w:w="11906" w:h="16839"/>
          <w:pgMar w:top="1116" w:right="1360" w:bottom="1480" w:left="1587" w:header="683" w:footer="1318" w:gutter="0"/>
          <w:cols w:space="720" w:num="1"/>
        </w:sectPr>
      </w:pPr>
    </w:p>
    <w:p w14:paraId="0942752F">
      <w:pPr>
        <w:pStyle w:val="2"/>
        <w:spacing w:line="386" w:lineRule="auto"/>
      </w:pPr>
    </w:p>
    <w:p w14:paraId="0A1758C3">
      <w:pPr>
        <w:spacing w:before="81" w:line="228" w:lineRule="auto"/>
        <w:ind w:left="16"/>
        <w:outlineLvl w:val="2"/>
        <w:rPr>
          <w:rFonts w:ascii="仿宋" w:hAnsi="仿宋" w:eastAsia="仿宋" w:cs="仿宋"/>
          <w:sz w:val="25"/>
          <w:szCs w:val="25"/>
        </w:rPr>
      </w:pPr>
      <w:r>
        <w:rPr>
          <w:rFonts w:ascii="Times New Roman" w:hAnsi="Times New Roman" w:eastAsia="Times New Roman" w:cs="Times New Roman"/>
          <w:b/>
          <w:bCs/>
          <w:spacing w:val="6"/>
          <w:sz w:val="25"/>
          <w:szCs w:val="25"/>
        </w:rPr>
        <w:t xml:space="preserve">1.2.4  </w:t>
      </w:r>
      <w:r>
        <w:rPr>
          <w:rFonts w:ascii="仿宋" w:hAnsi="仿宋" w:eastAsia="仿宋" w:cs="仿宋"/>
          <w:b/>
          <w:bCs/>
          <w:spacing w:val="6"/>
          <w:sz w:val="25"/>
          <w:szCs w:val="25"/>
        </w:rPr>
        <w:t>环境影响评价技术规范及相关文件</w:t>
      </w:r>
    </w:p>
    <w:p w14:paraId="2736D1C2">
      <w:pPr>
        <w:spacing w:before="271" w:line="219" w:lineRule="auto"/>
        <w:ind w:left="541"/>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1</w:t>
      </w:r>
      <w:r>
        <w:rPr>
          <w:rFonts w:ascii="仿宋" w:hAnsi="仿宋" w:eastAsia="仿宋" w:cs="仿宋"/>
          <w:spacing w:val="7"/>
          <w:sz w:val="25"/>
          <w:szCs w:val="25"/>
        </w:rPr>
        <w:t>）《规划环境影响评价技术导则 总纲》</w:t>
      </w:r>
      <w:r>
        <w:rPr>
          <w:rFonts w:ascii="Times New Roman" w:hAnsi="Times New Roman" w:eastAsia="Times New Roman" w:cs="Times New Roman"/>
          <w:spacing w:val="7"/>
          <w:sz w:val="25"/>
          <w:szCs w:val="25"/>
        </w:rPr>
        <w:t>(</w:t>
      </w:r>
      <w:r>
        <w:rPr>
          <w:rFonts w:ascii="Times New Roman" w:hAnsi="Times New Roman" w:eastAsia="Times New Roman" w:cs="Times New Roman"/>
          <w:sz w:val="25"/>
          <w:szCs w:val="25"/>
        </w:rPr>
        <w:t>HJ</w:t>
      </w:r>
      <w:r>
        <w:rPr>
          <w:rFonts w:ascii="Times New Roman" w:hAnsi="Times New Roman" w:eastAsia="Times New Roman" w:cs="Times New Roman"/>
          <w:spacing w:val="7"/>
          <w:sz w:val="25"/>
          <w:szCs w:val="25"/>
        </w:rPr>
        <w:t>130-2019)</w:t>
      </w:r>
      <w:r>
        <w:rPr>
          <w:rFonts w:ascii="仿宋" w:hAnsi="仿宋" w:eastAsia="仿宋" w:cs="仿宋"/>
          <w:spacing w:val="7"/>
          <w:sz w:val="25"/>
          <w:szCs w:val="25"/>
        </w:rPr>
        <w:t>；</w:t>
      </w:r>
    </w:p>
    <w:p w14:paraId="3F0064E1">
      <w:pPr>
        <w:spacing w:before="161" w:line="229" w:lineRule="auto"/>
        <w:ind w:left="541"/>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2</w:t>
      </w:r>
      <w:r>
        <w:rPr>
          <w:rFonts w:ascii="仿宋" w:hAnsi="仿宋" w:eastAsia="仿宋" w:cs="仿宋"/>
          <w:spacing w:val="7"/>
          <w:sz w:val="25"/>
          <w:szCs w:val="25"/>
        </w:rPr>
        <w:t>）《环境影响评价技术导则 大气环境》（</w:t>
      </w:r>
      <w:r>
        <w:rPr>
          <w:rFonts w:ascii="Times New Roman" w:hAnsi="Times New Roman" w:eastAsia="Times New Roman" w:cs="Times New Roman"/>
          <w:sz w:val="25"/>
          <w:szCs w:val="25"/>
        </w:rPr>
        <w:t>HJ</w:t>
      </w:r>
      <w:r>
        <w:rPr>
          <w:rFonts w:ascii="Times New Roman" w:hAnsi="Times New Roman" w:eastAsia="Times New Roman" w:cs="Times New Roman"/>
          <w:spacing w:val="7"/>
          <w:sz w:val="25"/>
          <w:szCs w:val="25"/>
        </w:rPr>
        <w:t>2.2-2018</w:t>
      </w:r>
      <w:r>
        <w:rPr>
          <w:rFonts w:ascii="仿宋" w:hAnsi="仿宋" w:eastAsia="仿宋" w:cs="仿宋"/>
          <w:spacing w:val="9"/>
          <w:sz w:val="25"/>
          <w:szCs w:val="25"/>
        </w:rPr>
        <w:t>）；</w:t>
      </w:r>
    </w:p>
    <w:p w14:paraId="4A99DF0C">
      <w:pPr>
        <w:spacing w:before="150" w:line="229" w:lineRule="auto"/>
        <w:ind w:left="541"/>
        <w:rPr>
          <w:rFonts w:ascii="仿宋" w:hAnsi="仿宋" w:eastAsia="仿宋" w:cs="仿宋"/>
          <w:sz w:val="25"/>
          <w:szCs w:val="25"/>
        </w:rPr>
      </w:pPr>
      <w:r>
        <w:rPr>
          <w:rFonts w:ascii="仿宋" w:hAnsi="仿宋" w:eastAsia="仿宋" w:cs="仿宋"/>
          <w:spacing w:val="8"/>
          <w:sz w:val="25"/>
          <w:szCs w:val="25"/>
        </w:rPr>
        <w:t>（</w:t>
      </w:r>
      <w:r>
        <w:rPr>
          <w:rFonts w:ascii="Times New Roman" w:hAnsi="Times New Roman" w:eastAsia="Times New Roman" w:cs="Times New Roman"/>
          <w:spacing w:val="8"/>
          <w:sz w:val="25"/>
          <w:szCs w:val="25"/>
        </w:rPr>
        <w:t>3</w:t>
      </w:r>
      <w:r>
        <w:rPr>
          <w:rFonts w:ascii="仿宋" w:hAnsi="仿宋" w:eastAsia="仿宋" w:cs="仿宋"/>
          <w:spacing w:val="8"/>
          <w:sz w:val="25"/>
          <w:szCs w:val="25"/>
        </w:rPr>
        <w:t>）《环境影响评价技术导则 地表水环境》（</w:t>
      </w:r>
      <w:r>
        <w:rPr>
          <w:rFonts w:ascii="Times New Roman" w:hAnsi="Times New Roman" w:eastAsia="Times New Roman" w:cs="Times New Roman"/>
          <w:sz w:val="25"/>
          <w:szCs w:val="25"/>
        </w:rPr>
        <w:t>HJ</w:t>
      </w:r>
      <w:r>
        <w:rPr>
          <w:rFonts w:ascii="Times New Roman" w:hAnsi="Times New Roman" w:eastAsia="Times New Roman" w:cs="Times New Roman"/>
          <w:spacing w:val="7"/>
          <w:sz w:val="25"/>
          <w:szCs w:val="25"/>
        </w:rPr>
        <w:t>2.3-2018</w:t>
      </w:r>
      <w:r>
        <w:rPr>
          <w:rFonts w:ascii="仿宋" w:hAnsi="仿宋" w:eastAsia="仿宋" w:cs="仿宋"/>
          <w:sz w:val="25"/>
          <w:szCs w:val="25"/>
        </w:rPr>
        <w:t>）；</w:t>
      </w:r>
    </w:p>
    <w:p w14:paraId="4C6B0082">
      <w:pPr>
        <w:spacing w:before="151" w:line="229" w:lineRule="auto"/>
        <w:ind w:left="541"/>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4</w:t>
      </w:r>
      <w:r>
        <w:rPr>
          <w:rFonts w:ascii="仿宋" w:hAnsi="仿宋" w:eastAsia="仿宋" w:cs="仿宋"/>
          <w:spacing w:val="7"/>
          <w:sz w:val="25"/>
          <w:szCs w:val="25"/>
        </w:rPr>
        <w:t>）《环境影响评价技术导则 声环境》（</w:t>
      </w:r>
      <w:r>
        <w:rPr>
          <w:rFonts w:ascii="Times New Roman" w:hAnsi="Times New Roman" w:eastAsia="Times New Roman" w:cs="Times New Roman"/>
          <w:sz w:val="25"/>
          <w:szCs w:val="25"/>
        </w:rPr>
        <w:t>HJ</w:t>
      </w:r>
      <w:r>
        <w:rPr>
          <w:rFonts w:ascii="Times New Roman" w:hAnsi="Times New Roman" w:eastAsia="Times New Roman" w:cs="Times New Roman"/>
          <w:spacing w:val="7"/>
          <w:sz w:val="25"/>
          <w:szCs w:val="25"/>
        </w:rPr>
        <w:t>2.4-2021</w:t>
      </w:r>
      <w:r>
        <w:rPr>
          <w:rFonts w:ascii="仿宋" w:hAnsi="仿宋" w:eastAsia="仿宋" w:cs="仿宋"/>
          <w:spacing w:val="8"/>
          <w:sz w:val="25"/>
          <w:szCs w:val="25"/>
        </w:rPr>
        <w:t>）；</w:t>
      </w:r>
    </w:p>
    <w:p w14:paraId="4500522E">
      <w:pPr>
        <w:spacing w:before="148" w:line="229" w:lineRule="auto"/>
        <w:ind w:left="541"/>
        <w:rPr>
          <w:rFonts w:ascii="仿宋" w:hAnsi="仿宋" w:eastAsia="仿宋" w:cs="仿宋"/>
          <w:sz w:val="25"/>
          <w:szCs w:val="25"/>
        </w:rPr>
      </w:pPr>
      <w:r>
        <w:rPr>
          <w:rFonts w:ascii="仿宋" w:hAnsi="仿宋" w:eastAsia="仿宋" w:cs="仿宋"/>
          <w:spacing w:val="8"/>
          <w:sz w:val="25"/>
          <w:szCs w:val="25"/>
        </w:rPr>
        <w:t>（</w:t>
      </w:r>
      <w:r>
        <w:rPr>
          <w:rFonts w:ascii="Times New Roman" w:hAnsi="Times New Roman" w:eastAsia="Times New Roman" w:cs="Times New Roman"/>
          <w:spacing w:val="8"/>
          <w:sz w:val="25"/>
          <w:szCs w:val="25"/>
        </w:rPr>
        <w:t>5</w:t>
      </w:r>
      <w:r>
        <w:rPr>
          <w:rFonts w:ascii="仿宋" w:hAnsi="仿宋" w:eastAsia="仿宋" w:cs="仿宋"/>
          <w:spacing w:val="8"/>
          <w:sz w:val="25"/>
          <w:szCs w:val="25"/>
        </w:rPr>
        <w:t>）《环境影响评价技术导则 地下水环境》（</w:t>
      </w:r>
      <w:r>
        <w:rPr>
          <w:rFonts w:ascii="Times New Roman" w:hAnsi="Times New Roman" w:eastAsia="Times New Roman" w:cs="Times New Roman"/>
          <w:sz w:val="25"/>
          <w:szCs w:val="25"/>
        </w:rPr>
        <w:t>HJ</w:t>
      </w:r>
      <w:r>
        <w:rPr>
          <w:rFonts w:ascii="Times New Roman" w:hAnsi="Times New Roman" w:eastAsia="Times New Roman" w:cs="Times New Roman"/>
          <w:spacing w:val="8"/>
          <w:sz w:val="25"/>
          <w:szCs w:val="25"/>
        </w:rPr>
        <w:t>610</w:t>
      </w:r>
      <w:r>
        <w:rPr>
          <w:rFonts w:ascii="Times New Roman" w:hAnsi="Times New Roman" w:eastAsia="Times New Roman" w:cs="Times New Roman"/>
          <w:spacing w:val="7"/>
          <w:sz w:val="25"/>
          <w:szCs w:val="25"/>
        </w:rPr>
        <w:t>-2016</w:t>
      </w:r>
      <w:r>
        <w:rPr>
          <w:rFonts w:ascii="仿宋" w:hAnsi="仿宋" w:eastAsia="仿宋" w:cs="仿宋"/>
          <w:sz w:val="25"/>
          <w:szCs w:val="25"/>
        </w:rPr>
        <w:t>）；</w:t>
      </w:r>
    </w:p>
    <w:p w14:paraId="328155BD">
      <w:pPr>
        <w:spacing w:before="151" w:line="229" w:lineRule="auto"/>
        <w:ind w:left="541"/>
        <w:rPr>
          <w:rFonts w:ascii="仿宋" w:hAnsi="仿宋" w:eastAsia="仿宋" w:cs="仿宋"/>
          <w:sz w:val="25"/>
          <w:szCs w:val="25"/>
        </w:rPr>
      </w:pPr>
      <w:r>
        <w:rPr>
          <w:rFonts w:ascii="仿宋" w:hAnsi="仿宋" w:eastAsia="仿宋" w:cs="仿宋"/>
          <w:spacing w:val="6"/>
          <w:sz w:val="25"/>
          <w:szCs w:val="25"/>
        </w:rPr>
        <w:t>（</w:t>
      </w:r>
      <w:r>
        <w:rPr>
          <w:rFonts w:ascii="Times New Roman" w:hAnsi="Times New Roman" w:eastAsia="Times New Roman" w:cs="Times New Roman"/>
          <w:spacing w:val="6"/>
          <w:sz w:val="25"/>
          <w:szCs w:val="25"/>
        </w:rPr>
        <w:t>6</w:t>
      </w:r>
      <w:r>
        <w:rPr>
          <w:rFonts w:ascii="仿宋" w:hAnsi="仿宋" w:eastAsia="仿宋" w:cs="仿宋"/>
          <w:spacing w:val="6"/>
          <w:sz w:val="25"/>
          <w:szCs w:val="25"/>
        </w:rPr>
        <w:t>）《环境影响评价技术导则</w:t>
      </w:r>
      <w:r>
        <w:rPr>
          <w:rFonts w:ascii="仿宋" w:hAnsi="仿宋" w:eastAsia="仿宋" w:cs="仿宋"/>
          <w:spacing w:val="40"/>
          <w:sz w:val="25"/>
          <w:szCs w:val="25"/>
        </w:rPr>
        <w:t xml:space="preserve"> </w:t>
      </w:r>
      <w:r>
        <w:rPr>
          <w:rFonts w:ascii="仿宋" w:hAnsi="仿宋" w:eastAsia="仿宋" w:cs="仿宋"/>
          <w:spacing w:val="6"/>
          <w:sz w:val="25"/>
          <w:szCs w:val="25"/>
        </w:rPr>
        <w:t>生态影响》（</w:t>
      </w:r>
      <w:r>
        <w:rPr>
          <w:rFonts w:ascii="Times New Roman" w:hAnsi="Times New Roman" w:eastAsia="Times New Roman" w:cs="Times New Roman"/>
          <w:sz w:val="25"/>
          <w:szCs w:val="25"/>
        </w:rPr>
        <w:t>HJ</w:t>
      </w:r>
      <w:r>
        <w:rPr>
          <w:rFonts w:ascii="Times New Roman" w:hAnsi="Times New Roman" w:eastAsia="Times New Roman" w:cs="Times New Roman"/>
          <w:spacing w:val="6"/>
          <w:sz w:val="25"/>
          <w:szCs w:val="25"/>
        </w:rPr>
        <w:t>19-2022</w:t>
      </w:r>
      <w:r>
        <w:rPr>
          <w:rFonts w:ascii="仿宋" w:hAnsi="仿宋" w:eastAsia="仿宋" w:cs="仿宋"/>
          <w:spacing w:val="8"/>
          <w:sz w:val="25"/>
          <w:szCs w:val="25"/>
        </w:rPr>
        <w:t>）；</w:t>
      </w:r>
    </w:p>
    <w:p w14:paraId="63EF9B22">
      <w:pPr>
        <w:spacing w:before="150" w:line="228" w:lineRule="auto"/>
        <w:ind w:left="541"/>
        <w:rPr>
          <w:rFonts w:ascii="仿宋" w:hAnsi="仿宋" w:eastAsia="仿宋" w:cs="仿宋"/>
          <w:sz w:val="25"/>
          <w:szCs w:val="25"/>
        </w:rPr>
      </w:pPr>
      <w:r>
        <w:rPr>
          <w:rFonts w:ascii="仿宋" w:hAnsi="仿宋" w:eastAsia="仿宋" w:cs="仿宋"/>
          <w:spacing w:val="8"/>
          <w:sz w:val="25"/>
          <w:szCs w:val="25"/>
        </w:rPr>
        <w:t>（</w:t>
      </w:r>
      <w:r>
        <w:rPr>
          <w:rFonts w:ascii="Times New Roman" w:hAnsi="Times New Roman" w:eastAsia="Times New Roman" w:cs="Times New Roman"/>
          <w:spacing w:val="8"/>
          <w:sz w:val="25"/>
          <w:szCs w:val="25"/>
        </w:rPr>
        <w:t>7</w:t>
      </w:r>
      <w:r>
        <w:rPr>
          <w:rFonts w:ascii="仿宋" w:hAnsi="仿宋" w:eastAsia="仿宋" w:cs="仿宋"/>
          <w:spacing w:val="8"/>
          <w:sz w:val="25"/>
          <w:szCs w:val="25"/>
        </w:rPr>
        <w:t>）《环境影响评价技术导则 土壤环境（试行）》（</w:t>
      </w:r>
      <w:r>
        <w:rPr>
          <w:rFonts w:ascii="Times New Roman" w:hAnsi="Times New Roman" w:eastAsia="Times New Roman" w:cs="Times New Roman"/>
          <w:sz w:val="25"/>
          <w:szCs w:val="25"/>
        </w:rPr>
        <w:t>HJ</w:t>
      </w:r>
      <w:r>
        <w:rPr>
          <w:rFonts w:ascii="Times New Roman" w:hAnsi="Times New Roman" w:eastAsia="Times New Roman" w:cs="Times New Roman"/>
          <w:spacing w:val="8"/>
          <w:sz w:val="25"/>
          <w:szCs w:val="25"/>
        </w:rPr>
        <w:t>964-2018</w:t>
      </w:r>
      <w:r>
        <w:rPr>
          <w:rFonts w:ascii="仿宋" w:hAnsi="仿宋" w:eastAsia="仿宋" w:cs="仿宋"/>
          <w:sz w:val="25"/>
          <w:szCs w:val="25"/>
        </w:rPr>
        <w:t>）；</w:t>
      </w:r>
    </w:p>
    <w:p w14:paraId="47989CFC">
      <w:pPr>
        <w:spacing w:before="150" w:line="229" w:lineRule="auto"/>
        <w:ind w:left="541"/>
        <w:rPr>
          <w:rFonts w:ascii="仿宋" w:hAnsi="仿宋" w:eastAsia="仿宋" w:cs="仿宋"/>
          <w:sz w:val="25"/>
          <w:szCs w:val="25"/>
        </w:rPr>
      </w:pPr>
      <w:r>
        <w:rPr>
          <w:rFonts w:ascii="仿宋" w:hAnsi="仿宋" w:eastAsia="仿宋" w:cs="仿宋"/>
          <w:spacing w:val="8"/>
          <w:sz w:val="25"/>
          <w:szCs w:val="25"/>
        </w:rPr>
        <w:t>（</w:t>
      </w:r>
      <w:r>
        <w:rPr>
          <w:rFonts w:ascii="Times New Roman" w:hAnsi="Times New Roman" w:eastAsia="Times New Roman" w:cs="Times New Roman"/>
          <w:spacing w:val="8"/>
          <w:sz w:val="25"/>
          <w:szCs w:val="25"/>
        </w:rPr>
        <w:t>8</w:t>
      </w:r>
      <w:r>
        <w:rPr>
          <w:rFonts w:ascii="仿宋" w:hAnsi="仿宋" w:eastAsia="仿宋" w:cs="仿宋"/>
          <w:spacing w:val="8"/>
          <w:sz w:val="25"/>
          <w:szCs w:val="25"/>
        </w:rPr>
        <w:t>）《建设项目环境风险评价技术导则》（</w:t>
      </w:r>
      <w:r>
        <w:rPr>
          <w:rFonts w:ascii="Times New Roman" w:hAnsi="Times New Roman" w:eastAsia="Times New Roman" w:cs="Times New Roman"/>
          <w:sz w:val="25"/>
          <w:szCs w:val="25"/>
        </w:rPr>
        <w:t>HJ</w:t>
      </w:r>
      <w:r>
        <w:rPr>
          <w:rFonts w:ascii="Times New Roman" w:hAnsi="Times New Roman" w:eastAsia="Times New Roman" w:cs="Times New Roman"/>
          <w:spacing w:val="8"/>
          <w:sz w:val="25"/>
          <w:szCs w:val="25"/>
        </w:rPr>
        <w:t>16</w:t>
      </w:r>
      <w:r>
        <w:rPr>
          <w:rFonts w:ascii="Times New Roman" w:hAnsi="Times New Roman" w:eastAsia="Times New Roman" w:cs="Times New Roman"/>
          <w:spacing w:val="7"/>
          <w:sz w:val="25"/>
          <w:szCs w:val="25"/>
        </w:rPr>
        <w:t>9-2018</w:t>
      </w:r>
      <w:r>
        <w:rPr>
          <w:rFonts w:ascii="仿宋" w:hAnsi="仿宋" w:eastAsia="仿宋" w:cs="仿宋"/>
          <w:sz w:val="25"/>
          <w:szCs w:val="25"/>
        </w:rPr>
        <w:t>）；</w:t>
      </w:r>
    </w:p>
    <w:p w14:paraId="488ADC31">
      <w:pPr>
        <w:spacing w:before="151" w:line="229" w:lineRule="auto"/>
        <w:ind w:left="541"/>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9</w:t>
      </w:r>
      <w:r>
        <w:rPr>
          <w:rFonts w:ascii="仿宋" w:hAnsi="仿宋" w:eastAsia="仿宋" w:cs="仿宋"/>
          <w:spacing w:val="7"/>
          <w:sz w:val="25"/>
          <w:szCs w:val="25"/>
        </w:rPr>
        <w:t>）《土壤侵蚀分类分级标准》（</w:t>
      </w:r>
      <w:r>
        <w:rPr>
          <w:rFonts w:ascii="Times New Roman" w:hAnsi="Times New Roman" w:eastAsia="Times New Roman" w:cs="Times New Roman"/>
          <w:sz w:val="25"/>
          <w:szCs w:val="25"/>
        </w:rPr>
        <w:t>SL</w:t>
      </w:r>
      <w:r>
        <w:rPr>
          <w:rFonts w:ascii="Times New Roman" w:hAnsi="Times New Roman" w:eastAsia="Times New Roman" w:cs="Times New Roman"/>
          <w:spacing w:val="7"/>
          <w:sz w:val="25"/>
          <w:szCs w:val="25"/>
        </w:rPr>
        <w:t>190-2007</w:t>
      </w:r>
      <w:r>
        <w:rPr>
          <w:rFonts w:ascii="仿宋" w:hAnsi="仿宋" w:eastAsia="仿宋" w:cs="仿宋"/>
          <w:spacing w:val="6"/>
          <w:sz w:val="25"/>
          <w:szCs w:val="25"/>
        </w:rPr>
        <w:t>）；</w:t>
      </w:r>
    </w:p>
    <w:p w14:paraId="5F3C91D1">
      <w:pPr>
        <w:spacing w:before="151" w:line="227" w:lineRule="auto"/>
        <w:jc w:val="right"/>
        <w:rPr>
          <w:rFonts w:ascii="仿宋" w:hAnsi="仿宋" w:eastAsia="仿宋" w:cs="仿宋"/>
          <w:sz w:val="25"/>
          <w:szCs w:val="25"/>
        </w:rPr>
      </w:pPr>
      <w:r>
        <w:rPr>
          <w:rFonts w:ascii="仿宋" w:hAnsi="仿宋" w:eastAsia="仿宋" w:cs="仿宋"/>
          <w:spacing w:val="1"/>
          <w:sz w:val="25"/>
          <w:szCs w:val="25"/>
        </w:rPr>
        <w:t>（</w:t>
      </w:r>
      <w:r>
        <w:rPr>
          <w:rFonts w:ascii="Times New Roman" w:hAnsi="Times New Roman" w:eastAsia="Times New Roman" w:cs="Times New Roman"/>
          <w:spacing w:val="1"/>
          <w:sz w:val="25"/>
          <w:szCs w:val="25"/>
        </w:rPr>
        <w:t>10</w:t>
      </w:r>
      <w:r>
        <w:rPr>
          <w:rFonts w:ascii="仿宋" w:hAnsi="仿宋" w:eastAsia="仿宋" w:cs="仿宋"/>
          <w:spacing w:val="1"/>
          <w:sz w:val="25"/>
          <w:szCs w:val="25"/>
        </w:rPr>
        <w:t>）《矿山生态环境保护与恢复治理技术规范（试行）》（</w:t>
      </w:r>
      <w:r>
        <w:rPr>
          <w:rFonts w:ascii="Times New Roman" w:hAnsi="Times New Roman" w:eastAsia="Times New Roman" w:cs="Times New Roman"/>
          <w:sz w:val="25"/>
          <w:szCs w:val="25"/>
        </w:rPr>
        <w:t>HJ</w:t>
      </w:r>
      <w:r>
        <w:rPr>
          <w:rFonts w:ascii="Times New Roman" w:hAnsi="Times New Roman" w:eastAsia="Times New Roman" w:cs="Times New Roman"/>
          <w:spacing w:val="1"/>
          <w:sz w:val="25"/>
          <w:szCs w:val="25"/>
        </w:rPr>
        <w:t>651-2013</w:t>
      </w:r>
      <w:r>
        <w:rPr>
          <w:rFonts w:ascii="仿宋" w:hAnsi="仿宋" w:eastAsia="仿宋" w:cs="仿宋"/>
          <w:spacing w:val="-67"/>
          <w:w w:val="96"/>
          <w:sz w:val="25"/>
          <w:szCs w:val="25"/>
        </w:rPr>
        <w:t>）；</w:t>
      </w:r>
    </w:p>
    <w:p w14:paraId="37C16D3E">
      <w:pPr>
        <w:spacing w:before="150" w:line="285" w:lineRule="auto"/>
        <w:ind w:left="4" w:right="161" w:firstLine="536"/>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11</w:t>
      </w:r>
      <w:r>
        <w:rPr>
          <w:rFonts w:ascii="仿宋" w:hAnsi="仿宋" w:eastAsia="仿宋" w:cs="仿宋"/>
          <w:spacing w:val="7"/>
          <w:sz w:val="25"/>
          <w:szCs w:val="25"/>
        </w:rPr>
        <w:t>）《规划环境影响跟踪评价技术指南（试行）》（环办环评〔</w:t>
      </w:r>
      <w:r>
        <w:rPr>
          <w:rFonts w:ascii="Times New Roman" w:hAnsi="Times New Roman" w:eastAsia="Times New Roman" w:cs="Times New Roman"/>
          <w:spacing w:val="7"/>
          <w:sz w:val="25"/>
          <w:szCs w:val="25"/>
        </w:rPr>
        <w:t>2019</w:t>
      </w:r>
      <w:r>
        <w:rPr>
          <w:rFonts w:ascii="仿宋" w:hAnsi="仿宋" w:eastAsia="仿宋" w:cs="仿宋"/>
          <w:spacing w:val="7"/>
          <w:sz w:val="25"/>
          <w:szCs w:val="25"/>
        </w:rPr>
        <w:t>〕</w:t>
      </w:r>
      <w:r>
        <w:rPr>
          <w:rFonts w:ascii="仿宋" w:hAnsi="仿宋" w:eastAsia="仿宋" w:cs="仿宋"/>
          <w:spacing w:val="8"/>
          <w:sz w:val="25"/>
          <w:szCs w:val="25"/>
        </w:rPr>
        <w:t xml:space="preserve"> </w:t>
      </w:r>
      <w:r>
        <w:rPr>
          <w:rFonts w:ascii="Times New Roman" w:hAnsi="Times New Roman" w:eastAsia="Times New Roman" w:cs="Times New Roman"/>
          <w:spacing w:val="-4"/>
          <w:sz w:val="25"/>
          <w:szCs w:val="25"/>
        </w:rPr>
        <w:t>20</w:t>
      </w:r>
      <w:r>
        <w:rPr>
          <w:rFonts w:ascii="Times New Roman" w:hAnsi="Times New Roman" w:eastAsia="Times New Roman" w:cs="Times New Roman"/>
          <w:spacing w:val="28"/>
          <w:sz w:val="25"/>
          <w:szCs w:val="25"/>
        </w:rPr>
        <w:t xml:space="preserve"> </w:t>
      </w:r>
      <w:r>
        <w:rPr>
          <w:rFonts w:ascii="仿宋" w:hAnsi="仿宋" w:eastAsia="仿宋" w:cs="仿宋"/>
          <w:spacing w:val="-4"/>
          <w:sz w:val="25"/>
          <w:szCs w:val="25"/>
        </w:rPr>
        <w:t>号</w:t>
      </w:r>
      <w:r>
        <w:rPr>
          <w:rFonts w:ascii="仿宋" w:hAnsi="仿宋" w:eastAsia="仿宋" w:cs="仿宋"/>
          <w:sz w:val="25"/>
          <w:szCs w:val="25"/>
        </w:rPr>
        <w:t>）；</w:t>
      </w:r>
    </w:p>
    <w:p w14:paraId="2632F8A1">
      <w:pPr>
        <w:spacing w:before="150" w:line="284" w:lineRule="auto"/>
        <w:ind w:left="20" w:firstLine="520"/>
        <w:rPr>
          <w:rFonts w:ascii="仿宋" w:hAnsi="仿宋" w:eastAsia="仿宋" w:cs="仿宋"/>
          <w:sz w:val="25"/>
          <w:szCs w:val="25"/>
        </w:rPr>
      </w:pPr>
      <w:r>
        <w:rPr>
          <w:rFonts w:ascii="仿宋" w:hAnsi="仿宋" w:eastAsia="仿宋" w:cs="仿宋"/>
          <w:spacing w:val="5"/>
          <w:sz w:val="25"/>
          <w:szCs w:val="25"/>
        </w:rPr>
        <w:t>（</w:t>
      </w:r>
      <w:r>
        <w:rPr>
          <w:rFonts w:ascii="Times New Roman" w:hAnsi="Times New Roman" w:eastAsia="Times New Roman" w:cs="Times New Roman"/>
          <w:spacing w:val="5"/>
          <w:sz w:val="25"/>
          <w:szCs w:val="25"/>
        </w:rPr>
        <w:t>12</w:t>
      </w:r>
      <w:r>
        <w:rPr>
          <w:rFonts w:ascii="仿宋" w:hAnsi="仿宋" w:eastAsia="仿宋" w:cs="仿宋"/>
          <w:spacing w:val="5"/>
          <w:sz w:val="25"/>
          <w:szCs w:val="25"/>
        </w:rPr>
        <w:t>）《</w:t>
      </w:r>
      <w:r>
        <w:rPr>
          <w:rFonts w:ascii="Times New Roman" w:hAnsi="Times New Roman" w:eastAsia="Times New Roman" w:cs="Times New Roman"/>
          <w:spacing w:val="5"/>
          <w:sz w:val="25"/>
          <w:szCs w:val="25"/>
        </w:rPr>
        <w:t>“</w:t>
      </w:r>
      <w:r>
        <w:rPr>
          <w:rFonts w:ascii="仿宋" w:hAnsi="仿宋" w:eastAsia="仿宋" w:cs="仿宋"/>
          <w:spacing w:val="5"/>
          <w:sz w:val="25"/>
          <w:szCs w:val="25"/>
        </w:rPr>
        <w:t>十四五</w:t>
      </w:r>
      <w:r>
        <w:rPr>
          <w:rFonts w:ascii="Times New Roman" w:hAnsi="Times New Roman" w:eastAsia="Times New Roman" w:cs="Times New Roman"/>
          <w:spacing w:val="5"/>
          <w:sz w:val="25"/>
          <w:szCs w:val="25"/>
        </w:rPr>
        <w:t>”</w:t>
      </w:r>
      <w:r>
        <w:rPr>
          <w:rFonts w:ascii="仿宋" w:hAnsi="仿宋" w:eastAsia="仿宋" w:cs="仿宋"/>
          <w:spacing w:val="5"/>
          <w:sz w:val="25"/>
          <w:szCs w:val="25"/>
        </w:rPr>
        <w:t>省级矿产资源总体规划环境影响评价技术要点（试行）》</w:t>
      </w:r>
      <w:r>
        <w:rPr>
          <w:rFonts w:ascii="仿宋" w:hAnsi="仿宋" w:eastAsia="仿宋" w:cs="仿宋"/>
          <w:spacing w:val="18"/>
          <w:sz w:val="25"/>
          <w:szCs w:val="25"/>
        </w:rPr>
        <w:t xml:space="preserve"> </w:t>
      </w:r>
      <w:r>
        <w:rPr>
          <w:rFonts w:ascii="仿宋" w:hAnsi="仿宋" w:eastAsia="仿宋" w:cs="仿宋"/>
          <w:spacing w:val="4"/>
          <w:sz w:val="25"/>
          <w:szCs w:val="25"/>
        </w:rPr>
        <w:t>（环办环评函〔</w:t>
      </w:r>
      <w:r>
        <w:rPr>
          <w:rFonts w:ascii="Times New Roman" w:hAnsi="Times New Roman" w:eastAsia="Times New Roman" w:cs="Times New Roman"/>
          <w:spacing w:val="4"/>
          <w:sz w:val="25"/>
          <w:szCs w:val="25"/>
        </w:rPr>
        <w:t>2021</w:t>
      </w:r>
      <w:r>
        <w:rPr>
          <w:rFonts w:ascii="仿宋" w:hAnsi="仿宋" w:eastAsia="仿宋" w:cs="仿宋"/>
          <w:spacing w:val="4"/>
          <w:sz w:val="25"/>
          <w:szCs w:val="25"/>
        </w:rPr>
        <w:t>〕</w:t>
      </w:r>
      <w:r>
        <w:rPr>
          <w:rFonts w:ascii="Times New Roman" w:hAnsi="Times New Roman" w:eastAsia="Times New Roman" w:cs="Times New Roman"/>
          <w:spacing w:val="4"/>
          <w:sz w:val="25"/>
          <w:szCs w:val="25"/>
        </w:rPr>
        <w:t>556</w:t>
      </w:r>
      <w:r>
        <w:rPr>
          <w:rFonts w:ascii="Times New Roman" w:hAnsi="Times New Roman" w:eastAsia="Times New Roman" w:cs="Times New Roman"/>
          <w:spacing w:val="26"/>
          <w:sz w:val="25"/>
          <w:szCs w:val="25"/>
        </w:rPr>
        <w:t xml:space="preserve"> </w:t>
      </w:r>
      <w:r>
        <w:rPr>
          <w:rFonts w:ascii="仿宋" w:hAnsi="仿宋" w:eastAsia="仿宋" w:cs="仿宋"/>
          <w:spacing w:val="4"/>
          <w:sz w:val="25"/>
          <w:szCs w:val="25"/>
        </w:rPr>
        <w:t>号</w:t>
      </w:r>
      <w:r>
        <w:rPr>
          <w:rFonts w:ascii="仿宋" w:hAnsi="仿宋" w:eastAsia="仿宋" w:cs="仿宋"/>
          <w:spacing w:val="7"/>
          <w:sz w:val="25"/>
          <w:szCs w:val="25"/>
        </w:rPr>
        <w:t>）；</w:t>
      </w:r>
    </w:p>
    <w:p w14:paraId="61947CCA">
      <w:pPr>
        <w:spacing w:before="152" w:line="285" w:lineRule="auto"/>
        <w:ind w:left="10" w:right="32" w:firstLine="531"/>
        <w:rPr>
          <w:rFonts w:ascii="仿宋" w:hAnsi="仿宋" w:eastAsia="仿宋" w:cs="仿宋"/>
          <w:sz w:val="25"/>
          <w:szCs w:val="25"/>
        </w:rPr>
      </w:pPr>
      <w:r>
        <w:rPr>
          <w:rFonts w:ascii="仿宋" w:hAnsi="仿宋" w:eastAsia="仿宋" w:cs="仿宋"/>
          <w:spacing w:val="-12"/>
          <w:sz w:val="25"/>
          <w:szCs w:val="25"/>
        </w:rPr>
        <w:t>（</w:t>
      </w:r>
      <w:r>
        <w:rPr>
          <w:rFonts w:ascii="Times New Roman" w:hAnsi="Times New Roman" w:eastAsia="Times New Roman" w:cs="Times New Roman"/>
          <w:spacing w:val="-12"/>
          <w:sz w:val="25"/>
          <w:szCs w:val="25"/>
        </w:rPr>
        <w:t>13</w:t>
      </w:r>
      <w:r>
        <w:rPr>
          <w:rFonts w:ascii="仿宋" w:hAnsi="仿宋" w:eastAsia="仿宋" w:cs="仿宋"/>
          <w:spacing w:val="-12"/>
          <w:sz w:val="25"/>
          <w:szCs w:val="25"/>
        </w:rPr>
        <w:t>）《规划环评</w:t>
      </w:r>
      <w:r>
        <w:rPr>
          <w:rFonts w:ascii="Times New Roman" w:hAnsi="Times New Roman" w:eastAsia="Times New Roman" w:cs="Times New Roman"/>
          <w:spacing w:val="-12"/>
          <w:sz w:val="25"/>
          <w:szCs w:val="25"/>
        </w:rPr>
        <w:t>“</w:t>
      </w:r>
      <w:r>
        <w:rPr>
          <w:rFonts w:ascii="仿宋" w:hAnsi="仿宋" w:eastAsia="仿宋" w:cs="仿宋"/>
          <w:spacing w:val="-12"/>
          <w:sz w:val="25"/>
          <w:szCs w:val="25"/>
        </w:rPr>
        <w:t>三线一单</w:t>
      </w:r>
      <w:r>
        <w:rPr>
          <w:rFonts w:ascii="Times New Roman" w:hAnsi="Times New Roman" w:eastAsia="Times New Roman" w:cs="Times New Roman"/>
          <w:spacing w:val="-12"/>
          <w:sz w:val="25"/>
          <w:szCs w:val="25"/>
        </w:rPr>
        <w:t>”</w:t>
      </w:r>
      <w:r>
        <w:rPr>
          <w:rFonts w:ascii="仿宋" w:hAnsi="仿宋" w:eastAsia="仿宋" w:cs="仿宋"/>
          <w:spacing w:val="-12"/>
          <w:sz w:val="25"/>
          <w:szCs w:val="25"/>
        </w:rPr>
        <w:t>符合性分析 技术要点（试行）》（渝环函〔</w:t>
      </w:r>
      <w:r>
        <w:rPr>
          <w:rFonts w:ascii="Times New Roman" w:hAnsi="Times New Roman" w:eastAsia="Times New Roman" w:cs="Times New Roman"/>
          <w:spacing w:val="-12"/>
          <w:sz w:val="25"/>
          <w:szCs w:val="25"/>
        </w:rPr>
        <w:t>2022</w:t>
      </w:r>
      <w:r>
        <w:rPr>
          <w:rFonts w:ascii="仿宋" w:hAnsi="仿宋" w:eastAsia="仿宋" w:cs="仿宋"/>
          <w:spacing w:val="-12"/>
          <w:sz w:val="25"/>
          <w:szCs w:val="25"/>
        </w:rPr>
        <w:t>〕</w:t>
      </w:r>
      <w:r>
        <w:rPr>
          <w:rFonts w:ascii="仿宋" w:hAnsi="仿宋" w:eastAsia="仿宋" w:cs="仿宋"/>
          <w:spacing w:val="16"/>
          <w:sz w:val="25"/>
          <w:szCs w:val="25"/>
        </w:rPr>
        <w:t xml:space="preserve"> </w:t>
      </w:r>
      <w:r>
        <w:rPr>
          <w:rFonts w:ascii="Times New Roman" w:hAnsi="Times New Roman" w:eastAsia="Times New Roman" w:cs="Times New Roman"/>
          <w:spacing w:val="-2"/>
          <w:sz w:val="25"/>
          <w:szCs w:val="25"/>
        </w:rPr>
        <w:t>397</w:t>
      </w:r>
      <w:r>
        <w:rPr>
          <w:rFonts w:ascii="Times New Roman" w:hAnsi="Times New Roman" w:eastAsia="Times New Roman" w:cs="Times New Roman"/>
          <w:spacing w:val="28"/>
          <w:sz w:val="25"/>
          <w:szCs w:val="25"/>
        </w:rPr>
        <w:t xml:space="preserve"> </w:t>
      </w:r>
      <w:r>
        <w:rPr>
          <w:rFonts w:ascii="仿宋" w:hAnsi="仿宋" w:eastAsia="仿宋" w:cs="仿宋"/>
          <w:spacing w:val="-2"/>
          <w:sz w:val="25"/>
          <w:szCs w:val="25"/>
        </w:rPr>
        <w:t>号）。</w:t>
      </w:r>
    </w:p>
    <w:p w14:paraId="5BC6040C">
      <w:pPr>
        <w:spacing w:before="266" w:line="227" w:lineRule="auto"/>
        <w:ind w:left="16"/>
        <w:outlineLvl w:val="2"/>
        <w:rPr>
          <w:rFonts w:ascii="仿宋" w:hAnsi="仿宋" w:eastAsia="仿宋" w:cs="仿宋"/>
          <w:sz w:val="25"/>
          <w:szCs w:val="25"/>
        </w:rPr>
      </w:pPr>
      <w:r>
        <w:rPr>
          <w:rFonts w:ascii="Times New Roman" w:hAnsi="Times New Roman" w:eastAsia="Times New Roman" w:cs="Times New Roman"/>
          <w:b/>
          <w:bCs/>
          <w:spacing w:val="5"/>
          <w:sz w:val="25"/>
          <w:szCs w:val="25"/>
        </w:rPr>
        <w:t xml:space="preserve">1.2.5  </w:t>
      </w:r>
      <w:r>
        <w:rPr>
          <w:rFonts w:ascii="仿宋" w:hAnsi="仿宋" w:eastAsia="仿宋" w:cs="仿宋"/>
          <w:b/>
          <w:bCs/>
          <w:spacing w:val="5"/>
          <w:sz w:val="25"/>
          <w:szCs w:val="25"/>
        </w:rPr>
        <w:t>相关规划及文件资料</w:t>
      </w:r>
    </w:p>
    <w:p w14:paraId="35BE5D92">
      <w:pPr>
        <w:spacing w:before="273" w:line="229" w:lineRule="auto"/>
        <w:ind w:left="541"/>
        <w:rPr>
          <w:rFonts w:ascii="仿宋" w:hAnsi="仿宋" w:eastAsia="仿宋" w:cs="仿宋"/>
          <w:sz w:val="25"/>
          <w:szCs w:val="25"/>
        </w:rPr>
      </w:pPr>
      <w:r>
        <w:rPr>
          <w:rFonts w:ascii="仿宋" w:hAnsi="仿宋" w:eastAsia="仿宋" w:cs="仿宋"/>
          <w:spacing w:val="6"/>
          <w:sz w:val="25"/>
          <w:szCs w:val="25"/>
        </w:rPr>
        <w:t>（</w:t>
      </w:r>
      <w:r>
        <w:rPr>
          <w:rFonts w:ascii="Times New Roman" w:hAnsi="Times New Roman" w:eastAsia="Times New Roman" w:cs="Times New Roman"/>
          <w:spacing w:val="6"/>
          <w:sz w:val="25"/>
          <w:szCs w:val="25"/>
        </w:rPr>
        <w:t>1</w:t>
      </w:r>
      <w:r>
        <w:rPr>
          <w:rFonts w:ascii="仿宋" w:hAnsi="仿宋" w:eastAsia="仿宋" w:cs="仿宋"/>
          <w:spacing w:val="6"/>
          <w:sz w:val="25"/>
          <w:szCs w:val="25"/>
        </w:rPr>
        <w:t>）《重庆市矿产资源总体规划（</w:t>
      </w:r>
      <w:r>
        <w:rPr>
          <w:rFonts w:ascii="Times New Roman" w:hAnsi="Times New Roman" w:eastAsia="Times New Roman" w:cs="Times New Roman"/>
          <w:spacing w:val="6"/>
          <w:sz w:val="25"/>
          <w:szCs w:val="25"/>
        </w:rPr>
        <w:t>2021-2025</w:t>
      </w:r>
      <w:r>
        <w:rPr>
          <w:rFonts w:ascii="Times New Roman" w:hAnsi="Times New Roman" w:eastAsia="Times New Roman" w:cs="Times New Roman"/>
          <w:spacing w:val="27"/>
          <w:sz w:val="25"/>
          <w:szCs w:val="25"/>
        </w:rPr>
        <w:t xml:space="preserve"> </w:t>
      </w:r>
      <w:r>
        <w:rPr>
          <w:rFonts w:ascii="仿宋" w:hAnsi="仿宋" w:eastAsia="仿宋" w:cs="仿宋"/>
          <w:spacing w:val="6"/>
          <w:sz w:val="25"/>
          <w:szCs w:val="25"/>
        </w:rPr>
        <w:t>年）》；</w:t>
      </w:r>
    </w:p>
    <w:p w14:paraId="0658E8F4">
      <w:pPr>
        <w:spacing w:before="150" w:line="284" w:lineRule="auto"/>
        <w:ind w:left="26" w:right="115" w:firstLine="515"/>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2</w:t>
      </w:r>
      <w:r>
        <w:rPr>
          <w:rFonts w:ascii="仿宋" w:hAnsi="仿宋" w:eastAsia="仿宋" w:cs="仿宋"/>
          <w:spacing w:val="7"/>
          <w:sz w:val="25"/>
          <w:szCs w:val="25"/>
        </w:rPr>
        <w:t>）《重庆市矿产资源总体规划（</w:t>
      </w:r>
      <w:r>
        <w:rPr>
          <w:rFonts w:ascii="Times New Roman" w:hAnsi="Times New Roman" w:eastAsia="Times New Roman" w:cs="Times New Roman"/>
          <w:spacing w:val="7"/>
          <w:sz w:val="25"/>
          <w:szCs w:val="25"/>
        </w:rPr>
        <w:t>2021-2025</w:t>
      </w:r>
      <w:r>
        <w:rPr>
          <w:rFonts w:ascii="Times New Roman" w:hAnsi="Times New Roman" w:eastAsia="Times New Roman" w:cs="Times New Roman"/>
          <w:spacing w:val="25"/>
          <w:w w:val="101"/>
          <w:sz w:val="25"/>
          <w:szCs w:val="25"/>
        </w:rPr>
        <w:t xml:space="preserve"> </w:t>
      </w:r>
      <w:r>
        <w:rPr>
          <w:rFonts w:ascii="仿宋" w:hAnsi="仿宋" w:eastAsia="仿宋" w:cs="仿宋"/>
          <w:spacing w:val="7"/>
          <w:sz w:val="25"/>
          <w:szCs w:val="25"/>
        </w:rPr>
        <w:t>年）环境影响报</w:t>
      </w:r>
      <w:r>
        <w:rPr>
          <w:rFonts w:ascii="仿宋" w:hAnsi="仿宋" w:eastAsia="仿宋" w:cs="仿宋"/>
          <w:spacing w:val="6"/>
          <w:sz w:val="25"/>
          <w:szCs w:val="25"/>
        </w:rPr>
        <w:t>告书》及生</w:t>
      </w:r>
      <w:r>
        <w:rPr>
          <w:rFonts w:ascii="仿宋" w:hAnsi="仿宋" w:eastAsia="仿宋" w:cs="仿宋"/>
          <w:sz w:val="25"/>
          <w:szCs w:val="25"/>
        </w:rPr>
        <w:t xml:space="preserve"> </w:t>
      </w:r>
      <w:r>
        <w:rPr>
          <w:rFonts w:ascii="仿宋" w:hAnsi="仿宋" w:eastAsia="仿宋" w:cs="仿宋"/>
          <w:spacing w:val="5"/>
          <w:sz w:val="25"/>
          <w:szCs w:val="25"/>
        </w:rPr>
        <w:t>态环境部审查意见；</w:t>
      </w:r>
    </w:p>
    <w:p w14:paraId="7FC884F7">
      <w:pPr>
        <w:spacing w:before="151" w:line="229" w:lineRule="auto"/>
        <w:ind w:left="541"/>
        <w:rPr>
          <w:rFonts w:ascii="仿宋" w:hAnsi="仿宋" w:eastAsia="仿宋" w:cs="仿宋"/>
          <w:sz w:val="25"/>
          <w:szCs w:val="25"/>
        </w:rPr>
      </w:pPr>
      <w:r>
        <w:rPr>
          <w:rFonts w:ascii="仿宋" w:hAnsi="仿宋" w:eastAsia="仿宋" w:cs="仿宋"/>
          <w:spacing w:val="6"/>
          <w:sz w:val="25"/>
          <w:szCs w:val="25"/>
        </w:rPr>
        <w:t>（</w:t>
      </w:r>
      <w:r>
        <w:rPr>
          <w:rFonts w:ascii="Times New Roman" w:hAnsi="Times New Roman" w:eastAsia="Times New Roman" w:cs="Times New Roman"/>
          <w:spacing w:val="6"/>
          <w:sz w:val="25"/>
          <w:szCs w:val="25"/>
        </w:rPr>
        <w:t>3</w:t>
      </w:r>
      <w:r>
        <w:rPr>
          <w:rFonts w:ascii="仿宋" w:hAnsi="仿宋" w:eastAsia="仿宋" w:cs="仿宋"/>
          <w:spacing w:val="6"/>
          <w:sz w:val="25"/>
          <w:szCs w:val="25"/>
        </w:rPr>
        <w:t>）《重庆市黔江区矿产资源总体规划（</w:t>
      </w:r>
      <w:r>
        <w:rPr>
          <w:rFonts w:ascii="Times New Roman" w:hAnsi="Times New Roman" w:eastAsia="Times New Roman" w:cs="Times New Roman"/>
          <w:spacing w:val="6"/>
          <w:sz w:val="25"/>
          <w:szCs w:val="25"/>
        </w:rPr>
        <w:t>2021-2025</w:t>
      </w:r>
      <w:r>
        <w:rPr>
          <w:rFonts w:ascii="Times New Roman" w:hAnsi="Times New Roman" w:eastAsia="Times New Roman" w:cs="Times New Roman"/>
          <w:spacing w:val="39"/>
          <w:sz w:val="25"/>
          <w:szCs w:val="25"/>
        </w:rPr>
        <w:t xml:space="preserve"> </w:t>
      </w:r>
      <w:r>
        <w:rPr>
          <w:rFonts w:ascii="仿宋" w:hAnsi="仿宋" w:eastAsia="仿宋" w:cs="仿宋"/>
          <w:spacing w:val="6"/>
          <w:sz w:val="25"/>
          <w:szCs w:val="25"/>
        </w:rPr>
        <w:t>年）》；</w:t>
      </w:r>
    </w:p>
    <w:p w14:paraId="2D47AD1F">
      <w:pPr>
        <w:spacing w:before="150" w:line="284" w:lineRule="auto"/>
        <w:ind w:left="19" w:firstLine="522"/>
        <w:rPr>
          <w:rFonts w:ascii="仿宋" w:hAnsi="仿宋" w:eastAsia="仿宋" w:cs="仿宋"/>
          <w:sz w:val="25"/>
          <w:szCs w:val="25"/>
        </w:rPr>
      </w:pPr>
      <w:r>
        <w:rPr>
          <w:rFonts w:ascii="仿宋" w:hAnsi="仿宋" w:eastAsia="仿宋" w:cs="仿宋"/>
          <w:spacing w:val="3"/>
          <w:sz w:val="25"/>
          <w:szCs w:val="25"/>
        </w:rPr>
        <w:t>（</w:t>
      </w:r>
      <w:r>
        <w:rPr>
          <w:rFonts w:ascii="Times New Roman" w:hAnsi="Times New Roman" w:eastAsia="Times New Roman" w:cs="Times New Roman"/>
          <w:spacing w:val="3"/>
          <w:sz w:val="25"/>
          <w:szCs w:val="25"/>
        </w:rPr>
        <w:t>4</w:t>
      </w:r>
      <w:r>
        <w:rPr>
          <w:rFonts w:ascii="仿宋" w:hAnsi="仿宋" w:eastAsia="仿宋" w:cs="仿宋"/>
          <w:spacing w:val="3"/>
          <w:sz w:val="25"/>
          <w:szCs w:val="25"/>
        </w:rPr>
        <w:t>）《重庆市黔江区矿产资源总体规划（</w:t>
      </w:r>
      <w:r>
        <w:rPr>
          <w:rFonts w:ascii="Times New Roman" w:hAnsi="Times New Roman" w:eastAsia="Times New Roman" w:cs="Times New Roman"/>
          <w:spacing w:val="3"/>
          <w:sz w:val="25"/>
          <w:szCs w:val="25"/>
        </w:rPr>
        <w:t>2021-2025</w:t>
      </w:r>
      <w:r>
        <w:rPr>
          <w:rFonts w:ascii="Times New Roman" w:hAnsi="Times New Roman" w:eastAsia="Times New Roman" w:cs="Times New Roman"/>
          <w:spacing w:val="30"/>
          <w:w w:val="101"/>
          <w:sz w:val="25"/>
          <w:szCs w:val="25"/>
        </w:rPr>
        <w:t xml:space="preserve"> </w:t>
      </w:r>
      <w:r>
        <w:rPr>
          <w:rFonts w:ascii="仿宋" w:hAnsi="仿宋" w:eastAsia="仿宋" w:cs="仿宋"/>
          <w:spacing w:val="3"/>
          <w:sz w:val="25"/>
          <w:szCs w:val="25"/>
        </w:rPr>
        <w:t>年）环境影响报告书》</w:t>
      </w:r>
      <w:r>
        <w:rPr>
          <w:rFonts w:ascii="仿宋" w:hAnsi="仿宋" w:eastAsia="仿宋" w:cs="仿宋"/>
          <w:sz w:val="25"/>
          <w:szCs w:val="25"/>
        </w:rPr>
        <w:t xml:space="preserve"> </w:t>
      </w:r>
      <w:r>
        <w:rPr>
          <w:rFonts w:ascii="仿宋" w:hAnsi="仿宋" w:eastAsia="仿宋" w:cs="仿宋"/>
          <w:spacing w:val="6"/>
          <w:sz w:val="25"/>
          <w:szCs w:val="25"/>
        </w:rPr>
        <w:t>及其审查意见函；</w:t>
      </w:r>
    </w:p>
    <w:p w14:paraId="265895D1">
      <w:pPr>
        <w:spacing w:before="151" w:line="226" w:lineRule="auto"/>
        <w:ind w:left="541"/>
        <w:rPr>
          <w:rFonts w:ascii="仿宋" w:hAnsi="仿宋" w:eastAsia="仿宋" w:cs="仿宋"/>
          <w:sz w:val="25"/>
          <w:szCs w:val="25"/>
        </w:rPr>
      </w:pPr>
      <w:r>
        <w:rPr>
          <w:rFonts w:ascii="仿宋" w:hAnsi="仿宋" w:eastAsia="仿宋" w:cs="仿宋"/>
          <w:spacing w:val="6"/>
          <w:sz w:val="25"/>
          <w:szCs w:val="25"/>
        </w:rPr>
        <w:t>（</w:t>
      </w:r>
      <w:r>
        <w:rPr>
          <w:rFonts w:ascii="Times New Roman" w:hAnsi="Times New Roman" w:eastAsia="Times New Roman" w:cs="Times New Roman"/>
          <w:spacing w:val="6"/>
          <w:sz w:val="25"/>
          <w:szCs w:val="25"/>
        </w:rPr>
        <w:t>5</w:t>
      </w:r>
      <w:r>
        <w:rPr>
          <w:rFonts w:ascii="仿宋" w:hAnsi="仿宋" w:eastAsia="仿宋" w:cs="仿宋"/>
          <w:spacing w:val="6"/>
          <w:sz w:val="25"/>
          <w:szCs w:val="25"/>
        </w:rPr>
        <w:t>）《中国生物多样性保护优先区域范围》（</w:t>
      </w:r>
      <w:r>
        <w:rPr>
          <w:rFonts w:ascii="Times New Roman" w:hAnsi="Times New Roman" w:eastAsia="Times New Roman" w:cs="Times New Roman"/>
          <w:spacing w:val="6"/>
          <w:sz w:val="25"/>
          <w:szCs w:val="25"/>
        </w:rPr>
        <w:t>2015</w:t>
      </w:r>
      <w:r>
        <w:rPr>
          <w:rFonts w:ascii="Times New Roman" w:hAnsi="Times New Roman" w:eastAsia="Times New Roman" w:cs="Times New Roman"/>
          <w:spacing w:val="26"/>
          <w:sz w:val="25"/>
          <w:szCs w:val="25"/>
        </w:rPr>
        <w:t xml:space="preserve"> </w:t>
      </w:r>
      <w:r>
        <w:rPr>
          <w:rFonts w:ascii="仿宋" w:hAnsi="仿宋" w:eastAsia="仿宋" w:cs="仿宋"/>
          <w:spacing w:val="6"/>
          <w:sz w:val="25"/>
          <w:szCs w:val="25"/>
        </w:rPr>
        <w:t>年第</w:t>
      </w:r>
      <w:r>
        <w:rPr>
          <w:rFonts w:ascii="仿宋" w:hAnsi="仿宋" w:eastAsia="仿宋" w:cs="仿宋"/>
          <w:spacing w:val="-48"/>
          <w:sz w:val="25"/>
          <w:szCs w:val="25"/>
        </w:rPr>
        <w:t xml:space="preserve"> </w:t>
      </w:r>
      <w:r>
        <w:rPr>
          <w:rFonts w:ascii="Times New Roman" w:hAnsi="Times New Roman" w:eastAsia="Times New Roman" w:cs="Times New Roman"/>
          <w:spacing w:val="6"/>
          <w:sz w:val="25"/>
          <w:szCs w:val="25"/>
        </w:rPr>
        <w:t>94</w:t>
      </w:r>
      <w:r>
        <w:rPr>
          <w:rFonts w:ascii="Times New Roman" w:hAnsi="Times New Roman" w:eastAsia="Times New Roman" w:cs="Times New Roman"/>
          <w:spacing w:val="29"/>
          <w:sz w:val="25"/>
          <w:szCs w:val="25"/>
        </w:rPr>
        <w:t xml:space="preserve"> </w:t>
      </w:r>
      <w:r>
        <w:rPr>
          <w:rFonts w:ascii="仿宋" w:hAnsi="仿宋" w:eastAsia="仿宋" w:cs="仿宋"/>
          <w:spacing w:val="6"/>
          <w:sz w:val="25"/>
          <w:szCs w:val="25"/>
        </w:rPr>
        <w:t>号</w:t>
      </w:r>
      <w:r>
        <w:rPr>
          <w:rFonts w:ascii="仿宋" w:hAnsi="仿宋" w:eastAsia="仿宋" w:cs="仿宋"/>
          <w:sz w:val="25"/>
          <w:szCs w:val="25"/>
        </w:rPr>
        <w:t>）；</w:t>
      </w:r>
    </w:p>
    <w:p w14:paraId="59522AA0">
      <w:pPr>
        <w:spacing w:before="155" w:line="228" w:lineRule="auto"/>
        <w:ind w:left="541"/>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6</w:t>
      </w:r>
      <w:r>
        <w:rPr>
          <w:rFonts w:ascii="仿宋" w:hAnsi="仿宋" w:eastAsia="仿宋" w:cs="仿宋"/>
          <w:spacing w:val="7"/>
          <w:sz w:val="25"/>
          <w:szCs w:val="25"/>
        </w:rPr>
        <w:t>）《全国主体功能区规划》（国发〔</w:t>
      </w:r>
      <w:r>
        <w:rPr>
          <w:rFonts w:ascii="Times New Roman" w:hAnsi="Times New Roman" w:eastAsia="Times New Roman" w:cs="Times New Roman"/>
          <w:spacing w:val="7"/>
          <w:sz w:val="25"/>
          <w:szCs w:val="25"/>
        </w:rPr>
        <w:t>201</w:t>
      </w:r>
      <w:r>
        <w:rPr>
          <w:rFonts w:ascii="Times New Roman" w:hAnsi="Times New Roman" w:eastAsia="Times New Roman" w:cs="Times New Roman"/>
          <w:spacing w:val="6"/>
          <w:sz w:val="25"/>
          <w:szCs w:val="25"/>
        </w:rPr>
        <w:t>0</w:t>
      </w:r>
      <w:r>
        <w:rPr>
          <w:rFonts w:ascii="仿宋" w:hAnsi="仿宋" w:eastAsia="仿宋" w:cs="仿宋"/>
          <w:spacing w:val="6"/>
          <w:sz w:val="25"/>
          <w:szCs w:val="25"/>
        </w:rPr>
        <w:t>〕</w:t>
      </w:r>
      <w:r>
        <w:rPr>
          <w:rFonts w:ascii="Times New Roman" w:hAnsi="Times New Roman" w:eastAsia="Times New Roman" w:cs="Times New Roman"/>
          <w:spacing w:val="6"/>
          <w:sz w:val="25"/>
          <w:szCs w:val="25"/>
        </w:rPr>
        <w:t>46</w:t>
      </w:r>
      <w:r>
        <w:rPr>
          <w:rFonts w:ascii="Times New Roman" w:hAnsi="Times New Roman" w:eastAsia="Times New Roman" w:cs="Times New Roman"/>
          <w:spacing w:val="26"/>
          <w:sz w:val="25"/>
          <w:szCs w:val="25"/>
        </w:rPr>
        <w:t xml:space="preserve"> </w:t>
      </w:r>
      <w:r>
        <w:rPr>
          <w:rFonts w:ascii="仿宋" w:hAnsi="仿宋" w:eastAsia="仿宋" w:cs="仿宋"/>
          <w:spacing w:val="6"/>
          <w:sz w:val="25"/>
          <w:szCs w:val="25"/>
        </w:rPr>
        <w:t>号</w:t>
      </w:r>
      <w:r>
        <w:rPr>
          <w:rFonts w:ascii="仿宋" w:hAnsi="仿宋" w:eastAsia="仿宋" w:cs="仿宋"/>
          <w:sz w:val="25"/>
          <w:szCs w:val="25"/>
        </w:rPr>
        <w:t>）；</w:t>
      </w:r>
    </w:p>
    <w:p w14:paraId="3F8C0DA6">
      <w:pPr>
        <w:spacing w:before="149" w:line="228" w:lineRule="auto"/>
        <w:ind w:right="8"/>
        <w:jc w:val="right"/>
        <w:rPr>
          <w:rFonts w:ascii="仿宋" w:hAnsi="仿宋" w:eastAsia="仿宋" w:cs="仿宋"/>
          <w:sz w:val="25"/>
          <w:szCs w:val="25"/>
        </w:rPr>
      </w:pPr>
      <w:r>
        <w:rPr>
          <w:rFonts w:ascii="仿宋" w:hAnsi="仿宋" w:eastAsia="仿宋" w:cs="仿宋"/>
          <w:spacing w:val="6"/>
          <w:sz w:val="25"/>
          <w:szCs w:val="25"/>
        </w:rPr>
        <w:t>（</w:t>
      </w:r>
      <w:r>
        <w:rPr>
          <w:rFonts w:ascii="Times New Roman" w:hAnsi="Times New Roman" w:eastAsia="Times New Roman" w:cs="Times New Roman"/>
          <w:spacing w:val="6"/>
          <w:sz w:val="25"/>
          <w:szCs w:val="25"/>
        </w:rPr>
        <w:t>7</w:t>
      </w:r>
      <w:r>
        <w:rPr>
          <w:rFonts w:ascii="仿宋" w:hAnsi="仿宋" w:eastAsia="仿宋" w:cs="仿宋"/>
          <w:spacing w:val="6"/>
          <w:sz w:val="25"/>
          <w:szCs w:val="25"/>
        </w:rPr>
        <w:t>）《全国生态功能区划（修编版）》（生态环境部</w:t>
      </w:r>
      <w:r>
        <w:rPr>
          <w:rFonts w:ascii="仿宋" w:hAnsi="仿宋" w:eastAsia="仿宋" w:cs="仿宋"/>
          <w:spacing w:val="-52"/>
          <w:sz w:val="25"/>
          <w:szCs w:val="25"/>
        </w:rPr>
        <w:t xml:space="preserve"> </w:t>
      </w:r>
      <w:r>
        <w:rPr>
          <w:rFonts w:ascii="Times New Roman" w:hAnsi="Times New Roman" w:eastAsia="Times New Roman" w:cs="Times New Roman"/>
          <w:spacing w:val="6"/>
          <w:sz w:val="25"/>
          <w:szCs w:val="25"/>
        </w:rPr>
        <w:t>2015</w:t>
      </w:r>
      <w:r>
        <w:rPr>
          <w:rFonts w:ascii="Times New Roman" w:hAnsi="Times New Roman" w:eastAsia="Times New Roman" w:cs="Times New Roman"/>
          <w:spacing w:val="27"/>
          <w:sz w:val="25"/>
          <w:szCs w:val="25"/>
        </w:rPr>
        <w:t xml:space="preserve"> </w:t>
      </w:r>
      <w:r>
        <w:rPr>
          <w:rFonts w:ascii="仿宋" w:hAnsi="仿宋" w:eastAsia="仿宋" w:cs="仿宋"/>
          <w:spacing w:val="6"/>
          <w:sz w:val="25"/>
          <w:szCs w:val="25"/>
        </w:rPr>
        <w:t>年第</w:t>
      </w:r>
      <w:r>
        <w:rPr>
          <w:rFonts w:ascii="仿宋" w:hAnsi="仿宋" w:eastAsia="仿宋" w:cs="仿宋"/>
          <w:spacing w:val="-49"/>
          <w:sz w:val="25"/>
          <w:szCs w:val="25"/>
        </w:rPr>
        <w:t xml:space="preserve"> </w:t>
      </w:r>
      <w:r>
        <w:rPr>
          <w:rFonts w:ascii="Times New Roman" w:hAnsi="Times New Roman" w:eastAsia="Times New Roman" w:cs="Times New Roman"/>
          <w:spacing w:val="6"/>
          <w:sz w:val="25"/>
          <w:szCs w:val="25"/>
        </w:rPr>
        <w:t>61</w:t>
      </w:r>
      <w:r>
        <w:rPr>
          <w:rFonts w:ascii="Times New Roman" w:hAnsi="Times New Roman" w:eastAsia="Times New Roman" w:cs="Times New Roman"/>
          <w:spacing w:val="28"/>
          <w:w w:val="101"/>
          <w:sz w:val="25"/>
          <w:szCs w:val="25"/>
        </w:rPr>
        <w:t xml:space="preserve"> </w:t>
      </w:r>
      <w:r>
        <w:rPr>
          <w:rFonts w:ascii="仿宋" w:hAnsi="仿宋" w:eastAsia="仿宋" w:cs="仿宋"/>
          <w:spacing w:val="6"/>
          <w:sz w:val="25"/>
          <w:szCs w:val="25"/>
        </w:rPr>
        <w:t>号</w:t>
      </w:r>
      <w:r>
        <w:rPr>
          <w:rFonts w:ascii="仿宋" w:hAnsi="仿宋" w:eastAsia="仿宋" w:cs="仿宋"/>
          <w:spacing w:val="2"/>
          <w:sz w:val="25"/>
          <w:szCs w:val="25"/>
        </w:rPr>
        <w:t>）；</w:t>
      </w:r>
    </w:p>
    <w:p w14:paraId="2B87E5D4">
      <w:pPr>
        <w:spacing w:before="152" w:line="228" w:lineRule="auto"/>
        <w:ind w:left="541"/>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8</w:t>
      </w:r>
      <w:r>
        <w:rPr>
          <w:rFonts w:ascii="仿宋" w:hAnsi="仿宋" w:eastAsia="仿宋" w:cs="仿宋"/>
          <w:spacing w:val="7"/>
          <w:sz w:val="25"/>
          <w:szCs w:val="25"/>
        </w:rPr>
        <w:t>）《重庆市</w:t>
      </w:r>
      <w:r>
        <w:rPr>
          <w:rFonts w:ascii="Times New Roman" w:hAnsi="Times New Roman" w:eastAsia="Times New Roman" w:cs="Times New Roman"/>
          <w:spacing w:val="7"/>
          <w:sz w:val="25"/>
          <w:szCs w:val="25"/>
        </w:rPr>
        <w:t>“</w:t>
      </w:r>
      <w:r>
        <w:rPr>
          <w:rFonts w:ascii="仿宋" w:hAnsi="仿宋" w:eastAsia="仿宋" w:cs="仿宋"/>
          <w:spacing w:val="7"/>
          <w:sz w:val="25"/>
          <w:szCs w:val="25"/>
        </w:rPr>
        <w:t>三线一单</w:t>
      </w:r>
      <w:r>
        <w:rPr>
          <w:rFonts w:ascii="Times New Roman" w:hAnsi="Times New Roman" w:eastAsia="Times New Roman" w:cs="Times New Roman"/>
          <w:spacing w:val="7"/>
          <w:sz w:val="25"/>
          <w:szCs w:val="25"/>
        </w:rPr>
        <w:t>”</w:t>
      </w:r>
      <w:r>
        <w:rPr>
          <w:rFonts w:ascii="仿宋" w:hAnsi="仿宋" w:eastAsia="仿宋" w:cs="仿宋"/>
          <w:spacing w:val="7"/>
          <w:sz w:val="25"/>
          <w:szCs w:val="25"/>
        </w:rPr>
        <w:t>生态环境分区管控调整方案（</w:t>
      </w:r>
      <w:r>
        <w:rPr>
          <w:rFonts w:ascii="Times New Roman" w:hAnsi="Times New Roman" w:eastAsia="Times New Roman" w:cs="Times New Roman"/>
          <w:spacing w:val="7"/>
          <w:sz w:val="25"/>
          <w:szCs w:val="25"/>
        </w:rPr>
        <w:t>2023</w:t>
      </w:r>
      <w:r>
        <w:rPr>
          <w:rFonts w:ascii="Times New Roman" w:hAnsi="Times New Roman" w:eastAsia="Times New Roman" w:cs="Times New Roman"/>
          <w:spacing w:val="28"/>
          <w:w w:val="101"/>
          <w:sz w:val="25"/>
          <w:szCs w:val="25"/>
        </w:rPr>
        <w:t xml:space="preserve"> </w:t>
      </w:r>
      <w:r>
        <w:rPr>
          <w:rFonts w:ascii="仿宋" w:hAnsi="仿宋" w:eastAsia="仿宋" w:cs="仿宋"/>
          <w:spacing w:val="7"/>
          <w:sz w:val="25"/>
          <w:szCs w:val="25"/>
        </w:rPr>
        <w:t>年）》；</w:t>
      </w:r>
    </w:p>
    <w:p w14:paraId="3F43DC46">
      <w:pPr>
        <w:spacing w:before="153" w:line="228" w:lineRule="auto"/>
        <w:ind w:left="541"/>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9</w:t>
      </w:r>
      <w:r>
        <w:rPr>
          <w:rFonts w:ascii="仿宋" w:hAnsi="仿宋" w:eastAsia="仿宋" w:cs="仿宋"/>
          <w:spacing w:val="7"/>
          <w:sz w:val="25"/>
          <w:szCs w:val="25"/>
        </w:rPr>
        <w:t>）《重庆市生态功能区划（修编）》（</w:t>
      </w:r>
      <w:r>
        <w:rPr>
          <w:rFonts w:ascii="Times New Roman" w:hAnsi="Times New Roman" w:eastAsia="Times New Roman" w:cs="Times New Roman"/>
          <w:spacing w:val="7"/>
          <w:sz w:val="25"/>
          <w:szCs w:val="25"/>
        </w:rPr>
        <w:t>2008</w:t>
      </w:r>
      <w:r>
        <w:rPr>
          <w:rFonts w:ascii="Times New Roman" w:hAnsi="Times New Roman" w:eastAsia="Times New Roman" w:cs="Times New Roman"/>
          <w:spacing w:val="27"/>
          <w:sz w:val="25"/>
          <w:szCs w:val="25"/>
        </w:rPr>
        <w:t xml:space="preserve"> </w:t>
      </w:r>
      <w:r>
        <w:rPr>
          <w:rFonts w:ascii="仿宋" w:hAnsi="仿宋" w:eastAsia="仿宋" w:cs="仿宋"/>
          <w:spacing w:val="7"/>
          <w:sz w:val="25"/>
          <w:szCs w:val="25"/>
        </w:rPr>
        <w:t>年</w:t>
      </w:r>
      <w:r>
        <w:rPr>
          <w:rFonts w:ascii="仿宋" w:hAnsi="仿宋" w:eastAsia="仿宋" w:cs="仿宋"/>
          <w:sz w:val="25"/>
          <w:szCs w:val="25"/>
        </w:rPr>
        <w:t>）；</w:t>
      </w:r>
    </w:p>
    <w:p w14:paraId="3CED30D4">
      <w:pPr>
        <w:spacing w:line="228" w:lineRule="auto"/>
        <w:rPr>
          <w:rFonts w:ascii="仿宋" w:hAnsi="仿宋" w:eastAsia="仿宋" w:cs="仿宋"/>
          <w:sz w:val="25"/>
          <w:szCs w:val="25"/>
        </w:rPr>
        <w:sectPr>
          <w:footerReference r:id="rId29" w:type="default"/>
          <w:pgSz w:w="11906" w:h="16839"/>
          <w:pgMar w:top="1116" w:right="1360" w:bottom="1480" w:left="1587" w:header="683" w:footer="1318" w:gutter="0"/>
          <w:cols w:space="720" w:num="1"/>
        </w:sectPr>
      </w:pPr>
    </w:p>
    <w:p w14:paraId="31AEA82D">
      <w:pPr>
        <w:pStyle w:val="2"/>
        <w:spacing w:line="385" w:lineRule="auto"/>
      </w:pPr>
    </w:p>
    <w:p w14:paraId="0093D921">
      <w:pPr>
        <w:spacing w:before="82" w:line="229" w:lineRule="auto"/>
        <w:ind w:left="541"/>
        <w:rPr>
          <w:rFonts w:ascii="仿宋" w:hAnsi="仿宋" w:eastAsia="仿宋" w:cs="仿宋"/>
          <w:sz w:val="25"/>
          <w:szCs w:val="25"/>
        </w:rPr>
      </w:pPr>
      <w:r>
        <w:rPr>
          <w:rFonts w:ascii="仿宋" w:hAnsi="仿宋" w:eastAsia="仿宋" w:cs="仿宋"/>
          <w:spacing w:val="6"/>
          <w:sz w:val="25"/>
          <w:szCs w:val="25"/>
        </w:rPr>
        <w:t>（</w:t>
      </w:r>
      <w:r>
        <w:rPr>
          <w:rFonts w:ascii="Times New Roman" w:hAnsi="Times New Roman" w:eastAsia="Times New Roman" w:cs="Times New Roman"/>
          <w:spacing w:val="6"/>
          <w:sz w:val="25"/>
          <w:szCs w:val="25"/>
        </w:rPr>
        <w:t>10</w:t>
      </w:r>
      <w:r>
        <w:rPr>
          <w:rFonts w:ascii="仿宋" w:hAnsi="仿宋" w:eastAsia="仿宋" w:cs="仿宋"/>
          <w:spacing w:val="6"/>
          <w:sz w:val="25"/>
          <w:szCs w:val="25"/>
        </w:rPr>
        <w:t>）《黔江区环境质量报告书（</w:t>
      </w:r>
      <w:r>
        <w:rPr>
          <w:rFonts w:ascii="Times New Roman" w:hAnsi="Times New Roman" w:eastAsia="Times New Roman" w:cs="Times New Roman"/>
          <w:spacing w:val="6"/>
          <w:sz w:val="25"/>
          <w:szCs w:val="25"/>
        </w:rPr>
        <w:t>2020~2023</w:t>
      </w:r>
      <w:r>
        <w:rPr>
          <w:rFonts w:ascii="Times New Roman" w:hAnsi="Times New Roman" w:eastAsia="Times New Roman" w:cs="Times New Roman"/>
          <w:spacing w:val="27"/>
          <w:sz w:val="25"/>
          <w:szCs w:val="25"/>
        </w:rPr>
        <w:t xml:space="preserve"> </w:t>
      </w:r>
      <w:r>
        <w:rPr>
          <w:rFonts w:ascii="仿宋" w:hAnsi="仿宋" w:eastAsia="仿宋" w:cs="仿宋"/>
          <w:spacing w:val="6"/>
          <w:sz w:val="25"/>
          <w:szCs w:val="25"/>
        </w:rPr>
        <w:t>年）》；</w:t>
      </w:r>
    </w:p>
    <w:p w14:paraId="76681D42">
      <w:pPr>
        <w:spacing w:before="150" w:line="229" w:lineRule="auto"/>
        <w:ind w:left="541"/>
        <w:rPr>
          <w:rFonts w:ascii="仿宋" w:hAnsi="仿宋" w:eastAsia="仿宋" w:cs="仿宋"/>
          <w:sz w:val="25"/>
          <w:szCs w:val="25"/>
        </w:rPr>
      </w:pPr>
      <w:r>
        <w:rPr>
          <w:rFonts w:ascii="仿宋" w:hAnsi="仿宋" w:eastAsia="仿宋" w:cs="仿宋"/>
          <w:spacing w:val="5"/>
          <w:sz w:val="25"/>
          <w:szCs w:val="25"/>
        </w:rPr>
        <w:t>（</w:t>
      </w:r>
      <w:r>
        <w:rPr>
          <w:rFonts w:ascii="Times New Roman" w:hAnsi="Times New Roman" w:eastAsia="Times New Roman" w:cs="Times New Roman"/>
          <w:spacing w:val="5"/>
          <w:sz w:val="25"/>
          <w:szCs w:val="25"/>
        </w:rPr>
        <w:t>11</w:t>
      </w:r>
      <w:r>
        <w:rPr>
          <w:rFonts w:ascii="仿宋" w:hAnsi="仿宋" w:eastAsia="仿宋" w:cs="仿宋"/>
          <w:spacing w:val="5"/>
          <w:sz w:val="25"/>
          <w:szCs w:val="25"/>
        </w:rPr>
        <w:t>）《</w:t>
      </w:r>
      <w:r>
        <w:rPr>
          <w:rFonts w:ascii="Times New Roman" w:hAnsi="Times New Roman" w:eastAsia="Times New Roman" w:cs="Times New Roman"/>
          <w:spacing w:val="5"/>
          <w:sz w:val="25"/>
          <w:szCs w:val="25"/>
        </w:rPr>
        <w:t>2024</w:t>
      </w:r>
      <w:r>
        <w:rPr>
          <w:rFonts w:ascii="Times New Roman" w:hAnsi="Times New Roman" w:eastAsia="Times New Roman" w:cs="Times New Roman"/>
          <w:spacing w:val="44"/>
          <w:sz w:val="25"/>
          <w:szCs w:val="25"/>
        </w:rPr>
        <w:t xml:space="preserve"> </w:t>
      </w:r>
      <w:r>
        <w:rPr>
          <w:rFonts w:ascii="仿宋" w:hAnsi="仿宋" w:eastAsia="仿宋" w:cs="仿宋"/>
          <w:spacing w:val="5"/>
          <w:sz w:val="25"/>
          <w:szCs w:val="25"/>
        </w:rPr>
        <w:t>年黔江区环境质量状况通报》；</w:t>
      </w:r>
    </w:p>
    <w:p w14:paraId="4A698D91">
      <w:pPr>
        <w:spacing w:before="148" w:line="229" w:lineRule="auto"/>
        <w:ind w:left="541"/>
        <w:rPr>
          <w:rFonts w:ascii="仿宋" w:hAnsi="仿宋" w:eastAsia="仿宋" w:cs="仿宋"/>
          <w:sz w:val="25"/>
          <w:szCs w:val="25"/>
        </w:rPr>
      </w:pPr>
      <w:r>
        <w:rPr>
          <w:rFonts w:ascii="仿宋" w:hAnsi="仿宋" w:eastAsia="仿宋" w:cs="仿宋"/>
          <w:spacing w:val="6"/>
          <w:sz w:val="25"/>
          <w:szCs w:val="25"/>
        </w:rPr>
        <w:t>（</w:t>
      </w:r>
      <w:r>
        <w:rPr>
          <w:rFonts w:ascii="Times New Roman" w:hAnsi="Times New Roman" w:eastAsia="Times New Roman" w:cs="Times New Roman"/>
          <w:spacing w:val="6"/>
          <w:sz w:val="25"/>
          <w:szCs w:val="25"/>
        </w:rPr>
        <w:t>12</w:t>
      </w:r>
      <w:r>
        <w:rPr>
          <w:rFonts w:ascii="仿宋" w:hAnsi="仿宋" w:eastAsia="仿宋" w:cs="仿宋"/>
          <w:spacing w:val="6"/>
          <w:sz w:val="25"/>
          <w:szCs w:val="25"/>
        </w:rPr>
        <w:t>）《重庆市生态环境状况公报》（</w:t>
      </w:r>
      <w:r>
        <w:rPr>
          <w:rFonts w:ascii="Times New Roman" w:hAnsi="Times New Roman" w:eastAsia="Times New Roman" w:cs="Times New Roman"/>
          <w:spacing w:val="6"/>
          <w:sz w:val="25"/>
          <w:szCs w:val="25"/>
        </w:rPr>
        <w:t>2020-2024</w:t>
      </w:r>
      <w:r>
        <w:rPr>
          <w:rFonts w:ascii="Times New Roman" w:hAnsi="Times New Roman" w:eastAsia="Times New Roman" w:cs="Times New Roman"/>
          <w:spacing w:val="25"/>
          <w:w w:val="101"/>
          <w:sz w:val="25"/>
          <w:szCs w:val="25"/>
        </w:rPr>
        <w:t xml:space="preserve"> </w:t>
      </w:r>
      <w:r>
        <w:rPr>
          <w:rFonts w:ascii="仿宋" w:hAnsi="仿宋" w:eastAsia="仿宋" w:cs="仿宋"/>
          <w:spacing w:val="6"/>
          <w:sz w:val="25"/>
          <w:szCs w:val="25"/>
        </w:rPr>
        <w:t>年</w:t>
      </w:r>
      <w:r>
        <w:rPr>
          <w:rFonts w:ascii="仿宋" w:hAnsi="仿宋" w:eastAsia="仿宋" w:cs="仿宋"/>
          <w:spacing w:val="4"/>
          <w:sz w:val="25"/>
          <w:szCs w:val="25"/>
        </w:rPr>
        <w:t>）；</w:t>
      </w:r>
    </w:p>
    <w:p w14:paraId="5D515C70">
      <w:pPr>
        <w:spacing w:before="150" w:line="229" w:lineRule="auto"/>
        <w:ind w:left="541"/>
        <w:rPr>
          <w:rFonts w:ascii="仿宋" w:hAnsi="仿宋" w:eastAsia="仿宋" w:cs="仿宋"/>
          <w:sz w:val="25"/>
          <w:szCs w:val="25"/>
        </w:rPr>
      </w:pPr>
      <w:r>
        <w:rPr>
          <w:rFonts w:ascii="仿宋" w:hAnsi="仿宋" w:eastAsia="仿宋" w:cs="仿宋"/>
          <w:spacing w:val="6"/>
          <w:sz w:val="25"/>
          <w:szCs w:val="25"/>
        </w:rPr>
        <w:t>（</w:t>
      </w:r>
      <w:r>
        <w:rPr>
          <w:rFonts w:ascii="Times New Roman" w:hAnsi="Times New Roman" w:eastAsia="Times New Roman" w:cs="Times New Roman"/>
          <w:spacing w:val="6"/>
          <w:sz w:val="25"/>
          <w:szCs w:val="25"/>
        </w:rPr>
        <w:t>13</w:t>
      </w:r>
      <w:r>
        <w:rPr>
          <w:rFonts w:ascii="仿宋" w:hAnsi="仿宋" w:eastAsia="仿宋" w:cs="仿宋"/>
          <w:spacing w:val="6"/>
          <w:sz w:val="25"/>
          <w:szCs w:val="25"/>
        </w:rPr>
        <w:t>）《重庆市水资源公报》（</w:t>
      </w:r>
      <w:r>
        <w:rPr>
          <w:rFonts w:ascii="Times New Roman" w:hAnsi="Times New Roman" w:eastAsia="Times New Roman" w:cs="Times New Roman"/>
          <w:spacing w:val="6"/>
          <w:sz w:val="25"/>
          <w:szCs w:val="25"/>
        </w:rPr>
        <w:t>2020</w:t>
      </w:r>
      <w:r>
        <w:rPr>
          <w:rFonts w:ascii="Times New Roman" w:hAnsi="Times New Roman" w:eastAsia="Times New Roman" w:cs="Times New Roman"/>
          <w:spacing w:val="5"/>
          <w:sz w:val="25"/>
          <w:szCs w:val="25"/>
        </w:rPr>
        <w:t>-2024</w:t>
      </w:r>
      <w:r>
        <w:rPr>
          <w:rFonts w:ascii="Times New Roman" w:hAnsi="Times New Roman" w:eastAsia="Times New Roman" w:cs="Times New Roman"/>
          <w:spacing w:val="27"/>
          <w:w w:val="101"/>
          <w:sz w:val="25"/>
          <w:szCs w:val="25"/>
        </w:rPr>
        <w:t xml:space="preserve"> </w:t>
      </w:r>
      <w:r>
        <w:rPr>
          <w:rFonts w:ascii="仿宋" w:hAnsi="仿宋" w:eastAsia="仿宋" w:cs="仿宋"/>
          <w:spacing w:val="5"/>
          <w:sz w:val="25"/>
          <w:szCs w:val="25"/>
        </w:rPr>
        <w:t>年</w:t>
      </w:r>
      <w:r>
        <w:rPr>
          <w:rFonts w:ascii="仿宋" w:hAnsi="仿宋" w:eastAsia="仿宋" w:cs="仿宋"/>
          <w:sz w:val="25"/>
          <w:szCs w:val="25"/>
        </w:rPr>
        <w:t>）；</w:t>
      </w:r>
    </w:p>
    <w:p w14:paraId="5F75F979">
      <w:pPr>
        <w:spacing w:before="150" w:line="228" w:lineRule="auto"/>
        <w:ind w:left="541"/>
        <w:rPr>
          <w:rFonts w:ascii="仿宋" w:hAnsi="仿宋" w:eastAsia="仿宋" w:cs="仿宋"/>
          <w:sz w:val="25"/>
          <w:szCs w:val="25"/>
        </w:rPr>
      </w:pPr>
      <w:r>
        <w:rPr>
          <w:rFonts w:ascii="仿宋" w:hAnsi="仿宋" w:eastAsia="仿宋" w:cs="仿宋"/>
          <w:spacing w:val="6"/>
          <w:sz w:val="25"/>
          <w:szCs w:val="25"/>
        </w:rPr>
        <w:t>（</w:t>
      </w:r>
      <w:r>
        <w:rPr>
          <w:rFonts w:ascii="Times New Roman" w:hAnsi="Times New Roman" w:eastAsia="Times New Roman" w:cs="Times New Roman"/>
          <w:spacing w:val="6"/>
          <w:sz w:val="25"/>
          <w:szCs w:val="25"/>
        </w:rPr>
        <w:t>14</w:t>
      </w:r>
      <w:r>
        <w:rPr>
          <w:rFonts w:ascii="仿宋" w:hAnsi="仿宋" w:eastAsia="仿宋" w:cs="仿宋"/>
          <w:spacing w:val="6"/>
          <w:sz w:val="25"/>
          <w:szCs w:val="25"/>
        </w:rPr>
        <w:t>）《重庆市水土保持公报》（</w:t>
      </w:r>
      <w:r>
        <w:rPr>
          <w:rFonts w:ascii="Times New Roman" w:hAnsi="Times New Roman" w:eastAsia="Times New Roman" w:cs="Times New Roman"/>
          <w:spacing w:val="6"/>
          <w:sz w:val="25"/>
          <w:szCs w:val="25"/>
        </w:rPr>
        <w:t>2020-2024</w:t>
      </w:r>
      <w:r>
        <w:rPr>
          <w:rFonts w:ascii="Times New Roman" w:hAnsi="Times New Roman" w:eastAsia="Times New Roman" w:cs="Times New Roman"/>
          <w:spacing w:val="25"/>
          <w:sz w:val="25"/>
          <w:szCs w:val="25"/>
        </w:rPr>
        <w:t xml:space="preserve"> </w:t>
      </w:r>
      <w:r>
        <w:rPr>
          <w:rFonts w:ascii="仿宋" w:hAnsi="仿宋" w:eastAsia="仿宋" w:cs="仿宋"/>
          <w:spacing w:val="6"/>
          <w:sz w:val="25"/>
          <w:szCs w:val="25"/>
        </w:rPr>
        <w:t>年</w:t>
      </w:r>
      <w:r>
        <w:rPr>
          <w:rFonts w:ascii="仿宋" w:hAnsi="仿宋" w:eastAsia="仿宋" w:cs="仿宋"/>
          <w:sz w:val="25"/>
          <w:szCs w:val="25"/>
        </w:rPr>
        <w:t>）；</w:t>
      </w:r>
    </w:p>
    <w:p w14:paraId="2231672F">
      <w:pPr>
        <w:spacing w:before="150" w:line="229" w:lineRule="auto"/>
        <w:ind w:left="541"/>
        <w:rPr>
          <w:rFonts w:ascii="仿宋" w:hAnsi="仿宋" w:eastAsia="仿宋" w:cs="仿宋"/>
          <w:sz w:val="25"/>
          <w:szCs w:val="25"/>
        </w:rPr>
      </w:pPr>
      <w:r>
        <w:rPr>
          <w:rFonts w:ascii="仿宋" w:hAnsi="仿宋" w:eastAsia="仿宋" w:cs="仿宋"/>
          <w:spacing w:val="4"/>
          <w:sz w:val="25"/>
          <w:szCs w:val="25"/>
        </w:rPr>
        <w:t>（</w:t>
      </w:r>
      <w:r>
        <w:rPr>
          <w:rFonts w:ascii="Times New Roman" w:hAnsi="Times New Roman" w:eastAsia="Times New Roman" w:cs="Times New Roman"/>
          <w:spacing w:val="4"/>
          <w:sz w:val="25"/>
          <w:szCs w:val="25"/>
        </w:rPr>
        <w:t>15</w:t>
      </w:r>
      <w:r>
        <w:rPr>
          <w:rFonts w:ascii="仿宋" w:hAnsi="仿宋" w:eastAsia="仿宋" w:cs="仿宋"/>
          <w:spacing w:val="4"/>
          <w:sz w:val="25"/>
          <w:szCs w:val="25"/>
        </w:rPr>
        <w:t>）《重庆市规划和</w:t>
      </w:r>
      <w:r>
        <w:rPr>
          <w:rFonts w:ascii="仿宋" w:hAnsi="仿宋" w:eastAsia="仿宋" w:cs="仿宋"/>
          <w:spacing w:val="-56"/>
          <w:sz w:val="25"/>
          <w:szCs w:val="25"/>
        </w:rPr>
        <w:t xml:space="preserve"> </w:t>
      </w:r>
      <w:r>
        <w:rPr>
          <w:rFonts w:ascii="仿宋" w:hAnsi="仿宋" w:eastAsia="仿宋" w:cs="仿宋"/>
          <w:spacing w:val="4"/>
          <w:sz w:val="25"/>
          <w:szCs w:val="25"/>
        </w:rPr>
        <w:t>自然资源局公报》（</w:t>
      </w:r>
      <w:r>
        <w:rPr>
          <w:rFonts w:ascii="Times New Roman" w:hAnsi="Times New Roman" w:eastAsia="Times New Roman" w:cs="Times New Roman"/>
          <w:spacing w:val="4"/>
          <w:sz w:val="25"/>
          <w:szCs w:val="25"/>
        </w:rPr>
        <w:t>2018-2022</w:t>
      </w:r>
      <w:r>
        <w:rPr>
          <w:rFonts w:ascii="Times New Roman" w:hAnsi="Times New Roman" w:eastAsia="Times New Roman" w:cs="Times New Roman"/>
          <w:spacing w:val="25"/>
          <w:sz w:val="25"/>
          <w:szCs w:val="25"/>
        </w:rPr>
        <w:t xml:space="preserve"> </w:t>
      </w:r>
      <w:r>
        <w:rPr>
          <w:rFonts w:ascii="仿宋" w:hAnsi="仿宋" w:eastAsia="仿宋" w:cs="仿宋"/>
          <w:spacing w:val="4"/>
          <w:sz w:val="25"/>
          <w:szCs w:val="25"/>
        </w:rPr>
        <w:t>年</w:t>
      </w:r>
      <w:r>
        <w:rPr>
          <w:rFonts w:ascii="仿宋" w:hAnsi="仿宋" w:eastAsia="仿宋" w:cs="仿宋"/>
          <w:spacing w:val="3"/>
          <w:sz w:val="25"/>
          <w:szCs w:val="25"/>
        </w:rPr>
        <w:t>）；</w:t>
      </w:r>
    </w:p>
    <w:p w14:paraId="7D440F1D">
      <w:pPr>
        <w:spacing w:before="150" w:line="228" w:lineRule="auto"/>
        <w:ind w:left="541"/>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16</w:t>
      </w:r>
      <w:r>
        <w:rPr>
          <w:rFonts w:ascii="仿宋" w:hAnsi="仿宋" w:eastAsia="仿宋" w:cs="仿宋"/>
          <w:spacing w:val="7"/>
          <w:sz w:val="25"/>
          <w:szCs w:val="25"/>
        </w:rPr>
        <w:t>）《重庆市生态环境保护</w:t>
      </w:r>
      <w:r>
        <w:rPr>
          <w:rFonts w:ascii="Times New Roman" w:hAnsi="Times New Roman" w:eastAsia="Times New Roman" w:cs="Times New Roman"/>
          <w:spacing w:val="7"/>
          <w:sz w:val="25"/>
          <w:szCs w:val="25"/>
        </w:rPr>
        <w:t>“</w:t>
      </w:r>
      <w:r>
        <w:rPr>
          <w:rFonts w:ascii="仿宋" w:hAnsi="仿宋" w:eastAsia="仿宋" w:cs="仿宋"/>
          <w:spacing w:val="7"/>
          <w:sz w:val="25"/>
          <w:szCs w:val="25"/>
        </w:rPr>
        <w:t>十四五</w:t>
      </w:r>
      <w:r>
        <w:rPr>
          <w:rFonts w:ascii="Times New Roman" w:hAnsi="Times New Roman" w:eastAsia="Times New Roman" w:cs="Times New Roman"/>
          <w:spacing w:val="7"/>
          <w:sz w:val="25"/>
          <w:szCs w:val="25"/>
        </w:rPr>
        <w:t>”</w:t>
      </w:r>
      <w:r>
        <w:rPr>
          <w:rFonts w:ascii="仿宋" w:hAnsi="仿宋" w:eastAsia="仿宋" w:cs="仿宋"/>
          <w:spacing w:val="7"/>
          <w:sz w:val="25"/>
          <w:szCs w:val="25"/>
        </w:rPr>
        <w:t>规划（</w:t>
      </w:r>
      <w:r>
        <w:rPr>
          <w:rFonts w:ascii="Times New Roman" w:hAnsi="Times New Roman" w:eastAsia="Times New Roman" w:cs="Times New Roman"/>
          <w:spacing w:val="7"/>
          <w:sz w:val="25"/>
          <w:szCs w:val="25"/>
        </w:rPr>
        <w:t>2021—2025</w:t>
      </w:r>
      <w:r>
        <w:rPr>
          <w:rFonts w:ascii="仿宋" w:hAnsi="仿宋" w:eastAsia="仿宋" w:cs="仿宋"/>
          <w:spacing w:val="7"/>
          <w:sz w:val="25"/>
          <w:szCs w:val="25"/>
        </w:rPr>
        <w:t>）》；</w:t>
      </w:r>
    </w:p>
    <w:p w14:paraId="6292C373">
      <w:pPr>
        <w:spacing w:before="152" w:line="228" w:lineRule="auto"/>
        <w:ind w:left="541"/>
        <w:rPr>
          <w:rFonts w:ascii="仿宋" w:hAnsi="仿宋" w:eastAsia="仿宋" w:cs="仿宋"/>
          <w:sz w:val="25"/>
          <w:szCs w:val="25"/>
        </w:rPr>
      </w:pPr>
      <w:r>
        <w:rPr>
          <w:rFonts w:ascii="仿宋" w:hAnsi="仿宋" w:eastAsia="仿宋" w:cs="仿宋"/>
          <w:spacing w:val="6"/>
          <w:sz w:val="25"/>
          <w:szCs w:val="25"/>
        </w:rPr>
        <w:t>（</w:t>
      </w:r>
      <w:r>
        <w:rPr>
          <w:rFonts w:ascii="Times New Roman" w:hAnsi="Times New Roman" w:eastAsia="Times New Roman" w:cs="Times New Roman"/>
          <w:spacing w:val="6"/>
          <w:sz w:val="25"/>
          <w:szCs w:val="25"/>
        </w:rPr>
        <w:t>17</w:t>
      </w:r>
      <w:r>
        <w:rPr>
          <w:rFonts w:ascii="仿宋" w:hAnsi="仿宋" w:eastAsia="仿宋" w:cs="仿宋"/>
          <w:spacing w:val="6"/>
          <w:sz w:val="25"/>
          <w:szCs w:val="25"/>
        </w:rPr>
        <w:t>）《重庆市大气环境保护</w:t>
      </w:r>
      <w:r>
        <w:rPr>
          <w:rFonts w:ascii="Times New Roman" w:hAnsi="Times New Roman" w:eastAsia="Times New Roman" w:cs="Times New Roman"/>
          <w:spacing w:val="6"/>
          <w:sz w:val="25"/>
          <w:szCs w:val="25"/>
        </w:rPr>
        <w:t>“</w:t>
      </w:r>
      <w:r>
        <w:rPr>
          <w:rFonts w:ascii="仿宋" w:hAnsi="仿宋" w:eastAsia="仿宋" w:cs="仿宋"/>
          <w:spacing w:val="6"/>
          <w:sz w:val="25"/>
          <w:szCs w:val="25"/>
        </w:rPr>
        <w:t>十四五</w:t>
      </w:r>
      <w:r>
        <w:rPr>
          <w:rFonts w:ascii="Times New Roman" w:hAnsi="Times New Roman" w:eastAsia="Times New Roman" w:cs="Times New Roman"/>
          <w:spacing w:val="6"/>
          <w:sz w:val="25"/>
          <w:szCs w:val="25"/>
        </w:rPr>
        <w:t>”</w:t>
      </w:r>
      <w:r>
        <w:rPr>
          <w:rFonts w:ascii="仿宋" w:hAnsi="仿宋" w:eastAsia="仿宋" w:cs="仿宋"/>
          <w:spacing w:val="6"/>
          <w:sz w:val="25"/>
          <w:szCs w:val="25"/>
        </w:rPr>
        <w:t>规划（</w:t>
      </w:r>
      <w:r>
        <w:rPr>
          <w:rFonts w:ascii="Times New Roman" w:hAnsi="Times New Roman" w:eastAsia="Times New Roman" w:cs="Times New Roman"/>
          <w:spacing w:val="6"/>
          <w:sz w:val="25"/>
          <w:szCs w:val="25"/>
        </w:rPr>
        <w:t>2021-2025</w:t>
      </w:r>
      <w:r>
        <w:rPr>
          <w:rFonts w:ascii="Times New Roman" w:hAnsi="Times New Roman" w:eastAsia="Times New Roman" w:cs="Times New Roman"/>
          <w:spacing w:val="37"/>
          <w:sz w:val="25"/>
          <w:szCs w:val="25"/>
        </w:rPr>
        <w:t xml:space="preserve"> </w:t>
      </w:r>
      <w:r>
        <w:rPr>
          <w:rFonts w:ascii="仿宋" w:hAnsi="仿宋" w:eastAsia="仿宋" w:cs="仿宋"/>
          <w:spacing w:val="6"/>
          <w:sz w:val="25"/>
          <w:szCs w:val="25"/>
        </w:rPr>
        <w:t>年）》；</w:t>
      </w:r>
    </w:p>
    <w:p w14:paraId="1F477093">
      <w:pPr>
        <w:spacing w:before="150" w:line="228" w:lineRule="auto"/>
        <w:ind w:left="541"/>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19</w:t>
      </w:r>
      <w:r>
        <w:rPr>
          <w:rFonts w:ascii="仿宋" w:hAnsi="仿宋" w:eastAsia="仿宋" w:cs="仿宋"/>
          <w:spacing w:val="7"/>
          <w:sz w:val="25"/>
          <w:szCs w:val="25"/>
        </w:rPr>
        <w:t>）《黔江区生态环境保护</w:t>
      </w:r>
      <w:r>
        <w:rPr>
          <w:rFonts w:ascii="Times New Roman" w:hAnsi="Times New Roman" w:eastAsia="Times New Roman" w:cs="Times New Roman"/>
          <w:spacing w:val="7"/>
          <w:sz w:val="25"/>
          <w:szCs w:val="25"/>
        </w:rPr>
        <w:t>“</w:t>
      </w:r>
      <w:r>
        <w:rPr>
          <w:rFonts w:ascii="仿宋" w:hAnsi="仿宋" w:eastAsia="仿宋" w:cs="仿宋"/>
          <w:spacing w:val="7"/>
          <w:sz w:val="25"/>
          <w:szCs w:val="25"/>
        </w:rPr>
        <w:t>十四五</w:t>
      </w:r>
      <w:r>
        <w:rPr>
          <w:rFonts w:ascii="Times New Roman" w:hAnsi="Times New Roman" w:eastAsia="Times New Roman" w:cs="Times New Roman"/>
          <w:spacing w:val="7"/>
          <w:sz w:val="25"/>
          <w:szCs w:val="25"/>
        </w:rPr>
        <w:t>”</w:t>
      </w:r>
      <w:r>
        <w:rPr>
          <w:rFonts w:ascii="仿宋" w:hAnsi="仿宋" w:eastAsia="仿宋" w:cs="仿宋"/>
          <w:spacing w:val="7"/>
          <w:sz w:val="25"/>
          <w:szCs w:val="25"/>
        </w:rPr>
        <w:t>规划》；</w:t>
      </w:r>
    </w:p>
    <w:p w14:paraId="29572507">
      <w:pPr>
        <w:spacing w:before="152" w:line="229" w:lineRule="auto"/>
        <w:ind w:left="541"/>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20</w:t>
      </w:r>
      <w:r>
        <w:rPr>
          <w:rFonts w:ascii="仿宋" w:hAnsi="仿宋" w:eastAsia="仿宋" w:cs="仿宋"/>
          <w:spacing w:val="7"/>
          <w:sz w:val="25"/>
          <w:szCs w:val="25"/>
        </w:rPr>
        <w:t>）《黔江区综合交通运输</w:t>
      </w:r>
      <w:r>
        <w:rPr>
          <w:rFonts w:ascii="Times New Roman" w:hAnsi="Times New Roman" w:eastAsia="Times New Roman" w:cs="Times New Roman"/>
          <w:spacing w:val="7"/>
          <w:sz w:val="25"/>
          <w:szCs w:val="25"/>
        </w:rPr>
        <w:t>“</w:t>
      </w:r>
      <w:r>
        <w:rPr>
          <w:rFonts w:ascii="仿宋" w:hAnsi="仿宋" w:eastAsia="仿宋" w:cs="仿宋"/>
          <w:spacing w:val="7"/>
          <w:sz w:val="25"/>
          <w:szCs w:val="25"/>
        </w:rPr>
        <w:t>十四五</w:t>
      </w:r>
      <w:r>
        <w:rPr>
          <w:rFonts w:ascii="Times New Roman" w:hAnsi="Times New Roman" w:eastAsia="Times New Roman" w:cs="Times New Roman"/>
          <w:spacing w:val="7"/>
          <w:sz w:val="25"/>
          <w:szCs w:val="25"/>
        </w:rPr>
        <w:t>”</w:t>
      </w:r>
      <w:r>
        <w:rPr>
          <w:rFonts w:ascii="仿宋" w:hAnsi="仿宋" w:eastAsia="仿宋" w:cs="仿宋"/>
          <w:spacing w:val="7"/>
          <w:sz w:val="25"/>
          <w:szCs w:val="25"/>
        </w:rPr>
        <w:t>发展规划》；</w:t>
      </w:r>
    </w:p>
    <w:p w14:paraId="66005880">
      <w:pPr>
        <w:spacing w:before="151" w:line="229" w:lineRule="auto"/>
        <w:jc w:val="right"/>
        <w:rPr>
          <w:rFonts w:ascii="仿宋" w:hAnsi="仿宋" w:eastAsia="仿宋" w:cs="仿宋"/>
          <w:sz w:val="25"/>
          <w:szCs w:val="25"/>
        </w:rPr>
      </w:pPr>
      <w:r>
        <w:rPr>
          <w:rFonts w:ascii="仿宋" w:hAnsi="仿宋" w:eastAsia="仿宋" w:cs="仿宋"/>
          <w:spacing w:val="-5"/>
          <w:sz w:val="25"/>
          <w:szCs w:val="25"/>
        </w:rPr>
        <w:t>（</w:t>
      </w:r>
      <w:r>
        <w:rPr>
          <w:rFonts w:ascii="Times New Roman" w:hAnsi="Times New Roman" w:eastAsia="Times New Roman" w:cs="Times New Roman"/>
          <w:spacing w:val="-5"/>
          <w:sz w:val="25"/>
          <w:szCs w:val="25"/>
        </w:rPr>
        <w:t>21</w:t>
      </w:r>
      <w:r>
        <w:rPr>
          <w:rFonts w:ascii="仿宋" w:hAnsi="仿宋" w:eastAsia="仿宋" w:cs="仿宋"/>
          <w:spacing w:val="-5"/>
          <w:sz w:val="25"/>
          <w:szCs w:val="25"/>
        </w:rPr>
        <w:t>）《重庆市黔江区矿产资源总体规划（</w:t>
      </w:r>
      <w:r>
        <w:rPr>
          <w:rFonts w:ascii="Times New Roman" w:hAnsi="Times New Roman" w:eastAsia="Times New Roman" w:cs="Times New Roman"/>
          <w:spacing w:val="-5"/>
          <w:sz w:val="25"/>
          <w:szCs w:val="25"/>
        </w:rPr>
        <w:t>2021—2025</w:t>
      </w:r>
      <w:r>
        <w:rPr>
          <w:rFonts w:ascii="Times New Roman" w:hAnsi="Times New Roman" w:eastAsia="Times New Roman" w:cs="Times New Roman"/>
          <w:spacing w:val="27"/>
          <w:sz w:val="25"/>
          <w:szCs w:val="25"/>
        </w:rPr>
        <w:t xml:space="preserve"> </w:t>
      </w:r>
      <w:r>
        <w:rPr>
          <w:rFonts w:ascii="仿宋" w:hAnsi="仿宋" w:eastAsia="仿宋" w:cs="仿宋"/>
          <w:spacing w:val="-5"/>
          <w:sz w:val="25"/>
          <w:szCs w:val="25"/>
        </w:rPr>
        <w:t>年）调整论证</w:t>
      </w:r>
      <w:r>
        <w:rPr>
          <w:rFonts w:ascii="仿宋" w:hAnsi="仿宋" w:eastAsia="仿宋" w:cs="仿宋"/>
          <w:spacing w:val="-6"/>
          <w:sz w:val="25"/>
          <w:szCs w:val="25"/>
        </w:rPr>
        <w:t>方案》。</w:t>
      </w:r>
    </w:p>
    <w:p w14:paraId="2F750DDF">
      <w:pPr>
        <w:spacing w:before="163" w:line="229" w:lineRule="auto"/>
        <w:ind w:left="16"/>
        <w:outlineLvl w:val="1"/>
        <w:rPr>
          <w:rFonts w:ascii="仿宋" w:hAnsi="仿宋" w:eastAsia="仿宋" w:cs="仿宋"/>
          <w:sz w:val="25"/>
          <w:szCs w:val="25"/>
        </w:rPr>
      </w:pPr>
      <w:bookmarkStart w:id="6" w:name="bookmark6"/>
      <w:bookmarkEnd w:id="6"/>
      <w:r>
        <w:rPr>
          <w:rFonts w:ascii="Times New Roman" w:hAnsi="Times New Roman" w:eastAsia="Times New Roman" w:cs="Times New Roman"/>
          <w:b/>
          <w:bCs/>
          <w:spacing w:val="3"/>
          <w:sz w:val="25"/>
          <w:szCs w:val="25"/>
        </w:rPr>
        <w:t>1.3</w:t>
      </w:r>
      <w:r>
        <w:rPr>
          <w:rFonts w:ascii="Times New Roman" w:hAnsi="Times New Roman" w:eastAsia="Times New Roman" w:cs="Times New Roman"/>
          <w:b/>
          <w:bCs/>
          <w:spacing w:val="14"/>
          <w:sz w:val="25"/>
          <w:szCs w:val="25"/>
        </w:rPr>
        <w:t xml:space="preserve">  </w:t>
      </w:r>
      <w:r>
        <w:rPr>
          <w:rFonts w:ascii="仿宋" w:hAnsi="仿宋" w:eastAsia="仿宋" w:cs="仿宋"/>
          <w:b/>
          <w:bCs/>
          <w:spacing w:val="3"/>
          <w:sz w:val="25"/>
          <w:szCs w:val="25"/>
        </w:rPr>
        <w:t>评价内容、重点</w:t>
      </w:r>
    </w:p>
    <w:p w14:paraId="79935F19">
      <w:pPr>
        <w:spacing w:before="254" w:line="229" w:lineRule="auto"/>
        <w:ind w:left="16"/>
        <w:outlineLvl w:val="2"/>
        <w:rPr>
          <w:rFonts w:ascii="仿宋" w:hAnsi="仿宋" w:eastAsia="仿宋" w:cs="仿宋"/>
          <w:sz w:val="25"/>
          <w:szCs w:val="25"/>
        </w:rPr>
      </w:pPr>
      <w:r>
        <w:rPr>
          <w:rFonts w:ascii="Times New Roman" w:hAnsi="Times New Roman" w:eastAsia="Times New Roman" w:cs="Times New Roman"/>
          <w:b/>
          <w:bCs/>
          <w:spacing w:val="1"/>
          <w:sz w:val="25"/>
          <w:szCs w:val="25"/>
        </w:rPr>
        <w:t>1.3.1</w:t>
      </w:r>
      <w:r>
        <w:rPr>
          <w:rFonts w:ascii="Times New Roman" w:hAnsi="Times New Roman" w:eastAsia="Times New Roman" w:cs="Times New Roman"/>
          <w:b/>
          <w:bCs/>
          <w:spacing w:val="14"/>
          <w:sz w:val="25"/>
          <w:szCs w:val="25"/>
        </w:rPr>
        <w:t xml:space="preserve">  </w:t>
      </w:r>
      <w:r>
        <w:rPr>
          <w:rFonts w:ascii="仿宋" w:hAnsi="仿宋" w:eastAsia="仿宋" w:cs="仿宋"/>
          <w:b/>
          <w:bCs/>
          <w:spacing w:val="1"/>
          <w:sz w:val="25"/>
          <w:szCs w:val="25"/>
        </w:rPr>
        <w:t>评价内容</w:t>
      </w:r>
    </w:p>
    <w:p w14:paraId="6CD6E46D">
      <w:pPr>
        <w:spacing w:before="265" w:line="340" w:lineRule="auto"/>
        <w:ind w:left="16" w:right="23" w:firstLine="524"/>
        <w:jc w:val="both"/>
        <w:rPr>
          <w:rFonts w:ascii="仿宋" w:hAnsi="仿宋" w:eastAsia="仿宋" w:cs="仿宋"/>
          <w:sz w:val="25"/>
          <w:szCs w:val="25"/>
        </w:rPr>
      </w:pPr>
      <w:r>
        <w:rPr>
          <w:rFonts w:ascii="仿宋" w:hAnsi="仿宋" w:eastAsia="仿宋" w:cs="仿宋"/>
          <w:spacing w:val="7"/>
          <w:sz w:val="25"/>
          <w:szCs w:val="25"/>
        </w:rPr>
        <w:t>依据《规划环境影响评价技术导则 总纲》</w:t>
      </w:r>
      <w:r>
        <w:rPr>
          <w:rFonts w:ascii="Times New Roman" w:hAnsi="Times New Roman" w:eastAsia="Times New Roman" w:cs="Times New Roman"/>
          <w:spacing w:val="7"/>
          <w:sz w:val="25"/>
          <w:szCs w:val="25"/>
        </w:rPr>
        <w:t>(</w:t>
      </w:r>
      <w:r>
        <w:rPr>
          <w:rFonts w:ascii="Times New Roman" w:hAnsi="Times New Roman" w:eastAsia="Times New Roman" w:cs="Times New Roman"/>
          <w:sz w:val="25"/>
          <w:szCs w:val="25"/>
        </w:rPr>
        <w:t>HJ</w:t>
      </w:r>
      <w:r>
        <w:rPr>
          <w:rFonts w:ascii="Times New Roman" w:hAnsi="Times New Roman" w:eastAsia="Times New Roman" w:cs="Times New Roman"/>
          <w:spacing w:val="7"/>
          <w:sz w:val="25"/>
          <w:szCs w:val="25"/>
        </w:rPr>
        <w:t>130-2019)</w:t>
      </w:r>
      <w:r>
        <w:rPr>
          <w:rFonts w:ascii="Times New Roman" w:hAnsi="Times New Roman" w:eastAsia="Times New Roman" w:cs="Times New Roman"/>
          <w:spacing w:val="-23"/>
          <w:sz w:val="25"/>
          <w:szCs w:val="25"/>
        </w:rPr>
        <w:t xml:space="preserve"> </w:t>
      </w:r>
      <w:r>
        <w:rPr>
          <w:rFonts w:ascii="仿宋" w:hAnsi="仿宋" w:eastAsia="仿宋" w:cs="仿宋"/>
          <w:spacing w:val="7"/>
          <w:sz w:val="25"/>
          <w:szCs w:val="25"/>
        </w:rPr>
        <w:t>、《</w:t>
      </w:r>
      <w:r>
        <w:rPr>
          <w:rFonts w:ascii="Times New Roman" w:hAnsi="Times New Roman" w:eastAsia="Times New Roman" w:cs="Times New Roman"/>
          <w:spacing w:val="7"/>
          <w:sz w:val="25"/>
          <w:szCs w:val="25"/>
        </w:rPr>
        <w:t>“</w:t>
      </w:r>
      <w:r>
        <w:rPr>
          <w:rFonts w:ascii="仿宋" w:hAnsi="仿宋" w:eastAsia="仿宋" w:cs="仿宋"/>
          <w:spacing w:val="7"/>
          <w:sz w:val="25"/>
          <w:szCs w:val="25"/>
        </w:rPr>
        <w:t>十四</w:t>
      </w:r>
      <w:r>
        <w:rPr>
          <w:rFonts w:ascii="仿宋" w:hAnsi="仿宋" w:eastAsia="仿宋" w:cs="仿宋"/>
          <w:spacing w:val="6"/>
          <w:sz w:val="25"/>
          <w:szCs w:val="25"/>
        </w:rPr>
        <w:t>五</w:t>
      </w:r>
      <w:r>
        <w:rPr>
          <w:rFonts w:ascii="Times New Roman" w:hAnsi="Times New Roman" w:eastAsia="Times New Roman" w:cs="Times New Roman"/>
          <w:spacing w:val="6"/>
          <w:sz w:val="25"/>
          <w:szCs w:val="25"/>
        </w:rPr>
        <w:t>”</w:t>
      </w:r>
      <w:r>
        <w:rPr>
          <w:rFonts w:ascii="仿宋" w:hAnsi="仿宋" w:eastAsia="仿宋" w:cs="仿宋"/>
          <w:spacing w:val="6"/>
          <w:sz w:val="25"/>
          <w:szCs w:val="25"/>
        </w:rPr>
        <w:t>省级</w:t>
      </w:r>
      <w:r>
        <w:rPr>
          <w:rFonts w:ascii="仿宋" w:hAnsi="仿宋" w:eastAsia="仿宋" w:cs="仿宋"/>
          <w:sz w:val="25"/>
          <w:szCs w:val="25"/>
        </w:rPr>
        <w:t xml:space="preserve"> </w:t>
      </w:r>
      <w:r>
        <w:rPr>
          <w:rFonts w:ascii="仿宋" w:hAnsi="仿宋" w:eastAsia="仿宋" w:cs="仿宋"/>
          <w:spacing w:val="4"/>
          <w:sz w:val="25"/>
          <w:szCs w:val="25"/>
        </w:rPr>
        <w:t>矿产资源总体规划环境影响评价技术要点（试行）》，本次评价内容主要包括：</w:t>
      </w:r>
      <w:r>
        <w:rPr>
          <w:rFonts w:ascii="仿宋" w:hAnsi="仿宋" w:eastAsia="仿宋" w:cs="仿宋"/>
          <w:spacing w:val="3"/>
          <w:sz w:val="25"/>
          <w:szCs w:val="25"/>
        </w:rPr>
        <w:t xml:space="preserve"> </w:t>
      </w:r>
      <w:r>
        <w:rPr>
          <w:rFonts w:ascii="仿宋" w:hAnsi="仿宋" w:eastAsia="仿宋" w:cs="仿宋"/>
          <w:spacing w:val="10"/>
          <w:sz w:val="25"/>
          <w:szCs w:val="25"/>
        </w:rPr>
        <w:t>总则、规划调整情况概述、规划实施情况和</w:t>
      </w:r>
      <w:r>
        <w:rPr>
          <w:rFonts w:ascii="仿宋" w:hAnsi="仿宋" w:eastAsia="仿宋" w:cs="仿宋"/>
          <w:spacing w:val="9"/>
          <w:sz w:val="25"/>
          <w:szCs w:val="25"/>
        </w:rPr>
        <w:t>环境影响回顾、规划调整涉及区域</w:t>
      </w:r>
      <w:r>
        <w:rPr>
          <w:rFonts w:ascii="仿宋" w:hAnsi="仿宋" w:eastAsia="仿宋" w:cs="仿宋"/>
          <w:sz w:val="25"/>
          <w:szCs w:val="25"/>
        </w:rPr>
        <w:t xml:space="preserve"> </w:t>
      </w:r>
      <w:r>
        <w:rPr>
          <w:rFonts w:ascii="仿宋" w:hAnsi="仿宋" w:eastAsia="仿宋" w:cs="仿宋"/>
          <w:spacing w:val="10"/>
          <w:sz w:val="25"/>
          <w:szCs w:val="25"/>
        </w:rPr>
        <w:t>环境现状调查与评价、规划调整内容协调性</w:t>
      </w:r>
      <w:r>
        <w:rPr>
          <w:rFonts w:ascii="仿宋" w:hAnsi="仿宋" w:eastAsia="仿宋" w:cs="仿宋"/>
          <w:spacing w:val="9"/>
          <w:sz w:val="25"/>
          <w:szCs w:val="25"/>
        </w:rPr>
        <w:t>分析、环境影响识别与评价指标体</w:t>
      </w:r>
      <w:r>
        <w:rPr>
          <w:rFonts w:ascii="仿宋" w:hAnsi="仿宋" w:eastAsia="仿宋" w:cs="仿宋"/>
          <w:sz w:val="25"/>
          <w:szCs w:val="25"/>
        </w:rPr>
        <w:t xml:space="preserve"> </w:t>
      </w:r>
      <w:r>
        <w:rPr>
          <w:rFonts w:ascii="仿宋" w:hAnsi="仿宋" w:eastAsia="仿宋" w:cs="仿宋"/>
          <w:spacing w:val="10"/>
          <w:sz w:val="25"/>
          <w:szCs w:val="25"/>
        </w:rPr>
        <w:t>系构建、环境影响预测与评价、规划调整方</w:t>
      </w:r>
      <w:r>
        <w:rPr>
          <w:rFonts w:ascii="仿宋" w:hAnsi="仿宋" w:eastAsia="仿宋" w:cs="仿宋"/>
          <w:spacing w:val="9"/>
          <w:sz w:val="25"/>
          <w:szCs w:val="25"/>
        </w:rPr>
        <w:t>案综合论证和优化调整建议、规划</w:t>
      </w:r>
      <w:r>
        <w:rPr>
          <w:rFonts w:ascii="仿宋" w:hAnsi="仿宋" w:eastAsia="仿宋" w:cs="仿宋"/>
          <w:sz w:val="25"/>
          <w:szCs w:val="25"/>
        </w:rPr>
        <w:t xml:space="preserve"> </w:t>
      </w:r>
      <w:r>
        <w:rPr>
          <w:rFonts w:ascii="仿宋" w:hAnsi="仿宋" w:eastAsia="仿宋" w:cs="仿宋"/>
          <w:spacing w:val="10"/>
          <w:sz w:val="25"/>
          <w:szCs w:val="25"/>
        </w:rPr>
        <w:t>调整项目新增环境影响预测与评价及环境影</w:t>
      </w:r>
      <w:r>
        <w:rPr>
          <w:rFonts w:ascii="仿宋" w:hAnsi="仿宋" w:eastAsia="仿宋" w:cs="仿宋"/>
          <w:spacing w:val="9"/>
          <w:sz w:val="25"/>
          <w:szCs w:val="25"/>
        </w:rPr>
        <w:t>响减缓对策和措施、公众参与、评</w:t>
      </w:r>
      <w:r>
        <w:rPr>
          <w:rFonts w:ascii="仿宋" w:hAnsi="仿宋" w:eastAsia="仿宋" w:cs="仿宋"/>
          <w:sz w:val="25"/>
          <w:szCs w:val="25"/>
        </w:rPr>
        <w:t xml:space="preserve"> </w:t>
      </w:r>
      <w:r>
        <w:rPr>
          <w:rFonts w:ascii="仿宋" w:hAnsi="仿宋" w:eastAsia="仿宋" w:cs="仿宋"/>
          <w:spacing w:val="3"/>
          <w:sz w:val="25"/>
          <w:szCs w:val="25"/>
        </w:rPr>
        <w:t>价结论。</w:t>
      </w:r>
    </w:p>
    <w:p w14:paraId="260C1473">
      <w:pPr>
        <w:spacing w:before="121" w:line="229" w:lineRule="auto"/>
        <w:ind w:left="16"/>
        <w:outlineLvl w:val="2"/>
        <w:rPr>
          <w:rFonts w:ascii="仿宋" w:hAnsi="仿宋" w:eastAsia="仿宋" w:cs="仿宋"/>
          <w:sz w:val="25"/>
          <w:szCs w:val="25"/>
        </w:rPr>
      </w:pPr>
      <w:r>
        <w:rPr>
          <w:rFonts w:ascii="Times New Roman" w:hAnsi="Times New Roman" w:eastAsia="Times New Roman" w:cs="Times New Roman"/>
          <w:b/>
          <w:bCs/>
          <w:spacing w:val="1"/>
          <w:sz w:val="25"/>
          <w:szCs w:val="25"/>
        </w:rPr>
        <w:t>1.3.2</w:t>
      </w:r>
      <w:r>
        <w:rPr>
          <w:rFonts w:ascii="Times New Roman" w:hAnsi="Times New Roman" w:eastAsia="Times New Roman" w:cs="Times New Roman"/>
          <w:b/>
          <w:bCs/>
          <w:spacing w:val="14"/>
          <w:sz w:val="25"/>
          <w:szCs w:val="25"/>
        </w:rPr>
        <w:t xml:space="preserve">  </w:t>
      </w:r>
      <w:r>
        <w:rPr>
          <w:rFonts w:ascii="仿宋" w:hAnsi="仿宋" w:eastAsia="仿宋" w:cs="仿宋"/>
          <w:b/>
          <w:bCs/>
          <w:spacing w:val="1"/>
          <w:sz w:val="25"/>
          <w:szCs w:val="25"/>
        </w:rPr>
        <w:t>评价重点</w:t>
      </w:r>
    </w:p>
    <w:p w14:paraId="1910A1F1">
      <w:pPr>
        <w:spacing w:before="269" w:line="340" w:lineRule="auto"/>
        <w:ind w:left="16" w:right="90" w:firstLine="521"/>
        <w:jc w:val="both"/>
        <w:rPr>
          <w:rFonts w:ascii="仿宋" w:hAnsi="仿宋" w:eastAsia="仿宋" w:cs="仿宋"/>
          <w:sz w:val="25"/>
          <w:szCs w:val="25"/>
        </w:rPr>
      </w:pPr>
      <w:r>
        <w:rPr>
          <w:rFonts w:ascii="仿宋" w:hAnsi="仿宋" w:eastAsia="仿宋" w:cs="仿宋"/>
          <w:spacing w:val="9"/>
          <w:sz w:val="25"/>
          <w:szCs w:val="25"/>
        </w:rPr>
        <w:t>评价重点为：规划实施情况和环境影响回顾，规划调整情况概述、规划调</w:t>
      </w:r>
      <w:r>
        <w:rPr>
          <w:rFonts w:ascii="仿宋" w:hAnsi="仿宋" w:eastAsia="仿宋" w:cs="仿宋"/>
          <w:spacing w:val="15"/>
          <w:sz w:val="25"/>
          <w:szCs w:val="25"/>
        </w:rPr>
        <w:t xml:space="preserve"> </w:t>
      </w:r>
      <w:r>
        <w:rPr>
          <w:rFonts w:ascii="仿宋" w:hAnsi="仿宋" w:eastAsia="仿宋" w:cs="仿宋"/>
          <w:spacing w:val="10"/>
          <w:sz w:val="25"/>
          <w:szCs w:val="25"/>
        </w:rPr>
        <w:t>整涉及区域环境现状调查与评价、规划调整</w:t>
      </w:r>
      <w:r>
        <w:rPr>
          <w:rFonts w:ascii="仿宋" w:hAnsi="仿宋" w:eastAsia="仿宋" w:cs="仿宋"/>
          <w:spacing w:val="9"/>
          <w:sz w:val="25"/>
          <w:szCs w:val="25"/>
        </w:rPr>
        <w:t>内容环境影响预测与评价及环境影</w:t>
      </w:r>
      <w:r>
        <w:rPr>
          <w:rFonts w:ascii="仿宋" w:hAnsi="仿宋" w:eastAsia="仿宋" w:cs="仿宋"/>
          <w:sz w:val="25"/>
          <w:szCs w:val="25"/>
        </w:rPr>
        <w:t xml:space="preserve"> </w:t>
      </w:r>
      <w:r>
        <w:rPr>
          <w:rFonts w:ascii="仿宋" w:hAnsi="仿宋" w:eastAsia="仿宋" w:cs="仿宋"/>
          <w:spacing w:val="6"/>
          <w:sz w:val="25"/>
          <w:szCs w:val="25"/>
        </w:rPr>
        <w:t>响减缓对策和措施。</w:t>
      </w:r>
    </w:p>
    <w:p w14:paraId="076BF931">
      <w:pPr>
        <w:spacing w:before="12" w:line="228" w:lineRule="auto"/>
        <w:ind w:left="16"/>
        <w:outlineLvl w:val="1"/>
        <w:rPr>
          <w:rFonts w:ascii="仿宋" w:hAnsi="仿宋" w:eastAsia="仿宋" w:cs="仿宋"/>
          <w:sz w:val="25"/>
          <w:szCs w:val="25"/>
        </w:rPr>
      </w:pPr>
      <w:bookmarkStart w:id="7" w:name="bookmark7"/>
      <w:bookmarkEnd w:id="7"/>
      <w:r>
        <w:rPr>
          <w:rFonts w:ascii="Times New Roman" w:hAnsi="Times New Roman" w:eastAsia="Times New Roman" w:cs="Times New Roman"/>
          <w:b/>
          <w:bCs/>
          <w:spacing w:val="6"/>
          <w:sz w:val="25"/>
          <w:szCs w:val="25"/>
        </w:rPr>
        <w:t xml:space="preserve">1.4  </w:t>
      </w:r>
      <w:r>
        <w:rPr>
          <w:rFonts w:ascii="仿宋" w:hAnsi="仿宋" w:eastAsia="仿宋" w:cs="仿宋"/>
          <w:b/>
          <w:bCs/>
          <w:spacing w:val="6"/>
          <w:sz w:val="25"/>
          <w:szCs w:val="25"/>
        </w:rPr>
        <w:t>规划调整区域执行的环境功能区划与评价标准</w:t>
      </w:r>
    </w:p>
    <w:p w14:paraId="20A06A83">
      <w:pPr>
        <w:spacing w:before="256" w:line="228" w:lineRule="auto"/>
        <w:ind w:left="16"/>
        <w:outlineLvl w:val="2"/>
        <w:rPr>
          <w:rFonts w:ascii="仿宋" w:hAnsi="仿宋" w:eastAsia="仿宋" w:cs="仿宋"/>
          <w:sz w:val="25"/>
          <w:szCs w:val="25"/>
        </w:rPr>
      </w:pPr>
      <w:r>
        <w:rPr>
          <w:rFonts w:ascii="Times New Roman" w:hAnsi="Times New Roman" w:eastAsia="Times New Roman" w:cs="Times New Roman"/>
          <w:b/>
          <w:bCs/>
          <w:spacing w:val="5"/>
          <w:sz w:val="25"/>
          <w:szCs w:val="25"/>
        </w:rPr>
        <w:t>1.4.1</w:t>
      </w:r>
      <w:r>
        <w:rPr>
          <w:rFonts w:ascii="Times New Roman" w:hAnsi="Times New Roman" w:eastAsia="Times New Roman" w:cs="Times New Roman"/>
          <w:b/>
          <w:bCs/>
          <w:spacing w:val="21"/>
          <w:w w:val="101"/>
          <w:sz w:val="25"/>
          <w:szCs w:val="25"/>
        </w:rPr>
        <w:t xml:space="preserve"> </w:t>
      </w:r>
      <w:r>
        <w:rPr>
          <w:rFonts w:ascii="仿宋" w:hAnsi="仿宋" w:eastAsia="仿宋" w:cs="仿宋"/>
          <w:b/>
          <w:bCs/>
          <w:spacing w:val="5"/>
          <w:sz w:val="25"/>
          <w:szCs w:val="25"/>
        </w:rPr>
        <w:t>环境功能区划和环境质量标准</w:t>
      </w:r>
    </w:p>
    <w:p w14:paraId="63EF2C72">
      <w:pPr>
        <w:spacing w:before="272" w:line="228" w:lineRule="auto"/>
        <w:ind w:left="541"/>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1</w:t>
      </w:r>
      <w:r>
        <w:rPr>
          <w:rFonts w:ascii="仿宋" w:hAnsi="仿宋" w:eastAsia="仿宋" w:cs="仿宋"/>
          <w:spacing w:val="7"/>
          <w:sz w:val="25"/>
          <w:szCs w:val="25"/>
        </w:rPr>
        <w:t>）环境空气功能区划</w:t>
      </w:r>
    </w:p>
    <w:p w14:paraId="6CB0EB3D">
      <w:pPr>
        <w:spacing w:line="228" w:lineRule="auto"/>
        <w:rPr>
          <w:rFonts w:ascii="仿宋" w:hAnsi="仿宋" w:eastAsia="仿宋" w:cs="仿宋"/>
          <w:sz w:val="25"/>
          <w:szCs w:val="25"/>
        </w:rPr>
        <w:sectPr>
          <w:headerReference r:id="rId30" w:type="default"/>
          <w:footerReference r:id="rId31" w:type="default"/>
          <w:pgSz w:w="11906" w:h="16839"/>
          <w:pgMar w:top="1116" w:right="1385" w:bottom="1480" w:left="1587" w:header="683" w:footer="1318" w:gutter="0"/>
          <w:cols w:space="720" w:num="1"/>
        </w:sectPr>
      </w:pPr>
    </w:p>
    <w:p w14:paraId="634F9CC6">
      <w:pPr>
        <w:pStyle w:val="2"/>
        <w:spacing w:line="368" w:lineRule="auto"/>
      </w:pPr>
    </w:p>
    <w:p w14:paraId="05C06836">
      <w:pPr>
        <w:spacing w:before="81" w:line="325" w:lineRule="auto"/>
        <w:ind w:left="128" w:right="25" w:firstLine="522"/>
        <w:jc w:val="both"/>
        <w:rPr>
          <w:rFonts w:ascii="仿宋" w:hAnsi="仿宋" w:eastAsia="仿宋" w:cs="仿宋"/>
          <w:sz w:val="25"/>
          <w:szCs w:val="25"/>
        </w:rPr>
      </w:pPr>
      <w:r>
        <w:rPr>
          <w:rFonts w:ascii="仿宋" w:hAnsi="仿宋" w:eastAsia="仿宋" w:cs="仿宋"/>
          <w:spacing w:val="8"/>
          <w:sz w:val="25"/>
          <w:szCs w:val="25"/>
        </w:rPr>
        <w:t>根据《重庆市环境空气质量功能区划分规定》（渝府</w:t>
      </w:r>
      <w:r>
        <w:rPr>
          <w:rFonts w:ascii="仿宋" w:hAnsi="仿宋" w:eastAsia="仿宋" w:cs="仿宋"/>
          <w:spacing w:val="7"/>
          <w:sz w:val="25"/>
          <w:szCs w:val="25"/>
        </w:rPr>
        <w:t>发〔</w:t>
      </w:r>
      <w:r>
        <w:rPr>
          <w:rFonts w:ascii="Times New Roman" w:hAnsi="Times New Roman" w:eastAsia="Times New Roman" w:cs="Times New Roman"/>
          <w:spacing w:val="7"/>
          <w:sz w:val="25"/>
          <w:szCs w:val="25"/>
        </w:rPr>
        <w:t>2016</w:t>
      </w:r>
      <w:r>
        <w:rPr>
          <w:rFonts w:ascii="仿宋" w:hAnsi="仿宋" w:eastAsia="仿宋" w:cs="仿宋"/>
          <w:spacing w:val="7"/>
          <w:sz w:val="25"/>
          <w:szCs w:val="25"/>
        </w:rPr>
        <w:t>〕</w:t>
      </w:r>
      <w:r>
        <w:rPr>
          <w:rFonts w:ascii="Times New Roman" w:hAnsi="Times New Roman" w:eastAsia="Times New Roman" w:cs="Times New Roman"/>
          <w:spacing w:val="7"/>
          <w:sz w:val="25"/>
          <w:szCs w:val="25"/>
        </w:rPr>
        <w:t>19</w:t>
      </w:r>
      <w:r>
        <w:rPr>
          <w:rFonts w:ascii="Times New Roman" w:hAnsi="Times New Roman" w:eastAsia="Times New Roman" w:cs="Times New Roman"/>
          <w:spacing w:val="29"/>
          <w:sz w:val="25"/>
          <w:szCs w:val="25"/>
        </w:rPr>
        <w:t xml:space="preserve"> </w:t>
      </w:r>
      <w:r>
        <w:rPr>
          <w:rFonts w:ascii="仿宋" w:hAnsi="仿宋" w:eastAsia="仿宋" w:cs="仿宋"/>
          <w:spacing w:val="7"/>
          <w:sz w:val="25"/>
          <w:szCs w:val="25"/>
        </w:rPr>
        <w:t>号</w:t>
      </w:r>
      <w:r>
        <w:rPr>
          <w:rFonts w:ascii="仿宋" w:hAnsi="仿宋" w:eastAsia="仿宋" w:cs="仿宋"/>
          <w:spacing w:val="21"/>
          <w:sz w:val="25"/>
          <w:szCs w:val="25"/>
        </w:rPr>
        <w:t>），</w:t>
      </w:r>
      <w:r>
        <w:rPr>
          <w:rFonts w:ascii="仿宋" w:hAnsi="仿宋" w:eastAsia="仿宋" w:cs="仿宋"/>
          <w:sz w:val="25"/>
          <w:szCs w:val="25"/>
        </w:rPr>
        <w:t xml:space="preserve"> </w:t>
      </w:r>
      <w:r>
        <w:rPr>
          <w:rFonts w:ascii="仿宋" w:hAnsi="仿宋" w:eastAsia="仿宋" w:cs="仿宋"/>
          <w:spacing w:val="5"/>
          <w:sz w:val="25"/>
          <w:szCs w:val="25"/>
        </w:rPr>
        <w:t>小南海市级自然保护区、小南海市级风景名胜</w:t>
      </w:r>
      <w:r>
        <w:rPr>
          <w:rFonts w:ascii="仿宋" w:hAnsi="仿宋" w:eastAsia="仿宋" w:cs="仿宋"/>
          <w:spacing w:val="4"/>
          <w:sz w:val="25"/>
          <w:szCs w:val="25"/>
        </w:rPr>
        <w:t>区、小南海湿地县级自然保护区、</w:t>
      </w:r>
      <w:r>
        <w:rPr>
          <w:rFonts w:ascii="仿宋" w:hAnsi="仿宋" w:eastAsia="仿宋" w:cs="仿宋"/>
          <w:sz w:val="25"/>
          <w:szCs w:val="25"/>
        </w:rPr>
        <w:t xml:space="preserve"> </w:t>
      </w:r>
      <w:r>
        <w:rPr>
          <w:rFonts w:ascii="仿宋" w:hAnsi="仿宋" w:eastAsia="仿宋" w:cs="仿宋"/>
          <w:spacing w:val="9"/>
          <w:sz w:val="25"/>
          <w:szCs w:val="25"/>
        </w:rPr>
        <w:t>武陵山市级自然保护区、黔江国家森林公园、仰头山森林公园阿蓬江国家湿地</w:t>
      </w:r>
      <w:r>
        <w:rPr>
          <w:rFonts w:ascii="仿宋" w:hAnsi="仿宋" w:eastAsia="仿宋" w:cs="仿宋"/>
          <w:spacing w:val="15"/>
          <w:sz w:val="25"/>
          <w:szCs w:val="25"/>
        </w:rPr>
        <w:t xml:space="preserve"> </w:t>
      </w:r>
      <w:r>
        <w:rPr>
          <w:rFonts w:ascii="仿宋" w:hAnsi="仿宋" w:eastAsia="仿宋" w:cs="仿宋"/>
          <w:spacing w:val="9"/>
          <w:sz w:val="25"/>
          <w:szCs w:val="25"/>
        </w:rPr>
        <w:t>公园、小南海国家地质公园为一类功能区，其它区域为二类功能区。一类功能</w:t>
      </w:r>
      <w:r>
        <w:rPr>
          <w:rFonts w:ascii="仿宋" w:hAnsi="仿宋" w:eastAsia="仿宋" w:cs="仿宋"/>
          <w:spacing w:val="15"/>
          <w:sz w:val="25"/>
          <w:szCs w:val="25"/>
        </w:rPr>
        <w:t xml:space="preserve"> </w:t>
      </w:r>
      <w:r>
        <w:rPr>
          <w:rFonts w:ascii="仿宋" w:hAnsi="仿宋" w:eastAsia="仿宋" w:cs="仿宋"/>
          <w:spacing w:val="10"/>
          <w:sz w:val="25"/>
          <w:szCs w:val="25"/>
        </w:rPr>
        <w:t>区内的建设用地及其以外所设</w:t>
      </w:r>
      <w:r>
        <w:rPr>
          <w:rFonts w:ascii="Times New Roman" w:hAnsi="Times New Roman" w:eastAsia="Times New Roman" w:cs="Times New Roman"/>
          <w:spacing w:val="10"/>
          <w:sz w:val="25"/>
          <w:szCs w:val="25"/>
        </w:rPr>
        <w:t>300</w:t>
      </w:r>
      <w:r>
        <w:rPr>
          <w:rFonts w:ascii="Times New Roman" w:hAnsi="Times New Roman" w:eastAsia="Times New Roman" w:cs="Times New Roman"/>
          <w:spacing w:val="34"/>
          <w:sz w:val="25"/>
          <w:szCs w:val="25"/>
        </w:rPr>
        <w:t xml:space="preserve"> </w:t>
      </w:r>
      <w:r>
        <w:rPr>
          <w:rFonts w:ascii="仿宋" w:hAnsi="仿宋" w:eastAsia="仿宋" w:cs="仿宋"/>
          <w:spacing w:val="10"/>
          <w:sz w:val="25"/>
          <w:szCs w:val="25"/>
        </w:rPr>
        <w:t>米宽的缓冲带，原则上按一类功能区对应的</w:t>
      </w:r>
      <w:r>
        <w:rPr>
          <w:rFonts w:ascii="仿宋" w:hAnsi="仿宋" w:eastAsia="仿宋" w:cs="仿宋"/>
          <w:sz w:val="25"/>
          <w:szCs w:val="25"/>
        </w:rPr>
        <w:t xml:space="preserve"> </w:t>
      </w:r>
      <w:r>
        <w:rPr>
          <w:rFonts w:ascii="仿宋" w:hAnsi="仿宋" w:eastAsia="仿宋" w:cs="仿宋"/>
          <w:spacing w:val="8"/>
          <w:sz w:val="25"/>
          <w:szCs w:val="25"/>
        </w:rPr>
        <w:t>标准执行，其他区域属于二类功能区。</w:t>
      </w:r>
    </w:p>
    <w:p w14:paraId="77A88130">
      <w:pPr>
        <w:spacing w:before="2" w:line="325" w:lineRule="auto"/>
        <w:ind w:left="144" w:right="114" w:firstLine="506"/>
        <w:rPr>
          <w:rFonts w:ascii="仿宋" w:hAnsi="仿宋" w:eastAsia="仿宋" w:cs="仿宋"/>
          <w:sz w:val="25"/>
          <w:szCs w:val="25"/>
        </w:rPr>
      </w:pPr>
      <w:r>
        <w:rPr>
          <w:rFonts w:ascii="仿宋" w:hAnsi="仿宋" w:eastAsia="仿宋" w:cs="仿宋"/>
          <w:spacing w:val="6"/>
          <w:sz w:val="25"/>
          <w:szCs w:val="25"/>
        </w:rPr>
        <w:t>本次评价的</w:t>
      </w:r>
      <w:r>
        <w:rPr>
          <w:rFonts w:ascii="仿宋" w:hAnsi="仿宋" w:eastAsia="仿宋" w:cs="仿宋"/>
          <w:spacing w:val="-32"/>
          <w:sz w:val="25"/>
          <w:szCs w:val="25"/>
        </w:rPr>
        <w:t xml:space="preserve"> </w:t>
      </w:r>
      <w:r>
        <w:rPr>
          <w:rFonts w:ascii="Times New Roman" w:hAnsi="Times New Roman" w:eastAsia="Times New Roman" w:cs="Times New Roman"/>
          <w:spacing w:val="6"/>
          <w:sz w:val="25"/>
          <w:szCs w:val="25"/>
        </w:rPr>
        <w:t>3</w:t>
      </w:r>
      <w:r>
        <w:rPr>
          <w:rFonts w:ascii="Times New Roman" w:hAnsi="Times New Roman" w:eastAsia="Times New Roman" w:cs="Times New Roman"/>
          <w:spacing w:val="20"/>
          <w:w w:val="101"/>
          <w:sz w:val="25"/>
          <w:szCs w:val="25"/>
        </w:rPr>
        <w:t xml:space="preserve"> </w:t>
      </w:r>
      <w:r>
        <w:rPr>
          <w:rFonts w:ascii="仿宋" w:hAnsi="仿宋" w:eastAsia="仿宋" w:cs="仿宋"/>
          <w:spacing w:val="6"/>
          <w:sz w:val="25"/>
          <w:szCs w:val="25"/>
        </w:rPr>
        <w:t>个规划勘查区块和</w:t>
      </w:r>
      <w:r>
        <w:rPr>
          <w:rFonts w:ascii="仿宋" w:hAnsi="仿宋" w:eastAsia="仿宋" w:cs="仿宋"/>
          <w:spacing w:val="-28"/>
          <w:sz w:val="25"/>
          <w:szCs w:val="25"/>
        </w:rPr>
        <w:t xml:space="preserve"> </w:t>
      </w:r>
      <w:r>
        <w:rPr>
          <w:rFonts w:ascii="Times New Roman" w:hAnsi="Times New Roman" w:eastAsia="Times New Roman" w:cs="Times New Roman"/>
          <w:spacing w:val="6"/>
          <w:sz w:val="25"/>
          <w:szCs w:val="25"/>
        </w:rPr>
        <w:t>1</w:t>
      </w:r>
      <w:r>
        <w:rPr>
          <w:rFonts w:ascii="Times New Roman" w:hAnsi="Times New Roman" w:eastAsia="Times New Roman" w:cs="Times New Roman"/>
          <w:spacing w:val="21"/>
          <w:sz w:val="25"/>
          <w:szCs w:val="25"/>
        </w:rPr>
        <w:t xml:space="preserve"> </w:t>
      </w:r>
      <w:r>
        <w:rPr>
          <w:rFonts w:ascii="仿宋" w:hAnsi="仿宋" w:eastAsia="仿宋" w:cs="仿宋"/>
          <w:spacing w:val="6"/>
          <w:sz w:val="25"/>
          <w:szCs w:val="25"/>
        </w:rPr>
        <w:t>个规划开采区块均不在环境空气一类功</w:t>
      </w:r>
      <w:r>
        <w:rPr>
          <w:rFonts w:ascii="仿宋" w:hAnsi="仿宋" w:eastAsia="仿宋" w:cs="仿宋"/>
          <w:sz w:val="25"/>
          <w:szCs w:val="25"/>
        </w:rPr>
        <w:t xml:space="preserve"> </w:t>
      </w:r>
      <w:r>
        <w:rPr>
          <w:rFonts w:ascii="仿宋" w:hAnsi="仿宋" w:eastAsia="仿宋" w:cs="仿宋"/>
          <w:spacing w:val="8"/>
          <w:sz w:val="25"/>
          <w:szCs w:val="25"/>
        </w:rPr>
        <w:t>能区内，均执行《环境空气质量标准》（</w:t>
      </w:r>
      <w:r>
        <w:rPr>
          <w:rFonts w:ascii="Times New Roman" w:hAnsi="Times New Roman" w:eastAsia="Times New Roman" w:cs="Times New Roman"/>
          <w:sz w:val="25"/>
          <w:szCs w:val="25"/>
        </w:rPr>
        <w:t>GB</w:t>
      </w:r>
      <w:r>
        <w:rPr>
          <w:rFonts w:ascii="Times New Roman" w:hAnsi="Times New Roman" w:eastAsia="Times New Roman" w:cs="Times New Roman"/>
          <w:spacing w:val="8"/>
          <w:sz w:val="25"/>
          <w:szCs w:val="25"/>
        </w:rPr>
        <w:t>309</w:t>
      </w:r>
      <w:r>
        <w:rPr>
          <w:rFonts w:ascii="Times New Roman" w:hAnsi="Times New Roman" w:eastAsia="Times New Roman" w:cs="Times New Roman"/>
          <w:spacing w:val="7"/>
          <w:sz w:val="25"/>
          <w:szCs w:val="25"/>
        </w:rPr>
        <w:t>5-2012</w:t>
      </w:r>
      <w:r>
        <w:rPr>
          <w:rFonts w:ascii="仿宋" w:hAnsi="仿宋" w:eastAsia="仿宋" w:cs="仿宋"/>
          <w:spacing w:val="7"/>
          <w:sz w:val="25"/>
          <w:szCs w:val="25"/>
        </w:rPr>
        <w:t>）二级标准。</w:t>
      </w:r>
    </w:p>
    <w:p w14:paraId="5E2FEC9D">
      <w:pPr>
        <w:spacing w:before="15" w:line="228" w:lineRule="auto"/>
        <w:ind w:left="655"/>
        <w:rPr>
          <w:rFonts w:ascii="仿宋" w:hAnsi="仿宋" w:eastAsia="仿宋" w:cs="仿宋"/>
          <w:sz w:val="25"/>
          <w:szCs w:val="25"/>
        </w:rPr>
      </w:pPr>
      <w:r>
        <w:rPr>
          <w:rFonts w:ascii="仿宋" w:hAnsi="仿宋" w:eastAsia="仿宋" w:cs="仿宋"/>
          <w:spacing w:val="7"/>
          <w:sz w:val="25"/>
          <w:szCs w:val="25"/>
        </w:rPr>
        <w:t>黔江区环境空气功能区划（叠加调整区块）示意图见附图</w:t>
      </w:r>
      <w:r>
        <w:rPr>
          <w:rFonts w:ascii="仿宋" w:hAnsi="仿宋" w:eastAsia="仿宋" w:cs="仿宋"/>
          <w:spacing w:val="-26"/>
          <w:sz w:val="25"/>
          <w:szCs w:val="25"/>
        </w:rPr>
        <w:t xml:space="preserve"> </w:t>
      </w:r>
      <w:r>
        <w:rPr>
          <w:rFonts w:ascii="Times New Roman" w:hAnsi="Times New Roman" w:eastAsia="Times New Roman" w:cs="Times New Roman"/>
          <w:spacing w:val="7"/>
          <w:sz w:val="25"/>
          <w:szCs w:val="25"/>
        </w:rPr>
        <w:t>1-2</w:t>
      </w:r>
      <w:r>
        <w:rPr>
          <w:rFonts w:ascii="仿宋" w:hAnsi="仿宋" w:eastAsia="仿宋" w:cs="仿宋"/>
          <w:spacing w:val="7"/>
          <w:sz w:val="25"/>
          <w:szCs w:val="25"/>
        </w:rPr>
        <w:t>。</w:t>
      </w:r>
    </w:p>
    <w:p w14:paraId="511928AD">
      <w:pPr>
        <w:spacing w:before="149" w:line="228" w:lineRule="auto"/>
        <w:ind w:left="654"/>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2</w:t>
      </w:r>
      <w:r>
        <w:rPr>
          <w:rFonts w:ascii="仿宋" w:hAnsi="仿宋" w:eastAsia="仿宋" w:cs="仿宋"/>
          <w:spacing w:val="7"/>
          <w:sz w:val="25"/>
          <w:szCs w:val="25"/>
        </w:rPr>
        <w:t>）水环境功能区划</w:t>
      </w:r>
    </w:p>
    <w:p w14:paraId="238C7983">
      <w:pPr>
        <w:spacing w:before="153" w:line="339" w:lineRule="auto"/>
        <w:ind w:left="130" w:right="109" w:firstLine="520"/>
        <w:rPr>
          <w:rFonts w:ascii="仿宋" w:hAnsi="仿宋" w:eastAsia="仿宋" w:cs="仿宋"/>
          <w:sz w:val="25"/>
          <w:szCs w:val="25"/>
        </w:rPr>
      </w:pPr>
      <w:r>
        <w:rPr>
          <w:rFonts w:ascii="仿宋" w:hAnsi="仿宋" w:eastAsia="仿宋" w:cs="仿宋"/>
          <w:spacing w:val="9"/>
          <w:sz w:val="25"/>
          <w:szCs w:val="25"/>
        </w:rPr>
        <w:t>根据《重庆市人民政府批转重庆市地表水环境功能类别调整方案的通知》</w:t>
      </w:r>
      <w:r>
        <w:rPr>
          <w:rFonts w:ascii="仿宋" w:hAnsi="仿宋" w:eastAsia="仿宋" w:cs="仿宋"/>
          <w:sz w:val="25"/>
          <w:szCs w:val="25"/>
        </w:rPr>
        <w:t xml:space="preserve"> </w:t>
      </w:r>
      <w:r>
        <w:rPr>
          <w:rFonts w:ascii="仿宋" w:hAnsi="仿宋" w:eastAsia="仿宋" w:cs="仿宋"/>
          <w:spacing w:val="7"/>
          <w:sz w:val="25"/>
          <w:szCs w:val="25"/>
        </w:rPr>
        <w:t>（渝府发</w:t>
      </w:r>
      <w:r>
        <w:rPr>
          <w:rFonts w:ascii="Times New Roman" w:hAnsi="Times New Roman" w:eastAsia="Times New Roman" w:cs="Times New Roman"/>
          <w:spacing w:val="7"/>
          <w:sz w:val="25"/>
          <w:szCs w:val="25"/>
        </w:rPr>
        <w:t>[2012]4</w:t>
      </w:r>
      <w:r>
        <w:rPr>
          <w:rFonts w:ascii="Times New Roman" w:hAnsi="Times New Roman" w:eastAsia="Times New Roman" w:cs="Times New Roman"/>
          <w:spacing w:val="28"/>
          <w:sz w:val="25"/>
          <w:szCs w:val="25"/>
        </w:rPr>
        <w:t xml:space="preserve"> </w:t>
      </w:r>
      <w:r>
        <w:rPr>
          <w:rFonts w:ascii="仿宋" w:hAnsi="仿宋" w:eastAsia="仿宋" w:cs="仿宋"/>
          <w:spacing w:val="7"/>
          <w:sz w:val="25"/>
          <w:szCs w:val="25"/>
        </w:rPr>
        <w:t>号）和《重庆市地表水功能区</w:t>
      </w:r>
      <w:r>
        <w:rPr>
          <w:rFonts w:ascii="仿宋" w:hAnsi="仿宋" w:eastAsia="仿宋" w:cs="仿宋"/>
          <w:spacing w:val="6"/>
          <w:sz w:val="25"/>
          <w:szCs w:val="25"/>
        </w:rPr>
        <w:t>划局部调整》（渝府发</w:t>
      </w:r>
      <w:r>
        <w:rPr>
          <w:rFonts w:ascii="Times New Roman" w:hAnsi="Times New Roman" w:eastAsia="Times New Roman" w:cs="Times New Roman"/>
          <w:spacing w:val="6"/>
          <w:sz w:val="25"/>
          <w:szCs w:val="25"/>
        </w:rPr>
        <w:t>[2016]43</w:t>
      </w:r>
      <w:r>
        <w:rPr>
          <w:rFonts w:ascii="Times New Roman" w:hAnsi="Times New Roman" w:eastAsia="Times New Roman" w:cs="Times New Roman"/>
          <w:sz w:val="25"/>
          <w:szCs w:val="25"/>
        </w:rPr>
        <w:t xml:space="preserve"> </w:t>
      </w:r>
      <w:r>
        <w:rPr>
          <w:rFonts w:ascii="仿宋" w:hAnsi="仿宋" w:eastAsia="仿宋" w:cs="仿宋"/>
          <w:spacing w:val="9"/>
          <w:sz w:val="25"/>
          <w:szCs w:val="25"/>
        </w:rPr>
        <w:t>号</w:t>
      </w:r>
      <w:r>
        <w:rPr>
          <w:rFonts w:ascii="仿宋" w:hAnsi="仿宋" w:eastAsia="仿宋" w:cs="仿宋"/>
          <w:spacing w:val="18"/>
          <w:sz w:val="25"/>
          <w:szCs w:val="25"/>
        </w:rPr>
        <w:t>），</w:t>
      </w:r>
      <w:r>
        <w:rPr>
          <w:rFonts w:ascii="仿宋" w:hAnsi="仿宋" w:eastAsia="仿宋" w:cs="仿宋"/>
          <w:spacing w:val="9"/>
          <w:sz w:val="25"/>
          <w:szCs w:val="25"/>
        </w:rPr>
        <w:t>规划调整区块所涉及河流主要有中井河、段溪河、后灶河、阿蓬江等，</w:t>
      </w:r>
      <w:r>
        <w:rPr>
          <w:rFonts w:ascii="仿宋" w:hAnsi="仿宋" w:eastAsia="仿宋" w:cs="仿宋"/>
          <w:sz w:val="25"/>
          <w:szCs w:val="25"/>
        </w:rPr>
        <w:t xml:space="preserve"> </w:t>
      </w:r>
      <w:r>
        <w:rPr>
          <w:rFonts w:ascii="仿宋" w:hAnsi="仿宋" w:eastAsia="仿宋" w:cs="仿宋"/>
          <w:spacing w:val="8"/>
          <w:sz w:val="25"/>
          <w:szCs w:val="25"/>
        </w:rPr>
        <w:t>地表水环境质量执行《地表水环境质量标准》</w:t>
      </w:r>
      <w:r>
        <w:rPr>
          <w:rFonts w:ascii="仿宋" w:hAnsi="仿宋" w:eastAsia="仿宋" w:cs="仿宋"/>
          <w:spacing w:val="-94"/>
          <w:sz w:val="25"/>
          <w:szCs w:val="25"/>
        </w:rPr>
        <w:t xml:space="preserve"> </w:t>
      </w:r>
      <w:r>
        <w:rPr>
          <w:rFonts w:ascii="仿宋" w:hAnsi="仿宋" w:eastAsia="仿宋" w:cs="仿宋"/>
          <w:spacing w:val="8"/>
          <w:sz w:val="25"/>
          <w:szCs w:val="25"/>
        </w:rPr>
        <w:t>（</w:t>
      </w:r>
      <w:r>
        <w:rPr>
          <w:rFonts w:ascii="Times New Roman" w:hAnsi="Times New Roman" w:eastAsia="Times New Roman" w:cs="Times New Roman"/>
          <w:sz w:val="25"/>
          <w:szCs w:val="25"/>
        </w:rPr>
        <w:t>GB</w:t>
      </w:r>
      <w:r>
        <w:rPr>
          <w:rFonts w:ascii="Times New Roman" w:hAnsi="Times New Roman" w:eastAsia="Times New Roman" w:cs="Times New Roman"/>
          <w:spacing w:val="8"/>
          <w:sz w:val="25"/>
          <w:szCs w:val="25"/>
        </w:rPr>
        <w:t>3838-2002</w:t>
      </w:r>
      <w:r>
        <w:rPr>
          <w:rFonts w:ascii="仿宋" w:hAnsi="仿宋" w:eastAsia="仿宋" w:cs="仿宋"/>
          <w:spacing w:val="8"/>
          <w:sz w:val="25"/>
          <w:szCs w:val="25"/>
        </w:rPr>
        <w:t>）</w:t>
      </w:r>
      <w:r>
        <w:rPr>
          <w:rFonts w:ascii="仿宋" w:hAnsi="仿宋" w:eastAsia="仿宋" w:cs="仿宋"/>
          <w:spacing w:val="-58"/>
          <w:sz w:val="25"/>
          <w:szCs w:val="25"/>
        </w:rPr>
        <w:t xml:space="preserve"> </w:t>
      </w:r>
      <w:r>
        <w:rPr>
          <w:rFonts w:ascii="仿宋" w:hAnsi="仿宋" w:eastAsia="仿宋" w:cs="仿宋"/>
          <w:spacing w:val="8"/>
          <w:sz w:val="25"/>
          <w:szCs w:val="25"/>
        </w:rPr>
        <w:t>中相应标准，</w:t>
      </w:r>
      <w:r>
        <w:rPr>
          <w:rFonts w:ascii="仿宋" w:hAnsi="仿宋" w:eastAsia="仿宋" w:cs="仿宋"/>
          <w:sz w:val="25"/>
          <w:szCs w:val="25"/>
        </w:rPr>
        <w:t xml:space="preserve"> 详见表</w:t>
      </w:r>
      <w:r>
        <w:rPr>
          <w:rFonts w:ascii="仿宋" w:hAnsi="仿宋" w:eastAsia="仿宋" w:cs="仿宋"/>
          <w:spacing w:val="-30"/>
          <w:sz w:val="25"/>
          <w:szCs w:val="25"/>
        </w:rPr>
        <w:t xml:space="preserve"> </w:t>
      </w:r>
      <w:r>
        <w:rPr>
          <w:rFonts w:ascii="Times New Roman" w:hAnsi="Times New Roman" w:eastAsia="Times New Roman" w:cs="Times New Roman"/>
          <w:sz w:val="25"/>
          <w:szCs w:val="25"/>
        </w:rPr>
        <w:t>1.4-1</w:t>
      </w:r>
      <w:r>
        <w:rPr>
          <w:rFonts w:ascii="仿宋" w:hAnsi="仿宋" w:eastAsia="仿宋" w:cs="仿宋"/>
          <w:sz w:val="25"/>
          <w:szCs w:val="25"/>
        </w:rPr>
        <w:t>。</w:t>
      </w:r>
    </w:p>
    <w:p w14:paraId="6D9BE31D">
      <w:pPr>
        <w:spacing w:before="45" w:line="230" w:lineRule="auto"/>
        <w:ind w:left="2882"/>
        <w:rPr>
          <w:rFonts w:ascii="仿宋" w:hAnsi="仿宋" w:eastAsia="仿宋" w:cs="仿宋"/>
          <w:sz w:val="20"/>
          <w:szCs w:val="20"/>
        </w:rPr>
      </w:pPr>
      <w:r>
        <w:rPr>
          <w:rFonts w:ascii="仿宋" w:hAnsi="仿宋" w:eastAsia="仿宋" w:cs="仿宋"/>
          <w:b/>
          <w:bCs/>
          <w:spacing w:val="5"/>
          <w:sz w:val="20"/>
          <w:szCs w:val="20"/>
        </w:rPr>
        <w:t>表</w:t>
      </w:r>
      <w:r>
        <w:rPr>
          <w:rFonts w:ascii="仿宋" w:hAnsi="仿宋" w:eastAsia="仿宋" w:cs="仿宋"/>
          <w:spacing w:val="-27"/>
          <w:sz w:val="20"/>
          <w:szCs w:val="20"/>
        </w:rPr>
        <w:t xml:space="preserve"> </w:t>
      </w:r>
      <w:r>
        <w:rPr>
          <w:rFonts w:ascii="Times New Roman" w:hAnsi="Times New Roman" w:eastAsia="Times New Roman" w:cs="Times New Roman"/>
          <w:b/>
          <w:bCs/>
          <w:spacing w:val="5"/>
          <w:sz w:val="20"/>
          <w:szCs w:val="20"/>
        </w:rPr>
        <w:t xml:space="preserve">1.4-1  </w:t>
      </w:r>
      <w:r>
        <w:rPr>
          <w:rFonts w:ascii="仿宋" w:hAnsi="仿宋" w:eastAsia="仿宋" w:cs="仿宋"/>
          <w:b/>
          <w:bCs/>
          <w:spacing w:val="5"/>
          <w:sz w:val="20"/>
          <w:szCs w:val="20"/>
        </w:rPr>
        <w:t>黔江区地表水环境功能区划</w:t>
      </w:r>
    </w:p>
    <w:p w14:paraId="7E54BAE0">
      <w:pPr>
        <w:spacing w:line="23" w:lineRule="exact"/>
      </w:pPr>
    </w:p>
    <w:tbl>
      <w:tblPr>
        <w:tblStyle w:val="5"/>
        <w:tblW w:w="906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41"/>
        <w:gridCol w:w="1268"/>
        <w:gridCol w:w="1302"/>
        <w:gridCol w:w="1565"/>
        <w:gridCol w:w="1072"/>
        <w:gridCol w:w="1030"/>
        <w:gridCol w:w="1882"/>
      </w:tblGrid>
      <w:tr w14:paraId="1B0F7C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4" w:hRule="atLeast"/>
        </w:trPr>
        <w:tc>
          <w:tcPr>
            <w:tcW w:w="941" w:type="dxa"/>
            <w:vAlign w:val="top"/>
          </w:tcPr>
          <w:p w14:paraId="121352AE">
            <w:pPr>
              <w:pStyle w:val="6"/>
              <w:spacing w:before="37" w:line="234" w:lineRule="auto"/>
              <w:ind w:left="374" w:right="154" w:hanging="202"/>
              <w:rPr>
                <w:sz w:val="20"/>
                <w:szCs w:val="20"/>
              </w:rPr>
            </w:pPr>
            <w:r>
              <w:rPr>
                <w:spacing w:val="3"/>
                <w:sz w:val="20"/>
                <w:szCs w:val="20"/>
              </w:rPr>
              <w:t>河流名</w:t>
            </w:r>
            <w:r>
              <w:rPr>
                <w:sz w:val="20"/>
                <w:szCs w:val="20"/>
              </w:rPr>
              <w:t xml:space="preserve"> 称</w:t>
            </w:r>
          </w:p>
        </w:tc>
        <w:tc>
          <w:tcPr>
            <w:tcW w:w="1268" w:type="dxa"/>
            <w:vAlign w:val="top"/>
          </w:tcPr>
          <w:p w14:paraId="35934F06">
            <w:pPr>
              <w:pStyle w:val="6"/>
              <w:spacing w:before="171" w:line="232" w:lineRule="auto"/>
              <w:ind w:left="432"/>
              <w:rPr>
                <w:sz w:val="20"/>
                <w:szCs w:val="20"/>
              </w:rPr>
            </w:pPr>
            <w:r>
              <w:rPr>
                <w:spacing w:val="2"/>
                <w:sz w:val="20"/>
                <w:szCs w:val="20"/>
              </w:rPr>
              <w:t>水系</w:t>
            </w:r>
          </w:p>
        </w:tc>
        <w:tc>
          <w:tcPr>
            <w:tcW w:w="1302" w:type="dxa"/>
            <w:vAlign w:val="top"/>
          </w:tcPr>
          <w:p w14:paraId="6D52F78F">
            <w:pPr>
              <w:pStyle w:val="6"/>
              <w:spacing w:before="171" w:line="232" w:lineRule="auto"/>
              <w:ind w:left="241"/>
              <w:rPr>
                <w:sz w:val="20"/>
                <w:szCs w:val="20"/>
              </w:rPr>
            </w:pPr>
            <w:r>
              <w:rPr>
                <w:spacing w:val="6"/>
                <w:sz w:val="20"/>
                <w:szCs w:val="20"/>
              </w:rPr>
              <w:t>水域范围</w:t>
            </w:r>
          </w:p>
        </w:tc>
        <w:tc>
          <w:tcPr>
            <w:tcW w:w="1565" w:type="dxa"/>
            <w:vAlign w:val="top"/>
          </w:tcPr>
          <w:p w14:paraId="7830A7C5">
            <w:pPr>
              <w:pStyle w:val="6"/>
              <w:spacing w:before="171" w:line="230" w:lineRule="auto"/>
              <w:ind w:left="163"/>
              <w:rPr>
                <w:sz w:val="20"/>
                <w:szCs w:val="20"/>
              </w:rPr>
            </w:pPr>
            <w:r>
              <w:rPr>
                <w:spacing w:val="7"/>
                <w:sz w:val="20"/>
                <w:szCs w:val="20"/>
              </w:rPr>
              <w:t>水域适用功能</w:t>
            </w:r>
          </w:p>
        </w:tc>
        <w:tc>
          <w:tcPr>
            <w:tcW w:w="1072" w:type="dxa"/>
            <w:vAlign w:val="top"/>
          </w:tcPr>
          <w:p w14:paraId="567D00EF">
            <w:pPr>
              <w:pStyle w:val="6"/>
              <w:spacing w:before="171" w:line="232" w:lineRule="auto"/>
              <w:ind w:left="127"/>
              <w:rPr>
                <w:sz w:val="20"/>
                <w:szCs w:val="20"/>
              </w:rPr>
            </w:pPr>
            <w:r>
              <w:rPr>
                <w:spacing w:val="6"/>
                <w:sz w:val="20"/>
                <w:szCs w:val="20"/>
              </w:rPr>
              <w:t>适用类别</w:t>
            </w:r>
          </w:p>
        </w:tc>
        <w:tc>
          <w:tcPr>
            <w:tcW w:w="1030" w:type="dxa"/>
            <w:vAlign w:val="top"/>
          </w:tcPr>
          <w:p w14:paraId="09712332">
            <w:pPr>
              <w:pStyle w:val="6"/>
              <w:spacing w:before="36" w:line="232" w:lineRule="auto"/>
              <w:ind w:left="212"/>
              <w:rPr>
                <w:sz w:val="20"/>
                <w:szCs w:val="20"/>
              </w:rPr>
            </w:pPr>
            <w:r>
              <w:rPr>
                <w:spacing w:val="5"/>
                <w:sz w:val="20"/>
                <w:szCs w:val="20"/>
              </w:rPr>
              <w:t>水质控</w:t>
            </w:r>
          </w:p>
          <w:p w14:paraId="52EF3B45">
            <w:pPr>
              <w:pStyle w:val="6"/>
              <w:spacing w:before="20" w:line="217" w:lineRule="auto"/>
              <w:ind w:left="213"/>
              <w:rPr>
                <w:sz w:val="20"/>
                <w:szCs w:val="20"/>
              </w:rPr>
            </w:pPr>
            <w:r>
              <w:rPr>
                <w:spacing w:val="4"/>
                <w:sz w:val="20"/>
                <w:szCs w:val="20"/>
              </w:rPr>
              <w:t>制断面</w:t>
            </w:r>
          </w:p>
        </w:tc>
        <w:tc>
          <w:tcPr>
            <w:tcW w:w="1882" w:type="dxa"/>
            <w:vAlign w:val="top"/>
          </w:tcPr>
          <w:p w14:paraId="2F9BBFA5">
            <w:pPr>
              <w:pStyle w:val="6"/>
              <w:spacing w:before="171" w:line="232" w:lineRule="auto"/>
              <w:ind w:left="531"/>
              <w:rPr>
                <w:sz w:val="20"/>
                <w:szCs w:val="20"/>
              </w:rPr>
            </w:pPr>
            <w:r>
              <w:rPr>
                <w:spacing w:val="5"/>
                <w:sz w:val="20"/>
                <w:szCs w:val="20"/>
              </w:rPr>
              <w:t>流经乡镇</w:t>
            </w:r>
          </w:p>
        </w:tc>
      </w:tr>
      <w:tr w14:paraId="31AEA6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941" w:type="dxa"/>
            <w:vAlign w:val="top"/>
          </w:tcPr>
          <w:p w14:paraId="006B143F">
            <w:pPr>
              <w:pStyle w:val="6"/>
              <w:spacing w:before="166" w:line="231" w:lineRule="auto"/>
              <w:ind w:left="193"/>
              <w:rPr>
                <w:sz w:val="20"/>
                <w:szCs w:val="20"/>
              </w:rPr>
            </w:pPr>
            <w:r>
              <w:rPr>
                <w:spacing w:val="-4"/>
                <w:sz w:val="20"/>
                <w:szCs w:val="20"/>
              </w:rPr>
              <w:t>中井河</w:t>
            </w:r>
          </w:p>
        </w:tc>
        <w:tc>
          <w:tcPr>
            <w:tcW w:w="1268" w:type="dxa"/>
            <w:vAlign w:val="top"/>
          </w:tcPr>
          <w:p w14:paraId="5BDFAAD6">
            <w:pPr>
              <w:pStyle w:val="6"/>
              <w:spacing w:before="166" w:line="229" w:lineRule="auto"/>
              <w:ind w:left="119"/>
              <w:rPr>
                <w:sz w:val="20"/>
                <w:szCs w:val="20"/>
              </w:rPr>
            </w:pPr>
            <w:r>
              <w:rPr>
                <w:spacing w:val="6"/>
                <w:sz w:val="20"/>
                <w:szCs w:val="20"/>
              </w:rPr>
              <w:t>郁江—乌江</w:t>
            </w:r>
          </w:p>
        </w:tc>
        <w:tc>
          <w:tcPr>
            <w:tcW w:w="1302" w:type="dxa"/>
            <w:vAlign w:val="top"/>
          </w:tcPr>
          <w:p w14:paraId="615DD14A">
            <w:pPr>
              <w:pStyle w:val="6"/>
              <w:spacing w:before="166" w:line="232" w:lineRule="auto"/>
              <w:ind w:left="350"/>
              <w:rPr>
                <w:sz w:val="20"/>
                <w:szCs w:val="20"/>
              </w:rPr>
            </w:pPr>
            <w:r>
              <w:rPr>
                <w:spacing w:val="3"/>
                <w:sz w:val="20"/>
                <w:szCs w:val="20"/>
              </w:rPr>
              <w:t>全河段</w:t>
            </w:r>
          </w:p>
        </w:tc>
        <w:tc>
          <w:tcPr>
            <w:tcW w:w="1565" w:type="dxa"/>
            <w:vAlign w:val="top"/>
          </w:tcPr>
          <w:p w14:paraId="1FA71675">
            <w:pPr>
              <w:pStyle w:val="6"/>
              <w:spacing w:before="166" w:line="232" w:lineRule="auto"/>
              <w:ind w:left="380"/>
              <w:rPr>
                <w:sz w:val="20"/>
                <w:szCs w:val="20"/>
              </w:rPr>
            </w:pPr>
            <w:r>
              <w:rPr>
                <w:spacing w:val="4"/>
                <w:sz w:val="20"/>
                <w:szCs w:val="20"/>
              </w:rPr>
              <w:t>渔业用水</w:t>
            </w:r>
          </w:p>
        </w:tc>
        <w:tc>
          <w:tcPr>
            <w:tcW w:w="1072" w:type="dxa"/>
            <w:vAlign w:val="top"/>
          </w:tcPr>
          <w:p w14:paraId="14299466">
            <w:pPr>
              <w:pStyle w:val="6"/>
              <w:spacing w:before="167" w:line="268" w:lineRule="exact"/>
              <w:ind w:left="436"/>
              <w:rPr>
                <w:sz w:val="20"/>
                <w:szCs w:val="20"/>
              </w:rPr>
            </w:pPr>
            <w:r>
              <w:rPr>
                <w:spacing w:val="1"/>
                <w:position w:val="1"/>
                <w:sz w:val="20"/>
                <w:szCs w:val="20"/>
              </w:rPr>
              <w:t>Ⅲ</w:t>
            </w:r>
          </w:p>
        </w:tc>
        <w:tc>
          <w:tcPr>
            <w:tcW w:w="1030" w:type="dxa"/>
            <w:vAlign w:val="top"/>
          </w:tcPr>
          <w:p w14:paraId="6C9826FE">
            <w:pPr>
              <w:spacing w:before="199" w:line="199"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882" w:type="dxa"/>
            <w:vAlign w:val="top"/>
          </w:tcPr>
          <w:p w14:paraId="485167BF">
            <w:pPr>
              <w:pStyle w:val="6"/>
              <w:spacing w:before="30" w:line="234" w:lineRule="auto"/>
              <w:ind w:left="667" w:right="127" w:hanging="539"/>
              <w:rPr>
                <w:sz w:val="20"/>
                <w:szCs w:val="20"/>
              </w:rPr>
            </w:pPr>
            <w:r>
              <w:rPr>
                <w:spacing w:val="2"/>
                <w:sz w:val="20"/>
                <w:szCs w:val="20"/>
              </w:rPr>
              <w:t>黑溪镇、黄溪镇、</w:t>
            </w:r>
            <w:r>
              <w:rPr>
                <w:spacing w:val="3"/>
                <w:sz w:val="20"/>
                <w:szCs w:val="20"/>
              </w:rPr>
              <w:t xml:space="preserve"> </w:t>
            </w:r>
            <w:r>
              <w:rPr>
                <w:spacing w:val="-6"/>
                <w:sz w:val="20"/>
                <w:szCs w:val="20"/>
              </w:rPr>
              <w:t>白石乡</w:t>
            </w:r>
          </w:p>
        </w:tc>
      </w:tr>
      <w:tr w14:paraId="084CE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941" w:type="dxa"/>
            <w:vAlign w:val="top"/>
          </w:tcPr>
          <w:p w14:paraId="5D7BACEA">
            <w:pPr>
              <w:pStyle w:val="6"/>
              <w:spacing w:before="167" w:line="232" w:lineRule="auto"/>
              <w:ind w:left="168"/>
              <w:rPr>
                <w:sz w:val="20"/>
                <w:szCs w:val="20"/>
              </w:rPr>
            </w:pPr>
            <w:r>
              <w:rPr>
                <w:spacing w:val="4"/>
                <w:sz w:val="20"/>
                <w:szCs w:val="20"/>
              </w:rPr>
              <w:t>段溪河</w:t>
            </w:r>
          </w:p>
        </w:tc>
        <w:tc>
          <w:tcPr>
            <w:tcW w:w="1268" w:type="dxa"/>
            <w:vAlign w:val="top"/>
          </w:tcPr>
          <w:p w14:paraId="2E15CBA2">
            <w:pPr>
              <w:pStyle w:val="6"/>
              <w:spacing w:before="34" w:line="229" w:lineRule="auto"/>
              <w:ind w:left="131"/>
              <w:rPr>
                <w:sz w:val="20"/>
                <w:szCs w:val="20"/>
              </w:rPr>
            </w:pPr>
            <w:r>
              <w:rPr>
                <w:spacing w:val="4"/>
                <w:sz w:val="20"/>
                <w:szCs w:val="20"/>
              </w:rPr>
              <w:t>阿蓬江—乌</w:t>
            </w:r>
          </w:p>
          <w:p w14:paraId="2769BC40">
            <w:pPr>
              <w:pStyle w:val="6"/>
              <w:spacing w:before="22" w:line="216" w:lineRule="auto"/>
              <w:ind w:left="543"/>
              <w:rPr>
                <w:sz w:val="20"/>
                <w:szCs w:val="20"/>
              </w:rPr>
            </w:pPr>
            <w:r>
              <w:rPr>
                <w:sz w:val="20"/>
                <w:szCs w:val="20"/>
              </w:rPr>
              <w:t>江</w:t>
            </w:r>
          </w:p>
        </w:tc>
        <w:tc>
          <w:tcPr>
            <w:tcW w:w="1302" w:type="dxa"/>
            <w:vAlign w:val="top"/>
          </w:tcPr>
          <w:p w14:paraId="34010C15">
            <w:pPr>
              <w:pStyle w:val="6"/>
              <w:spacing w:before="167" w:line="232" w:lineRule="auto"/>
              <w:ind w:left="350"/>
              <w:rPr>
                <w:sz w:val="20"/>
                <w:szCs w:val="20"/>
              </w:rPr>
            </w:pPr>
            <w:r>
              <w:rPr>
                <w:spacing w:val="3"/>
                <w:sz w:val="20"/>
                <w:szCs w:val="20"/>
              </w:rPr>
              <w:t>全河段</w:t>
            </w:r>
          </w:p>
        </w:tc>
        <w:tc>
          <w:tcPr>
            <w:tcW w:w="1565" w:type="dxa"/>
            <w:vAlign w:val="top"/>
          </w:tcPr>
          <w:p w14:paraId="29A9140D">
            <w:pPr>
              <w:pStyle w:val="6"/>
              <w:spacing w:before="167" w:line="232" w:lineRule="auto"/>
              <w:ind w:left="380"/>
              <w:rPr>
                <w:sz w:val="20"/>
                <w:szCs w:val="20"/>
              </w:rPr>
            </w:pPr>
            <w:r>
              <w:rPr>
                <w:spacing w:val="4"/>
                <w:sz w:val="20"/>
                <w:szCs w:val="20"/>
              </w:rPr>
              <w:t>渔业用水</w:t>
            </w:r>
          </w:p>
        </w:tc>
        <w:tc>
          <w:tcPr>
            <w:tcW w:w="1072" w:type="dxa"/>
            <w:vAlign w:val="top"/>
          </w:tcPr>
          <w:p w14:paraId="30868F70">
            <w:pPr>
              <w:pStyle w:val="6"/>
              <w:spacing w:before="168" w:line="269" w:lineRule="exact"/>
              <w:ind w:left="436"/>
              <w:rPr>
                <w:sz w:val="20"/>
                <w:szCs w:val="20"/>
              </w:rPr>
            </w:pPr>
            <w:r>
              <w:rPr>
                <w:spacing w:val="1"/>
                <w:position w:val="1"/>
                <w:sz w:val="20"/>
                <w:szCs w:val="20"/>
              </w:rPr>
              <w:t>Ⅲ</w:t>
            </w:r>
          </w:p>
        </w:tc>
        <w:tc>
          <w:tcPr>
            <w:tcW w:w="1030" w:type="dxa"/>
            <w:vAlign w:val="top"/>
          </w:tcPr>
          <w:p w14:paraId="76DE7219">
            <w:pPr>
              <w:spacing w:before="200" w:line="199"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882" w:type="dxa"/>
            <w:vAlign w:val="top"/>
          </w:tcPr>
          <w:p w14:paraId="667A76B9">
            <w:pPr>
              <w:pStyle w:val="6"/>
              <w:spacing w:before="168" w:line="231" w:lineRule="auto"/>
              <w:ind w:left="148"/>
              <w:rPr>
                <w:sz w:val="20"/>
                <w:szCs w:val="20"/>
              </w:rPr>
            </w:pPr>
            <w:r>
              <w:rPr>
                <w:spacing w:val="2"/>
                <w:sz w:val="20"/>
                <w:szCs w:val="20"/>
              </w:rPr>
              <w:t>中塘镇、舟白街道</w:t>
            </w:r>
          </w:p>
        </w:tc>
      </w:tr>
      <w:tr w14:paraId="0857CD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9" w:hRule="atLeast"/>
        </w:trPr>
        <w:tc>
          <w:tcPr>
            <w:tcW w:w="941" w:type="dxa"/>
            <w:vAlign w:val="top"/>
          </w:tcPr>
          <w:p w14:paraId="7B029F47">
            <w:pPr>
              <w:spacing w:line="255" w:lineRule="auto"/>
              <w:rPr>
                <w:rFonts w:ascii="Arial"/>
                <w:sz w:val="21"/>
              </w:rPr>
            </w:pPr>
          </w:p>
          <w:p w14:paraId="5AB5C285">
            <w:pPr>
              <w:spacing w:line="256" w:lineRule="auto"/>
              <w:rPr>
                <w:rFonts w:ascii="Arial"/>
                <w:sz w:val="21"/>
              </w:rPr>
            </w:pPr>
          </w:p>
          <w:p w14:paraId="1E73EAC7">
            <w:pPr>
              <w:pStyle w:val="6"/>
              <w:spacing w:before="65" w:line="229" w:lineRule="auto"/>
              <w:ind w:left="179"/>
              <w:rPr>
                <w:sz w:val="20"/>
                <w:szCs w:val="20"/>
              </w:rPr>
            </w:pPr>
            <w:r>
              <w:rPr>
                <w:sz w:val="20"/>
                <w:szCs w:val="20"/>
              </w:rPr>
              <w:t>阿蓬江</w:t>
            </w:r>
          </w:p>
        </w:tc>
        <w:tc>
          <w:tcPr>
            <w:tcW w:w="1268" w:type="dxa"/>
            <w:vAlign w:val="top"/>
          </w:tcPr>
          <w:p w14:paraId="4BD6946D">
            <w:pPr>
              <w:spacing w:line="255" w:lineRule="auto"/>
              <w:rPr>
                <w:rFonts w:ascii="Arial"/>
                <w:sz w:val="21"/>
              </w:rPr>
            </w:pPr>
          </w:p>
          <w:p w14:paraId="0576D55F">
            <w:pPr>
              <w:spacing w:line="256" w:lineRule="auto"/>
              <w:rPr>
                <w:rFonts w:ascii="Arial"/>
                <w:sz w:val="21"/>
              </w:rPr>
            </w:pPr>
          </w:p>
          <w:p w14:paraId="46523CF6">
            <w:pPr>
              <w:pStyle w:val="6"/>
              <w:spacing w:before="65" w:line="229" w:lineRule="auto"/>
              <w:ind w:left="342"/>
              <w:rPr>
                <w:sz w:val="20"/>
                <w:szCs w:val="20"/>
              </w:rPr>
            </w:pPr>
            <w:r>
              <w:rPr>
                <w:sz w:val="20"/>
                <w:szCs w:val="20"/>
              </w:rPr>
              <w:t>阿蓬江</w:t>
            </w:r>
          </w:p>
        </w:tc>
        <w:tc>
          <w:tcPr>
            <w:tcW w:w="1302" w:type="dxa"/>
            <w:vAlign w:val="top"/>
          </w:tcPr>
          <w:p w14:paraId="4AE5F3B3">
            <w:pPr>
              <w:spacing w:line="255" w:lineRule="auto"/>
              <w:rPr>
                <w:rFonts w:ascii="Arial"/>
                <w:sz w:val="21"/>
              </w:rPr>
            </w:pPr>
          </w:p>
          <w:p w14:paraId="5151057F">
            <w:pPr>
              <w:spacing w:line="255" w:lineRule="auto"/>
              <w:rPr>
                <w:rFonts w:ascii="Arial"/>
                <w:sz w:val="21"/>
              </w:rPr>
            </w:pPr>
          </w:p>
          <w:p w14:paraId="26A1E94C">
            <w:pPr>
              <w:pStyle w:val="6"/>
              <w:spacing w:before="65" w:line="232" w:lineRule="auto"/>
              <w:ind w:left="461"/>
              <w:rPr>
                <w:sz w:val="20"/>
                <w:szCs w:val="20"/>
              </w:rPr>
            </w:pPr>
            <w:r>
              <w:rPr>
                <w:spacing w:val="-4"/>
                <w:sz w:val="20"/>
                <w:szCs w:val="20"/>
              </w:rPr>
              <w:t>乌江</w:t>
            </w:r>
          </w:p>
        </w:tc>
        <w:tc>
          <w:tcPr>
            <w:tcW w:w="1565" w:type="dxa"/>
            <w:vAlign w:val="top"/>
          </w:tcPr>
          <w:p w14:paraId="52CF3F89">
            <w:pPr>
              <w:spacing w:line="255" w:lineRule="auto"/>
              <w:rPr>
                <w:rFonts w:ascii="Arial"/>
                <w:sz w:val="21"/>
              </w:rPr>
            </w:pPr>
          </w:p>
          <w:p w14:paraId="361E7165">
            <w:pPr>
              <w:spacing w:line="255" w:lineRule="auto"/>
              <w:rPr>
                <w:rFonts w:ascii="Arial"/>
                <w:sz w:val="21"/>
              </w:rPr>
            </w:pPr>
          </w:p>
          <w:p w14:paraId="1F581BD2">
            <w:pPr>
              <w:pStyle w:val="6"/>
              <w:spacing w:before="65" w:line="232" w:lineRule="auto"/>
              <w:ind w:left="379"/>
              <w:rPr>
                <w:sz w:val="20"/>
                <w:szCs w:val="20"/>
              </w:rPr>
            </w:pPr>
            <w:r>
              <w:rPr>
                <w:spacing w:val="4"/>
                <w:sz w:val="20"/>
                <w:szCs w:val="20"/>
              </w:rPr>
              <w:t>黔江河段</w:t>
            </w:r>
          </w:p>
        </w:tc>
        <w:tc>
          <w:tcPr>
            <w:tcW w:w="1072" w:type="dxa"/>
            <w:vAlign w:val="top"/>
          </w:tcPr>
          <w:p w14:paraId="7F2F9A46">
            <w:pPr>
              <w:spacing w:line="255" w:lineRule="auto"/>
              <w:rPr>
                <w:rFonts w:ascii="Arial"/>
                <w:sz w:val="21"/>
              </w:rPr>
            </w:pPr>
          </w:p>
          <w:p w14:paraId="0D5F55A8">
            <w:pPr>
              <w:spacing w:line="255" w:lineRule="auto"/>
              <w:rPr>
                <w:rFonts w:ascii="Arial"/>
                <w:sz w:val="21"/>
              </w:rPr>
            </w:pPr>
          </w:p>
          <w:p w14:paraId="2A0B9A3E">
            <w:pPr>
              <w:pStyle w:val="6"/>
              <w:spacing w:before="65" w:line="232" w:lineRule="auto"/>
              <w:ind w:left="127"/>
              <w:rPr>
                <w:sz w:val="20"/>
                <w:szCs w:val="20"/>
              </w:rPr>
            </w:pPr>
            <w:r>
              <w:rPr>
                <w:spacing w:val="6"/>
                <w:sz w:val="20"/>
                <w:szCs w:val="20"/>
              </w:rPr>
              <w:t>饮用水源</w:t>
            </w:r>
          </w:p>
        </w:tc>
        <w:tc>
          <w:tcPr>
            <w:tcW w:w="1030" w:type="dxa"/>
            <w:vAlign w:val="top"/>
          </w:tcPr>
          <w:p w14:paraId="7E80F51E">
            <w:pPr>
              <w:spacing w:line="255" w:lineRule="auto"/>
              <w:rPr>
                <w:rFonts w:ascii="Arial"/>
                <w:sz w:val="21"/>
              </w:rPr>
            </w:pPr>
          </w:p>
          <w:p w14:paraId="334C101E">
            <w:pPr>
              <w:spacing w:line="256" w:lineRule="auto"/>
              <w:rPr>
                <w:rFonts w:ascii="Arial"/>
                <w:sz w:val="21"/>
              </w:rPr>
            </w:pPr>
          </w:p>
          <w:p w14:paraId="3899BD30">
            <w:pPr>
              <w:pStyle w:val="6"/>
              <w:spacing w:before="65" w:line="268" w:lineRule="exact"/>
              <w:ind w:left="417"/>
              <w:rPr>
                <w:sz w:val="20"/>
                <w:szCs w:val="20"/>
              </w:rPr>
            </w:pPr>
            <w:r>
              <w:rPr>
                <w:spacing w:val="1"/>
                <w:position w:val="1"/>
                <w:sz w:val="20"/>
                <w:szCs w:val="20"/>
              </w:rPr>
              <w:t>Ⅲ</w:t>
            </w:r>
          </w:p>
        </w:tc>
        <w:tc>
          <w:tcPr>
            <w:tcW w:w="1882" w:type="dxa"/>
            <w:vAlign w:val="top"/>
          </w:tcPr>
          <w:p w14:paraId="4E4475EA">
            <w:pPr>
              <w:pStyle w:val="6"/>
              <w:spacing w:before="34" w:line="231" w:lineRule="auto"/>
              <w:ind w:left="123"/>
              <w:rPr>
                <w:sz w:val="20"/>
                <w:szCs w:val="20"/>
              </w:rPr>
            </w:pPr>
            <w:r>
              <w:rPr>
                <w:spacing w:val="5"/>
                <w:sz w:val="20"/>
                <w:szCs w:val="20"/>
              </w:rPr>
              <w:t>舟白街道、正阳街</w:t>
            </w:r>
          </w:p>
          <w:p w14:paraId="6C94DEFB">
            <w:pPr>
              <w:pStyle w:val="6"/>
              <w:spacing w:before="20" w:line="231" w:lineRule="auto"/>
              <w:ind w:left="122"/>
              <w:rPr>
                <w:sz w:val="20"/>
                <w:szCs w:val="20"/>
              </w:rPr>
            </w:pPr>
            <w:r>
              <w:rPr>
                <w:spacing w:val="5"/>
                <w:sz w:val="20"/>
                <w:szCs w:val="20"/>
              </w:rPr>
              <w:t>道、蓬东乡、邻鄂</w:t>
            </w:r>
          </w:p>
          <w:p w14:paraId="2C5E23C0">
            <w:pPr>
              <w:pStyle w:val="6"/>
              <w:spacing w:before="23" w:line="231" w:lineRule="auto"/>
              <w:ind w:left="120"/>
              <w:rPr>
                <w:sz w:val="20"/>
                <w:szCs w:val="20"/>
              </w:rPr>
            </w:pPr>
            <w:r>
              <w:rPr>
                <w:spacing w:val="6"/>
                <w:sz w:val="20"/>
                <w:szCs w:val="20"/>
              </w:rPr>
              <w:t>镇、冯家街道、濯</w:t>
            </w:r>
          </w:p>
          <w:p w14:paraId="6018BBD9">
            <w:pPr>
              <w:pStyle w:val="6"/>
              <w:spacing w:before="21" w:line="229" w:lineRule="auto"/>
              <w:ind w:left="120"/>
              <w:rPr>
                <w:sz w:val="20"/>
                <w:szCs w:val="20"/>
              </w:rPr>
            </w:pPr>
            <w:r>
              <w:rPr>
                <w:spacing w:val="5"/>
                <w:sz w:val="20"/>
                <w:szCs w:val="20"/>
              </w:rPr>
              <w:t>水镇、阿蓬江镇等</w:t>
            </w:r>
          </w:p>
          <w:p w14:paraId="1C8B8586">
            <w:pPr>
              <w:pStyle w:val="6"/>
              <w:spacing w:before="25" w:line="217" w:lineRule="auto"/>
              <w:ind w:left="552"/>
              <w:rPr>
                <w:sz w:val="20"/>
                <w:szCs w:val="20"/>
              </w:rPr>
            </w:pPr>
            <w:r>
              <w:rPr>
                <w:rFonts w:ascii="Times New Roman" w:hAnsi="Times New Roman" w:eastAsia="Times New Roman" w:cs="Times New Roman"/>
                <w:spacing w:val="2"/>
                <w:sz w:val="20"/>
                <w:szCs w:val="20"/>
              </w:rPr>
              <w:t>7</w:t>
            </w:r>
            <w:r>
              <w:rPr>
                <w:rFonts w:ascii="Times New Roman" w:hAnsi="Times New Roman" w:eastAsia="Times New Roman" w:cs="Times New Roman"/>
                <w:spacing w:val="20"/>
                <w:w w:val="101"/>
                <w:sz w:val="20"/>
                <w:szCs w:val="20"/>
              </w:rPr>
              <w:t xml:space="preserve"> </w:t>
            </w:r>
            <w:r>
              <w:rPr>
                <w:spacing w:val="2"/>
                <w:sz w:val="20"/>
                <w:szCs w:val="20"/>
              </w:rPr>
              <w:t>个乡镇</w:t>
            </w:r>
          </w:p>
        </w:tc>
      </w:tr>
    </w:tbl>
    <w:p w14:paraId="6E8EEE9E">
      <w:pPr>
        <w:spacing w:before="146" w:line="228" w:lineRule="auto"/>
        <w:ind w:left="655"/>
        <w:rPr>
          <w:rFonts w:ascii="仿宋" w:hAnsi="仿宋" w:eastAsia="仿宋" w:cs="仿宋"/>
          <w:sz w:val="25"/>
          <w:szCs w:val="25"/>
        </w:rPr>
      </w:pPr>
      <w:r>
        <w:rPr>
          <w:rFonts w:ascii="仿宋" w:hAnsi="仿宋" w:eastAsia="仿宋" w:cs="仿宋"/>
          <w:spacing w:val="5"/>
          <w:sz w:val="25"/>
          <w:szCs w:val="25"/>
        </w:rPr>
        <w:t>黔江区地表水功能区划示意图见附图</w:t>
      </w:r>
      <w:r>
        <w:rPr>
          <w:rFonts w:ascii="仿宋" w:hAnsi="仿宋" w:eastAsia="仿宋" w:cs="仿宋"/>
          <w:spacing w:val="-13"/>
          <w:sz w:val="25"/>
          <w:szCs w:val="25"/>
        </w:rPr>
        <w:t xml:space="preserve"> </w:t>
      </w:r>
      <w:r>
        <w:rPr>
          <w:rFonts w:ascii="Times New Roman" w:hAnsi="Times New Roman" w:eastAsia="Times New Roman" w:cs="Times New Roman"/>
          <w:spacing w:val="5"/>
          <w:sz w:val="25"/>
          <w:szCs w:val="25"/>
        </w:rPr>
        <w:t>1-3</w:t>
      </w:r>
      <w:r>
        <w:rPr>
          <w:rFonts w:ascii="仿宋" w:hAnsi="仿宋" w:eastAsia="仿宋" w:cs="仿宋"/>
          <w:spacing w:val="5"/>
          <w:sz w:val="25"/>
          <w:szCs w:val="25"/>
        </w:rPr>
        <w:t>。</w:t>
      </w:r>
    </w:p>
    <w:p w14:paraId="63D081E7">
      <w:pPr>
        <w:spacing w:before="150" w:line="229" w:lineRule="auto"/>
        <w:ind w:left="654"/>
        <w:rPr>
          <w:rFonts w:ascii="仿宋" w:hAnsi="仿宋" w:eastAsia="仿宋" w:cs="仿宋"/>
          <w:sz w:val="25"/>
          <w:szCs w:val="25"/>
        </w:rPr>
      </w:pPr>
      <w:r>
        <w:rPr>
          <w:rFonts w:ascii="仿宋" w:hAnsi="仿宋" w:eastAsia="仿宋" w:cs="仿宋"/>
          <w:spacing w:val="5"/>
          <w:sz w:val="25"/>
          <w:szCs w:val="25"/>
        </w:rPr>
        <w:t>（</w:t>
      </w:r>
      <w:r>
        <w:rPr>
          <w:rFonts w:ascii="Times New Roman" w:hAnsi="Times New Roman" w:eastAsia="Times New Roman" w:cs="Times New Roman"/>
          <w:spacing w:val="5"/>
          <w:sz w:val="25"/>
          <w:szCs w:val="25"/>
        </w:rPr>
        <w:t>3</w:t>
      </w:r>
      <w:r>
        <w:rPr>
          <w:rFonts w:ascii="仿宋" w:hAnsi="仿宋" w:eastAsia="仿宋" w:cs="仿宋"/>
          <w:spacing w:val="5"/>
          <w:sz w:val="25"/>
          <w:szCs w:val="25"/>
        </w:rPr>
        <w:t>）声环境</w:t>
      </w:r>
    </w:p>
    <w:p w14:paraId="4C89CF0A">
      <w:pPr>
        <w:spacing w:before="151" w:line="339" w:lineRule="auto"/>
        <w:ind w:left="129" w:right="109" w:firstLine="521"/>
        <w:rPr>
          <w:rFonts w:ascii="仿宋" w:hAnsi="仿宋" w:eastAsia="仿宋" w:cs="仿宋"/>
          <w:sz w:val="25"/>
          <w:szCs w:val="25"/>
        </w:rPr>
      </w:pPr>
      <w:r>
        <w:rPr>
          <w:rFonts w:ascii="仿宋" w:hAnsi="仿宋" w:eastAsia="仿宋" w:cs="仿宋"/>
          <w:spacing w:val="2"/>
          <w:sz w:val="25"/>
          <w:szCs w:val="25"/>
        </w:rPr>
        <w:t>评价区内声环境功能区划执行《重庆市黔江区</w:t>
      </w:r>
      <w:r>
        <w:rPr>
          <w:rFonts w:ascii="仿宋" w:hAnsi="仿宋" w:eastAsia="仿宋" w:cs="仿宋"/>
          <w:spacing w:val="1"/>
          <w:sz w:val="25"/>
          <w:szCs w:val="25"/>
        </w:rPr>
        <w:t>声环境功能区调整方案》（黔</w:t>
      </w:r>
      <w:r>
        <w:rPr>
          <w:rFonts w:ascii="仿宋" w:hAnsi="仿宋" w:eastAsia="仿宋" w:cs="仿宋"/>
          <w:sz w:val="25"/>
          <w:szCs w:val="25"/>
        </w:rPr>
        <w:t xml:space="preserve"> </w:t>
      </w:r>
      <w:r>
        <w:rPr>
          <w:rFonts w:ascii="仿宋" w:hAnsi="仿宋" w:eastAsia="仿宋" w:cs="仿宋"/>
          <w:spacing w:val="5"/>
          <w:sz w:val="25"/>
          <w:szCs w:val="25"/>
        </w:rPr>
        <w:t>江府办发〔</w:t>
      </w:r>
      <w:r>
        <w:rPr>
          <w:rFonts w:ascii="Times New Roman" w:hAnsi="Times New Roman" w:eastAsia="Times New Roman" w:cs="Times New Roman"/>
          <w:spacing w:val="5"/>
          <w:sz w:val="25"/>
          <w:szCs w:val="25"/>
        </w:rPr>
        <w:t>2022</w:t>
      </w:r>
      <w:r>
        <w:rPr>
          <w:rFonts w:ascii="仿宋" w:hAnsi="仿宋" w:eastAsia="仿宋" w:cs="仿宋"/>
          <w:spacing w:val="5"/>
          <w:sz w:val="25"/>
          <w:szCs w:val="25"/>
        </w:rPr>
        <w:t>〕</w:t>
      </w:r>
      <w:r>
        <w:rPr>
          <w:rFonts w:ascii="Times New Roman" w:hAnsi="Times New Roman" w:eastAsia="Times New Roman" w:cs="Times New Roman"/>
          <w:spacing w:val="5"/>
          <w:sz w:val="25"/>
          <w:szCs w:val="25"/>
        </w:rPr>
        <w:t>89</w:t>
      </w:r>
      <w:r>
        <w:rPr>
          <w:rFonts w:ascii="Times New Roman" w:hAnsi="Times New Roman" w:eastAsia="Times New Roman" w:cs="Times New Roman"/>
          <w:spacing w:val="45"/>
          <w:sz w:val="25"/>
          <w:szCs w:val="25"/>
        </w:rPr>
        <w:t xml:space="preserve"> </w:t>
      </w:r>
      <w:r>
        <w:rPr>
          <w:rFonts w:ascii="仿宋" w:hAnsi="仿宋" w:eastAsia="仿宋" w:cs="仿宋"/>
          <w:spacing w:val="5"/>
          <w:sz w:val="25"/>
          <w:szCs w:val="25"/>
        </w:rPr>
        <w:t>号）等规定，本次评价的勘查开采区块所在区域为</w:t>
      </w:r>
      <w:r>
        <w:rPr>
          <w:rFonts w:ascii="仿宋" w:hAnsi="仿宋" w:eastAsia="仿宋" w:cs="仿宋"/>
          <w:spacing w:val="-52"/>
          <w:sz w:val="25"/>
          <w:szCs w:val="25"/>
        </w:rPr>
        <w:t xml:space="preserve"> </w:t>
      </w:r>
      <w:r>
        <w:rPr>
          <w:rFonts w:ascii="Times New Roman" w:hAnsi="Times New Roman" w:eastAsia="Times New Roman" w:cs="Times New Roman"/>
          <w:spacing w:val="5"/>
          <w:sz w:val="25"/>
          <w:szCs w:val="25"/>
        </w:rPr>
        <w:t>2</w:t>
      </w:r>
      <w:r>
        <w:rPr>
          <w:rFonts w:ascii="Times New Roman" w:hAnsi="Times New Roman" w:eastAsia="Times New Roman" w:cs="Times New Roman"/>
          <w:spacing w:val="22"/>
          <w:w w:val="101"/>
          <w:sz w:val="25"/>
          <w:szCs w:val="25"/>
        </w:rPr>
        <w:t xml:space="preserve"> </w:t>
      </w:r>
      <w:r>
        <w:rPr>
          <w:rFonts w:ascii="仿宋" w:hAnsi="仿宋" w:eastAsia="仿宋" w:cs="仿宋"/>
          <w:spacing w:val="5"/>
          <w:sz w:val="25"/>
          <w:szCs w:val="25"/>
        </w:rPr>
        <w:t>类声</w:t>
      </w:r>
      <w:r>
        <w:rPr>
          <w:rFonts w:ascii="仿宋" w:hAnsi="仿宋" w:eastAsia="仿宋" w:cs="仿宋"/>
          <w:sz w:val="25"/>
          <w:szCs w:val="25"/>
        </w:rPr>
        <w:t xml:space="preserve"> </w:t>
      </w:r>
      <w:r>
        <w:rPr>
          <w:rFonts w:ascii="仿宋" w:hAnsi="仿宋" w:eastAsia="仿宋" w:cs="仿宋"/>
          <w:spacing w:val="7"/>
          <w:sz w:val="25"/>
          <w:szCs w:val="25"/>
        </w:rPr>
        <w:t>环境功能区，故执行《声环境质量标准》（</w:t>
      </w:r>
      <w:r>
        <w:rPr>
          <w:rFonts w:ascii="Times New Roman" w:hAnsi="Times New Roman" w:eastAsia="Times New Roman" w:cs="Times New Roman"/>
          <w:sz w:val="25"/>
          <w:szCs w:val="25"/>
        </w:rPr>
        <w:t>GB</w:t>
      </w:r>
      <w:r>
        <w:rPr>
          <w:rFonts w:ascii="Times New Roman" w:hAnsi="Times New Roman" w:eastAsia="Times New Roman" w:cs="Times New Roman"/>
          <w:spacing w:val="7"/>
          <w:sz w:val="25"/>
          <w:szCs w:val="25"/>
        </w:rPr>
        <w:t>3096-2008</w:t>
      </w:r>
      <w:r>
        <w:rPr>
          <w:rFonts w:ascii="仿宋" w:hAnsi="仿宋" w:eastAsia="仿宋" w:cs="仿宋"/>
          <w:spacing w:val="7"/>
          <w:sz w:val="25"/>
          <w:szCs w:val="25"/>
        </w:rPr>
        <w:t>）</w:t>
      </w:r>
      <w:r>
        <w:rPr>
          <w:rFonts w:ascii="Times New Roman" w:hAnsi="Times New Roman" w:eastAsia="Times New Roman" w:cs="Times New Roman"/>
          <w:spacing w:val="7"/>
          <w:sz w:val="25"/>
          <w:szCs w:val="25"/>
        </w:rPr>
        <w:t>2</w:t>
      </w:r>
      <w:r>
        <w:rPr>
          <w:rFonts w:ascii="Times New Roman" w:hAnsi="Times New Roman" w:eastAsia="Times New Roman" w:cs="Times New Roman"/>
          <w:spacing w:val="41"/>
          <w:sz w:val="25"/>
          <w:szCs w:val="25"/>
        </w:rPr>
        <w:t xml:space="preserve"> </w:t>
      </w:r>
      <w:r>
        <w:rPr>
          <w:rFonts w:ascii="仿宋" w:hAnsi="仿宋" w:eastAsia="仿宋" w:cs="仿宋"/>
          <w:spacing w:val="7"/>
          <w:sz w:val="25"/>
          <w:szCs w:val="25"/>
        </w:rPr>
        <w:t>类区标准。</w:t>
      </w:r>
    </w:p>
    <w:p w14:paraId="6819D739">
      <w:pPr>
        <w:spacing w:before="2" w:line="229" w:lineRule="auto"/>
        <w:ind w:left="654"/>
        <w:rPr>
          <w:rFonts w:ascii="仿宋" w:hAnsi="仿宋" w:eastAsia="仿宋" w:cs="仿宋"/>
          <w:sz w:val="25"/>
          <w:szCs w:val="25"/>
        </w:rPr>
      </w:pPr>
      <w:r>
        <w:rPr>
          <w:rFonts w:ascii="仿宋" w:hAnsi="仿宋" w:eastAsia="仿宋" w:cs="仿宋"/>
          <w:spacing w:val="6"/>
          <w:sz w:val="25"/>
          <w:szCs w:val="25"/>
        </w:rPr>
        <w:t>（</w:t>
      </w:r>
      <w:r>
        <w:rPr>
          <w:rFonts w:ascii="Times New Roman" w:hAnsi="Times New Roman" w:eastAsia="Times New Roman" w:cs="Times New Roman"/>
          <w:spacing w:val="6"/>
          <w:sz w:val="25"/>
          <w:szCs w:val="25"/>
        </w:rPr>
        <w:t>4</w:t>
      </w:r>
      <w:r>
        <w:rPr>
          <w:rFonts w:ascii="仿宋" w:hAnsi="仿宋" w:eastAsia="仿宋" w:cs="仿宋"/>
          <w:spacing w:val="6"/>
          <w:sz w:val="25"/>
          <w:szCs w:val="25"/>
        </w:rPr>
        <w:t>）地下水环境</w:t>
      </w:r>
    </w:p>
    <w:p w14:paraId="432A707B">
      <w:pPr>
        <w:spacing w:line="229" w:lineRule="auto"/>
        <w:rPr>
          <w:rFonts w:ascii="仿宋" w:hAnsi="仿宋" w:eastAsia="仿宋" w:cs="仿宋"/>
          <w:sz w:val="25"/>
          <w:szCs w:val="25"/>
        </w:rPr>
        <w:sectPr>
          <w:headerReference r:id="rId32" w:type="default"/>
          <w:footerReference r:id="rId33" w:type="default"/>
          <w:pgSz w:w="11906" w:h="16839"/>
          <w:pgMar w:top="1116" w:right="1366" w:bottom="1480" w:left="1474" w:header="683" w:footer="1318" w:gutter="0"/>
          <w:cols w:space="720" w:num="1"/>
        </w:sectPr>
      </w:pPr>
    </w:p>
    <w:p w14:paraId="45C427D3">
      <w:pPr>
        <w:pStyle w:val="2"/>
        <w:spacing w:line="386" w:lineRule="auto"/>
      </w:pPr>
    </w:p>
    <w:p w14:paraId="775C3F6D">
      <w:pPr>
        <w:spacing w:before="82" w:line="339" w:lineRule="auto"/>
        <w:ind w:left="20" w:firstLine="517"/>
        <w:rPr>
          <w:rFonts w:ascii="仿宋" w:hAnsi="仿宋" w:eastAsia="仿宋" w:cs="仿宋"/>
          <w:sz w:val="25"/>
          <w:szCs w:val="25"/>
        </w:rPr>
      </w:pPr>
      <w:r>
        <w:rPr>
          <w:rFonts w:ascii="仿宋" w:hAnsi="仿宋" w:eastAsia="仿宋" w:cs="仿宋"/>
          <w:spacing w:val="5"/>
          <w:sz w:val="25"/>
          <w:szCs w:val="25"/>
        </w:rPr>
        <w:t>根据地下水质量分类，评价区域地下水属于</w:t>
      </w:r>
      <w:r>
        <w:rPr>
          <w:rFonts w:ascii="Times New Roman" w:hAnsi="Times New Roman" w:eastAsia="Times New Roman" w:cs="Times New Roman"/>
          <w:spacing w:val="5"/>
          <w:sz w:val="25"/>
          <w:szCs w:val="25"/>
        </w:rPr>
        <w:t>Ⅲ</w:t>
      </w:r>
      <w:r>
        <w:rPr>
          <w:rFonts w:ascii="仿宋" w:hAnsi="仿宋" w:eastAsia="仿宋" w:cs="仿宋"/>
          <w:spacing w:val="5"/>
          <w:sz w:val="25"/>
          <w:szCs w:val="25"/>
        </w:rPr>
        <w:t>类，执行《地下水质量标准》</w:t>
      </w:r>
      <w:r>
        <w:rPr>
          <w:rFonts w:ascii="仿宋" w:hAnsi="仿宋" w:eastAsia="仿宋" w:cs="仿宋"/>
          <w:spacing w:val="14"/>
          <w:sz w:val="25"/>
          <w:szCs w:val="25"/>
        </w:rPr>
        <w:t xml:space="preserve"> </w:t>
      </w:r>
      <w:r>
        <w:rPr>
          <w:rFonts w:ascii="仿宋" w:hAnsi="仿宋" w:eastAsia="仿宋" w:cs="仿宋"/>
          <w:spacing w:val="5"/>
          <w:sz w:val="25"/>
          <w:szCs w:val="25"/>
        </w:rPr>
        <w:t>（</w:t>
      </w:r>
      <w:r>
        <w:rPr>
          <w:rFonts w:ascii="Times New Roman" w:hAnsi="Times New Roman" w:eastAsia="Times New Roman" w:cs="Times New Roman"/>
          <w:sz w:val="25"/>
          <w:szCs w:val="25"/>
        </w:rPr>
        <w:t>GB</w:t>
      </w:r>
      <w:r>
        <w:rPr>
          <w:rFonts w:ascii="Times New Roman" w:hAnsi="Times New Roman" w:eastAsia="Times New Roman" w:cs="Times New Roman"/>
          <w:spacing w:val="5"/>
          <w:sz w:val="25"/>
          <w:szCs w:val="25"/>
        </w:rPr>
        <w:t>/T14848-2017</w:t>
      </w:r>
      <w:r>
        <w:rPr>
          <w:rFonts w:ascii="仿宋" w:hAnsi="仿宋" w:eastAsia="仿宋" w:cs="仿宋"/>
          <w:spacing w:val="5"/>
          <w:sz w:val="25"/>
          <w:szCs w:val="25"/>
        </w:rPr>
        <w:t>）</w:t>
      </w:r>
      <w:r>
        <w:rPr>
          <w:rFonts w:ascii="Times New Roman" w:hAnsi="Times New Roman" w:eastAsia="Times New Roman" w:cs="Times New Roman"/>
          <w:spacing w:val="5"/>
          <w:sz w:val="25"/>
          <w:szCs w:val="25"/>
        </w:rPr>
        <w:t>Ⅲ</w:t>
      </w:r>
      <w:r>
        <w:rPr>
          <w:rFonts w:ascii="仿宋" w:hAnsi="仿宋" w:eastAsia="仿宋" w:cs="仿宋"/>
          <w:spacing w:val="5"/>
          <w:sz w:val="25"/>
          <w:szCs w:val="25"/>
        </w:rPr>
        <w:t>类标准。</w:t>
      </w:r>
    </w:p>
    <w:p w14:paraId="1A0FC9E9">
      <w:pPr>
        <w:spacing w:line="229" w:lineRule="auto"/>
        <w:ind w:left="541"/>
        <w:rPr>
          <w:rFonts w:ascii="仿宋" w:hAnsi="仿宋" w:eastAsia="仿宋" w:cs="仿宋"/>
          <w:sz w:val="25"/>
          <w:szCs w:val="25"/>
        </w:rPr>
      </w:pPr>
      <w:r>
        <w:rPr>
          <w:rFonts w:ascii="仿宋" w:hAnsi="仿宋" w:eastAsia="仿宋" w:cs="仿宋"/>
          <w:spacing w:val="5"/>
          <w:sz w:val="25"/>
          <w:szCs w:val="25"/>
        </w:rPr>
        <w:t>（</w:t>
      </w:r>
      <w:r>
        <w:rPr>
          <w:rFonts w:ascii="Times New Roman" w:hAnsi="Times New Roman" w:eastAsia="Times New Roman" w:cs="Times New Roman"/>
          <w:spacing w:val="5"/>
          <w:sz w:val="25"/>
          <w:szCs w:val="25"/>
        </w:rPr>
        <w:t>5</w:t>
      </w:r>
      <w:r>
        <w:rPr>
          <w:rFonts w:ascii="仿宋" w:hAnsi="仿宋" w:eastAsia="仿宋" w:cs="仿宋"/>
          <w:spacing w:val="5"/>
          <w:sz w:val="25"/>
          <w:szCs w:val="25"/>
        </w:rPr>
        <w:t>）土壤环境</w:t>
      </w:r>
    </w:p>
    <w:p w14:paraId="7BAA14A9">
      <w:pPr>
        <w:spacing w:before="149" w:line="340" w:lineRule="auto"/>
        <w:ind w:left="15" w:right="6" w:firstLine="520"/>
        <w:rPr>
          <w:rFonts w:ascii="仿宋" w:hAnsi="仿宋" w:eastAsia="仿宋" w:cs="仿宋"/>
          <w:sz w:val="25"/>
          <w:szCs w:val="25"/>
        </w:rPr>
      </w:pPr>
      <w:r>
        <w:rPr>
          <w:rFonts w:ascii="仿宋" w:hAnsi="仿宋" w:eastAsia="仿宋" w:cs="仿宋"/>
          <w:spacing w:val="9"/>
          <w:sz w:val="25"/>
          <w:szCs w:val="25"/>
        </w:rPr>
        <w:t>规划调整涉及区域内现状非建设用地土壤环境执行《土壤环境质量农用地</w:t>
      </w:r>
      <w:r>
        <w:rPr>
          <w:rFonts w:ascii="仿宋" w:hAnsi="仿宋" w:eastAsia="仿宋" w:cs="仿宋"/>
          <w:spacing w:val="8"/>
          <w:sz w:val="25"/>
          <w:szCs w:val="25"/>
        </w:rPr>
        <w:t xml:space="preserve">  </w:t>
      </w:r>
      <w:r>
        <w:rPr>
          <w:rFonts w:ascii="仿宋" w:hAnsi="仿宋" w:eastAsia="仿宋" w:cs="仿宋"/>
          <w:spacing w:val="5"/>
          <w:sz w:val="25"/>
          <w:szCs w:val="25"/>
        </w:rPr>
        <w:t>土壤污染风险管控标准（试行）》（</w:t>
      </w:r>
      <w:r>
        <w:rPr>
          <w:rFonts w:ascii="Times New Roman" w:hAnsi="Times New Roman" w:eastAsia="Times New Roman" w:cs="Times New Roman"/>
          <w:sz w:val="25"/>
          <w:szCs w:val="25"/>
        </w:rPr>
        <w:t>GB</w:t>
      </w:r>
      <w:r>
        <w:rPr>
          <w:rFonts w:ascii="Times New Roman" w:hAnsi="Times New Roman" w:eastAsia="Times New Roman" w:cs="Times New Roman"/>
          <w:spacing w:val="33"/>
          <w:sz w:val="25"/>
          <w:szCs w:val="25"/>
        </w:rPr>
        <w:t xml:space="preserve"> </w:t>
      </w:r>
      <w:r>
        <w:rPr>
          <w:rFonts w:ascii="Times New Roman" w:hAnsi="Times New Roman" w:eastAsia="Times New Roman" w:cs="Times New Roman"/>
          <w:spacing w:val="5"/>
          <w:sz w:val="25"/>
          <w:szCs w:val="25"/>
        </w:rPr>
        <w:t>15618-2</w:t>
      </w:r>
      <w:r>
        <w:rPr>
          <w:rFonts w:ascii="Times New Roman" w:hAnsi="Times New Roman" w:eastAsia="Times New Roman" w:cs="Times New Roman"/>
          <w:spacing w:val="4"/>
          <w:sz w:val="25"/>
          <w:szCs w:val="25"/>
        </w:rPr>
        <w:t>018</w:t>
      </w:r>
      <w:r>
        <w:rPr>
          <w:rFonts w:ascii="仿宋" w:hAnsi="仿宋" w:eastAsia="仿宋" w:cs="仿宋"/>
          <w:spacing w:val="4"/>
          <w:sz w:val="25"/>
          <w:szCs w:val="25"/>
        </w:rPr>
        <w:t>）限值，规划区工业用地内</w:t>
      </w:r>
      <w:r>
        <w:rPr>
          <w:rFonts w:ascii="仿宋" w:hAnsi="仿宋" w:eastAsia="仿宋" w:cs="仿宋"/>
          <w:sz w:val="25"/>
          <w:szCs w:val="25"/>
        </w:rPr>
        <w:t xml:space="preserve">  </w:t>
      </w:r>
      <w:r>
        <w:rPr>
          <w:rFonts w:ascii="仿宋" w:hAnsi="仿宋" w:eastAsia="仿宋" w:cs="仿宋"/>
          <w:spacing w:val="-5"/>
          <w:sz w:val="25"/>
          <w:szCs w:val="25"/>
        </w:rPr>
        <w:t>执行《土壤环境质量建设用地土壤污染风险管控标准（试行）》（</w:t>
      </w:r>
      <w:r>
        <w:rPr>
          <w:rFonts w:ascii="Times New Roman" w:hAnsi="Times New Roman" w:eastAsia="Times New Roman" w:cs="Times New Roman"/>
          <w:spacing w:val="-5"/>
          <w:sz w:val="25"/>
          <w:szCs w:val="25"/>
        </w:rPr>
        <w:t>GB</w:t>
      </w:r>
      <w:r>
        <w:rPr>
          <w:rFonts w:ascii="Times New Roman" w:hAnsi="Times New Roman" w:eastAsia="Times New Roman" w:cs="Times New Roman"/>
          <w:spacing w:val="26"/>
          <w:sz w:val="25"/>
          <w:szCs w:val="25"/>
        </w:rPr>
        <w:t xml:space="preserve"> </w:t>
      </w:r>
      <w:r>
        <w:rPr>
          <w:rFonts w:ascii="Times New Roman" w:hAnsi="Times New Roman" w:eastAsia="Times New Roman" w:cs="Times New Roman"/>
          <w:spacing w:val="-5"/>
          <w:sz w:val="25"/>
          <w:szCs w:val="25"/>
        </w:rPr>
        <w:t>36600-2018</w:t>
      </w:r>
      <w:r>
        <w:rPr>
          <w:rFonts w:ascii="仿宋" w:hAnsi="仿宋" w:eastAsia="仿宋" w:cs="仿宋"/>
          <w:spacing w:val="-5"/>
          <w:sz w:val="25"/>
          <w:szCs w:val="25"/>
        </w:rPr>
        <w:t>）</w:t>
      </w:r>
      <w:r>
        <w:rPr>
          <w:rFonts w:ascii="仿宋" w:hAnsi="仿宋" w:eastAsia="仿宋" w:cs="仿宋"/>
          <w:sz w:val="25"/>
          <w:szCs w:val="25"/>
        </w:rPr>
        <w:t xml:space="preserve"> </w:t>
      </w:r>
      <w:r>
        <w:rPr>
          <w:rFonts w:ascii="仿宋" w:hAnsi="仿宋" w:eastAsia="仿宋" w:cs="仿宋"/>
          <w:spacing w:val="5"/>
          <w:sz w:val="25"/>
          <w:szCs w:val="25"/>
        </w:rPr>
        <w:t>中相应标准。</w:t>
      </w:r>
    </w:p>
    <w:p w14:paraId="1C1C616D">
      <w:pPr>
        <w:spacing w:before="120" w:line="228" w:lineRule="auto"/>
        <w:ind w:left="16"/>
        <w:outlineLvl w:val="2"/>
        <w:rPr>
          <w:rFonts w:ascii="仿宋" w:hAnsi="仿宋" w:eastAsia="仿宋" w:cs="仿宋"/>
          <w:sz w:val="25"/>
          <w:szCs w:val="25"/>
        </w:rPr>
      </w:pPr>
      <w:r>
        <w:rPr>
          <w:rFonts w:ascii="Times New Roman" w:hAnsi="Times New Roman" w:eastAsia="Times New Roman" w:cs="Times New Roman"/>
          <w:b/>
          <w:bCs/>
          <w:spacing w:val="3"/>
          <w:sz w:val="25"/>
          <w:szCs w:val="25"/>
        </w:rPr>
        <w:t>1.4.2</w:t>
      </w:r>
      <w:r>
        <w:rPr>
          <w:rFonts w:ascii="Times New Roman" w:hAnsi="Times New Roman" w:eastAsia="Times New Roman" w:cs="Times New Roman"/>
          <w:b/>
          <w:bCs/>
          <w:spacing w:val="27"/>
          <w:sz w:val="25"/>
          <w:szCs w:val="25"/>
        </w:rPr>
        <w:t xml:space="preserve"> </w:t>
      </w:r>
      <w:r>
        <w:rPr>
          <w:rFonts w:ascii="仿宋" w:hAnsi="仿宋" w:eastAsia="仿宋" w:cs="仿宋"/>
          <w:b/>
          <w:bCs/>
          <w:spacing w:val="3"/>
          <w:sz w:val="25"/>
          <w:szCs w:val="25"/>
        </w:rPr>
        <w:t>污染物排放标准</w:t>
      </w:r>
    </w:p>
    <w:p w14:paraId="533F1D7F">
      <w:pPr>
        <w:spacing w:before="270" w:line="340" w:lineRule="auto"/>
        <w:ind w:left="15" w:right="115" w:firstLine="521"/>
        <w:rPr>
          <w:rFonts w:ascii="仿宋" w:hAnsi="仿宋" w:eastAsia="仿宋" w:cs="仿宋"/>
          <w:sz w:val="25"/>
          <w:szCs w:val="25"/>
        </w:rPr>
      </w:pPr>
      <w:r>
        <w:rPr>
          <w:rFonts w:ascii="仿宋" w:hAnsi="仿宋" w:eastAsia="仿宋" w:cs="仿宋"/>
          <w:spacing w:val="9"/>
          <w:sz w:val="25"/>
          <w:szCs w:val="25"/>
        </w:rPr>
        <w:t>按照行业排放标准和综合排放标准不交叉执行的原则，有行业排放标准的</w:t>
      </w:r>
      <w:r>
        <w:rPr>
          <w:rFonts w:ascii="仿宋" w:hAnsi="仿宋" w:eastAsia="仿宋" w:cs="仿宋"/>
          <w:spacing w:val="16"/>
          <w:sz w:val="25"/>
          <w:szCs w:val="25"/>
        </w:rPr>
        <w:t xml:space="preserve"> </w:t>
      </w:r>
      <w:r>
        <w:rPr>
          <w:rFonts w:ascii="仿宋" w:hAnsi="仿宋" w:eastAsia="仿宋" w:cs="仿宋"/>
          <w:spacing w:val="6"/>
          <w:sz w:val="25"/>
          <w:szCs w:val="25"/>
        </w:rPr>
        <w:t>执行行业排放标准。</w:t>
      </w:r>
    </w:p>
    <w:p w14:paraId="7875A5CE">
      <w:pPr>
        <w:spacing w:before="1" w:line="231" w:lineRule="auto"/>
        <w:ind w:left="412"/>
        <w:rPr>
          <w:rFonts w:ascii="仿宋" w:hAnsi="仿宋" w:eastAsia="仿宋" w:cs="仿宋"/>
          <w:sz w:val="25"/>
          <w:szCs w:val="25"/>
        </w:rPr>
      </w:pPr>
      <w:r>
        <w:rPr>
          <w:rFonts w:ascii="仿宋" w:hAnsi="仿宋" w:eastAsia="仿宋" w:cs="仿宋"/>
          <w:spacing w:val="4"/>
          <w:sz w:val="25"/>
          <w:szCs w:val="25"/>
        </w:rPr>
        <w:t>（</w:t>
      </w:r>
      <w:r>
        <w:rPr>
          <w:rFonts w:ascii="Times New Roman" w:hAnsi="Times New Roman" w:eastAsia="Times New Roman" w:cs="Times New Roman"/>
          <w:spacing w:val="4"/>
          <w:sz w:val="25"/>
          <w:szCs w:val="25"/>
        </w:rPr>
        <w:t>1</w:t>
      </w:r>
      <w:r>
        <w:rPr>
          <w:rFonts w:ascii="仿宋" w:hAnsi="仿宋" w:eastAsia="仿宋" w:cs="仿宋"/>
          <w:spacing w:val="4"/>
          <w:sz w:val="25"/>
          <w:szCs w:val="25"/>
        </w:rPr>
        <w:t>）废气</w:t>
      </w:r>
    </w:p>
    <w:p w14:paraId="40301861">
      <w:pPr>
        <w:spacing w:before="144" w:line="340" w:lineRule="auto"/>
        <w:ind w:left="13" w:right="115" w:firstLine="524"/>
        <w:jc w:val="both"/>
        <w:rPr>
          <w:rFonts w:ascii="仿宋" w:hAnsi="仿宋" w:eastAsia="仿宋" w:cs="仿宋"/>
          <w:sz w:val="25"/>
          <w:szCs w:val="25"/>
        </w:rPr>
      </w:pPr>
      <w:r>
        <w:rPr>
          <w:rFonts w:ascii="仿宋" w:hAnsi="仿宋" w:eastAsia="仿宋" w:cs="仿宋"/>
          <w:spacing w:val="7"/>
          <w:sz w:val="25"/>
          <w:szCs w:val="25"/>
        </w:rPr>
        <w:t>铝土矿执行《铝工业污染物排放标准》（</w:t>
      </w:r>
      <w:r>
        <w:rPr>
          <w:rFonts w:ascii="Times New Roman" w:hAnsi="Times New Roman" w:eastAsia="Times New Roman" w:cs="Times New Roman"/>
          <w:sz w:val="25"/>
          <w:szCs w:val="25"/>
        </w:rPr>
        <w:t>GB</w:t>
      </w:r>
      <w:r>
        <w:rPr>
          <w:rFonts w:ascii="Times New Roman" w:hAnsi="Times New Roman" w:eastAsia="Times New Roman" w:cs="Times New Roman"/>
          <w:spacing w:val="7"/>
          <w:sz w:val="25"/>
          <w:szCs w:val="25"/>
        </w:rPr>
        <w:t>25465</w:t>
      </w:r>
      <w:r>
        <w:rPr>
          <w:rFonts w:ascii="Times New Roman" w:hAnsi="Times New Roman" w:eastAsia="Times New Roman" w:cs="Times New Roman"/>
          <w:spacing w:val="6"/>
          <w:sz w:val="25"/>
          <w:szCs w:val="25"/>
        </w:rPr>
        <w:t>-2010</w:t>
      </w:r>
      <w:r>
        <w:rPr>
          <w:rFonts w:ascii="仿宋" w:hAnsi="仿宋" w:eastAsia="仿宋" w:cs="仿宋"/>
          <w:spacing w:val="10"/>
          <w:sz w:val="25"/>
          <w:szCs w:val="25"/>
        </w:rPr>
        <w:t>）；</w:t>
      </w:r>
      <w:r>
        <w:rPr>
          <w:rFonts w:ascii="仿宋" w:hAnsi="仿宋" w:eastAsia="仿宋" w:cs="仿宋"/>
          <w:spacing w:val="6"/>
          <w:sz w:val="25"/>
          <w:szCs w:val="25"/>
        </w:rPr>
        <w:t>其他矿山开采</w:t>
      </w:r>
      <w:r>
        <w:rPr>
          <w:rFonts w:ascii="仿宋" w:hAnsi="仿宋" w:eastAsia="仿宋" w:cs="仿宋"/>
          <w:spacing w:val="1"/>
          <w:sz w:val="25"/>
          <w:szCs w:val="25"/>
        </w:rPr>
        <w:t xml:space="preserve"> </w:t>
      </w:r>
      <w:r>
        <w:rPr>
          <w:rFonts w:ascii="仿宋" w:hAnsi="仿宋" w:eastAsia="仿宋" w:cs="仿宋"/>
          <w:spacing w:val="10"/>
          <w:sz w:val="25"/>
          <w:szCs w:val="25"/>
        </w:rPr>
        <w:t>大气污染物排放执行《重庆市大气污染物综合排放标准》（</w:t>
      </w:r>
      <w:r>
        <w:rPr>
          <w:rFonts w:ascii="Times New Roman" w:hAnsi="Times New Roman" w:eastAsia="Times New Roman" w:cs="Times New Roman"/>
          <w:sz w:val="25"/>
          <w:szCs w:val="25"/>
        </w:rPr>
        <w:t>DB</w:t>
      </w:r>
      <w:r>
        <w:rPr>
          <w:rFonts w:ascii="Times New Roman" w:hAnsi="Times New Roman" w:eastAsia="Times New Roman" w:cs="Times New Roman"/>
          <w:spacing w:val="9"/>
          <w:sz w:val="25"/>
          <w:szCs w:val="25"/>
        </w:rPr>
        <w:t xml:space="preserve"> 50/418-2016</w:t>
      </w:r>
      <w:r>
        <w:rPr>
          <w:rFonts w:ascii="仿宋" w:hAnsi="仿宋" w:eastAsia="仿宋" w:cs="仿宋"/>
          <w:spacing w:val="9"/>
          <w:sz w:val="25"/>
          <w:szCs w:val="25"/>
        </w:rPr>
        <w:t>）</w:t>
      </w:r>
      <w:r>
        <w:rPr>
          <w:rFonts w:ascii="仿宋" w:hAnsi="仿宋" w:eastAsia="仿宋" w:cs="仿宋"/>
          <w:sz w:val="25"/>
          <w:szCs w:val="25"/>
        </w:rPr>
        <w:t xml:space="preserve"> </w:t>
      </w:r>
      <w:r>
        <w:rPr>
          <w:rFonts w:ascii="仿宋" w:hAnsi="仿宋" w:eastAsia="仿宋" w:cs="仿宋"/>
          <w:spacing w:val="9"/>
          <w:sz w:val="25"/>
          <w:szCs w:val="25"/>
        </w:rPr>
        <w:t>中“其他区域</w:t>
      </w:r>
      <w:r>
        <w:rPr>
          <w:rFonts w:ascii="仿宋" w:hAnsi="仿宋" w:eastAsia="仿宋" w:cs="仿宋"/>
          <w:spacing w:val="-90"/>
          <w:sz w:val="25"/>
          <w:szCs w:val="25"/>
        </w:rPr>
        <w:t xml:space="preserve"> </w:t>
      </w:r>
      <w:r>
        <w:rPr>
          <w:rFonts w:ascii="仿宋" w:hAnsi="仿宋" w:eastAsia="仿宋" w:cs="仿宋"/>
          <w:spacing w:val="9"/>
          <w:sz w:val="25"/>
          <w:szCs w:val="25"/>
        </w:rPr>
        <w:t>”限值；餐饮油烟参照执行重庆市</w:t>
      </w:r>
      <w:r>
        <w:rPr>
          <w:rFonts w:ascii="仿宋" w:hAnsi="仿宋" w:eastAsia="仿宋" w:cs="仿宋"/>
          <w:spacing w:val="8"/>
          <w:sz w:val="25"/>
          <w:szCs w:val="25"/>
        </w:rPr>
        <w:t>地方标准《餐饮业大气污染物</w:t>
      </w:r>
      <w:r>
        <w:rPr>
          <w:rFonts w:ascii="仿宋" w:hAnsi="仿宋" w:eastAsia="仿宋" w:cs="仿宋"/>
          <w:sz w:val="25"/>
          <w:szCs w:val="25"/>
        </w:rPr>
        <w:t xml:space="preserve"> </w:t>
      </w:r>
      <w:r>
        <w:rPr>
          <w:rFonts w:ascii="仿宋" w:hAnsi="仿宋" w:eastAsia="仿宋" w:cs="仿宋"/>
          <w:spacing w:val="5"/>
          <w:sz w:val="25"/>
          <w:szCs w:val="25"/>
        </w:rPr>
        <w:t>排放标准》（</w:t>
      </w:r>
      <w:r>
        <w:rPr>
          <w:rFonts w:ascii="Times New Roman" w:hAnsi="Times New Roman" w:eastAsia="Times New Roman" w:cs="Times New Roman"/>
          <w:sz w:val="25"/>
          <w:szCs w:val="25"/>
        </w:rPr>
        <w:t>DB</w:t>
      </w:r>
      <w:r>
        <w:rPr>
          <w:rFonts w:ascii="Times New Roman" w:hAnsi="Times New Roman" w:eastAsia="Times New Roman" w:cs="Times New Roman"/>
          <w:spacing w:val="5"/>
          <w:sz w:val="25"/>
          <w:szCs w:val="25"/>
        </w:rPr>
        <w:t xml:space="preserve"> 50/859-2018</w:t>
      </w:r>
      <w:r>
        <w:rPr>
          <w:rFonts w:ascii="仿宋" w:hAnsi="仿宋" w:eastAsia="仿宋" w:cs="仿宋"/>
          <w:spacing w:val="5"/>
          <w:sz w:val="25"/>
          <w:szCs w:val="25"/>
        </w:rPr>
        <w:t>）。</w:t>
      </w:r>
    </w:p>
    <w:p w14:paraId="0B9CD4A8">
      <w:pPr>
        <w:spacing w:before="1" w:line="229" w:lineRule="auto"/>
        <w:ind w:left="412"/>
        <w:rPr>
          <w:rFonts w:ascii="仿宋" w:hAnsi="仿宋" w:eastAsia="仿宋" w:cs="仿宋"/>
          <w:sz w:val="25"/>
          <w:szCs w:val="25"/>
        </w:rPr>
      </w:pPr>
      <w:r>
        <w:rPr>
          <w:rFonts w:ascii="仿宋" w:hAnsi="仿宋" w:eastAsia="仿宋" w:cs="仿宋"/>
          <w:spacing w:val="4"/>
          <w:sz w:val="25"/>
          <w:szCs w:val="25"/>
        </w:rPr>
        <w:t>（</w:t>
      </w:r>
      <w:r>
        <w:rPr>
          <w:rFonts w:ascii="Times New Roman" w:hAnsi="Times New Roman" w:eastAsia="Times New Roman" w:cs="Times New Roman"/>
          <w:spacing w:val="4"/>
          <w:sz w:val="25"/>
          <w:szCs w:val="25"/>
        </w:rPr>
        <w:t>2</w:t>
      </w:r>
      <w:r>
        <w:rPr>
          <w:rFonts w:ascii="仿宋" w:hAnsi="仿宋" w:eastAsia="仿宋" w:cs="仿宋"/>
          <w:spacing w:val="4"/>
          <w:sz w:val="25"/>
          <w:szCs w:val="25"/>
        </w:rPr>
        <w:t>）废水</w:t>
      </w:r>
    </w:p>
    <w:p w14:paraId="2EAC48C2">
      <w:pPr>
        <w:spacing w:before="151" w:line="339" w:lineRule="auto"/>
        <w:ind w:left="16" w:right="112" w:firstLine="526"/>
        <w:jc w:val="both"/>
        <w:rPr>
          <w:rFonts w:ascii="仿宋" w:hAnsi="仿宋" w:eastAsia="仿宋" w:cs="仿宋"/>
          <w:sz w:val="25"/>
          <w:szCs w:val="25"/>
        </w:rPr>
      </w:pPr>
      <w:r>
        <w:rPr>
          <w:rFonts w:ascii="仿宋" w:hAnsi="仿宋" w:eastAsia="仿宋" w:cs="仿宋"/>
          <w:spacing w:val="7"/>
          <w:sz w:val="25"/>
          <w:szCs w:val="25"/>
        </w:rPr>
        <w:t>铝土矿执行《铝工业污染物排放标准》（</w:t>
      </w:r>
      <w:r>
        <w:rPr>
          <w:rFonts w:ascii="Times New Roman" w:hAnsi="Times New Roman" w:eastAsia="Times New Roman" w:cs="Times New Roman"/>
          <w:sz w:val="25"/>
          <w:szCs w:val="25"/>
        </w:rPr>
        <w:t>GB</w:t>
      </w:r>
      <w:r>
        <w:rPr>
          <w:rFonts w:ascii="Times New Roman" w:hAnsi="Times New Roman" w:eastAsia="Times New Roman" w:cs="Times New Roman"/>
          <w:spacing w:val="7"/>
          <w:sz w:val="25"/>
          <w:szCs w:val="25"/>
        </w:rPr>
        <w:t>25</w:t>
      </w:r>
      <w:r>
        <w:rPr>
          <w:rFonts w:ascii="Times New Roman" w:hAnsi="Times New Roman" w:eastAsia="Times New Roman" w:cs="Times New Roman"/>
          <w:spacing w:val="6"/>
          <w:sz w:val="25"/>
          <w:szCs w:val="25"/>
        </w:rPr>
        <w:t>465-2010</w:t>
      </w:r>
      <w:r>
        <w:rPr>
          <w:rFonts w:ascii="仿宋" w:hAnsi="仿宋" w:eastAsia="仿宋" w:cs="仿宋"/>
          <w:spacing w:val="10"/>
          <w:sz w:val="25"/>
          <w:szCs w:val="25"/>
        </w:rPr>
        <w:t>）；</w:t>
      </w:r>
      <w:r>
        <w:rPr>
          <w:rFonts w:ascii="仿宋" w:hAnsi="仿宋" w:eastAsia="仿宋" w:cs="仿宋"/>
          <w:spacing w:val="6"/>
          <w:sz w:val="25"/>
          <w:szCs w:val="25"/>
        </w:rPr>
        <w:t>其他矿产资源</w:t>
      </w:r>
      <w:r>
        <w:rPr>
          <w:rFonts w:ascii="仿宋" w:hAnsi="仿宋" w:eastAsia="仿宋" w:cs="仿宋"/>
          <w:spacing w:val="1"/>
          <w:sz w:val="25"/>
          <w:szCs w:val="25"/>
        </w:rPr>
        <w:t xml:space="preserve"> </w:t>
      </w:r>
      <w:r>
        <w:rPr>
          <w:rFonts w:ascii="仿宋" w:hAnsi="仿宋" w:eastAsia="仿宋" w:cs="仿宋"/>
          <w:spacing w:val="10"/>
          <w:sz w:val="25"/>
          <w:szCs w:val="25"/>
        </w:rPr>
        <w:t>开采活动产生的污废水，执行《污水综合排放标准》</w:t>
      </w:r>
      <w:r>
        <w:rPr>
          <w:rFonts w:ascii="仿宋" w:hAnsi="仿宋" w:eastAsia="仿宋" w:cs="仿宋"/>
          <w:spacing w:val="-100"/>
          <w:sz w:val="25"/>
          <w:szCs w:val="25"/>
        </w:rPr>
        <w:t xml:space="preserve"> </w:t>
      </w:r>
      <w:r>
        <w:rPr>
          <w:rFonts w:ascii="仿宋" w:hAnsi="仿宋" w:eastAsia="仿宋" w:cs="仿宋"/>
          <w:spacing w:val="10"/>
          <w:sz w:val="25"/>
          <w:szCs w:val="25"/>
        </w:rPr>
        <w:t>（</w:t>
      </w:r>
      <w:r>
        <w:rPr>
          <w:rFonts w:ascii="Times New Roman" w:hAnsi="Times New Roman" w:eastAsia="Times New Roman" w:cs="Times New Roman"/>
          <w:sz w:val="25"/>
          <w:szCs w:val="25"/>
        </w:rPr>
        <w:t>GB</w:t>
      </w:r>
      <w:r>
        <w:rPr>
          <w:rFonts w:ascii="Times New Roman" w:hAnsi="Times New Roman" w:eastAsia="Times New Roman" w:cs="Times New Roman"/>
          <w:spacing w:val="10"/>
          <w:sz w:val="25"/>
          <w:szCs w:val="25"/>
        </w:rPr>
        <w:t>8978-1996</w:t>
      </w:r>
      <w:r>
        <w:rPr>
          <w:rFonts w:ascii="仿宋" w:hAnsi="仿宋" w:eastAsia="仿宋" w:cs="仿宋"/>
          <w:spacing w:val="10"/>
          <w:sz w:val="25"/>
          <w:szCs w:val="25"/>
        </w:rPr>
        <w:t>）一级标</w:t>
      </w:r>
      <w:r>
        <w:rPr>
          <w:rFonts w:ascii="仿宋" w:hAnsi="仿宋" w:eastAsia="仿宋" w:cs="仿宋"/>
          <w:sz w:val="25"/>
          <w:szCs w:val="25"/>
        </w:rPr>
        <w:t xml:space="preserve"> </w:t>
      </w:r>
      <w:r>
        <w:rPr>
          <w:rFonts w:ascii="仿宋" w:hAnsi="仿宋" w:eastAsia="仿宋" w:cs="仿宋"/>
          <w:spacing w:val="10"/>
          <w:sz w:val="25"/>
          <w:szCs w:val="25"/>
        </w:rPr>
        <w:t>准；用于农田灌溉的应满足《农田灌溉水质标准》</w:t>
      </w:r>
      <w:r>
        <w:rPr>
          <w:rFonts w:ascii="仿宋" w:hAnsi="仿宋" w:eastAsia="仿宋" w:cs="仿宋"/>
          <w:spacing w:val="-100"/>
          <w:sz w:val="25"/>
          <w:szCs w:val="25"/>
        </w:rPr>
        <w:t xml:space="preserve"> </w:t>
      </w:r>
      <w:r>
        <w:rPr>
          <w:rFonts w:ascii="仿宋" w:hAnsi="仿宋" w:eastAsia="仿宋" w:cs="仿宋"/>
          <w:spacing w:val="10"/>
          <w:sz w:val="25"/>
          <w:szCs w:val="25"/>
        </w:rPr>
        <w:t>（</w:t>
      </w:r>
      <w:r>
        <w:rPr>
          <w:rFonts w:ascii="Times New Roman" w:hAnsi="Times New Roman" w:eastAsia="Times New Roman" w:cs="Times New Roman"/>
          <w:sz w:val="25"/>
          <w:szCs w:val="25"/>
        </w:rPr>
        <w:t>GB</w:t>
      </w:r>
      <w:r>
        <w:rPr>
          <w:rFonts w:ascii="Times New Roman" w:hAnsi="Times New Roman" w:eastAsia="Times New Roman" w:cs="Times New Roman"/>
          <w:spacing w:val="10"/>
          <w:sz w:val="25"/>
          <w:szCs w:val="25"/>
        </w:rPr>
        <w:t>5084-2021</w:t>
      </w:r>
      <w:r>
        <w:rPr>
          <w:rFonts w:ascii="仿宋" w:hAnsi="仿宋" w:eastAsia="仿宋" w:cs="仿宋"/>
          <w:spacing w:val="10"/>
          <w:sz w:val="25"/>
          <w:szCs w:val="25"/>
        </w:rPr>
        <w:t>）要求；生</w:t>
      </w:r>
      <w:r>
        <w:rPr>
          <w:rFonts w:ascii="仿宋" w:hAnsi="仿宋" w:eastAsia="仿宋" w:cs="仿宋"/>
          <w:sz w:val="25"/>
          <w:szCs w:val="25"/>
        </w:rPr>
        <w:t xml:space="preserve"> </w:t>
      </w:r>
      <w:r>
        <w:rPr>
          <w:rFonts w:ascii="仿宋" w:hAnsi="仿宋" w:eastAsia="仿宋" w:cs="仿宋"/>
          <w:spacing w:val="9"/>
          <w:sz w:val="25"/>
          <w:szCs w:val="25"/>
        </w:rPr>
        <w:t>活污水可经生化池处理后用作农肥，无法利用的污水需处理达标后方可排放。</w:t>
      </w:r>
    </w:p>
    <w:p w14:paraId="52C8EB04">
      <w:pPr>
        <w:spacing w:line="229" w:lineRule="auto"/>
        <w:ind w:left="412"/>
        <w:rPr>
          <w:rFonts w:ascii="仿宋" w:hAnsi="仿宋" w:eastAsia="仿宋" w:cs="仿宋"/>
          <w:sz w:val="25"/>
          <w:szCs w:val="25"/>
        </w:rPr>
      </w:pPr>
      <w:r>
        <w:rPr>
          <w:rFonts w:ascii="仿宋" w:hAnsi="仿宋" w:eastAsia="仿宋" w:cs="仿宋"/>
          <w:spacing w:val="4"/>
          <w:sz w:val="25"/>
          <w:szCs w:val="25"/>
        </w:rPr>
        <w:t>（</w:t>
      </w:r>
      <w:r>
        <w:rPr>
          <w:rFonts w:ascii="Times New Roman" w:hAnsi="Times New Roman" w:eastAsia="Times New Roman" w:cs="Times New Roman"/>
          <w:spacing w:val="4"/>
          <w:sz w:val="25"/>
          <w:szCs w:val="25"/>
        </w:rPr>
        <w:t>3</w:t>
      </w:r>
      <w:r>
        <w:rPr>
          <w:rFonts w:ascii="仿宋" w:hAnsi="仿宋" w:eastAsia="仿宋" w:cs="仿宋"/>
          <w:spacing w:val="4"/>
          <w:sz w:val="25"/>
          <w:szCs w:val="25"/>
        </w:rPr>
        <w:t>）噪声</w:t>
      </w:r>
    </w:p>
    <w:p w14:paraId="1C525968">
      <w:pPr>
        <w:spacing w:before="149" w:line="340" w:lineRule="auto"/>
        <w:ind w:left="4" w:right="6" w:firstLine="536"/>
        <w:jc w:val="both"/>
        <w:rPr>
          <w:rFonts w:ascii="仿宋" w:hAnsi="仿宋" w:eastAsia="仿宋" w:cs="仿宋"/>
          <w:sz w:val="25"/>
          <w:szCs w:val="25"/>
        </w:rPr>
      </w:pPr>
      <w:r>
        <w:rPr>
          <w:rFonts w:ascii="仿宋" w:hAnsi="仿宋" w:eastAsia="仿宋" w:cs="仿宋"/>
          <w:spacing w:val="7"/>
          <w:sz w:val="25"/>
          <w:szCs w:val="25"/>
        </w:rPr>
        <w:t>施工期执行《建筑施工场界环境噪声排放标准》（</w:t>
      </w:r>
      <w:r>
        <w:rPr>
          <w:rFonts w:ascii="Times New Roman" w:hAnsi="Times New Roman" w:eastAsia="Times New Roman" w:cs="Times New Roman"/>
          <w:sz w:val="25"/>
          <w:szCs w:val="25"/>
        </w:rPr>
        <w:t>GB</w:t>
      </w:r>
      <w:r>
        <w:rPr>
          <w:rFonts w:ascii="Times New Roman" w:hAnsi="Times New Roman" w:eastAsia="Times New Roman" w:cs="Times New Roman"/>
          <w:spacing w:val="6"/>
          <w:sz w:val="25"/>
          <w:szCs w:val="25"/>
        </w:rPr>
        <w:t>12523-2011</w:t>
      </w:r>
      <w:r>
        <w:rPr>
          <w:rFonts w:ascii="仿宋" w:hAnsi="仿宋" w:eastAsia="仿宋" w:cs="仿宋"/>
          <w:spacing w:val="9"/>
          <w:sz w:val="25"/>
          <w:szCs w:val="25"/>
        </w:rPr>
        <w:t>）；</w:t>
      </w:r>
      <w:r>
        <w:rPr>
          <w:rFonts w:ascii="仿宋" w:hAnsi="仿宋" w:eastAsia="仿宋" w:cs="仿宋"/>
          <w:spacing w:val="6"/>
          <w:sz w:val="25"/>
          <w:szCs w:val="25"/>
        </w:rPr>
        <w:t>运营</w:t>
      </w:r>
      <w:r>
        <w:rPr>
          <w:rFonts w:ascii="仿宋" w:hAnsi="仿宋" w:eastAsia="仿宋" w:cs="仿宋"/>
          <w:sz w:val="25"/>
          <w:szCs w:val="25"/>
        </w:rPr>
        <w:t xml:space="preserve">  </w:t>
      </w:r>
      <w:r>
        <w:rPr>
          <w:rFonts w:ascii="仿宋" w:hAnsi="仿宋" w:eastAsia="仿宋" w:cs="仿宋"/>
          <w:spacing w:val="4"/>
          <w:sz w:val="25"/>
          <w:szCs w:val="25"/>
        </w:rPr>
        <w:t>期根据项目所在区域执行《工业企业厂界环境噪声</w:t>
      </w:r>
      <w:r>
        <w:rPr>
          <w:rFonts w:ascii="仿宋" w:hAnsi="仿宋" w:eastAsia="仿宋" w:cs="仿宋"/>
          <w:spacing w:val="3"/>
          <w:sz w:val="25"/>
          <w:szCs w:val="25"/>
        </w:rPr>
        <w:t>排放标准》（</w:t>
      </w:r>
      <w:r>
        <w:rPr>
          <w:rFonts w:ascii="Times New Roman" w:hAnsi="Times New Roman" w:eastAsia="Times New Roman" w:cs="Times New Roman"/>
          <w:sz w:val="25"/>
          <w:szCs w:val="25"/>
        </w:rPr>
        <w:t>GB</w:t>
      </w:r>
      <w:r>
        <w:rPr>
          <w:rFonts w:ascii="Times New Roman" w:hAnsi="Times New Roman" w:eastAsia="Times New Roman" w:cs="Times New Roman"/>
          <w:spacing w:val="3"/>
          <w:sz w:val="25"/>
          <w:szCs w:val="25"/>
        </w:rPr>
        <w:t>12348-2008</w:t>
      </w:r>
      <w:r>
        <w:rPr>
          <w:rFonts w:ascii="仿宋" w:hAnsi="仿宋" w:eastAsia="仿宋" w:cs="仿宋"/>
          <w:spacing w:val="3"/>
          <w:sz w:val="25"/>
          <w:szCs w:val="25"/>
        </w:rPr>
        <w:t>）</w:t>
      </w:r>
      <w:r>
        <w:rPr>
          <w:rFonts w:ascii="仿宋" w:hAnsi="仿宋" w:eastAsia="仿宋" w:cs="仿宋"/>
          <w:sz w:val="25"/>
          <w:szCs w:val="25"/>
        </w:rPr>
        <w:t xml:space="preserve"> </w:t>
      </w:r>
      <w:r>
        <w:rPr>
          <w:rFonts w:ascii="Times New Roman" w:hAnsi="Times New Roman" w:eastAsia="Times New Roman" w:cs="Times New Roman"/>
          <w:spacing w:val="2"/>
          <w:sz w:val="25"/>
          <w:szCs w:val="25"/>
        </w:rPr>
        <w:t>2</w:t>
      </w:r>
      <w:r>
        <w:rPr>
          <w:rFonts w:ascii="Times New Roman" w:hAnsi="Times New Roman" w:eastAsia="Times New Roman" w:cs="Times New Roman"/>
          <w:spacing w:val="27"/>
          <w:sz w:val="25"/>
          <w:szCs w:val="25"/>
        </w:rPr>
        <w:t xml:space="preserve"> </w:t>
      </w:r>
      <w:r>
        <w:rPr>
          <w:rFonts w:ascii="仿宋" w:hAnsi="仿宋" w:eastAsia="仿宋" w:cs="仿宋"/>
          <w:spacing w:val="2"/>
          <w:sz w:val="25"/>
          <w:szCs w:val="25"/>
        </w:rPr>
        <w:t>类区标准。</w:t>
      </w:r>
    </w:p>
    <w:p w14:paraId="7A1C962A">
      <w:pPr>
        <w:spacing w:before="1" w:line="227" w:lineRule="auto"/>
        <w:ind w:left="546"/>
        <w:rPr>
          <w:rFonts w:ascii="仿宋" w:hAnsi="仿宋" w:eastAsia="仿宋" w:cs="仿宋"/>
          <w:sz w:val="25"/>
          <w:szCs w:val="25"/>
        </w:rPr>
      </w:pPr>
      <w:r>
        <w:rPr>
          <w:rFonts w:ascii="仿宋" w:hAnsi="仿宋" w:eastAsia="仿宋" w:cs="仿宋"/>
          <w:spacing w:val="-2"/>
          <w:sz w:val="25"/>
          <w:szCs w:val="25"/>
        </w:rPr>
        <w:t>（</w:t>
      </w:r>
      <w:r>
        <w:rPr>
          <w:rFonts w:ascii="Times New Roman" w:hAnsi="Times New Roman" w:eastAsia="Times New Roman" w:cs="Times New Roman"/>
          <w:spacing w:val="-2"/>
          <w:sz w:val="25"/>
          <w:szCs w:val="25"/>
        </w:rPr>
        <w:t>4</w:t>
      </w:r>
      <w:r>
        <w:rPr>
          <w:rFonts w:ascii="仿宋" w:hAnsi="仿宋" w:eastAsia="仿宋" w:cs="仿宋"/>
          <w:spacing w:val="-2"/>
          <w:sz w:val="25"/>
          <w:szCs w:val="25"/>
        </w:rPr>
        <w:t>）</w:t>
      </w:r>
      <w:r>
        <w:rPr>
          <w:rFonts w:ascii="仿宋" w:hAnsi="仿宋" w:eastAsia="仿宋" w:cs="仿宋"/>
          <w:spacing w:val="-72"/>
          <w:sz w:val="25"/>
          <w:szCs w:val="25"/>
        </w:rPr>
        <w:t xml:space="preserve"> </w:t>
      </w:r>
      <w:r>
        <w:rPr>
          <w:rFonts w:ascii="仿宋" w:hAnsi="仿宋" w:eastAsia="仿宋" w:cs="仿宋"/>
          <w:spacing w:val="-2"/>
          <w:sz w:val="25"/>
          <w:szCs w:val="25"/>
        </w:rPr>
        <w:t>固体废物</w:t>
      </w:r>
    </w:p>
    <w:p w14:paraId="6033EE01">
      <w:pPr>
        <w:spacing w:before="151" w:line="339" w:lineRule="auto"/>
        <w:ind w:left="22" w:right="115" w:firstLine="519"/>
        <w:rPr>
          <w:rFonts w:ascii="仿宋" w:hAnsi="仿宋" w:eastAsia="仿宋" w:cs="仿宋"/>
          <w:sz w:val="25"/>
          <w:szCs w:val="25"/>
        </w:rPr>
      </w:pPr>
      <w:r>
        <w:rPr>
          <w:rFonts w:ascii="仿宋" w:hAnsi="仿宋" w:eastAsia="仿宋" w:cs="仿宋"/>
          <w:spacing w:val="9"/>
          <w:sz w:val="25"/>
          <w:szCs w:val="25"/>
        </w:rPr>
        <w:t>矿产资源勘查开发活动中产生的废石属于一般工业固体废物，执行《一般</w:t>
      </w:r>
      <w:r>
        <w:rPr>
          <w:rFonts w:ascii="仿宋" w:hAnsi="仿宋" w:eastAsia="仿宋" w:cs="仿宋"/>
          <w:spacing w:val="12"/>
          <w:sz w:val="25"/>
          <w:szCs w:val="25"/>
        </w:rPr>
        <w:t xml:space="preserve"> </w:t>
      </w:r>
      <w:r>
        <w:rPr>
          <w:rFonts w:ascii="仿宋" w:hAnsi="仿宋" w:eastAsia="仿宋" w:cs="仿宋"/>
          <w:spacing w:val="7"/>
          <w:sz w:val="25"/>
          <w:szCs w:val="25"/>
        </w:rPr>
        <w:t>工业固体废物贮存和填埋污染控制标准》（</w:t>
      </w:r>
      <w:r>
        <w:rPr>
          <w:rFonts w:ascii="Times New Roman" w:hAnsi="Times New Roman" w:eastAsia="Times New Roman" w:cs="Times New Roman"/>
          <w:sz w:val="25"/>
          <w:szCs w:val="25"/>
        </w:rPr>
        <w:t>GB</w:t>
      </w:r>
      <w:r>
        <w:rPr>
          <w:rFonts w:ascii="Times New Roman" w:hAnsi="Times New Roman" w:eastAsia="Times New Roman" w:cs="Times New Roman"/>
          <w:spacing w:val="7"/>
          <w:sz w:val="25"/>
          <w:szCs w:val="25"/>
        </w:rPr>
        <w:t>18599-2020</w:t>
      </w:r>
      <w:r>
        <w:rPr>
          <w:rFonts w:ascii="仿宋" w:hAnsi="仿宋" w:eastAsia="仿宋" w:cs="仿宋"/>
          <w:spacing w:val="8"/>
          <w:sz w:val="25"/>
          <w:szCs w:val="25"/>
        </w:rPr>
        <w:t>）；</w:t>
      </w:r>
      <w:r>
        <w:rPr>
          <w:rFonts w:ascii="仿宋" w:hAnsi="仿宋" w:eastAsia="仿宋" w:cs="仿宋"/>
          <w:spacing w:val="7"/>
          <w:sz w:val="25"/>
          <w:szCs w:val="25"/>
        </w:rPr>
        <w:t>废</w:t>
      </w:r>
      <w:r>
        <w:rPr>
          <w:rFonts w:ascii="仿宋" w:hAnsi="仿宋" w:eastAsia="仿宋" w:cs="仿宋"/>
          <w:spacing w:val="6"/>
          <w:sz w:val="25"/>
          <w:szCs w:val="25"/>
        </w:rPr>
        <w:t>油及含油废物</w:t>
      </w:r>
      <w:r>
        <w:rPr>
          <w:rFonts w:ascii="仿宋" w:hAnsi="仿宋" w:eastAsia="仿宋" w:cs="仿宋"/>
          <w:spacing w:val="1"/>
          <w:sz w:val="25"/>
          <w:szCs w:val="25"/>
        </w:rPr>
        <w:t xml:space="preserve"> </w:t>
      </w:r>
      <w:r>
        <w:rPr>
          <w:rFonts w:ascii="仿宋" w:hAnsi="仿宋" w:eastAsia="仿宋" w:cs="仿宋"/>
          <w:spacing w:val="7"/>
          <w:sz w:val="25"/>
          <w:szCs w:val="25"/>
        </w:rPr>
        <w:t>等危险废物执行《危险废物贮存污染控制标准》（</w:t>
      </w:r>
      <w:r>
        <w:rPr>
          <w:rFonts w:ascii="Times New Roman" w:hAnsi="Times New Roman" w:eastAsia="Times New Roman" w:cs="Times New Roman"/>
          <w:sz w:val="25"/>
          <w:szCs w:val="25"/>
        </w:rPr>
        <w:t>GB</w:t>
      </w:r>
      <w:r>
        <w:rPr>
          <w:rFonts w:ascii="Times New Roman" w:hAnsi="Times New Roman" w:eastAsia="Times New Roman" w:cs="Times New Roman"/>
          <w:spacing w:val="7"/>
          <w:sz w:val="25"/>
          <w:szCs w:val="25"/>
        </w:rPr>
        <w:t>18597-2023</w:t>
      </w:r>
      <w:r>
        <w:rPr>
          <w:rFonts w:ascii="仿宋" w:hAnsi="仿宋" w:eastAsia="仿宋" w:cs="仿宋"/>
          <w:spacing w:val="7"/>
          <w:sz w:val="25"/>
          <w:szCs w:val="25"/>
        </w:rPr>
        <w:t>）。</w:t>
      </w:r>
    </w:p>
    <w:p w14:paraId="045F9775">
      <w:pPr>
        <w:spacing w:before="124" w:line="229" w:lineRule="auto"/>
        <w:ind w:left="16"/>
        <w:outlineLvl w:val="2"/>
        <w:rPr>
          <w:rFonts w:ascii="仿宋" w:hAnsi="仿宋" w:eastAsia="仿宋" w:cs="仿宋"/>
          <w:sz w:val="25"/>
          <w:szCs w:val="25"/>
        </w:rPr>
      </w:pPr>
      <w:r>
        <w:rPr>
          <w:rFonts w:ascii="Times New Roman" w:hAnsi="Times New Roman" w:eastAsia="Times New Roman" w:cs="Times New Roman"/>
          <w:b/>
          <w:bCs/>
          <w:spacing w:val="3"/>
          <w:sz w:val="25"/>
          <w:szCs w:val="25"/>
        </w:rPr>
        <w:t>1.4.3</w:t>
      </w:r>
      <w:r>
        <w:rPr>
          <w:rFonts w:ascii="Times New Roman" w:hAnsi="Times New Roman" w:eastAsia="Times New Roman" w:cs="Times New Roman"/>
          <w:b/>
          <w:bCs/>
          <w:spacing w:val="30"/>
          <w:sz w:val="25"/>
          <w:szCs w:val="25"/>
        </w:rPr>
        <w:t xml:space="preserve"> </w:t>
      </w:r>
      <w:r>
        <w:rPr>
          <w:rFonts w:ascii="仿宋" w:hAnsi="仿宋" w:eastAsia="仿宋" w:cs="仿宋"/>
          <w:b/>
          <w:bCs/>
          <w:spacing w:val="3"/>
          <w:sz w:val="25"/>
          <w:szCs w:val="25"/>
        </w:rPr>
        <w:t>绿色矿山建设标准</w:t>
      </w:r>
    </w:p>
    <w:p w14:paraId="657BDAA3">
      <w:pPr>
        <w:spacing w:line="229" w:lineRule="auto"/>
        <w:rPr>
          <w:rFonts w:ascii="仿宋" w:hAnsi="仿宋" w:eastAsia="仿宋" w:cs="仿宋"/>
          <w:sz w:val="25"/>
          <w:szCs w:val="25"/>
        </w:rPr>
        <w:sectPr>
          <w:headerReference r:id="rId34" w:type="default"/>
          <w:footerReference r:id="rId35" w:type="default"/>
          <w:pgSz w:w="11906" w:h="16839"/>
          <w:pgMar w:top="1116" w:right="1360" w:bottom="1480" w:left="1587" w:header="683" w:footer="1318" w:gutter="0"/>
          <w:cols w:space="720" w:num="1"/>
        </w:sectPr>
      </w:pPr>
    </w:p>
    <w:p w14:paraId="6A741D4D">
      <w:pPr>
        <w:pStyle w:val="2"/>
        <w:spacing w:line="385" w:lineRule="auto"/>
      </w:pPr>
    </w:p>
    <w:p w14:paraId="77460850">
      <w:pPr>
        <w:spacing w:before="81" w:line="340" w:lineRule="auto"/>
        <w:ind w:left="16" w:right="83" w:firstLine="521"/>
        <w:jc w:val="both"/>
        <w:rPr>
          <w:rFonts w:ascii="仿宋" w:hAnsi="仿宋" w:eastAsia="仿宋" w:cs="仿宋"/>
          <w:sz w:val="25"/>
          <w:szCs w:val="25"/>
        </w:rPr>
      </w:pPr>
      <w:r>
        <w:rPr>
          <w:rFonts w:ascii="仿宋" w:hAnsi="仿宋" w:eastAsia="仿宋" w:cs="仿宋"/>
          <w:spacing w:val="9"/>
          <w:sz w:val="25"/>
          <w:szCs w:val="25"/>
        </w:rPr>
        <w:t>根据绿色矿山建设等级，新建、改扩建和生产矿山的绿色矿山建设执行相</w:t>
      </w:r>
      <w:r>
        <w:rPr>
          <w:rFonts w:ascii="仿宋" w:hAnsi="仿宋" w:eastAsia="仿宋" w:cs="仿宋"/>
          <w:spacing w:val="15"/>
          <w:sz w:val="25"/>
          <w:szCs w:val="25"/>
        </w:rPr>
        <w:t xml:space="preserve"> </w:t>
      </w:r>
      <w:r>
        <w:rPr>
          <w:rFonts w:ascii="仿宋" w:hAnsi="仿宋" w:eastAsia="仿宋" w:cs="仿宋"/>
          <w:spacing w:val="8"/>
          <w:sz w:val="25"/>
          <w:szCs w:val="25"/>
        </w:rPr>
        <w:t>应的《砂石行业绿色矿山建设规范》</w:t>
      </w:r>
      <w:r>
        <w:rPr>
          <w:rFonts w:ascii="仿宋" w:hAnsi="仿宋" w:eastAsia="仿宋" w:cs="仿宋"/>
          <w:spacing w:val="-103"/>
          <w:sz w:val="25"/>
          <w:szCs w:val="25"/>
        </w:rPr>
        <w:t xml:space="preserve"> </w:t>
      </w:r>
      <w:r>
        <w:rPr>
          <w:rFonts w:ascii="仿宋" w:hAnsi="仿宋" w:eastAsia="仿宋" w:cs="仿宋"/>
          <w:spacing w:val="8"/>
          <w:sz w:val="25"/>
          <w:szCs w:val="25"/>
        </w:rPr>
        <w:t>（</w:t>
      </w:r>
      <w:r>
        <w:rPr>
          <w:rFonts w:ascii="Times New Roman" w:hAnsi="Times New Roman" w:eastAsia="Times New Roman" w:cs="Times New Roman"/>
          <w:sz w:val="25"/>
          <w:szCs w:val="25"/>
        </w:rPr>
        <w:t>DZ</w:t>
      </w:r>
      <w:r>
        <w:rPr>
          <w:rFonts w:ascii="Times New Roman" w:hAnsi="Times New Roman" w:eastAsia="Times New Roman" w:cs="Times New Roman"/>
          <w:spacing w:val="8"/>
          <w:sz w:val="25"/>
          <w:szCs w:val="25"/>
        </w:rPr>
        <w:t>/T 0316-2</w:t>
      </w:r>
      <w:r>
        <w:rPr>
          <w:rFonts w:ascii="Times New Roman" w:hAnsi="Times New Roman" w:eastAsia="Times New Roman" w:cs="Times New Roman"/>
          <w:spacing w:val="7"/>
          <w:sz w:val="25"/>
          <w:szCs w:val="25"/>
        </w:rPr>
        <w:t>018</w:t>
      </w:r>
      <w:r>
        <w:rPr>
          <w:rFonts w:ascii="仿宋" w:hAnsi="仿宋" w:eastAsia="仿宋" w:cs="仿宋"/>
          <w:spacing w:val="7"/>
          <w:sz w:val="25"/>
          <w:szCs w:val="25"/>
        </w:rPr>
        <w:t>）</w:t>
      </w:r>
      <w:r>
        <w:rPr>
          <w:rFonts w:ascii="仿宋" w:hAnsi="仿宋" w:eastAsia="仿宋" w:cs="仿宋"/>
          <w:spacing w:val="-72"/>
          <w:sz w:val="25"/>
          <w:szCs w:val="25"/>
        </w:rPr>
        <w:t xml:space="preserve"> </w:t>
      </w:r>
      <w:r>
        <w:rPr>
          <w:rFonts w:ascii="仿宋" w:hAnsi="仿宋" w:eastAsia="仿宋" w:cs="仿宋"/>
          <w:spacing w:val="7"/>
          <w:sz w:val="25"/>
          <w:szCs w:val="25"/>
        </w:rPr>
        <w:t>、《非金属矿行业绿</w:t>
      </w:r>
      <w:r>
        <w:rPr>
          <w:rFonts w:ascii="仿宋" w:hAnsi="仿宋" w:eastAsia="仿宋" w:cs="仿宋"/>
          <w:sz w:val="25"/>
          <w:szCs w:val="25"/>
        </w:rPr>
        <w:t xml:space="preserve"> </w:t>
      </w:r>
      <w:r>
        <w:rPr>
          <w:rFonts w:ascii="仿宋" w:hAnsi="仿宋" w:eastAsia="仿宋" w:cs="仿宋"/>
          <w:spacing w:val="8"/>
          <w:sz w:val="25"/>
          <w:szCs w:val="25"/>
        </w:rPr>
        <w:t>色矿山建设规范》（</w:t>
      </w:r>
      <w:r>
        <w:rPr>
          <w:rFonts w:ascii="Times New Roman" w:hAnsi="Times New Roman" w:eastAsia="Times New Roman" w:cs="Times New Roman"/>
          <w:sz w:val="25"/>
          <w:szCs w:val="25"/>
        </w:rPr>
        <w:t>DZ</w:t>
      </w:r>
      <w:r>
        <w:rPr>
          <w:rFonts w:ascii="Times New Roman" w:hAnsi="Times New Roman" w:eastAsia="Times New Roman" w:cs="Times New Roman"/>
          <w:spacing w:val="8"/>
          <w:sz w:val="25"/>
          <w:szCs w:val="25"/>
        </w:rPr>
        <w:t>/T 0312-2018</w:t>
      </w:r>
      <w:r>
        <w:rPr>
          <w:rFonts w:ascii="仿宋" w:hAnsi="仿宋" w:eastAsia="仿宋" w:cs="仿宋"/>
          <w:spacing w:val="8"/>
          <w:sz w:val="25"/>
          <w:szCs w:val="25"/>
        </w:rPr>
        <w:t>）</w:t>
      </w:r>
      <w:r>
        <w:rPr>
          <w:rFonts w:ascii="仿宋" w:hAnsi="仿宋" w:eastAsia="仿宋" w:cs="仿宋"/>
          <w:spacing w:val="-72"/>
          <w:sz w:val="25"/>
          <w:szCs w:val="25"/>
        </w:rPr>
        <w:t xml:space="preserve"> </w:t>
      </w:r>
      <w:r>
        <w:rPr>
          <w:rFonts w:ascii="仿宋" w:hAnsi="仿宋" w:eastAsia="仿宋" w:cs="仿宋"/>
          <w:spacing w:val="8"/>
          <w:sz w:val="25"/>
          <w:szCs w:val="25"/>
        </w:rPr>
        <w:t>、《有色金属行业绿色矿</w:t>
      </w:r>
      <w:r>
        <w:rPr>
          <w:rFonts w:ascii="仿宋" w:hAnsi="仿宋" w:eastAsia="仿宋" w:cs="仿宋"/>
          <w:spacing w:val="7"/>
          <w:sz w:val="25"/>
          <w:szCs w:val="25"/>
        </w:rPr>
        <w:t>山建设规范》</w:t>
      </w:r>
      <w:r>
        <w:rPr>
          <w:rFonts w:ascii="仿宋" w:hAnsi="仿宋" w:eastAsia="仿宋" w:cs="仿宋"/>
          <w:sz w:val="25"/>
          <w:szCs w:val="25"/>
        </w:rPr>
        <w:t xml:space="preserve"> </w:t>
      </w:r>
      <w:r>
        <w:rPr>
          <w:rFonts w:ascii="仿宋" w:hAnsi="仿宋" w:eastAsia="仿宋" w:cs="仿宋"/>
          <w:spacing w:val="7"/>
          <w:sz w:val="25"/>
          <w:szCs w:val="25"/>
        </w:rPr>
        <w:t>（</w:t>
      </w:r>
      <w:r>
        <w:rPr>
          <w:rFonts w:ascii="Times New Roman" w:hAnsi="Times New Roman" w:eastAsia="Times New Roman" w:cs="Times New Roman"/>
          <w:sz w:val="25"/>
          <w:szCs w:val="25"/>
        </w:rPr>
        <w:t>DZ</w:t>
      </w:r>
      <w:r>
        <w:rPr>
          <w:rFonts w:ascii="Times New Roman" w:hAnsi="Times New Roman" w:eastAsia="Times New Roman" w:cs="Times New Roman"/>
          <w:spacing w:val="7"/>
          <w:sz w:val="25"/>
          <w:szCs w:val="25"/>
        </w:rPr>
        <w:t>/T0320-2018</w:t>
      </w:r>
      <w:r>
        <w:rPr>
          <w:rFonts w:ascii="仿宋" w:hAnsi="仿宋" w:eastAsia="仿宋" w:cs="仿宋"/>
          <w:spacing w:val="7"/>
          <w:sz w:val="25"/>
          <w:szCs w:val="25"/>
        </w:rPr>
        <w:t>）和《重庆市绿色矿山建设标准》（</w:t>
      </w:r>
      <w:r>
        <w:rPr>
          <w:rFonts w:ascii="Times New Roman" w:hAnsi="Times New Roman" w:eastAsia="Times New Roman" w:cs="Times New Roman"/>
          <w:spacing w:val="7"/>
          <w:sz w:val="25"/>
          <w:szCs w:val="25"/>
        </w:rPr>
        <w:t xml:space="preserve">2021 </w:t>
      </w:r>
      <w:r>
        <w:rPr>
          <w:rFonts w:ascii="仿宋" w:hAnsi="仿宋" w:eastAsia="仿宋" w:cs="仿宋"/>
          <w:spacing w:val="7"/>
          <w:sz w:val="25"/>
          <w:szCs w:val="25"/>
        </w:rPr>
        <w:t>版</w:t>
      </w:r>
      <w:r>
        <w:rPr>
          <w:rFonts w:ascii="仿宋" w:hAnsi="仿宋" w:eastAsia="仿宋" w:cs="仿宋"/>
          <w:spacing w:val="6"/>
          <w:sz w:val="25"/>
          <w:szCs w:val="25"/>
        </w:rPr>
        <w:t>）。</w:t>
      </w:r>
    </w:p>
    <w:p w14:paraId="22DEF3B4">
      <w:pPr>
        <w:spacing w:before="11" w:line="229" w:lineRule="auto"/>
        <w:ind w:left="16"/>
        <w:outlineLvl w:val="1"/>
        <w:rPr>
          <w:rFonts w:ascii="仿宋" w:hAnsi="仿宋" w:eastAsia="仿宋" w:cs="仿宋"/>
          <w:sz w:val="25"/>
          <w:szCs w:val="25"/>
        </w:rPr>
      </w:pPr>
      <w:bookmarkStart w:id="8" w:name="bookmark8"/>
      <w:bookmarkEnd w:id="8"/>
      <w:r>
        <w:rPr>
          <w:rFonts w:ascii="Times New Roman" w:hAnsi="Times New Roman" w:eastAsia="Times New Roman" w:cs="Times New Roman"/>
          <w:b/>
          <w:bCs/>
          <w:spacing w:val="2"/>
          <w:sz w:val="25"/>
          <w:szCs w:val="25"/>
        </w:rPr>
        <w:t>1.5</w:t>
      </w:r>
      <w:r>
        <w:rPr>
          <w:rFonts w:ascii="Times New Roman" w:hAnsi="Times New Roman" w:eastAsia="Times New Roman" w:cs="Times New Roman"/>
          <w:b/>
          <w:bCs/>
          <w:spacing w:val="12"/>
          <w:sz w:val="25"/>
          <w:szCs w:val="25"/>
        </w:rPr>
        <w:t xml:space="preserve">  </w:t>
      </w:r>
      <w:r>
        <w:rPr>
          <w:rFonts w:ascii="仿宋" w:hAnsi="仿宋" w:eastAsia="仿宋" w:cs="仿宋"/>
          <w:b/>
          <w:bCs/>
          <w:spacing w:val="2"/>
          <w:sz w:val="25"/>
          <w:szCs w:val="25"/>
        </w:rPr>
        <w:t>环境敏感区</w:t>
      </w:r>
    </w:p>
    <w:p w14:paraId="135E89AF">
      <w:pPr>
        <w:spacing w:before="255" w:line="340" w:lineRule="auto"/>
        <w:ind w:left="19" w:firstLine="522"/>
        <w:jc w:val="both"/>
        <w:rPr>
          <w:rFonts w:ascii="仿宋" w:hAnsi="仿宋" w:eastAsia="仿宋" w:cs="仿宋"/>
          <w:sz w:val="25"/>
          <w:szCs w:val="25"/>
        </w:rPr>
      </w:pPr>
      <w:r>
        <w:rPr>
          <w:rFonts w:ascii="仿宋" w:hAnsi="仿宋" w:eastAsia="仿宋" w:cs="仿宋"/>
          <w:spacing w:val="4"/>
          <w:sz w:val="25"/>
          <w:szCs w:val="25"/>
        </w:rPr>
        <w:t>结合黔江区规划和环境敏感区的分布，本次评价区块不占用生态保护红线、</w:t>
      </w:r>
      <w:r>
        <w:rPr>
          <w:rFonts w:ascii="仿宋" w:hAnsi="仿宋" w:eastAsia="仿宋" w:cs="仿宋"/>
          <w:spacing w:val="1"/>
          <w:sz w:val="25"/>
          <w:szCs w:val="25"/>
        </w:rPr>
        <w:t xml:space="preserve"> </w:t>
      </w:r>
      <w:r>
        <w:rPr>
          <w:rFonts w:ascii="仿宋" w:hAnsi="仿宋" w:eastAsia="仿宋" w:cs="仿宋"/>
          <w:spacing w:val="7"/>
          <w:sz w:val="25"/>
          <w:szCs w:val="25"/>
        </w:rPr>
        <w:t>城镇开发边界、</w:t>
      </w:r>
      <w:r>
        <w:rPr>
          <w:rFonts w:ascii="仿宋" w:hAnsi="仿宋" w:eastAsia="仿宋" w:cs="仿宋"/>
          <w:spacing w:val="-41"/>
          <w:sz w:val="25"/>
          <w:szCs w:val="25"/>
        </w:rPr>
        <w:t xml:space="preserve"> </w:t>
      </w:r>
      <w:r>
        <w:rPr>
          <w:rFonts w:ascii="仿宋" w:hAnsi="仿宋" w:eastAsia="仿宋" w:cs="仿宋"/>
          <w:spacing w:val="7"/>
          <w:sz w:val="25"/>
          <w:szCs w:val="25"/>
        </w:rPr>
        <w:t>自然保护地、黔江区集中式饮用水水源地、一般生态空间等环</w:t>
      </w:r>
      <w:r>
        <w:rPr>
          <w:rFonts w:ascii="仿宋" w:hAnsi="仿宋" w:eastAsia="仿宋" w:cs="仿宋"/>
          <w:sz w:val="25"/>
          <w:szCs w:val="25"/>
        </w:rPr>
        <w:t xml:space="preserve"> </w:t>
      </w:r>
      <w:r>
        <w:rPr>
          <w:rFonts w:ascii="仿宋" w:hAnsi="仿宋" w:eastAsia="仿宋" w:cs="仿宋"/>
          <w:spacing w:val="8"/>
          <w:sz w:val="25"/>
          <w:szCs w:val="25"/>
        </w:rPr>
        <w:t>境敏感区，部分区块占用永久基本农田、</w:t>
      </w:r>
      <w:r>
        <w:rPr>
          <w:rFonts w:ascii="仿宋" w:hAnsi="仿宋" w:eastAsia="仿宋" w:cs="仿宋"/>
          <w:spacing w:val="-72"/>
          <w:sz w:val="25"/>
          <w:szCs w:val="25"/>
        </w:rPr>
        <w:t xml:space="preserve"> </w:t>
      </w:r>
      <w:r>
        <w:rPr>
          <w:rFonts w:ascii="仿宋" w:hAnsi="仿宋" w:eastAsia="仿宋" w:cs="仿宋"/>
          <w:spacing w:val="8"/>
          <w:sz w:val="25"/>
          <w:szCs w:val="25"/>
        </w:rPr>
        <w:t>国家公益林、地方</w:t>
      </w:r>
      <w:r>
        <w:rPr>
          <w:rFonts w:ascii="仿宋" w:hAnsi="仿宋" w:eastAsia="仿宋" w:cs="仿宋"/>
          <w:spacing w:val="7"/>
          <w:sz w:val="25"/>
          <w:szCs w:val="25"/>
        </w:rPr>
        <w:t>公益林等，详见表</w:t>
      </w:r>
      <w:r>
        <w:rPr>
          <w:rFonts w:ascii="仿宋" w:hAnsi="仿宋" w:eastAsia="仿宋" w:cs="仿宋"/>
          <w:sz w:val="25"/>
          <w:szCs w:val="25"/>
        </w:rPr>
        <w:t xml:space="preserve"> </w:t>
      </w:r>
      <w:r>
        <w:rPr>
          <w:rFonts w:ascii="Times New Roman" w:hAnsi="Times New Roman" w:eastAsia="Times New Roman" w:cs="Times New Roman"/>
          <w:spacing w:val="3"/>
          <w:sz w:val="25"/>
          <w:szCs w:val="25"/>
        </w:rPr>
        <w:t>1.5-1</w:t>
      </w:r>
      <w:r>
        <w:rPr>
          <w:rFonts w:ascii="仿宋" w:hAnsi="仿宋" w:eastAsia="仿宋" w:cs="仿宋"/>
          <w:spacing w:val="3"/>
          <w:sz w:val="25"/>
          <w:szCs w:val="25"/>
        </w:rPr>
        <w:t>。黔江区生态保护红线和重要环境敏感</w:t>
      </w:r>
      <w:r>
        <w:rPr>
          <w:rFonts w:ascii="仿宋" w:hAnsi="仿宋" w:eastAsia="仿宋" w:cs="仿宋"/>
          <w:spacing w:val="2"/>
          <w:sz w:val="25"/>
          <w:szCs w:val="25"/>
        </w:rPr>
        <w:t>区分布图分别见附图</w:t>
      </w:r>
      <w:r>
        <w:rPr>
          <w:rFonts w:ascii="仿宋" w:hAnsi="仿宋" w:eastAsia="仿宋" w:cs="仿宋"/>
          <w:spacing w:val="-47"/>
          <w:sz w:val="25"/>
          <w:szCs w:val="25"/>
        </w:rPr>
        <w:t xml:space="preserve"> </w:t>
      </w:r>
      <w:r>
        <w:rPr>
          <w:rFonts w:ascii="Times New Roman" w:hAnsi="Times New Roman" w:eastAsia="Times New Roman" w:cs="Times New Roman"/>
          <w:spacing w:val="2"/>
          <w:sz w:val="25"/>
          <w:szCs w:val="25"/>
        </w:rPr>
        <w:t>3-7</w:t>
      </w:r>
      <w:r>
        <w:rPr>
          <w:rFonts w:ascii="仿宋" w:hAnsi="仿宋" w:eastAsia="仿宋" w:cs="仿宋"/>
          <w:spacing w:val="2"/>
          <w:sz w:val="25"/>
          <w:szCs w:val="25"/>
        </w:rPr>
        <w:t>、附图</w:t>
      </w:r>
      <w:r>
        <w:rPr>
          <w:rFonts w:ascii="仿宋" w:hAnsi="仿宋" w:eastAsia="仿宋" w:cs="仿宋"/>
          <w:spacing w:val="-47"/>
          <w:sz w:val="25"/>
          <w:szCs w:val="25"/>
        </w:rPr>
        <w:t xml:space="preserve"> </w:t>
      </w:r>
      <w:r>
        <w:rPr>
          <w:rFonts w:ascii="Times New Roman" w:hAnsi="Times New Roman" w:eastAsia="Times New Roman" w:cs="Times New Roman"/>
          <w:spacing w:val="2"/>
          <w:sz w:val="25"/>
          <w:szCs w:val="25"/>
        </w:rPr>
        <w:t>3-10</w:t>
      </w:r>
      <w:r>
        <w:rPr>
          <w:rFonts w:ascii="Times New Roman" w:hAnsi="Times New Roman" w:eastAsia="Times New Roman" w:cs="Times New Roman"/>
          <w:sz w:val="25"/>
          <w:szCs w:val="25"/>
        </w:rPr>
        <w:t xml:space="preserve">  </w:t>
      </w:r>
      <w:r>
        <w:rPr>
          <w:rFonts w:ascii="仿宋" w:hAnsi="仿宋" w:eastAsia="仿宋" w:cs="仿宋"/>
          <w:spacing w:val="-6"/>
          <w:sz w:val="25"/>
          <w:szCs w:val="25"/>
        </w:rPr>
        <w:t>等。</w:t>
      </w:r>
    </w:p>
    <w:p w14:paraId="1D4B0852">
      <w:pPr>
        <w:spacing w:line="340" w:lineRule="auto"/>
        <w:rPr>
          <w:rFonts w:ascii="仿宋" w:hAnsi="仿宋" w:eastAsia="仿宋" w:cs="仿宋"/>
          <w:sz w:val="25"/>
          <w:szCs w:val="25"/>
        </w:rPr>
        <w:sectPr>
          <w:headerReference r:id="rId36" w:type="default"/>
          <w:footerReference r:id="rId37" w:type="default"/>
          <w:pgSz w:w="11906" w:h="16839"/>
          <w:pgMar w:top="1116" w:right="1392" w:bottom="1480" w:left="1587" w:header="683" w:footer="1318" w:gutter="0"/>
          <w:cols w:space="720" w:num="1"/>
        </w:sectPr>
      </w:pPr>
    </w:p>
    <w:p w14:paraId="2CEA486C">
      <w:pPr>
        <w:pStyle w:val="2"/>
        <w:spacing w:line="294" w:lineRule="auto"/>
      </w:pPr>
    </w:p>
    <w:p w14:paraId="54DC83C1">
      <w:pPr>
        <w:pStyle w:val="2"/>
        <w:spacing w:line="295" w:lineRule="auto"/>
      </w:pPr>
    </w:p>
    <w:p w14:paraId="7F2D4FEC">
      <w:pPr>
        <w:spacing w:before="65" w:line="231" w:lineRule="auto"/>
        <w:ind w:left="5396"/>
        <w:rPr>
          <w:rFonts w:ascii="仿宋" w:hAnsi="仿宋" w:eastAsia="仿宋" w:cs="仿宋"/>
          <w:sz w:val="20"/>
          <w:szCs w:val="20"/>
        </w:rPr>
      </w:pPr>
      <w:r>
        <w:rPr>
          <w:rFonts w:ascii="仿宋" w:hAnsi="仿宋" w:eastAsia="仿宋" w:cs="仿宋"/>
          <w:b/>
          <w:bCs/>
          <w:spacing w:val="5"/>
          <w:sz w:val="20"/>
          <w:szCs w:val="20"/>
        </w:rPr>
        <w:t>表</w:t>
      </w:r>
      <w:r>
        <w:rPr>
          <w:rFonts w:ascii="仿宋" w:hAnsi="仿宋" w:eastAsia="仿宋" w:cs="仿宋"/>
          <w:spacing w:val="-34"/>
          <w:sz w:val="20"/>
          <w:szCs w:val="20"/>
        </w:rPr>
        <w:t xml:space="preserve"> </w:t>
      </w:r>
      <w:r>
        <w:rPr>
          <w:rFonts w:ascii="Times New Roman" w:hAnsi="Times New Roman" w:eastAsia="Times New Roman" w:cs="Times New Roman"/>
          <w:b/>
          <w:bCs/>
          <w:spacing w:val="5"/>
          <w:sz w:val="20"/>
          <w:szCs w:val="20"/>
        </w:rPr>
        <w:t xml:space="preserve">1.5-1    </w:t>
      </w:r>
      <w:r>
        <w:rPr>
          <w:rFonts w:ascii="仿宋" w:hAnsi="仿宋" w:eastAsia="仿宋" w:cs="仿宋"/>
          <w:b/>
          <w:bCs/>
          <w:spacing w:val="5"/>
          <w:sz w:val="20"/>
          <w:szCs w:val="20"/>
        </w:rPr>
        <w:t>规划调整涉及的环境敏感区</w:t>
      </w:r>
    </w:p>
    <w:p w14:paraId="43A89F0E">
      <w:pPr>
        <w:spacing w:line="21" w:lineRule="exact"/>
      </w:pPr>
    </w:p>
    <w:tbl>
      <w:tblPr>
        <w:tblStyle w:val="5"/>
        <w:tblW w:w="14166"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1"/>
        <w:gridCol w:w="501"/>
        <w:gridCol w:w="1129"/>
        <w:gridCol w:w="1160"/>
        <w:gridCol w:w="1581"/>
        <w:gridCol w:w="1865"/>
        <w:gridCol w:w="1273"/>
        <w:gridCol w:w="1906"/>
        <w:gridCol w:w="1803"/>
        <w:gridCol w:w="914"/>
        <w:gridCol w:w="1523"/>
      </w:tblGrid>
      <w:tr w14:paraId="27F21D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2" w:hRule="atLeast"/>
        </w:trPr>
        <w:tc>
          <w:tcPr>
            <w:tcW w:w="511" w:type="dxa"/>
            <w:vMerge w:val="restart"/>
            <w:tcBorders>
              <w:top w:val="single" w:color="000000" w:sz="10" w:space="0"/>
              <w:left w:val="single" w:color="000000" w:sz="10" w:space="0"/>
              <w:bottom w:val="nil"/>
            </w:tcBorders>
            <w:textDirection w:val="tbRlV"/>
            <w:vAlign w:val="top"/>
          </w:tcPr>
          <w:p w14:paraId="0E9517AF">
            <w:pPr>
              <w:pStyle w:val="6"/>
              <w:spacing w:before="158" w:line="210" w:lineRule="auto"/>
              <w:ind w:left="527"/>
              <w:rPr>
                <w:sz w:val="19"/>
                <w:szCs w:val="19"/>
              </w:rPr>
            </w:pPr>
            <w:r>
              <w:rPr>
                <w:spacing w:val="13"/>
                <w:sz w:val="19"/>
                <w:szCs w:val="19"/>
              </w:rPr>
              <w:t>序</w:t>
            </w:r>
            <w:r>
              <w:rPr>
                <w:spacing w:val="-40"/>
                <w:sz w:val="19"/>
                <w:szCs w:val="19"/>
              </w:rPr>
              <w:t xml:space="preserve"> </w:t>
            </w:r>
            <w:r>
              <w:rPr>
                <w:spacing w:val="13"/>
                <w:sz w:val="19"/>
                <w:szCs w:val="19"/>
              </w:rPr>
              <w:t>号</w:t>
            </w:r>
          </w:p>
        </w:tc>
        <w:tc>
          <w:tcPr>
            <w:tcW w:w="501" w:type="dxa"/>
            <w:vMerge w:val="restart"/>
            <w:tcBorders>
              <w:top w:val="single" w:color="000000" w:sz="10" w:space="0"/>
              <w:bottom w:val="nil"/>
            </w:tcBorders>
            <w:textDirection w:val="tbRlV"/>
            <w:vAlign w:val="top"/>
          </w:tcPr>
          <w:p w14:paraId="0CDA182F">
            <w:pPr>
              <w:pStyle w:val="6"/>
              <w:spacing w:before="160" w:line="209" w:lineRule="auto"/>
              <w:ind w:left="266"/>
              <w:rPr>
                <w:sz w:val="19"/>
                <w:szCs w:val="19"/>
              </w:rPr>
            </w:pPr>
            <w:r>
              <w:rPr>
                <w:spacing w:val="13"/>
                <w:sz w:val="19"/>
                <w:szCs w:val="19"/>
              </w:rPr>
              <w:t>保</w:t>
            </w:r>
            <w:r>
              <w:rPr>
                <w:spacing w:val="-39"/>
                <w:sz w:val="19"/>
                <w:szCs w:val="19"/>
              </w:rPr>
              <w:t xml:space="preserve"> </w:t>
            </w:r>
            <w:r>
              <w:rPr>
                <w:spacing w:val="13"/>
                <w:sz w:val="19"/>
                <w:szCs w:val="19"/>
              </w:rPr>
              <w:t>护</w:t>
            </w:r>
            <w:r>
              <w:rPr>
                <w:spacing w:val="-39"/>
                <w:sz w:val="19"/>
                <w:szCs w:val="19"/>
              </w:rPr>
              <w:t xml:space="preserve"> </w:t>
            </w:r>
            <w:r>
              <w:rPr>
                <w:spacing w:val="13"/>
                <w:sz w:val="19"/>
                <w:szCs w:val="19"/>
              </w:rPr>
              <w:t>类</w:t>
            </w:r>
            <w:r>
              <w:rPr>
                <w:spacing w:val="-37"/>
                <w:sz w:val="19"/>
                <w:szCs w:val="19"/>
              </w:rPr>
              <w:t xml:space="preserve"> </w:t>
            </w:r>
            <w:r>
              <w:rPr>
                <w:spacing w:val="13"/>
                <w:sz w:val="19"/>
                <w:szCs w:val="19"/>
              </w:rPr>
              <w:t>型</w:t>
            </w:r>
          </w:p>
        </w:tc>
        <w:tc>
          <w:tcPr>
            <w:tcW w:w="1129" w:type="dxa"/>
            <w:vMerge w:val="restart"/>
            <w:tcBorders>
              <w:top w:val="single" w:color="000000" w:sz="10" w:space="0"/>
              <w:bottom w:val="nil"/>
            </w:tcBorders>
            <w:vAlign w:val="top"/>
          </w:tcPr>
          <w:p w14:paraId="70E60040">
            <w:pPr>
              <w:spacing w:line="335" w:lineRule="auto"/>
              <w:rPr>
                <w:rFonts w:ascii="Arial"/>
                <w:sz w:val="21"/>
              </w:rPr>
            </w:pPr>
          </w:p>
          <w:p w14:paraId="58611105">
            <w:pPr>
              <w:pStyle w:val="6"/>
              <w:spacing w:before="62" w:line="250" w:lineRule="auto"/>
              <w:ind w:left="144" w:right="116" w:firstLine="20"/>
              <w:jc w:val="both"/>
              <w:rPr>
                <w:sz w:val="19"/>
                <w:szCs w:val="19"/>
              </w:rPr>
            </w:pPr>
            <w:r>
              <w:rPr>
                <w:spacing w:val="6"/>
                <w:sz w:val="19"/>
                <w:szCs w:val="19"/>
              </w:rPr>
              <w:t>环境保护</w:t>
            </w:r>
            <w:r>
              <w:rPr>
                <w:sz w:val="19"/>
                <w:szCs w:val="19"/>
              </w:rPr>
              <w:t xml:space="preserve"> </w:t>
            </w:r>
            <w:r>
              <w:rPr>
                <w:spacing w:val="-18"/>
                <w:sz w:val="19"/>
                <w:szCs w:val="19"/>
              </w:rPr>
              <w:t>目标（敏感</w:t>
            </w:r>
            <w:r>
              <w:rPr>
                <w:spacing w:val="2"/>
                <w:sz w:val="19"/>
                <w:szCs w:val="19"/>
              </w:rPr>
              <w:t xml:space="preserve"> </w:t>
            </w:r>
            <w:r>
              <w:rPr>
                <w:spacing w:val="11"/>
                <w:sz w:val="19"/>
                <w:szCs w:val="19"/>
              </w:rPr>
              <w:t>区）名称</w:t>
            </w:r>
          </w:p>
        </w:tc>
        <w:tc>
          <w:tcPr>
            <w:tcW w:w="1160" w:type="dxa"/>
            <w:vMerge w:val="restart"/>
            <w:tcBorders>
              <w:top w:val="single" w:color="000000" w:sz="10" w:space="0"/>
              <w:bottom w:val="nil"/>
            </w:tcBorders>
            <w:vAlign w:val="top"/>
          </w:tcPr>
          <w:p w14:paraId="33EFF123">
            <w:pPr>
              <w:spacing w:line="294" w:lineRule="auto"/>
              <w:rPr>
                <w:rFonts w:ascii="Arial"/>
                <w:sz w:val="21"/>
              </w:rPr>
            </w:pPr>
          </w:p>
          <w:p w14:paraId="7E034F6A">
            <w:pPr>
              <w:spacing w:line="295" w:lineRule="auto"/>
              <w:rPr>
                <w:rFonts w:ascii="Arial"/>
                <w:sz w:val="21"/>
              </w:rPr>
            </w:pPr>
          </w:p>
          <w:p w14:paraId="06208D33">
            <w:pPr>
              <w:pStyle w:val="6"/>
              <w:spacing w:before="62" w:line="230" w:lineRule="auto"/>
              <w:ind w:left="183"/>
              <w:rPr>
                <w:sz w:val="19"/>
                <w:szCs w:val="19"/>
              </w:rPr>
            </w:pPr>
            <w:r>
              <w:rPr>
                <w:spacing w:val="6"/>
                <w:sz w:val="19"/>
                <w:szCs w:val="19"/>
              </w:rPr>
              <w:t>保护要求</w:t>
            </w:r>
          </w:p>
        </w:tc>
        <w:tc>
          <w:tcPr>
            <w:tcW w:w="1581" w:type="dxa"/>
            <w:vMerge w:val="restart"/>
            <w:tcBorders>
              <w:top w:val="single" w:color="000000" w:sz="10" w:space="0"/>
              <w:bottom w:val="nil"/>
            </w:tcBorders>
            <w:vAlign w:val="top"/>
          </w:tcPr>
          <w:p w14:paraId="62FB9ED9">
            <w:pPr>
              <w:spacing w:line="462" w:lineRule="auto"/>
              <w:rPr>
                <w:rFonts w:ascii="Arial"/>
                <w:sz w:val="21"/>
              </w:rPr>
            </w:pPr>
          </w:p>
          <w:p w14:paraId="089B12EF">
            <w:pPr>
              <w:pStyle w:val="6"/>
              <w:spacing w:before="62" w:line="231" w:lineRule="auto"/>
              <w:ind w:left="196"/>
              <w:rPr>
                <w:sz w:val="19"/>
                <w:szCs w:val="19"/>
              </w:rPr>
            </w:pPr>
            <w:r>
              <w:rPr>
                <w:spacing w:val="7"/>
                <w:sz w:val="19"/>
                <w:szCs w:val="19"/>
              </w:rPr>
              <w:t>环境功能区划</w:t>
            </w:r>
          </w:p>
          <w:p w14:paraId="2173D55E">
            <w:pPr>
              <w:pStyle w:val="6"/>
              <w:spacing w:before="22" w:line="231" w:lineRule="auto"/>
              <w:ind w:left="601"/>
              <w:rPr>
                <w:sz w:val="19"/>
                <w:szCs w:val="19"/>
              </w:rPr>
            </w:pPr>
            <w:r>
              <w:rPr>
                <w:sz w:val="19"/>
                <w:szCs w:val="19"/>
              </w:rPr>
              <w:t>要求</w:t>
            </w:r>
          </w:p>
        </w:tc>
        <w:tc>
          <w:tcPr>
            <w:tcW w:w="5044" w:type="dxa"/>
            <w:gridSpan w:val="3"/>
            <w:tcBorders>
              <w:top w:val="single" w:color="000000" w:sz="10" w:space="0"/>
            </w:tcBorders>
            <w:vAlign w:val="top"/>
          </w:tcPr>
          <w:p w14:paraId="0DA8C689">
            <w:pPr>
              <w:pStyle w:val="6"/>
              <w:spacing w:before="134" w:line="232" w:lineRule="auto"/>
              <w:ind w:left="1636"/>
              <w:rPr>
                <w:sz w:val="19"/>
                <w:szCs w:val="19"/>
              </w:rPr>
            </w:pPr>
            <w:r>
              <w:rPr>
                <w:spacing w:val="8"/>
                <w:sz w:val="19"/>
                <w:szCs w:val="19"/>
              </w:rPr>
              <w:t>涉及的勘查规划区块</w:t>
            </w:r>
          </w:p>
        </w:tc>
        <w:tc>
          <w:tcPr>
            <w:tcW w:w="4240" w:type="dxa"/>
            <w:gridSpan w:val="3"/>
            <w:tcBorders>
              <w:top w:val="single" w:color="000000" w:sz="10" w:space="0"/>
              <w:right w:val="single" w:color="000000" w:sz="10" w:space="0"/>
            </w:tcBorders>
            <w:vAlign w:val="top"/>
          </w:tcPr>
          <w:p w14:paraId="03EEB2E2">
            <w:pPr>
              <w:pStyle w:val="6"/>
              <w:spacing w:before="134" w:line="231" w:lineRule="auto"/>
              <w:ind w:left="1234"/>
              <w:rPr>
                <w:sz w:val="19"/>
                <w:szCs w:val="19"/>
              </w:rPr>
            </w:pPr>
            <w:r>
              <w:rPr>
                <w:spacing w:val="8"/>
                <w:sz w:val="19"/>
                <w:szCs w:val="19"/>
              </w:rPr>
              <w:t>涉及的开采规划区块</w:t>
            </w:r>
          </w:p>
        </w:tc>
      </w:tr>
      <w:tr w14:paraId="326474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9" w:hRule="atLeast"/>
        </w:trPr>
        <w:tc>
          <w:tcPr>
            <w:tcW w:w="511" w:type="dxa"/>
            <w:vMerge w:val="continue"/>
            <w:tcBorders>
              <w:top w:val="nil"/>
              <w:left w:val="single" w:color="000000" w:sz="10" w:space="0"/>
            </w:tcBorders>
            <w:textDirection w:val="tbRlV"/>
            <w:vAlign w:val="top"/>
          </w:tcPr>
          <w:p w14:paraId="0073DE0B">
            <w:pPr>
              <w:rPr>
                <w:rFonts w:ascii="Arial"/>
                <w:sz w:val="21"/>
              </w:rPr>
            </w:pPr>
          </w:p>
        </w:tc>
        <w:tc>
          <w:tcPr>
            <w:tcW w:w="501" w:type="dxa"/>
            <w:vMerge w:val="continue"/>
            <w:tcBorders>
              <w:top w:val="nil"/>
            </w:tcBorders>
            <w:textDirection w:val="tbRlV"/>
            <w:vAlign w:val="top"/>
          </w:tcPr>
          <w:p w14:paraId="598FDEF5">
            <w:pPr>
              <w:rPr>
                <w:rFonts w:ascii="Arial"/>
                <w:sz w:val="21"/>
              </w:rPr>
            </w:pPr>
          </w:p>
        </w:tc>
        <w:tc>
          <w:tcPr>
            <w:tcW w:w="1129" w:type="dxa"/>
            <w:vMerge w:val="continue"/>
            <w:tcBorders>
              <w:top w:val="nil"/>
            </w:tcBorders>
            <w:vAlign w:val="top"/>
          </w:tcPr>
          <w:p w14:paraId="077CDC8E">
            <w:pPr>
              <w:rPr>
                <w:rFonts w:ascii="Arial"/>
                <w:sz w:val="21"/>
              </w:rPr>
            </w:pPr>
          </w:p>
        </w:tc>
        <w:tc>
          <w:tcPr>
            <w:tcW w:w="1160" w:type="dxa"/>
            <w:vMerge w:val="continue"/>
            <w:tcBorders>
              <w:top w:val="nil"/>
            </w:tcBorders>
            <w:vAlign w:val="top"/>
          </w:tcPr>
          <w:p w14:paraId="7008A493">
            <w:pPr>
              <w:rPr>
                <w:rFonts w:ascii="Arial"/>
                <w:sz w:val="21"/>
              </w:rPr>
            </w:pPr>
          </w:p>
        </w:tc>
        <w:tc>
          <w:tcPr>
            <w:tcW w:w="1581" w:type="dxa"/>
            <w:vMerge w:val="continue"/>
            <w:tcBorders>
              <w:top w:val="nil"/>
            </w:tcBorders>
            <w:vAlign w:val="top"/>
          </w:tcPr>
          <w:p w14:paraId="527E9F7D">
            <w:pPr>
              <w:rPr>
                <w:rFonts w:ascii="Arial"/>
                <w:sz w:val="21"/>
              </w:rPr>
            </w:pPr>
          </w:p>
        </w:tc>
        <w:tc>
          <w:tcPr>
            <w:tcW w:w="1865" w:type="dxa"/>
            <w:vAlign w:val="top"/>
          </w:tcPr>
          <w:p w14:paraId="25CB76F0">
            <w:pPr>
              <w:pStyle w:val="6"/>
              <w:spacing w:before="32" w:line="231" w:lineRule="auto"/>
              <w:ind w:left="142"/>
              <w:rPr>
                <w:sz w:val="19"/>
                <w:szCs w:val="19"/>
              </w:rPr>
            </w:pPr>
            <w:r>
              <w:rPr>
                <w:spacing w:val="8"/>
                <w:sz w:val="19"/>
                <w:szCs w:val="19"/>
              </w:rPr>
              <w:t>本次规划调整勘查</w:t>
            </w:r>
          </w:p>
          <w:p w14:paraId="1746539A">
            <w:pPr>
              <w:pStyle w:val="6"/>
              <w:spacing w:before="21" w:line="232" w:lineRule="auto"/>
              <w:ind w:left="141"/>
              <w:rPr>
                <w:sz w:val="19"/>
                <w:szCs w:val="19"/>
              </w:rPr>
            </w:pPr>
            <w:r>
              <w:rPr>
                <w:spacing w:val="8"/>
                <w:sz w:val="19"/>
                <w:szCs w:val="19"/>
              </w:rPr>
              <w:t>规划区块，重叠面</w:t>
            </w:r>
          </w:p>
          <w:p w14:paraId="4C4FB964">
            <w:pPr>
              <w:pStyle w:val="6"/>
              <w:spacing w:before="20" w:line="232" w:lineRule="auto"/>
              <w:ind w:left="184"/>
              <w:rPr>
                <w:sz w:val="19"/>
                <w:szCs w:val="19"/>
              </w:rPr>
            </w:pPr>
            <w:r>
              <w:rPr>
                <w:spacing w:val="3"/>
                <w:sz w:val="19"/>
                <w:szCs w:val="19"/>
              </w:rPr>
              <w:t>积（</w:t>
            </w:r>
            <w:r>
              <w:rPr>
                <w:rFonts w:ascii="Times New Roman" w:hAnsi="Times New Roman" w:eastAsia="Times New Roman" w:cs="Times New Roman"/>
                <w:sz w:val="19"/>
                <w:szCs w:val="19"/>
              </w:rPr>
              <w:t>km</w:t>
            </w:r>
            <w:r>
              <w:rPr>
                <w:rFonts w:ascii="Times New Roman" w:hAnsi="Times New Roman" w:eastAsia="Times New Roman" w:cs="Times New Roman"/>
                <w:spacing w:val="3"/>
                <w:position w:val="6"/>
                <w:sz w:val="12"/>
                <w:szCs w:val="12"/>
              </w:rPr>
              <w:t xml:space="preserve">2 </w:t>
            </w:r>
            <w:r>
              <w:rPr>
                <w:spacing w:val="3"/>
                <w:sz w:val="19"/>
                <w:szCs w:val="19"/>
              </w:rPr>
              <w:t>）及比例</w:t>
            </w:r>
          </w:p>
          <w:p w14:paraId="37FD44B7">
            <w:pPr>
              <w:pStyle w:val="6"/>
              <w:spacing w:before="22" w:line="211" w:lineRule="auto"/>
              <w:ind w:left="662"/>
              <w:rPr>
                <w:sz w:val="19"/>
                <w:szCs w:val="19"/>
              </w:rPr>
            </w:pPr>
            <w:r>
              <w:rPr>
                <w:spacing w:val="-1"/>
                <w:sz w:val="19"/>
                <w:szCs w:val="19"/>
              </w:rPr>
              <w:t>（</w:t>
            </w:r>
            <w:r>
              <w:rPr>
                <w:rFonts w:ascii="Times New Roman" w:hAnsi="Times New Roman" w:eastAsia="Times New Roman" w:cs="Times New Roman"/>
                <w:spacing w:val="-1"/>
                <w:sz w:val="19"/>
                <w:szCs w:val="19"/>
              </w:rPr>
              <w:t>%</w:t>
            </w:r>
            <w:r>
              <w:rPr>
                <w:spacing w:val="-1"/>
                <w:sz w:val="19"/>
                <w:szCs w:val="19"/>
              </w:rPr>
              <w:t>）</w:t>
            </w:r>
          </w:p>
        </w:tc>
        <w:tc>
          <w:tcPr>
            <w:tcW w:w="1273" w:type="dxa"/>
            <w:vAlign w:val="top"/>
          </w:tcPr>
          <w:p w14:paraId="7C6526B7">
            <w:pPr>
              <w:pStyle w:val="6"/>
              <w:spacing w:before="290" w:line="233" w:lineRule="auto"/>
              <w:ind w:left="145"/>
              <w:rPr>
                <w:sz w:val="19"/>
                <w:szCs w:val="19"/>
              </w:rPr>
            </w:pPr>
            <w:r>
              <w:rPr>
                <w:spacing w:val="7"/>
                <w:sz w:val="19"/>
                <w:szCs w:val="19"/>
              </w:rPr>
              <w:t>设置类型及</w:t>
            </w:r>
          </w:p>
          <w:p w14:paraId="21E36FE9">
            <w:pPr>
              <w:pStyle w:val="6"/>
              <w:spacing w:before="19" w:line="230" w:lineRule="auto"/>
              <w:ind w:left="446"/>
              <w:rPr>
                <w:sz w:val="19"/>
                <w:szCs w:val="19"/>
              </w:rPr>
            </w:pPr>
            <w:r>
              <w:rPr>
                <w:spacing w:val="2"/>
                <w:sz w:val="19"/>
                <w:szCs w:val="19"/>
              </w:rPr>
              <w:t>矿种</w:t>
            </w:r>
          </w:p>
        </w:tc>
        <w:tc>
          <w:tcPr>
            <w:tcW w:w="1906" w:type="dxa"/>
            <w:vAlign w:val="top"/>
          </w:tcPr>
          <w:p w14:paraId="77E04D3A">
            <w:pPr>
              <w:pStyle w:val="6"/>
              <w:spacing w:before="161" w:line="231" w:lineRule="auto"/>
              <w:ind w:left="170"/>
              <w:rPr>
                <w:sz w:val="19"/>
                <w:szCs w:val="19"/>
              </w:rPr>
            </w:pPr>
            <w:r>
              <w:rPr>
                <w:spacing w:val="7"/>
                <w:sz w:val="19"/>
                <w:szCs w:val="19"/>
              </w:rPr>
              <w:t>原规划开采区块重</w:t>
            </w:r>
          </w:p>
          <w:p w14:paraId="60468439">
            <w:pPr>
              <w:pStyle w:val="6"/>
              <w:spacing w:before="21" w:line="232" w:lineRule="auto"/>
              <w:ind w:left="127"/>
              <w:rPr>
                <w:sz w:val="19"/>
                <w:szCs w:val="19"/>
              </w:rPr>
            </w:pPr>
            <w:r>
              <w:rPr>
                <w:spacing w:val="1"/>
                <w:sz w:val="19"/>
                <w:szCs w:val="19"/>
              </w:rPr>
              <w:t>叠面积（</w:t>
            </w:r>
            <w:r>
              <w:rPr>
                <w:rFonts w:ascii="Times New Roman" w:hAnsi="Times New Roman" w:eastAsia="Times New Roman" w:cs="Times New Roman"/>
                <w:sz w:val="19"/>
                <w:szCs w:val="19"/>
              </w:rPr>
              <w:t>km</w:t>
            </w:r>
            <w:r>
              <w:rPr>
                <w:rFonts w:ascii="Times New Roman" w:hAnsi="Times New Roman" w:eastAsia="Times New Roman" w:cs="Times New Roman"/>
                <w:spacing w:val="1"/>
                <w:position w:val="6"/>
                <w:sz w:val="12"/>
                <w:szCs w:val="12"/>
              </w:rPr>
              <w:t xml:space="preserve">2 </w:t>
            </w:r>
            <w:r>
              <w:rPr>
                <w:spacing w:val="1"/>
                <w:sz w:val="19"/>
                <w:szCs w:val="19"/>
              </w:rPr>
              <w:t>）及比</w:t>
            </w:r>
          </w:p>
          <w:p w14:paraId="162F84C2">
            <w:pPr>
              <w:pStyle w:val="6"/>
              <w:spacing w:before="20" w:line="232" w:lineRule="auto"/>
              <w:ind w:left="583"/>
              <w:rPr>
                <w:sz w:val="19"/>
                <w:szCs w:val="19"/>
              </w:rPr>
            </w:pPr>
            <w:r>
              <w:rPr>
                <w:spacing w:val="3"/>
                <w:sz w:val="19"/>
                <w:szCs w:val="19"/>
              </w:rPr>
              <w:t>例（</w:t>
            </w:r>
            <w:r>
              <w:rPr>
                <w:rFonts w:ascii="Times New Roman" w:hAnsi="Times New Roman" w:eastAsia="Times New Roman" w:cs="Times New Roman"/>
                <w:spacing w:val="3"/>
                <w:sz w:val="19"/>
                <w:szCs w:val="19"/>
              </w:rPr>
              <w:t>%</w:t>
            </w:r>
            <w:r>
              <w:rPr>
                <w:spacing w:val="3"/>
                <w:sz w:val="19"/>
                <w:szCs w:val="19"/>
              </w:rPr>
              <w:t>）</w:t>
            </w:r>
          </w:p>
        </w:tc>
        <w:tc>
          <w:tcPr>
            <w:tcW w:w="1803" w:type="dxa"/>
            <w:vAlign w:val="top"/>
          </w:tcPr>
          <w:p w14:paraId="4871A22F">
            <w:pPr>
              <w:pStyle w:val="6"/>
              <w:spacing w:before="32" w:line="231" w:lineRule="auto"/>
              <w:ind w:left="220"/>
              <w:rPr>
                <w:sz w:val="19"/>
                <w:szCs w:val="19"/>
              </w:rPr>
            </w:pPr>
            <w:r>
              <w:rPr>
                <w:spacing w:val="7"/>
                <w:sz w:val="19"/>
                <w:szCs w:val="19"/>
              </w:rPr>
              <w:t>本次规划调整开</w:t>
            </w:r>
          </w:p>
          <w:p w14:paraId="7771A59C">
            <w:pPr>
              <w:pStyle w:val="6"/>
              <w:spacing w:before="21" w:line="231" w:lineRule="auto"/>
              <w:ind w:left="124"/>
              <w:rPr>
                <w:sz w:val="19"/>
                <w:szCs w:val="19"/>
              </w:rPr>
            </w:pPr>
            <w:r>
              <w:rPr>
                <w:spacing w:val="6"/>
                <w:sz w:val="19"/>
                <w:szCs w:val="19"/>
              </w:rPr>
              <w:t>采规划区块，重叠</w:t>
            </w:r>
          </w:p>
          <w:p w14:paraId="25BB35F8">
            <w:pPr>
              <w:pStyle w:val="6"/>
              <w:spacing w:before="21" w:line="232" w:lineRule="auto"/>
              <w:ind w:left="163"/>
              <w:rPr>
                <w:sz w:val="19"/>
                <w:szCs w:val="19"/>
              </w:rPr>
            </w:pPr>
            <w:r>
              <w:rPr>
                <w:spacing w:val="3"/>
                <w:sz w:val="19"/>
                <w:szCs w:val="19"/>
              </w:rPr>
              <w:t>面积（</w:t>
            </w:r>
            <w:r>
              <w:rPr>
                <w:rFonts w:ascii="Times New Roman" w:hAnsi="Times New Roman" w:eastAsia="Times New Roman" w:cs="Times New Roman"/>
                <w:sz w:val="19"/>
                <w:szCs w:val="19"/>
              </w:rPr>
              <w:t>km</w:t>
            </w:r>
            <w:r>
              <w:rPr>
                <w:rFonts w:ascii="Times New Roman" w:hAnsi="Times New Roman" w:eastAsia="Times New Roman" w:cs="Times New Roman"/>
                <w:spacing w:val="3"/>
                <w:position w:val="6"/>
                <w:sz w:val="12"/>
                <w:szCs w:val="12"/>
              </w:rPr>
              <w:t xml:space="preserve">2 </w:t>
            </w:r>
            <w:r>
              <w:rPr>
                <w:spacing w:val="3"/>
                <w:sz w:val="19"/>
                <w:szCs w:val="19"/>
              </w:rPr>
              <w:t>）及比</w:t>
            </w:r>
          </w:p>
          <w:p w14:paraId="0384EEDE">
            <w:pPr>
              <w:pStyle w:val="6"/>
              <w:spacing w:before="22" w:line="211" w:lineRule="auto"/>
              <w:ind w:left="535"/>
              <w:rPr>
                <w:sz w:val="19"/>
                <w:szCs w:val="19"/>
              </w:rPr>
            </w:pPr>
            <w:r>
              <w:rPr>
                <w:spacing w:val="3"/>
                <w:sz w:val="19"/>
                <w:szCs w:val="19"/>
              </w:rPr>
              <w:t>例（</w:t>
            </w:r>
            <w:r>
              <w:rPr>
                <w:rFonts w:ascii="Times New Roman" w:hAnsi="Times New Roman" w:eastAsia="Times New Roman" w:cs="Times New Roman"/>
                <w:spacing w:val="3"/>
                <w:sz w:val="19"/>
                <w:szCs w:val="19"/>
              </w:rPr>
              <w:t>%</w:t>
            </w:r>
            <w:r>
              <w:rPr>
                <w:spacing w:val="3"/>
                <w:sz w:val="19"/>
                <w:szCs w:val="19"/>
              </w:rPr>
              <w:t>）</w:t>
            </w:r>
          </w:p>
        </w:tc>
        <w:tc>
          <w:tcPr>
            <w:tcW w:w="914" w:type="dxa"/>
            <w:vAlign w:val="top"/>
          </w:tcPr>
          <w:p w14:paraId="699BFF7B">
            <w:pPr>
              <w:pStyle w:val="6"/>
              <w:spacing w:before="161" w:line="233" w:lineRule="auto"/>
              <w:ind w:left="177"/>
              <w:rPr>
                <w:sz w:val="19"/>
                <w:szCs w:val="19"/>
              </w:rPr>
            </w:pPr>
            <w:r>
              <w:rPr>
                <w:spacing w:val="5"/>
                <w:sz w:val="19"/>
                <w:szCs w:val="19"/>
              </w:rPr>
              <w:t>设置类</w:t>
            </w:r>
          </w:p>
          <w:p w14:paraId="36F13C09">
            <w:pPr>
              <w:pStyle w:val="6"/>
              <w:spacing w:before="20" w:line="251" w:lineRule="auto"/>
              <w:ind w:left="378" w:right="146" w:hanging="191"/>
              <w:rPr>
                <w:sz w:val="19"/>
                <w:szCs w:val="19"/>
              </w:rPr>
            </w:pPr>
            <w:r>
              <w:rPr>
                <w:spacing w:val="1"/>
                <w:sz w:val="19"/>
                <w:szCs w:val="19"/>
              </w:rPr>
              <w:t>型及矿</w:t>
            </w:r>
            <w:r>
              <w:rPr>
                <w:sz w:val="19"/>
                <w:szCs w:val="19"/>
              </w:rPr>
              <w:t xml:space="preserve"> 种</w:t>
            </w:r>
          </w:p>
        </w:tc>
        <w:tc>
          <w:tcPr>
            <w:tcW w:w="1523" w:type="dxa"/>
            <w:tcBorders>
              <w:right w:val="single" w:color="000000" w:sz="10" w:space="0"/>
            </w:tcBorders>
            <w:vAlign w:val="top"/>
          </w:tcPr>
          <w:p w14:paraId="1AA51FC1">
            <w:pPr>
              <w:pStyle w:val="6"/>
              <w:spacing w:before="32" w:line="252" w:lineRule="auto"/>
              <w:ind w:left="134" w:right="97" w:firstLine="45"/>
              <w:rPr>
                <w:sz w:val="19"/>
                <w:szCs w:val="19"/>
              </w:rPr>
            </w:pPr>
            <w:r>
              <w:rPr>
                <w:spacing w:val="7"/>
                <w:sz w:val="19"/>
                <w:szCs w:val="19"/>
              </w:rPr>
              <w:t>原规划开采区</w:t>
            </w:r>
            <w:r>
              <w:rPr>
                <w:sz w:val="19"/>
                <w:szCs w:val="19"/>
              </w:rPr>
              <w:t xml:space="preserve"> </w:t>
            </w:r>
            <w:r>
              <w:rPr>
                <w:spacing w:val="35"/>
                <w:sz w:val="19"/>
                <w:szCs w:val="19"/>
              </w:rPr>
              <w:t>块重叠面积</w:t>
            </w:r>
            <w:r>
              <w:rPr>
                <w:sz w:val="19"/>
                <w:szCs w:val="19"/>
              </w:rPr>
              <w:t xml:space="preserve">  </w:t>
            </w:r>
            <w:r>
              <w:rPr>
                <w:spacing w:val="-1"/>
                <w:sz w:val="19"/>
                <w:szCs w:val="19"/>
              </w:rPr>
              <w:t>（</w:t>
            </w:r>
            <w:r>
              <w:rPr>
                <w:rFonts w:ascii="Times New Roman" w:hAnsi="Times New Roman" w:eastAsia="Times New Roman" w:cs="Times New Roman"/>
                <w:spacing w:val="-1"/>
                <w:sz w:val="19"/>
                <w:szCs w:val="19"/>
              </w:rPr>
              <w:t>km</w:t>
            </w:r>
            <w:r>
              <w:rPr>
                <w:rFonts w:ascii="Times New Roman" w:hAnsi="Times New Roman" w:eastAsia="Times New Roman" w:cs="Times New Roman"/>
                <w:spacing w:val="-1"/>
                <w:position w:val="6"/>
                <w:sz w:val="12"/>
                <w:szCs w:val="12"/>
              </w:rPr>
              <w:t xml:space="preserve">2 </w:t>
            </w:r>
            <w:r>
              <w:rPr>
                <w:spacing w:val="-1"/>
                <w:sz w:val="19"/>
                <w:szCs w:val="19"/>
              </w:rPr>
              <w:t>）及比例</w:t>
            </w:r>
          </w:p>
          <w:p w14:paraId="7A894287">
            <w:pPr>
              <w:pStyle w:val="6"/>
              <w:spacing w:before="1" w:line="211" w:lineRule="auto"/>
              <w:ind w:left="497"/>
              <w:rPr>
                <w:sz w:val="19"/>
                <w:szCs w:val="19"/>
              </w:rPr>
            </w:pPr>
            <w:r>
              <w:rPr>
                <w:sz w:val="19"/>
                <w:szCs w:val="19"/>
              </w:rPr>
              <w:t>（</w:t>
            </w:r>
            <w:r>
              <w:rPr>
                <w:rFonts w:ascii="Times New Roman" w:hAnsi="Times New Roman" w:eastAsia="Times New Roman" w:cs="Times New Roman"/>
                <w:sz w:val="19"/>
                <w:szCs w:val="19"/>
              </w:rPr>
              <w:t>%</w:t>
            </w:r>
            <w:r>
              <w:rPr>
                <w:sz w:val="19"/>
                <w:szCs w:val="19"/>
              </w:rPr>
              <w:t>）</w:t>
            </w:r>
          </w:p>
        </w:tc>
      </w:tr>
      <w:tr w14:paraId="55689B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8" w:hRule="atLeast"/>
        </w:trPr>
        <w:tc>
          <w:tcPr>
            <w:tcW w:w="511" w:type="dxa"/>
            <w:vMerge w:val="restart"/>
            <w:tcBorders>
              <w:left w:val="single" w:color="000000" w:sz="10" w:space="0"/>
              <w:bottom w:val="nil"/>
            </w:tcBorders>
            <w:vAlign w:val="top"/>
          </w:tcPr>
          <w:p w14:paraId="6C1B2BE8">
            <w:pPr>
              <w:spacing w:line="307" w:lineRule="auto"/>
              <w:rPr>
                <w:rFonts w:ascii="Arial"/>
                <w:sz w:val="21"/>
              </w:rPr>
            </w:pPr>
          </w:p>
          <w:p w14:paraId="567C2E43">
            <w:pPr>
              <w:spacing w:line="307" w:lineRule="auto"/>
              <w:rPr>
                <w:rFonts w:ascii="Arial"/>
                <w:sz w:val="21"/>
              </w:rPr>
            </w:pPr>
          </w:p>
          <w:p w14:paraId="359EF70B">
            <w:pPr>
              <w:spacing w:line="308" w:lineRule="auto"/>
              <w:rPr>
                <w:rFonts w:ascii="Arial"/>
                <w:sz w:val="21"/>
              </w:rPr>
            </w:pPr>
          </w:p>
          <w:p w14:paraId="12330CBD">
            <w:pPr>
              <w:spacing w:before="55" w:line="195" w:lineRule="auto"/>
              <w:ind w:left="211"/>
              <w:rPr>
                <w:rFonts w:ascii="Times New Roman" w:hAnsi="Times New Roman" w:eastAsia="Times New Roman" w:cs="Times New Roman"/>
                <w:sz w:val="19"/>
                <w:szCs w:val="19"/>
              </w:rPr>
            </w:pPr>
            <w:r>
              <w:rPr>
                <w:rFonts w:ascii="Times New Roman" w:hAnsi="Times New Roman" w:eastAsia="Times New Roman" w:cs="Times New Roman"/>
                <w:sz w:val="19"/>
                <w:szCs w:val="19"/>
              </w:rPr>
              <w:t>1</w:t>
            </w:r>
          </w:p>
        </w:tc>
        <w:tc>
          <w:tcPr>
            <w:tcW w:w="501" w:type="dxa"/>
            <w:vMerge w:val="restart"/>
            <w:tcBorders>
              <w:bottom w:val="nil"/>
            </w:tcBorders>
            <w:textDirection w:val="tbRlV"/>
            <w:vAlign w:val="top"/>
          </w:tcPr>
          <w:p w14:paraId="631DF7C9">
            <w:pPr>
              <w:pStyle w:val="6"/>
              <w:spacing w:before="160" w:line="210" w:lineRule="auto"/>
              <w:ind w:left="689"/>
              <w:rPr>
                <w:sz w:val="19"/>
                <w:szCs w:val="19"/>
              </w:rPr>
            </w:pPr>
            <w:r>
              <w:rPr>
                <w:spacing w:val="13"/>
                <w:sz w:val="19"/>
                <w:szCs w:val="19"/>
              </w:rPr>
              <w:t>公</w:t>
            </w:r>
            <w:r>
              <w:rPr>
                <w:spacing w:val="-39"/>
                <w:sz w:val="19"/>
                <w:szCs w:val="19"/>
              </w:rPr>
              <w:t xml:space="preserve"> </w:t>
            </w:r>
            <w:r>
              <w:rPr>
                <w:spacing w:val="13"/>
                <w:sz w:val="19"/>
                <w:szCs w:val="19"/>
              </w:rPr>
              <w:t>益</w:t>
            </w:r>
            <w:r>
              <w:rPr>
                <w:spacing w:val="-40"/>
                <w:sz w:val="19"/>
                <w:szCs w:val="19"/>
              </w:rPr>
              <w:t xml:space="preserve"> </w:t>
            </w:r>
            <w:r>
              <w:rPr>
                <w:spacing w:val="13"/>
                <w:sz w:val="19"/>
                <w:szCs w:val="19"/>
              </w:rPr>
              <w:t>林</w:t>
            </w:r>
          </w:p>
        </w:tc>
        <w:tc>
          <w:tcPr>
            <w:tcW w:w="1129" w:type="dxa"/>
            <w:vAlign w:val="top"/>
          </w:tcPr>
          <w:p w14:paraId="64564DE7">
            <w:pPr>
              <w:pStyle w:val="6"/>
              <w:spacing w:before="295" w:line="232" w:lineRule="auto"/>
              <w:ind w:left="170"/>
              <w:rPr>
                <w:sz w:val="19"/>
                <w:szCs w:val="19"/>
              </w:rPr>
            </w:pPr>
            <w:r>
              <w:rPr>
                <w:spacing w:val="4"/>
                <w:sz w:val="19"/>
                <w:szCs w:val="19"/>
              </w:rPr>
              <w:t>二级国家</w:t>
            </w:r>
          </w:p>
          <w:p w14:paraId="62C4F251">
            <w:pPr>
              <w:pStyle w:val="6"/>
              <w:spacing w:before="20" w:line="231" w:lineRule="auto"/>
              <w:ind w:left="166"/>
              <w:rPr>
                <w:sz w:val="19"/>
                <w:szCs w:val="19"/>
              </w:rPr>
            </w:pPr>
            <w:r>
              <w:rPr>
                <w:spacing w:val="5"/>
                <w:sz w:val="19"/>
                <w:szCs w:val="19"/>
              </w:rPr>
              <w:t>级公益林</w:t>
            </w:r>
          </w:p>
        </w:tc>
        <w:tc>
          <w:tcPr>
            <w:tcW w:w="1160" w:type="dxa"/>
            <w:vAlign w:val="top"/>
          </w:tcPr>
          <w:p w14:paraId="4EAB9D38">
            <w:pPr>
              <w:pStyle w:val="6"/>
              <w:spacing w:before="36" w:line="234" w:lineRule="auto"/>
              <w:ind w:left="182"/>
              <w:rPr>
                <w:sz w:val="19"/>
                <w:szCs w:val="19"/>
              </w:rPr>
            </w:pPr>
            <w:r>
              <w:rPr>
                <w:spacing w:val="6"/>
                <w:sz w:val="19"/>
                <w:szCs w:val="19"/>
              </w:rPr>
              <w:t>应当不占</w:t>
            </w:r>
          </w:p>
          <w:p w14:paraId="687EB71F">
            <w:pPr>
              <w:pStyle w:val="6"/>
              <w:spacing w:before="18" w:line="232" w:lineRule="auto"/>
              <w:ind w:left="185"/>
              <w:rPr>
                <w:sz w:val="19"/>
                <w:szCs w:val="19"/>
              </w:rPr>
            </w:pPr>
            <w:r>
              <w:rPr>
                <w:spacing w:val="5"/>
                <w:sz w:val="19"/>
                <w:szCs w:val="19"/>
              </w:rPr>
              <w:t>或者少占</w:t>
            </w:r>
          </w:p>
          <w:p w14:paraId="3FB7F8AB">
            <w:pPr>
              <w:pStyle w:val="6"/>
              <w:spacing w:before="20" w:line="231" w:lineRule="auto"/>
              <w:ind w:left="186"/>
              <w:rPr>
                <w:sz w:val="19"/>
                <w:szCs w:val="19"/>
              </w:rPr>
            </w:pPr>
            <w:r>
              <w:rPr>
                <w:spacing w:val="5"/>
                <w:sz w:val="19"/>
                <w:szCs w:val="19"/>
              </w:rPr>
              <w:t>公益林林</w:t>
            </w:r>
          </w:p>
          <w:p w14:paraId="057B2044">
            <w:pPr>
              <w:pStyle w:val="6"/>
              <w:spacing w:before="20" w:line="208" w:lineRule="auto"/>
              <w:ind w:left="483"/>
              <w:rPr>
                <w:sz w:val="19"/>
                <w:szCs w:val="19"/>
              </w:rPr>
            </w:pPr>
            <w:r>
              <w:rPr>
                <w:sz w:val="19"/>
                <w:szCs w:val="19"/>
              </w:rPr>
              <w:t>地</w:t>
            </w:r>
          </w:p>
        </w:tc>
        <w:tc>
          <w:tcPr>
            <w:tcW w:w="1581" w:type="dxa"/>
            <w:vAlign w:val="top"/>
          </w:tcPr>
          <w:p w14:paraId="72FEDA05">
            <w:pPr>
              <w:pStyle w:val="6"/>
              <w:spacing w:before="296" w:line="231" w:lineRule="auto"/>
              <w:ind w:left="197"/>
              <w:rPr>
                <w:sz w:val="19"/>
                <w:szCs w:val="19"/>
              </w:rPr>
            </w:pPr>
            <w:r>
              <w:rPr>
                <w:spacing w:val="7"/>
                <w:sz w:val="19"/>
                <w:szCs w:val="19"/>
              </w:rPr>
              <w:t>满足国家公益</w:t>
            </w:r>
          </w:p>
          <w:p w14:paraId="5444F2DF">
            <w:pPr>
              <w:pStyle w:val="6"/>
              <w:spacing w:before="21" w:line="231" w:lineRule="auto"/>
              <w:ind w:left="496"/>
              <w:rPr>
                <w:sz w:val="19"/>
                <w:szCs w:val="19"/>
              </w:rPr>
            </w:pPr>
            <w:r>
              <w:rPr>
                <w:spacing w:val="5"/>
                <w:sz w:val="19"/>
                <w:szCs w:val="19"/>
              </w:rPr>
              <w:t>林要求</w:t>
            </w:r>
          </w:p>
        </w:tc>
        <w:tc>
          <w:tcPr>
            <w:tcW w:w="1865" w:type="dxa"/>
            <w:vAlign w:val="top"/>
          </w:tcPr>
          <w:p w14:paraId="364BDEE9">
            <w:pPr>
              <w:spacing w:line="266" w:lineRule="auto"/>
              <w:rPr>
                <w:rFonts w:ascii="Arial"/>
                <w:sz w:val="21"/>
              </w:rPr>
            </w:pPr>
          </w:p>
          <w:p w14:paraId="6B5A06E4">
            <w:pPr>
              <w:pStyle w:val="6"/>
              <w:spacing w:before="62" w:line="188" w:lineRule="auto"/>
              <w:ind w:left="537"/>
              <w:rPr>
                <w:sz w:val="19"/>
                <w:szCs w:val="19"/>
              </w:rPr>
            </w:pPr>
            <w:r>
              <w:rPr>
                <w:rFonts w:ascii="Times New Roman" w:hAnsi="Times New Roman" w:eastAsia="Times New Roman" w:cs="Times New Roman"/>
                <w:sz w:val="19"/>
                <w:szCs w:val="19"/>
              </w:rPr>
              <w:t>KQ</w:t>
            </w:r>
            <w:r>
              <w:rPr>
                <w:rFonts w:ascii="Times New Roman" w:hAnsi="Times New Roman" w:eastAsia="Times New Roman" w:cs="Times New Roman"/>
                <w:spacing w:val="6"/>
                <w:sz w:val="19"/>
                <w:szCs w:val="19"/>
              </w:rPr>
              <w:t>004</w:t>
            </w:r>
            <w:r>
              <w:rPr>
                <w:spacing w:val="6"/>
                <w:sz w:val="19"/>
                <w:szCs w:val="19"/>
              </w:rPr>
              <w:t>，</w:t>
            </w:r>
          </w:p>
          <w:p w14:paraId="38F4857E">
            <w:pPr>
              <w:pStyle w:val="6"/>
              <w:spacing w:before="46" w:line="206" w:lineRule="auto"/>
              <w:ind w:left="137"/>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2.7963</w:t>
            </w:r>
            <w:r>
              <w:rPr>
                <w:rFonts w:ascii="Times New Roman" w:hAnsi="Times New Roman" w:eastAsia="Times New Roman" w:cs="Times New Roman"/>
                <w:sz w:val="19"/>
                <w:szCs w:val="19"/>
              </w:rPr>
              <w:t>km</w:t>
            </w:r>
            <w:r>
              <w:rPr>
                <w:rFonts w:ascii="Times New Roman" w:hAnsi="Times New Roman" w:eastAsia="Times New Roman" w:cs="Times New Roman"/>
                <w:spacing w:val="3"/>
                <w:position w:val="6"/>
                <w:sz w:val="12"/>
                <w:szCs w:val="12"/>
              </w:rPr>
              <w:t xml:space="preserve">2 </w:t>
            </w:r>
            <w:r>
              <w:rPr>
                <w:spacing w:val="3"/>
                <w:sz w:val="19"/>
                <w:szCs w:val="19"/>
              </w:rPr>
              <w:t>，</w:t>
            </w:r>
            <w:r>
              <w:rPr>
                <w:rFonts w:ascii="Times New Roman" w:hAnsi="Times New Roman" w:eastAsia="Times New Roman" w:cs="Times New Roman"/>
                <w:spacing w:val="3"/>
                <w:sz w:val="19"/>
                <w:szCs w:val="19"/>
              </w:rPr>
              <w:t>16.2%</w:t>
            </w:r>
          </w:p>
        </w:tc>
        <w:tc>
          <w:tcPr>
            <w:tcW w:w="1273" w:type="dxa"/>
            <w:vAlign w:val="top"/>
          </w:tcPr>
          <w:p w14:paraId="6A5B0821">
            <w:pPr>
              <w:pStyle w:val="6"/>
              <w:spacing w:before="295" w:line="233" w:lineRule="auto"/>
              <w:ind w:left="146"/>
              <w:rPr>
                <w:sz w:val="19"/>
                <w:szCs w:val="19"/>
              </w:rPr>
            </w:pPr>
            <w:r>
              <w:rPr>
                <w:spacing w:val="7"/>
                <w:sz w:val="19"/>
                <w:szCs w:val="19"/>
              </w:rPr>
              <w:t>调整，铝土</w:t>
            </w:r>
          </w:p>
          <w:p w14:paraId="754F9B19">
            <w:pPr>
              <w:pStyle w:val="6"/>
              <w:spacing w:before="19" w:line="233" w:lineRule="auto"/>
              <w:ind w:left="547"/>
              <w:rPr>
                <w:sz w:val="19"/>
                <w:szCs w:val="19"/>
              </w:rPr>
            </w:pPr>
            <w:r>
              <w:rPr>
                <w:sz w:val="19"/>
                <w:szCs w:val="19"/>
              </w:rPr>
              <w:t>矿</w:t>
            </w:r>
          </w:p>
        </w:tc>
        <w:tc>
          <w:tcPr>
            <w:tcW w:w="1906" w:type="dxa"/>
            <w:vAlign w:val="top"/>
          </w:tcPr>
          <w:p w14:paraId="33DBDD19">
            <w:pPr>
              <w:spacing w:line="266" w:lineRule="auto"/>
              <w:rPr>
                <w:rFonts w:ascii="Arial"/>
                <w:sz w:val="21"/>
              </w:rPr>
            </w:pPr>
          </w:p>
          <w:p w14:paraId="6E444539">
            <w:pPr>
              <w:pStyle w:val="6"/>
              <w:spacing w:before="62" w:line="188" w:lineRule="auto"/>
              <w:ind w:left="562"/>
              <w:rPr>
                <w:sz w:val="19"/>
                <w:szCs w:val="19"/>
              </w:rPr>
            </w:pPr>
            <w:r>
              <w:rPr>
                <w:rFonts w:ascii="Times New Roman" w:hAnsi="Times New Roman" w:eastAsia="Times New Roman" w:cs="Times New Roman"/>
                <w:sz w:val="19"/>
                <w:szCs w:val="19"/>
              </w:rPr>
              <w:t>KQ</w:t>
            </w:r>
            <w:r>
              <w:rPr>
                <w:rFonts w:ascii="Times New Roman" w:hAnsi="Times New Roman" w:eastAsia="Times New Roman" w:cs="Times New Roman"/>
                <w:spacing w:val="6"/>
                <w:sz w:val="19"/>
                <w:szCs w:val="19"/>
              </w:rPr>
              <w:t>004</w:t>
            </w:r>
            <w:r>
              <w:rPr>
                <w:spacing w:val="6"/>
                <w:sz w:val="19"/>
                <w:szCs w:val="19"/>
              </w:rPr>
              <w:t>，</w:t>
            </w:r>
          </w:p>
          <w:p w14:paraId="169BC3CA">
            <w:pPr>
              <w:pStyle w:val="6"/>
              <w:spacing w:before="46" w:line="206" w:lineRule="auto"/>
              <w:ind w:left="234"/>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1.407</w:t>
            </w:r>
            <w:r>
              <w:rPr>
                <w:rFonts w:ascii="Times New Roman" w:hAnsi="Times New Roman" w:eastAsia="Times New Roman" w:cs="Times New Roman"/>
                <w:sz w:val="19"/>
                <w:szCs w:val="19"/>
              </w:rPr>
              <w:t>km</w:t>
            </w:r>
            <w:r>
              <w:rPr>
                <w:rFonts w:ascii="Times New Roman" w:hAnsi="Times New Roman" w:eastAsia="Times New Roman" w:cs="Times New Roman"/>
                <w:spacing w:val="1"/>
                <w:position w:val="6"/>
                <w:sz w:val="12"/>
                <w:szCs w:val="12"/>
              </w:rPr>
              <w:t xml:space="preserve">2 </w:t>
            </w:r>
            <w:r>
              <w:rPr>
                <w:spacing w:val="1"/>
                <w:sz w:val="19"/>
                <w:szCs w:val="19"/>
              </w:rPr>
              <w:t>，</w:t>
            </w:r>
            <w:r>
              <w:rPr>
                <w:rFonts w:ascii="Times New Roman" w:hAnsi="Times New Roman" w:eastAsia="Times New Roman" w:cs="Times New Roman"/>
                <w:spacing w:val="1"/>
                <w:sz w:val="19"/>
                <w:szCs w:val="19"/>
              </w:rPr>
              <w:t>35.6%</w:t>
            </w:r>
          </w:p>
        </w:tc>
        <w:tc>
          <w:tcPr>
            <w:tcW w:w="1803" w:type="dxa"/>
            <w:vAlign w:val="top"/>
          </w:tcPr>
          <w:p w14:paraId="6EEF2EB4">
            <w:pPr>
              <w:spacing w:line="396" w:lineRule="auto"/>
              <w:rPr>
                <w:rFonts w:ascii="Arial"/>
                <w:sz w:val="21"/>
              </w:rPr>
            </w:pPr>
          </w:p>
          <w:p w14:paraId="0B9290B0">
            <w:pPr>
              <w:spacing w:before="55" w:line="199" w:lineRule="auto"/>
              <w:ind w:left="87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c>
          <w:tcPr>
            <w:tcW w:w="914" w:type="dxa"/>
            <w:vAlign w:val="top"/>
          </w:tcPr>
          <w:p w14:paraId="37206FF4">
            <w:pPr>
              <w:spacing w:line="396" w:lineRule="auto"/>
              <w:rPr>
                <w:rFonts w:ascii="Arial"/>
                <w:sz w:val="21"/>
              </w:rPr>
            </w:pPr>
          </w:p>
          <w:p w14:paraId="53C95B91">
            <w:pPr>
              <w:spacing w:before="55" w:line="199" w:lineRule="auto"/>
              <w:ind w:left="436"/>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c>
          <w:tcPr>
            <w:tcW w:w="1523" w:type="dxa"/>
            <w:tcBorders>
              <w:right w:val="single" w:color="000000" w:sz="10" w:space="0"/>
            </w:tcBorders>
            <w:vAlign w:val="top"/>
          </w:tcPr>
          <w:p w14:paraId="41EEF569">
            <w:pPr>
              <w:spacing w:line="396" w:lineRule="auto"/>
              <w:rPr>
                <w:rFonts w:ascii="Arial"/>
                <w:sz w:val="21"/>
              </w:rPr>
            </w:pPr>
          </w:p>
          <w:p w14:paraId="3CC3C0E9">
            <w:pPr>
              <w:spacing w:before="55" w:line="199" w:lineRule="auto"/>
              <w:ind w:left="736"/>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r>
      <w:tr w14:paraId="553374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9" w:hRule="atLeast"/>
        </w:trPr>
        <w:tc>
          <w:tcPr>
            <w:tcW w:w="511" w:type="dxa"/>
            <w:vMerge w:val="continue"/>
            <w:tcBorders>
              <w:top w:val="nil"/>
              <w:left w:val="single" w:color="000000" w:sz="10" w:space="0"/>
            </w:tcBorders>
            <w:vAlign w:val="top"/>
          </w:tcPr>
          <w:p w14:paraId="393F41A9">
            <w:pPr>
              <w:rPr>
                <w:rFonts w:ascii="Arial"/>
                <w:sz w:val="21"/>
              </w:rPr>
            </w:pPr>
          </w:p>
        </w:tc>
        <w:tc>
          <w:tcPr>
            <w:tcW w:w="501" w:type="dxa"/>
            <w:vMerge w:val="continue"/>
            <w:tcBorders>
              <w:top w:val="nil"/>
            </w:tcBorders>
            <w:textDirection w:val="tbRlV"/>
            <w:vAlign w:val="top"/>
          </w:tcPr>
          <w:p w14:paraId="449995C0">
            <w:pPr>
              <w:rPr>
                <w:rFonts w:ascii="Arial"/>
                <w:sz w:val="21"/>
              </w:rPr>
            </w:pPr>
          </w:p>
        </w:tc>
        <w:tc>
          <w:tcPr>
            <w:tcW w:w="1129" w:type="dxa"/>
            <w:vAlign w:val="top"/>
          </w:tcPr>
          <w:p w14:paraId="2A0C3AF2">
            <w:pPr>
              <w:pStyle w:val="6"/>
              <w:spacing w:before="299" w:line="233" w:lineRule="auto"/>
              <w:ind w:left="165"/>
              <w:rPr>
                <w:sz w:val="19"/>
                <w:szCs w:val="19"/>
              </w:rPr>
            </w:pPr>
            <w:r>
              <w:rPr>
                <w:spacing w:val="6"/>
                <w:sz w:val="19"/>
                <w:szCs w:val="19"/>
              </w:rPr>
              <w:t>地方公益</w:t>
            </w:r>
          </w:p>
          <w:p w14:paraId="351FAECA">
            <w:pPr>
              <w:pStyle w:val="6"/>
              <w:spacing w:before="19" w:line="231" w:lineRule="auto"/>
              <w:ind w:left="464"/>
              <w:rPr>
                <w:sz w:val="19"/>
                <w:szCs w:val="19"/>
              </w:rPr>
            </w:pPr>
            <w:r>
              <w:rPr>
                <w:sz w:val="19"/>
                <w:szCs w:val="19"/>
              </w:rPr>
              <w:t>林</w:t>
            </w:r>
          </w:p>
        </w:tc>
        <w:tc>
          <w:tcPr>
            <w:tcW w:w="1160" w:type="dxa"/>
            <w:vAlign w:val="top"/>
          </w:tcPr>
          <w:p w14:paraId="5B655EF6">
            <w:pPr>
              <w:pStyle w:val="6"/>
              <w:spacing w:before="40" w:line="234" w:lineRule="auto"/>
              <w:ind w:left="182"/>
              <w:rPr>
                <w:sz w:val="19"/>
                <w:szCs w:val="19"/>
              </w:rPr>
            </w:pPr>
            <w:r>
              <w:rPr>
                <w:spacing w:val="6"/>
                <w:sz w:val="19"/>
                <w:szCs w:val="19"/>
              </w:rPr>
              <w:t>应当不占</w:t>
            </w:r>
          </w:p>
          <w:p w14:paraId="432114DF">
            <w:pPr>
              <w:pStyle w:val="6"/>
              <w:spacing w:before="18" w:line="232" w:lineRule="auto"/>
              <w:ind w:left="185"/>
              <w:rPr>
                <w:sz w:val="19"/>
                <w:szCs w:val="19"/>
              </w:rPr>
            </w:pPr>
            <w:r>
              <w:rPr>
                <w:spacing w:val="5"/>
                <w:sz w:val="19"/>
                <w:szCs w:val="19"/>
              </w:rPr>
              <w:t>或者少占</w:t>
            </w:r>
          </w:p>
          <w:p w14:paraId="5C4D377E">
            <w:pPr>
              <w:pStyle w:val="6"/>
              <w:spacing w:before="20" w:line="231" w:lineRule="auto"/>
              <w:ind w:left="186"/>
              <w:rPr>
                <w:sz w:val="19"/>
                <w:szCs w:val="19"/>
              </w:rPr>
            </w:pPr>
            <w:r>
              <w:rPr>
                <w:spacing w:val="5"/>
                <w:sz w:val="19"/>
                <w:szCs w:val="19"/>
              </w:rPr>
              <w:t>公益林林</w:t>
            </w:r>
          </w:p>
          <w:p w14:paraId="3B8E5A22">
            <w:pPr>
              <w:pStyle w:val="6"/>
              <w:spacing w:before="23" w:line="203" w:lineRule="auto"/>
              <w:ind w:left="483"/>
              <w:rPr>
                <w:sz w:val="19"/>
                <w:szCs w:val="19"/>
              </w:rPr>
            </w:pPr>
            <w:r>
              <w:rPr>
                <w:sz w:val="19"/>
                <w:szCs w:val="19"/>
              </w:rPr>
              <w:t>地</w:t>
            </w:r>
          </w:p>
        </w:tc>
        <w:tc>
          <w:tcPr>
            <w:tcW w:w="1581" w:type="dxa"/>
            <w:vAlign w:val="top"/>
          </w:tcPr>
          <w:p w14:paraId="675BFF24">
            <w:pPr>
              <w:pStyle w:val="6"/>
              <w:spacing w:before="300" w:line="251" w:lineRule="auto"/>
              <w:ind w:left="297" w:right="195" w:hanging="100"/>
              <w:rPr>
                <w:sz w:val="19"/>
                <w:szCs w:val="19"/>
              </w:rPr>
            </w:pPr>
            <w:r>
              <w:rPr>
                <w:spacing w:val="7"/>
                <w:sz w:val="19"/>
                <w:szCs w:val="19"/>
              </w:rPr>
              <w:t>满足地方公益</w:t>
            </w:r>
            <w:r>
              <w:rPr>
                <w:sz w:val="19"/>
                <w:szCs w:val="19"/>
              </w:rPr>
              <w:t xml:space="preserve"> </w:t>
            </w:r>
            <w:r>
              <w:rPr>
                <w:spacing w:val="7"/>
                <w:sz w:val="19"/>
                <w:szCs w:val="19"/>
              </w:rPr>
              <w:t>林保护要求</w:t>
            </w:r>
          </w:p>
        </w:tc>
        <w:tc>
          <w:tcPr>
            <w:tcW w:w="1865" w:type="dxa"/>
            <w:vAlign w:val="top"/>
          </w:tcPr>
          <w:p w14:paraId="03C9D7F4">
            <w:pPr>
              <w:spacing w:line="270" w:lineRule="auto"/>
              <w:rPr>
                <w:rFonts w:ascii="Arial"/>
                <w:sz w:val="21"/>
              </w:rPr>
            </w:pPr>
          </w:p>
          <w:p w14:paraId="2A04B06D">
            <w:pPr>
              <w:pStyle w:val="6"/>
              <w:spacing w:before="61" w:line="188" w:lineRule="auto"/>
              <w:ind w:left="537"/>
              <w:rPr>
                <w:sz w:val="19"/>
                <w:szCs w:val="19"/>
              </w:rPr>
            </w:pPr>
            <w:r>
              <w:rPr>
                <w:rFonts w:ascii="Times New Roman" w:hAnsi="Times New Roman" w:eastAsia="Times New Roman" w:cs="Times New Roman"/>
                <w:sz w:val="19"/>
                <w:szCs w:val="19"/>
              </w:rPr>
              <w:t>KQ</w:t>
            </w:r>
            <w:r>
              <w:rPr>
                <w:rFonts w:ascii="Times New Roman" w:hAnsi="Times New Roman" w:eastAsia="Times New Roman" w:cs="Times New Roman"/>
                <w:spacing w:val="6"/>
                <w:sz w:val="19"/>
                <w:szCs w:val="19"/>
              </w:rPr>
              <w:t>009</w:t>
            </w:r>
            <w:r>
              <w:rPr>
                <w:spacing w:val="6"/>
                <w:sz w:val="19"/>
                <w:szCs w:val="19"/>
              </w:rPr>
              <w:t>，</w:t>
            </w:r>
          </w:p>
          <w:p w14:paraId="79F073D0">
            <w:pPr>
              <w:pStyle w:val="6"/>
              <w:spacing w:before="46" w:line="206" w:lineRule="auto"/>
              <w:ind w:left="109"/>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0.3086</w:t>
            </w:r>
            <w:r>
              <w:rPr>
                <w:rFonts w:ascii="Times New Roman" w:hAnsi="Times New Roman" w:eastAsia="Times New Roman" w:cs="Times New Roman"/>
                <w:sz w:val="19"/>
                <w:szCs w:val="19"/>
              </w:rPr>
              <w:t>km</w:t>
            </w:r>
            <w:r>
              <w:rPr>
                <w:rFonts w:ascii="Times New Roman" w:hAnsi="Times New Roman" w:eastAsia="Times New Roman" w:cs="Times New Roman"/>
                <w:spacing w:val="3"/>
                <w:position w:val="6"/>
                <w:sz w:val="12"/>
                <w:szCs w:val="12"/>
              </w:rPr>
              <w:t>2</w:t>
            </w:r>
            <w:r>
              <w:rPr>
                <w:spacing w:val="3"/>
                <w:sz w:val="19"/>
                <w:szCs w:val="19"/>
              </w:rPr>
              <w:t>，</w:t>
            </w:r>
            <w:r>
              <w:rPr>
                <w:rFonts w:ascii="Times New Roman" w:hAnsi="Times New Roman" w:eastAsia="Times New Roman" w:cs="Times New Roman"/>
                <w:spacing w:val="3"/>
                <w:sz w:val="19"/>
                <w:szCs w:val="19"/>
              </w:rPr>
              <w:t>83.36%</w:t>
            </w:r>
          </w:p>
        </w:tc>
        <w:tc>
          <w:tcPr>
            <w:tcW w:w="1273" w:type="dxa"/>
            <w:vAlign w:val="top"/>
          </w:tcPr>
          <w:p w14:paraId="5D41B120">
            <w:pPr>
              <w:pStyle w:val="6"/>
              <w:spacing w:before="298" w:line="253" w:lineRule="auto"/>
              <w:ind w:left="347" w:right="136" w:hanging="202"/>
              <w:rPr>
                <w:sz w:val="19"/>
                <w:szCs w:val="19"/>
              </w:rPr>
            </w:pPr>
            <w:r>
              <w:rPr>
                <w:spacing w:val="7"/>
                <w:sz w:val="19"/>
                <w:szCs w:val="19"/>
              </w:rPr>
              <w:t>新增，铸型</w:t>
            </w:r>
            <w:r>
              <w:rPr>
                <w:sz w:val="19"/>
                <w:szCs w:val="19"/>
              </w:rPr>
              <w:t xml:space="preserve"> </w:t>
            </w:r>
            <w:r>
              <w:rPr>
                <w:spacing w:val="5"/>
                <w:sz w:val="19"/>
                <w:szCs w:val="19"/>
              </w:rPr>
              <w:t>用砂岩</w:t>
            </w:r>
          </w:p>
        </w:tc>
        <w:tc>
          <w:tcPr>
            <w:tcW w:w="1906" w:type="dxa"/>
            <w:vAlign w:val="top"/>
          </w:tcPr>
          <w:p w14:paraId="6BF10F2B">
            <w:pPr>
              <w:spacing w:line="402" w:lineRule="auto"/>
              <w:rPr>
                <w:rFonts w:ascii="Arial"/>
                <w:sz w:val="21"/>
              </w:rPr>
            </w:pPr>
          </w:p>
          <w:p w14:paraId="3EC32521">
            <w:pPr>
              <w:spacing w:before="55" w:line="199" w:lineRule="auto"/>
              <w:ind w:left="926"/>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c>
          <w:tcPr>
            <w:tcW w:w="1803" w:type="dxa"/>
            <w:vAlign w:val="top"/>
          </w:tcPr>
          <w:p w14:paraId="1A6434B5">
            <w:pPr>
              <w:spacing w:line="402" w:lineRule="auto"/>
              <w:rPr>
                <w:rFonts w:ascii="Arial"/>
                <w:sz w:val="21"/>
              </w:rPr>
            </w:pPr>
          </w:p>
          <w:p w14:paraId="161EBD52">
            <w:pPr>
              <w:spacing w:before="55" w:line="199" w:lineRule="auto"/>
              <w:ind w:left="87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c>
          <w:tcPr>
            <w:tcW w:w="914" w:type="dxa"/>
            <w:vAlign w:val="top"/>
          </w:tcPr>
          <w:p w14:paraId="7B429428">
            <w:pPr>
              <w:spacing w:line="402" w:lineRule="auto"/>
              <w:rPr>
                <w:rFonts w:ascii="Arial"/>
                <w:sz w:val="21"/>
              </w:rPr>
            </w:pPr>
          </w:p>
          <w:p w14:paraId="44E1E5DD">
            <w:pPr>
              <w:spacing w:before="55" w:line="199" w:lineRule="auto"/>
              <w:ind w:left="436"/>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c>
          <w:tcPr>
            <w:tcW w:w="1523" w:type="dxa"/>
            <w:tcBorders>
              <w:right w:val="single" w:color="000000" w:sz="10" w:space="0"/>
            </w:tcBorders>
            <w:vAlign w:val="top"/>
          </w:tcPr>
          <w:p w14:paraId="0B06921E">
            <w:pPr>
              <w:spacing w:line="402" w:lineRule="auto"/>
              <w:rPr>
                <w:rFonts w:ascii="Arial"/>
                <w:sz w:val="21"/>
              </w:rPr>
            </w:pPr>
          </w:p>
          <w:p w14:paraId="763040A5">
            <w:pPr>
              <w:spacing w:before="55" w:line="199" w:lineRule="auto"/>
              <w:ind w:left="736"/>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r>
      <w:tr w14:paraId="7E28CD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3" w:hRule="atLeast"/>
        </w:trPr>
        <w:tc>
          <w:tcPr>
            <w:tcW w:w="511" w:type="dxa"/>
            <w:vMerge w:val="restart"/>
            <w:tcBorders>
              <w:left w:val="single" w:color="000000" w:sz="10" w:space="0"/>
              <w:bottom w:val="nil"/>
            </w:tcBorders>
            <w:vAlign w:val="top"/>
          </w:tcPr>
          <w:p w14:paraId="5DECF6B4">
            <w:pPr>
              <w:spacing w:line="253" w:lineRule="auto"/>
              <w:rPr>
                <w:rFonts w:ascii="Arial"/>
                <w:sz w:val="21"/>
              </w:rPr>
            </w:pPr>
          </w:p>
          <w:p w14:paraId="4EFCA376">
            <w:pPr>
              <w:spacing w:line="253" w:lineRule="auto"/>
              <w:rPr>
                <w:rFonts w:ascii="Arial"/>
                <w:sz w:val="21"/>
              </w:rPr>
            </w:pPr>
          </w:p>
          <w:p w14:paraId="032077B1">
            <w:pPr>
              <w:spacing w:line="254" w:lineRule="auto"/>
              <w:rPr>
                <w:rFonts w:ascii="Arial"/>
                <w:sz w:val="21"/>
              </w:rPr>
            </w:pPr>
          </w:p>
          <w:p w14:paraId="5A13E43B">
            <w:pPr>
              <w:spacing w:line="254" w:lineRule="auto"/>
              <w:rPr>
                <w:rFonts w:ascii="Arial"/>
                <w:sz w:val="21"/>
              </w:rPr>
            </w:pPr>
          </w:p>
          <w:p w14:paraId="62CDB815">
            <w:pPr>
              <w:spacing w:line="254" w:lineRule="auto"/>
              <w:rPr>
                <w:rFonts w:ascii="Arial"/>
                <w:sz w:val="21"/>
              </w:rPr>
            </w:pPr>
          </w:p>
          <w:p w14:paraId="0D4AAB89">
            <w:pPr>
              <w:spacing w:line="254" w:lineRule="auto"/>
              <w:rPr>
                <w:rFonts w:ascii="Arial"/>
                <w:sz w:val="21"/>
              </w:rPr>
            </w:pPr>
          </w:p>
          <w:p w14:paraId="0A0C305F">
            <w:pPr>
              <w:spacing w:before="55" w:line="195" w:lineRule="auto"/>
              <w:ind w:left="192"/>
              <w:rPr>
                <w:rFonts w:ascii="Times New Roman" w:hAnsi="Times New Roman" w:eastAsia="Times New Roman" w:cs="Times New Roman"/>
                <w:sz w:val="19"/>
                <w:szCs w:val="19"/>
              </w:rPr>
            </w:pPr>
            <w:r>
              <w:rPr>
                <w:rFonts w:ascii="Times New Roman" w:hAnsi="Times New Roman" w:eastAsia="Times New Roman" w:cs="Times New Roman"/>
                <w:sz w:val="19"/>
                <w:szCs w:val="19"/>
              </w:rPr>
              <w:t>2</w:t>
            </w:r>
          </w:p>
        </w:tc>
        <w:tc>
          <w:tcPr>
            <w:tcW w:w="501" w:type="dxa"/>
            <w:vMerge w:val="restart"/>
            <w:tcBorders>
              <w:bottom w:val="nil"/>
            </w:tcBorders>
            <w:textDirection w:val="tbRlV"/>
            <w:vAlign w:val="top"/>
          </w:tcPr>
          <w:p w14:paraId="3C245C52">
            <w:pPr>
              <w:pStyle w:val="6"/>
              <w:spacing w:before="160" w:line="200" w:lineRule="auto"/>
              <w:ind w:left="904"/>
              <w:rPr>
                <w:sz w:val="19"/>
                <w:szCs w:val="19"/>
              </w:rPr>
            </w:pPr>
            <w:r>
              <w:rPr>
                <w:spacing w:val="13"/>
                <w:sz w:val="19"/>
                <w:szCs w:val="19"/>
              </w:rPr>
              <w:t>永</w:t>
            </w:r>
            <w:r>
              <w:rPr>
                <w:spacing w:val="-37"/>
                <w:sz w:val="19"/>
                <w:szCs w:val="19"/>
              </w:rPr>
              <w:t xml:space="preserve"> </w:t>
            </w:r>
            <w:r>
              <w:rPr>
                <w:spacing w:val="13"/>
                <w:sz w:val="19"/>
                <w:szCs w:val="19"/>
              </w:rPr>
              <w:t>久</w:t>
            </w:r>
            <w:r>
              <w:rPr>
                <w:spacing w:val="-40"/>
                <w:sz w:val="19"/>
                <w:szCs w:val="19"/>
              </w:rPr>
              <w:t xml:space="preserve"> </w:t>
            </w:r>
            <w:r>
              <w:rPr>
                <w:spacing w:val="13"/>
                <w:sz w:val="19"/>
                <w:szCs w:val="19"/>
              </w:rPr>
              <w:t>基</w:t>
            </w:r>
            <w:r>
              <w:rPr>
                <w:spacing w:val="-39"/>
                <w:sz w:val="19"/>
                <w:szCs w:val="19"/>
              </w:rPr>
              <w:t xml:space="preserve"> </w:t>
            </w:r>
            <w:r>
              <w:rPr>
                <w:spacing w:val="13"/>
                <w:sz w:val="19"/>
                <w:szCs w:val="19"/>
              </w:rPr>
              <w:t>本</w:t>
            </w:r>
            <w:r>
              <w:rPr>
                <w:spacing w:val="-40"/>
                <w:sz w:val="19"/>
                <w:szCs w:val="19"/>
              </w:rPr>
              <w:t xml:space="preserve"> </w:t>
            </w:r>
            <w:r>
              <w:rPr>
                <w:spacing w:val="13"/>
                <w:sz w:val="19"/>
                <w:szCs w:val="19"/>
              </w:rPr>
              <w:t>农</w:t>
            </w:r>
            <w:r>
              <w:rPr>
                <w:spacing w:val="-39"/>
                <w:sz w:val="19"/>
                <w:szCs w:val="19"/>
              </w:rPr>
              <w:t xml:space="preserve"> </w:t>
            </w:r>
            <w:r>
              <w:rPr>
                <w:spacing w:val="13"/>
                <w:position w:val="1"/>
                <w:sz w:val="19"/>
                <w:szCs w:val="19"/>
              </w:rPr>
              <w:t>田</w:t>
            </w:r>
          </w:p>
        </w:tc>
        <w:tc>
          <w:tcPr>
            <w:tcW w:w="1129" w:type="dxa"/>
            <w:vMerge w:val="restart"/>
            <w:tcBorders>
              <w:bottom w:val="nil"/>
            </w:tcBorders>
            <w:vAlign w:val="top"/>
          </w:tcPr>
          <w:p w14:paraId="4496D087">
            <w:pPr>
              <w:spacing w:line="267" w:lineRule="auto"/>
              <w:rPr>
                <w:rFonts w:ascii="Arial"/>
                <w:sz w:val="21"/>
              </w:rPr>
            </w:pPr>
          </w:p>
          <w:p w14:paraId="39DC61FF">
            <w:pPr>
              <w:spacing w:line="267" w:lineRule="auto"/>
              <w:rPr>
                <w:rFonts w:ascii="Arial"/>
                <w:sz w:val="21"/>
              </w:rPr>
            </w:pPr>
          </w:p>
          <w:p w14:paraId="36C26469">
            <w:pPr>
              <w:spacing w:line="268" w:lineRule="auto"/>
              <w:rPr>
                <w:rFonts w:ascii="Arial"/>
                <w:sz w:val="21"/>
              </w:rPr>
            </w:pPr>
          </w:p>
          <w:p w14:paraId="148D298D">
            <w:pPr>
              <w:spacing w:line="268" w:lineRule="auto"/>
              <w:rPr>
                <w:rFonts w:ascii="Arial"/>
                <w:sz w:val="21"/>
              </w:rPr>
            </w:pPr>
          </w:p>
          <w:p w14:paraId="21673C5F">
            <w:pPr>
              <w:spacing w:line="268" w:lineRule="auto"/>
              <w:rPr>
                <w:rFonts w:ascii="Arial"/>
                <w:sz w:val="21"/>
              </w:rPr>
            </w:pPr>
          </w:p>
          <w:p w14:paraId="124FF4FA">
            <w:pPr>
              <w:pStyle w:val="6"/>
              <w:spacing w:before="65" w:line="251" w:lineRule="auto"/>
              <w:ind w:left="357" w:right="154" w:hanging="208"/>
              <w:rPr>
                <w:sz w:val="20"/>
                <w:szCs w:val="20"/>
              </w:rPr>
            </w:pPr>
            <w:r>
              <w:rPr>
                <w:spacing w:val="5"/>
                <w:sz w:val="20"/>
                <w:szCs w:val="20"/>
              </w:rPr>
              <w:t>永久基本</w:t>
            </w:r>
            <w:r>
              <w:rPr>
                <w:sz w:val="20"/>
                <w:szCs w:val="20"/>
              </w:rPr>
              <w:t xml:space="preserve"> </w:t>
            </w:r>
            <w:r>
              <w:rPr>
                <w:spacing w:val="1"/>
                <w:sz w:val="20"/>
                <w:szCs w:val="20"/>
              </w:rPr>
              <w:t>农田</w:t>
            </w:r>
          </w:p>
        </w:tc>
        <w:tc>
          <w:tcPr>
            <w:tcW w:w="1160" w:type="dxa"/>
            <w:vMerge w:val="restart"/>
            <w:tcBorders>
              <w:bottom w:val="nil"/>
            </w:tcBorders>
            <w:vAlign w:val="top"/>
          </w:tcPr>
          <w:p w14:paraId="1B287331">
            <w:pPr>
              <w:spacing w:line="263" w:lineRule="auto"/>
              <w:rPr>
                <w:rFonts w:ascii="Arial"/>
                <w:sz w:val="21"/>
              </w:rPr>
            </w:pPr>
          </w:p>
          <w:p w14:paraId="380C2DD6">
            <w:pPr>
              <w:spacing w:line="263" w:lineRule="auto"/>
              <w:rPr>
                <w:rFonts w:ascii="Arial"/>
                <w:sz w:val="21"/>
              </w:rPr>
            </w:pPr>
          </w:p>
          <w:p w14:paraId="1851138A">
            <w:pPr>
              <w:pStyle w:val="6"/>
              <w:spacing w:before="65" w:line="251" w:lineRule="auto"/>
              <w:ind w:left="110" w:right="46" w:firstLine="60"/>
              <w:jc w:val="both"/>
              <w:rPr>
                <w:sz w:val="20"/>
                <w:szCs w:val="20"/>
              </w:rPr>
            </w:pPr>
            <w:r>
              <w:rPr>
                <w:spacing w:val="4"/>
                <w:sz w:val="20"/>
                <w:szCs w:val="20"/>
              </w:rPr>
              <w:t>非战略性</w:t>
            </w:r>
            <w:r>
              <w:rPr>
                <w:sz w:val="20"/>
                <w:szCs w:val="20"/>
              </w:rPr>
              <w:t xml:space="preserve">  </w:t>
            </w:r>
            <w:r>
              <w:rPr>
                <w:spacing w:val="-14"/>
                <w:sz w:val="20"/>
                <w:szCs w:val="20"/>
              </w:rPr>
              <w:t>矿产，申请</w:t>
            </w:r>
            <w:r>
              <w:rPr>
                <w:sz w:val="20"/>
                <w:szCs w:val="20"/>
              </w:rPr>
              <w:t xml:space="preserve"> </w:t>
            </w:r>
            <w:r>
              <w:rPr>
                <w:spacing w:val="19"/>
                <w:sz w:val="20"/>
                <w:szCs w:val="20"/>
              </w:rPr>
              <w:t>新设矿业</w:t>
            </w:r>
            <w:r>
              <w:rPr>
                <w:sz w:val="20"/>
                <w:szCs w:val="20"/>
              </w:rPr>
              <w:t xml:space="preserve">  </w:t>
            </w:r>
            <w:r>
              <w:rPr>
                <w:spacing w:val="-14"/>
                <w:sz w:val="20"/>
                <w:szCs w:val="20"/>
              </w:rPr>
              <w:t>权，应避永</w:t>
            </w:r>
            <w:r>
              <w:rPr>
                <w:spacing w:val="1"/>
                <w:sz w:val="20"/>
                <w:szCs w:val="20"/>
              </w:rPr>
              <w:t xml:space="preserve"> </w:t>
            </w:r>
            <w:r>
              <w:rPr>
                <w:spacing w:val="19"/>
                <w:sz w:val="20"/>
                <w:szCs w:val="20"/>
              </w:rPr>
              <w:t>久基本农</w:t>
            </w:r>
            <w:r>
              <w:rPr>
                <w:sz w:val="20"/>
                <w:szCs w:val="20"/>
              </w:rPr>
              <w:t xml:space="preserve">  </w:t>
            </w:r>
            <w:r>
              <w:rPr>
                <w:spacing w:val="-1"/>
                <w:sz w:val="20"/>
                <w:szCs w:val="20"/>
              </w:rPr>
              <w:t>田（地热、</w:t>
            </w:r>
            <w:r>
              <w:rPr>
                <w:spacing w:val="1"/>
                <w:sz w:val="20"/>
                <w:szCs w:val="20"/>
              </w:rPr>
              <w:t xml:space="preserve"> </w:t>
            </w:r>
            <w:r>
              <w:rPr>
                <w:spacing w:val="19"/>
                <w:sz w:val="20"/>
                <w:szCs w:val="20"/>
              </w:rPr>
              <w:t>矿泉水除</w:t>
            </w:r>
          </w:p>
          <w:p w14:paraId="0C833633">
            <w:pPr>
              <w:pStyle w:val="6"/>
              <w:spacing w:line="231" w:lineRule="auto"/>
              <w:ind w:left="375"/>
              <w:rPr>
                <w:sz w:val="20"/>
                <w:szCs w:val="20"/>
              </w:rPr>
            </w:pPr>
            <w:r>
              <w:rPr>
                <w:spacing w:val="-4"/>
                <w:sz w:val="20"/>
                <w:szCs w:val="20"/>
              </w:rPr>
              <w:t>外）</w:t>
            </w:r>
          </w:p>
        </w:tc>
        <w:tc>
          <w:tcPr>
            <w:tcW w:w="1581" w:type="dxa"/>
            <w:vMerge w:val="restart"/>
            <w:tcBorders>
              <w:bottom w:val="nil"/>
            </w:tcBorders>
            <w:vAlign w:val="top"/>
          </w:tcPr>
          <w:p w14:paraId="1A67A204">
            <w:pPr>
              <w:spacing w:line="267" w:lineRule="auto"/>
              <w:rPr>
                <w:rFonts w:ascii="Arial"/>
                <w:sz w:val="21"/>
              </w:rPr>
            </w:pPr>
          </w:p>
          <w:p w14:paraId="516E6640">
            <w:pPr>
              <w:spacing w:line="267" w:lineRule="auto"/>
              <w:rPr>
                <w:rFonts w:ascii="Arial"/>
                <w:sz w:val="21"/>
              </w:rPr>
            </w:pPr>
          </w:p>
          <w:p w14:paraId="149BC4C7">
            <w:pPr>
              <w:spacing w:line="267" w:lineRule="auto"/>
              <w:rPr>
                <w:rFonts w:ascii="Arial"/>
                <w:sz w:val="21"/>
              </w:rPr>
            </w:pPr>
          </w:p>
          <w:p w14:paraId="4854C43F">
            <w:pPr>
              <w:spacing w:line="268" w:lineRule="auto"/>
              <w:rPr>
                <w:rFonts w:ascii="Arial"/>
                <w:sz w:val="21"/>
              </w:rPr>
            </w:pPr>
          </w:p>
          <w:p w14:paraId="4C754BAA">
            <w:pPr>
              <w:spacing w:line="268" w:lineRule="auto"/>
              <w:rPr>
                <w:rFonts w:ascii="Arial"/>
                <w:sz w:val="21"/>
              </w:rPr>
            </w:pPr>
          </w:p>
          <w:p w14:paraId="43E4DDC7">
            <w:pPr>
              <w:pStyle w:val="6"/>
              <w:spacing w:before="65" w:line="250" w:lineRule="auto"/>
              <w:ind w:left="377" w:right="163" w:hanging="208"/>
              <w:rPr>
                <w:sz w:val="20"/>
                <w:szCs w:val="20"/>
              </w:rPr>
            </w:pPr>
            <w:r>
              <w:rPr>
                <w:spacing w:val="7"/>
                <w:sz w:val="20"/>
                <w:szCs w:val="20"/>
              </w:rPr>
              <w:t>满足基本农田</w:t>
            </w:r>
            <w:r>
              <w:rPr>
                <w:sz w:val="20"/>
                <w:szCs w:val="20"/>
              </w:rPr>
              <w:t xml:space="preserve"> </w:t>
            </w:r>
            <w:r>
              <w:rPr>
                <w:spacing w:val="5"/>
                <w:sz w:val="20"/>
                <w:szCs w:val="20"/>
              </w:rPr>
              <w:t>保护要求</w:t>
            </w:r>
          </w:p>
        </w:tc>
        <w:tc>
          <w:tcPr>
            <w:tcW w:w="1865" w:type="dxa"/>
            <w:vAlign w:val="top"/>
          </w:tcPr>
          <w:p w14:paraId="7E6B719D">
            <w:pPr>
              <w:spacing w:line="285" w:lineRule="auto"/>
              <w:rPr>
                <w:rFonts w:ascii="Arial"/>
                <w:sz w:val="21"/>
              </w:rPr>
            </w:pPr>
          </w:p>
          <w:p w14:paraId="6582A377">
            <w:pPr>
              <w:spacing w:line="285" w:lineRule="auto"/>
              <w:rPr>
                <w:rFonts w:ascii="Arial"/>
                <w:sz w:val="21"/>
              </w:rPr>
            </w:pPr>
          </w:p>
          <w:p w14:paraId="603DBBA3">
            <w:pPr>
              <w:pStyle w:val="6"/>
              <w:spacing w:before="62" w:line="188" w:lineRule="auto"/>
              <w:ind w:left="537"/>
              <w:rPr>
                <w:sz w:val="19"/>
                <w:szCs w:val="19"/>
              </w:rPr>
            </w:pPr>
            <w:r>
              <w:rPr>
                <w:rFonts w:ascii="Times New Roman" w:hAnsi="Times New Roman" w:eastAsia="Times New Roman" w:cs="Times New Roman"/>
                <w:sz w:val="19"/>
                <w:szCs w:val="19"/>
              </w:rPr>
              <w:t>KQ</w:t>
            </w:r>
            <w:r>
              <w:rPr>
                <w:rFonts w:ascii="Times New Roman" w:hAnsi="Times New Roman" w:eastAsia="Times New Roman" w:cs="Times New Roman"/>
                <w:spacing w:val="6"/>
                <w:sz w:val="19"/>
                <w:szCs w:val="19"/>
              </w:rPr>
              <w:t>004</w:t>
            </w:r>
            <w:r>
              <w:rPr>
                <w:spacing w:val="6"/>
                <w:sz w:val="19"/>
                <w:szCs w:val="19"/>
              </w:rPr>
              <w:t>，</w:t>
            </w:r>
          </w:p>
          <w:p w14:paraId="449EE6BA">
            <w:pPr>
              <w:pStyle w:val="6"/>
              <w:spacing w:before="46" w:line="206" w:lineRule="auto"/>
              <w:ind w:left="106"/>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2.9654</w:t>
            </w:r>
            <w:r>
              <w:rPr>
                <w:rFonts w:ascii="Times New Roman" w:hAnsi="Times New Roman" w:eastAsia="Times New Roman" w:cs="Times New Roman"/>
                <w:sz w:val="19"/>
                <w:szCs w:val="19"/>
              </w:rPr>
              <w:t>km</w:t>
            </w:r>
            <w:r>
              <w:rPr>
                <w:rFonts w:ascii="Times New Roman" w:hAnsi="Times New Roman" w:eastAsia="Times New Roman" w:cs="Times New Roman"/>
                <w:spacing w:val="1"/>
                <w:position w:val="6"/>
                <w:sz w:val="12"/>
                <w:szCs w:val="12"/>
              </w:rPr>
              <w:t>2</w:t>
            </w:r>
            <w:r>
              <w:rPr>
                <w:spacing w:val="1"/>
                <w:sz w:val="19"/>
                <w:szCs w:val="19"/>
              </w:rPr>
              <w:t>，</w:t>
            </w:r>
            <w:r>
              <w:rPr>
                <w:rFonts w:ascii="Times New Roman" w:hAnsi="Times New Roman" w:eastAsia="Times New Roman" w:cs="Times New Roman"/>
                <w:spacing w:val="1"/>
                <w:sz w:val="19"/>
                <w:szCs w:val="19"/>
              </w:rPr>
              <w:t>17.</w:t>
            </w:r>
            <w:r>
              <w:rPr>
                <w:rFonts w:ascii="Times New Roman" w:hAnsi="Times New Roman" w:eastAsia="Times New Roman" w:cs="Times New Roman"/>
                <w:spacing w:val="-17"/>
                <w:sz w:val="19"/>
                <w:szCs w:val="19"/>
              </w:rPr>
              <w:t xml:space="preserve"> </w:t>
            </w:r>
            <w:r>
              <w:rPr>
                <w:rFonts w:ascii="Times New Roman" w:hAnsi="Times New Roman" w:eastAsia="Times New Roman" w:cs="Times New Roman"/>
                <w:spacing w:val="1"/>
                <w:sz w:val="19"/>
                <w:szCs w:val="19"/>
              </w:rPr>
              <w:t>18%</w:t>
            </w:r>
          </w:p>
        </w:tc>
        <w:tc>
          <w:tcPr>
            <w:tcW w:w="1273" w:type="dxa"/>
            <w:vAlign w:val="top"/>
          </w:tcPr>
          <w:p w14:paraId="6A790C97">
            <w:pPr>
              <w:spacing w:line="268" w:lineRule="auto"/>
              <w:rPr>
                <w:rFonts w:ascii="Arial"/>
                <w:sz w:val="21"/>
              </w:rPr>
            </w:pPr>
          </w:p>
          <w:p w14:paraId="4EB523C2">
            <w:pPr>
              <w:spacing w:line="268" w:lineRule="auto"/>
              <w:rPr>
                <w:rFonts w:ascii="Arial"/>
                <w:sz w:val="21"/>
              </w:rPr>
            </w:pPr>
          </w:p>
          <w:p w14:paraId="580B1DBA">
            <w:pPr>
              <w:pStyle w:val="6"/>
              <w:spacing w:before="62" w:line="233" w:lineRule="auto"/>
              <w:ind w:left="146"/>
              <w:rPr>
                <w:sz w:val="19"/>
                <w:szCs w:val="19"/>
              </w:rPr>
            </w:pPr>
            <w:r>
              <w:rPr>
                <w:spacing w:val="7"/>
                <w:sz w:val="19"/>
                <w:szCs w:val="19"/>
              </w:rPr>
              <w:t>调整，铝土</w:t>
            </w:r>
          </w:p>
          <w:p w14:paraId="351F0B91">
            <w:pPr>
              <w:pStyle w:val="6"/>
              <w:spacing w:before="19" w:line="233" w:lineRule="auto"/>
              <w:ind w:left="547"/>
              <w:rPr>
                <w:sz w:val="19"/>
                <w:szCs w:val="19"/>
              </w:rPr>
            </w:pPr>
            <w:r>
              <w:rPr>
                <w:sz w:val="19"/>
                <w:szCs w:val="19"/>
              </w:rPr>
              <w:t>矿</w:t>
            </w:r>
          </w:p>
        </w:tc>
        <w:tc>
          <w:tcPr>
            <w:tcW w:w="1906" w:type="dxa"/>
            <w:vAlign w:val="top"/>
          </w:tcPr>
          <w:p w14:paraId="36779488">
            <w:pPr>
              <w:spacing w:line="285" w:lineRule="auto"/>
              <w:rPr>
                <w:rFonts w:ascii="Arial"/>
                <w:sz w:val="21"/>
              </w:rPr>
            </w:pPr>
          </w:p>
          <w:p w14:paraId="4CF15FB0">
            <w:pPr>
              <w:spacing w:line="285" w:lineRule="auto"/>
              <w:rPr>
                <w:rFonts w:ascii="Arial"/>
                <w:sz w:val="21"/>
              </w:rPr>
            </w:pPr>
          </w:p>
          <w:p w14:paraId="508413FC">
            <w:pPr>
              <w:pStyle w:val="6"/>
              <w:spacing w:before="62" w:line="188" w:lineRule="auto"/>
              <w:ind w:left="562"/>
              <w:rPr>
                <w:sz w:val="19"/>
                <w:szCs w:val="19"/>
              </w:rPr>
            </w:pPr>
            <w:r>
              <w:rPr>
                <w:rFonts w:ascii="Times New Roman" w:hAnsi="Times New Roman" w:eastAsia="Times New Roman" w:cs="Times New Roman"/>
                <w:sz w:val="19"/>
                <w:szCs w:val="19"/>
              </w:rPr>
              <w:t>KQ</w:t>
            </w:r>
            <w:r>
              <w:rPr>
                <w:rFonts w:ascii="Times New Roman" w:hAnsi="Times New Roman" w:eastAsia="Times New Roman" w:cs="Times New Roman"/>
                <w:spacing w:val="6"/>
                <w:sz w:val="19"/>
                <w:szCs w:val="19"/>
              </w:rPr>
              <w:t>004</w:t>
            </w:r>
            <w:r>
              <w:rPr>
                <w:spacing w:val="6"/>
                <w:sz w:val="19"/>
                <w:szCs w:val="19"/>
              </w:rPr>
              <w:t>，</w:t>
            </w:r>
          </w:p>
          <w:p w14:paraId="373E0C0F">
            <w:pPr>
              <w:pStyle w:val="6"/>
              <w:spacing w:before="46" w:line="206" w:lineRule="auto"/>
              <w:ind w:left="117"/>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0.4302</w:t>
            </w:r>
            <w:r>
              <w:rPr>
                <w:rFonts w:ascii="Times New Roman" w:hAnsi="Times New Roman" w:eastAsia="Times New Roman" w:cs="Times New Roman"/>
                <w:sz w:val="19"/>
                <w:szCs w:val="19"/>
              </w:rPr>
              <w:t>km</w:t>
            </w:r>
            <w:r>
              <w:rPr>
                <w:rFonts w:ascii="Times New Roman" w:hAnsi="Times New Roman" w:eastAsia="Times New Roman" w:cs="Times New Roman"/>
                <w:spacing w:val="3"/>
                <w:position w:val="6"/>
                <w:sz w:val="12"/>
                <w:szCs w:val="12"/>
              </w:rPr>
              <w:t xml:space="preserve">2 </w:t>
            </w:r>
            <w:r>
              <w:rPr>
                <w:spacing w:val="3"/>
                <w:sz w:val="19"/>
                <w:szCs w:val="19"/>
              </w:rPr>
              <w:t>，</w:t>
            </w:r>
            <w:r>
              <w:rPr>
                <w:rFonts w:ascii="Times New Roman" w:hAnsi="Times New Roman" w:eastAsia="Times New Roman" w:cs="Times New Roman"/>
                <w:spacing w:val="3"/>
                <w:sz w:val="19"/>
                <w:szCs w:val="19"/>
              </w:rPr>
              <w:t>10.87%</w:t>
            </w:r>
          </w:p>
        </w:tc>
        <w:tc>
          <w:tcPr>
            <w:tcW w:w="1803" w:type="dxa"/>
            <w:vMerge w:val="restart"/>
            <w:tcBorders>
              <w:bottom w:val="nil"/>
            </w:tcBorders>
            <w:vAlign w:val="top"/>
          </w:tcPr>
          <w:p w14:paraId="7DFBE87A">
            <w:pPr>
              <w:spacing w:line="253" w:lineRule="auto"/>
              <w:rPr>
                <w:rFonts w:ascii="Arial"/>
                <w:sz w:val="21"/>
              </w:rPr>
            </w:pPr>
          </w:p>
          <w:p w14:paraId="7D0CC966">
            <w:pPr>
              <w:spacing w:line="253" w:lineRule="auto"/>
              <w:rPr>
                <w:rFonts w:ascii="Arial"/>
                <w:sz w:val="21"/>
              </w:rPr>
            </w:pPr>
          </w:p>
          <w:p w14:paraId="380C47C9">
            <w:pPr>
              <w:spacing w:line="253" w:lineRule="auto"/>
              <w:rPr>
                <w:rFonts w:ascii="Arial"/>
                <w:sz w:val="21"/>
              </w:rPr>
            </w:pPr>
          </w:p>
          <w:p w14:paraId="59F020C0">
            <w:pPr>
              <w:spacing w:line="253" w:lineRule="auto"/>
              <w:rPr>
                <w:rFonts w:ascii="Arial"/>
                <w:sz w:val="21"/>
              </w:rPr>
            </w:pPr>
          </w:p>
          <w:p w14:paraId="150A88ED">
            <w:pPr>
              <w:spacing w:line="253" w:lineRule="auto"/>
              <w:rPr>
                <w:rFonts w:ascii="Arial"/>
                <w:sz w:val="21"/>
              </w:rPr>
            </w:pPr>
          </w:p>
          <w:p w14:paraId="4CCE29A7">
            <w:pPr>
              <w:spacing w:line="253" w:lineRule="auto"/>
              <w:rPr>
                <w:rFonts w:ascii="Arial"/>
                <w:sz w:val="21"/>
              </w:rPr>
            </w:pPr>
          </w:p>
          <w:p w14:paraId="15D1F635">
            <w:pPr>
              <w:spacing w:before="55" w:line="199" w:lineRule="auto"/>
              <w:ind w:left="87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c>
          <w:tcPr>
            <w:tcW w:w="914" w:type="dxa"/>
            <w:vMerge w:val="restart"/>
            <w:tcBorders>
              <w:bottom w:val="nil"/>
            </w:tcBorders>
            <w:vAlign w:val="top"/>
          </w:tcPr>
          <w:p w14:paraId="7F155114">
            <w:pPr>
              <w:spacing w:line="253" w:lineRule="auto"/>
              <w:rPr>
                <w:rFonts w:ascii="Arial"/>
                <w:sz w:val="21"/>
              </w:rPr>
            </w:pPr>
          </w:p>
          <w:p w14:paraId="3EB4EF3B">
            <w:pPr>
              <w:spacing w:line="253" w:lineRule="auto"/>
              <w:rPr>
                <w:rFonts w:ascii="Arial"/>
                <w:sz w:val="21"/>
              </w:rPr>
            </w:pPr>
          </w:p>
          <w:p w14:paraId="741D4EA4">
            <w:pPr>
              <w:spacing w:line="253" w:lineRule="auto"/>
              <w:rPr>
                <w:rFonts w:ascii="Arial"/>
                <w:sz w:val="21"/>
              </w:rPr>
            </w:pPr>
          </w:p>
          <w:p w14:paraId="356558EE">
            <w:pPr>
              <w:spacing w:line="253" w:lineRule="auto"/>
              <w:rPr>
                <w:rFonts w:ascii="Arial"/>
                <w:sz w:val="21"/>
              </w:rPr>
            </w:pPr>
          </w:p>
          <w:p w14:paraId="0516CDCB">
            <w:pPr>
              <w:spacing w:line="253" w:lineRule="auto"/>
              <w:rPr>
                <w:rFonts w:ascii="Arial"/>
                <w:sz w:val="21"/>
              </w:rPr>
            </w:pPr>
          </w:p>
          <w:p w14:paraId="073054C1">
            <w:pPr>
              <w:spacing w:line="253" w:lineRule="auto"/>
              <w:rPr>
                <w:rFonts w:ascii="Arial"/>
                <w:sz w:val="21"/>
              </w:rPr>
            </w:pPr>
          </w:p>
          <w:p w14:paraId="1F120A9C">
            <w:pPr>
              <w:spacing w:before="55" w:line="199" w:lineRule="auto"/>
              <w:ind w:left="436"/>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c>
          <w:tcPr>
            <w:tcW w:w="1523" w:type="dxa"/>
            <w:vMerge w:val="restart"/>
            <w:tcBorders>
              <w:bottom w:val="nil"/>
              <w:right w:val="single" w:color="000000" w:sz="10" w:space="0"/>
            </w:tcBorders>
            <w:vAlign w:val="top"/>
          </w:tcPr>
          <w:p w14:paraId="057FC658">
            <w:pPr>
              <w:spacing w:line="253" w:lineRule="auto"/>
              <w:rPr>
                <w:rFonts w:ascii="Arial"/>
                <w:sz w:val="21"/>
              </w:rPr>
            </w:pPr>
          </w:p>
          <w:p w14:paraId="0A42A212">
            <w:pPr>
              <w:spacing w:line="253" w:lineRule="auto"/>
              <w:rPr>
                <w:rFonts w:ascii="Arial"/>
                <w:sz w:val="21"/>
              </w:rPr>
            </w:pPr>
          </w:p>
          <w:p w14:paraId="1CD0CA23">
            <w:pPr>
              <w:spacing w:line="253" w:lineRule="auto"/>
              <w:rPr>
                <w:rFonts w:ascii="Arial"/>
                <w:sz w:val="21"/>
              </w:rPr>
            </w:pPr>
          </w:p>
          <w:p w14:paraId="22939AC5">
            <w:pPr>
              <w:spacing w:line="253" w:lineRule="auto"/>
              <w:rPr>
                <w:rFonts w:ascii="Arial"/>
                <w:sz w:val="21"/>
              </w:rPr>
            </w:pPr>
          </w:p>
          <w:p w14:paraId="61A181C9">
            <w:pPr>
              <w:spacing w:line="253" w:lineRule="auto"/>
              <w:rPr>
                <w:rFonts w:ascii="Arial"/>
                <w:sz w:val="21"/>
              </w:rPr>
            </w:pPr>
          </w:p>
          <w:p w14:paraId="15360C0E">
            <w:pPr>
              <w:spacing w:line="253" w:lineRule="auto"/>
              <w:rPr>
                <w:rFonts w:ascii="Arial"/>
                <w:sz w:val="21"/>
              </w:rPr>
            </w:pPr>
          </w:p>
          <w:p w14:paraId="26188DAC">
            <w:pPr>
              <w:spacing w:before="55" w:line="199" w:lineRule="auto"/>
              <w:ind w:left="736"/>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r>
      <w:tr w14:paraId="0DE573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7" w:hRule="atLeast"/>
        </w:trPr>
        <w:tc>
          <w:tcPr>
            <w:tcW w:w="511" w:type="dxa"/>
            <w:vMerge w:val="continue"/>
            <w:tcBorders>
              <w:top w:val="nil"/>
              <w:left w:val="single" w:color="000000" w:sz="10" w:space="0"/>
              <w:bottom w:val="single" w:color="000000" w:sz="10" w:space="0"/>
            </w:tcBorders>
            <w:vAlign w:val="top"/>
          </w:tcPr>
          <w:p w14:paraId="5AB53A46">
            <w:pPr>
              <w:rPr>
                <w:rFonts w:ascii="Arial"/>
                <w:sz w:val="21"/>
              </w:rPr>
            </w:pPr>
          </w:p>
        </w:tc>
        <w:tc>
          <w:tcPr>
            <w:tcW w:w="501" w:type="dxa"/>
            <w:vMerge w:val="continue"/>
            <w:tcBorders>
              <w:top w:val="nil"/>
              <w:bottom w:val="single" w:color="000000" w:sz="10" w:space="0"/>
            </w:tcBorders>
            <w:textDirection w:val="tbRlV"/>
            <w:vAlign w:val="top"/>
          </w:tcPr>
          <w:p w14:paraId="6586CE5F">
            <w:pPr>
              <w:rPr>
                <w:rFonts w:ascii="Arial"/>
                <w:sz w:val="21"/>
              </w:rPr>
            </w:pPr>
          </w:p>
        </w:tc>
        <w:tc>
          <w:tcPr>
            <w:tcW w:w="1129" w:type="dxa"/>
            <w:vMerge w:val="continue"/>
            <w:tcBorders>
              <w:top w:val="nil"/>
              <w:bottom w:val="single" w:color="000000" w:sz="10" w:space="0"/>
            </w:tcBorders>
            <w:vAlign w:val="top"/>
          </w:tcPr>
          <w:p w14:paraId="49CEB79E">
            <w:pPr>
              <w:rPr>
                <w:rFonts w:ascii="Arial"/>
                <w:sz w:val="21"/>
              </w:rPr>
            </w:pPr>
          </w:p>
        </w:tc>
        <w:tc>
          <w:tcPr>
            <w:tcW w:w="1160" w:type="dxa"/>
            <w:vMerge w:val="continue"/>
            <w:tcBorders>
              <w:top w:val="nil"/>
              <w:bottom w:val="single" w:color="000000" w:sz="10" w:space="0"/>
            </w:tcBorders>
            <w:vAlign w:val="top"/>
          </w:tcPr>
          <w:p w14:paraId="035F2019">
            <w:pPr>
              <w:rPr>
                <w:rFonts w:ascii="Arial"/>
                <w:sz w:val="21"/>
              </w:rPr>
            </w:pPr>
          </w:p>
        </w:tc>
        <w:tc>
          <w:tcPr>
            <w:tcW w:w="1581" w:type="dxa"/>
            <w:vMerge w:val="continue"/>
            <w:tcBorders>
              <w:top w:val="nil"/>
              <w:bottom w:val="single" w:color="000000" w:sz="10" w:space="0"/>
            </w:tcBorders>
            <w:vAlign w:val="top"/>
          </w:tcPr>
          <w:p w14:paraId="5045E720">
            <w:pPr>
              <w:rPr>
                <w:rFonts w:ascii="Arial"/>
                <w:sz w:val="21"/>
              </w:rPr>
            </w:pPr>
          </w:p>
        </w:tc>
        <w:tc>
          <w:tcPr>
            <w:tcW w:w="1865" w:type="dxa"/>
            <w:tcBorders>
              <w:bottom w:val="single" w:color="000000" w:sz="10" w:space="0"/>
            </w:tcBorders>
            <w:vAlign w:val="top"/>
          </w:tcPr>
          <w:p w14:paraId="5ED1F859">
            <w:pPr>
              <w:spacing w:line="288" w:lineRule="auto"/>
              <w:rPr>
                <w:rFonts w:ascii="Arial"/>
                <w:sz w:val="21"/>
              </w:rPr>
            </w:pPr>
          </w:p>
          <w:p w14:paraId="0B493A9D">
            <w:pPr>
              <w:spacing w:line="288" w:lineRule="auto"/>
              <w:rPr>
                <w:rFonts w:ascii="Arial"/>
                <w:sz w:val="21"/>
              </w:rPr>
            </w:pPr>
          </w:p>
          <w:p w14:paraId="239AADF7">
            <w:pPr>
              <w:pStyle w:val="6"/>
              <w:spacing w:before="62" w:line="188" w:lineRule="auto"/>
              <w:ind w:left="537"/>
              <w:rPr>
                <w:sz w:val="19"/>
                <w:szCs w:val="19"/>
              </w:rPr>
            </w:pPr>
            <w:r>
              <w:rPr>
                <w:rFonts w:ascii="Times New Roman" w:hAnsi="Times New Roman" w:eastAsia="Times New Roman" w:cs="Times New Roman"/>
                <w:sz w:val="19"/>
                <w:szCs w:val="19"/>
              </w:rPr>
              <w:t>KQ</w:t>
            </w:r>
            <w:r>
              <w:rPr>
                <w:rFonts w:ascii="Times New Roman" w:hAnsi="Times New Roman" w:eastAsia="Times New Roman" w:cs="Times New Roman"/>
                <w:spacing w:val="6"/>
                <w:sz w:val="19"/>
                <w:szCs w:val="19"/>
              </w:rPr>
              <w:t>009</w:t>
            </w:r>
            <w:r>
              <w:rPr>
                <w:spacing w:val="6"/>
                <w:sz w:val="19"/>
                <w:szCs w:val="19"/>
              </w:rPr>
              <w:t>，</w:t>
            </w:r>
          </w:p>
          <w:p w14:paraId="31BA743C">
            <w:pPr>
              <w:pStyle w:val="6"/>
              <w:spacing w:before="46" w:line="206" w:lineRule="auto"/>
              <w:ind w:left="140"/>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0.0015</w:t>
            </w:r>
            <w:r>
              <w:rPr>
                <w:rFonts w:ascii="Times New Roman" w:hAnsi="Times New Roman" w:eastAsia="Times New Roman" w:cs="Times New Roman"/>
                <w:sz w:val="19"/>
                <w:szCs w:val="19"/>
              </w:rPr>
              <w:t>km</w:t>
            </w:r>
            <w:r>
              <w:rPr>
                <w:rFonts w:ascii="Times New Roman" w:hAnsi="Times New Roman" w:eastAsia="Times New Roman" w:cs="Times New Roman"/>
                <w:spacing w:val="3"/>
                <w:position w:val="6"/>
                <w:sz w:val="12"/>
                <w:szCs w:val="12"/>
              </w:rPr>
              <w:t xml:space="preserve">2 </w:t>
            </w:r>
            <w:r>
              <w:rPr>
                <w:spacing w:val="3"/>
                <w:sz w:val="19"/>
                <w:szCs w:val="19"/>
              </w:rPr>
              <w:t>，</w:t>
            </w:r>
            <w:r>
              <w:rPr>
                <w:rFonts w:ascii="Times New Roman" w:hAnsi="Times New Roman" w:eastAsia="Times New Roman" w:cs="Times New Roman"/>
                <w:spacing w:val="3"/>
                <w:sz w:val="19"/>
                <w:szCs w:val="19"/>
              </w:rPr>
              <w:t>0.41%</w:t>
            </w:r>
          </w:p>
        </w:tc>
        <w:tc>
          <w:tcPr>
            <w:tcW w:w="1273" w:type="dxa"/>
            <w:tcBorders>
              <w:bottom w:val="single" w:color="000000" w:sz="10" w:space="0"/>
            </w:tcBorders>
            <w:vAlign w:val="top"/>
          </w:tcPr>
          <w:p w14:paraId="72A85B18">
            <w:pPr>
              <w:spacing w:line="271" w:lineRule="auto"/>
              <w:rPr>
                <w:rFonts w:ascii="Arial"/>
                <w:sz w:val="21"/>
              </w:rPr>
            </w:pPr>
          </w:p>
          <w:p w14:paraId="0E8DA8B4">
            <w:pPr>
              <w:spacing w:line="271" w:lineRule="auto"/>
              <w:rPr>
                <w:rFonts w:ascii="Arial"/>
                <w:sz w:val="21"/>
              </w:rPr>
            </w:pPr>
          </w:p>
          <w:p w14:paraId="535620C8">
            <w:pPr>
              <w:pStyle w:val="6"/>
              <w:spacing w:before="61" w:line="253" w:lineRule="auto"/>
              <w:ind w:left="347" w:right="136" w:hanging="202"/>
              <w:rPr>
                <w:sz w:val="19"/>
                <w:szCs w:val="19"/>
              </w:rPr>
            </w:pPr>
            <w:r>
              <w:rPr>
                <w:spacing w:val="7"/>
                <w:sz w:val="19"/>
                <w:szCs w:val="19"/>
              </w:rPr>
              <w:t>新增，铸型</w:t>
            </w:r>
            <w:r>
              <w:rPr>
                <w:sz w:val="19"/>
                <w:szCs w:val="19"/>
              </w:rPr>
              <w:t xml:space="preserve"> </w:t>
            </w:r>
            <w:r>
              <w:rPr>
                <w:spacing w:val="5"/>
                <w:sz w:val="19"/>
                <w:szCs w:val="19"/>
              </w:rPr>
              <w:t>用砂岩</w:t>
            </w:r>
          </w:p>
        </w:tc>
        <w:tc>
          <w:tcPr>
            <w:tcW w:w="1906" w:type="dxa"/>
            <w:tcBorders>
              <w:bottom w:val="single" w:color="000000" w:sz="10" w:space="0"/>
            </w:tcBorders>
            <w:vAlign w:val="top"/>
          </w:tcPr>
          <w:p w14:paraId="61761D7B">
            <w:pPr>
              <w:spacing w:line="354" w:lineRule="auto"/>
              <w:rPr>
                <w:rFonts w:ascii="Arial"/>
                <w:sz w:val="21"/>
              </w:rPr>
            </w:pPr>
          </w:p>
          <w:p w14:paraId="2E84F3ED">
            <w:pPr>
              <w:spacing w:line="355" w:lineRule="auto"/>
              <w:rPr>
                <w:rFonts w:ascii="Arial"/>
                <w:sz w:val="21"/>
              </w:rPr>
            </w:pPr>
          </w:p>
          <w:p w14:paraId="1C95EA01">
            <w:pPr>
              <w:spacing w:before="54" w:line="199" w:lineRule="auto"/>
              <w:ind w:left="926"/>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c>
          <w:tcPr>
            <w:tcW w:w="1803" w:type="dxa"/>
            <w:vMerge w:val="continue"/>
            <w:tcBorders>
              <w:top w:val="nil"/>
              <w:bottom w:val="single" w:color="000000" w:sz="10" w:space="0"/>
            </w:tcBorders>
            <w:vAlign w:val="top"/>
          </w:tcPr>
          <w:p w14:paraId="2C1650D2">
            <w:pPr>
              <w:rPr>
                <w:rFonts w:ascii="Arial"/>
                <w:sz w:val="21"/>
              </w:rPr>
            </w:pPr>
          </w:p>
        </w:tc>
        <w:tc>
          <w:tcPr>
            <w:tcW w:w="914" w:type="dxa"/>
            <w:vMerge w:val="continue"/>
            <w:tcBorders>
              <w:top w:val="nil"/>
              <w:bottom w:val="single" w:color="000000" w:sz="10" w:space="0"/>
            </w:tcBorders>
            <w:vAlign w:val="top"/>
          </w:tcPr>
          <w:p w14:paraId="30859A23">
            <w:pPr>
              <w:rPr>
                <w:rFonts w:ascii="Arial"/>
                <w:sz w:val="21"/>
              </w:rPr>
            </w:pPr>
          </w:p>
        </w:tc>
        <w:tc>
          <w:tcPr>
            <w:tcW w:w="1523" w:type="dxa"/>
            <w:vMerge w:val="continue"/>
            <w:tcBorders>
              <w:top w:val="nil"/>
              <w:bottom w:val="single" w:color="000000" w:sz="10" w:space="0"/>
              <w:right w:val="single" w:color="000000" w:sz="10" w:space="0"/>
            </w:tcBorders>
            <w:vAlign w:val="top"/>
          </w:tcPr>
          <w:p w14:paraId="0BE7D7E6">
            <w:pPr>
              <w:rPr>
                <w:rFonts w:ascii="Arial"/>
                <w:sz w:val="21"/>
              </w:rPr>
            </w:pPr>
          </w:p>
        </w:tc>
      </w:tr>
    </w:tbl>
    <w:p w14:paraId="465FC977">
      <w:pPr>
        <w:pStyle w:val="2"/>
      </w:pPr>
    </w:p>
    <w:p w14:paraId="4A51BD1B">
      <w:pPr>
        <w:sectPr>
          <w:headerReference r:id="rId38" w:type="default"/>
          <w:footerReference r:id="rId39" w:type="default"/>
          <w:pgSz w:w="16839" w:h="11906"/>
          <w:pgMar w:top="1116" w:right="1328" w:bottom="1480" w:left="1317" w:header="683" w:footer="1318" w:gutter="0"/>
          <w:cols w:space="720" w:num="1"/>
        </w:sectPr>
      </w:pPr>
    </w:p>
    <w:p w14:paraId="46E2A3A3">
      <w:pPr>
        <w:pStyle w:val="2"/>
        <w:spacing w:line="281" w:lineRule="auto"/>
      </w:pPr>
    </w:p>
    <w:p w14:paraId="10724EE4">
      <w:pPr>
        <w:spacing w:before="81" w:line="229" w:lineRule="auto"/>
        <w:ind w:left="16"/>
        <w:outlineLvl w:val="0"/>
        <w:rPr>
          <w:rFonts w:ascii="仿宋" w:hAnsi="仿宋" w:eastAsia="仿宋" w:cs="仿宋"/>
          <w:sz w:val="25"/>
          <w:szCs w:val="25"/>
        </w:rPr>
      </w:pPr>
      <w:bookmarkStart w:id="9" w:name="bookmark9"/>
      <w:bookmarkEnd w:id="9"/>
      <w:r>
        <w:rPr>
          <w:rFonts w:ascii="Times New Roman" w:hAnsi="Times New Roman" w:eastAsia="Times New Roman" w:cs="Times New Roman"/>
          <w:b/>
          <w:bCs/>
          <w:spacing w:val="2"/>
          <w:sz w:val="25"/>
          <w:szCs w:val="25"/>
        </w:rPr>
        <w:t>1.6</w:t>
      </w:r>
      <w:r>
        <w:rPr>
          <w:rFonts w:ascii="Times New Roman" w:hAnsi="Times New Roman" w:eastAsia="Times New Roman" w:cs="Times New Roman"/>
          <w:b/>
          <w:bCs/>
          <w:spacing w:val="15"/>
          <w:sz w:val="25"/>
          <w:szCs w:val="25"/>
        </w:rPr>
        <w:t xml:space="preserve">  </w:t>
      </w:r>
      <w:r>
        <w:rPr>
          <w:rFonts w:ascii="仿宋" w:hAnsi="仿宋" w:eastAsia="仿宋" w:cs="仿宋"/>
          <w:b/>
          <w:bCs/>
          <w:spacing w:val="2"/>
          <w:sz w:val="25"/>
          <w:szCs w:val="25"/>
        </w:rPr>
        <w:t>评价技术路线</w:t>
      </w:r>
    </w:p>
    <w:p w14:paraId="487218CC">
      <w:pPr>
        <w:pStyle w:val="2"/>
        <w:spacing w:line="243" w:lineRule="auto"/>
      </w:pPr>
    </w:p>
    <w:p w14:paraId="3A31CF7C">
      <w:pPr>
        <w:spacing w:line="10072" w:lineRule="exact"/>
        <w:ind w:firstLine="670"/>
      </w:pPr>
      <w:r>
        <w:rPr>
          <w:position w:val="-201"/>
        </w:rPr>
        <w:drawing>
          <wp:inline distT="0" distB="0" distL="0" distR="0">
            <wp:extent cx="4764405" cy="639508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269"/>
                    <a:stretch>
                      <a:fillRect/>
                    </a:stretch>
                  </pic:blipFill>
                  <pic:spPr>
                    <a:xfrm>
                      <a:off x="0" y="0"/>
                      <a:ext cx="4764760" cy="6395704"/>
                    </a:xfrm>
                    <a:prstGeom prst="rect">
                      <a:avLst/>
                    </a:prstGeom>
                  </pic:spPr>
                </pic:pic>
              </a:graphicData>
            </a:graphic>
          </wp:inline>
        </w:drawing>
      </w:r>
    </w:p>
    <w:p w14:paraId="59E8070D">
      <w:pPr>
        <w:spacing w:before="189" w:line="229" w:lineRule="auto"/>
        <w:ind w:left="2600"/>
        <w:rPr>
          <w:rFonts w:ascii="仿宋" w:hAnsi="仿宋" w:eastAsia="仿宋" w:cs="仿宋"/>
          <w:sz w:val="25"/>
          <w:szCs w:val="25"/>
        </w:rPr>
      </w:pPr>
      <w:r>
        <w:rPr>
          <w:rFonts w:ascii="仿宋" w:hAnsi="仿宋" w:eastAsia="仿宋" w:cs="仿宋"/>
          <w:spacing w:val="4"/>
          <w:sz w:val="25"/>
          <w:szCs w:val="25"/>
        </w:rPr>
        <w:t>图</w:t>
      </w:r>
      <w:r>
        <w:rPr>
          <w:rFonts w:ascii="仿宋" w:hAnsi="仿宋" w:eastAsia="仿宋" w:cs="仿宋"/>
          <w:spacing w:val="-27"/>
          <w:sz w:val="25"/>
          <w:szCs w:val="25"/>
        </w:rPr>
        <w:t xml:space="preserve"> </w:t>
      </w:r>
      <w:r>
        <w:rPr>
          <w:rFonts w:ascii="Times New Roman" w:hAnsi="Times New Roman" w:eastAsia="Times New Roman" w:cs="Times New Roman"/>
          <w:spacing w:val="4"/>
          <w:sz w:val="25"/>
          <w:szCs w:val="25"/>
        </w:rPr>
        <w:t xml:space="preserve">1.6-1    </w:t>
      </w:r>
      <w:r>
        <w:rPr>
          <w:rFonts w:ascii="仿宋" w:hAnsi="仿宋" w:eastAsia="仿宋" w:cs="仿宋"/>
          <w:spacing w:val="4"/>
          <w:sz w:val="25"/>
          <w:szCs w:val="25"/>
        </w:rPr>
        <w:t>规划环境影响评价技术流程图</w:t>
      </w:r>
    </w:p>
    <w:p w14:paraId="53BCFC83">
      <w:pPr>
        <w:spacing w:line="229" w:lineRule="auto"/>
        <w:rPr>
          <w:rFonts w:ascii="仿宋" w:hAnsi="仿宋" w:eastAsia="仿宋" w:cs="仿宋"/>
          <w:sz w:val="25"/>
          <w:szCs w:val="25"/>
        </w:rPr>
        <w:sectPr>
          <w:headerReference r:id="rId40" w:type="default"/>
          <w:footerReference r:id="rId41" w:type="default"/>
          <w:pgSz w:w="11906" w:h="16839"/>
          <w:pgMar w:top="1116" w:right="1474" w:bottom="1480" w:left="1587" w:header="683" w:footer="1318" w:gutter="0"/>
          <w:cols w:space="720" w:num="1"/>
        </w:sectPr>
      </w:pPr>
    </w:p>
    <w:p w14:paraId="6BAACAB8">
      <w:pPr>
        <w:pStyle w:val="2"/>
        <w:spacing w:line="315" w:lineRule="auto"/>
      </w:pPr>
    </w:p>
    <w:p w14:paraId="65063AB9">
      <w:pPr>
        <w:spacing w:before="101" w:line="227" w:lineRule="auto"/>
        <w:ind w:left="3628"/>
        <w:outlineLvl w:val="0"/>
        <w:rPr>
          <w:rFonts w:ascii="仿宋" w:hAnsi="仿宋" w:eastAsia="仿宋" w:cs="仿宋"/>
          <w:sz w:val="31"/>
          <w:szCs w:val="31"/>
        </w:rPr>
      </w:pPr>
      <w:bookmarkStart w:id="10" w:name="bookmark11"/>
      <w:bookmarkEnd w:id="10"/>
      <w:bookmarkStart w:id="11" w:name="bookmark10"/>
      <w:bookmarkEnd w:id="11"/>
      <w:r>
        <w:rPr>
          <w:rFonts w:ascii="Times New Roman" w:hAnsi="Times New Roman" w:eastAsia="Times New Roman" w:cs="Times New Roman"/>
          <w:b/>
          <w:bCs/>
          <w:spacing w:val="1"/>
          <w:sz w:val="31"/>
          <w:szCs w:val="31"/>
        </w:rPr>
        <w:t>2</w:t>
      </w:r>
      <w:r>
        <w:rPr>
          <w:rFonts w:ascii="Times New Roman" w:hAnsi="Times New Roman" w:eastAsia="Times New Roman" w:cs="Times New Roman"/>
          <w:b/>
          <w:bCs/>
          <w:spacing w:val="13"/>
          <w:sz w:val="31"/>
          <w:szCs w:val="31"/>
        </w:rPr>
        <w:t xml:space="preserve">  </w:t>
      </w:r>
      <w:r>
        <w:rPr>
          <w:rFonts w:ascii="仿宋" w:hAnsi="仿宋" w:eastAsia="仿宋" w:cs="仿宋"/>
          <w:b/>
          <w:bCs/>
          <w:spacing w:val="1"/>
          <w:sz w:val="31"/>
          <w:szCs w:val="31"/>
        </w:rPr>
        <w:t>规划分析</w:t>
      </w:r>
    </w:p>
    <w:p w14:paraId="32D67FC3">
      <w:pPr>
        <w:spacing w:before="263" w:line="229" w:lineRule="auto"/>
        <w:ind w:left="5"/>
        <w:outlineLvl w:val="1"/>
        <w:rPr>
          <w:rFonts w:ascii="仿宋" w:hAnsi="仿宋" w:eastAsia="仿宋" w:cs="仿宋"/>
          <w:sz w:val="25"/>
          <w:szCs w:val="25"/>
        </w:rPr>
      </w:pPr>
      <w:bookmarkStart w:id="12" w:name="bookmark52"/>
      <w:bookmarkEnd w:id="12"/>
      <w:r>
        <w:rPr>
          <w:rFonts w:ascii="Times New Roman" w:hAnsi="Times New Roman" w:eastAsia="Times New Roman" w:cs="Times New Roman"/>
          <w:b/>
          <w:bCs/>
          <w:spacing w:val="2"/>
          <w:sz w:val="25"/>
          <w:szCs w:val="25"/>
        </w:rPr>
        <w:t>2.1</w:t>
      </w:r>
      <w:r>
        <w:rPr>
          <w:rFonts w:ascii="Times New Roman" w:hAnsi="Times New Roman" w:eastAsia="Times New Roman" w:cs="Times New Roman"/>
          <w:b/>
          <w:bCs/>
          <w:spacing w:val="17"/>
          <w:sz w:val="25"/>
          <w:szCs w:val="25"/>
        </w:rPr>
        <w:t xml:space="preserve">  </w:t>
      </w:r>
      <w:r>
        <w:rPr>
          <w:rFonts w:ascii="仿宋" w:hAnsi="仿宋" w:eastAsia="仿宋" w:cs="仿宋"/>
          <w:b/>
          <w:bCs/>
          <w:spacing w:val="2"/>
          <w:sz w:val="25"/>
          <w:szCs w:val="25"/>
        </w:rPr>
        <w:t>原规划概述</w:t>
      </w:r>
    </w:p>
    <w:p w14:paraId="42362BAD">
      <w:pPr>
        <w:spacing w:before="253" w:line="229" w:lineRule="auto"/>
        <w:ind w:left="5"/>
        <w:outlineLvl w:val="2"/>
        <w:rPr>
          <w:rFonts w:ascii="仿宋" w:hAnsi="仿宋" w:eastAsia="仿宋" w:cs="仿宋"/>
          <w:sz w:val="25"/>
          <w:szCs w:val="25"/>
        </w:rPr>
      </w:pPr>
      <w:r>
        <w:rPr>
          <w:rFonts w:ascii="Times New Roman" w:hAnsi="Times New Roman" w:eastAsia="Times New Roman" w:cs="Times New Roman"/>
          <w:b/>
          <w:bCs/>
          <w:spacing w:val="4"/>
          <w:sz w:val="25"/>
          <w:szCs w:val="25"/>
        </w:rPr>
        <w:t>2.1.1</w:t>
      </w:r>
      <w:r>
        <w:rPr>
          <w:rFonts w:ascii="Times New Roman" w:hAnsi="Times New Roman" w:eastAsia="Times New Roman" w:cs="Times New Roman"/>
          <w:b/>
          <w:bCs/>
          <w:spacing w:val="11"/>
          <w:sz w:val="25"/>
          <w:szCs w:val="25"/>
        </w:rPr>
        <w:t xml:space="preserve">  </w:t>
      </w:r>
      <w:r>
        <w:rPr>
          <w:rFonts w:ascii="仿宋" w:hAnsi="仿宋" w:eastAsia="仿宋" w:cs="仿宋"/>
          <w:b/>
          <w:bCs/>
          <w:spacing w:val="4"/>
          <w:sz w:val="25"/>
          <w:szCs w:val="25"/>
        </w:rPr>
        <w:t>规划基本情况</w:t>
      </w:r>
    </w:p>
    <w:p w14:paraId="273A59D9">
      <w:pPr>
        <w:spacing w:before="270" w:line="228" w:lineRule="auto"/>
        <w:ind w:left="541"/>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1</w:t>
      </w:r>
      <w:r>
        <w:rPr>
          <w:rFonts w:ascii="仿宋" w:hAnsi="仿宋" w:eastAsia="仿宋" w:cs="仿宋"/>
          <w:spacing w:val="7"/>
          <w:sz w:val="25"/>
          <w:szCs w:val="25"/>
        </w:rPr>
        <w:t>）规划名称：重庆市黔江区矿产资源总体规划（</w:t>
      </w:r>
      <w:r>
        <w:rPr>
          <w:rFonts w:ascii="Times New Roman" w:hAnsi="Times New Roman" w:eastAsia="Times New Roman" w:cs="Times New Roman"/>
          <w:spacing w:val="7"/>
          <w:sz w:val="25"/>
          <w:szCs w:val="25"/>
        </w:rPr>
        <w:t>2021—2025</w:t>
      </w:r>
      <w:r>
        <w:rPr>
          <w:rFonts w:ascii="Times New Roman" w:hAnsi="Times New Roman" w:eastAsia="Times New Roman" w:cs="Times New Roman"/>
          <w:spacing w:val="27"/>
          <w:sz w:val="25"/>
          <w:szCs w:val="25"/>
        </w:rPr>
        <w:t xml:space="preserve"> </w:t>
      </w:r>
      <w:r>
        <w:rPr>
          <w:rFonts w:ascii="仿宋" w:hAnsi="仿宋" w:eastAsia="仿宋" w:cs="仿宋"/>
          <w:spacing w:val="6"/>
          <w:sz w:val="25"/>
          <w:szCs w:val="25"/>
        </w:rPr>
        <w:t>年）</w:t>
      </w:r>
    </w:p>
    <w:p w14:paraId="2556D013">
      <w:pPr>
        <w:spacing w:before="150" w:line="229" w:lineRule="auto"/>
        <w:ind w:left="541"/>
        <w:rPr>
          <w:rFonts w:ascii="仿宋" w:hAnsi="仿宋" w:eastAsia="仿宋" w:cs="仿宋"/>
          <w:sz w:val="25"/>
          <w:szCs w:val="25"/>
        </w:rPr>
      </w:pPr>
      <w:r>
        <w:rPr>
          <w:rFonts w:ascii="仿宋" w:hAnsi="仿宋" w:eastAsia="仿宋" w:cs="仿宋"/>
          <w:spacing w:val="8"/>
          <w:sz w:val="25"/>
          <w:szCs w:val="25"/>
        </w:rPr>
        <w:t>（</w:t>
      </w:r>
      <w:r>
        <w:rPr>
          <w:rFonts w:ascii="Times New Roman" w:hAnsi="Times New Roman" w:eastAsia="Times New Roman" w:cs="Times New Roman"/>
          <w:spacing w:val="8"/>
          <w:sz w:val="25"/>
          <w:szCs w:val="25"/>
        </w:rPr>
        <w:t>2</w:t>
      </w:r>
      <w:r>
        <w:rPr>
          <w:rFonts w:ascii="仿宋" w:hAnsi="仿宋" w:eastAsia="仿宋" w:cs="仿宋"/>
          <w:spacing w:val="8"/>
          <w:sz w:val="25"/>
          <w:szCs w:val="25"/>
        </w:rPr>
        <w:t>）规划范围：重庆市黔江区</w:t>
      </w:r>
    </w:p>
    <w:p w14:paraId="79537869">
      <w:pPr>
        <w:spacing w:before="150" w:line="229" w:lineRule="auto"/>
        <w:ind w:left="541"/>
        <w:rPr>
          <w:rFonts w:ascii="仿宋" w:hAnsi="仿宋" w:eastAsia="仿宋" w:cs="仿宋"/>
          <w:sz w:val="25"/>
          <w:szCs w:val="25"/>
        </w:rPr>
      </w:pPr>
      <w:r>
        <w:rPr>
          <w:rFonts w:ascii="仿宋" w:hAnsi="仿宋" w:eastAsia="仿宋" w:cs="仿宋"/>
          <w:spacing w:val="5"/>
          <w:sz w:val="25"/>
          <w:szCs w:val="25"/>
        </w:rPr>
        <w:t>（</w:t>
      </w:r>
      <w:r>
        <w:rPr>
          <w:rFonts w:ascii="Times New Roman" w:hAnsi="Times New Roman" w:eastAsia="Times New Roman" w:cs="Times New Roman"/>
          <w:spacing w:val="5"/>
          <w:sz w:val="25"/>
          <w:szCs w:val="25"/>
        </w:rPr>
        <w:t>3</w:t>
      </w:r>
      <w:r>
        <w:rPr>
          <w:rFonts w:ascii="仿宋" w:hAnsi="仿宋" w:eastAsia="仿宋" w:cs="仿宋"/>
          <w:spacing w:val="5"/>
          <w:sz w:val="25"/>
          <w:szCs w:val="25"/>
        </w:rPr>
        <w:t>）规划年限：基准年为</w:t>
      </w:r>
      <w:r>
        <w:rPr>
          <w:rFonts w:ascii="仿宋" w:hAnsi="仿宋" w:eastAsia="仿宋" w:cs="仿宋"/>
          <w:spacing w:val="-35"/>
          <w:sz w:val="25"/>
          <w:szCs w:val="25"/>
        </w:rPr>
        <w:t xml:space="preserve"> </w:t>
      </w:r>
      <w:r>
        <w:rPr>
          <w:rFonts w:ascii="Times New Roman" w:hAnsi="Times New Roman" w:eastAsia="Times New Roman" w:cs="Times New Roman"/>
          <w:spacing w:val="5"/>
          <w:sz w:val="25"/>
          <w:szCs w:val="25"/>
        </w:rPr>
        <w:t>2020</w:t>
      </w:r>
      <w:r>
        <w:rPr>
          <w:rFonts w:ascii="Times New Roman" w:hAnsi="Times New Roman" w:eastAsia="Times New Roman" w:cs="Times New Roman"/>
          <w:spacing w:val="27"/>
          <w:sz w:val="25"/>
          <w:szCs w:val="25"/>
        </w:rPr>
        <w:t xml:space="preserve"> </w:t>
      </w:r>
      <w:r>
        <w:rPr>
          <w:rFonts w:ascii="仿宋" w:hAnsi="仿宋" w:eastAsia="仿宋" w:cs="仿宋"/>
          <w:spacing w:val="5"/>
          <w:sz w:val="25"/>
          <w:szCs w:val="25"/>
        </w:rPr>
        <w:t>年，规划期为</w:t>
      </w:r>
      <w:r>
        <w:rPr>
          <w:rFonts w:ascii="仿宋" w:hAnsi="仿宋" w:eastAsia="仿宋" w:cs="仿宋"/>
          <w:spacing w:val="-55"/>
          <w:sz w:val="25"/>
          <w:szCs w:val="25"/>
        </w:rPr>
        <w:t xml:space="preserve"> </w:t>
      </w:r>
      <w:r>
        <w:rPr>
          <w:rFonts w:ascii="Times New Roman" w:hAnsi="Times New Roman" w:eastAsia="Times New Roman" w:cs="Times New Roman"/>
          <w:spacing w:val="5"/>
          <w:sz w:val="25"/>
          <w:szCs w:val="25"/>
        </w:rPr>
        <w:t>2021-2025</w:t>
      </w:r>
      <w:r>
        <w:rPr>
          <w:rFonts w:ascii="Times New Roman" w:hAnsi="Times New Roman" w:eastAsia="Times New Roman" w:cs="Times New Roman"/>
          <w:spacing w:val="25"/>
          <w:sz w:val="25"/>
          <w:szCs w:val="25"/>
        </w:rPr>
        <w:t xml:space="preserve"> </w:t>
      </w:r>
      <w:r>
        <w:rPr>
          <w:rFonts w:ascii="仿宋" w:hAnsi="仿宋" w:eastAsia="仿宋" w:cs="仿宋"/>
          <w:spacing w:val="5"/>
          <w:sz w:val="25"/>
          <w:szCs w:val="25"/>
        </w:rPr>
        <w:t>年</w:t>
      </w:r>
    </w:p>
    <w:p w14:paraId="1F64E669">
      <w:pPr>
        <w:spacing w:before="270" w:line="229" w:lineRule="auto"/>
        <w:ind w:left="5"/>
        <w:outlineLvl w:val="2"/>
        <w:rPr>
          <w:rFonts w:ascii="仿宋" w:hAnsi="仿宋" w:eastAsia="仿宋" w:cs="仿宋"/>
          <w:sz w:val="25"/>
          <w:szCs w:val="25"/>
        </w:rPr>
      </w:pPr>
      <w:r>
        <w:rPr>
          <w:rFonts w:ascii="Times New Roman" w:hAnsi="Times New Roman" w:eastAsia="Times New Roman" w:cs="Times New Roman"/>
          <w:b/>
          <w:bCs/>
          <w:spacing w:val="-5"/>
          <w:sz w:val="25"/>
          <w:szCs w:val="25"/>
        </w:rPr>
        <w:t>2.1.2</w:t>
      </w:r>
      <w:r>
        <w:rPr>
          <w:rFonts w:ascii="Times New Roman" w:hAnsi="Times New Roman" w:eastAsia="Times New Roman" w:cs="Times New Roman"/>
          <w:b/>
          <w:bCs/>
          <w:spacing w:val="14"/>
          <w:sz w:val="25"/>
          <w:szCs w:val="25"/>
        </w:rPr>
        <w:t xml:space="preserve">  </w:t>
      </w:r>
      <w:r>
        <w:rPr>
          <w:rFonts w:ascii="仿宋" w:hAnsi="仿宋" w:eastAsia="仿宋" w:cs="仿宋"/>
          <w:b/>
          <w:bCs/>
          <w:spacing w:val="-5"/>
          <w:sz w:val="25"/>
          <w:szCs w:val="25"/>
        </w:rPr>
        <w:t>规划</w:t>
      </w:r>
      <w:r>
        <w:rPr>
          <w:rFonts w:ascii="仿宋" w:hAnsi="仿宋" w:eastAsia="仿宋" w:cs="仿宋"/>
          <w:spacing w:val="-59"/>
          <w:sz w:val="25"/>
          <w:szCs w:val="25"/>
        </w:rPr>
        <w:t xml:space="preserve"> </w:t>
      </w:r>
      <w:r>
        <w:rPr>
          <w:rFonts w:ascii="仿宋" w:hAnsi="仿宋" w:eastAsia="仿宋" w:cs="仿宋"/>
          <w:b/>
          <w:bCs/>
          <w:spacing w:val="-5"/>
          <w:sz w:val="25"/>
          <w:szCs w:val="25"/>
        </w:rPr>
        <w:t>目标</w:t>
      </w:r>
    </w:p>
    <w:p w14:paraId="7D44E69E">
      <w:pPr>
        <w:spacing w:before="268" w:line="228" w:lineRule="auto"/>
        <w:ind w:left="544"/>
        <w:rPr>
          <w:rFonts w:ascii="仿宋" w:hAnsi="仿宋" w:eastAsia="仿宋" w:cs="仿宋"/>
          <w:sz w:val="25"/>
          <w:szCs w:val="25"/>
        </w:rPr>
      </w:pPr>
      <w:r>
        <w:rPr>
          <w:rFonts w:ascii="仿宋" w:hAnsi="仿宋" w:eastAsia="仿宋" w:cs="仿宋"/>
          <w:spacing w:val="7"/>
          <w:sz w:val="25"/>
          <w:szCs w:val="25"/>
        </w:rPr>
        <w:t>主要矿产资源勘查开发利用与保护指标见表</w:t>
      </w:r>
      <w:r>
        <w:rPr>
          <w:rFonts w:ascii="仿宋" w:hAnsi="仿宋" w:eastAsia="仿宋" w:cs="仿宋"/>
          <w:spacing w:val="-53"/>
          <w:sz w:val="25"/>
          <w:szCs w:val="25"/>
        </w:rPr>
        <w:t xml:space="preserve"> </w:t>
      </w:r>
      <w:r>
        <w:rPr>
          <w:rFonts w:ascii="Times New Roman" w:hAnsi="Times New Roman" w:eastAsia="Times New Roman" w:cs="Times New Roman"/>
          <w:spacing w:val="7"/>
          <w:sz w:val="25"/>
          <w:szCs w:val="25"/>
        </w:rPr>
        <w:t>2.1-1</w:t>
      </w:r>
      <w:r>
        <w:rPr>
          <w:rFonts w:ascii="仿宋" w:hAnsi="仿宋" w:eastAsia="仿宋" w:cs="仿宋"/>
          <w:spacing w:val="7"/>
          <w:sz w:val="25"/>
          <w:szCs w:val="25"/>
        </w:rPr>
        <w:t>。</w:t>
      </w:r>
    </w:p>
    <w:p w14:paraId="4B722860">
      <w:pPr>
        <w:spacing w:before="196" w:line="229" w:lineRule="auto"/>
        <w:ind w:left="2086"/>
        <w:rPr>
          <w:rFonts w:ascii="仿宋" w:hAnsi="仿宋" w:eastAsia="仿宋" w:cs="仿宋"/>
          <w:sz w:val="20"/>
          <w:szCs w:val="20"/>
        </w:rPr>
      </w:pPr>
      <w:r>
        <w:rPr>
          <w:rFonts w:ascii="仿宋" w:hAnsi="仿宋" w:eastAsia="仿宋" w:cs="仿宋"/>
          <w:b/>
          <w:bCs/>
          <w:spacing w:val="5"/>
          <w:sz w:val="20"/>
          <w:szCs w:val="20"/>
        </w:rPr>
        <w:t>表</w:t>
      </w:r>
      <w:r>
        <w:rPr>
          <w:rFonts w:ascii="仿宋" w:hAnsi="仿宋" w:eastAsia="仿宋" w:cs="仿宋"/>
          <w:spacing w:val="-27"/>
          <w:sz w:val="20"/>
          <w:szCs w:val="20"/>
        </w:rPr>
        <w:t xml:space="preserve"> </w:t>
      </w:r>
      <w:r>
        <w:rPr>
          <w:rFonts w:ascii="Times New Roman" w:hAnsi="Times New Roman" w:eastAsia="Times New Roman" w:cs="Times New Roman"/>
          <w:b/>
          <w:bCs/>
          <w:spacing w:val="5"/>
          <w:sz w:val="20"/>
          <w:szCs w:val="20"/>
        </w:rPr>
        <w:t xml:space="preserve">2.1-1        </w:t>
      </w:r>
      <w:r>
        <w:rPr>
          <w:rFonts w:ascii="仿宋" w:hAnsi="仿宋" w:eastAsia="仿宋" w:cs="仿宋"/>
          <w:b/>
          <w:bCs/>
          <w:spacing w:val="5"/>
          <w:sz w:val="20"/>
          <w:szCs w:val="20"/>
        </w:rPr>
        <w:t>主要矿产资源勘查开发利用与保护指标</w:t>
      </w:r>
    </w:p>
    <w:p w14:paraId="3D8FF626">
      <w:pPr>
        <w:spacing w:line="23" w:lineRule="exact"/>
      </w:pPr>
    </w:p>
    <w:tbl>
      <w:tblPr>
        <w:tblStyle w:val="5"/>
        <w:tblW w:w="8795" w:type="dxa"/>
        <w:tblInd w:w="2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84"/>
        <w:gridCol w:w="2452"/>
        <w:gridCol w:w="1883"/>
        <w:gridCol w:w="1687"/>
        <w:gridCol w:w="1189"/>
      </w:tblGrid>
      <w:tr w14:paraId="188218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4036" w:type="dxa"/>
            <w:gridSpan w:val="2"/>
            <w:tcBorders>
              <w:top w:val="single" w:color="000000" w:sz="10" w:space="0"/>
              <w:left w:val="single" w:color="000000" w:sz="10" w:space="0"/>
            </w:tcBorders>
            <w:vAlign w:val="top"/>
          </w:tcPr>
          <w:p w14:paraId="43D0F8F7">
            <w:pPr>
              <w:pStyle w:val="6"/>
              <w:spacing w:before="51" w:line="229" w:lineRule="auto"/>
              <w:ind w:left="1598"/>
              <w:rPr>
                <w:sz w:val="20"/>
                <w:szCs w:val="20"/>
              </w:rPr>
            </w:pPr>
            <w:r>
              <w:rPr>
                <w:spacing w:val="6"/>
                <w:sz w:val="20"/>
                <w:szCs w:val="20"/>
              </w:rPr>
              <w:t>指标名称</w:t>
            </w:r>
          </w:p>
        </w:tc>
        <w:tc>
          <w:tcPr>
            <w:tcW w:w="1883" w:type="dxa"/>
            <w:tcBorders>
              <w:top w:val="single" w:color="000000" w:sz="10" w:space="0"/>
            </w:tcBorders>
            <w:vAlign w:val="top"/>
          </w:tcPr>
          <w:p w14:paraId="7FA5D11D">
            <w:pPr>
              <w:pStyle w:val="6"/>
              <w:spacing w:before="51" w:line="229" w:lineRule="auto"/>
              <w:ind w:left="644"/>
              <w:rPr>
                <w:sz w:val="20"/>
                <w:szCs w:val="20"/>
              </w:rPr>
            </w:pPr>
            <w:r>
              <w:rPr>
                <w:spacing w:val="-5"/>
                <w:sz w:val="20"/>
                <w:szCs w:val="20"/>
              </w:rPr>
              <w:t>单</w:t>
            </w:r>
            <w:r>
              <w:rPr>
                <w:spacing w:val="12"/>
                <w:sz w:val="20"/>
                <w:szCs w:val="20"/>
              </w:rPr>
              <w:t xml:space="preserve">  </w:t>
            </w:r>
            <w:r>
              <w:rPr>
                <w:spacing w:val="-5"/>
                <w:sz w:val="20"/>
                <w:szCs w:val="20"/>
              </w:rPr>
              <w:t>位</w:t>
            </w:r>
          </w:p>
        </w:tc>
        <w:tc>
          <w:tcPr>
            <w:tcW w:w="1687" w:type="dxa"/>
            <w:tcBorders>
              <w:top w:val="single" w:color="000000" w:sz="10" w:space="0"/>
            </w:tcBorders>
            <w:vAlign w:val="top"/>
          </w:tcPr>
          <w:p w14:paraId="5E076C2B">
            <w:pPr>
              <w:pStyle w:val="6"/>
              <w:spacing w:before="51" w:line="230" w:lineRule="auto"/>
              <w:ind w:left="511"/>
              <w:rPr>
                <w:sz w:val="20"/>
                <w:szCs w:val="20"/>
              </w:rPr>
            </w:pPr>
            <w:r>
              <w:rPr>
                <w:rFonts w:ascii="Times New Roman" w:hAnsi="Times New Roman" w:eastAsia="Times New Roman" w:cs="Times New Roman"/>
                <w:spacing w:val="2"/>
                <w:sz w:val="20"/>
                <w:szCs w:val="20"/>
              </w:rPr>
              <w:t>2025</w:t>
            </w:r>
            <w:r>
              <w:rPr>
                <w:rFonts w:ascii="Times New Roman" w:hAnsi="Times New Roman" w:eastAsia="Times New Roman" w:cs="Times New Roman"/>
                <w:spacing w:val="22"/>
                <w:w w:val="101"/>
                <w:sz w:val="20"/>
                <w:szCs w:val="20"/>
              </w:rPr>
              <w:t xml:space="preserve"> </w:t>
            </w:r>
            <w:r>
              <w:rPr>
                <w:spacing w:val="2"/>
                <w:sz w:val="20"/>
                <w:szCs w:val="20"/>
              </w:rPr>
              <w:t>年</w:t>
            </w:r>
          </w:p>
        </w:tc>
        <w:tc>
          <w:tcPr>
            <w:tcW w:w="1189" w:type="dxa"/>
            <w:tcBorders>
              <w:top w:val="single" w:color="000000" w:sz="10" w:space="0"/>
              <w:right w:val="single" w:color="000000" w:sz="10" w:space="0"/>
            </w:tcBorders>
            <w:vAlign w:val="top"/>
          </w:tcPr>
          <w:p w14:paraId="28E7AD73">
            <w:pPr>
              <w:pStyle w:val="6"/>
              <w:spacing w:before="51" w:line="229" w:lineRule="auto"/>
              <w:ind w:left="190"/>
              <w:rPr>
                <w:sz w:val="20"/>
                <w:szCs w:val="20"/>
              </w:rPr>
            </w:pPr>
            <w:r>
              <w:rPr>
                <w:spacing w:val="6"/>
                <w:sz w:val="20"/>
                <w:szCs w:val="20"/>
              </w:rPr>
              <w:t>指标属性</w:t>
            </w:r>
          </w:p>
        </w:tc>
      </w:tr>
      <w:tr w14:paraId="787A18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4036" w:type="dxa"/>
            <w:gridSpan w:val="2"/>
            <w:tcBorders>
              <w:left w:val="single" w:color="000000" w:sz="10" w:space="0"/>
            </w:tcBorders>
            <w:vAlign w:val="top"/>
          </w:tcPr>
          <w:p w14:paraId="0DABC3F4">
            <w:pPr>
              <w:pStyle w:val="6"/>
              <w:spacing w:before="47" w:line="229" w:lineRule="auto"/>
              <w:ind w:left="863"/>
              <w:rPr>
                <w:sz w:val="20"/>
                <w:szCs w:val="20"/>
              </w:rPr>
            </w:pPr>
            <w:r>
              <w:rPr>
                <w:spacing w:val="8"/>
                <w:sz w:val="20"/>
                <w:szCs w:val="20"/>
              </w:rPr>
              <w:t>新发现和评价重要矿产地</w:t>
            </w:r>
          </w:p>
        </w:tc>
        <w:tc>
          <w:tcPr>
            <w:tcW w:w="1883" w:type="dxa"/>
            <w:vAlign w:val="top"/>
          </w:tcPr>
          <w:p w14:paraId="29521317">
            <w:pPr>
              <w:pStyle w:val="6"/>
              <w:spacing w:before="47" w:line="229" w:lineRule="auto"/>
              <w:ind w:left="849"/>
              <w:rPr>
                <w:sz w:val="20"/>
                <w:szCs w:val="20"/>
              </w:rPr>
            </w:pPr>
            <w:r>
              <w:rPr>
                <w:sz w:val="20"/>
                <w:szCs w:val="20"/>
              </w:rPr>
              <w:t>处</w:t>
            </w:r>
          </w:p>
        </w:tc>
        <w:tc>
          <w:tcPr>
            <w:tcW w:w="1687" w:type="dxa"/>
            <w:vAlign w:val="top"/>
          </w:tcPr>
          <w:p w14:paraId="1BF18442">
            <w:pPr>
              <w:spacing w:before="83" w:line="195" w:lineRule="auto"/>
              <w:ind w:left="79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189" w:type="dxa"/>
            <w:tcBorders>
              <w:right w:val="single" w:color="000000" w:sz="10" w:space="0"/>
            </w:tcBorders>
            <w:vAlign w:val="top"/>
          </w:tcPr>
          <w:p w14:paraId="463AB03F">
            <w:pPr>
              <w:pStyle w:val="6"/>
              <w:spacing w:before="47" w:line="229" w:lineRule="auto"/>
              <w:ind w:left="297"/>
              <w:rPr>
                <w:sz w:val="20"/>
                <w:szCs w:val="20"/>
              </w:rPr>
            </w:pPr>
            <w:r>
              <w:rPr>
                <w:spacing w:val="4"/>
                <w:sz w:val="20"/>
                <w:szCs w:val="20"/>
              </w:rPr>
              <w:t>预期性</w:t>
            </w:r>
          </w:p>
        </w:tc>
      </w:tr>
      <w:tr w14:paraId="5EFAB6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1584" w:type="dxa"/>
            <w:vMerge w:val="restart"/>
            <w:tcBorders>
              <w:left w:val="single" w:color="000000" w:sz="10" w:space="0"/>
              <w:bottom w:val="nil"/>
            </w:tcBorders>
            <w:vAlign w:val="top"/>
          </w:tcPr>
          <w:p w14:paraId="71673301">
            <w:pPr>
              <w:spacing w:line="304" w:lineRule="auto"/>
              <w:rPr>
                <w:rFonts w:ascii="Arial"/>
                <w:sz w:val="21"/>
              </w:rPr>
            </w:pPr>
          </w:p>
          <w:p w14:paraId="25CA5562">
            <w:pPr>
              <w:spacing w:line="304" w:lineRule="auto"/>
              <w:rPr>
                <w:rFonts w:ascii="Arial"/>
                <w:sz w:val="21"/>
              </w:rPr>
            </w:pPr>
          </w:p>
          <w:p w14:paraId="762D89F2">
            <w:pPr>
              <w:pStyle w:val="6"/>
              <w:spacing w:before="65" w:line="231" w:lineRule="auto"/>
              <w:ind w:left="263"/>
              <w:rPr>
                <w:sz w:val="20"/>
                <w:szCs w:val="20"/>
              </w:rPr>
            </w:pPr>
            <w:r>
              <w:rPr>
                <w:spacing w:val="7"/>
                <w:sz w:val="20"/>
                <w:szCs w:val="20"/>
              </w:rPr>
              <w:t>新增资源量</w:t>
            </w:r>
          </w:p>
        </w:tc>
        <w:tc>
          <w:tcPr>
            <w:tcW w:w="2452" w:type="dxa"/>
            <w:vAlign w:val="top"/>
          </w:tcPr>
          <w:p w14:paraId="799E36F5">
            <w:pPr>
              <w:pStyle w:val="6"/>
              <w:spacing w:before="48" w:line="228" w:lineRule="auto"/>
              <w:ind w:left="918"/>
              <w:rPr>
                <w:sz w:val="20"/>
                <w:szCs w:val="20"/>
              </w:rPr>
            </w:pPr>
            <w:r>
              <w:rPr>
                <w:spacing w:val="4"/>
                <w:sz w:val="20"/>
                <w:szCs w:val="20"/>
              </w:rPr>
              <w:t>铝土矿</w:t>
            </w:r>
          </w:p>
        </w:tc>
        <w:tc>
          <w:tcPr>
            <w:tcW w:w="1883" w:type="dxa"/>
            <w:vAlign w:val="top"/>
          </w:tcPr>
          <w:p w14:paraId="7D9B6688">
            <w:pPr>
              <w:pStyle w:val="6"/>
              <w:spacing w:before="48" w:line="228" w:lineRule="auto"/>
              <w:ind w:left="481"/>
              <w:rPr>
                <w:sz w:val="20"/>
                <w:szCs w:val="20"/>
              </w:rPr>
            </w:pPr>
            <w:r>
              <w:rPr>
                <w:spacing w:val="1"/>
                <w:sz w:val="20"/>
                <w:szCs w:val="20"/>
              </w:rPr>
              <w:t>矿石</w:t>
            </w:r>
            <w:r>
              <w:rPr>
                <w:spacing w:val="24"/>
                <w:sz w:val="20"/>
                <w:szCs w:val="20"/>
              </w:rPr>
              <w:t xml:space="preserve"> </w:t>
            </w:r>
            <w:r>
              <w:rPr>
                <w:spacing w:val="1"/>
                <w:sz w:val="20"/>
                <w:szCs w:val="20"/>
              </w:rPr>
              <w:t>万吨</w:t>
            </w:r>
          </w:p>
        </w:tc>
        <w:tc>
          <w:tcPr>
            <w:tcW w:w="1687" w:type="dxa"/>
            <w:vAlign w:val="top"/>
          </w:tcPr>
          <w:p w14:paraId="75335EE3">
            <w:pPr>
              <w:spacing w:before="84" w:line="195" w:lineRule="auto"/>
              <w:ind w:left="6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920</w:t>
            </w:r>
          </w:p>
        </w:tc>
        <w:tc>
          <w:tcPr>
            <w:tcW w:w="1189" w:type="dxa"/>
            <w:vMerge w:val="restart"/>
            <w:tcBorders>
              <w:bottom w:val="nil"/>
              <w:right w:val="single" w:color="000000" w:sz="10" w:space="0"/>
            </w:tcBorders>
            <w:vAlign w:val="top"/>
          </w:tcPr>
          <w:p w14:paraId="6215995D">
            <w:pPr>
              <w:spacing w:line="304" w:lineRule="auto"/>
              <w:rPr>
                <w:rFonts w:ascii="Arial"/>
                <w:sz w:val="21"/>
              </w:rPr>
            </w:pPr>
          </w:p>
          <w:p w14:paraId="55E7D716">
            <w:pPr>
              <w:spacing w:line="304" w:lineRule="auto"/>
              <w:rPr>
                <w:rFonts w:ascii="Arial"/>
                <w:sz w:val="21"/>
              </w:rPr>
            </w:pPr>
          </w:p>
          <w:p w14:paraId="780E4FA8">
            <w:pPr>
              <w:pStyle w:val="6"/>
              <w:spacing w:before="65" w:line="229" w:lineRule="auto"/>
              <w:ind w:left="297"/>
              <w:rPr>
                <w:sz w:val="20"/>
                <w:szCs w:val="20"/>
              </w:rPr>
            </w:pPr>
            <w:r>
              <w:rPr>
                <w:spacing w:val="4"/>
                <w:sz w:val="20"/>
                <w:szCs w:val="20"/>
              </w:rPr>
              <w:t>预期性</w:t>
            </w:r>
          </w:p>
        </w:tc>
      </w:tr>
      <w:tr w14:paraId="0954DB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1584" w:type="dxa"/>
            <w:vMerge w:val="continue"/>
            <w:tcBorders>
              <w:top w:val="nil"/>
              <w:left w:val="single" w:color="000000" w:sz="10" w:space="0"/>
              <w:bottom w:val="nil"/>
            </w:tcBorders>
            <w:vAlign w:val="top"/>
          </w:tcPr>
          <w:p w14:paraId="505184AD">
            <w:pPr>
              <w:rPr>
                <w:rFonts w:ascii="Arial"/>
                <w:sz w:val="21"/>
              </w:rPr>
            </w:pPr>
          </w:p>
        </w:tc>
        <w:tc>
          <w:tcPr>
            <w:tcW w:w="2452" w:type="dxa"/>
            <w:vAlign w:val="top"/>
          </w:tcPr>
          <w:p w14:paraId="06263A9E">
            <w:pPr>
              <w:pStyle w:val="6"/>
              <w:spacing w:before="53" w:line="230" w:lineRule="auto"/>
              <w:ind w:left="607"/>
              <w:rPr>
                <w:sz w:val="20"/>
                <w:szCs w:val="20"/>
              </w:rPr>
            </w:pPr>
            <w:r>
              <w:rPr>
                <w:spacing w:val="4"/>
                <w:sz w:val="20"/>
                <w:szCs w:val="20"/>
              </w:rPr>
              <w:t>萤石（普通）</w:t>
            </w:r>
          </w:p>
        </w:tc>
        <w:tc>
          <w:tcPr>
            <w:tcW w:w="1883" w:type="dxa"/>
            <w:vAlign w:val="top"/>
          </w:tcPr>
          <w:p w14:paraId="6C5B4E48">
            <w:pPr>
              <w:pStyle w:val="6"/>
              <w:spacing w:before="53" w:line="230" w:lineRule="auto"/>
              <w:ind w:left="477"/>
              <w:rPr>
                <w:sz w:val="20"/>
                <w:szCs w:val="20"/>
              </w:rPr>
            </w:pPr>
            <w:r>
              <w:rPr>
                <w:rFonts w:ascii="Times New Roman" w:hAnsi="Times New Roman" w:eastAsia="Times New Roman" w:cs="Times New Roman"/>
                <w:sz w:val="20"/>
                <w:szCs w:val="20"/>
              </w:rPr>
              <w:t>CaF</w:t>
            </w:r>
            <w:r>
              <w:rPr>
                <w:rFonts w:ascii="Times New Roman" w:hAnsi="Times New Roman" w:eastAsia="Times New Roman" w:cs="Times New Roman"/>
                <w:spacing w:val="4"/>
                <w:position w:val="-1"/>
                <w:sz w:val="13"/>
                <w:szCs w:val="13"/>
              </w:rPr>
              <w:t>2</w:t>
            </w:r>
            <w:r>
              <w:rPr>
                <w:rFonts w:ascii="Times New Roman" w:hAnsi="Times New Roman" w:eastAsia="Times New Roman" w:cs="Times New Roman"/>
                <w:spacing w:val="7"/>
                <w:position w:val="-1"/>
                <w:sz w:val="13"/>
                <w:szCs w:val="13"/>
              </w:rPr>
              <w:t xml:space="preserve">   </w:t>
            </w:r>
            <w:r>
              <w:rPr>
                <w:spacing w:val="4"/>
                <w:sz w:val="20"/>
                <w:szCs w:val="20"/>
              </w:rPr>
              <w:t>万吨</w:t>
            </w:r>
          </w:p>
        </w:tc>
        <w:tc>
          <w:tcPr>
            <w:tcW w:w="1687" w:type="dxa"/>
            <w:vAlign w:val="top"/>
          </w:tcPr>
          <w:p w14:paraId="033BE7AF">
            <w:pPr>
              <w:spacing w:before="90" w:line="195" w:lineRule="auto"/>
              <w:ind w:left="752"/>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189" w:type="dxa"/>
            <w:vMerge w:val="continue"/>
            <w:tcBorders>
              <w:top w:val="nil"/>
              <w:bottom w:val="nil"/>
              <w:right w:val="single" w:color="000000" w:sz="10" w:space="0"/>
            </w:tcBorders>
            <w:vAlign w:val="top"/>
          </w:tcPr>
          <w:p w14:paraId="40FF13ED">
            <w:pPr>
              <w:rPr>
                <w:rFonts w:ascii="Arial"/>
                <w:sz w:val="21"/>
              </w:rPr>
            </w:pPr>
          </w:p>
        </w:tc>
      </w:tr>
      <w:tr w14:paraId="4B3F59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1584" w:type="dxa"/>
            <w:vMerge w:val="continue"/>
            <w:tcBorders>
              <w:top w:val="nil"/>
              <w:left w:val="single" w:color="000000" w:sz="10" w:space="0"/>
              <w:bottom w:val="nil"/>
            </w:tcBorders>
            <w:vAlign w:val="top"/>
          </w:tcPr>
          <w:p w14:paraId="393DCBED">
            <w:pPr>
              <w:rPr>
                <w:rFonts w:ascii="Arial"/>
                <w:sz w:val="21"/>
              </w:rPr>
            </w:pPr>
          </w:p>
        </w:tc>
        <w:tc>
          <w:tcPr>
            <w:tcW w:w="2452" w:type="dxa"/>
            <w:vAlign w:val="top"/>
          </w:tcPr>
          <w:p w14:paraId="708F6AE3">
            <w:pPr>
              <w:pStyle w:val="6"/>
              <w:spacing w:before="53" w:line="224" w:lineRule="auto"/>
              <w:ind w:left="924"/>
              <w:rPr>
                <w:sz w:val="20"/>
                <w:szCs w:val="20"/>
              </w:rPr>
            </w:pPr>
            <w:r>
              <w:rPr>
                <w:spacing w:val="2"/>
                <w:sz w:val="20"/>
                <w:szCs w:val="20"/>
              </w:rPr>
              <w:t>重晶石</w:t>
            </w:r>
          </w:p>
        </w:tc>
        <w:tc>
          <w:tcPr>
            <w:tcW w:w="1883" w:type="dxa"/>
            <w:vAlign w:val="top"/>
          </w:tcPr>
          <w:p w14:paraId="795BDCE7">
            <w:pPr>
              <w:pStyle w:val="6"/>
              <w:spacing w:before="53" w:line="224" w:lineRule="auto"/>
              <w:ind w:left="481"/>
              <w:rPr>
                <w:sz w:val="20"/>
                <w:szCs w:val="20"/>
              </w:rPr>
            </w:pPr>
            <w:r>
              <w:rPr>
                <w:spacing w:val="1"/>
                <w:sz w:val="20"/>
                <w:szCs w:val="20"/>
              </w:rPr>
              <w:t>矿石</w:t>
            </w:r>
            <w:r>
              <w:rPr>
                <w:spacing w:val="24"/>
                <w:sz w:val="20"/>
                <w:szCs w:val="20"/>
              </w:rPr>
              <w:t xml:space="preserve"> </w:t>
            </w:r>
            <w:r>
              <w:rPr>
                <w:spacing w:val="1"/>
                <w:sz w:val="20"/>
                <w:szCs w:val="20"/>
              </w:rPr>
              <w:t>万吨</w:t>
            </w:r>
          </w:p>
        </w:tc>
        <w:tc>
          <w:tcPr>
            <w:tcW w:w="1687" w:type="dxa"/>
            <w:vAlign w:val="top"/>
          </w:tcPr>
          <w:p w14:paraId="5D5174A2">
            <w:pPr>
              <w:spacing w:before="88" w:line="195" w:lineRule="auto"/>
              <w:ind w:left="751"/>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189" w:type="dxa"/>
            <w:vMerge w:val="continue"/>
            <w:tcBorders>
              <w:top w:val="nil"/>
              <w:bottom w:val="nil"/>
              <w:right w:val="single" w:color="000000" w:sz="10" w:space="0"/>
            </w:tcBorders>
            <w:vAlign w:val="top"/>
          </w:tcPr>
          <w:p w14:paraId="10B656B1">
            <w:pPr>
              <w:rPr>
                <w:rFonts w:ascii="Arial"/>
                <w:sz w:val="21"/>
              </w:rPr>
            </w:pPr>
          </w:p>
        </w:tc>
      </w:tr>
      <w:tr w14:paraId="5EAC52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1584" w:type="dxa"/>
            <w:vMerge w:val="continue"/>
            <w:tcBorders>
              <w:top w:val="nil"/>
              <w:left w:val="single" w:color="000000" w:sz="10" w:space="0"/>
              <w:bottom w:val="nil"/>
            </w:tcBorders>
            <w:vAlign w:val="top"/>
          </w:tcPr>
          <w:p w14:paraId="1075B002">
            <w:pPr>
              <w:rPr>
                <w:rFonts w:ascii="Arial"/>
                <w:sz w:val="21"/>
              </w:rPr>
            </w:pPr>
          </w:p>
        </w:tc>
        <w:tc>
          <w:tcPr>
            <w:tcW w:w="2452" w:type="dxa"/>
            <w:vAlign w:val="top"/>
          </w:tcPr>
          <w:p w14:paraId="636C171E">
            <w:pPr>
              <w:pStyle w:val="6"/>
              <w:spacing w:before="54" w:line="223" w:lineRule="auto"/>
              <w:ind w:left="705"/>
              <w:rPr>
                <w:sz w:val="20"/>
                <w:szCs w:val="20"/>
              </w:rPr>
            </w:pPr>
            <w:r>
              <w:rPr>
                <w:spacing w:val="7"/>
                <w:sz w:val="20"/>
                <w:szCs w:val="20"/>
              </w:rPr>
              <w:t>水泥用灰岩</w:t>
            </w:r>
          </w:p>
        </w:tc>
        <w:tc>
          <w:tcPr>
            <w:tcW w:w="1883" w:type="dxa"/>
            <w:vAlign w:val="top"/>
          </w:tcPr>
          <w:p w14:paraId="553EE6D7">
            <w:pPr>
              <w:pStyle w:val="6"/>
              <w:spacing w:before="54" w:line="223" w:lineRule="auto"/>
              <w:ind w:left="481"/>
              <w:rPr>
                <w:sz w:val="20"/>
                <w:szCs w:val="20"/>
              </w:rPr>
            </w:pPr>
            <w:r>
              <w:rPr>
                <w:spacing w:val="1"/>
                <w:sz w:val="20"/>
                <w:szCs w:val="20"/>
              </w:rPr>
              <w:t>矿石</w:t>
            </w:r>
            <w:r>
              <w:rPr>
                <w:spacing w:val="24"/>
                <w:sz w:val="20"/>
                <w:szCs w:val="20"/>
              </w:rPr>
              <w:t xml:space="preserve"> </w:t>
            </w:r>
            <w:r>
              <w:rPr>
                <w:spacing w:val="1"/>
                <w:sz w:val="20"/>
                <w:szCs w:val="20"/>
              </w:rPr>
              <w:t>万吨</w:t>
            </w:r>
          </w:p>
        </w:tc>
        <w:tc>
          <w:tcPr>
            <w:tcW w:w="1687" w:type="dxa"/>
            <w:vAlign w:val="top"/>
          </w:tcPr>
          <w:p w14:paraId="32238B3F">
            <w:pPr>
              <w:spacing w:before="89" w:line="195" w:lineRule="auto"/>
              <w:ind w:left="64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3500</w:t>
            </w:r>
          </w:p>
        </w:tc>
        <w:tc>
          <w:tcPr>
            <w:tcW w:w="1189" w:type="dxa"/>
            <w:vMerge w:val="continue"/>
            <w:tcBorders>
              <w:top w:val="nil"/>
              <w:bottom w:val="nil"/>
              <w:right w:val="single" w:color="000000" w:sz="10" w:space="0"/>
            </w:tcBorders>
            <w:vAlign w:val="top"/>
          </w:tcPr>
          <w:p w14:paraId="5E8A8CF4">
            <w:pPr>
              <w:rPr>
                <w:rFonts w:ascii="Arial"/>
                <w:sz w:val="21"/>
              </w:rPr>
            </w:pPr>
          </w:p>
        </w:tc>
      </w:tr>
      <w:tr w14:paraId="4A6A5C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1584" w:type="dxa"/>
            <w:vMerge w:val="continue"/>
            <w:tcBorders>
              <w:top w:val="nil"/>
              <w:left w:val="single" w:color="000000" w:sz="10" w:space="0"/>
            </w:tcBorders>
            <w:vAlign w:val="top"/>
          </w:tcPr>
          <w:p w14:paraId="4D411782">
            <w:pPr>
              <w:rPr>
                <w:rFonts w:ascii="Arial"/>
                <w:sz w:val="21"/>
              </w:rPr>
            </w:pPr>
          </w:p>
        </w:tc>
        <w:tc>
          <w:tcPr>
            <w:tcW w:w="2452" w:type="dxa"/>
            <w:vAlign w:val="top"/>
          </w:tcPr>
          <w:p w14:paraId="17457543">
            <w:pPr>
              <w:pStyle w:val="6"/>
              <w:spacing w:before="55" w:line="222" w:lineRule="auto"/>
              <w:ind w:left="707"/>
              <w:rPr>
                <w:sz w:val="20"/>
                <w:szCs w:val="20"/>
              </w:rPr>
            </w:pPr>
            <w:r>
              <w:rPr>
                <w:spacing w:val="6"/>
                <w:sz w:val="20"/>
                <w:szCs w:val="20"/>
              </w:rPr>
              <w:t>饰面用灰岩</w:t>
            </w:r>
          </w:p>
        </w:tc>
        <w:tc>
          <w:tcPr>
            <w:tcW w:w="1883" w:type="dxa"/>
            <w:vAlign w:val="top"/>
          </w:tcPr>
          <w:p w14:paraId="4F65F177">
            <w:pPr>
              <w:pStyle w:val="6"/>
              <w:spacing w:before="55" w:line="222" w:lineRule="auto"/>
              <w:ind w:left="272"/>
              <w:rPr>
                <w:sz w:val="20"/>
                <w:szCs w:val="20"/>
              </w:rPr>
            </w:pPr>
            <w:r>
              <w:rPr>
                <w:spacing w:val="4"/>
                <w:sz w:val="20"/>
                <w:szCs w:val="20"/>
              </w:rPr>
              <w:t>矿石</w:t>
            </w:r>
            <w:r>
              <w:rPr>
                <w:spacing w:val="22"/>
                <w:sz w:val="20"/>
                <w:szCs w:val="20"/>
              </w:rPr>
              <w:t xml:space="preserve"> </w:t>
            </w:r>
            <w:r>
              <w:rPr>
                <w:spacing w:val="4"/>
                <w:sz w:val="20"/>
                <w:szCs w:val="20"/>
              </w:rPr>
              <w:t>万立方米</w:t>
            </w:r>
          </w:p>
        </w:tc>
        <w:tc>
          <w:tcPr>
            <w:tcW w:w="1687" w:type="dxa"/>
            <w:vAlign w:val="top"/>
          </w:tcPr>
          <w:p w14:paraId="01F86F8D">
            <w:pPr>
              <w:spacing w:before="90" w:line="195" w:lineRule="auto"/>
              <w:ind w:left="7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140</w:t>
            </w:r>
          </w:p>
        </w:tc>
        <w:tc>
          <w:tcPr>
            <w:tcW w:w="1189" w:type="dxa"/>
            <w:vMerge w:val="continue"/>
            <w:tcBorders>
              <w:top w:val="nil"/>
              <w:right w:val="single" w:color="000000" w:sz="10" w:space="0"/>
            </w:tcBorders>
            <w:vAlign w:val="top"/>
          </w:tcPr>
          <w:p w14:paraId="1514E84A">
            <w:pPr>
              <w:rPr>
                <w:rFonts w:ascii="Arial"/>
                <w:sz w:val="21"/>
              </w:rPr>
            </w:pPr>
          </w:p>
        </w:tc>
      </w:tr>
      <w:tr w14:paraId="1630E9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1584" w:type="dxa"/>
            <w:vMerge w:val="restart"/>
            <w:tcBorders>
              <w:left w:val="single" w:color="000000" w:sz="10" w:space="0"/>
              <w:bottom w:val="nil"/>
            </w:tcBorders>
            <w:vAlign w:val="top"/>
          </w:tcPr>
          <w:p w14:paraId="38598F29">
            <w:pPr>
              <w:spacing w:line="315" w:lineRule="auto"/>
              <w:rPr>
                <w:rFonts w:ascii="Arial"/>
                <w:sz w:val="21"/>
              </w:rPr>
            </w:pPr>
          </w:p>
          <w:p w14:paraId="37F41C03">
            <w:pPr>
              <w:spacing w:line="315" w:lineRule="auto"/>
              <w:rPr>
                <w:rFonts w:ascii="Arial"/>
                <w:sz w:val="21"/>
              </w:rPr>
            </w:pPr>
          </w:p>
          <w:p w14:paraId="57522A10">
            <w:pPr>
              <w:spacing w:line="315" w:lineRule="auto"/>
              <w:rPr>
                <w:rFonts w:ascii="Arial"/>
                <w:sz w:val="21"/>
              </w:rPr>
            </w:pPr>
          </w:p>
          <w:p w14:paraId="2934622A">
            <w:pPr>
              <w:pStyle w:val="6"/>
              <w:spacing w:before="65" w:line="252" w:lineRule="auto"/>
              <w:ind w:left="587" w:right="58" w:hanging="526"/>
              <w:rPr>
                <w:sz w:val="20"/>
                <w:szCs w:val="20"/>
              </w:rPr>
            </w:pPr>
            <w:r>
              <w:rPr>
                <w:spacing w:val="7"/>
                <w:sz w:val="20"/>
                <w:szCs w:val="20"/>
              </w:rPr>
              <w:t>主要矿种年开采</w:t>
            </w:r>
            <w:r>
              <w:rPr>
                <w:sz w:val="20"/>
                <w:szCs w:val="20"/>
              </w:rPr>
              <w:t xml:space="preserve"> </w:t>
            </w:r>
            <w:r>
              <w:rPr>
                <w:spacing w:val="-3"/>
                <w:sz w:val="20"/>
                <w:szCs w:val="20"/>
              </w:rPr>
              <w:t>总量</w:t>
            </w:r>
          </w:p>
        </w:tc>
        <w:tc>
          <w:tcPr>
            <w:tcW w:w="2452" w:type="dxa"/>
            <w:vAlign w:val="top"/>
          </w:tcPr>
          <w:p w14:paraId="06DA2DEB">
            <w:pPr>
              <w:pStyle w:val="6"/>
              <w:spacing w:before="56" w:line="221" w:lineRule="auto"/>
              <w:ind w:left="918"/>
              <w:rPr>
                <w:sz w:val="20"/>
                <w:szCs w:val="20"/>
              </w:rPr>
            </w:pPr>
            <w:r>
              <w:rPr>
                <w:spacing w:val="4"/>
                <w:sz w:val="20"/>
                <w:szCs w:val="20"/>
              </w:rPr>
              <w:t>铝土矿</w:t>
            </w:r>
          </w:p>
        </w:tc>
        <w:tc>
          <w:tcPr>
            <w:tcW w:w="1883" w:type="dxa"/>
            <w:vAlign w:val="top"/>
          </w:tcPr>
          <w:p w14:paraId="0FDB744B">
            <w:pPr>
              <w:pStyle w:val="6"/>
              <w:spacing w:before="56" w:line="221" w:lineRule="auto"/>
              <w:ind w:left="481"/>
              <w:rPr>
                <w:sz w:val="20"/>
                <w:szCs w:val="20"/>
              </w:rPr>
            </w:pPr>
            <w:r>
              <w:rPr>
                <w:spacing w:val="1"/>
                <w:sz w:val="20"/>
                <w:szCs w:val="20"/>
              </w:rPr>
              <w:t>矿石</w:t>
            </w:r>
            <w:r>
              <w:rPr>
                <w:spacing w:val="24"/>
                <w:sz w:val="20"/>
                <w:szCs w:val="20"/>
              </w:rPr>
              <w:t xml:space="preserve"> </w:t>
            </w:r>
            <w:r>
              <w:rPr>
                <w:spacing w:val="1"/>
                <w:sz w:val="20"/>
                <w:szCs w:val="20"/>
              </w:rPr>
              <w:t>万吨</w:t>
            </w:r>
          </w:p>
        </w:tc>
        <w:tc>
          <w:tcPr>
            <w:tcW w:w="1687" w:type="dxa"/>
            <w:vAlign w:val="top"/>
          </w:tcPr>
          <w:p w14:paraId="25B181D1">
            <w:pPr>
              <w:spacing w:before="91" w:line="195" w:lineRule="auto"/>
              <w:ind w:left="751"/>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189" w:type="dxa"/>
            <w:vMerge w:val="restart"/>
            <w:tcBorders>
              <w:bottom w:val="nil"/>
              <w:right w:val="single" w:color="000000" w:sz="10" w:space="0"/>
            </w:tcBorders>
            <w:vAlign w:val="top"/>
          </w:tcPr>
          <w:p w14:paraId="1AA34BA7">
            <w:pPr>
              <w:pStyle w:val="6"/>
              <w:spacing w:before="211" w:line="229" w:lineRule="auto"/>
              <w:ind w:left="297"/>
              <w:rPr>
                <w:sz w:val="20"/>
                <w:szCs w:val="20"/>
              </w:rPr>
            </w:pPr>
            <w:r>
              <w:rPr>
                <w:spacing w:val="4"/>
                <w:sz w:val="20"/>
                <w:szCs w:val="20"/>
              </w:rPr>
              <w:t>预期性</w:t>
            </w:r>
          </w:p>
        </w:tc>
      </w:tr>
      <w:tr w14:paraId="25D9F4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1584" w:type="dxa"/>
            <w:vMerge w:val="continue"/>
            <w:tcBorders>
              <w:top w:val="nil"/>
              <w:left w:val="single" w:color="000000" w:sz="10" w:space="0"/>
              <w:bottom w:val="nil"/>
            </w:tcBorders>
            <w:vAlign w:val="top"/>
          </w:tcPr>
          <w:p w14:paraId="3F0DCF2C">
            <w:pPr>
              <w:rPr>
                <w:rFonts w:ascii="Arial"/>
                <w:sz w:val="21"/>
              </w:rPr>
            </w:pPr>
          </w:p>
        </w:tc>
        <w:tc>
          <w:tcPr>
            <w:tcW w:w="2452" w:type="dxa"/>
            <w:vAlign w:val="top"/>
          </w:tcPr>
          <w:p w14:paraId="49071F56">
            <w:pPr>
              <w:pStyle w:val="6"/>
              <w:spacing w:before="56" w:line="221" w:lineRule="auto"/>
              <w:ind w:left="187"/>
              <w:rPr>
                <w:sz w:val="20"/>
                <w:szCs w:val="20"/>
              </w:rPr>
            </w:pPr>
            <w:r>
              <w:rPr>
                <w:spacing w:val="3"/>
                <w:sz w:val="20"/>
                <w:szCs w:val="20"/>
              </w:rPr>
              <w:t>萤石（普通）</w:t>
            </w:r>
            <w:r>
              <w:rPr>
                <w:spacing w:val="-54"/>
                <w:sz w:val="20"/>
                <w:szCs w:val="20"/>
              </w:rPr>
              <w:t xml:space="preserve"> </w:t>
            </w:r>
            <w:r>
              <w:rPr>
                <w:spacing w:val="3"/>
                <w:sz w:val="20"/>
                <w:szCs w:val="20"/>
              </w:rPr>
              <w:t>、重晶石</w:t>
            </w:r>
          </w:p>
        </w:tc>
        <w:tc>
          <w:tcPr>
            <w:tcW w:w="1883" w:type="dxa"/>
            <w:vAlign w:val="top"/>
          </w:tcPr>
          <w:p w14:paraId="69C82385">
            <w:pPr>
              <w:pStyle w:val="6"/>
              <w:spacing w:before="56" w:line="221" w:lineRule="auto"/>
              <w:ind w:left="481"/>
              <w:rPr>
                <w:sz w:val="20"/>
                <w:szCs w:val="20"/>
              </w:rPr>
            </w:pPr>
            <w:r>
              <w:rPr>
                <w:spacing w:val="1"/>
                <w:sz w:val="20"/>
                <w:szCs w:val="20"/>
              </w:rPr>
              <w:t>矿石</w:t>
            </w:r>
            <w:r>
              <w:rPr>
                <w:spacing w:val="24"/>
                <w:sz w:val="20"/>
                <w:szCs w:val="20"/>
              </w:rPr>
              <w:t xml:space="preserve"> </w:t>
            </w:r>
            <w:r>
              <w:rPr>
                <w:spacing w:val="1"/>
                <w:sz w:val="20"/>
                <w:szCs w:val="20"/>
              </w:rPr>
              <w:t>万吨</w:t>
            </w:r>
          </w:p>
        </w:tc>
        <w:tc>
          <w:tcPr>
            <w:tcW w:w="1687" w:type="dxa"/>
            <w:vAlign w:val="top"/>
          </w:tcPr>
          <w:p w14:paraId="2B3AFCD8">
            <w:pPr>
              <w:spacing w:before="92" w:line="195" w:lineRule="auto"/>
              <w:ind w:left="6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24.5</w:t>
            </w:r>
          </w:p>
        </w:tc>
        <w:tc>
          <w:tcPr>
            <w:tcW w:w="1189" w:type="dxa"/>
            <w:vMerge w:val="continue"/>
            <w:tcBorders>
              <w:top w:val="nil"/>
              <w:right w:val="single" w:color="000000" w:sz="10" w:space="0"/>
            </w:tcBorders>
            <w:vAlign w:val="top"/>
          </w:tcPr>
          <w:p w14:paraId="467F7A7F">
            <w:pPr>
              <w:rPr>
                <w:rFonts w:ascii="Arial"/>
                <w:sz w:val="21"/>
              </w:rPr>
            </w:pPr>
          </w:p>
        </w:tc>
      </w:tr>
      <w:tr w14:paraId="18E1EB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1584" w:type="dxa"/>
            <w:vMerge w:val="continue"/>
            <w:tcBorders>
              <w:top w:val="nil"/>
              <w:left w:val="single" w:color="000000" w:sz="10" w:space="0"/>
              <w:bottom w:val="nil"/>
            </w:tcBorders>
            <w:vAlign w:val="top"/>
          </w:tcPr>
          <w:p w14:paraId="622258F8">
            <w:pPr>
              <w:rPr>
                <w:rFonts w:ascii="Arial"/>
                <w:sz w:val="21"/>
              </w:rPr>
            </w:pPr>
          </w:p>
        </w:tc>
        <w:tc>
          <w:tcPr>
            <w:tcW w:w="2452" w:type="dxa"/>
            <w:vAlign w:val="top"/>
          </w:tcPr>
          <w:p w14:paraId="615CF4A6">
            <w:pPr>
              <w:pStyle w:val="6"/>
              <w:spacing w:before="57" w:line="220" w:lineRule="auto"/>
              <w:ind w:left="705"/>
              <w:rPr>
                <w:sz w:val="20"/>
                <w:szCs w:val="20"/>
              </w:rPr>
            </w:pPr>
            <w:r>
              <w:rPr>
                <w:spacing w:val="7"/>
                <w:sz w:val="20"/>
                <w:szCs w:val="20"/>
              </w:rPr>
              <w:t>水泥用灰岩</w:t>
            </w:r>
          </w:p>
        </w:tc>
        <w:tc>
          <w:tcPr>
            <w:tcW w:w="1883" w:type="dxa"/>
            <w:vAlign w:val="top"/>
          </w:tcPr>
          <w:p w14:paraId="5484BA78">
            <w:pPr>
              <w:pStyle w:val="6"/>
              <w:spacing w:before="57" w:line="220" w:lineRule="auto"/>
              <w:ind w:left="481"/>
              <w:rPr>
                <w:sz w:val="20"/>
                <w:szCs w:val="20"/>
              </w:rPr>
            </w:pPr>
            <w:r>
              <w:rPr>
                <w:spacing w:val="1"/>
                <w:sz w:val="20"/>
                <w:szCs w:val="20"/>
              </w:rPr>
              <w:t>矿石</w:t>
            </w:r>
            <w:r>
              <w:rPr>
                <w:spacing w:val="24"/>
                <w:sz w:val="20"/>
                <w:szCs w:val="20"/>
              </w:rPr>
              <w:t xml:space="preserve"> </w:t>
            </w:r>
            <w:r>
              <w:rPr>
                <w:spacing w:val="1"/>
                <w:sz w:val="20"/>
                <w:szCs w:val="20"/>
              </w:rPr>
              <w:t>万吨</w:t>
            </w:r>
          </w:p>
        </w:tc>
        <w:tc>
          <w:tcPr>
            <w:tcW w:w="1687" w:type="dxa"/>
            <w:vAlign w:val="top"/>
          </w:tcPr>
          <w:p w14:paraId="0C77A996">
            <w:pPr>
              <w:spacing w:before="93" w:line="195" w:lineRule="auto"/>
              <w:ind w:left="6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350</w:t>
            </w:r>
          </w:p>
        </w:tc>
        <w:tc>
          <w:tcPr>
            <w:tcW w:w="1189" w:type="dxa"/>
            <w:vMerge w:val="restart"/>
            <w:tcBorders>
              <w:bottom w:val="nil"/>
              <w:right w:val="single" w:color="000000" w:sz="10" w:space="0"/>
            </w:tcBorders>
            <w:vAlign w:val="top"/>
          </w:tcPr>
          <w:p w14:paraId="5DEE6D5E">
            <w:pPr>
              <w:pStyle w:val="6"/>
              <w:spacing w:before="220" w:line="229" w:lineRule="auto"/>
              <w:ind w:left="297"/>
              <w:rPr>
                <w:sz w:val="20"/>
                <w:szCs w:val="20"/>
              </w:rPr>
            </w:pPr>
            <w:r>
              <w:rPr>
                <w:spacing w:val="4"/>
                <w:sz w:val="20"/>
                <w:szCs w:val="20"/>
              </w:rPr>
              <w:t>约束性</w:t>
            </w:r>
          </w:p>
        </w:tc>
      </w:tr>
      <w:tr w14:paraId="72F6E3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1584" w:type="dxa"/>
            <w:vMerge w:val="continue"/>
            <w:tcBorders>
              <w:top w:val="nil"/>
              <w:left w:val="single" w:color="000000" w:sz="10" w:space="0"/>
              <w:bottom w:val="nil"/>
            </w:tcBorders>
            <w:vAlign w:val="top"/>
          </w:tcPr>
          <w:p w14:paraId="697C5733">
            <w:pPr>
              <w:rPr>
                <w:rFonts w:ascii="Arial"/>
                <w:sz w:val="21"/>
              </w:rPr>
            </w:pPr>
          </w:p>
        </w:tc>
        <w:tc>
          <w:tcPr>
            <w:tcW w:w="2452" w:type="dxa"/>
            <w:vAlign w:val="top"/>
          </w:tcPr>
          <w:p w14:paraId="124CECFC">
            <w:pPr>
              <w:pStyle w:val="6"/>
              <w:spacing w:before="68" w:line="225" w:lineRule="auto"/>
              <w:ind w:left="497"/>
              <w:rPr>
                <w:sz w:val="20"/>
                <w:szCs w:val="20"/>
              </w:rPr>
            </w:pPr>
            <w:r>
              <w:rPr>
                <w:spacing w:val="7"/>
                <w:sz w:val="20"/>
                <w:szCs w:val="20"/>
              </w:rPr>
              <w:t>建筑石料用灰岩</w:t>
            </w:r>
          </w:p>
        </w:tc>
        <w:tc>
          <w:tcPr>
            <w:tcW w:w="1883" w:type="dxa"/>
            <w:vAlign w:val="top"/>
          </w:tcPr>
          <w:p w14:paraId="7597B8C3">
            <w:pPr>
              <w:pStyle w:val="6"/>
              <w:spacing w:before="68" w:line="225" w:lineRule="auto"/>
              <w:ind w:left="481"/>
              <w:rPr>
                <w:sz w:val="20"/>
                <w:szCs w:val="20"/>
              </w:rPr>
            </w:pPr>
            <w:r>
              <w:rPr>
                <w:spacing w:val="1"/>
                <w:sz w:val="20"/>
                <w:szCs w:val="20"/>
              </w:rPr>
              <w:t>矿石</w:t>
            </w:r>
            <w:r>
              <w:rPr>
                <w:spacing w:val="24"/>
                <w:sz w:val="20"/>
                <w:szCs w:val="20"/>
              </w:rPr>
              <w:t xml:space="preserve"> </w:t>
            </w:r>
            <w:r>
              <w:rPr>
                <w:spacing w:val="1"/>
                <w:sz w:val="20"/>
                <w:szCs w:val="20"/>
              </w:rPr>
              <w:t>万吨</w:t>
            </w:r>
          </w:p>
        </w:tc>
        <w:tc>
          <w:tcPr>
            <w:tcW w:w="1687" w:type="dxa"/>
            <w:vAlign w:val="top"/>
          </w:tcPr>
          <w:p w14:paraId="45FF7BB4">
            <w:pPr>
              <w:spacing w:before="104" w:line="195" w:lineRule="auto"/>
              <w:ind w:left="6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700</w:t>
            </w:r>
          </w:p>
        </w:tc>
        <w:tc>
          <w:tcPr>
            <w:tcW w:w="1189" w:type="dxa"/>
            <w:vMerge w:val="continue"/>
            <w:tcBorders>
              <w:top w:val="nil"/>
              <w:right w:val="single" w:color="000000" w:sz="10" w:space="0"/>
            </w:tcBorders>
            <w:vAlign w:val="top"/>
          </w:tcPr>
          <w:p w14:paraId="0B37A23D">
            <w:pPr>
              <w:rPr>
                <w:rFonts w:ascii="Arial"/>
                <w:sz w:val="21"/>
              </w:rPr>
            </w:pPr>
          </w:p>
        </w:tc>
      </w:tr>
      <w:tr w14:paraId="189D7A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584" w:type="dxa"/>
            <w:vMerge w:val="continue"/>
            <w:tcBorders>
              <w:top w:val="nil"/>
              <w:left w:val="single" w:color="000000" w:sz="10" w:space="0"/>
              <w:bottom w:val="nil"/>
            </w:tcBorders>
            <w:vAlign w:val="top"/>
          </w:tcPr>
          <w:p w14:paraId="6C86AD54">
            <w:pPr>
              <w:rPr>
                <w:rFonts w:ascii="Arial"/>
                <w:sz w:val="21"/>
              </w:rPr>
            </w:pPr>
          </w:p>
        </w:tc>
        <w:tc>
          <w:tcPr>
            <w:tcW w:w="2452" w:type="dxa"/>
            <w:vAlign w:val="top"/>
          </w:tcPr>
          <w:p w14:paraId="3BD6EF4D">
            <w:pPr>
              <w:pStyle w:val="6"/>
              <w:spacing w:before="82" w:line="232" w:lineRule="auto"/>
              <w:ind w:left="707"/>
              <w:rPr>
                <w:sz w:val="20"/>
                <w:szCs w:val="20"/>
              </w:rPr>
            </w:pPr>
            <w:r>
              <w:rPr>
                <w:spacing w:val="6"/>
                <w:sz w:val="20"/>
                <w:szCs w:val="20"/>
              </w:rPr>
              <w:t>饰面用灰岩</w:t>
            </w:r>
          </w:p>
        </w:tc>
        <w:tc>
          <w:tcPr>
            <w:tcW w:w="1883" w:type="dxa"/>
            <w:vAlign w:val="top"/>
          </w:tcPr>
          <w:p w14:paraId="446D81F2">
            <w:pPr>
              <w:pStyle w:val="6"/>
              <w:spacing w:before="82" w:line="231" w:lineRule="auto"/>
              <w:ind w:left="536"/>
              <w:rPr>
                <w:sz w:val="20"/>
                <w:szCs w:val="20"/>
              </w:rPr>
            </w:pPr>
            <w:r>
              <w:rPr>
                <w:spacing w:val="5"/>
                <w:sz w:val="20"/>
                <w:szCs w:val="20"/>
              </w:rPr>
              <w:t>万立方米</w:t>
            </w:r>
          </w:p>
        </w:tc>
        <w:tc>
          <w:tcPr>
            <w:tcW w:w="1687" w:type="dxa"/>
            <w:vAlign w:val="top"/>
          </w:tcPr>
          <w:p w14:paraId="20913140">
            <w:pPr>
              <w:spacing w:before="118" w:line="195" w:lineRule="auto"/>
              <w:ind w:left="79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189" w:type="dxa"/>
            <w:vMerge w:val="restart"/>
            <w:tcBorders>
              <w:bottom w:val="nil"/>
              <w:right w:val="single" w:color="000000" w:sz="10" w:space="0"/>
            </w:tcBorders>
            <w:vAlign w:val="top"/>
          </w:tcPr>
          <w:p w14:paraId="00A0B587">
            <w:pPr>
              <w:spacing w:line="339" w:lineRule="auto"/>
              <w:rPr>
                <w:rFonts w:ascii="Arial"/>
                <w:sz w:val="21"/>
              </w:rPr>
            </w:pPr>
          </w:p>
          <w:p w14:paraId="671B5372">
            <w:pPr>
              <w:pStyle w:val="6"/>
              <w:spacing w:before="65" w:line="229" w:lineRule="auto"/>
              <w:ind w:left="297"/>
              <w:rPr>
                <w:sz w:val="20"/>
                <w:szCs w:val="20"/>
              </w:rPr>
            </w:pPr>
            <w:r>
              <w:rPr>
                <w:spacing w:val="4"/>
                <w:sz w:val="20"/>
                <w:szCs w:val="20"/>
              </w:rPr>
              <w:t>预期性</w:t>
            </w:r>
          </w:p>
        </w:tc>
      </w:tr>
      <w:tr w14:paraId="7D0A56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584" w:type="dxa"/>
            <w:vMerge w:val="continue"/>
            <w:tcBorders>
              <w:top w:val="nil"/>
              <w:left w:val="single" w:color="000000" w:sz="10" w:space="0"/>
              <w:bottom w:val="nil"/>
            </w:tcBorders>
            <w:vAlign w:val="top"/>
          </w:tcPr>
          <w:p w14:paraId="19062138">
            <w:pPr>
              <w:rPr>
                <w:rFonts w:ascii="Arial"/>
                <w:sz w:val="21"/>
              </w:rPr>
            </w:pPr>
          </w:p>
        </w:tc>
        <w:tc>
          <w:tcPr>
            <w:tcW w:w="2452" w:type="dxa"/>
            <w:vAlign w:val="top"/>
          </w:tcPr>
          <w:p w14:paraId="43A349D1">
            <w:pPr>
              <w:pStyle w:val="6"/>
              <w:spacing w:before="72" w:line="224" w:lineRule="auto"/>
              <w:ind w:left="706"/>
              <w:rPr>
                <w:sz w:val="20"/>
                <w:szCs w:val="20"/>
              </w:rPr>
            </w:pPr>
            <w:r>
              <w:rPr>
                <w:spacing w:val="7"/>
                <w:sz w:val="20"/>
                <w:szCs w:val="20"/>
              </w:rPr>
              <w:t>铸型用砂岩</w:t>
            </w:r>
          </w:p>
        </w:tc>
        <w:tc>
          <w:tcPr>
            <w:tcW w:w="1883" w:type="dxa"/>
            <w:vAlign w:val="top"/>
          </w:tcPr>
          <w:p w14:paraId="2BA1507A">
            <w:pPr>
              <w:pStyle w:val="6"/>
              <w:spacing w:before="72" w:line="224" w:lineRule="auto"/>
              <w:ind w:left="481"/>
              <w:rPr>
                <w:sz w:val="20"/>
                <w:szCs w:val="20"/>
              </w:rPr>
            </w:pPr>
            <w:r>
              <w:rPr>
                <w:spacing w:val="1"/>
                <w:sz w:val="20"/>
                <w:szCs w:val="20"/>
              </w:rPr>
              <w:t>矿石</w:t>
            </w:r>
            <w:r>
              <w:rPr>
                <w:spacing w:val="24"/>
                <w:sz w:val="20"/>
                <w:szCs w:val="20"/>
              </w:rPr>
              <w:t xml:space="preserve"> </w:t>
            </w:r>
            <w:r>
              <w:rPr>
                <w:spacing w:val="1"/>
                <w:sz w:val="20"/>
                <w:szCs w:val="20"/>
              </w:rPr>
              <w:t>万吨</w:t>
            </w:r>
          </w:p>
        </w:tc>
        <w:tc>
          <w:tcPr>
            <w:tcW w:w="1687" w:type="dxa"/>
            <w:vAlign w:val="top"/>
          </w:tcPr>
          <w:p w14:paraId="627F07E2">
            <w:pPr>
              <w:spacing w:before="110" w:line="195" w:lineRule="auto"/>
              <w:ind w:left="76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189" w:type="dxa"/>
            <w:vMerge w:val="continue"/>
            <w:tcBorders>
              <w:top w:val="nil"/>
              <w:bottom w:val="nil"/>
              <w:right w:val="single" w:color="000000" w:sz="10" w:space="0"/>
            </w:tcBorders>
            <w:vAlign w:val="top"/>
          </w:tcPr>
          <w:p w14:paraId="4BDEA3E5">
            <w:pPr>
              <w:rPr>
                <w:rFonts w:ascii="Arial"/>
                <w:sz w:val="21"/>
              </w:rPr>
            </w:pPr>
          </w:p>
        </w:tc>
      </w:tr>
      <w:tr w14:paraId="4DFA4F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1584" w:type="dxa"/>
            <w:vMerge w:val="continue"/>
            <w:tcBorders>
              <w:top w:val="nil"/>
              <w:left w:val="single" w:color="000000" w:sz="10" w:space="0"/>
            </w:tcBorders>
            <w:vAlign w:val="top"/>
          </w:tcPr>
          <w:p w14:paraId="2361AEBC">
            <w:pPr>
              <w:rPr>
                <w:rFonts w:ascii="Arial"/>
                <w:sz w:val="21"/>
              </w:rPr>
            </w:pPr>
          </w:p>
        </w:tc>
        <w:tc>
          <w:tcPr>
            <w:tcW w:w="2452" w:type="dxa"/>
            <w:vAlign w:val="top"/>
          </w:tcPr>
          <w:p w14:paraId="1218DDC1">
            <w:pPr>
              <w:pStyle w:val="6"/>
              <w:spacing w:before="66" w:line="212" w:lineRule="auto"/>
              <w:ind w:left="706"/>
              <w:rPr>
                <w:sz w:val="20"/>
                <w:szCs w:val="20"/>
              </w:rPr>
            </w:pPr>
            <w:r>
              <w:rPr>
                <w:spacing w:val="7"/>
                <w:sz w:val="20"/>
                <w:szCs w:val="20"/>
              </w:rPr>
              <w:t>建筑用砂岩</w:t>
            </w:r>
          </w:p>
        </w:tc>
        <w:tc>
          <w:tcPr>
            <w:tcW w:w="1883" w:type="dxa"/>
            <w:vAlign w:val="top"/>
          </w:tcPr>
          <w:p w14:paraId="02CFD457">
            <w:pPr>
              <w:pStyle w:val="6"/>
              <w:spacing w:before="66" w:line="212" w:lineRule="auto"/>
              <w:ind w:left="481"/>
              <w:rPr>
                <w:sz w:val="20"/>
                <w:szCs w:val="20"/>
              </w:rPr>
            </w:pPr>
            <w:r>
              <w:rPr>
                <w:spacing w:val="1"/>
                <w:sz w:val="20"/>
                <w:szCs w:val="20"/>
              </w:rPr>
              <w:t>矿石</w:t>
            </w:r>
            <w:r>
              <w:rPr>
                <w:spacing w:val="24"/>
                <w:sz w:val="20"/>
                <w:szCs w:val="20"/>
              </w:rPr>
              <w:t xml:space="preserve"> </w:t>
            </w:r>
            <w:r>
              <w:rPr>
                <w:spacing w:val="1"/>
                <w:sz w:val="20"/>
                <w:szCs w:val="20"/>
              </w:rPr>
              <w:t>万吨</w:t>
            </w:r>
          </w:p>
        </w:tc>
        <w:tc>
          <w:tcPr>
            <w:tcW w:w="1687" w:type="dxa"/>
            <w:vAlign w:val="top"/>
          </w:tcPr>
          <w:p w14:paraId="14021764">
            <w:pPr>
              <w:spacing w:before="102" w:line="195" w:lineRule="auto"/>
              <w:ind w:left="76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189" w:type="dxa"/>
            <w:vMerge w:val="continue"/>
            <w:tcBorders>
              <w:top w:val="nil"/>
              <w:right w:val="single" w:color="000000" w:sz="10" w:space="0"/>
            </w:tcBorders>
            <w:vAlign w:val="top"/>
          </w:tcPr>
          <w:p w14:paraId="153E2989">
            <w:pPr>
              <w:rPr>
                <w:rFonts w:ascii="Arial"/>
                <w:sz w:val="21"/>
              </w:rPr>
            </w:pPr>
          </w:p>
        </w:tc>
      </w:tr>
      <w:tr w14:paraId="4689DB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036" w:type="dxa"/>
            <w:gridSpan w:val="2"/>
            <w:tcBorders>
              <w:left w:val="single" w:color="000000" w:sz="10" w:space="0"/>
            </w:tcBorders>
            <w:vAlign w:val="top"/>
          </w:tcPr>
          <w:p w14:paraId="5BEDB331">
            <w:pPr>
              <w:pStyle w:val="6"/>
              <w:spacing w:before="67" w:line="210" w:lineRule="auto"/>
              <w:ind w:left="1598"/>
              <w:rPr>
                <w:sz w:val="20"/>
                <w:szCs w:val="20"/>
              </w:rPr>
            </w:pPr>
            <w:r>
              <w:rPr>
                <w:spacing w:val="5"/>
                <w:sz w:val="20"/>
                <w:szCs w:val="20"/>
              </w:rPr>
              <w:t>矿山数量</w:t>
            </w:r>
          </w:p>
        </w:tc>
        <w:tc>
          <w:tcPr>
            <w:tcW w:w="1883" w:type="dxa"/>
            <w:vAlign w:val="top"/>
          </w:tcPr>
          <w:p w14:paraId="77A96F3B">
            <w:pPr>
              <w:pStyle w:val="6"/>
              <w:spacing w:before="67" w:line="210" w:lineRule="auto"/>
              <w:ind w:left="849"/>
              <w:rPr>
                <w:sz w:val="20"/>
                <w:szCs w:val="20"/>
              </w:rPr>
            </w:pPr>
            <w:r>
              <w:rPr>
                <w:sz w:val="20"/>
                <w:szCs w:val="20"/>
              </w:rPr>
              <w:t>个</w:t>
            </w:r>
          </w:p>
        </w:tc>
        <w:tc>
          <w:tcPr>
            <w:tcW w:w="1687" w:type="dxa"/>
            <w:vAlign w:val="top"/>
          </w:tcPr>
          <w:p w14:paraId="28EDEFAB">
            <w:pPr>
              <w:spacing w:before="103" w:line="195" w:lineRule="auto"/>
              <w:ind w:left="7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1189" w:type="dxa"/>
            <w:vMerge w:val="restart"/>
            <w:tcBorders>
              <w:bottom w:val="nil"/>
              <w:right w:val="single" w:color="000000" w:sz="10" w:space="0"/>
            </w:tcBorders>
            <w:vAlign w:val="top"/>
          </w:tcPr>
          <w:p w14:paraId="42683E0E">
            <w:pPr>
              <w:pStyle w:val="6"/>
              <w:spacing w:before="230" w:line="229" w:lineRule="auto"/>
              <w:ind w:left="297"/>
              <w:rPr>
                <w:sz w:val="20"/>
                <w:szCs w:val="20"/>
              </w:rPr>
            </w:pPr>
            <w:r>
              <w:rPr>
                <w:spacing w:val="4"/>
                <w:sz w:val="20"/>
                <w:szCs w:val="20"/>
              </w:rPr>
              <w:t>约束性</w:t>
            </w:r>
          </w:p>
        </w:tc>
      </w:tr>
      <w:tr w14:paraId="6F108E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4036" w:type="dxa"/>
            <w:gridSpan w:val="2"/>
            <w:tcBorders>
              <w:left w:val="single" w:color="000000" w:sz="10" w:space="0"/>
              <w:bottom w:val="single" w:color="000000" w:sz="10" w:space="0"/>
            </w:tcBorders>
            <w:vAlign w:val="top"/>
          </w:tcPr>
          <w:p w14:paraId="77B2B20C">
            <w:pPr>
              <w:pStyle w:val="6"/>
              <w:spacing w:before="76" w:line="231" w:lineRule="auto"/>
              <w:ind w:left="1287"/>
              <w:rPr>
                <w:sz w:val="20"/>
                <w:szCs w:val="20"/>
              </w:rPr>
            </w:pPr>
            <w:r>
              <w:rPr>
                <w:spacing w:val="7"/>
                <w:sz w:val="20"/>
                <w:szCs w:val="20"/>
              </w:rPr>
              <w:t>大中型矿山比例</w:t>
            </w:r>
          </w:p>
        </w:tc>
        <w:tc>
          <w:tcPr>
            <w:tcW w:w="1883" w:type="dxa"/>
            <w:tcBorders>
              <w:bottom w:val="single" w:color="000000" w:sz="10" w:space="0"/>
            </w:tcBorders>
            <w:vAlign w:val="top"/>
          </w:tcPr>
          <w:p w14:paraId="24CCD078">
            <w:pPr>
              <w:spacing w:before="115" w:line="195" w:lineRule="auto"/>
              <w:ind w:left="861"/>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687" w:type="dxa"/>
            <w:tcBorders>
              <w:bottom w:val="single" w:color="000000" w:sz="10" w:space="0"/>
            </w:tcBorders>
            <w:vAlign w:val="top"/>
          </w:tcPr>
          <w:p w14:paraId="377199AD">
            <w:pPr>
              <w:spacing w:before="115" w:line="195" w:lineRule="auto"/>
              <w:ind w:left="751"/>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189" w:type="dxa"/>
            <w:vMerge w:val="continue"/>
            <w:tcBorders>
              <w:top w:val="nil"/>
              <w:bottom w:val="single" w:color="000000" w:sz="10" w:space="0"/>
              <w:right w:val="single" w:color="000000" w:sz="10" w:space="0"/>
            </w:tcBorders>
            <w:vAlign w:val="top"/>
          </w:tcPr>
          <w:p w14:paraId="708E6C8C">
            <w:pPr>
              <w:rPr>
                <w:rFonts w:ascii="Arial"/>
                <w:sz w:val="21"/>
              </w:rPr>
            </w:pPr>
          </w:p>
        </w:tc>
      </w:tr>
    </w:tbl>
    <w:p w14:paraId="440B024E">
      <w:pPr>
        <w:spacing w:before="266" w:line="229" w:lineRule="auto"/>
        <w:ind w:left="5"/>
        <w:outlineLvl w:val="2"/>
        <w:rPr>
          <w:rFonts w:ascii="仿宋" w:hAnsi="仿宋" w:eastAsia="仿宋" w:cs="仿宋"/>
          <w:sz w:val="25"/>
          <w:szCs w:val="25"/>
        </w:rPr>
      </w:pPr>
      <w:r>
        <w:rPr>
          <w:rFonts w:ascii="Times New Roman" w:hAnsi="Times New Roman" w:eastAsia="Times New Roman" w:cs="Times New Roman"/>
          <w:b/>
          <w:bCs/>
          <w:spacing w:val="2"/>
          <w:sz w:val="25"/>
          <w:szCs w:val="25"/>
        </w:rPr>
        <w:t>2.1.3</w:t>
      </w:r>
      <w:r>
        <w:rPr>
          <w:rFonts w:ascii="Times New Roman" w:hAnsi="Times New Roman" w:eastAsia="Times New Roman" w:cs="Times New Roman"/>
          <w:b/>
          <w:bCs/>
          <w:spacing w:val="28"/>
          <w:w w:val="101"/>
          <w:sz w:val="25"/>
          <w:szCs w:val="25"/>
        </w:rPr>
        <w:t xml:space="preserve"> </w:t>
      </w:r>
      <w:r>
        <w:rPr>
          <w:rFonts w:ascii="仿宋" w:hAnsi="仿宋" w:eastAsia="仿宋" w:cs="仿宋"/>
          <w:b/>
          <w:bCs/>
          <w:spacing w:val="2"/>
          <w:sz w:val="25"/>
          <w:szCs w:val="25"/>
        </w:rPr>
        <w:t>规划内容</w:t>
      </w:r>
    </w:p>
    <w:p w14:paraId="5C1D8DA3">
      <w:pPr>
        <w:spacing w:before="271" w:line="229" w:lineRule="auto"/>
        <w:ind w:left="5"/>
        <w:outlineLvl w:val="3"/>
        <w:rPr>
          <w:rFonts w:ascii="仿宋" w:hAnsi="仿宋" w:eastAsia="仿宋" w:cs="仿宋"/>
          <w:sz w:val="25"/>
          <w:szCs w:val="25"/>
        </w:rPr>
      </w:pPr>
      <w:r>
        <w:rPr>
          <w:rFonts w:ascii="Times New Roman" w:hAnsi="Times New Roman" w:eastAsia="Times New Roman" w:cs="Times New Roman"/>
          <w:b/>
          <w:bCs/>
          <w:spacing w:val="5"/>
          <w:sz w:val="25"/>
          <w:szCs w:val="25"/>
        </w:rPr>
        <w:t>2.1.3.1</w:t>
      </w:r>
      <w:r>
        <w:rPr>
          <w:rFonts w:ascii="Times New Roman" w:hAnsi="Times New Roman" w:eastAsia="Times New Roman" w:cs="Times New Roman"/>
          <w:b/>
          <w:bCs/>
          <w:spacing w:val="24"/>
          <w:sz w:val="25"/>
          <w:szCs w:val="25"/>
        </w:rPr>
        <w:t xml:space="preserve"> </w:t>
      </w:r>
      <w:r>
        <w:rPr>
          <w:rFonts w:ascii="仿宋" w:hAnsi="仿宋" w:eastAsia="仿宋" w:cs="仿宋"/>
          <w:b/>
          <w:bCs/>
          <w:spacing w:val="5"/>
          <w:sz w:val="25"/>
          <w:szCs w:val="25"/>
        </w:rPr>
        <w:t>矿产资源调查评价与勘查</w:t>
      </w:r>
    </w:p>
    <w:p w14:paraId="54F4E321">
      <w:pPr>
        <w:spacing w:before="268" w:line="229" w:lineRule="auto"/>
        <w:ind w:left="541"/>
        <w:rPr>
          <w:rFonts w:ascii="仿宋" w:hAnsi="仿宋" w:eastAsia="仿宋" w:cs="仿宋"/>
          <w:sz w:val="25"/>
          <w:szCs w:val="25"/>
        </w:rPr>
      </w:pPr>
      <w:r>
        <w:rPr>
          <w:rFonts w:ascii="仿宋" w:hAnsi="仿宋" w:eastAsia="仿宋" w:cs="仿宋"/>
          <w:b/>
          <w:bCs/>
          <w:spacing w:val="5"/>
          <w:sz w:val="25"/>
          <w:szCs w:val="25"/>
        </w:rPr>
        <w:t>（</w:t>
      </w:r>
      <w:r>
        <w:rPr>
          <w:rFonts w:ascii="Times New Roman" w:hAnsi="Times New Roman" w:eastAsia="Times New Roman" w:cs="Times New Roman"/>
          <w:b/>
          <w:bCs/>
          <w:spacing w:val="5"/>
          <w:sz w:val="25"/>
          <w:szCs w:val="25"/>
        </w:rPr>
        <w:t>1</w:t>
      </w:r>
      <w:r>
        <w:rPr>
          <w:rFonts w:ascii="仿宋" w:hAnsi="仿宋" w:eastAsia="仿宋" w:cs="仿宋"/>
          <w:b/>
          <w:bCs/>
          <w:spacing w:val="5"/>
          <w:sz w:val="25"/>
          <w:szCs w:val="25"/>
        </w:rPr>
        <w:t>）勘查开发调控方向</w:t>
      </w:r>
    </w:p>
    <w:p w14:paraId="525FC333">
      <w:pPr>
        <w:spacing w:before="152" w:line="339" w:lineRule="auto"/>
        <w:ind w:left="504" w:right="1905"/>
        <w:rPr>
          <w:rFonts w:ascii="仿宋" w:hAnsi="仿宋" w:eastAsia="仿宋" w:cs="仿宋"/>
          <w:sz w:val="25"/>
          <w:szCs w:val="25"/>
        </w:rPr>
      </w:pPr>
      <w:r>
        <w:rPr>
          <w:rFonts w:ascii="仿宋" w:hAnsi="仿宋" w:eastAsia="仿宋" w:cs="仿宋"/>
          <w:spacing w:val="7"/>
          <w:sz w:val="25"/>
          <w:szCs w:val="25"/>
        </w:rPr>
        <w:t>重点勘查萤石（普通）、重晶石、饰面用灰岩、铝土矿。</w:t>
      </w:r>
      <w:r>
        <w:rPr>
          <w:rFonts w:ascii="仿宋" w:hAnsi="仿宋" w:eastAsia="仿宋" w:cs="仿宋"/>
          <w:spacing w:val="8"/>
          <w:sz w:val="25"/>
          <w:szCs w:val="25"/>
        </w:rPr>
        <w:t xml:space="preserve"> 重点开发铝土矿和萤石（普通）、重晶石等。</w:t>
      </w:r>
    </w:p>
    <w:p w14:paraId="23E2646B">
      <w:pPr>
        <w:spacing w:before="1" w:line="226" w:lineRule="auto"/>
        <w:ind w:left="512"/>
        <w:rPr>
          <w:rFonts w:ascii="仿宋" w:hAnsi="仿宋" w:eastAsia="仿宋" w:cs="仿宋"/>
          <w:sz w:val="25"/>
          <w:szCs w:val="25"/>
        </w:rPr>
      </w:pPr>
      <w:r>
        <w:rPr>
          <w:rFonts w:ascii="仿宋" w:hAnsi="仿宋" w:eastAsia="仿宋" w:cs="仿宋"/>
          <w:spacing w:val="6"/>
          <w:sz w:val="25"/>
          <w:szCs w:val="25"/>
        </w:rPr>
        <w:t>限制开发煤、硫铁矿等矿产。</w:t>
      </w:r>
    </w:p>
    <w:p w14:paraId="4726C544">
      <w:pPr>
        <w:spacing w:line="226" w:lineRule="auto"/>
        <w:rPr>
          <w:rFonts w:ascii="仿宋" w:hAnsi="仿宋" w:eastAsia="仿宋" w:cs="仿宋"/>
          <w:sz w:val="25"/>
          <w:szCs w:val="25"/>
        </w:rPr>
        <w:sectPr>
          <w:footerReference r:id="rId42" w:type="default"/>
          <w:pgSz w:w="11906" w:h="16839"/>
          <w:pgMar w:top="1116" w:right="1474" w:bottom="1480" w:left="1587" w:header="683" w:footer="1318" w:gutter="0"/>
          <w:cols w:space="720" w:num="1"/>
        </w:sectPr>
      </w:pPr>
    </w:p>
    <w:p w14:paraId="5749B23E">
      <w:pPr>
        <w:pStyle w:val="2"/>
        <w:spacing w:line="386" w:lineRule="auto"/>
      </w:pPr>
    </w:p>
    <w:p w14:paraId="230D84C9">
      <w:pPr>
        <w:spacing w:before="82" w:line="339" w:lineRule="auto"/>
        <w:ind w:left="138" w:right="121" w:firstLine="485"/>
        <w:rPr>
          <w:rFonts w:ascii="仿宋" w:hAnsi="仿宋" w:eastAsia="仿宋" w:cs="仿宋"/>
          <w:sz w:val="25"/>
          <w:szCs w:val="25"/>
        </w:rPr>
      </w:pPr>
      <w:r>
        <w:rPr>
          <w:rFonts w:ascii="仿宋" w:hAnsi="仿宋" w:eastAsia="仿宋" w:cs="仿宋"/>
          <w:spacing w:val="10"/>
          <w:sz w:val="25"/>
          <w:szCs w:val="25"/>
        </w:rPr>
        <w:t>禁止开发砖瓦用粘土及其他对生态环境可能产生严重破坏且难以恢复的矿</w:t>
      </w:r>
      <w:r>
        <w:rPr>
          <w:rFonts w:ascii="仿宋" w:hAnsi="仿宋" w:eastAsia="仿宋" w:cs="仿宋"/>
          <w:spacing w:val="18"/>
          <w:sz w:val="25"/>
          <w:szCs w:val="25"/>
        </w:rPr>
        <w:t xml:space="preserve"> </w:t>
      </w:r>
      <w:r>
        <w:rPr>
          <w:rFonts w:ascii="仿宋" w:hAnsi="仿宋" w:eastAsia="仿宋" w:cs="仿宋"/>
          <w:spacing w:val="-6"/>
          <w:sz w:val="25"/>
          <w:szCs w:val="25"/>
        </w:rPr>
        <w:t>产。</w:t>
      </w:r>
    </w:p>
    <w:p w14:paraId="5EFE531A">
      <w:pPr>
        <w:spacing w:line="230" w:lineRule="auto"/>
        <w:ind w:left="621"/>
        <w:rPr>
          <w:rFonts w:ascii="仿宋" w:hAnsi="仿宋" w:eastAsia="仿宋" w:cs="仿宋"/>
          <w:sz w:val="25"/>
          <w:szCs w:val="25"/>
        </w:rPr>
      </w:pPr>
      <w:r>
        <w:rPr>
          <w:rFonts w:ascii="仿宋" w:hAnsi="仿宋" w:eastAsia="仿宋" w:cs="仿宋"/>
          <w:b/>
          <w:bCs/>
          <w:spacing w:val="6"/>
          <w:sz w:val="25"/>
          <w:szCs w:val="25"/>
        </w:rPr>
        <w:t>（</w:t>
      </w:r>
      <w:r>
        <w:rPr>
          <w:rFonts w:ascii="Times New Roman" w:hAnsi="Times New Roman" w:eastAsia="Times New Roman" w:cs="Times New Roman"/>
          <w:b/>
          <w:bCs/>
          <w:spacing w:val="6"/>
          <w:sz w:val="25"/>
          <w:szCs w:val="25"/>
        </w:rPr>
        <w:t>2</w:t>
      </w:r>
      <w:r>
        <w:rPr>
          <w:rFonts w:ascii="仿宋" w:hAnsi="仿宋" w:eastAsia="仿宋" w:cs="仿宋"/>
          <w:b/>
          <w:bCs/>
          <w:spacing w:val="6"/>
          <w:sz w:val="25"/>
          <w:szCs w:val="25"/>
        </w:rPr>
        <w:t>）矿产资源产业重点发展区域</w:t>
      </w:r>
    </w:p>
    <w:p w14:paraId="002F7E9D">
      <w:pPr>
        <w:spacing w:before="147" w:line="340" w:lineRule="auto"/>
        <w:ind w:left="138" w:right="121" w:firstLine="478"/>
        <w:jc w:val="both"/>
        <w:rPr>
          <w:rFonts w:ascii="仿宋" w:hAnsi="仿宋" w:eastAsia="仿宋" w:cs="仿宋"/>
          <w:sz w:val="25"/>
          <w:szCs w:val="25"/>
        </w:rPr>
      </w:pPr>
      <w:r>
        <w:rPr>
          <w:rFonts w:ascii="仿宋" w:hAnsi="仿宋" w:eastAsia="仿宋" w:cs="仿宋"/>
          <w:spacing w:val="11"/>
          <w:sz w:val="25"/>
          <w:szCs w:val="25"/>
        </w:rPr>
        <w:t>根据黔江区矿产资源的禀赋及经济社会发展需要，并结</w:t>
      </w:r>
      <w:r>
        <w:rPr>
          <w:rFonts w:ascii="仿宋" w:hAnsi="仿宋" w:eastAsia="仿宋" w:cs="仿宋"/>
          <w:spacing w:val="10"/>
          <w:sz w:val="25"/>
          <w:szCs w:val="25"/>
        </w:rPr>
        <w:t>合市级矿规的规划</w:t>
      </w:r>
      <w:r>
        <w:rPr>
          <w:rFonts w:ascii="仿宋" w:hAnsi="仿宋" w:eastAsia="仿宋" w:cs="仿宋"/>
          <w:sz w:val="25"/>
          <w:szCs w:val="25"/>
        </w:rPr>
        <w:t xml:space="preserve"> </w:t>
      </w:r>
      <w:r>
        <w:rPr>
          <w:rFonts w:ascii="仿宋" w:hAnsi="仿宋" w:eastAsia="仿宋" w:cs="仿宋"/>
          <w:spacing w:val="12"/>
          <w:sz w:val="25"/>
          <w:szCs w:val="25"/>
        </w:rPr>
        <w:t>布局，黔江区矿产资源规划设置重点勘查区</w:t>
      </w:r>
      <w:r>
        <w:rPr>
          <w:rFonts w:ascii="Times New Roman" w:hAnsi="Times New Roman" w:eastAsia="Times New Roman" w:cs="Times New Roman"/>
          <w:spacing w:val="12"/>
          <w:sz w:val="25"/>
          <w:szCs w:val="25"/>
        </w:rPr>
        <w:t>4</w:t>
      </w:r>
      <w:r>
        <w:rPr>
          <w:rFonts w:ascii="Times New Roman" w:hAnsi="Times New Roman" w:eastAsia="Times New Roman" w:cs="Times New Roman"/>
          <w:spacing w:val="23"/>
          <w:sz w:val="25"/>
          <w:szCs w:val="25"/>
        </w:rPr>
        <w:t xml:space="preserve"> </w:t>
      </w:r>
      <w:r>
        <w:rPr>
          <w:rFonts w:ascii="仿宋" w:hAnsi="仿宋" w:eastAsia="仿宋" w:cs="仿宋"/>
          <w:spacing w:val="12"/>
          <w:sz w:val="25"/>
          <w:szCs w:val="25"/>
        </w:rPr>
        <w:t>个，重点开采区</w:t>
      </w:r>
      <w:r>
        <w:rPr>
          <w:rFonts w:ascii="Times New Roman" w:hAnsi="Times New Roman" w:eastAsia="Times New Roman" w:cs="Times New Roman"/>
          <w:spacing w:val="12"/>
          <w:sz w:val="25"/>
          <w:szCs w:val="25"/>
        </w:rPr>
        <w:t>2</w:t>
      </w:r>
      <w:r>
        <w:rPr>
          <w:rFonts w:ascii="Times New Roman" w:hAnsi="Times New Roman" w:eastAsia="Times New Roman" w:cs="Times New Roman"/>
          <w:spacing w:val="20"/>
          <w:sz w:val="25"/>
          <w:szCs w:val="25"/>
        </w:rPr>
        <w:t xml:space="preserve"> </w:t>
      </w:r>
      <w:r>
        <w:rPr>
          <w:rFonts w:ascii="仿宋" w:hAnsi="仿宋" w:eastAsia="仿宋" w:cs="仿宋"/>
          <w:spacing w:val="12"/>
          <w:sz w:val="25"/>
          <w:szCs w:val="25"/>
        </w:rPr>
        <w:t>个，集</w:t>
      </w:r>
      <w:r>
        <w:rPr>
          <w:rFonts w:ascii="仿宋" w:hAnsi="仿宋" w:eastAsia="仿宋" w:cs="仿宋"/>
          <w:spacing w:val="11"/>
          <w:sz w:val="25"/>
          <w:szCs w:val="25"/>
        </w:rPr>
        <w:t>中开采</w:t>
      </w:r>
      <w:r>
        <w:rPr>
          <w:rFonts w:ascii="仿宋" w:hAnsi="仿宋" w:eastAsia="仿宋" w:cs="仿宋"/>
          <w:sz w:val="25"/>
          <w:szCs w:val="25"/>
        </w:rPr>
        <w:t xml:space="preserve"> </w:t>
      </w:r>
      <w:r>
        <w:rPr>
          <w:rFonts w:ascii="仿宋" w:hAnsi="仿宋" w:eastAsia="仿宋" w:cs="仿宋"/>
          <w:spacing w:val="-12"/>
          <w:sz w:val="25"/>
          <w:szCs w:val="25"/>
        </w:rPr>
        <w:t>区</w:t>
      </w:r>
      <w:r>
        <w:rPr>
          <w:rFonts w:ascii="仿宋" w:hAnsi="仿宋" w:eastAsia="仿宋" w:cs="仿宋"/>
          <w:spacing w:val="-26"/>
          <w:sz w:val="25"/>
          <w:szCs w:val="25"/>
        </w:rPr>
        <w:t xml:space="preserve"> </w:t>
      </w:r>
      <w:r>
        <w:rPr>
          <w:rFonts w:ascii="Times New Roman" w:hAnsi="Times New Roman" w:eastAsia="Times New Roman" w:cs="Times New Roman"/>
          <w:spacing w:val="-12"/>
          <w:sz w:val="25"/>
          <w:szCs w:val="25"/>
        </w:rPr>
        <w:t>1</w:t>
      </w:r>
      <w:r>
        <w:rPr>
          <w:rFonts w:ascii="Times New Roman" w:hAnsi="Times New Roman" w:eastAsia="Times New Roman" w:cs="Times New Roman"/>
          <w:spacing w:val="21"/>
          <w:sz w:val="25"/>
          <w:szCs w:val="25"/>
        </w:rPr>
        <w:t xml:space="preserve"> </w:t>
      </w:r>
      <w:r>
        <w:rPr>
          <w:rFonts w:ascii="仿宋" w:hAnsi="仿宋" w:eastAsia="仿宋" w:cs="仿宋"/>
          <w:spacing w:val="-12"/>
          <w:sz w:val="25"/>
          <w:szCs w:val="25"/>
        </w:rPr>
        <w:t>个。</w:t>
      </w:r>
    </w:p>
    <w:p w14:paraId="699F9712">
      <w:pPr>
        <w:spacing w:line="230" w:lineRule="auto"/>
        <w:ind w:left="630"/>
        <w:rPr>
          <w:rFonts w:ascii="仿宋" w:hAnsi="仿宋" w:eastAsia="仿宋" w:cs="仿宋"/>
          <w:sz w:val="25"/>
          <w:szCs w:val="25"/>
        </w:rPr>
      </w:pPr>
      <w:r>
        <w:rPr>
          <w:rFonts w:ascii="Times New Roman" w:hAnsi="Times New Roman" w:eastAsia="Times New Roman" w:cs="Times New Roman"/>
          <w:spacing w:val="4"/>
          <w:sz w:val="25"/>
          <w:szCs w:val="25"/>
        </w:rPr>
        <w:t>1</w:t>
      </w:r>
      <w:r>
        <w:rPr>
          <w:rFonts w:ascii="仿宋" w:hAnsi="仿宋" w:eastAsia="仿宋" w:cs="仿宋"/>
          <w:spacing w:val="4"/>
          <w:sz w:val="25"/>
          <w:szCs w:val="25"/>
        </w:rPr>
        <w:t>）重点勘查区</w:t>
      </w:r>
    </w:p>
    <w:p w14:paraId="5B3A856E">
      <w:pPr>
        <w:spacing w:before="149" w:line="338" w:lineRule="auto"/>
        <w:ind w:left="142" w:right="118" w:firstLine="474"/>
        <w:rPr>
          <w:rFonts w:ascii="仿宋" w:hAnsi="仿宋" w:eastAsia="仿宋" w:cs="仿宋"/>
          <w:sz w:val="25"/>
          <w:szCs w:val="25"/>
        </w:rPr>
      </w:pPr>
      <w:r>
        <w:rPr>
          <w:rFonts w:ascii="仿宋" w:hAnsi="仿宋" w:eastAsia="仿宋" w:cs="仿宋"/>
          <w:spacing w:val="10"/>
          <w:sz w:val="25"/>
          <w:szCs w:val="25"/>
        </w:rPr>
        <w:t>规划重点勘查矿区</w:t>
      </w:r>
      <w:r>
        <w:rPr>
          <w:rFonts w:ascii="Times New Roman" w:hAnsi="Times New Roman" w:eastAsia="Times New Roman" w:cs="Times New Roman"/>
          <w:spacing w:val="10"/>
          <w:sz w:val="25"/>
          <w:szCs w:val="25"/>
        </w:rPr>
        <w:t>4</w:t>
      </w:r>
      <w:r>
        <w:rPr>
          <w:rFonts w:ascii="Times New Roman" w:hAnsi="Times New Roman" w:eastAsia="Times New Roman" w:cs="Times New Roman"/>
          <w:spacing w:val="40"/>
          <w:sz w:val="25"/>
          <w:szCs w:val="25"/>
        </w:rPr>
        <w:t xml:space="preserve"> </w:t>
      </w:r>
      <w:r>
        <w:rPr>
          <w:rFonts w:ascii="仿宋" w:hAnsi="仿宋" w:eastAsia="仿宋" w:cs="仿宋"/>
          <w:spacing w:val="10"/>
          <w:sz w:val="25"/>
          <w:szCs w:val="25"/>
        </w:rPr>
        <w:t>个，主要针对萤石（普通）</w:t>
      </w:r>
      <w:r>
        <w:rPr>
          <w:rFonts w:ascii="仿宋" w:hAnsi="仿宋" w:eastAsia="仿宋" w:cs="仿宋"/>
          <w:spacing w:val="-74"/>
          <w:sz w:val="25"/>
          <w:szCs w:val="25"/>
        </w:rPr>
        <w:t xml:space="preserve"> </w:t>
      </w:r>
      <w:r>
        <w:rPr>
          <w:rFonts w:ascii="仿宋" w:hAnsi="仿宋" w:eastAsia="仿宋" w:cs="仿宋"/>
          <w:spacing w:val="10"/>
          <w:sz w:val="25"/>
          <w:szCs w:val="25"/>
        </w:rPr>
        <w:t>、重晶石矿、铝土矿、饰</w:t>
      </w:r>
      <w:r>
        <w:rPr>
          <w:rFonts w:ascii="仿宋" w:hAnsi="仿宋" w:eastAsia="仿宋" w:cs="仿宋"/>
          <w:sz w:val="25"/>
          <w:szCs w:val="25"/>
        </w:rPr>
        <w:t xml:space="preserve"> </w:t>
      </w:r>
      <w:r>
        <w:rPr>
          <w:rFonts w:ascii="仿宋" w:hAnsi="仿宋" w:eastAsia="仿宋" w:cs="仿宋"/>
          <w:spacing w:val="5"/>
          <w:sz w:val="25"/>
          <w:szCs w:val="25"/>
        </w:rPr>
        <w:t>面用灰岩，详细见表</w:t>
      </w:r>
      <w:r>
        <w:rPr>
          <w:rFonts w:ascii="仿宋" w:hAnsi="仿宋" w:eastAsia="仿宋" w:cs="仿宋"/>
          <w:spacing w:val="-50"/>
          <w:sz w:val="25"/>
          <w:szCs w:val="25"/>
        </w:rPr>
        <w:t xml:space="preserve"> </w:t>
      </w:r>
      <w:r>
        <w:rPr>
          <w:rFonts w:ascii="Times New Roman" w:hAnsi="Times New Roman" w:eastAsia="Times New Roman" w:cs="Times New Roman"/>
          <w:spacing w:val="5"/>
          <w:sz w:val="25"/>
          <w:szCs w:val="25"/>
        </w:rPr>
        <w:t>2.1-2</w:t>
      </w:r>
      <w:r>
        <w:rPr>
          <w:rFonts w:ascii="仿宋" w:hAnsi="仿宋" w:eastAsia="仿宋" w:cs="仿宋"/>
          <w:spacing w:val="5"/>
          <w:sz w:val="25"/>
          <w:szCs w:val="25"/>
        </w:rPr>
        <w:t>。</w:t>
      </w:r>
    </w:p>
    <w:p w14:paraId="51D1F384">
      <w:pPr>
        <w:spacing w:before="46" w:line="232" w:lineRule="auto"/>
        <w:ind w:left="2912"/>
        <w:rPr>
          <w:rFonts w:ascii="仿宋" w:hAnsi="仿宋" w:eastAsia="仿宋" w:cs="仿宋"/>
          <w:sz w:val="20"/>
          <w:szCs w:val="20"/>
        </w:rPr>
      </w:pPr>
      <w:r>
        <w:rPr>
          <w:rFonts w:ascii="仿宋" w:hAnsi="仿宋" w:eastAsia="仿宋" w:cs="仿宋"/>
          <w:b/>
          <w:bCs/>
          <w:spacing w:val="5"/>
          <w:sz w:val="20"/>
          <w:szCs w:val="20"/>
        </w:rPr>
        <w:t>表</w:t>
      </w:r>
      <w:r>
        <w:rPr>
          <w:rFonts w:ascii="仿宋" w:hAnsi="仿宋" w:eastAsia="仿宋" w:cs="仿宋"/>
          <w:spacing w:val="-22"/>
          <w:sz w:val="20"/>
          <w:szCs w:val="20"/>
        </w:rPr>
        <w:t xml:space="preserve"> </w:t>
      </w:r>
      <w:r>
        <w:rPr>
          <w:rFonts w:ascii="Times New Roman" w:hAnsi="Times New Roman" w:eastAsia="Times New Roman" w:cs="Times New Roman"/>
          <w:b/>
          <w:bCs/>
          <w:spacing w:val="5"/>
          <w:sz w:val="20"/>
          <w:szCs w:val="20"/>
        </w:rPr>
        <w:t xml:space="preserve">2.1-2    </w:t>
      </w:r>
      <w:r>
        <w:rPr>
          <w:rFonts w:ascii="仿宋" w:hAnsi="仿宋" w:eastAsia="仿宋" w:cs="仿宋"/>
          <w:b/>
          <w:bCs/>
          <w:spacing w:val="5"/>
          <w:sz w:val="20"/>
          <w:szCs w:val="20"/>
        </w:rPr>
        <w:t>黔江区矿产资源重点勘查区规划表</w:t>
      </w:r>
    </w:p>
    <w:p w14:paraId="40FBEA99">
      <w:pPr>
        <w:spacing w:line="20" w:lineRule="exact"/>
      </w:pPr>
    </w:p>
    <w:tbl>
      <w:tblPr>
        <w:tblStyle w:val="5"/>
        <w:tblW w:w="905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0"/>
        <w:gridCol w:w="876"/>
        <w:gridCol w:w="3495"/>
        <w:gridCol w:w="1520"/>
        <w:gridCol w:w="1580"/>
        <w:gridCol w:w="898"/>
      </w:tblGrid>
      <w:tr w14:paraId="6C0B45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90" w:type="dxa"/>
            <w:tcBorders>
              <w:top w:val="single" w:color="000000" w:sz="10" w:space="0"/>
              <w:left w:val="single" w:color="000000" w:sz="10" w:space="0"/>
            </w:tcBorders>
            <w:vAlign w:val="top"/>
          </w:tcPr>
          <w:p w14:paraId="61841F83">
            <w:pPr>
              <w:pStyle w:val="6"/>
              <w:spacing w:before="171" w:line="231" w:lineRule="auto"/>
              <w:ind w:left="132"/>
              <w:rPr>
                <w:sz w:val="20"/>
                <w:szCs w:val="20"/>
              </w:rPr>
            </w:pPr>
            <w:r>
              <w:rPr>
                <w:spacing w:val="2"/>
                <w:sz w:val="20"/>
                <w:szCs w:val="20"/>
              </w:rPr>
              <w:t>序号</w:t>
            </w:r>
          </w:p>
        </w:tc>
        <w:tc>
          <w:tcPr>
            <w:tcW w:w="876" w:type="dxa"/>
            <w:tcBorders>
              <w:top w:val="single" w:color="000000" w:sz="10" w:space="0"/>
            </w:tcBorders>
            <w:vAlign w:val="top"/>
          </w:tcPr>
          <w:p w14:paraId="5F31CA33">
            <w:pPr>
              <w:pStyle w:val="6"/>
              <w:spacing w:before="171" w:line="232" w:lineRule="auto"/>
              <w:ind w:left="231"/>
              <w:rPr>
                <w:sz w:val="20"/>
                <w:szCs w:val="20"/>
              </w:rPr>
            </w:pPr>
            <w:r>
              <w:rPr>
                <w:spacing w:val="1"/>
                <w:sz w:val="20"/>
                <w:szCs w:val="20"/>
              </w:rPr>
              <w:t>编号</w:t>
            </w:r>
          </w:p>
        </w:tc>
        <w:tc>
          <w:tcPr>
            <w:tcW w:w="3495" w:type="dxa"/>
            <w:tcBorders>
              <w:top w:val="single" w:color="000000" w:sz="10" w:space="0"/>
            </w:tcBorders>
            <w:vAlign w:val="top"/>
          </w:tcPr>
          <w:p w14:paraId="5A70C046">
            <w:pPr>
              <w:pStyle w:val="6"/>
              <w:spacing w:before="172" w:line="229" w:lineRule="auto"/>
              <w:ind w:left="1546"/>
              <w:rPr>
                <w:sz w:val="20"/>
                <w:szCs w:val="20"/>
              </w:rPr>
            </w:pPr>
            <w:r>
              <w:rPr>
                <w:spacing w:val="1"/>
                <w:sz w:val="20"/>
                <w:szCs w:val="20"/>
              </w:rPr>
              <w:t>名称</w:t>
            </w:r>
          </w:p>
        </w:tc>
        <w:tc>
          <w:tcPr>
            <w:tcW w:w="1520" w:type="dxa"/>
            <w:tcBorders>
              <w:top w:val="single" w:color="000000" w:sz="10" w:space="0"/>
            </w:tcBorders>
            <w:vAlign w:val="top"/>
          </w:tcPr>
          <w:p w14:paraId="06CD060F">
            <w:pPr>
              <w:pStyle w:val="6"/>
              <w:spacing w:before="172" w:line="229" w:lineRule="auto"/>
              <w:ind w:left="362"/>
              <w:rPr>
                <w:sz w:val="20"/>
                <w:szCs w:val="20"/>
              </w:rPr>
            </w:pPr>
            <w:r>
              <w:rPr>
                <w:spacing w:val="4"/>
                <w:sz w:val="20"/>
                <w:szCs w:val="20"/>
              </w:rPr>
              <w:t>主攻矿种</w:t>
            </w:r>
          </w:p>
        </w:tc>
        <w:tc>
          <w:tcPr>
            <w:tcW w:w="1580" w:type="dxa"/>
            <w:tcBorders>
              <w:top w:val="single" w:color="000000" w:sz="10" w:space="0"/>
            </w:tcBorders>
            <w:vAlign w:val="top"/>
          </w:tcPr>
          <w:p w14:paraId="6BE177F8">
            <w:pPr>
              <w:pStyle w:val="6"/>
              <w:spacing w:before="171" w:line="232" w:lineRule="auto"/>
              <w:ind w:left="285"/>
              <w:rPr>
                <w:sz w:val="20"/>
                <w:szCs w:val="20"/>
              </w:rPr>
            </w:pPr>
            <w:r>
              <w:rPr>
                <w:spacing w:val="6"/>
                <w:sz w:val="20"/>
                <w:szCs w:val="20"/>
              </w:rPr>
              <w:t>预获资源量</w:t>
            </w:r>
          </w:p>
        </w:tc>
        <w:tc>
          <w:tcPr>
            <w:tcW w:w="898" w:type="dxa"/>
            <w:tcBorders>
              <w:top w:val="single" w:color="000000" w:sz="10" w:space="0"/>
              <w:right w:val="single" w:color="000000" w:sz="10" w:space="0"/>
            </w:tcBorders>
            <w:vAlign w:val="top"/>
          </w:tcPr>
          <w:p w14:paraId="13CA38FE">
            <w:pPr>
              <w:pStyle w:val="6"/>
              <w:spacing w:before="36" w:line="232" w:lineRule="auto"/>
              <w:ind w:left="258"/>
              <w:rPr>
                <w:sz w:val="20"/>
                <w:szCs w:val="20"/>
              </w:rPr>
            </w:pPr>
            <w:r>
              <w:rPr>
                <w:spacing w:val="-1"/>
                <w:sz w:val="20"/>
                <w:szCs w:val="20"/>
              </w:rPr>
              <w:t>面积</w:t>
            </w:r>
          </w:p>
          <w:p w14:paraId="78A3DBF9">
            <w:pPr>
              <w:pStyle w:val="6"/>
              <w:spacing w:before="20" w:line="213" w:lineRule="auto"/>
              <w:ind w:right="21"/>
              <w:jc w:val="right"/>
              <w:rPr>
                <w:sz w:val="20"/>
                <w:szCs w:val="20"/>
              </w:rPr>
            </w:pPr>
            <w:r>
              <w:rPr>
                <w:spacing w:val="2"/>
                <w:sz w:val="20"/>
                <w:szCs w:val="20"/>
              </w:rPr>
              <w:t>（</w:t>
            </w:r>
            <w:r>
              <w:rPr>
                <w:rFonts w:ascii="Times New Roman" w:hAnsi="Times New Roman" w:eastAsia="Times New Roman" w:cs="Times New Roman"/>
                <w:sz w:val="20"/>
                <w:szCs w:val="20"/>
              </w:rPr>
              <w:t>km</w:t>
            </w:r>
            <w:r>
              <w:rPr>
                <w:rFonts w:ascii="Times New Roman" w:hAnsi="Times New Roman" w:eastAsia="Times New Roman" w:cs="Times New Roman"/>
                <w:spacing w:val="2"/>
                <w:position w:val="6"/>
                <w:sz w:val="13"/>
                <w:szCs w:val="13"/>
              </w:rPr>
              <w:t>2</w:t>
            </w:r>
            <w:r>
              <w:rPr>
                <w:spacing w:val="2"/>
                <w:sz w:val="20"/>
                <w:szCs w:val="20"/>
              </w:rPr>
              <w:t>）</w:t>
            </w:r>
          </w:p>
        </w:tc>
      </w:tr>
      <w:tr w14:paraId="25FE6F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690" w:type="dxa"/>
            <w:tcBorders>
              <w:left w:val="single" w:color="000000" w:sz="10" w:space="0"/>
            </w:tcBorders>
            <w:vAlign w:val="top"/>
          </w:tcPr>
          <w:p w14:paraId="42C0AEFA">
            <w:pPr>
              <w:spacing w:before="208" w:line="195" w:lineRule="auto"/>
              <w:ind w:left="29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876" w:type="dxa"/>
            <w:vAlign w:val="top"/>
          </w:tcPr>
          <w:p w14:paraId="53068657">
            <w:pPr>
              <w:spacing w:before="207" w:line="195" w:lineRule="auto"/>
              <w:ind w:left="133"/>
              <w:rPr>
                <w:rFonts w:ascii="Times New Roman" w:hAnsi="Times New Roman" w:eastAsia="Times New Roman" w:cs="Times New Roman"/>
                <w:sz w:val="20"/>
                <w:szCs w:val="20"/>
              </w:rPr>
            </w:pPr>
            <w:r>
              <w:rPr>
                <w:rFonts w:ascii="Times New Roman" w:hAnsi="Times New Roman" w:eastAsia="Times New Roman" w:cs="Times New Roman"/>
                <w:sz w:val="20"/>
                <w:szCs w:val="20"/>
              </w:rPr>
              <w:t>KZ</w:t>
            </w:r>
            <w:r>
              <w:rPr>
                <w:rFonts w:ascii="Times New Roman" w:hAnsi="Times New Roman" w:eastAsia="Times New Roman" w:cs="Times New Roman"/>
                <w:spacing w:val="7"/>
                <w:sz w:val="20"/>
                <w:szCs w:val="20"/>
              </w:rPr>
              <w:t>001</w:t>
            </w:r>
          </w:p>
        </w:tc>
        <w:tc>
          <w:tcPr>
            <w:tcW w:w="3495" w:type="dxa"/>
            <w:vAlign w:val="top"/>
          </w:tcPr>
          <w:p w14:paraId="78AFC6BB">
            <w:pPr>
              <w:pStyle w:val="6"/>
              <w:spacing w:before="35" w:line="230" w:lineRule="auto"/>
              <w:ind w:left="188"/>
              <w:rPr>
                <w:sz w:val="20"/>
                <w:szCs w:val="20"/>
              </w:rPr>
            </w:pPr>
            <w:r>
              <w:rPr>
                <w:spacing w:val="8"/>
                <w:sz w:val="20"/>
                <w:szCs w:val="20"/>
              </w:rPr>
              <w:t>重庆市黔江区金溪镇望岭村彭家湾</w:t>
            </w:r>
          </w:p>
          <w:p w14:paraId="72063609">
            <w:pPr>
              <w:pStyle w:val="6"/>
              <w:spacing w:before="24" w:line="208" w:lineRule="auto"/>
              <w:ind w:left="1448"/>
              <w:rPr>
                <w:sz w:val="20"/>
                <w:szCs w:val="20"/>
              </w:rPr>
            </w:pPr>
            <w:r>
              <w:rPr>
                <w:spacing w:val="2"/>
                <w:sz w:val="20"/>
                <w:szCs w:val="20"/>
              </w:rPr>
              <w:t>萤石矿</w:t>
            </w:r>
          </w:p>
        </w:tc>
        <w:tc>
          <w:tcPr>
            <w:tcW w:w="1520" w:type="dxa"/>
            <w:vAlign w:val="top"/>
          </w:tcPr>
          <w:p w14:paraId="0500C00B">
            <w:pPr>
              <w:pStyle w:val="6"/>
              <w:spacing w:before="171" w:line="234" w:lineRule="auto"/>
              <w:ind w:left="152"/>
              <w:rPr>
                <w:sz w:val="20"/>
                <w:szCs w:val="20"/>
              </w:rPr>
            </w:pPr>
            <w:r>
              <w:rPr>
                <w:spacing w:val="4"/>
                <w:sz w:val="20"/>
                <w:szCs w:val="20"/>
              </w:rPr>
              <w:t>萤石（普通）</w:t>
            </w:r>
          </w:p>
        </w:tc>
        <w:tc>
          <w:tcPr>
            <w:tcW w:w="1580" w:type="dxa"/>
            <w:vAlign w:val="top"/>
          </w:tcPr>
          <w:p w14:paraId="4B882F06">
            <w:pPr>
              <w:pStyle w:val="6"/>
              <w:spacing w:before="172" w:line="234" w:lineRule="auto"/>
              <w:ind w:left="227"/>
              <w:rPr>
                <w:sz w:val="20"/>
                <w:szCs w:val="20"/>
              </w:rPr>
            </w:pPr>
            <w:r>
              <w:rPr>
                <w:rFonts w:ascii="Times New Roman" w:hAnsi="Times New Roman" w:eastAsia="Times New Roman" w:cs="Times New Roman"/>
                <w:spacing w:val="5"/>
                <w:sz w:val="20"/>
                <w:szCs w:val="20"/>
              </w:rPr>
              <w:t xml:space="preserve">50 </w:t>
            </w:r>
            <w:r>
              <w:rPr>
                <w:rFonts w:ascii="Times New Roman" w:hAnsi="Times New Roman" w:eastAsia="Times New Roman" w:cs="Times New Roman"/>
                <w:sz w:val="20"/>
                <w:szCs w:val="20"/>
              </w:rPr>
              <w:t>CaF</w:t>
            </w:r>
            <w:r>
              <w:rPr>
                <w:rFonts w:ascii="Times New Roman" w:hAnsi="Times New Roman" w:eastAsia="Times New Roman" w:cs="Times New Roman"/>
                <w:spacing w:val="5"/>
                <w:position w:val="-1"/>
                <w:sz w:val="13"/>
                <w:szCs w:val="13"/>
              </w:rPr>
              <w:t>2</w:t>
            </w:r>
            <w:r>
              <w:rPr>
                <w:rFonts w:ascii="Times New Roman" w:hAnsi="Times New Roman" w:eastAsia="Times New Roman" w:cs="Times New Roman"/>
                <w:spacing w:val="5"/>
                <w:sz w:val="20"/>
                <w:szCs w:val="20"/>
              </w:rPr>
              <w:t>/</w:t>
            </w:r>
            <w:r>
              <w:rPr>
                <w:spacing w:val="5"/>
                <w:sz w:val="20"/>
                <w:szCs w:val="20"/>
              </w:rPr>
              <w:t>万吨</w:t>
            </w:r>
          </w:p>
        </w:tc>
        <w:tc>
          <w:tcPr>
            <w:tcW w:w="898" w:type="dxa"/>
            <w:tcBorders>
              <w:right w:val="single" w:color="000000" w:sz="10" w:space="0"/>
            </w:tcBorders>
            <w:vAlign w:val="top"/>
          </w:tcPr>
          <w:p w14:paraId="63AAF784">
            <w:pPr>
              <w:spacing w:before="207"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22.3</w:t>
            </w:r>
          </w:p>
        </w:tc>
      </w:tr>
      <w:tr w14:paraId="6D6B38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690" w:type="dxa"/>
            <w:tcBorders>
              <w:left w:val="single" w:color="000000" w:sz="10" w:space="0"/>
            </w:tcBorders>
            <w:vAlign w:val="top"/>
          </w:tcPr>
          <w:p w14:paraId="48FA84B8">
            <w:pPr>
              <w:spacing w:before="213" w:line="195" w:lineRule="auto"/>
              <w:ind w:left="27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876" w:type="dxa"/>
            <w:vAlign w:val="top"/>
          </w:tcPr>
          <w:p w14:paraId="68C62398">
            <w:pPr>
              <w:spacing w:before="213" w:line="195" w:lineRule="auto"/>
              <w:ind w:left="133"/>
              <w:rPr>
                <w:rFonts w:ascii="Times New Roman" w:hAnsi="Times New Roman" w:eastAsia="Times New Roman" w:cs="Times New Roman"/>
                <w:sz w:val="20"/>
                <w:szCs w:val="20"/>
              </w:rPr>
            </w:pPr>
            <w:r>
              <w:rPr>
                <w:rFonts w:ascii="Times New Roman" w:hAnsi="Times New Roman" w:eastAsia="Times New Roman" w:cs="Times New Roman"/>
                <w:sz w:val="20"/>
                <w:szCs w:val="20"/>
              </w:rPr>
              <w:t>KZ</w:t>
            </w:r>
            <w:r>
              <w:rPr>
                <w:rFonts w:ascii="Times New Roman" w:hAnsi="Times New Roman" w:eastAsia="Times New Roman" w:cs="Times New Roman"/>
                <w:spacing w:val="7"/>
                <w:sz w:val="20"/>
                <w:szCs w:val="20"/>
              </w:rPr>
              <w:t>002</w:t>
            </w:r>
          </w:p>
        </w:tc>
        <w:tc>
          <w:tcPr>
            <w:tcW w:w="3495" w:type="dxa"/>
            <w:vAlign w:val="top"/>
          </w:tcPr>
          <w:p w14:paraId="34D0344E">
            <w:pPr>
              <w:pStyle w:val="6"/>
              <w:spacing w:before="43" w:line="230" w:lineRule="auto"/>
              <w:ind w:left="188"/>
              <w:rPr>
                <w:sz w:val="20"/>
                <w:szCs w:val="20"/>
              </w:rPr>
            </w:pPr>
            <w:r>
              <w:rPr>
                <w:spacing w:val="8"/>
                <w:sz w:val="20"/>
                <w:szCs w:val="20"/>
              </w:rPr>
              <w:t>重庆市黔江区新华乡大田村长湾重</w:t>
            </w:r>
          </w:p>
          <w:p w14:paraId="62474CB9">
            <w:pPr>
              <w:pStyle w:val="6"/>
              <w:spacing w:before="21" w:line="203" w:lineRule="auto"/>
              <w:ind w:left="1459"/>
              <w:rPr>
                <w:sz w:val="20"/>
                <w:szCs w:val="20"/>
              </w:rPr>
            </w:pPr>
            <w:r>
              <w:rPr>
                <w:spacing w:val="-1"/>
                <w:sz w:val="20"/>
                <w:szCs w:val="20"/>
              </w:rPr>
              <w:t>晶石矿</w:t>
            </w:r>
          </w:p>
        </w:tc>
        <w:tc>
          <w:tcPr>
            <w:tcW w:w="1520" w:type="dxa"/>
            <w:vAlign w:val="top"/>
          </w:tcPr>
          <w:p w14:paraId="2C84C0E6">
            <w:pPr>
              <w:pStyle w:val="6"/>
              <w:spacing w:before="176" w:line="232" w:lineRule="auto"/>
              <w:ind w:left="466"/>
              <w:rPr>
                <w:sz w:val="20"/>
                <w:szCs w:val="20"/>
              </w:rPr>
            </w:pPr>
            <w:r>
              <w:rPr>
                <w:spacing w:val="2"/>
                <w:sz w:val="20"/>
                <w:szCs w:val="20"/>
              </w:rPr>
              <w:t>重晶石</w:t>
            </w:r>
          </w:p>
        </w:tc>
        <w:tc>
          <w:tcPr>
            <w:tcW w:w="1580" w:type="dxa"/>
            <w:vAlign w:val="top"/>
          </w:tcPr>
          <w:p w14:paraId="104B2469">
            <w:pPr>
              <w:pStyle w:val="6"/>
              <w:spacing w:before="177" w:line="234" w:lineRule="auto"/>
              <w:ind w:left="463"/>
              <w:rPr>
                <w:sz w:val="20"/>
                <w:szCs w:val="20"/>
              </w:rPr>
            </w:pPr>
            <w:r>
              <w:rPr>
                <w:rFonts w:ascii="Times New Roman" w:hAnsi="Times New Roman" w:eastAsia="Times New Roman" w:cs="Times New Roman"/>
                <w:sz w:val="20"/>
                <w:szCs w:val="20"/>
              </w:rPr>
              <w:t>60</w:t>
            </w:r>
            <w:r>
              <w:rPr>
                <w:rFonts w:ascii="Times New Roman" w:hAnsi="Times New Roman" w:eastAsia="Times New Roman" w:cs="Times New Roman"/>
                <w:spacing w:val="19"/>
                <w:sz w:val="20"/>
                <w:szCs w:val="20"/>
              </w:rPr>
              <w:t xml:space="preserve"> </w:t>
            </w:r>
            <w:r>
              <w:rPr>
                <w:sz w:val="20"/>
                <w:szCs w:val="20"/>
              </w:rPr>
              <w:t>万吨</w:t>
            </w:r>
          </w:p>
        </w:tc>
        <w:tc>
          <w:tcPr>
            <w:tcW w:w="898" w:type="dxa"/>
            <w:tcBorders>
              <w:right w:val="single" w:color="000000" w:sz="10" w:space="0"/>
            </w:tcBorders>
            <w:vAlign w:val="top"/>
          </w:tcPr>
          <w:p w14:paraId="3CA79B50">
            <w:pPr>
              <w:spacing w:before="213"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48.0</w:t>
            </w:r>
          </w:p>
        </w:tc>
      </w:tr>
      <w:tr w14:paraId="53667A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690" w:type="dxa"/>
            <w:tcBorders>
              <w:left w:val="single" w:color="000000" w:sz="10" w:space="0"/>
            </w:tcBorders>
            <w:vAlign w:val="top"/>
          </w:tcPr>
          <w:p w14:paraId="35797537">
            <w:pPr>
              <w:spacing w:before="221" w:line="195" w:lineRule="auto"/>
              <w:ind w:left="28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876" w:type="dxa"/>
            <w:vAlign w:val="top"/>
          </w:tcPr>
          <w:p w14:paraId="739DCA14">
            <w:pPr>
              <w:spacing w:before="221" w:line="195" w:lineRule="auto"/>
              <w:ind w:left="133"/>
              <w:rPr>
                <w:rFonts w:ascii="Times New Roman" w:hAnsi="Times New Roman" w:eastAsia="Times New Roman" w:cs="Times New Roman"/>
                <w:sz w:val="20"/>
                <w:szCs w:val="20"/>
              </w:rPr>
            </w:pPr>
            <w:r>
              <w:rPr>
                <w:rFonts w:ascii="Times New Roman" w:hAnsi="Times New Roman" w:eastAsia="Times New Roman" w:cs="Times New Roman"/>
                <w:sz w:val="20"/>
                <w:szCs w:val="20"/>
              </w:rPr>
              <w:t>KZ</w:t>
            </w:r>
            <w:r>
              <w:rPr>
                <w:rFonts w:ascii="Times New Roman" w:hAnsi="Times New Roman" w:eastAsia="Times New Roman" w:cs="Times New Roman"/>
                <w:spacing w:val="7"/>
                <w:sz w:val="20"/>
                <w:szCs w:val="20"/>
              </w:rPr>
              <w:t>003</w:t>
            </w:r>
          </w:p>
        </w:tc>
        <w:tc>
          <w:tcPr>
            <w:tcW w:w="3495" w:type="dxa"/>
            <w:vAlign w:val="top"/>
          </w:tcPr>
          <w:p w14:paraId="094300C1">
            <w:pPr>
              <w:pStyle w:val="6"/>
              <w:spacing w:before="48" w:line="231" w:lineRule="auto"/>
              <w:ind w:left="188"/>
              <w:rPr>
                <w:sz w:val="20"/>
                <w:szCs w:val="20"/>
              </w:rPr>
            </w:pPr>
            <w:r>
              <w:rPr>
                <w:spacing w:val="8"/>
                <w:sz w:val="20"/>
                <w:szCs w:val="20"/>
              </w:rPr>
              <w:t>重庆市黔江区二坪—石家河铝土矿</w:t>
            </w:r>
          </w:p>
          <w:p w14:paraId="45A6EC2E">
            <w:pPr>
              <w:pStyle w:val="6"/>
              <w:spacing w:before="20" w:line="199" w:lineRule="auto"/>
              <w:ind w:left="1237"/>
              <w:rPr>
                <w:sz w:val="20"/>
                <w:szCs w:val="20"/>
              </w:rPr>
            </w:pPr>
            <w:r>
              <w:rPr>
                <w:spacing w:val="5"/>
                <w:sz w:val="20"/>
                <w:szCs w:val="20"/>
              </w:rPr>
              <w:t>重点勘查区</w:t>
            </w:r>
          </w:p>
        </w:tc>
        <w:tc>
          <w:tcPr>
            <w:tcW w:w="1520" w:type="dxa"/>
            <w:vAlign w:val="top"/>
          </w:tcPr>
          <w:p w14:paraId="5A05F824">
            <w:pPr>
              <w:pStyle w:val="6"/>
              <w:spacing w:before="183" w:line="232" w:lineRule="auto"/>
              <w:ind w:left="460"/>
              <w:rPr>
                <w:sz w:val="20"/>
                <w:szCs w:val="20"/>
              </w:rPr>
            </w:pPr>
            <w:r>
              <w:rPr>
                <w:spacing w:val="4"/>
                <w:sz w:val="20"/>
                <w:szCs w:val="20"/>
              </w:rPr>
              <w:t>铝土矿</w:t>
            </w:r>
          </w:p>
        </w:tc>
        <w:tc>
          <w:tcPr>
            <w:tcW w:w="1580" w:type="dxa"/>
            <w:vAlign w:val="top"/>
          </w:tcPr>
          <w:p w14:paraId="1E029934">
            <w:pPr>
              <w:pStyle w:val="6"/>
              <w:spacing w:before="183" w:line="232" w:lineRule="auto"/>
              <w:ind w:left="151"/>
              <w:rPr>
                <w:sz w:val="20"/>
                <w:szCs w:val="20"/>
              </w:rPr>
            </w:pPr>
            <w:r>
              <w:rPr>
                <w:spacing w:val="1"/>
                <w:sz w:val="20"/>
                <w:szCs w:val="20"/>
              </w:rPr>
              <w:t>矿石</w:t>
            </w:r>
            <w:r>
              <w:rPr>
                <w:spacing w:val="21"/>
                <w:sz w:val="20"/>
                <w:szCs w:val="20"/>
              </w:rPr>
              <w:t xml:space="preserve"> </w:t>
            </w:r>
            <w:r>
              <w:rPr>
                <w:rFonts w:ascii="Times New Roman" w:hAnsi="Times New Roman" w:eastAsia="Times New Roman" w:cs="Times New Roman"/>
                <w:spacing w:val="1"/>
                <w:sz w:val="20"/>
                <w:szCs w:val="20"/>
              </w:rPr>
              <w:t>920</w:t>
            </w:r>
            <w:r>
              <w:rPr>
                <w:rFonts w:ascii="Times New Roman" w:hAnsi="Times New Roman" w:eastAsia="Times New Roman" w:cs="Times New Roman"/>
                <w:spacing w:val="17"/>
                <w:w w:val="101"/>
                <w:sz w:val="20"/>
                <w:szCs w:val="20"/>
              </w:rPr>
              <w:t xml:space="preserve"> </w:t>
            </w:r>
            <w:r>
              <w:rPr>
                <w:spacing w:val="1"/>
                <w:sz w:val="20"/>
                <w:szCs w:val="20"/>
              </w:rPr>
              <w:t>万吨</w:t>
            </w:r>
          </w:p>
        </w:tc>
        <w:tc>
          <w:tcPr>
            <w:tcW w:w="898" w:type="dxa"/>
            <w:tcBorders>
              <w:right w:val="single" w:color="000000" w:sz="10" w:space="0"/>
            </w:tcBorders>
            <w:vAlign w:val="top"/>
          </w:tcPr>
          <w:p w14:paraId="197BCFD2">
            <w:pPr>
              <w:spacing w:before="221"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236.6</w:t>
            </w:r>
          </w:p>
        </w:tc>
      </w:tr>
      <w:tr w14:paraId="22942F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690" w:type="dxa"/>
            <w:tcBorders>
              <w:left w:val="single" w:color="000000" w:sz="10" w:space="0"/>
              <w:bottom w:val="single" w:color="000000" w:sz="10" w:space="0"/>
            </w:tcBorders>
            <w:vAlign w:val="top"/>
          </w:tcPr>
          <w:p w14:paraId="3A54A8BF">
            <w:pPr>
              <w:spacing w:before="151"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876" w:type="dxa"/>
            <w:tcBorders>
              <w:bottom w:val="single" w:color="000000" w:sz="10" w:space="0"/>
            </w:tcBorders>
            <w:vAlign w:val="top"/>
          </w:tcPr>
          <w:p w14:paraId="33B61CE6">
            <w:pPr>
              <w:spacing w:before="151" w:line="195" w:lineRule="auto"/>
              <w:ind w:left="133"/>
              <w:rPr>
                <w:rFonts w:ascii="Times New Roman" w:hAnsi="Times New Roman" w:eastAsia="Times New Roman" w:cs="Times New Roman"/>
                <w:sz w:val="20"/>
                <w:szCs w:val="20"/>
              </w:rPr>
            </w:pPr>
            <w:r>
              <w:rPr>
                <w:rFonts w:ascii="Times New Roman" w:hAnsi="Times New Roman" w:eastAsia="Times New Roman" w:cs="Times New Roman"/>
                <w:sz w:val="20"/>
                <w:szCs w:val="20"/>
              </w:rPr>
              <w:t>KZ</w:t>
            </w:r>
            <w:r>
              <w:rPr>
                <w:rFonts w:ascii="Times New Roman" w:hAnsi="Times New Roman" w:eastAsia="Times New Roman" w:cs="Times New Roman"/>
                <w:spacing w:val="7"/>
                <w:sz w:val="20"/>
                <w:szCs w:val="20"/>
              </w:rPr>
              <w:t>004</w:t>
            </w:r>
          </w:p>
        </w:tc>
        <w:tc>
          <w:tcPr>
            <w:tcW w:w="3495" w:type="dxa"/>
            <w:tcBorders>
              <w:bottom w:val="single" w:color="000000" w:sz="10" w:space="0"/>
            </w:tcBorders>
            <w:vAlign w:val="top"/>
          </w:tcPr>
          <w:p w14:paraId="6C55F3BC">
            <w:pPr>
              <w:pStyle w:val="6"/>
              <w:spacing w:before="115" w:line="231" w:lineRule="auto"/>
              <w:ind w:left="188"/>
              <w:rPr>
                <w:sz w:val="20"/>
                <w:szCs w:val="20"/>
              </w:rPr>
            </w:pPr>
            <w:r>
              <w:rPr>
                <w:spacing w:val="8"/>
                <w:sz w:val="20"/>
                <w:szCs w:val="20"/>
              </w:rPr>
              <w:t>重庆市黔江区邻鄂镇饰面用灰岩矿</w:t>
            </w:r>
          </w:p>
        </w:tc>
        <w:tc>
          <w:tcPr>
            <w:tcW w:w="1520" w:type="dxa"/>
            <w:tcBorders>
              <w:bottom w:val="single" w:color="000000" w:sz="10" w:space="0"/>
            </w:tcBorders>
            <w:vAlign w:val="top"/>
          </w:tcPr>
          <w:p w14:paraId="05C645D7">
            <w:pPr>
              <w:pStyle w:val="6"/>
              <w:spacing w:before="115" w:line="232" w:lineRule="auto"/>
              <w:ind w:left="252"/>
              <w:rPr>
                <w:sz w:val="20"/>
                <w:szCs w:val="20"/>
              </w:rPr>
            </w:pPr>
            <w:r>
              <w:rPr>
                <w:spacing w:val="6"/>
                <w:sz w:val="20"/>
                <w:szCs w:val="20"/>
              </w:rPr>
              <w:t>饰面用灰岩</w:t>
            </w:r>
          </w:p>
        </w:tc>
        <w:tc>
          <w:tcPr>
            <w:tcW w:w="1580" w:type="dxa"/>
            <w:tcBorders>
              <w:bottom w:val="single" w:color="000000" w:sz="10" w:space="0"/>
            </w:tcBorders>
            <w:vAlign w:val="top"/>
          </w:tcPr>
          <w:p w14:paraId="5740B069">
            <w:pPr>
              <w:pStyle w:val="6"/>
              <w:spacing w:before="115" w:line="231" w:lineRule="auto"/>
              <w:ind w:left="217"/>
              <w:rPr>
                <w:sz w:val="20"/>
                <w:szCs w:val="20"/>
              </w:rPr>
            </w:pPr>
            <w:r>
              <w:rPr>
                <w:rFonts w:ascii="Times New Roman" w:hAnsi="Times New Roman" w:eastAsia="Times New Roman" w:cs="Times New Roman"/>
                <w:spacing w:val="1"/>
                <w:sz w:val="20"/>
                <w:szCs w:val="20"/>
              </w:rPr>
              <w:t>140</w:t>
            </w:r>
            <w:r>
              <w:rPr>
                <w:rFonts w:ascii="Times New Roman" w:hAnsi="Times New Roman" w:eastAsia="Times New Roman" w:cs="Times New Roman"/>
                <w:spacing w:val="20"/>
                <w:sz w:val="20"/>
                <w:szCs w:val="20"/>
              </w:rPr>
              <w:t xml:space="preserve"> </w:t>
            </w:r>
            <w:r>
              <w:rPr>
                <w:spacing w:val="1"/>
                <w:sz w:val="20"/>
                <w:szCs w:val="20"/>
              </w:rPr>
              <w:t>万立方米</w:t>
            </w:r>
          </w:p>
        </w:tc>
        <w:tc>
          <w:tcPr>
            <w:tcW w:w="898" w:type="dxa"/>
            <w:tcBorders>
              <w:bottom w:val="single" w:color="000000" w:sz="10" w:space="0"/>
              <w:right w:val="single" w:color="000000" w:sz="10" w:space="0"/>
            </w:tcBorders>
            <w:vAlign w:val="top"/>
          </w:tcPr>
          <w:p w14:paraId="5EEA2B38">
            <w:pPr>
              <w:spacing w:before="151" w:line="195" w:lineRule="auto"/>
              <w:ind w:left="34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1.6</w:t>
            </w:r>
          </w:p>
        </w:tc>
      </w:tr>
    </w:tbl>
    <w:p w14:paraId="09FA5AB4">
      <w:pPr>
        <w:spacing w:before="145" w:line="229" w:lineRule="auto"/>
        <w:ind w:left="605"/>
        <w:rPr>
          <w:rFonts w:ascii="仿宋" w:hAnsi="仿宋" w:eastAsia="仿宋" w:cs="仿宋"/>
          <w:sz w:val="25"/>
          <w:szCs w:val="25"/>
        </w:rPr>
      </w:pPr>
      <w:r>
        <w:rPr>
          <w:rFonts w:ascii="Times New Roman" w:hAnsi="Times New Roman" w:eastAsia="Times New Roman" w:cs="Times New Roman"/>
          <w:spacing w:val="8"/>
          <w:sz w:val="25"/>
          <w:szCs w:val="25"/>
        </w:rPr>
        <w:t>2</w:t>
      </w:r>
      <w:r>
        <w:rPr>
          <w:rFonts w:ascii="仿宋" w:hAnsi="仿宋" w:eastAsia="仿宋" w:cs="仿宋"/>
          <w:spacing w:val="8"/>
          <w:sz w:val="25"/>
          <w:szCs w:val="25"/>
        </w:rPr>
        <w:t>）重点开采区</w:t>
      </w:r>
    </w:p>
    <w:p w14:paraId="256CA38B">
      <w:pPr>
        <w:spacing w:before="153" w:line="339" w:lineRule="auto"/>
        <w:ind w:left="136" w:right="53" w:firstLine="485"/>
        <w:jc w:val="both"/>
        <w:rPr>
          <w:rFonts w:ascii="仿宋" w:hAnsi="仿宋" w:eastAsia="仿宋" w:cs="仿宋"/>
          <w:sz w:val="25"/>
          <w:szCs w:val="25"/>
        </w:rPr>
      </w:pPr>
      <w:r>
        <w:rPr>
          <w:rFonts w:ascii="仿宋" w:hAnsi="仿宋" w:eastAsia="仿宋" w:cs="仿宋"/>
          <w:spacing w:val="5"/>
          <w:sz w:val="25"/>
          <w:szCs w:val="25"/>
        </w:rPr>
        <w:t>黔江区金溪镇—石家镇—鹅池镇一带萤石（普通）、重晶</w:t>
      </w:r>
      <w:r>
        <w:rPr>
          <w:rFonts w:ascii="仿宋" w:hAnsi="仿宋" w:eastAsia="仿宋" w:cs="仿宋"/>
          <w:spacing w:val="4"/>
          <w:sz w:val="25"/>
          <w:szCs w:val="25"/>
        </w:rPr>
        <w:t>石矿重点开采区：</w:t>
      </w:r>
      <w:r>
        <w:rPr>
          <w:rFonts w:ascii="仿宋" w:hAnsi="仿宋" w:eastAsia="仿宋" w:cs="仿宋"/>
          <w:sz w:val="25"/>
          <w:szCs w:val="25"/>
        </w:rPr>
        <w:t xml:space="preserve"> </w:t>
      </w:r>
      <w:r>
        <w:rPr>
          <w:rFonts w:ascii="仿宋" w:hAnsi="仿宋" w:eastAsia="仿宋" w:cs="仿宋"/>
          <w:spacing w:val="8"/>
          <w:sz w:val="25"/>
          <w:szCs w:val="25"/>
        </w:rPr>
        <w:t>主要位于黔江区西南部，面积</w:t>
      </w:r>
      <w:r>
        <w:rPr>
          <w:rFonts w:ascii="仿宋" w:hAnsi="仿宋" w:eastAsia="仿宋" w:cs="仿宋"/>
          <w:spacing w:val="-35"/>
          <w:sz w:val="25"/>
          <w:szCs w:val="25"/>
        </w:rPr>
        <w:t xml:space="preserve"> </w:t>
      </w:r>
      <w:r>
        <w:rPr>
          <w:rFonts w:ascii="Times New Roman" w:hAnsi="Times New Roman" w:eastAsia="Times New Roman" w:cs="Times New Roman"/>
          <w:spacing w:val="8"/>
          <w:sz w:val="25"/>
          <w:szCs w:val="25"/>
        </w:rPr>
        <w:t>406.0</w:t>
      </w:r>
      <w:r>
        <w:rPr>
          <w:rFonts w:ascii="Times New Roman" w:hAnsi="Times New Roman" w:eastAsia="Times New Roman" w:cs="Times New Roman"/>
          <w:spacing w:val="21"/>
          <w:w w:val="101"/>
          <w:sz w:val="25"/>
          <w:szCs w:val="25"/>
        </w:rPr>
        <w:t xml:space="preserve"> </w:t>
      </w:r>
      <w:r>
        <w:rPr>
          <w:rFonts w:ascii="仿宋" w:hAnsi="仿宋" w:eastAsia="仿宋" w:cs="仿宋"/>
          <w:spacing w:val="8"/>
          <w:sz w:val="25"/>
          <w:szCs w:val="25"/>
        </w:rPr>
        <w:t>平方千米。主要开采萤石（普通）</w:t>
      </w:r>
      <w:r>
        <w:rPr>
          <w:rFonts w:ascii="仿宋" w:hAnsi="仿宋" w:eastAsia="仿宋" w:cs="仿宋"/>
          <w:spacing w:val="-74"/>
          <w:sz w:val="25"/>
          <w:szCs w:val="25"/>
        </w:rPr>
        <w:t xml:space="preserve"> </w:t>
      </w:r>
      <w:r>
        <w:rPr>
          <w:rFonts w:ascii="仿宋" w:hAnsi="仿宋" w:eastAsia="仿宋" w:cs="仿宋"/>
          <w:spacing w:val="8"/>
          <w:sz w:val="25"/>
          <w:szCs w:val="25"/>
        </w:rPr>
        <w:t>、重晶</w:t>
      </w:r>
      <w:r>
        <w:rPr>
          <w:rFonts w:ascii="仿宋" w:hAnsi="仿宋" w:eastAsia="仿宋" w:cs="仿宋"/>
          <w:sz w:val="25"/>
          <w:szCs w:val="25"/>
        </w:rPr>
        <w:t xml:space="preserve"> </w:t>
      </w:r>
      <w:r>
        <w:rPr>
          <w:rFonts w:ascii="仿宋" w:hAnsi="仿宋" w:eastAsia="仿宋" w:cs="仿宋"/>
          <w:spacing w:val="10"/>
          <w:sz w:val="25"/>
          <w:szCs w:val="25"/>
        </w:rPr>
        <w:t>石矿。区内现有采矿权</w:t>
      </w:r>
      <w:r>
        <w:rPr>
          <w:rFonts w:ascii="仿宋" w:hAnsi="仿宋" w:eastAsia="仿宋" w:cs="仿宋"/>
          <w:spacing w:val="-50"/>
          <w:sz w:val="25"/>
          <w:szCs w:val="25"/>
        </w:rPr>
        <w:t xml:space="preserve"> </w:t>
      </w:r>
      <w:r>
        <w:rPr>
          <w:rFonts w:ascii="Times New Roman" w:hAnsi="Times New Roman" w:eastAsia="Times New Roman" w:cs="Times New Roman"/>
          <w:spacing w:val="10"/>
          <w:sz w:val="25"/>
          <w:szCs w:val="25"/>
        </w:rPr>
        <w:t>7</w:t>
      </w:r>
      <w:r>
        <w:rPr>
          <w:rFonts w:ascii="Times New Roman" w:hAnsi="Times New Roman" w:eastAsia="Times New Roman" w:cs="Times New Roman"/>
          <w:spacing w:val="21"/>
          <w:sz w:val="25"/>
          <w:szCs w:val="25"/>
        </w:rPr>
        <w:t xml:space="preserve"> </w:t>
      </w:r>
      <w:r>
        <w:rPr>
          <w:rFonts w:ascii="仿宋" w:hAnsi="仿宋" w:eastAsia="仿宋" w:cs="仿宋"/>
          <w:spacing w:val="10"/>
          <w:sz w:val="25"/>
          <w:szCs w:val="25"/>
        </w:rPr>
        <w:t>个，其中萤石（普通）、重晶石矿采矿</w:t>
      </w:r>
      <w:r>
        <w:rPr>
          <w:rFonts w:ascii="仿宋" w:hAnsi="仿宋" w:eastAsia="仿宋" w:cs="仿宋"/>
          <w:spacing w:val="9"/>
          <w:sz w:val="25"/>
          <w:szCs w:val="25"/>
        </w:rPr>
        <w:t>权</w:t>
      </w:r>
      <w:r>
        <w:rPr>
          <w:rFonts w:ascii="Times New Roman" w:hAnsi="Times New Roman" w:eastAsia="Times New Roman" w:cs="Times New Roman"/>
          <w:spacing w:val="9"/>
          <w:sz w:val="25"/>
          <w:szCs w:val="25"/>
        </w:rPr>
        <w:t>6</w:t>
      </w:r>
      <w:r>
        <w:rPr>
          <w:rFonts w:ascii="Times New Roman" w:hAnsi="Times New Roman" w:eastAsia="Times New Roman" w:cs="Times New Roman"/>
          <w:spacing w:val="20"/>
          <w:w w:val="101"/>
          <w:sz w:val="25"/>
          <w:szCs w:val="25"/>
        </w:rPr>
        <w:t xml:space="preserve"> </w:t>
      </w:r>
      <w:r>
        <w:rPr>
          <w:rFonts w:ascii="仿宋" w:hAnsi="仿宋" w:eastAsia="仿宋" w:cs="仿宋"/>
          <w:spacing w:val="9"/>
          <w:sz w:val="25"/>
          <w:szCs w:val="25"/>
        </w:rPr>
        <w:t>个，建筑</w:t>
      </w:r>
      <w:r>
        <w:rPr>
          <w:rFonts w:ascii="仿宋" w:hAnsi="仿宋" w:eastAsia="仿宋" w:cs="仿宋"/>
          <w:sz w:val="25"/>
          <w:szCs w:val="25"/>
        </w:rPr>
        <w:t xml:space="preserve"> </w:t>
      </w:r>
      <w:r>
        <w:rPr>
          <w:rFonts w:ascii="仿宋" w:hAnsi="仿宋" w:eastAsia="仿宋" w:cs="仿宋"/>
          <w:spacing w:val="6"/>
          <w:sz w:val="25"/>
          <w:szCs w:val="25"/>
        </w:rPr>
        <w:t>石料用灰岩采矿权</w:t>
      </w:r>
      <w:r>
        <w:rPr>
          <w:rFonts w:ascii="仿宋" w:hAnsi="仿宋" w:eastAsia="仿宋" w:cs="仿宋"/>
          <w:spacing w:val="-27"/>
          <w:sz w:val="25"/>
          <w:szCs w:val="25"/>
        </w:rPr>
        <w:t xml:space="preserve"> </w:t>
      </w:r>
      <w:r>
        <w:rPr>
          <w:rFonts w:ascii="Times New Roman" w:hAnsi="Times New Roman" w:eastAsia="Times New Roman" w:cs="Times New Roman"/>
          <w:spacing w:val="6"/>
          <w:sz w:val="25"/>
          <w:szCs w:val="25"/>
        </w:rPr>
        <w:t>1</w:t>
      </w:r>
      <w:r>
        <w:rPr>
          <w:rFonts w:ascii="Times New Roman" w:hAnsi="Times New Roman" w:eastAsia="Times New Roman" w:cs="Times New Roman"/>
          <w:spacing w:val="21"/>
          <w:sz w:val="25"/>
          <w:szCs w:val="25"/>
        </w:rPr>
        <w:t xml:space="preserve"> </w:t>
      </w:r>
      <w:r>
        <w:rPr>
          <w:rFonts w:ascii="仿宋" w:hAnsi="仿宋" w:eastAsia="仿宋" w:cs="仿宋"/>
          <w:spacing w:val="6"/>
          <w:sz w:val="25"/>
          <w:szCs w:val="25"/>
        </w:rPr>
        <w:t>个。规划期设置萤石（普通）探矿</w:t>
      </w:r>
      <w:r>
        <w:rPr>
          <w:rFonts w:ascii="仿宋" w:hAnsi="仿宋" w:eastAsia="仿宋" w:cs="仿宋"/>
          <w:spacing w:val="5"/>
          <w:sz w:val="25"/>
          <w:szCs w:val="25"/>
        </w:rPr>
        <w:t>权</w:t>
      </w:r>
      <w:r>
        <w:rPr>
          <w:rFonts w:ascii="仿宋" w:hAnsi="仿宋" w:eastAsia="仿宋" w:cs="仿宋"/>
          <w:spacing w:val="-52"/>
          <w:sz w:val="25"/>
          <w:szCs w:val="25"/>
        </w:rPr>
        <w:t xml:space="preserve"> </w:t>
      </w:r>
      <w:r>
        <w:rPr>
          <w:rFonts w:ascii="Times New Roman" w:hAnsi="Times New Roman" w:eastAsia="Times New Roman" w:cs="Times New Roman"/>
          <w:spacing w:val="5"/>
          <w:sz w:val="25"/>
          <w:szCs w:val="25"/>
        </w:rPr>
        <w:t>2</w:t>
      </w:r>
      <w:r>
        <w:rPr>
          <w:rFonts w:ascii="Times New Roman" w:hAnsi="Times New Roman" w:eastAsia="Times New Roman" w:cs="Times New Roman"/>
          <w:spacing w:val="20"/>
          <w:w w:val="101"/>
          <w:sz w:val="25"/>
          <w:szCs w:val="25"/>
        </w:rPr>
        <w:t xml:space="preserve"> </w:t>
      </w:r>
      <w:r>
        <w:rPr>
          <w:rFonts w:ascii="仿宋" w:hAnsi="仿宋" w:eastAsia="仿宋" w:cs="仿宋"/>
          <w:spacing w:val="5"/>
          <w:sz w:val="25"/>
          <w:szCs w:val="25"/>
        </w:rPr>
        <w:t>个。</w:t>
      </w:r>
    </w:p>
    <w:p w14:paraId="2C68B905">
      <w:pPr>
        <w:spacing w:line="340" w:lineRule="auto"/>
        <w:ind w:left="136" w:right="121" w:firstLine="489"/>
        <w:jc w:val="both"/>
        <w:rPr>
          <w:rFonts w:ascii="仿宋" w:hAnsi="仿宋" w:eastAsia="仿宋" w:cs="仿宋"/>
          <w:sz w:val="25"/>
          <w:szCs w:val="25"/>
        </w:rPr>
      </w:pPr>
      <w:r>
        <w:rPr>
          <w:rFonts w:ascii="仿宋" w:hAnsi="仿宋" w:eastAsia="仿宋" w:cs="仿宋"/>
          <w:spacing w:val="10"/>
          <w:sz w:val="25"/>
          <w:szCs w:val="25"/>
        </w:rPr>
        <w:t>重庆市黔江区中塘镇二坪铝土矿重点开采区：主要位于黔江区东北部中塘</w:t>
      </w:r>
      <w:r>
        <w:rPr>
          <w:rFonts w:ascii="仿宋" w:hAnsi="仿宋" w:eastAsia="仿宋" w:cs="仿宋"/>
          <w:spacing w:val="17"/>
          <w:sz w:val="25"/>
          <w:szCs w:val="25"/>
        </w:rPr>
        <w:t xml:space="preserve"> </w:t>
      </w:r>
      <w:r>
        <w:rPr>
          <w:rFonts w:ascii="仿宋" w:hAnsi="仿宋" w:eastAsia="仿宋" w:cs="仿宋"/>
          <w:spacing w:val="5"/>
          <w:sz w:val="25"/>
          <w:szCs w:val="25"/>
        </w:rPr>
        <w:t>镇，面积</w:t>
      </w:r>
      <w:r>
        <w:rPr>
          <w:rFonts w:ascii="仿宋" w:hAnsi="仿宋" w:eastAsia="仿宋" w:cs="仿宋"/>
          <w:spacing w:val="-36"/>
          <w:sz w:val="25"/>
          <w:szCs w:val="25"/>
        </w:rPr>
        <w:t xml:space="preserve"> </w:t>
      </w:r>
      <w:r>
        <w:rPr>
          <w:rFonts w:ascii="Times New Roman" w:hAnsi="Times New Roman" w:eastAsia="Times New Roman" w:cs="Times New Roman"/>
          <w:spacing w:val="5"/>
          <w:sz w:val="25"/>
          <w:szCs w:val="25"/>
        </w:rPr>
        <w:t>31.9</w:t>
      </w:r>
      <w:r>
        <w:rPr>
          <w:rFonts w:ascii="Times New Roman" w:hAnsi="Times New Roman" w:eastAsia="Times New Roman" w:cs="Times New Roman"/>
          <w:spacing w:val="22"/>
          <w:sz w:val="25"/>
          <w:szCs w:val="25"/>
        </w:rPr>
        <w:t xml:space="preserve"> </w:t>
      </w:r>
      <w:r>
        <w:rPr>
          <w:rFonts w:ascii="仿宋" w:hAnsi="仿宋" w:eastAsia="仿宋" w:cs="仿宋"/>
          <w:spacing w:val="5"/>
          <w:sz w:val="25"/>
          <w:szCs w:val="25"/>
        </w:rPr>
        <w:t>平方千米。主要开采铝土矿。区内现有采矿权</w:t>
      </w:r>
      <w:r>
        <w:rPr>
          <w:rFonts w:ascii="仿宋" w:hAnsi="仿宋" w:eastAsia="仿宋" w:cs="仿宋"/>
          <w:spacing w:val="-51"/>
          <w:sz w:val="25"/>
          <w:szCs w:val="25"/>
        </w:rPr>
        <w:t xml:space="preserve"> </w:t>
      </w:r>
      <w:r>
        <w:rPr>
          <w:rFonts w:ascii="Times New Roman" w:hAnsi="Times New Roman" w:eastAsia="Times New Roman" w:cs="Times New Roman"/>
          <w:spacing w:val="5"/>
          <w:sz w:val="25"/>
          <w:szCs w:val="25"/>
        </w:rPr>
        <w:t>0</w:t>
      </w:r>
      <w:r>
        <w:rPr>
          <w:rFonts w:ascii="Times New Roman" w:hAnsi="Times New Roman" w:eastAsia="Times New Roman" w:cs="Times New Roman"/>
          <w:spacing w:val="23"/>
          <w:w w:val="101"/>
          <w:sz w:val="25"/>
          <w:szCs w:val="25"/>
        </w:rPr>
        <w:t xml:space="preserve"> </w:t>
      </w:r>
      <w:r>
        <w:rPr>
          <w:rFonts w:ascii="仿宋" w:hAnsi="仿宋" w:eastAsia="仿宋" w:cs="仿宋"/>
          <w:spacing w:val="5"/>
          <w:sz w:val="25"/>
          <w:szCs w:val="25"/>
        </w:rPr>
        <w:t>个，规划期拟设</w:t>
      </w:r>
      <w:r>
        <w:rPr>
          <w:rFonts w:ascii="仿宋" w:hAnsi="仿宋" w:eastAsia="仿宋" w:cs="仿宋"/>
          <w:sz w:val="25"/>
          <w:szCs w:val="25"/>
        </w:rPr>
        <w:t xml:space="preserve"> </w:t>
      </w:r>
      <w:r>
        <w:rPr>
          <w:rFonts w:ascii="仿宋" w:hAnsi="仿宋" w:eastAsia="仿宋" w:cs="仿宋"/>
          <w:spacing w:val="3"/>
          <w:sz w:val="25"/>
          <w:szCs w:val="25"/>
        </w:rPr>
        <w:t>置铝土矿采矿权</w:t>
      </w:r>
      <w:r>
        <w:rPr>
          <w:rFonts w:ascii="仿宋" w:hAnsi="仿宋" w:eastAsia="仿宋" w:cs="仿宋"/>
          <w:spacing w:val="-15"/>
          <w:sz w:val="25"/>
          <w:szCs w:val="25"/>
        </w:rPr>
        <w:t xml:space="preserve"> </w:t>
      </w:r>
      <w:r>
        <w:rPr>
          <w:rFonts w:ascii="Times New Roman" w:hAnsi="Times New Roman" w:eastAsia="Times New Roman" w:cs="Times New Roman"/>
          <w:spacing w:val="3"/>
          <w:sz w:val="25"/>
          <w:szCs w:val="25"/>
        </w:rPr>
        <w:t>1</w:t>
      </w:r>
      <w:r>
        <w:rPr>
          <w:rFonts w:ascii="Times New Roman" w:hAnsi="Times New Roman" w:eastAsia="Times New Roman" w:cs="Times New Roman"/>
          <w:spacing w:val="20"/>
          <w:w w:val="101"/>
          <w:sz w:val="25"/>
          <w:szCs w:val="25"/>
        </w:rPr>
        <w:t xml:space="preserve"> </w:t>
      </w:r>
      <w:r>
        <w:rPr>
          <w:rFonts w:ascii="仿宋" w:hAnsi="仿宋" w:eastAsia="仿宋" w:cs="仿宋"/>
          <w:spacing w:val="3"/>
          <w:sz w:val="25"/>
          <w:szCs w:val="25"/>
        </w:rPr>
        <w:t>个。详见表</w:t>
      </w:r>
      <w:r>
        <w:rPr>
          <w:rFonts w:ascii="仿宋" w:hAnsi="仿宋" w:eastAsia="仿宋" w:cs="仿宋"/>
          <w:spacing w:val="-52"/>
          <w:sz w:val="25"/>
          <w:szCs w:val="25"/>
        </w:rPr>
        <w:t xml:space="preserve"> </w:t>
      </w:r>
      <w:r>
        <w:rPr>
          <w:rFonts w:ascii="Times New Roman" w:hAnsi="Times New Roman" w:eastAsia="Times New Roman" w:cs="Times New Roman"/>
          <w:spacing w:val="3"/>
          <w:sz w:val="25"/>
          <w:szCs w:val="25"/>
        </w:rPr>
        <w:t>2.1-3</w:t>
      </w:r>
      <w:r>
        <w:rPr>
          <w:rFonts w:ascii="仿宋" w:hAnsi="仿宋" w:eastAsia="仿宋" w:cs="仿宋"/>
          <w:spacing w:val="3"/>
          <w:sz w:val="25"/>
          <w:szCs w:val="25"/>
        </w:rPr>
        <w:t>。</w:t>
      </w:r>
    </w:p>
    <w:p w14:paraId="38CD769B">
      <w:pPr>
        <w:spacing w:before="41" w:line="231" w:lineRule="auto"/>
        <w:ind w:left="3017"/>
        <w:rPr>
          <w:rFonts w:ascii="仿宋" w:hAnsi="仿宋" w:eastAsia="仿宋" w:cs="仿宋"/>
          <w:sz w:val="20"/>
          <w:szCs w:val="20"/>
        </w:rPr>
      </w:pPr>
      <w:r>
        <w:rPr>
          <w:rFonts w:ascii="仿宋" w:hAnsi="仿宋" w:eastAsia="仿宋" w:cs="仿宋"/>
          <w:b/>
          <w:bCs/>
          <w:spacing w:val="5"/>
          <w:sz w:val="20"/>
          <w:szCs w:val="20"/>
        </w:rPr>
        <w:t>表</w:t>
      </w:r>
      <w:r>
        <w:rPr>
          <w:rFonts w:ascii="仿宋" w:hAnsi="仿宋" w:eastAsia="仿宋" w:cs="仿宋"/>
          <w:spacing w:val="-26"/>
          <w:sz w:val="20"/>
          <w:szCs w:val="20"/>
        </w:rPr>
        <w:t xml:space="preserve"> </w:t>
      </w:r>
      <w:r>
        <w:rPr>
          <w:rFonts w:ascii="Times New Roman" w:hAnsi="Times New Roman" w:eastAsia="Times New Roman" w:cs="Times New Roman"/>
          <w:b/>
          <w:bCs/>
          <w:spacing w:val="5"/>
          <w:sz w:val="20"/>
          <w:szCs w:val="20"/>
        </w:rPr>
        <w:t xml:space="preserve">2.1-3    </w:t>
      </w:r>
      <w:r>
        <w:rPr>
          <w:rFonts w:ascii="仿宋" w:hAnsi="仿宋" w:eastAsia="仿宋" w:cs="仿宋"/>
          <w:b/>
          <w:bCs/>
          <w:spacing w:val="5"/>
          <w:sz w:val="20"/>
          <w:szCs w:val="20"/>
        </w:rPr>
        <w:t>矿产资源规划重点开采区分区表</w:t>
      </w:r>
    </w:p>
    <w:p w14:paraId="09FDAEF8">
      <w:pPr>
        <w:spacing w:line="24" w:lineRule="exact"/>
      </w:pPr>
    </w:p>
    <w:tbl>
      <w:tblPr>
        <w:tblStyle w:val="5"/>
        <w:tblW w:w="905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27"/>
        <w:gridCol w:w="969"/>
        <w:gridCol w:w="1770"/>
        <w:gridCol w:w="1113"/>
        <w:gridCol w:w="1107"/>
        <w:gridCol w:w="885"/>
        <w:gridCol w:w="1765"/>
        <w:gridCol w:w="923"/>
      </w:tblGrid>
      <w:tr w14:paraId="07D30C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7" w:hRule="atLeast"/>
        </w:trPr>
        <w:tc>
          <w:tcPr>
            <w:tcW w:w="527" w:type="dxa"/>
            <w:tcBorders>
              <w:top w:val="single" w:color="000000" w:sz="10" w:space="0"/>
              <w:left w:val="single" w:color="000000" w:sz="10" w:space="0"/>
            </w:tcBorders>
            <w:textDirection w:val="tbRlV"/>
            <w:vAlign w:val="top"/>
          </w:tcPr>
          <w:p w14:paraId="5D37D8EF">
            <w:pPr>
              <w:pStyle w:val="6"/>
              <w:spacing w:before="162" w:line="209" w:lineRule="auto"/>
              <w:ind w:left="171"/>
              <w:rPr>
                <w:sz w:val="20"/>
                <w:szCs w:val="20"/>
              </w:rPr>
            </w:pPr>
            <w:r>
              <w:rPr>
                <w:spacing w:val="13"/>
                <w:sz w:val="20"/>
                <w:szCs w:val="20"/>
              </w:rPr>
              <w:t>序</w:t>
            </w:r>
            <w:r>
              <w:rPr>
                <w:spacing w:val="-42"/>
                <w:sz w:val="20"/>
                <w:szCs w:val="20"/>
              </w:rPr>
              <w:t xml:space="preserve"> </w:t>
            </w:r>
            <w:r>
              <w:rPr>
                <w:spacing w:val="13"/>
                <w:sz w:val="20"/>
                <w:szCs w:val="20"/>
              </w:rPr>
              <w:t>号</w:t>
            </w:r>
          </w:p>
        </w:tc>
        <w:tc>
          <w:tcPr>
            <w:tcW w:w="969" w:type="dxa"/>
            <w:tcBorders>
              <w:top w:val="single" w:color="000000" w:sz="10" w:space="0"/>
            </w:tcBorders>
            <w:vAlign w:val="top"/>
          </w:tcPr>
          <w:p w14:paraId="58BAF048">
            <w:pPr>
              <w:spacing w:line="242" w:lineRule="auto"/>
              <w:rPr>
                <w:rFonts w:ascii="Arial"/>
                <w:sz w:val="21"/>
              </w:rPr>
            </w:pPr>
          </w:p>
          <w:p w14:paraId="61164AC4">
            <w:pPr>
              <w:pStyle w:val="6"/>
              <w:spacing w:before="65" w:line="232" w:lineRule="auto"/>
              <w:ind w:left="277"/>
              <w:rPr>
                <w:sz w:val="20"/>
                <w:szCs w:val="20"/>
              </w:rPr>
            </w:pPr>
            <w:r>
              <w:rPr>
                <w:spacing w:val="1"/>
                <w:sz w:val="20"/>
                <w:szCs w:val="20"/>
              </w:rPr>
              <w:t>编号</w:t>
            </w:r>
          </w:p>
        </w:tc>
        <w:tc>
          <w:tcPr>
            <w:tcW w:w="1770" w:type="dxa"/>
            <w:tcBorders>
              <w:top w:val="single" w:color="000000" w:sz="10" w:space="0"/>
            </w:tcBorders>
            <w:vAlign w:val="top"/>
          </w:tcPr>
          <w:p w14:paraId="488A03BE">
            <w:pPr>
              <w:spacing w:line="242" w:lineRule="auto"/>
              <w:rPr>
                <w:rFonts w:ascii="Arial"/>
                <w:sz w:val="21"/>
              </w:rPr>
            </w:pPr>
          </w:p>
          <w:p w14:paraId="53016B1E">
            <w:pPr>
              <w:pStyle w:val="6"/>
              <w:spacing w:before="65" w:line="229" w:lineRule="auto"/>
              <w:ind w:left="680"/>
              <w:rPr>
                <w:sz w:val="20"/>
                <w:szCs w:val="20"/>
              </w:rPr>
            </w:pPr>
            <w:r>
              <w:rPr>
                <w:spacing w:val="1"/>
                <w:sz w:val="20"/>
                <w:szCs w:val="20"/>
              </w:rPr>
              <w:t>名称</w:t>
            </w:r>
          </w:p>
        </w:tc>
        <w:tc>
          <w:tcPr>
            <w:tcW w:w="1113" w:type="dxa"/>
            <w:tcBorders>
              <w:top w:val="single" w:color="000000" w:sz="10" w:space="0"/>
            </w:tcBorders>
            <w:vAlign w:val="top"/>
          </w:tcPr>
          <w:p w14:paraId="0B47DB81">
            <w:pPr>
              <w:pStyle w:val="6"/>
              <w:spacing w:before="171" w:line="232" w:lineRule="auto"/>
              <w:ind w:left="360"/>
              <w:rPr>
                <w:sz w:val="20"/>
                <w:szCs w:val="20"/>
              </w:rPr>
            </w:pPr>
            <w:r>
              <w:rPr>
                <w:spacing w:val="-1"/>
                <w:sz w:val="20"/>
                <w:szCs w:val="20"/>
              </w:rPr>
              <w:t>面积</w:t>
            </w:r>
          </w:p>
          <w:p w14:paraId="2AB8D7A1">
            <w:pPr>
              <w:pStyle w:val="6"/>
              <w:spacing w:before="20" w:line="265" w:lineRule="exact"/>
              <w:ind w:left="193"/>
              <w:rPr>
                <w:sz w:val="20"/>
                <w:szCs w:val="20"/>
              </w:rPr>
            </w:pPr>
            <w:r>
              <w:rPr>
                <w:spacing w:val="2"/>
                <w:position w:val="1"/>
                <w:sz w:val="20"/>
                <w:szCs w:val="20"/>
              </w:rPr>
              <w:t>（</w:t>
            </w:r>
            <w:r>
              <w:rPr>
                <w:rFonts w:ascii="Times New Roman" w:hAnsi="Times New Roman" w:eastAsia="Times New Roman" w:cs="Times New Roman"/>
                <w:position w:val="1"/>
                <w:sz w:val="20"/>
                <w:szCs w:val="20"/>
              </w:rPr>
              <w:t>km</w:t>
            </w:r>
            <w:r>
              <w:rPr>
                <w:rFonts w:ascii="Times New Roman" w:hAnsi="Times New Roman" w:eastAsia="Times New Roman" w:cs="Times New Roman"/>
                <w:spacing w:val="2"/>
                <w:position w:val="7"/>
                <w:sz w:val="13"/>
                <w:szCs w:val="13"/>
              </w:rPr>
              <w:t>2</w:t>
            </w:r>
            <w:r>
              <w:rPr>
                <w:spacing w:val="2"/>
                <w:position w:val="1"/>
                <w:sz w:val="20"/>
                <w:szCs w:val="20"/>
              </w:rPr>
              <w:t>）</w:t>
            </w:r>
          </w:p>
        </w:tc>
        <w:tc>
          <w:tcPr>
            <w:tcW w:w="1107" w:type="dxa"/>
            <w:tcBorders>
              <w:top w:val="single" w:color="000000" w:sz="10" w:space="0"/>
            </w:tcBorders>
            <w:vAlign w:val="top"/>
          </w:tcPr>
          <w:p w14:paraId="24B2A411">
            <w:pPr>
              <w:spacing w:line="242" w:lineRule="auto"/>
              <w:rPr>
                <w:rFonts w:ascii="Arial"/>
                <w:sz w:val="21"/>
              </w:rPr>
            </w:pPr>
          </w:p>
          <w:p w14:paraId="6CD784A2">
            <w:pPr>
              <w:pStyle w:val="6"/>
              <w:spacing w:before="65" w:line="232" w:lineRule="auto"/>
              <w:ind w:left="151"/>
              <w:rPr>
                <w:sz w:val="20"/>
                <w:szCs w:val="20"/>
              </w:rPr>
            </w:pPr>
            <w:r>
              <w:rPr>
                <w:spacing w:val="4"/>
                <w:sz w:val="20"/>
                <w:szCs w:val="20"/>
              </w:rPr>
              <w:t>主要矿产</w:t>
            </w:r>
          </w:p>
        </w:tc>
        <w:tc>
          <w:tcPr>
            <w:tcW w:w="885" w:type="dxa"/>
            <w:tcBorders>
              <w:top w:val="single" w:color="000000" w:sz="10" w:space="0"/>
            </w:tcBorders>
            <w:vAlign w:val="top"/>
          </w:tcPr>
          <w:p w14:paraId="3BBA57E0">
            <w:pPr>
              <w:pStyle w:val="6"/>
              <w:spacing w:before="171" w:line="232" w:lineRule="auto"/>
              <w:ind w:left="153"/>
              <w:rPr>
                <w:sz w:val="20"/>
                <w:szCs w:val="20"/>
              </w:rPr>
            </w:pPr>
            <w:r>
              <w:rPr>
                <w:spacing w:val="1"/>
                <w:sz w:val="20"/>
                <w:szCs w:val="20"/>
              </w:rPr>
              <w:t>资源储</w:t>
            </w:r>
          </w:p>
          <w:p w14:paraId="74BE19DD">
            <w:pPr>
              <w:pStyle w:val="6"/>
              <w:spacing w:before="20" w:line="229" w:lineRule="auto"/>
              <w:ind w:left="146"/>
              <w:rPr>
                <w:sz w:val="20"/>
                <w:szCs w:val="20"/>
              </w:rPr>
            </w:pPr>
            <w:r>
              <w:rPr>
                <w:spacing w:val="3"/>
                <w:sz w:val="20"/>
                <w:szCs w:val="20"/>
              </w:rPr>
              <w:t>量单位</w:t>
            </w:r>
          </w:p>
        </w:tc>
        <w:tc>
          <w:tcPr>
            <w:tcW w:w="1765" w:type="dxa"/>
            <w:tcBorders>
              <w:top w:val="single" w:color="000000" w:sz="10" w:space="0"/>
            </w:tcBorders>
            <w:vAlign w:val="top"/>
          </w:tcPr>
          <w:p w14:paraId="62C2DBB2">
            <w:pPr>
              <w:spacing w:line="242" w:lineRule="auto"/>
              <w:rPr>
                <w:rFonts w:ascii="Arial"/>
                <w:sz w:val="21"/>
              </w:rPr>
            </w:pPr>
          </w:p>
          <w:p w14:paraId="34F37FED">
            <w:pPr>
              <w:pStyle w:val="6"/>
              <w:spacing w:before="65" w:line="232" w:lineRule="auto"/>
              <w:ind w:left="598"/>
              <w:rPr>
                <w:sz w:val="20"/>
                <w:szCs w:val="20"/>
              </w:rPr>
            </w:pPr>
            <w:r>
              <w:rPr>
                <w:spacing w:val="1"/>
                <w:sz w:val="20"/>
                <w:szCs w:val="20"/>
              </w:rPr>
              <w:t>资源量</w:t>
            </w:r>
          </w:p>
        </w:tc>
        <w:tc>
          <w:tcPr>
            <w:tcW w:w="923" w:type="dxa"/>
            <w:tcBorders>
              <w:top w:val="single" w:color="000000" w:sz="10" w:space="0"/>
              <w:right w:val="single" w:color="000000" w:sz="10" w:space="0"/>
            </w:tcBorders>
            <w:vAlign w:val="top"/>
          </w:tcPr>
          <w:p w14:paraId="0D82815A">
            <w:pPr>
              <w:pStyle w:val="6"/>
              <w:spacing w:before="34" w:line="231" w:lineRule="auto"/>
              <w:ind w:left="161"/>
              <w:rPr>
                <w:sz w:val="20"/>
                <w:szCs w:val="20"/>
              </w:rPr>
            </w:pPr>
            <w:r>
              <w:rPr>
                <w:spacing w:val="5"/>
                <w:sz w:val="20"/>
                <w:szCs w:val="20"/>
              </w:rPr>
              <w:t>开采规</w:t>
            </w:r>
          </w:p>
          <w:p w14:paraId="4EE29456">
            <w:pPr>
              <w:pStyle w:val="6"/>
              <w:spacing w:before="23" w:line="230" w:lineRule="auto"/>
              <w:ind w:left="266" w:right="131" w:hanging="102"/>
              <w:rPr>
                <w:sz w:val="20"/>
                <w:szCs w:val="20"/>
              </w:rPr>
            </w:pPr>
            <w:r>
              <w:rPr>
                <w:spacing w:val="4"/>
                <w:sz w:val="20"/>
                <w:szCs w:val="20"/>
              </w:rPr>
              <w:t>划区块</w:t>
            </w:r>
            <w:r>
              <w:rPr>
                <w:sz w:val="20"/>
                <w:szCs w:val="20"/>
              </w:rPr>
              <w:t xml:space="preserve"> </w:t>
            </w:r>
            <w:r>
              <w:rPr>
                <w:spacing w:val="2"/>
                <w:sz w:val="20"/>
                <w:szCs w:val="20"/>
              </w:rPr>
              <w:t>设置</w:t>
            </w:r>
          </w:p>
        </w:tc>
      </w:tr>
      <w:tr w14:paraId="6DD862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3" w:hRule="atLeast"/>
        </w:trPr>
        <w:tc>
          <w:tcPr>
            <w:tcW w:w="527" w:type="dxa"/>
            <w:tcBorders>
              <w:left w:val="single" w:color="000000" w:sz="10" w:space="0"/>
              <w:bottom w:val="single" w:color="000000" w:sz="10" w:space="0"/>
            </w:tcBorders>
            <w:vAlign w:val="top"/>
          </w:tcPr>
          <w:p w14:paraId="4F4ECFD2">
            <w:pPr>
              <w:spacing w:line="279" w:lineRule="auto"/>
              <w:rPr>
                <w:rFonts w:ascii="Arial"/>
                <w:sz w:val="21"/>
              </w:rPr>
            </w:pPr>
          </w:p>
          <w:p w14:paraId="5E737F73">
            <w:pPr>
              <w:spacing w:line="279" w:lineRule="auto"/>
              <w:rPr>
                <w:rFonts w:ascii="Arial"/>
                <w:sz w:val="21"/>
              </w:rPr>
            </w:pPr>
          </w:p>
          <w:p w14:paraId="19DC1581">
            <w:pPr>
              <w:spacing w:before="57" w:line="195" w:lineRule="auto"/>
              <w:ind w:left="21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69" w:type="dxa"/>
            <w:tcBorders>
              <w:bottom w:val="single" w:color="000000" w:sz="10" w:space="0"/>
            </w:tcBorders>
            <w:vAlign w:val="top"/>
          </w:tcPr>
          <w:p w14:paraId="0A528A23">
            <w:pPr>
              <w:spacing w:line="279" w:lineRule="auto"/>
              <w:rPr>
                <w:rFonts w:ascii="Arial"/>
                <w:sz w:val="21"/>
              </w:rPr>
            </w:pPr>
          </w:p>
          <w:p w14:paraId="66DF40D3">
            <w:pPr>
              <w:spacing w:line="279" w:lineRule="auto"/>
              <w:rPr>
                <w:rFonts w:ascii="Arial"/>
                <w:sz w:val="21"/>
              </w:rPr>
            </w:pPr>
          </w:p>
          <w:p w14:paraId="67B4BE15">
            <w:pPr>
              <w:spacing w:before="57" w:line="195" w:lineRule="auto"/>
              <w:ind w:left="187"/>
              <w:rPr>
                <w:rFonts w:ascii="Times New Roman" w:hAnsi="Times New Roman" w:eastAsia="Times New Roman" w:cs="Times New Roman"/>
                <w:sz w:val="20"/>
                <w:szCs w:val="20"/>
              </w:rPr>
            </w:pPr>
            <w:r>
              <w:rPr>
                <w:rFonts w:ascii="Times New Roman" w:hAnsi="Times New Roman" w:eastAsia="Times New Roman" w:cs="Times New Roman"/>
                <w:sz w:val="20"/>
                <w:szCs w:val="20"/>
              </w:rPr>
              <w:t>CZ</w:t>
            </w:r>
            <w:r>
              <w:rPr>
                <w:rFonts w:ascii="Times New Roman" w:hAnsi="Times New Roman" w:eastAsia="Times New Roman" w:cs="Times New Roman"/>
                <w:spacing w:val="6"/>
                <w:sz w:val="20"/>
                <w:szCs w:val="20"/>
              </w:rPr>
              <w:t>001</w:t>
            </w:r>
          </w:p>
        </w:tc>
        <w:tc>
          <w:tcPr>
            <w:tcW w:w="1770" w:type="dxa"/>
            <w:tcBorders>
              <w:bottom w:val="single" w:color="000000" w:sz="10" w:space="0"/>
            </w:tcBorders>
            <w:vAlign w:val="top"/>
          </w:tcPr>
          <w:p w14:paraId="404030C1">
            <w:pPr>
              <w:pStyle w:val="6"/>
              <w:spacing w:before="41" w:line="251" w:lineRule="auto"/>
              <w:ind w:left="162" w:right="120" w:hanging="38"/>
              <w:jc w:val="both"/>
              <w:rPr>
                <w:sz w:val="20"/>
                <w:szCs w:val="20"/>
              </w:rPr>
            </w:pPr>
            <w:r>
              <w:rPr>
                <w:spacing w:val="6"/>
                <w:sz w:val="20"/>
                <w:szCs w:val="20"/>
              </w:rPr>
              <w:t>黔江区金溪镇</w:t>
            </w:r>
            <w:r>
              <w:rPr>
                <w:rFonts w:ascii="Times New Roman" w:hAnsi="Times New Roman" w:eastAsia="Times New Roman" w:cs="Times New Roman"/>
                <w:spacing w:val="6"/>
                <w:sz w:val="20"/>
                <w:szCs w:val="20"/>
              </w:rPr>
              <w:t>-</w:t>
            </w:r>
            <w:r>
              <w:rPr>
                <w:spacing w:val="6"/>
                <w:sz w:val="20"/>
                <w:szCs w:val="20"/>
              </w:rPr>
              <w:t>石</w:t>
            </w:r>
            <w:r>
              <w:rPr>
                <w:spacing w:val="5"/>
                <w:sz w:val="20"/>
                <w:szCs w:val="20"/>
              </w:rPr>
              <w:t xml:space="preserve"> </w:t>
            </w:r>
            <w:r>
              <w:rPr>
                <w:spacing w:val="9"/>
                <w:sz w:val="20"/>
                <w:szCs w:val="20"/>
              </w:rPr>
              <w:t>家镇</w:t>
            </w:r>
            <w:r>
              <w:rPr>
                <w:rFonts w:ascii="Times New Roman" w:hAnsi="Times New Roman" w:eastAsia="Times New Roman" w:cs="Times New Roman"/>
                <w:spacing w:val="9"/>
                <w:sz w:val="20"/>
                <w:szCs w:val="20"/>
              </w:rPr>
              <w:t>-</w:t>
            </w:r>
            <w:r>
              <w:rPr>
                <w:spacing w:val="9"/>
                <w:sz w:val="20"/>
                <w:szCs w:val="20"/>
              </w:rPr>
              <w:t>鹅池镇</w:t>
            </w:r>
            <w:r>
              <w:rPr>
                <w:rFonts w:ascii="Times New Roman" w:hAnsi="Times New Roman" w:eastAsia="Times New Roman" w:cs="Times New Roman"/>
                <w:spacing w:val="9"/>
                <w:sz w:val="20"/>
                <w:szCs w:val="20"/>
              </w:rPr>
              <w:t>-</w:t>
            </w:r>
            <w:r>
              <w:rPr>
                <w:spacing w:val="9"/>
                <w:sz w:val="20"/>
                <w:szCs w:val="20"/>
              </w:rPr>
              <w:t>带</w:t>
            </w:r>
            <w:r>
              <w:rPr>
                <w:spacing w:val="6"/>
                <w:sz w:val="20"/>
                <w:szCs w:val="20"/>
              </w:rPr>
              <w:t xml:space="preserve"> </w:t>
            </w:r>
            <w:r>
              <w:rPr>
                <w:spacing w:val="4"/>
                <w:sz w:val="20"/>
                <w:szCs w:val="20"/>
              </w:rPr>
              <w:t>萤石（普通）、</w:t>
            </w:r>
          </w:p>
          <w:p w14:paraId="68DE7F20">
            <w:pPr>
              <w:pStyle w:val="6"/>
              <w:spacing w:before="1" w:line="233" w:lineRule="auto"/>
              <w:ind w:left="680" w:right="153" w:hanging="518"/>
              <w:jc w:val="both"/>
              <w:rPr>
                <w:sz w:val="20"/>
                <w:szCs w:val="20"/>
              </w:rPr>
            </w:pPr>
            <w:r>
              <w:rPr>
                <w:spacing w:val="6"/>
                <w:sz w:val="20"/>
                <w:szCs w:val="20"/>
              </w:rPr>
              <w:t>重晶石矿重点开</w:t>
            </w:r>
            <w:r>
              <w:rPr>
                <w:spacing w:val="5"/>
                <w:sz w:val="20"/>
                <w:szCs w:val="20"/>
              </w:rPr>
              <w:t xml:space="preserve"> </w:t>
            </w:r>
            <w:r>
              <w:rPr>
                <w:spacing w:val="1"/>
                <w:sz w:val="20"/>
                <w:szCs w:val="20"/>
              </w:rPr>
              <w:t>采区</w:t>
            </w:r>
          </w:p>
        </w:tc>
        <w:tc>
          <w:tcPr>
            <w:tcW w:w="1113" w:type="dxa"/>
            <w:tcBorders>
              <w:bottom w:val="single" w:color="000000" w:sz="10" w:space="0"/>
            </w:tcBorders>
            <w:vAlign w:val="top"/>
          </w:tcPr>
          <w:p w14:paraId="712D5C00">
            <w:pPr>
              <w:spacing w:line="279" w:lineRule="auto"/>
              <w:rPr>
                <w:rFonts w:ascii="Arial"/>
                <w:sz w:val="21"/>
              </w:rPr>
            </w:pPr>
          </w:p>
          <w:p w14:paraId="7C879442">
            <w:pPr>
              <w:spacing w:line="279" w:lineRule="auto"/>
              <w:rPr>
                <w:rFonts w:ascii="Arial"/>
                <w:sz w:val="21"/>
              </w:rPr>
            </w:pPr>
          </w:p>
          <w:p w14:paraId="4167D971">
            <w:pPr>
              <w:spacing w:before="57" w:line="195" w:lineRule="auto"/>
              <w:ind w:left="39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406</w:t>
            </w:r>
          </w:p>
        </w:tc>
        <w:tc>
          <w:tcPr>
            <w:tcW w:w="1107" w:type="dxa"/>
            <w:tcBorders>
              <w:bottom w:val="single" w:color="000000" w:sz="10" w:space="0"/>
            </w:tcBorders>
            <w:vAlign w:val="top"/>
          </w:tcPr>
          <w:p w14:paraId="3FF483E9">
            <w:pPr>
              <w:spacing w:line="245" w:lineRule="auto"/>
              <w:rPr>
                <w:rFonts w:ascii="Arial"/>
                <w:sz w:val="21"/>
              </w:rPr>
            </w:pPr>
          </w:p>
          <w:p w14:paraId="54C4F002">
            <w:pPr>
              <w:pStyle w:val="6"/>
              <w:spacing w:before="65" w:line="234" w:lineRule="auto"/>
              <w:ind w:left="152"/>
              <w:rPr>
                <w:sz w:val="20"/>
                <w:szCs w:val="20"/>
              </w:rPr>
            </w:pPr>
            <w:r>
              <w:rPr>
                <w:spacing w:val="4"/>
                <w:sz w:val="20"/>
                <w:szCs w:val="20"/>
              </w:rPr>
              <w:t>萤石（普</w:t>
            </w:r>
          </w:p>
          <w:p w14:paraId="11CC713F">
            <w:pPr>
              <w:pStyle w:val="6"/>
              <w:spacing w:before="18" w:line="235" w:lineRule="auto"/>
              <w:ind w:left="150"/>
              <w:rPr>
                <w:sz w:val="20"/>
                <w:szCs w:val="20"/>
              </w:rPr>
            </w:pPr>
            <w:r>
              <w:rPr>
                <w:spacing w:val="-3"/>
                <w:sz w:val="20"/>
                <w:szCs w:val="20"/>
              </w:rPr>
              <w:t>通）</w:t>
            </w:r>
            <w:r>
              <w:rPr>
                <w:spacing w:val="-58"/>
                <w:sz w:val="20"/>
                <w:szCs w:val="20"/>
              </w:rPr>
              <w:t xml:space="preserve"> </w:t>
            </w:r>
            <w:r>
              <w:rPr>
                <w:spacing w:val="-3"/>
                <w:sz w:val="20"/>
                <w:szCs w:val="20"/>
              </w:rPr>
              <w:t>、重</w:t>
            </w:r>
          </w:p>
          <w:p w14:paraId="74467C92">
            <w:pPr>
              <w:pStyle w:val="6"/>
              <w:spacing w:before="15" w:line="232" w:lineRule="auto"/>
              <w:ind w:left="374"/>
              <w:rPr>
                <w:sz w:val="20"/>
                <w:szCs w:val="20"/>
              </w:rPr>
            </w:pPr>
            <w:r>
              <w:rPr>
                <w:spacing w:val="-7"/>
                <w:sz w:val="20"/>
                <w:szCs w:val="20"/>
              </w:rPr>
              <w:t>晶石</w:t>
            </w:r>
          </w:p>
        </w:tc>
        <w:tc>
          <w:tcPr>
            <w:tcW w:w="885" w:type="dxa"/>
            <w:tcBorders>
              <w:bottom w:val="single" w:color="000000" w:sz="10" w:space="0"/>
            </w:tcBorders>
            <w:vAlign w:val="top"/>
          </w:tcPr>
          <w:p w14:paraId="4F155126">
            <w:pPr>
              <w:spacing w:line="257" w:lineRule="auto"/>
              <w:rPr>
                <w:rFonts w:ascii="Arial"/>
                <w:sz w:val="21"/>
              </w:rPr>
            </w:pPr>
          </w:p>
          <w:p w14:paraId="767E31FE">
            <w:pPr>
              <w:spacing w:line="258" w:lineRule="auto"/>
              <w:rPr>
                <w:rFonts w:ascii="Arial"/>
                <w:sz w:val="21"/>
              </w:rPr>
            </w:pPr>
          </w:p>
          <w:p w14:paraId="44304BE9">
            <w:pPr>
              <w:pStyle w:val="6"/>
              <w:spacing w:before="65" w:line="234" w:lineRule="auto"/>
              <w:ind w:left="250"/>
              <w:rPr>
                <w:sz w:val="20"/>
                <w:szCs w:val="20"/>
              </w:rPr>
            </w:pPr>
            <w:r>
              <w:rPr>
                <w:spacing w:val="1"/>
                <w:sz w:val="20"/>
                <w:szCs w:val="20"/>
              </w:rPr>
              <w:t>万吨</w:t>
            </w:r>
          </w:p>
        </w:tc>
        <w:tc>
          <w:tcPr>
            <w:tcW w:w="1765" w:type="dxa"/>
            <w:tcBorders>
              <w:bottom w:val="single" w:color="000000" w:sz="10" w:space="0"/>
            </w:tcBorders>
            <w:vAlign w:val="top"/>
          </w:tcPr>
          <w:p w14:paraId="597C1DD8">
            <w:pPr>
              <w:spacing w:line="259" w:lineRule="auto"/>
              <w:rPr>
                <w:rFonts w:ascii="Arial"/>
                <w:sz w:val="21"/>
              </w:rPr>
            </w:pPr>
          </w:p>
          <w:p w14:paraId="0A9D874B">
            <w:pPr>
              <w:pStyle w:val="6"/>
              <w:spacing w:before="65" w:line="234" w:lineRule="auto"/>
              <w:ind w:left="174"/>
              <w:rPr>
                <w:sz w:val="20"/>
                <w:szCs w:val="20"/>
              </w:rPr>
            </w:pPr>
            <w:r>
              <w:rPr>
                <w:spacing w:val="5"/>
                <w:sz w:val="20"/>
                <w:szCs w:val="20"/>
              </w:rPr>
              <w:t>萤石（普通</w:t>
            </w:r>
            <w:r>
              <w:rPr>
                <w:spacing w:val="1"/>
                <w:sz w:val="20"/>
                <w:szCs w:val="20"/>
              </w:rPr>
              <w:t>）：</w:t>
            </w:r>
          </w:p>
          <w:p w14:paraId="54A8B05F">
            <w:pPr>
              <w:spacing w:before="39" w:line="195" w:lineRule="auto"/>
              <w:ind w:left="7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p w14:paraId="3BECED2A">
            <w:pPr>
              <w:pStyle w:val="6"/>
              <w:spacing w:before="33" w:line="232" w:lineRule="auto"/>
              <w:ind w:left="383"/>
              <w:rPr>
                <w:rFonts w:ascii="Times New Roman" w:hAnsi="Times New Roman" w:eastAsia="Times New Roman" w:cs="Times New Roman"/>
                <w:sz w:val="20"/>
                <w:szCs w:val="20"/>
              </w:rPr>
            </w:pPr>
            <w:r>
              <w:rPr>
                <w:spacing w:val="4"/>
                <w:sz w:val="20"/>
                <w:szCs w:val="20"/>
              </w:rPr>
              <w:t>重晶石：</w:t>
            </w:r>
            <w:r>
              <w:rPr>
                <w:rFonts w:ascii="Times New Roman" w:hAnsi="Times New Roman" w:eastAsia="Times New Roman" w:cs="Times New Roman"/>
                <w:spacing w:val="4"/>
                <w:sz w:val="20"/>
                <w:szCs w:val="20"/>
              </w:rPr>
              <w:t>56</w:t>
            </w:r>
          </w:p>
        </w:tc>
        <w:tc>
          <w:tcPr>
            <w:tcW w:w="923" w:type="dxa"/>
            <w:tcBorders>
              <w:bottom w:val="single" w:color="000000" w:sz="10" w:space="0"/>
              <w:right w:val="single" w:color="000000" w:sz="10" w:space="0"/>
            </w:tcBorders>
            <w:vAlign w:val="top"/>
          </w:tcPr>
          <w:p w14:paraId="1F63F060">
            <w:pPr>
              <w:spacing w:line="257" w:lineRule="auto"/>
              <w:rPr>
                <w:rFonts w:ascii="Arial"/>
                <w:sz w:val="21"/>
              </w:rPr>
            </w:pPr>
          </w:p>
          <w:p w14:paraId="1FD0E307">
            <w:pPr>
              <w:spacing w:line="257" w:lineRule="auto"/>
              <w:rPr>
                <w:rFonts w:ascii="Arial"/>
                <w:sz w:val="21"/>
              </w:rPr>
            </w:pPr>
          </w:p>
          <w:p w14:paraId="0E1BB4DC">
            <w:pPr>
              <w:pStyle w:val="6"/>
              <w:spacing w:before="65" w:line="232" w:lineRule="auto"/>
              <w:ind w:left="288"/>
              <w:rPr>
                <w:sz w:val="20"/>
                <w:szCs w:val="20"/>
              </w:rPr>
            </w:pPr>
            <w:r>
              <w:rPr>
                <w:rFonts w:ascii="Times New Roman" w:hAnsi="Times New Roman" w:eastAsia="Times New Roman" w:cs="Times New Roman"/>
                <w:spacing w:val="-2"/>
                <w:sz w:val="20"/>
                <w:szCs w:val="20"/>
              </w:rPr>
              <w:t>9</w:t>
            </w:r>
            <w:r>
              <w:rPr>
                <w:rFonts w:ascii="Times New Roman" w:hAnsi="Times New Roman" w:eastAsia="Times New Roman" w:cs="Times New Roman"/>
                <w:spacing w:val="16"/>
                <w:sz w:val="20"/>
                <w:szCs w:val="20"/>
              </w:rPr>
              <w:t xml:space="preserve"> </w:t>
            </w:r>
            <w:r>
              <w:rPr>
                <w:spacing w:val="-2"/>
                <w:sz w:val="20"/>
                <w:szCs w:val="20"/>
              </w:rPr>
              <w:t>个</w:t>
            </w:r>
          </w:p>
        </w:tc>
      </w:tr>
    </w:tbl>
    <w:p w14:paraId="0A650488">
      <w:pPr>
        <w:pStyle w:val="2"/>
      </w:pPr>
    </w:p>
    <w:p w14:paraId="78B594E7">
      <w:pPr>
        <w:sectPr>
          <w:headerReference r:id="rId43" w:type="default"/>
          <w:footerReference r:id="rId44" w:type="default"/>
          <w:pgSz w:w="11906" w:h="16839"/>
          <w:pgMar w:top="1116" w:right="1354" w:bottom="1480" w:left="1466" w:header="683" w:footer="1318" w:gutter="0"/>
          <w:cols w:space="720" w:num="1"/>
        </w:sectPr>
      </w:pPr>
    </w:p>
    <w:p w14:paraId="35D25CC3">
      <w:pPr>
        <w:spacing w:before="82"/>
      </w:pPr>
    </w:p>
    <w:tbl>
      <w:tblPr>
        <w:tblStyle w:val="5"/>
        <w:tblW w:w="9059" w:type="dxa"/>
        <w:tblInd w:w="14"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527"/>
        <w:gridCol w:w="969"/>
        <w:gridCol w:w="1770"/>
        <w:gridCol w:w="1113"/>
        <w:gridCol w:w="1107"/>
        <w:gridCol w:w="885"/>
        <w:gridCol w:w="1765"/>
        <w:gridCol w:w="923"/>
      </w:tblGrid>
      <w:tr w14:paraId="3ECAFEFA">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825" w:hRule="atLeast"/>
        </w:trPr>
        <w:tc>
          <w:tcPr>
            <w:tcW w:w="527" w:type="dxa"/>
            <w:tcBorders>
              <w:right w:val="single" w:color="000000" w:sz="2" w:space="0"/>
            </w:tcBorders>
            <w:vAlign w:val="top"/>
          </w:tcPr>
          <w:p w14:paraId="45FFD366">
            <w:pPr>
              <w:spacing w:line="284" w:lineRule="auto"/>
              <w:rPr>
                <w:rFonts w:ascii="Arial"/>
                <w:sz w:val="21"/>
              </w:rPr>
            </w:pPr>
          </w:p>
          <w:p w14:paraId="1CAD6F86">
            <w:pPr>
              <w:spacing w:before="57" w:line="195" w:lineRule="auto"/>
              <w:ind w:left="19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969" w:type="dxa"/>
            <w:tcBorders>
              <w:left w:val="single" w:color="000000" w:sz="2" w:space="0"/>
              <w:right w:val="single" w:color="000000" w:sz="2" w:space="0"/>
            </w:tcBorders>
            <w:vAlign w:val="top"/>
          </w:tcPr>
          <w:p w14:paraId="41F49622">
            <w:pPr>
              <w:spacing w:line="284" w:lineRule="auto"/>
              <w:rPr>
                <w:rFonts w:ascii="Arial"/>
                <w:sz w:val="21"/>
              </w:rPr>
            </w:pPr>
          </w:p>
          <w:p w14:paraId="55AAC016">
            <w:pPr>
              <w:spacing w:before="57" w:line="195" w:lineRule="auto"/>
              <w:ind w:left="187"/>
              <w:rPr>
                <w:rFonts w:ascii="Times New Roman" w:hAnsi="Times New Roman" w:eastAsia="Times New Roman" w:cs="Times New Roman"/>
                <w:sz w:val="20"/>
                <w:szCs w:val="20"/>
              </w:rPr>
            </w:pPr>
            <w:r>
              <w:rPr>
                <w:rFonts w:ascii="Times New Roman" w:hAnsi="Times New Roman" w:eastAsia="Times New Roman" w:cs="Times New Roman"/>
                <w:sz w:val="20"/>
                <w:szCs w:val="20"/>
              </w:rPr>
              <w:t>CZ</w:t>
            </w:r>
            <w:r>
              <w:rPr>
                <w:rFonts w:ascii="Times New Roman" w:hAnsi="Times New Roman" w:eastAsia="Times New Roman" w:cs="Times New Roman"/>
                <w:spacing w:val="6"/>
                <w:sz w:val="20"/>
                <w:szCs w:val="20"/>
              </w:rPr>
              <w:t>002</w:t>
            </w:r>
          </w:p>
        </w:tc>
        <w:tc>
          <w:tcPr>
            <w:tcW w:w="1770" w:type="dxa"/>
            <w:tcBorders>
              <w:left w:val="single" w:color="000000" w:sz="2" w:space="0"/>
              <w:right w:val="single" w:color="000000" w:sz="2" w:space="0"/>
            </w:tcBorders>
            <w:vAlign w:val="top"/>
          </w:tcPr>
          <w:p w14:paraId="5FDB3432">
            <w:pPr>
              <w:pStyle w:val="6"/>
              <w:spacing w:before="35"/>
              <w:ind w:left="156" w:right="153" w:firstLine="6"/>
              <w:jc w:val="both"/>
              <w:rPr>
                <w:sz w:val="20"/>
                <w:szCs w:val="20"/>
              </w:rPr>
            </w:pPr>
            <w:r>
              <w:rPr>
                <w:spacing w:val="6"/>
                <w:sz w:val="20"/>
                <w:szCs w:val="20"/>
              </w:rPr>
              <w:t>重庆市黔江区中</w:t>
            </w:r>
            <w:r>
              <w:rPr>
                <w:spacing w:val="5"/>
                <w:sz w:val="20"/>
                <w:szCs w:val="20"/>
              </w:rPr>
              <w:t xml:space="preserve"> </w:t>
            </w:r>
            <w:r>
              <w:rPr>
                <w:spacing w:val="7"/>
                <w:sz w:val="20"/>
                <w:szCs w:val="20"/>
              </w:rPr>
              <w:t>塘镇水田坝铝土</w:t>
            </w:r>
            <w:r>
              <w:rPr>
                <w:spacing w:val="5"/>
                <w:sz w:val="20"/>
                <w:szCs w:val="20"/>
              </w:rPr>
              <w:t xml:space="preserve"> </w:t>
            </w:r>
            <w:r>
              <w:rPr>
                <w:spacing w:val="24"/>
                <w:sz w:val="20"/>
                <w:szCs w:val="20"/>
              </w:rPr>
              <w:t>矿重点开采区</w:t>
            </w:r>
          </w:p>
        </w:tc>
        <w:tc>
          <w:tcPr>
            <w:tcW w:w="1113" w:type="dxa"/>
            <w:tcBorders>
              <w:left w:val="single" w:color="000000" w:sz="2" w:space="0"/>
              <w:right w:val="single" w:color="000000" w:sz="2" w:space="0"/>
            </w:tcBorders>
            <w:vAlign w:val="top"/>
          </w:tcPr>
          <w:p w14:paraId="3E121FC1">
            <w:pPr>
              <w:spacing w:line="284" w:lineRule="auto"/>
              <w:rPr>
                <w:rFonts w:ascii="Arial"/>
                <w:sz w:val="21"/>
              </w:rPr>
            </w:pPr>
          </w:p>
          <w:p w14:paraId="007048EB">
            <w:pPr>
              <w:spacing w:before="57" w:line="195" w:lineRule="auto"/>
              <w:ind w:left="3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31.9</w:t>
            </w:r>
          </w:p>
        </w:tc>
        <w:tc>
          <w:tcPr>
            <w:tcW w:w="1107" w:type="dxa"/>
            <w:tcBorders>
              <w:left w:val="single" w:color="000000" w:sz="2" w:space="0"/>
              <w:right w:val="single" w:color="000000" w:sz="2" w:space="0"/>
            </w:tcBorders>
            <w:vAlign w:val="top"/>
          </w:tcPr>
          <w:p w14:paraId="4F89C18D">
            <w:pPr>
              <w:spacing w:line="241" w:lineRule="auto"/>
              <w:rPr>
                <w:rFonts w:ascii="Arial"/>
                <w:sz w:val="21"/>
              </w:rPr>
            </w:pPr>
          </w:p>
          <w:p w14:paraId="51BAC7E0">
            <w:pPr>
              <w:pStyle w:val="6"/>
              <w:spacing w:before="65" w:line="232" w:lineRule="auto"/>
              <w:ind w:left="252"/>
              <w:rPr>
                <w:sz w:val="20"/>
                <w:szCs w:val="20"/>
              </w:rPr>
            </w:pPr>
            <w:r>
              <w:rPr>
                <w:spacing w:val="4"/>
                <w:sz w:val="20"/>
                <w:szCs w:val="20"/>
              </w:rPr>
              <w:t>铝土矿</w:t>
            </w:r>
          </w:p>
        </w:tc>
        <w:tc>
          <w:tcPr>
            <w:tcW w:w="885" w:type="dxa"/>
            <w:tcBorders>
              <w:left w:val="single" w:color="000000" w:sz="2" w:space="0"/>
              <w:right w:val="single" w:color="000000" w:sz="2" w:space="0"/>
            </w:tcBorders>
            <w:vAlign w:val="top"/>
          </w:tcPr>
          <w:p w14:paraId="6FB62975">
            <w:pPr>
              <w:spacing w:line="241" w:lineRule="auto"/>
              <w:rPr>
                <w:rFonts w:ascii="Arial"/>
                <w:sz w:val="21"/>
              </w:rPr>
            </w:pPr>
          </w:p>
          <w:p w14:paraId="7231C23A">
            <w:pPr>
              <w:pStyle w:val="6"/>
              <w:spacing w:before="65" w:line="234" w:lineRule="auto"/>
              <w:ind w:left="250"/>
              <w:rPr>
                <w:sz w:val="20"/>
                <w:szCs w:val="20"/>
              </w:rPr>
            </w:pPr>
            <w:r>
              <w:rPr>
                <w:spacing w:val="1"/>
                <w:sz w:val="20"/>
                <w:szCs w:val="20"/>
              </w:rPr>
              <w:t>万吨</w:t>
            </w:r>
          </w:p>
        </w:tc>
        <w:tc>
          <w:tcPr>
            <w:tcW w:w="1765" w:type="dxa"/>
            <w:tcBorders>
              <w:left w:val="single" w:color="000000" w:sz="2" w:space="0"/>
              <w:right w:val="single" w:color="000000" w:sz="2" w:space="0"/>
            </w:tcBorders>
            <w:vAlign w:val="top"/>
          </w:tcPr>
          <w:p w14:paraId="1F8EFE8C">
            <w:pPr>
              <w:spacing w:line="284" w:lineRule="auto"/>
              <w:rPr>
                <w:rFonts w:ascii="Arial"/>
                <w:sz w:val="21"/>
              </w:rPr>
            </w:pPr>
          </w:p>
          <w:p w14:paraId="6968BEE9">
            <w:pPr>
              <w:spacing w:before="57" w:line="195" w:lineRule="auto"/>
              <w:ind w:left="7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920</w:t>
            </w:r>
          </w:p>
        </w:tc>
        <w:tc>
          <w:tcPr>
            <w:tcW w:w="923" w:type="dxa"/>
            <w:tcBorders>
              <w:left w:val="single" w:color="000000" w:sz="2" w:space="0"/>
            </w:tcBorders>
            <w:vAlign w:val="top"/>
          </w:tcPr>
          <w:p w14:paraId="323C181E">
            <w:pPr>
              <w:rPr>
                <w:rFonts w:ascii="Arial"/>
                <w:sz w:val="21"/>
              </w:rPr>
            </w:pPr>
          </w:p>
          <w:p w14:paraId="656327A5">
            <w:pPr>
              <w:pStyle w:val="6"/>
              <w:spacing w:before="65" w:line="232" w:lineRule="auto"/>
              <w:ind w:left="304"/>
              <w:rPr>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16"/>
                <w:sz w:val="20"/>
                <w:szCs w:val="20"/>
              </w:rPr>
              <w:t xml:space="preserve"> </w:t>
            </w:r>
            <w:r>
              <w:rPr>
                <w:spacing w:val="-10"/>
                <w:sz w:val="20"/>
                <w:szCs w:val="20"/>
              </w:rPr>
              <w:t>个</w:t>
            </w:r>
          </w:p>
        </w:tc>
      </w:tr>
    </w:tbl>
    <w:p w14:paraId="5DCA8D34">
      <w:pPr>
        <w:spacing w:before="146" w:line="228" w:lineRule="auto"/>
        <w:ind w:left="612"/>
        <w:rPr>
          <w:rFonts w:ascii="仿宋" w:hAnsi="仿宋" w:eastAsia="仿宋" w:cs="仿宋"/>
          <w:sz w:val="25"/>
          <w:szCs w:val="25"/>
        </w:rPr>
      </w:pPr>
      <w:r>
        <w:rPr>
          <w:rFonts w:ascii="Times New Roman" w:hAnsi="Times New Roman" w:eastAsia="Times New Roman" w:cs="Times New Roman"/>
          <w:spacing w:val="7"/>
          <w:sz w:val="25"/>
          <w:szCs w:val="25"/>
        </w:rPr>
        <w:t>3</w:t>
      </w:r>
      <w:r>
        <w:rPr>
          <w:rFonts w:ascii="仿宋" w:hAnsi="仿宋" w:eastAsia="仿宋" w:cs="仿宋"/>
          <w:spacing w:val="7"/>
          <w:sz w:val="25"/>
          <w:szCs w:val="25"/>
        </w:rPr>
        <w:t>）集中开采区</w:t>
      </w:r>
    </w:p>
    <w:p w14:paraId="0CCDBFDF">
      <w:pPr>
        <w:spacing w:before="151" w:line="340" w:lineRule="auto"/>
        <w:ind w:left="125" w:right="121" w:firstLine="498"/>
        <w:rPr>
          <w:rFonts w:ascii="仿宋" w:hAnsi="仿宋" w:eastAsia="仿宋" w:cs="仿宋"/>
          <w:sz w:val="25"/>
          <w:szCs w:val="25"/>
        </w:rPr>
      </w:pPr>
      <w:r>
        <w:rPr>
          <w:rFonts w:ascii="仿宋" w:hAnsi="仿宋" w:eastAsia="仿宋" w:cs="仿宋"/>
          <w:spacing w:val="8"/>
          <w:sz w:val="25"/>
          <w:szCs w:val="25"/>
        </w:rPr>
        <w:t>黔江区蓬东石灰岩矿集中开采区</w:t>
      </w:r>
      <w:r>
        <w:rPr>
          <w:rFonts w:ascii="Times New Roman" w:hAnsi="Times New Roman" w:eastAsia="Times New Roman" w:cs="Times New Roman"/>
          <w:spacing w:val="8"/>
          <w:sz w:val="25"/>
          <w:szCs w:val="25"/>
        </w:rPr>
        <w:t>-</w:t>
      </w:r>
      <w:r>
        <w:rPr>
          <w:rFonts w:ascii="仿宋" w:hAnsi="仿宋" w:eastAsia="仿宋" w:cs="仿宋"/>
          <w:spacing w:val="8"/>
          <w:sz w:val="25"/>
          <w:szCs w:val="25"/>
        </w:rPr>
        <w:t>主要位于黔江区南东部蓬</w:t>
      </w:r>
      <w:r>
        <w:rPr>
          <w:rFonts w:ascii="仿宋" w:hAnsi="仿宋" w:eastAsia="仿宋" w:cs="仿宋"/>
          <w:spacing w:val="7"/>
          <w:sz w:val="25"/>
          <w:szCs w:val="25"/>
        </w:rPr>
        <w:t>东乡、濯水镇，</w:t>
      </w:r>
      <w:r>
        <w:rPr>
          <w:rFonts w:ascii="仿宋" w:hAnsi="仿宋" w:eastAsia="仿宋" w:cs="仿宋"/>
          <w:sz w:val="25"/>
          <w:szCs w:val="25"/>
        </w:rPr>
        <w:t xml:space="preserve"> </w:t>
      </w:r>
      <w:r>
        <w:rPr>
          <w:rFonts w:ascii="仿宋" w:hAnsi="仿宋" w:eastAsia="仿宋" w:cs="仿宋"/>
          <w:spacing w:val="7"/>
          <w:sz w:val="25"/>
          <w:szCs w:val="25"/>
        </w:rPr>
        <w:t>面积</w:t>
      </w:r>
      <w:r>
        <w:rPr>
          <w:rFonts w:ascii="仿宋" w:hAnsi="仿宋" w:eastAsia="仿宋" w:cs="仿宋"/>
          <w:spacing w:val="-52"/>
          <w:sz w:val="25"/>
          <w:szCs w:val="25"/>
        </w:rPr>
        <w:t xml:space="preserve"> </w:t>
      </w:r>
      <w:r>
        <w:rPr>
          <w:rFonts w:ascii="Times New Roman" w:hAnsi="Times New Roman" w:eastAsia="Times New Roman" w:cs="Times New Roman"/>
          <w:spacing w:val="7"/>
          <w:sz w:val="25"/>
          <w:szCs w:val="25"/>
        </w:rPr>
        <w:t>27.6</w:t>
      </w:r>
      <w:r>
        <w:rPr>
          <w:rFonts w:ascii="Times New Roman" w:hAnsi="Times New Roman" w:eastAsia="Times New Roman" w:cs="Times New Roman"/>
          <w:spacing w:val="22"/>
          <w:w w:val="101"/>
          <w:sz w:val="25"/>
          <w:szCs w:val="25"/>
        </w:rPr>
        <w:t xml:space="preserve"> </w:t>
      </w:r>
      <w:r>
        <w:rPr>
          <w:rFonts w:ascii="仿宋" w:hAnsi="仿宋" w:eastAsia="仿宋" w:cs="仿宋"/>
          <w:spacing w:val="7"/>
          <w:sz w:val="25"/>
          <w:szCs w:val="25"/>
        </w:rPr>
        <w:t>平方千米。主要开采建筑石料用灰岩和水泥用灰</w:t>
      </w:r>
      <w:r>
        <w:rPr>
          <w:rFonts w:ascii="仿宋" w:hAnsi="仿宋" w:eastAsia="仿宋" w:cs="仿宋"/>
          <w:spacing w:val="6"/>
          <w:sz w:val="25"/>
          <w:szCs w:val="25"/>
        </w:rPr>
        <w:t>岩。区内现有采矿权</w:t>
      </w:r>
      <w:r>
        <w:rPr>
          <w:rFonts w:ascii="仿宋" w:hAnsi="仿宋" w:eastAsia="仿宋" w:cs="仿宋"/>
          <w:sz w:val="25"/>
          <w:szCs w:val="25"/>
        </w:rPr>
        <w:t xml:space="preserve"> </w:t>
      </w:r>
      <w:r>
        <w:rPr>
          <w:rFonts w:ascii="Times New Roman" w:hAnsi="Times New Roman" w:eastAsia="Times New Roman" w:cs="Times New Roman"/>
          <w:spacing w:val="8"/>
          <w:sz w:val="25"/>
          <w:szCs w:val="25"/>
        </w:rPr>
        <w:t>4</w:t>
      </w:r>
      <w:r>
        <w:rPr>
          <w:rFonts w:ascii="Times New Roman" w:hAnsi="Times New Roman" w:eastAsia="Times New Roman" w:cs="Times New Roman"/>
          <w:spacing w:val="30"/>
          <w:sz w:val="25"/>
          <w:szCs w:val="25"/>
        </w:rPr>
        <w:t xml:space="preserve"> </w:t>
      </w:r>
      <w:r>
        <w:rPr>
          <w:rFonts w:ascii="仿宋" w:hAnsi="仿宋" w:eastAsia="仿宋" w:cs="仿宋"/>
          <w:spacing w:val="8"/>
          <w:sz w:val="25"/>
          <w:szCs w:val="25"/>
        </w:rPr>
        <w:t>个，其中建筑石料用灰岩</w:t>
      </w:r>
      <w:r>
        <w:rPr>
          <w:rFonts w:ascii="仿宋" w:hAnsi="仿宋" w:eastAsia="仿宋" w:cs="仿宋"/>
          <w:spacing w:val="-45"/>
          <w:sz w:val="25"/>
          <w:szCs w:val="25"/>
        </w:rPr>
        <w:t xml:space="preserve"> </w:t>
      </w:r>
      <w:r>
        <w:rPr>
          <w:rFonts w:ascii="Times New Roman" w:hAnsi="Times New Roman" w:eastAsia="Times New Roman" w:cs="Times New Roman"/>
          <w:spacing w:val="8"/>
          <w:sz w:val="25"/>
          <w:szCs w:val="25"/>
        </w:rPr>
        <w:t>3</w:t>
      </w:r>
      <w:r>
        <w:rPr>
          <w:rFonts w:ascii="Times New Roman" w:hAnsi="Times New Roman" w:eastAsia="Times New Roman" w:cs="Times New Roman"/>
          <w:spacing w:val="23"/>
          <w:sz w:val="25"/>
          <w:szCs w:val="25"/>
        </w:rPr>
        <w:t xml:space="preserve"> </w:t>
      </w:r>
      <w:r>
        <w:rPr>
          <w:rFonts w:ascii="仿宋" w:hAnsi="仿宋" w:eastAsia="仿宋" w:cs="仿宋"/>
          <w:spacing w:val="8"/>
          <w:sz w:val="25"/>
          <w:szCs w:val="25"/>
        </w:rPr>
        <w:t>个，水泥用灰岩</w:t>
      </w:r>
      <w:r>
        <w:rPr>
          <w:rFonts w:ascii="仿宋" w:hAnsi="仿宋" w:eastAsia="仿宋" w:cs="仿宋"/>
          <w:spacing w:val="-27"/>
          <w:sz w:val="25"/>
          <w:szCs w:val="25"/>
        </w:rPr>
        <w:t xml:space="preserve"> </w:t>
      </w:r>
      <w:r>
        <w:rPr>
          <w:rFonts w:ascii="Times New Roman" w:hAnsi="Times New Roman" w:eastAsia="Times New Roman" w:cs="Times New Roman"/>
          <w:spacing w:val="8"/>
          <w:sz w:val="25"/>
          <w:szCs w:val="25"/>
        </w:rPr>
        <w:t>1</w:t>
      </w:r>
      <w:r>
        <w:rPr>
          <w:rFonts w:ascii="Times New Roman" w:hAnsi="Times New Roman" w:eastAsia="Times New Roman" w:cs="Times New Roman"/>
          <w:spacing w:val="23"/>
          <w:sz w:val="25"/>
          <w:szCs w:val="25"/>
        </w:rPr>
        <w:t xml:space="preserve"> </w:t>
      </w:r>
      <w:r>
        <w:rPr>
          <w:rFonts w:ascii="仿宋" w:hAnsi="仿宋" w:eastAsia="仿宋" w:cs="仿宋"/>
          <w:spacing w:val="8"/>
          <w:sz w:val="25"/>
          <w:szCs w:val="25"/>
        </w:rPr>
        <w:t>个。规划期设置建筑石料用灰</w:t>
      </w:r>
      <w:r>
        <w:rPr>
          <w:rFonts w:ascii="仿宋" w:hAnsi="仿宋" w:eastAsia="仿宋" w:cs="仿宋"/>
          <w:sz w:val="25"/>
          <w:szCs w:val="25"/>
        </w:rPr>
        <w:t xml:space="preserve"> </w:t>
      </w:r>
      <w:r>
        <w:rPr>
          <w:rFonts w:ascii="仿宋" w:hAnsi="仿宋" w:eastAsia="仿宋" w:cs="仿宋"/>
          <w:spacing w:val="-1"/>
          <w:sz w:val="25"/>
          <w:szCs w:val="25"/>
        </w:rPr>
        <w:t>岩采矿权</w:t>
      </w:r>
      <w:r>
        <w:rPr>
          <w:rFonts w:ascii="仿宋" w:hAnsi="仿宋" w:eastAsia="仿宋" w:cs="仿宋"/>
          <w:spacing w:val="-22"/>
          <w:sz w:val="25"/>
          <w:szCs w:val="25"/>
        </w:rPr>
        <w:t xml:space="preserve"> </w:t>
      </w:r>
      <w:r>
        <w:rPr>
          <w:rFonts w:ascii="Times New Roman" w:hAnsi="Times New Roman" w:eastAsia="Times New Roman" w:cs="Times New Roman"/>
          <w:spacing w:val="-1"/>
          <w:sz w:val="25"/>
          <w:szCs w:val="25"/>
        </w:rPr>
        <w:t>1</w:t>
      </w:r>
      <w:r>
        <w:rPr>
          <w:rFonts w:ascii="Times New Roman" w:hAnsi="Times New Roman" w:eastAsia="Times New Roman" w:cs="Times New Roman"/>
          <w:spacing w:val="21"/>
          <w:sz w:val="25"/>
          <w:szCs w:val="25"/>
        </w:rPr>
        <w:t xml:space="preserve"> </w:t>
      </w:r>
      <w:r>
        <w:rPr>
          <w:rFonts w:ascii="仿宋" w:hAnsi="仿宋" w:eastAsia="仿宋" w:cs="仿宋"/>
          <w:spacing w:val="-1"/>
          <w:sz w:val="25"/>
          <w:szCs w:val="25"/>
        </w:rPr>
        <w:t>个。</w:t>
      </w:r>
    </w:p>
    <w:p w14:paraId="11EFB1C5">
      <w:pPr>
        <w:spacing w:before="42" w:line="230" w:lineRule="auto"/>
        <w:ind w:left="3019"/>
        <w:rPr>
          <w:rFonts w:ascii="仿宋" w:hAnsi="仿宋" w:eastAsia="仿宋" w:cs="仿宋"/>
          <w:sz w:val="20"/>
          <w:szCs w:val="20"/>
        </w:rPr>
      </w:pPr>
      <w:r>
        <w:rPr>
          <w:rFonts w:ascii="仿宋" w:hAnsi="仿宋" w:eastAsia="仿宋" w:cs="仿宋"/>
          <w:b/>
          <w:bCs/>
          <w:spacing w:val="5"/>
          <w:sz w:val="20"/>
          <w:szCs w:val="20"/>
        </w:rPr>
        <w:t>表</w:t>
      </w:r>
      <w:r>
        <w:rPr>
          <w:rFonts w:ascii="仿宋" w:hAnsi="仿宋" w:eastAsia="仿宋" w:cs="仿宋"/>
          <w:spacing w:val="-26"/>
          <w:sz w:val="20"/>
          <w:szCs w:val="20"/>
        </w:rPr>
        <w:t xml:space="preserve"> </w:t>
      </w:r>
      <w:r>
        <w:rPr>
          <w:rFonts w:ascii="Times New Roman" w:hAnsi="Times New Roman" w:eastAsia="Times New Roman" w:cs="Times New Roman"/>
          <w:b/>
          <w:bCs/>
          <w:spacing w:val="5"/>
          <w:sz w:val="20"/>
          <w:szCs w:val="20"/>
        </w:rPr>
        <w:t xml:space="preserve">2.1-4    </w:t>
      </w:r>
      <w:r>
        <w:rPr>
          <w:rFonts w:ascii="仿宋" w:hAnsi="仿宋" w:eastAsia="仿宋" w:cs="仿宋"/>
          <w:b/>
          <w:bCs/>
          <w:spacing w:val="5"/>
          <w:sz w:val="20"/>
          <w:szCs w:val="20"/>
        </w:rPr>
        <w:t>矿产资源规划集中开采区分区表</w:t>
      </w:r>
    </w:p>
    <w:p w14:paraId="5E644396">
      <w:pPr>
        <w:spacing w:line="21" w:lineRule="exact"/>
      </w:pPr>
    </w:p>
    <w:tbl>
      <w:tblPr>
        <w:tblStyle w:val="5"/>
        <w:tblW w:w="9059"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7"/>
        <w:gridCol w:w="907"/>
        <w:gridCol w:w="1104"/>
        <w:gridCol w:w="994"/>
        <w:gridCol w:w="1021"/>
        <w:gridCol w:w="1208"/>
        <w:gridCol w:w="914"/>
        <w:gridCol w:w="1199"/>
        <w:gridCol w:w="1075"/>
      </w:tblGrid>
      <w:tr w14:paraId="49BE14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trPr>
        <w:tc>
          <w:tcPr>
            <w:tcW w:w="637" w:type="dxa"/>
            <w:tcBorders>
              <w:top w:val="single" w:color="000000" w:sz="10" w:space="0"/>
              <w:left w:val="single" w:color="000000" w:sz="10" w:space="0"/>
            </w:tcBorders>
            <w:textDirection w:val="tbRlV"/>
            <w:vAlign w:val="top"/>
          </w:tcPr>
          <w:p w14:paraId="34E0E5FA">
            <w:pPr>
              <w:pStyle w:val="6"/>
              <w:spacing w:before="215" w:line="209" w:lineRule="auto"/>
              <w:ind w:left="35"/>
              <w:rPr>
                <w:sz w:val="20"/>
                <w:szCs w:val="20"/>
              </w:rPr>
            </w:pPr>
            <w:r>
              <w:rPr>
                <w:spacing w:val="13"/>
                <w:sz w:val="20"/>
                <w:szCs w:val="20"/>
              </w:rPr>
              <w:t>序</w:t>
            </w:r>
            <w:r>
              <w:rPr>
                <w:spacing w:val="-40"/>
                <w:sz w:val="20"/>
                <w:szCs w:val="20"/>
              </w:rPr>
              <w:t xml:space="preserve"> </w:t>
            </w:r>
            <w:r>
              <w:rPr>
                <w:spacing w:val="13"/>
                <w:sz w:val="20"/>
                <w:szCs w:val="20"/>
              </w:rPr>
              <w:t>号</w:t>
            </w:r>
          </w:p>
        </w:tc>
        <w:tc>
          <w:tcPr>
            <w:tcW w:w="907" w:type="dxa"/>
            <w:tcBorders>
              <w:top w:val="single" w:color="000000" w:sz="10" w:space="0"/>
            </w:tcBorders>
            <w:vAlign w:val="top"/>
          </w:tcPr>
          <w:p w14:paraId="7053CE8C">
            <w:pPr>
              <w:pStyle w:val="6"/>
              <w:spacing w:before="172" w:line="232" w:lineRule="auto"/>
              <w:ind w:left="243"/>
              <w:rPr>
                <w:sz w:val="20"/>
                <w:szCs w:val="20"/>
              </w:rPr>
            </w:pPr>
            <w:r>
              <w:rPr>
                <w:spacing w:val="1"/>
                <w:sz w:val="20"/>
                <w:szCs w:val="20"/>
              </w:rPr>
              <w:t>编号</w:t>
            </w:r>
          </w:p>
        </w:tc>
        <w:tc>
          <w:tcPr>
            <w:tcW w:w="1104" w:type="dxa"/>
            <w:tcBorders>
              <w:top w:val="single" w:color="000000" w:sz="10" w:space="0"/>
            </w:tcBorders>
            <w:vAlign w:val="top"/>
          </w:tcPr>
          <w:p w14:paraId="08DC338C">
            <w:pPr>
              <w:pStyle w:val="6"/>
              <w:spacing w:before="172" w:line="229" w:lineRule="auto"/>
              <w:ind w:left="343"/>
              <w:rPr>
                <w:sz w:val="20"/>
                <w:szCs w:val="20"/>
              </w:rPr>
            </w:pPr>
            <w:r>
              <w:rPr>
                <w:spacing w:val="1"/>
                <w:sz w:val="20"/>
                <w:szCs w:val="20"/>
              </w:rPr>
              <w:t>名称</w:t>
            </w:r>
          </w:p>
        </w:tc>
        <w:tc>
          <w:tcPr>
            <w:tcW w:w="994" w:type="dxa"/>
            <w:tcBorders>
              <w:top w:val="single" w:color="000000" w:sz="10" w:space="0"/>
            </w:tcBorders>
            <w:vAlign w:val="top"/>
          </w:tcPr>
          <w:p w14:paraId="1625B293">
            <w:pPr>
              <w:pStyle w:val="6"/>
              <w:spacing w:before="35" w:line="232" w:lineRule="auto"/>
              <w:ind w:left="292" w:right="181" w:hanging="105"/>
              <w:rPr>
                <w:sz w:val="20"/>
                <w:szCs w:val="20"/>
              </w:rPr>
            </w:pPr>
            <w:r>
              <w:rPr>
                <w:spacing w:val="4"/>
                <w:sz w:val="20"/>
                <w:szCs w:val="20"/>
              </w:rPr>
              <w:t>所在行</w:t>
            </w:r>
            <w:r>
              <w:rPr>
                <w:spacing w:val="1"/>
                <w:sz w:val="20"/>
                <w:szCs w:val="20"/>
              </w:rPr>
              <w:t xml:space="preserve"> 政区</w:t>
            </w:r>
          </w:p>
        </w:tc>
        <w:tc>
          <w:tcPr>
            <w:tcW w:w="1021" w:type="dxa"/>
            <w:tcBorders>
              <w:top w:val="single" w:color="000000" w:sz="10" w:space="0"/>
            </w:tcBorders>
            <w:vAlign w:val="top"/>
          </w:tcPr>
          <w:p w14:paraId="27E78DDA">
            <w:pPr>
              <w:pStyle w:val="6"/>
              <w:spacing w:before="34" w:line="232" w:lineRule="auto"/>
              <w:ind w:left="313"/>
              <w:rPr>
                <w:sz w:val="20"/>
                <w:szCs w:val="20"/>
              </w:rPr>
            </w:pPr>
            <w:r>
              <w:rPr>
                <w:spacing w:val="-1"/>
                <w:sz w:val="20"/>
                <w:szCs w:val="20"/>
              </w:rPr>
              <w:t>面积</w:t>
            </w:r>
          </w:p>
          <w:p w14:paraId="2B09EE6A">
            <w:pPr>
              <w:pStyle w:val="6"/>
              <w:spacing w:before="23" w:line="211" w:lineRule="auto"/>
              <w:ind w:left="145"/>
              <w:rPr>
                <w:sz w:val="20"/>
                <w:szCs w:val="20"/>
              </w:rPr>
            </w:pPr>
            <w:r>
              <w:rPr>
                <w:spacing w:val="2"/>
                <w:sz w:val="20"/>
                <w:szCs w:val="20"/>
              </w:rPr>
              <w:t>（</w:t>
            </w:r>
            <w:r>
              <w:rPr>
                <w:rFonts w:ascii="Times New Roman" w:hAnsi="Times New Roman" w:eastAsia="Times New Roman" w:cs="Times New Roman"/>
                <w:sz w:val="20"/>
                <w:szCs w:val="20"/>
              </w:rPr>
              <w:t>km</w:t>
            </w:r>
            <w:r>
              <w:rPr>
                <w:rFonts w:ascii="Times New Roman" w:hAnsi="Times New Roman" w:eastAsia="Times New Roman" w:cs="Times New Roman"/>
                <w:spacing w:val="2"/>
                <w:position w:val="6"/>
                <w:sz w:val="13"/>
                <w:szCs w:val="13"/>
              </w:rPr>
              <w:t>2</w:t>
            </w:r>
            <w:r>
              <w:rPr>
                <w:spacing w:val="2"/>
                <w:sz w:val="20"/>
                <w:szCs w:val="20"/>
              </w:rPr>
              <w:t>）</w:t>
            </w:r>
          </w:p>
        </w:tc>
        <w:tc>
          <w:tcPr>
            <w:tcW w:w="1208" w:type="dxa"/>
            <w:tcBorders>
              <w:top w:val="single" w:color="000000" w:sz="10" w:space="0"/>
            </w:tcBorders>
            <w:vAlign w:val="top"/>
          </w:tcPr>
          <w:p w14:paraId="5947B82F">
            <w:pPr>
              <w:pStyle w:val="6"/>
              <w:spacing w:before="172" w:line="232" w:lineRule="auto"/>
              <w:ind w:left="200"/>
              <w:rPr>
                <w:sz w:val="20"/>
                <w:szCs w:val="20"/>
              </w:rPr>
            </w:pPr>
            <w:r>
              <w:rPr>
                <w:spacing w:val="4"/>
                <w:sz w:val="20"/>
                <w:szCs w:val="20"/>
              </w:rPr>
              <w:t>主要矿产</w:t>
            </w:r>
          </w:p>
        </w:tc>
        <w:tc>
          <w:tcPr>
            <w:tcW w:w="914" w:type="dxa"/>
            <w:tcBorders>
              <w:top w:val="single" w:color="000000" w:sz="10" w:space="0"/>
            </w:tcBorders>
            <w:vAlign w:val="top"/>
          </w:tcPr>
          <w:p w14:paraId="709379FF">
            <w:pPr>
              <w:pStyle w:val="6"/>
              <w:spacing w:before="172" w:line="232" w:lineRule="auto"/>
              <w:ind w:left="166"/>
              <w:rPr>
                <w:sz w:val="20"/>
                <w:szCs w:val="20"/>
              </w:rPr>
            </w:pPr>
            <w:r>
              <w:rPr>
                <w:spacing w:val="1"/>
                <w:sz w:val="20"/>
                <w:szCs w:val="20"/>
              </w:rPr>
              <w:t>资源量</w:t>
            </w:r>
          </w:p>
        </w:tc>
        <w:tc>
          <w:tcPr>
            <w:tcW w:w="1199" w:type="dxa"/>
            <w:tcBorders>
              <w:top w:val="single" w:color="000000" w:sz="10" w:space="0"/>
            </w:tcBorders>
            <w:vAlign w:val="top"/>
          </w:tcPr>
          <w:p w14:paraId="2D16F5D7">
            <w:pPr>
              <w:pStyle w:val="6"/>
              <w:spacing w:before="35" w:line="232" w:lineRule="auto"/>
              <w:ind w:left="302" w:right="167" w:hanging="78"/>
              <w:rPr>
                <w:sz w:val="20"/>
                <w:szCs w:val="20"/>
              </w:rPr>
            </w:pPr>
            <w:r>
              <w:rPr>
                <w:spacing w:val="-1"/>
                <w:sz w:val="20"/>
                <w:szCs w:val="20"/>
              </w:rPr>
              <w:t>已设采矿</w:t>
            </w:r>
            <w:r>
              <w:rPr>
                <w:sz w:val="20"/>
                <w:szCs w:val="20"/>
              </w:rPr>
              <w:t xml:space="preserve"> </w:t>
            </w:r>
            <w:r>
              <w:rPr>
                <w:spacing w:val="5"/>
                <w:sz w:val="20"/>
                <w:szCs w:val="20"/>
              </w:rPr>
              <w:t>权数量</w:t>
            </w:r>
          </w:p>
        </w:tc>
        <w:tc>
          <w:tcPr>
            <w:tcW w:w="1075" w:type="dxa"/>
            <w:tcBorders>
              <w:top w:val="single" w:color="000000" w:sz="10" w:space="0"/>
              <w:right w:val="single" w:color="000000" w:sz="10" w:space="0"/>
            </w:tcBorders>
            <w:vAlign w:val="top"/>
          </w:tcPr>
          <w:p w14:paraId="52BDCA6A">
            <w:pPr>
              <w:pStyle w:val="6"/>
              <w:spacing w:before="35" w:line="232" w:lineRule="auto"/>
              <w:ind w:left="234" w:right="102" w:hanging="104"/>
              <w:rPr>
                <w:sz w:val="20"/>
                <w:szCs w:val="20"/>
              </w:rPr>
            </w:pPr>
            <w:r>
              <w:rPr>
                <w:spacing w:val="5"/>
                <w:sz w:val="20"/>
                <w:szCs w:val="20"/>
              </w:rPr>
              <w:t>拟设采矿</w:t>
            </w:r>
            <w:r>
              <w:rPr>
                <w:spacing w:val="2"/>
                <w:sz w:val="20"/>
                <w:szCs w:val="20"/>
              </w:rPr>
              <w:t xml:space="preserve"> </w:t>
            </w:r>
            <w:r>
              <w:rPr>
                <w:spacing w:val="5"/>
                <w:sz w:val="20"/>
                <w:szCs w:val="20"/>
              </w:rPr>
              <w:t>权数量</w:t>
            </w:r>
          </w:p>
        </w:tc>
      </w:tr>
      <w:tr w14:paraId="0F5623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9" w:hRule="atLeast"/>
        </w:trPr>
        <w:tc>
          <w:tcPr>
            <w:tcW w:w="637" w:type="dxa"/>
            <w:tcBorders>
              <w:left w:val="single" w:color="000000" w:sz="10" w:space="0"/>
              <w:bottom w:val="single" w:color="000000" w:sz="10" w:space="0"/>
            </w:tcBorders>
            <w:vAlign w:val="top"/>
          </w:tcPr>
          <w:p w14:paraId="6A31B457">
            <w:pPr>
              <w:spacing w:line="420" w:lineRule="auto"/>
              <w:rPr>
                <w:rFonts w:ascii="Arial"/>
                <w:sz w:val="21"/>
              </w:rPr>
            </w:pPr>
          </w:p>
          <w:p w14:paraId="2B43A73E">
            <w:pPr>
              <w:spacing w:before="57" w:line="195" w:lineRule="auto"/>
              <w:ind w:left="27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07" w:type="dxa"/>
            <w:tcBorders>
              <w:bottom w:val="single" w:color="000000" w:sz="10" w:space="0"/>
            </w:tcBorders>
            <w:vAlign w:val="top"/>
          </w:tcPr>
          <w:p w14:paraId="67F761B1">
            <w:pPr>
              <w:spacing w:line="420" w:lineRule="auto"/>
              <w:rPr>
                <w:rFonts w:ascii="Arial"/>
                <w:sz w:val="21"/>
              </w:rPr>
            </w:pPr>
          </w:p>
          <w:p w14:paraId="739F6D08">
            <w:pPr>
              <w:spacing w:before="57" w:line="195" w:lineRule="auto"/>
              <w:ind w:left="161"/>
              <w:rPr>
                <w:rFonts w:ascii="Times New Roman" w:hAnsi="Times New Roman" w:eastAsia="Times New Roman" w:cs="Times New Roman"/>
                <w:sz w:val="20"/>
                <w:szCs w:val="20"/>
              </w:rPr>
            </w:pPr>
            <w:r>
              <w:rPr>
                <w:rFonts w:ascii="Times New Roman" w:hAnsi="Times New Roman" w:eastAsia="Times New Roman" w:cs="Times New Roman"/>
                <w:sz w:val="20"/>
                <w:szCs w:val="20"/>
              </w:rPr>
              <w:t>CS</w:t>
            </w:r>
            <w:r>
              <w:rPr>
                <w:rFonts w:ascii="Times New Roman" w:hAnsi="Times New Roman" w:eastAsia="Times New Roman" w:cs="Times New Roman"/>
                <w:spacing w:val="5"/>
                <w:sz w:val="20"/>
                <w:szCs w:val="20"/>
              </w:rPr>
              <w:t>001</w:t>
            </w:r>
          </w:p>
        </w:tc>
        <w:tc>
          <w:tcPr>
            <w:tcW w:w="1104" w:type="dxa"/>
            <w:tcBorders>
              <w:bottom w:val="single" w:color="000000" w:sz="10" w:space="0"/>
            </w:tcBorders>
            <w:vAlign w:val="top"/>
          </w:tcPr>
          <w:p w14:paraId="1601B7D5">
            <w:pPr>
              <w:pStyle w:val="6"/>
              <w:spacing w:before="173" w:line="233" w:lineRule="auto"/>
              <w:ind w:left="134"/>
              <w:rPr>
                <w:sz w:val="20"/>
                <w:szCs w:val="20"/>
              </w:rPr>
            </w:pPr>
            <w:r>
              <w:rPr>
                <w:spacing w:val="5"/>
                <w:sz w:val="20"/>
                <w:szCs w:val="20"/>
              </w:rPr>
              <w:t>蓬东乡石</w:t>
            </w:r>
          </w:p>
          <w:p w14:paraId="3F8A980C">
            <w:pPr>
              <w:pStyle w:val="6"/>
              <w:spacing w:before="18" w:line="251" w:lineRule="auto"/>
              <w:ind w:left="238" w:right="135" w:hanging="103"/>
              <w:rPr>
                <w:sz w:val="20"/>
                <w:szCs w:val="20"/>
              </w:rPr>
            </w:pPr>
            <w:r>
              <w:rPr>
                <w:spacing w:val="5"/>
                <w:sz w:val="20"/>
                <w:szCs w:val="20"/>
              </w:rPr>
              <w:t>灰岩集中</w:t>
            </w:r>
            <w:r>
              <w:rPr>
                <w:spacing w:val="1"/>
                <w:sz w:val="20"/>
                <w:szCs w:val="20"/>
              </w:rPr>
              <w:t xml:space="preserve"> </w:t>
            </w:r>
            <w:r>
              <w:rPr>
                <w:spacing w:val="5"/>
                <w:sz w:val="20"/>
                <w:szCs w:val="20"/>
              </w:rPr>
              <w:t>开采区</w:t>
            </w:r>
          </w:p>
        </w:tc>
        <w:tc>
          <w:tcPr>
            <w:tcW w:w="994" w:type="dxa"/>
            <w:tcBorders>
              <w:bottom w:val="single" w:color="000000" w:sz="10" w:space="0"/>
            </w:tcBorders>
            <w:vAlign w:val="top"/>
          </w:tcPr>
          <w:p w14:paraId="53325EDE">
            <w:pPr>
              <w:spacing w:line="377" w:lineRule="auto"/>
              <w:rPr>
                <w:rFonts w:ascii="Arial"/>
                <w:sz w:val="21"/>
              </w:rPr>
            </w:pPr>
          </w:p>
          <w:p w14:paraId="48C15E21">
            <w:pPr>
              <w:pStyle w:val="6"/>
              <w:spacing w:before="65" w:line="233" w:lineRule="auto"/>
              <w:ind w:left="187"/>
              <w:rPr>
                <w:sz w:val="20"/>
                <w:szCs w:val="20"/>
              </w:rPr>
            </w:pPr>
            <w:r>
              <w:rPr>
                <w:spacing w:val="4"/>
                <w:sz w:val="20"/>
                <w:szCs w:val="20"/>
              </w:rPr>
              <w:t>蓬东乡</w:t>
            </w:r>
          </w:p>
        </w:tc>
        <w:tc>
          <w:tcPr>
            <w:tcW w:w="1021" w:type="dxa"/>
            <w:tcBorders>
              <w:bottom w:val="single" w:color="000000" w:sz="10" w:space="0"/>
            </w:tcBorders>
            <w:vAlign w:val="top"/>
          </w:tcPr>
          <w:p w14:paraId="7313CE68">
            <w:pPr>
              <w:spacing w:line="420" w:lineRule="auto"/>
              <w:rPr>
                <w:rFonts w:ascii="Arial"/>
                <w:sz w:val="21"/>
              </w:rPr>
            </w:pPr>
          </w:p>
          <w:p w14:paraId="5212DD07">
            <w:pPr>
              <w:spacing w:before="57"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20.13</w:t>
            </w:r>
          </w:p>
        </w:tc>
        <w:tc>
          <w:tcPr>
            <w:tcW w:w="1208" w:type="dxa"/>
            <w:tcBorders>
              <w:bottom w:val="single" w:color="000000" w:sz="10" w:space="0"/>
            </w:tcBorders>
            <w:vAlign w:val="top"/>
          </w:tcPr>
          <w:p w14:paraId="514D6900">
            <w:pPr>
              <w:spacing w:line="244" w:lineRule="auto"/>
              <w:rPr>
                <w:rFonts w:ascii="Arial"/>
                <w:sz w:val="21"/>
              </w:rPr>
            </w:pPr>
          </w:p>
          <w:p w14:paraId="4240B2AE">
            <w:pPr>
              <w:pStyle w:val="6"/>
              <w:spacing w:before="65" w:line="251" w:lineRule="auto"/>
              <w:ind w:left="300" w:right="178" w:hanging="105"/>
              <w:rPr>
                <w:sz w:val="20"/>
                <w:szCs w:val="20"/>
              </w:rPr>
            </w:pPr>
            <w:r>
              <w:rPr>
                <w:spacing w:val="5"/>
                <w:sz w:val="20"/>
                <w:szCs w:val="20"/>
              </w:rPr>
              <w:t>建筑石料</w:t>
            </w:r>
            <w:r>
              <w:rPr>
                <w:spacing w:val="2"/>
                <w:sz w:val="20"/>
                <w:szCs w:val="20"/>
              </w:rPr>
              <w:t xml:space="preserve"> </w:t>
            </w:r>
            <w:r>
              <w:rPr>
                <w:spacing w:val="5"/>
                <w:sz w:val="20"/>
                <w:szCs w:val="20"/>
              </w:rPr>
              <w:t>用灰岩</w:t>
            </w:r>
          </w:p>
        </w:tc>
        <w:tc>
          <w:tcPr>
            <w:tcW w:w="914" w:type="dxa"/>
            <w:tcBorders>
              <w:bottom w:val="single" w:color="000000" w:sz="10" w:space="0"/>
            </w:tcBorders>
            <w:vAlign w:val="top"/>
          </w:tcPr>
          <w:p w14:paraId="0F881B03">
            <w:pPr>
              <w:spacing w:line="377" w:lineRule="auto"/>
              <w:rPr>
                <w:rFonts w:ascii="Arial"/>
                <w:sz w:val="21"/>
              </w:rPr>
            </w:pPr>
          </w:p>
          <w:p w14:paraId="078398C7">
            <w:pPr>
              <w:pStyle w:val="6"/>
              <w:spacing w:before="65" w:line="231" w:lineRule="auto"/>
              <w:ind w:left="110"/>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 xml:space="preserve">26.2 </w:t>
            </w:r>
            <w:r>
              <w:rPr>
                <w:spacing w:val="5"/>
                <w:sz w:val="20"/>
                <w:szCs w:val="20"/>
              </w:rPr>
              <w:t>亿</w:t>
            </w:r>
            <w:r>
              <w:rPr>
                <w:rFonts w:ascii="Times New Roman" w:hAnsi="Times New Roman" w:eastAsia="Times New Roman" w:cs="Times New Roman"/>
                <w:spacing w:val="5"/>
                <w:sz w:val="20"/>
                <w:szCs w:val="20"/>
              </w:rPr>
              <w:t>t</w:t>
            </w:r>
          </w:p>
        </w:tc>
        <w:tc>
          <w:tcPr>
            <w:tcW w:w="1199" w:type="dxa"/>
            <w:tcBorders>
              <w:bottom w:val="single" w:color="000000" w:sz="10" w:space="0"/>
            </w:tcBorders>
            <w:vAlign w:val="top"/>
          </w:tcPr>
          <w:p w14:paraId="09E1B20B">
            <w:pPr>
              <w:pStyle w:val="6"/>
              <w:spacing w:before="36" w:line="243" w:lineRule="auto"/>
              <w:ind w:left="138" w:right="115" w:hanging="5"/>
              <w:jc w:val="both"/>
              <w:rPr>
                <w:sz w:val="20"/>
                <w:szCs w:val="20"/>
              </w:rPr>
            </w:pPr>
            <w:r>
              <w:rPr>
                <w:rFonts w:ascii="Times New Roman" w:hAnsi="Times New Roman" w:eastAsia="Times New Roman" w:cs="Times New Roman"/>
                <w:spacing w:val="7"/>
                <w:sz w:val="20"/>
                <w:szCs w:val="20"/>
              </w:rPr>
              <w:t>4</w:t>
            </w:r>
            <w:r>
              <w:rPr>
                <w:spacing w:val="7"/>
                <w:sz w:val="20"/>
                <w:szCs w:val="20"/>
              </w:rPr>
              <w:t>（建筑石</w:t>
            </w:r>
            <w:r>
              <w:rPr>
                <w:spacing w:val="1"/>
                <w:sz w:val="20"/>
                <w:szCs w:val="20"/>
              </w:rPr>
              <w:t xml:space="preserve"> </w:t>
            </w:r>
            <w:r>
              <w:rPr>
                <w:spacing w:val="20"/>
                <w:sz w:val="20"/>
                <w:szCs w:val="20"/>
              </w:rPr>
              <w:t>料用灰岩</w:t>
            </w:r>
            <w:r>
              <w:rPr>
                <w:spacing w:val="1"/>
                <w:sz w:val="20"/>
                <w:szCs w:val="20"/>
              </w:rPr>
              <w:t xml:space="preserve"> </w:t>
            </w:r>
            <w:r>
              <w:rPr>
                <w:rFonts w:ascii="Times New Roman" w:hAnsi="Times New Roman" w:eastAsia="Times New Roman" w:cs="Times New Roman"/>
                <w:spacing w:val="1"/>
                <w:sz w:val="20"/>
                <w:szCs w:val="20"/>
              </w:rPr>
              <w:t>3</w:t>
            </w:r>
            <w:r>
              <w:rPr>
                <w:rFonts w:ascii="Times New Roman" w:hAnsi="Times New Roman" w:eastAsia="Times New Roman" w:cs="Times New Roman"/>
                <w:spacing w:val="-22"/>
                <w:sz w:val="20"/>
                <w:szCs w:val="20"/>
              </w:rPr>
              <w:t xml:space="preserve"> </w:t>
            </w:r>
            <w:r>
              <w:rPr>
                <w:spacing w:val="1"/>
                <w:sz w:val="20"/>
                <w:szCs w:val="20"/>
              </w:rPr>
              <w:t>，水泥用</w:t>
            </w:r>
            <w:r>
              <w:rPr>
                <w:sz w:val="20"/>
                <w:szCs w:val="20"/>
              </w:rPr>
              <w:t xml:space="preserve"> </w:t>
            </w:r>
            <w:r>
              <w:rPr>
                <w:spacing w:val="17"/>
                <w:sz w:val="20"/>
                <w:szCs w:val="20"/>
              </w:rPr>
              <w:t>灰岩</w:t>
            </w:r>
            <w:r>
              <w:rPr>
                <w:spacing w:val="-23"/>
                <w:sz w:val="20"/>
                <w:szCs w:val="20"/>
              </w:rPr>
              <w:t xml:space="preserve"> </w:t>
            </w:r>
            <w:r>
              <w:rPr>
                <w:rFonts w:ascii="Times New Roman" w:hAnsi="Times New Roman" w:eastAsia="Times New Roman" w:cs="Times New Roman"/>
                <w:spacing w:val="17"/>
                <w:sz w:val="20"/>
                <w:szCs w:val="20"/>
              </w:rPr>
              <w:t>1</w:t>
            </w:r>
            <w:r>
              <w:rPr>
                <w:spacing w:val="17"/>
                <w:sz w:val="20"/>
                <w:szCs w:val="20"/>
              </w:rPr>
              <w:t>）</w:t>
            </w:r>
          </w:p>
        </w:tc>
        <w:tc>
          <w:tcPr>
            <w:tcW w:w="1075" w:type="dxa"/>
            <w:tcBorders>
              <w:bottom w:val="single" w:color="000000" w:sz="10" w:space="0"/>
              <w:right w:val="single" w:color="000000" w:sz="10" w:space="0"/>
            </w:tcBorders>
            <w:vAlign w:val="top"/>
          </w:tcPr>
          <w:p w14:paraId="5B09543A">
            <w:pPr>
              <w:spacing w:line="420" w:lineRule="auto"/>
              <w:rPr>
                <w:rFonts w:ascii="Arial"/>
                <w:sz w:val="21"/>
              </w:rPr>
            </w:pPr>
          </w:p>
          <w:p w14:paraId="49807866">
            <w:pPr>
              <w:spacing w:before="57" w:line="195" w:lineRule="auto"/>
              <w:ind w:left="50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bl>
    <w:p w14:paraId="0ED283D7">
      <w:pPr>
        <w:spacing w:before="265" w:line="227" w:lineRule="auto"/>
        <w:ind w:left="128"/>
        <w:outlineLvl w:val="3"/>
        <w:rPr>
          <w:rFonts w:ascii="仿宋" w:hAnsi="仿宋" w:eastAsia="仿宋" w:cs="仿宋"/>
          <w:sz w:val="25"/>
          <w:szCs w:val="25"/>
        </w:rPr>
      </w:pPr>
      <w:r>
        <w:rPr>
          <w:rFonts w:ascii="Times New Roman" w:hAnsi="Times New Roman" w:eastAsia="Times New Roman" w:cs="Times New Roman"/>
          <w:b/>
          <w:bCs/>
          <w:spacing w:val="5"/>
          <w:sz w:val="25"/>
          <w:szCs w:val="25"/>
        </w:rPr>
        <w:t xml:space="preserve">2.1.3.2  </w:t>
      </w:r>
      <w:r>
        <w:rPr>
          <w:rFonts w:ascii="仿宋" w:hAnsi="仿宋" w:eastAsia="仿宋" w:cs="仿宋"/>
          <w:b/>
          <w:bCs/>
          <w:spacing w:val="5"/>
          <w:sz w:val="25"/>
          <w:szCs w:val="25"/>
        </w:rPr>
        <w:t>勘查开采和保护布局</w:t>
      </w:r>
    </w:p>
    <w:p w14:paraId="2416A571">
      <w:pPr>
        <w:spacing w:before="273" w:line="230" w:lineRule="auto"/>
        <w:ind w:left="623"/>
        <w:rPr>
          <w:rFonts w:ascii="仿宋" w:hAnsi="仿宋" w:eastAsia="仿宋" w:cs="仿宋"/>
          <w:sz w:val="25"/>
          <w:szCs w:val="25"/>
        </w:rPr>
      </w:pPr>
      <w:r>
        <w:rPr>
          <w:rFonts w:ascii="仿宋" w:hAnsi="仿宋" w:eastAsia="仿宋" w:cs="仿宋"/>
          <w:b/>
          <w:bCs/>
          <w:spacing w:val="5"/>
          <w:sz w:val="25"/>
          <w:szCs w:val="25"/>
        </w:rPr>
        <w:t>（</w:t>
      </w:r>
      <w:r>
        <w:rPr>
          <w:rFonts w:ascii="Times New Roman" w:hAnsi="Times New Roman" w:eastAsia="Times New Roman" w:cs="Times New Roman"/>
          <w:b/>
          <w:bCs/>
          <w:spacing w:val="5"/>
          <w:sz w:val="25"/>
          <w:szCs w:val="25"/>
        </w:rPr>
        <w:t>1</w:t>
      </w:r>
      <w:r>
        <w:rPr>
          <w:rFonts w:ascii="仿宋" w:hAnsi="仿宋" w:eastAsia="仿宋" w:cs="仿宋"/>
          <w:b/>
          <w:bCs/>
          <w:spacing w:val="5"/>
          <w:sz w:val="25"/>
          <w:szCs w:val="25"/>
        </w:rPr>
        <w:t>）勘查规划区块</w:t>
      </w:r>
    </w:p>
    <w:p w14:paraId="34C4DE2D">
      <w:pPr>
        <w:spacing w:before="152" w:line="339" w:lineRule="auto"/>
        <w:ind w:left="138" w:right="121" w:firstLine="480"/>
        <w:jc w:val="both"/>
        <w:rPr>
          <w:rFonts w:ascii="仿宋" w:hAnsi="仿宋" w:eastAsia="仿宋" w:cs="仿宋"/>
          <w:sz w:val="25"/>
          <w:szCs w:val="25"/>
        </w:rPr>
      </w:pPr>
      <w:r>
        <w:rPr>
          <w:rFonts w:ascii="仿宋" w:hAnsi="仿宋" w:eastAsia="仿宋" w:cs="仿宋"/>
          <w:spacing w:val="8"/>
          <w:sz w:val="25"/>
          <w:szCs w:val="25"/>
        </w:rPr>
        <w:t>规划设置勘查规划区块</w:t>
      </w:r>
      <w:r>
        <w:rPr>
          <w:rFonts w:ascii="仿宋" w:hAnsi="仿宋" w:eastAsia="仿宋" w:cs="仿宋"/>
          <w:spacing w:val="-42"/>
          <w:sz w:val="25"/>
          <w:szCs w:val="25"/>
        </w:rPr>
        <w:t xml:space="preserve"> </w:t>
      </w:r>
      <w:r>
        <w:rPr>
          <w:rFonts w:ascii="Times New Roman" w:hAnsi="Times New Roman" w:eastAsia="Times New Roman" w:cs="Times New Roman"/>
          <w:spacing w:val="8"/>
          <w:sz w:val="25"/>
          <w:szCs w:val="25"/>
        </w:rPr>
        <w:t>8</w:t>
      </w:r>
      <w:r>
        <w:rPr>
          <w:rFonts w:ascii="Times New Roman" w:hAnsi="Times New Roman" w:eastAsia="Times New Roman" w:cs="Times New Roman"/>
          <w:spacing w:val="23"/>
          <w:w w:val="101"/>
          <w:sz w:val="25"/>
          <w:szCs w:val="25"/>
        </w:rPr>
        <w:t xml:space="preserve"> </w:t>
      </w:r>
      <w:r>
        <w:rPr>
          <w:rFonts w:ascii="仿宋" w:hAnsi="仿宋" w:eastAsia="仿宋" w:cs="仿宋"/>
          <w:spacing w:val="8"/>
          <w:sz w:val="25"/>
          <w:szCs w:val="25"/>
        </w:rPr>
        <w:t>个，均为空白区新设</w:t>
      </w:r>
      <w:r>
        <w:rPr>
          <w:rFonts w:ascii="仿宋" w:hAnsi="仿宋" w:eastAsia="仿宋" w:cs="仿宋"/>
          <w:spacing w:val="7"/>
          <w:sz w:val="25"/>
          <w:szCs w:val="25"/>
        </w:rPr>
        <w:t>。其中，水泥用灰岩</w:t>
      </w:r>
      <w:r>
        <w:rPr>
          <w:rFonts w:ascii="仿宋" w:hAnsi="仿宋" w:eastAsia="仿宋" w:cs="仿宋"/>
          <w:spacing w:val="-28"/>
          <w:sz w:val="25"/>
          <w:szCs w:val="25"/>
        </w:rPr>
        <w:t xml:space="preserve"> </w:t>
      </w:r>
      <w:r>
        <w:rPr>
          <w:rFonts w:ascii="Times New Roman" w:hAnsi="Times New Roman" w:eastAsia="Times New Roman" w:cs="Times New Roman"/>
          <w:spacing w:val="7"/>
          <w:sz w:val="25"/>
          <w:szCs w:val="25"/>
        </w:rPr>
        <w:t>1</w:t>
      </w:r>
      <w:r>
        <w:rPr>
          <w:rFonts w:ascii="Times New Roman" w:hAnsi="Times New Roman" w:eastAsia="Times New Roman" w:cs="Times New Roman"/>
          <w:spacing w:val="23"/>
          <w:w w:val="101"/>
          <w:sz w:val="25"/>
          <w:szCs w:val="25"/>
        </w:rPr>
        <w:t xml:space="preserve"> </w:t>
      </w:r>
      <w:r>
        <w:rPr>
          <w:rFonts w:ascii="仿宋" w:hAnsi="仿宋" w:eastAsia="仿宋" w:cs="仿宋"/>
          <w:spacing w:val="7"/>
          <w:sz w:val="25"/>
          <w:szCs w:val="25"/>
        </w:rPr>
        <w:t>个，</w:t>
      </w:r>
      <w:r>
        <w:rPr>
          <w:rFonts w:ascii="仿宋" w:hAnsi="仿宋" w:eastAsia="仿宋" w:cs="仿宋"/>
          <w:sz w:val="25"/>
          <w:szCs w:val="25"/>
        </w:rPr>
        <w:t xml:space="preserve"> </w:t>
      </w:r>
      <w:r>
        <w:rPr>
          <w:rFonts w:ascii="仿宋" w:hAnsi="仿宋" w:eastAsia="仿宋" w:cs="仿宋"/>
          <w:spacing w:val="5"/>
          <w:sz w:val="25"/>
          <w:szCs w:val="25"/>
        </w:rPr>
        <w:t>饰面石材用灰岩矿</w:t>
      </w:r>
      <w:r>
        <w:rPr>
          <w:rFonts w:ascii="仿宋" w:hAnsi="仿宋" w:eastAsia="仿宋" w:cs="仿宋"/>
          <w:spacing w:val="-42"/>
          <w:sz w:val="25"/>
          <w:szCs w:val="25"/>
        </w:rPr>
        <w:t xml:space="preserve"> </w:t>
      </w:r>
      <w:r>
        <w:rPr>
          <w:rFonts w:ascii="Times New Roman" w:hAnsi="Times New Roman" w:eastAsia="Times New Roman" w:cs="Times New Roman"/>
          <w:spacing w:val="5"/>
          <w:sz w:val="25"/>
          <w:szCs w:val="25"/>
        </w:rPr>
        <w:t>2</w:t>
      </w:r>
      <w:r>
        <w:rPr>
          <w:rFonts w:ascii="Times New Roman" w:hAnsi="Times New Roman" w:eastAsia="Times New Roman" w:cs="Times New Roman"/>
          <w:spacing w:val="23"/>
          <w:sz w:val="25"/>
          <w:szCs w:val="25"/>
        </w:rPr>
        <w:t xml:space="preserve"> </w:t>
      </w:r>
      <w:r>
        <w:rPr>
          <w:rFonts w:ascii="仿宋" w:hAnsi="仿宋" w:eastAsia="仿宋" w:cs="仿宋"/>
          <w:spacing w:val="5"/>
          <w:sz w:val="25"/>
          <w:szCs w:val="25"/>
        </w:rPr>
        <w:t>个，铝土矿</w:t>
      </w:r>
      <w:r>
        <w:rPr>
          <w:rFonts w:ascii="仿宋" w:hAnsi="仿宋" w:eastAsia="仿宋" w:cs="仿宋"/>
          <w:spacing w:val="-30"/>
          <w:sz w:val="25"/>
          <w:szCs w:val="25"/>
        </w:rPr>
        <w:t xml:space="preserve"> </w:t>
      </w:r>
      <w:r>
        <w:rPr>
          <w:rFonts w:ascii="Times New Roman" w:hAnsi="Times New Roman" w:eastAsia="Times New Roman" w:cs="Times New Roman"/>
          <w:spacing w:val="5"/>
          <w:sz w:val="25"/>
          <w:szCs w:val="25"/>
        </w:rPr>
        <w:t>1</w:t>
      </w:r>
      <w:r>
        <w:rPr>
          <w:rFonts w:ascii="Times New Roman" w:hAnsi="Times New Roman" w:eastAsia="Times New Roman" w:cs="Times New Roman"/>
          <w:spacing w:val="21"/>
          <w:sz w:val="25"/>
          <w:szCs w:val="25"/>
        </w:rPr>
        <w:t xml:space="preserve"> </w:t>
      </w:r>
      <w:r>
        <w:rPr>
          <w:rFonts w:ascii="仿宋" w:hAnsi="仿宋" w:eastAsia="仿宋" w:cs="仿宋"/>
          <w:spacing w:val="5"/>
          <w:sz w:val="25"/>
          <w:szCs w:val="25"/>
        </w:rPr>
        <w:t>个，萤石矿</w:t>
      </w:r>
      <w:r>
        <w:rPr>
          <w:rFonts w:ascii="仿宋" w:hAnsi="仿宋" w:eastAsia="仿宋" w:cs="仿宋"/>
          <w:spacing w:val="-55"/>
          <w:sz w:val="25"/>
          <w:szCs w:val="25"/>
        </w:rPr>
        <w:t xml:space="preserve"> </w:t>
      </w:r>
      <w:r>
        <w:rPr>
          <w:rFonts w:ascii="Times New Roman" w:hAnsi="Times New Roman" w:eastAsia="Times New Roman" w:cs="Times New Roman"/>
          <w:spacing w:val="5"/>
          <w:sz w:val="25"/>
          <w:szCs w:val="25"/>
        </w:rPr>
        <w:t>2</w:t>
      </w:r>
      <w:r>
        <w:rPr>
          <w:rFonts w:ascii="Times New Roman" w:hAnsi="Times New Roman" w:eastAsia="Times New Roman" w:cs="Times New Roman"/>
          <w:spacing w:val="21"/>
          <w:sz w:val="25"/>
          <w:szCs w:val="25"/>
        </w:rPr>
        <w:t xml:space="preserve"> </w:t>
      </w:r>
      <w:r>
        <w:rPr>
          <w:rFonts w:ascii="仿宋" w:hAnsi="仿宋" w:eastAsia="仿宋" w:cs="仿宋"/>
          <w:spacing w:val="5"/>
          <w:sz w:val="25"/>
          <w:szCs w:val="25"/>
        </w:rPr>
        <w:t>个，重晶石矿</w:t>
      </w:r>
      <w:r>
        <w:rPr>
          <w:rFonts w:ascii="仿宋" w:hAnsi="仿宋" w:eastAsia="仿宋" w:cs="仿宋"/>
          <w:spacing w:val="-53"/>
          <w:sz w:val="25"/>
          <w:szCs w:val="25"/>
        </w:rPr>
        <w:t xml:space="preserve"> </w:t>
      </w:r>
      <w:r>
        <w:rPr>
          <w:rFonts w:ascii="Times New Roman" w:hAnsi="Times New Roman" w:eastAsia="Times New Roman" w:cs="Times New Roman"/>
          <w:spacing w:val="5"/>
          <w:sz w:val="25"/>
          <w:szCs w:val="25"/>
        </w:rPr>
        <w:t>2</w:t>
      </w:r>
      <w:r>
        <w:rPr>
          <w:rFonts w:ascii="Times New Roman" w:hAnsi="Times New Roman" w:eastAsia="Times New Roman" w:cs="Times New Roman"/>
          <w:spacing w:val="21"/>
          <w:sz w:val="25"/>
          <w:szCs w:val="25"/>
        </w:rPr>
        <w:t xml:space="preserve"> </w:t>
      </w:r>
      <w:r>
        <w:rPr>
          <w:rFonts w:ascii="仿宋" w:hAnsi="仿宋" w:eastAsia="仿宋" w:cs="仿宋"/>
          <w:spacing w:val="5"/>
          <w:sz w:val="25"/>
          <w:szCs w:val="25"/>
        </w:rPr>
        <w:t>个。预计新发</w:t>
      </w:r>
      <w:r>
        <w:rPr>
          <w:rFonts w:ascii="仿宋" w:hAnsi="仿宋" w:eastAsia="仿宋" w:cs="仿宋"/>
          <w:sz w:val="25"/>
          <w:szCs w:val="25"/>
        </w:rPr>
        <w:t xml:space="preserve"> </w:t>
      </w:r>
      <w:r>
        <w:rPr>
          <w:rFonts w:ascii="仿宋" w:hAnsi="仿宋" w:eastAsia="仿宋" w:cs="仿宋"/>
          <w:spacing w:val="9"/>
          <w:sz w:val="25"/>
          <w:szCs w:val="25"/>
        </w:rPr>
        <w:t>现和评价铝土矿、萤石、重晶石矿等大中型矿产地</w:t>
      </w:r>
      <w:r>
        <w:rPr>
          <w:rFonts w:ascii="仿宋" w:hAnsi="仿宋" w:eastAsia="仿宋" w:cs="仿宋"/>
          <w:spacing w:val="-53"/>
          <w:sz w:val="25"/>
          <w:szCs w:val="25"/>
        </w:rPr>
        <w:t xml:space="preserve"> </w:t>
      </w:r>
      <w:r>
        <w:rPr>
          <w:rFonts w:ascii="Times New Roman" w:hAnsi="Times New Roman" w:eastAsia="Times New Roman" w:cs="Times New Roman"/>
          <w:spacing w:val="9"/>
          <w:sz w:val="25"/>
          <w:szCs w:val="25"/>
        </w:rPr>
        <w:t>4</w:t>
      </w:r>
      <w:r>
        <w:rPr>
          <w:rFonts w:ascii="Times New Roman" w:hAnsi="Times New Roman" w:eastAsia="Times New Roman" w:cs="Times New Roman"/>
          <w:spacing w:val="20"/>
          <w:w w:val="101"/>
          <w:sz w:val="25"/>
          <w:szCs w:val="25"/>
        </w:rPr>
        <w:t xml:space="preserve"> </w:t>
      </w:r>
      <w:r>
        <w:rPr>
          <w:rFonts w:ascii="仿宋" w:hAnsi="仿宋" w:eastAsia="仿宋" w:cs="仿宋"/>
          <w:spacing w:val="9"/>
          <w:sz w:val="25"/>
          <w:szCs w:val="25"/>
        </w:rPr>
        <w:t>处</w:t>
      </w:r>
      <w:r>
        <w:rPr>
          <w:rFonts w:ascii="仿宋" w:hAnsi="仿宋" w:eastAsia="仿宋" w:cs="仿宋"/>
          <w:spacing w:val="8"/>
          <w:sz w:val="25"/>
          <w:szCs w:val="25"/>
        </w:rPr>
        <w:t>，其中铝土矿新增资源</w:t>
      </w:r>
      <w:r>
        <w:rPr>
          <w:rFonts w:ascii="仿宋" w:hAnsi="仿宋" w:eastAsia="仿宋" w:cs="仿宋"/>
          <w:sz w:val="25"/>
          <w:szCs w:val="25"/>
        </w:rPr>
        <w:t xml:space="preserve"> </w:t>
      </w:r>
      <w:r>
        <w:rPr>
          <w:rFonts w:ascii="仿宋" w:hAnsi="仿宋" w:eastAsia="仿宋" w:cs="仿宋"/>
          <w:spacing w:val="8"/>
          <w:sz w:val="25"/>
          <w:szCs w:val="25"/>
        </w:rPr>
        <w:t>量</w:t>
      </w:r>
      <w:r>
        <w:rPr>
          <w:rFonts w:ascii="仿宋" w:hAnsi="仿宋" w:eastAsia="仿宋" w:cs="仿宋"/>
          <w:spacing w:val="-44"/>
          <w:sz w:val="25"/>
          <w:szCs w:val="25"/>
        </w:rPr>
        <w:t xml:space="preserve"> </w:t>
      </w:r>
      <w:r>
        <w:rPr>
          <w:rFonts w:ascii="Times New Roman" w:hAnsi="Times New Roman" w:eastAsia="Times New Roman" w:cs="Times New Roman"/>
          <w:spacing w:val="8"/>
          <w:sz w:val="25"/>
          <w:szCs w:val="25"/>
        </w:rPr>
        <w:t>920</w:t>
      </w:r>
      <w:r>
        <w:rPr>
          <w:rFonts w:ascii="Times New Roman" w:hAnsi="Times New Roman" w:eastAsia="Times New Roman" w:cs="Times New Roman"/>
          <w:spacing w:val="21"/>
          <w:w w:val="101"/>
          <w:sz w:val="25"/>
          <w:szCs w:val="25"/>
        </w:rPr>
        <w:t xml:space="preserve"> </w:t>
      </w:r>
      <w:r>
        <w:rPr>
          <w:rFonts w:ascii="仿宋" w:hAnsi="仿宋" w:eastAsia="仿宋" w:cs="仿宋"/>
          <w:spacing w:val="8"/>
          <w:sz w:val="25"/>
          <w:szCs w:val="25"/>
        </w:rPr>
        <w:t>万吨，萤石矿新增资源量</w:t>
      </w:r>
      <w:r>
        <w:rPr>
          <w:rFonts w:ascii="仿宋" w:hAnsi="仿宋" w:eastAsia="仿宋" w:cs="仿宋"/>
          <w:spacing w:val="-45"/>
          <w:sz w:val="25"/>
          <w:szCs w:val="25"/>
        </w:rPr>
        <w:t xml:space="preserve"> </w:t>
      </w:r>
      <w:r>
        <w:rPr>
          <w:rFonts w:ascii="Times New Roman" w:hAnsi="Times New Roman" w:eastAsia="Times New Roman" w:cs="Times New Roman"/>
          <w:spacing w:val="8"/>
          <w:sz w:val="25"/>
          <w:szCs w:val="25"/>
        </w:rPr>
        <w:t>50</w:t>
      </w:r>
      <w:r>
        <w:rPr>
          <w:rFonts w:ascii="Times New Roman" w:hAnsi="Times New Roman" w:eastAsia="Times New Roman" w:cs="Times New Roman"/>
          <w:spacing w:val="21"/>
          <w:w w:val="101"/>
          <w:sz w:val="25"/>
          <w:szCs w:val="25"/>
        </w:rPr>
        <w:t xml:space="preserve"> </w:t>
      </w:r>
      <w:r>
        <w:rPr>
          <w:rFonts w:ascii="仿宋" w:hAnsi="仿宋" w:eastAsia="仿宋" w:cs="仿宋"/>
          <w:spacing w:val="8"/>
          <w:sz w:val="25"/>
          <w:szCs w:val="25"/>
        </w:rPr>
        <w:t>万吨，重晶石新增资源量</w:t>
      </w:r>
      <w:r>
        <w:rPr>
          <w:rFonts w:ascii="Times New Roman" w:hAnsi="Times New Roman" w:eastAsia="Times New Roman" w:cs="Times New Roman"/>
          <w:spacing w:val="8"/>
          <w:sz w:val="25"/>
          <w:szCs w:val="25"/>
        </w:rPr>
        <w:t>60</w:t>
      </w:r>
      <w:r>
        <w:rPr>
          <w:rFonts w:ascii="Times New Roman" w:hAnsi="Times New Roman" w:eastAsia="Times New Roman" w:cs="Times New Roman"/>
          <w:spacing w:val="21"/>
          <w:w w:val="101"/>
          <w:sz w:val="25"/>
          <w:szCs w:val="25"/>
        </w:rPr>
        <w:t xml:space="preserve"> </w:t>
      </w:r>
      <w:r>
        <w:rPr>
          <w:rFonts w:ascii="仿宋" w:hAnsi="仿宋" w:eastAsia="仿宋" w:cs="仿宋"/>
          <w:spacing w:val="8"/>
          <w:sz w:val="25"/>
          <w:szCs w:val="25"/>
        </w:rPr>
        <w:t>万吨，饰面用</w:t>
      </w:r>
      <w:r>
        <w:rPr>
          <w:rFonts w:ascii="仿宋" w:hAnsi="仿宋" w:eastAsia="仿宋" w:cs="仿宋"/>
          <w:sz w:val="25"/>
          <w:szCs w:val="25"/>
        </w:rPr>
        <w:t xml:space="preserve"> </w:t>
      </w:r>
      <w:r>
        <w:rPr>
          <w:rFonts w:ascii="仿宋" w:hAnsi="仿宋" w:eastAsia="仿宋" w:cs="仿宋"/>
          <w:spacing w:val="5"/>
          <w:sz w:val="25"/>
          <w:szCs w:val="25"/>
        </w:rPr>
        <w:t>灰岩矿新增资源量</w:t>
      </w:r>
      <w:r>
        <w:rPr>
          <w:rFonts w:ascii="仿宋" w:hAnsi="仿宋" w:eastAsia="仿宋" w:cs="仿宋"/>
          <w:spacing w:val="-27"/>
          <w:sz w:val="25"/>
          <w:szCs w:val="25"/>
        </w:rPr>
        <w:t xml:space="preserve"> </w:t>
      </w:r>
      <w:r>
        <w:rPr>
          <w:rFonts w:ascii="Times New Roman" w:hAnsi="Times New Roman" w:eastAsia="Times New Roman" w:cs="Times New Roman"/>
          <w:spacing w:val="5"/>
          <w:sz w:val="25"/>
          <w:szCs w:val="25"/>
        </w:rPr>
        <w:t>140</w:t>
      </w:r>
      <w:r>
        <w:rPr>
          <w:rFonts w:ascii="Times New Roman" w:hAnsi="Times New Roman" w:eastAsia="Times New Roman" w:cs="Times New Roman"/>
          <w:spacing w:val="24"/>
          <w:sz w:val="25"/>
          <w:szCs w:val="25"/>
        </w:rPr>
        <w:t xml:space="preserve"> </w:t>
      </w:r>
      <w:r>
        <w:rPr>
          <w:rFonts w:ascii="仿宋" w:hAnsi="仿宋" w:eastAsia="仿宋" w:cs="仿宋"/>
          <w:spacing w:val="5"/>
          <w:sz w:val="25"/>
          <w:szCs w:val="25"/>
        </w:rPr>
        <w:t>万立方米。详见表</w:t>
      </w:r>
      <w:r>
        <w:rPr>
          <w:rFonts w:ascii="仿宋" w:hAnsi="仿宋" w:eastAsia="仿宋" w:cs="仿宋"/>
          <w:spacing w:val="-55"/>
          <w:sz w:val="25"/>
          <w:szCs w:val="25"/>
        </w:rPr>
        <w:t xml:space="preserve"> </w:t>
      </w:r>
      <w:r>
        <w:rPr>
          <w:rFonts w:ascii="Times New Roman" w:hAnsi="Times New Roman" w:eastAsia="Times New Roman" w:cs="Times New Roman"/>
          <w:spacing w:val="4"/>
          <w:sz w:val="25"/>
          <w:szCs w:val="25"/>
        </w:rPr>
        <w:t>2.1-5</w:t>
      </w:r>
      <w:r>
        <w:rPr>
          <w:rFonts w:ascii="仿宋" w:hAnsi="仿宋" w:eastAsia="仿宋" w:cs="仿宋"/>
          <w:spacing w:val="4"/>
          <w:sz w:val="25"/>
          <w:szCs w:val="25"/>
        </w:rPr>
        <w:t>。</w:t>
      </w:r>
    </w:p>
    <w:p w14:paraId="171B0175">
      <w:pPr>
        <w:spacing w:before="44" w:line="232" w:lineRule="auto"/>
        <w:ind w:left="2839"/>
        <w:rPr>
          <w:rFonts w:ascii="仿宋" w:hAnsi="仿宋" w:eastAsia="仿宋" w:cs="仿宋"/>
          <w:sz w:val="20"/>
          <w:szCs w:val="20"/>
        </w:rPr>
      </w:pPr>
      <w:r>
        <w:rPr>
          <w:rFonts w:ascii="仿宋" w:hAnsi="仿宋" w:eastAsia="仿宋" w:cs="仿宋"/>
          <w:b/>
          <w:bCs/>
          <w:spacing w:val="5"/>
          <w:sz w:val="20"/>
          <w:szCs w:val="20"/>
        </w:rPr>
        <w:t>表</w:t>
      </w:r>
      <w:r>
        <w:rPr>
          <w:rFonts w:ascii="仿宋" w:hAnsi="仿宋" w:eastAsia="仿宋" w:cs="仿宋"/>
          <w:spacing w:val="-26"/>
          <w:sz w:val="20"/>
          <w:szCs w:val="20"/>
        </w:rPr>
        <w:t xml:space="preserve"> </w:t>
      </w:r>
      <w:r>
        <w:rPr>
          <w:rFonts w:ascii="Times New Roman" w:hAnsi="Times New Roman" w:eastAsia="Times New Roman" w:cs="Times New Roman"/>
          <w:b/>
          <w:bCs/>
          <w:spacing w:val="5"/>
          <w:sz w:val="20"/>
          <w:szCs w:val="20"/>
        </w:rPr>
        <w:t xml:space="preserve">2.1-5    </w:t>
      </w:r>
      <w:r>
        <w:rPr>
          <w:rFonts w:ascii="仿宋" w:hAnsi="仿宋" w:eastAsia="仿宋" w:cs="仿宋"/>
          <w:b/>
          <w:bCs/>
          <w:spacing w:val="5"/>
          <w:sz w:val="20"/>
          <w:szCs w:val="20"/>
        </w:rPr>
        <w:t>黔江区矿产资源勘查规划区块表</w:t>
      </w:r>
    </w:p>
    <w:p w14:paraId="40A9A1EC">
      <w:pPr>
        <w:spacing w:line="21" w:lineRule="exact"/>
      </w:pPr>
    </w:p>
    <w:tbl>
      <w:tblPr>
        <w:tblStyle w:val="5"/>
        <w:tblW w:w="8873" w:type="dxa"/>
        <w:tblInd w:w="1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7"/>
        <w:gridCol w:w="865"/>
        <w:gridCol w:w="2489"/>
        <w:gridCol w:w="977"/>
        <w:gridCol w:w="977"/>
        <w:gridCol w:w="1044"/>
        <w:gridCol w:w="1193"/>
        <w:gridCol w:w="901"/>
      </w:tblGrid>
      <w:tr w14:paraId="22B9EA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9" w:hRule="atLeast"/>
        </w:trPr>
        <w:tc>
          <w:tcPr>
            <w:tcW w:w="427" w:type="dxa"/>
            <w:tcBorders>
              <w:top w:val="single" w:color="000000" w:sz="10" w:space="0"/>
              <w:left w:val="single" w:color="000000" w:sz="10" w:space="0"/>
            </w:tcBorders>
            <w:textDirection w:val="tbRlV"/>
            <w:vAlign w:val="top"/>
          </w:tcPr>
          <w:p w14:paraId="00E928C7">
            <w:pPr>
              <w:pStyle w:val="6"/>
              <w:spacing w:before="112" w:line="209" w:lineRule="auto"/>
              <w:ind w:left="171"/>
              <w:rPr>
                <w:sz w:val="20"/>
                <w:szCs w:val="20"/>
              </w:rPr>
            </w:pPr>
            <w:r>
              <w:rPr>
                <w:spacing w:val="13"/>
                <w:sz w:val="20"/>
                <w:szCs w:val="20"/>
              </w:rPr>
              <w:t>序</w:t>
            </w:r>
            <w:r>
              <w:rPr>
                <w:spacing w:val="-42"/>
                <w:sz w:val="20"/>
                <w:szCs w:val="20"/>
              </w:rPr>
              <w:t xml:space="preserve"> </w:t>
            </w:r>
            <w:r>
              <w:rPr>
                <w:spacing w:val="13"/>
                <w:sz w:val="20"/>
                <w:szCs w:val="20"/>
              </w:rPr>
              <w:t>号</w:t>
            </w:r>
          </w:p>
        </w:tc>
        <w:tc>
          <w:tcPr>
            <w:tcW w:w="865" w:type="dxa"/>
            <w:tcBorders>
              <w:top w:val="single" w:color="000000" w:sz="10" w:space="0"/>
            </w:tcBorders>
            <w:vAlign w:val="top"/>
          </w:tcPr>
          <w:p w14:paraId="16D5B421">
            <w:pPr>
              <w:pStyle w:val="6"/>
              <w:spacing w:before="305" w:line="232" w:lineRule="auto"/>
              <w:ind w:left="226"/>
              <w:rPr>
                <w:sz w:val="20"/>
                <w:szCs w:val="20"/>
              </w:rPr>
            </w:pPr>
            <w:r>
              <w:rPr>
                <w:spacing w:val="1"/>
                <w:sz w:val="20"/>
                <w:szCs w:val="20"/>
              </w:rPr>
              <w:t>编号</w:t>
            </w:r>
          </w:p>
        </w:tc>
        <w:tc>
          <w:tcPr>
            <w:tcW w:w="2489" w:type="dxa"/>
            <w:tcBorders>
              <w:top w:val="single" w:color="000000" w:sz="10" w:space="0"/>
            </w:tcBorders>
            <w:vAlign w:val="top"/>
          </w:tcPr>
          <w:p w14:paraId="4ED37D81">
            <w:pPr>
              <w:pStyle w:val="6"/>
              <w:spacing w:before="306" w:line="229" w:lineRule="auto"/>
              <w:ind w:left="848"/>
              <w:rPr>
                <w:sz w:val="20"/>
                <w:szCs w:val="20"/>
              </w:rPr>
            </w:pPr>
            <w:r>
              <w:rPr>
                <w:spacing w:val="1"/>
                <w:sz w:val="20"/>
                <w:szCs w:val="20"/>
              </w:rPr>
              <w:t>区块名称</w:t>
            </w:r>
          </w:p>
        </w:tc>
        <w:tc>
          <w:tcPr>
            <w:tcW w:w="977" w:type="dxa"/>
            <w:tcBorders>
              <w:top w:val="single" w:color="000000" w:sz="10" w:space="0"/>
            </w:tcBorders>
            <w:vAlign w:val="top"/>
          </w:tcPr>
          <w:p w14:paraId="0973D654">
            <w:pPr>
              <w:pStyle w:val="6"/>
              <w:spacing w:before="171" w:line="232" w:lineRule="auto"/>
              <w:ind w:left="78"/>
              <w:rPr>
                <w:sz w:val="20"/>
                <w:szCs w:val="20"/>
              </w:rPr>
            </w:pPr>
            <w:r>
              <w:rPr>
                <w:spacing w:val="6"/>
                <w:sz w:val="20"/>
                <w:szCs w:val="20"/>
              </w:rPr>
              <w:t>勘查主矿</w:t>
            </w:r>
          </w:p>
          <w:p w14:paraId="271B46A0">
            <w:pPr>
              <w:pStyle w:val="6"/>
              <w:spacing w:before="19" w:line="229" w:lineRule="auto"/>
              <w:ind w:left="397"/>
              <w:rPr>
                <w:sz w:val="20"/>
                <w:szCs w:val="20"/>
              </w:rPr>
            </w:pPr>
            <w:r>
              <w:rPr>
                <w:sz w:val="20"/>
                <w:szCs w:val="20"/>
              </w:rPr>
              <w:t>种</w:t>
            </w:r>
          </w:p>
        </w:tc>
        <w:tc>
          <w:tcPr>
            <w:tcW w:w="977" w:type="dxa"/>
            <w:tcBorders>
              <w:top w:val="single" w:color="000000" w:sz="10" w:space="0"/>
            </w:tcBorders>
            <w:vAlign w:val="top"/>
          </w:tcPr>
          <w:p w14:paraId="6D7C6D1E">
            <w:pPr>
              <w:pStyle w:val="6"/>
              <w:spacing w:before="170" w:line="232" w:lineRule="auto"/>
              <w:ind w:left="101"/>
              <w:rPr>
                <w:sz w:val="20"/>
                <w:szCs w:val="20"/>
              </w:rPr>
            </w:pPr>
            <w:r>
              <w:rPr>
                <w:spacing w:val="1"/>
                <w:sz w:val="20"/>
                <w:szCs w:val="20"/>
              </w:rPr>
              <w:t>区块面积</w:t>
            </w:r>
          </w:p>
          <w:p w14:paraId="22395D37">
            <w:pPr>
              <w:pStyle w:val="6"/>
              <w:spacing w:before="20" w:line="265" w:lineRule="exact"/>
              <w:ind w:left="129"/>
              <w:rPr>
                <w:sz w:val="20"/>
                <w:szCs w:val="20"/>
              </w:rPr>
            </w:pPr>
            <w:r>
              <w:rPr>
                <w:spacing w:val="2"/>
                <w:position w:val="1"/>
                <w:sz w:val="20"/>
                <w:szCs w:val="20"/>
              </w:rPr>
              <w:t>（</w:t>
            </w:r>
            <w:r>
              <w:rPr>
                <w:rFonts w:ascii="Times New Roman" w:hAnsi="Times New Roman" w:eastAsia="Times New Roman" w:cs="Times New Roman"/>
                <w:position w:val="1"/>
                <w:sz w:val="20"/>
                <w:szCs w:val="20"/>
              </w:rPr>
              <w:t>km</w:t>
            </w:r>
            <w:r>
              <w:rPr>
                <w:rFonts w:ascii="Times New Roman" w:hAnsi="Times New Roman" w:eastAsia="Times New Roman" w:cs="Times New Roman"/>
                <w:spacing w:val="2"/>
                <w:position w:val="7"/>
                <w:sz w:val="13"/>
                <w:szCs w:val="13"/>
              </w:rPr>
              <w:t>2</w:t>
            </w:r>
            <w:r>
              <w:rPr>
                <w:spacing w:val="2"/>
                <w:position w:val="1"/>
                <w:sz w:val="20"/>
                <w:szCs w:val="20"/>
              </w:rPr>
              <w:t>）</w:t>
            </w:r>
          </w:p>
        </w:tc>
        <w:tc>
          <w:tcPr>
            <w:tcW w:w="1044" w:type="dxa"/>
            <w:tcBorders>
              <w:top w:val="single" w:color="000000" w:sz="10" w:space="0"/>
            </w:tcBorders>
            <w:vAlign w:val="top"/>
          </w:tcPr>
          <w:p w14:paraId="6DC45484">
            <w:pPr>
              <w:pStyle w:val="6"/>
              <w:spacing w:before="305" w:line="232" w:lineRule="auto"/>
              <w:ind w:left="119"/>
              <w:rPr>
                <w:sz w:val="20"/>
                <w:szCs w:val="20"/>
              </w:rPr>
            </w:pPr>
            <w:r>
              <w:rPr>
                <w:spacing w:val="6"/>
                <w:sz w:val="20"/>
                <w:szCs w:val="20"/>
              </w:rPr>
              <w:t>设置类型</w:t>
            </w:r>
          </w:p>
        </w:tc>
        <w:tc>
          <w:tcPr>
            <w:tcW w:w="1193" w:type="dxa"/>
            <w:tcBorders>
              <w:top w:val="single" w:color="000000" w:sz="10" w:space="0"/>
            </w:tcBorders>
            <w:vAlign w:val="top"/>
          </w:tcPr>
          <w:p w14:paraId="3AD58BE7">
            <w:pPr>
              <w:pStyle w:val="6"/>
              <w:spacing w:before="171" w:line="250" w:lineRule="auto"/>
              <w:ind w:left="194" w:right="61" w:hanging="104"/>
              <w:rPr>
                <w:sz w:val="20"/>
                <w:szCs w:val="20"/>
              </w:rPr>
            </w:pPr>
            <w:r>
              <w:rPr>
                <w:spacing w:val="7"/>
                <w:sz w:val="20"/>
                <w:szCs w:val="20"/>
              </w:rPr>
              <w:t>拟设探矿权</w:t>
            </w:r>
            <w:r>
              <w:rPr>
                <w:sz w:val="20"/>
                <w:szCs w:val="20"/>
              </w:rPr>
              <w:t xml:space="preserve"> </w:t>
            </w:r>
            <w:r>
              <w:rPr>
                <w:spacing w:val="6"/>
                <w:sz w:val="20"/>
                <w:szCs w:val="20"/>
              </w:rPr>
              <w:t>勘查阶段</w:t>
            </w:r>
          </w:p>
        </w:tc>
        <w:tc>
          <w:tcPr>
            <w:tcW w:w="901" w:type="dxa"/>
            <w:tcBorders>
              <w:top w:val="single" w:color="000000" w:sz="10" w:space="0"/>
              <w:right w:val="single" w:color="000000" w:sz="10" w:space="0"/>
            </w:tcBorders>
            <w:vAlign w:val="top"/>
          </w:tcPr>
          <w:p w14:paraId="69BEB4D8">
            <w:pPr>
              <w:pStyle w:val="6"/>
              <w:spacing w:before="305" w:line="231" w:lineRule="auto"/>
              <w:ind w:left="44"/>
              <w:rPr>
                <w:sz w:val="20"/>
                <w:szCs w:val="20"/>
              </w:rPr>
            </w:pPr>
            <w:r>
              <w:rPr>
                <w:spacing w:val="6"/>
                <w:sz w:val="20"/>
                <w:szCs w:val="20"/>
              </w:rPr>
              <w:t>投放时序</w:t>
            </w:r>
          </w:p>
        </w:tc>
      </w:tr>
      <w:tr w14:paraId="0C1B61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4" w:hRule="atLeast"/>
        </w:trPr>
        <w:tc>
          <w:tcPr>
            <w:tcW w:w="427" w:type="dxa"/>
            <w:tcBorders>
              <w:left w:val="single" w:color="000000" w:sz="10" w:space="0"/>
            </w:tcBorders>
            <w:vAlign w:val="top"/>
          </w:tcPr>
          <w:p w14:paraId="2C3A4F5B">
            <w:pPr>
              <w:spacing w:line="283" w:lineRule="auto"/>
              <w:rPr>
                <w:rFonts w:ascii="Arial"/>
                <w:sz w:val="21"/>
              </w:rPr>
            </w:pPr>
          </w:p>
          <w:p w14:paraId="44156251">
            <w:pPr>
              <w:spacing w:before="58" w:line="195" w:lineRule="auto"/>
              <w:ind w:left="16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865" w:type="dxa"/>
            <w:vAlign w:val="top"/>
          </w:tcPr>
          <w:p w14:paraId="7075123B">
            <w:pPr>
              <w:spacing w:line="283" w:lineRule="auto"/>
              <w:rPr>
                <w:rFonts w:ascii="Arial"/>
                <w:sz w:val="21"/>
              </w:rPr>
            </w:pPr>
          </w:p>
          <w:p w14:paraId="7F8FC89F">
            <w:pPr>
              <w:spacing w:before="58" w:line="197" w:lineRule="auto"/>
              <w:ind w:left="115"/>
              <w:rPr>
                <w:rFonts w:ascii="Times New Roman" w:hAnsi="Times New Roman" w:eastAsia="Times New Roman" w:cs="Times New Roman"/>
                <w:sz w:val="20"/>
                <w:szCs w:val="20"/>
              </w:rPr>
            </w:pPr>
            <w:r>
              <w:rPr>
                <w:rFonts w:ascii="Times New Roman" w:hAnsi="Times New Roman" w:eastAsia="Times New Roman" w:cs="Times New Roman"/>
                <w:sz w:val="20"/>
                <w:szCs w:val="20"/>
              </w:rPr>
              <w:t>KQ</w:t>
            </w:r>
            <w:r>
              <w:rPr>
                <w:rFonts w:ascii="Times New Roman" w:hAnsi="Times New Roman" w:eastAsia="Times New Roman" w:cs="Times New Roman"/>
                <w:spacing w:val="7"/>
                <w:sz w:val="20"/>
                <w:szCs w:val="20"/>
              </w:rPr>
              <w:t>001</w:t>
            </w:r>
          </w:p>
        </w:tc>
        <w:tc>
          <w:tcPr>
            <w:tcW w:w="2489" w:type="dxa"/>
            <w:vAlign w:val="top"/>
          </w:tcPr>
          <w:p w14:paraId="2F0FE405">
            <w:pPr>
              <w:pStyle w:val="6"/>
              <w:spacing w:before="171" w:line="252" w:lineRule="auto"/>
              <w:ind w:left="201" w:right="92" w:hanging="98"/>
              <w:rPr>
                <w:sz w:val="20"/>
                <w:szCs w:val="20"/>
              </w:rPr>
            </w:pPr>
            <w:r>
              <w:rPr>
                <w:spacing w:val="8"/>
                <w:sz w:val="20"/>
                <w:szCs w:val="20"/>
              </w:rPr>
              <w:t>重庆市黔江区水田乡石郎</w:t>
            </w:r>
            <w:r>
              <w:rPr>
                <w:sz w:val="20"/>
                <w:szCs w:val="20"/>
              </w:rPr>
              <w:t xml:space="preserve"> </w:t>
            </w:r>
            <w:r>
              <w:rPr>
                <w:spacing w:val="8"/>
                <w:sz w:val="20"/>
                <w:szCs w:val="20"/>
              </w:rPr>
              <w:t>村桃子坡水泥用灰岩矿</w:t>
            </w:r>
          </w:p>
        </w:tc>
        <w:tc>
          <w:tcPr>
            <w:tcW w:w="977" w:type="dxa"/>
            <w:vAlign w:val="top"/>
          </w:tcPr>
          <w:p w14:paraId="388B4389">
            <w:pPr>
              <w:pStyle w:val="6"/>
              <w:spacing w:before="183" w:line="232" w:lineRule="auto"/>
              <w:ind w:left="99"/>
              <w:rPr>
                <w:sz w:val="19"/>
                <w:szCs w:val="19"/>
              </w:rPr>
            </w:pPr>
            <w:r>
              <w:rPr>
                <w:spacing w:val="6"/>
                <w:sz w:val="19"/>
                <w:szCs w:val="19"/>
              </w:rPr>
              <w:t>水泥用石</w:t>
            </w:r>
          </w:p>
          <w:p w14:paraId="7E6592D3">
            <w:pPr>
              <w:pStyle w:val="6"/>
              <w:spacing w:before="20" w:line="233" w:lineRule="auto"/>
              <w:ind w:left="301"/>
              <w:rPr>
                <w:sz w:val="19"/>
                <w:szCs w:val="19"/>
              </w:rPr>
            </w:pPr>
            <w:r>
              <w:rPr>
                <w:spacing w:val="1"/>
                <w:sz w:val="19"/>
                <w:szCs w:val="19"/>
              </w:rPr>
              <w:t>灰岩</w:t>
            </w:r>
          </w:p>
        </w:tc>
        <w:tc>
          <w:tcPr>
            <w:tcW w:w="977" w:type="dxa"/>
            <w:vAlign w:val="top"/>
          </w:tcPr>
          <w:p w14:paraId="0FA76ABC">
            <w:pPr>
              <w:spacing w:line="291" w:lineRule="auto"/>
              <w:rPr>
                <w:rFonts w:ascii="Arial"/>
                <w:sz w:val="21"/>
              </w:rPr>
            </w:pPr>
          </w:p>
          <w:p w14:paraId="69825C37">
            <w:pPr>
              <w:spacing w:before="55" w:line="195" w:lineRule="auto"/>
              <w:ind w:left="221"/>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0.9702</w:t>
            </w:r>
          </w:p>
        </w:tc>
        <w:tc>
          <w:tcPr>
            <w:tcW w:w="1044" w:type="dxa"/>
            <w:vAlign w:val="top"/>
          </w:tcPr>
          <w:p w14:paraId="4DCAE973">
            <w:pPr>
              <w:spacing w:line="250" w:lineRule="auto"/>
              <w:rPr>
                <w:rFonts w:ascii="Arial"/>
                <w:sz w:val="21"/>
              </w:rPr>
            </w:pPr>
          </w:p>
          <w:p w14:paraId="3065F171">
            <w:pPr>
              <w:pStyle w:val="6"/>
              <w:spacing w:before="62" w:line="231" w:lineRule="auto"/>
              <w:ind w:left="336"/>
              <w:rPr>
                <w:sz w:val="19"/>
                <w:szCs w:val="19"/>
              </w:rPr>
            </w:pPr>
            <w:r>
              <w:rPr>
                <w:spacing w:val="2"/>
                <w:sz w:val="19"/>
                <w:szCs w:val="19"/>
              </w:rPr>
              <w:t>新设</w:t>
            </w:r>
          </w:p>
        </w:tc>
        <w:tc>
          <w:tcPr>
            <w:tcW w:w="1193" w:type="dxa"/>
            <w:vAlign w:val="top"/>
          </w:tcPr>
          <w:p w14:paraId="299E10C4">
            <w:pPr>
              <w:spacing w:line="249" w:lineRule="auto"/>
              <w:rPr>
                <w:rFonts w:ascii="Arial"/>
                <w:sz w:val="21"/>
              </w:rPr>
            </w:pPr>
          </w:p>
          <w:p w14:paraId="60A16A4A">
            <w:pPr>
              <w:pStyle w:val="6"/>
              <w:spacing w:before="62" w:line="230" w:lineRule="auto"/>
              <w:ind w:left="417"/>
              <w:rPr>
                <w:sz w:val="19"/>
                <w:szCs w:val="19"/>
              </w:rPr>
            </w:pPr>
            <w:r>
              <w:rPr>
                <w:spacing w:val="2"/>
                <w:sz w:val="19"/>
                <w:szCs w:val="19"/>
              </w:rPr>
              <w:t>详查</w:t>
            </w:r>
          </w:p>
        </w:tc>
        <w:tc>
          <w:tcPr>
            <w:tcW w:w="901" w:type="dxa"/>
            <w:tcBorders>
              <w:right w:val="single" w:color="000000" w:sz="10" w:space="0"/>
            </w:tcBorders>
            <w:vAlign w:val="top"/>
          </w:tcPr>
          <w:p w14:paraId="61D73071">
            <w:pPr>
              <w:spacing w:line="291" w:lineRule="auto"/>
              <w:rPr>
                <w:rFonts w:ascii="Arial"/>
                <w:sz w:val="21"/>
              </w:rPr>
            </w:pPr>
          </w:p>
          <w:p w14:paraId="1358A7BB">
            <w:pPr>
              <w:spacing w:before="55" w:line="195" w:lineRule="auto"/>
              <w:ind w:left="256"/>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2021</w:t>
            </w:r>
          </w:p>
        </w:tc>
      </w:tr>
      <w:tr w14:paraId="3FFCC4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427" w:type="dxa"/>
            <w:tcBorders>
              <w:left w:val="single" w:color="000000" w:sz="10" w:space="0"/>
            </w:tcBorders>
            <w:vAlign w:val="top"/>
          </w:tcPr>
          <w:p w14:paraId="36E44F66">
            <w:pPr>
              <w:spacing w:line="290" w:lineRule="auto"/>
              <w:rPr>
                <w:rFonts w:ascii="Arial"/>
                <w:sz w:val="21"/>
              </w:rPr>
            </w:pPr>
          </w:p>
          <w:p w14:paraId="687E942A">
            <w:pPr>
              <w:spacing w:before="58" w:line="195" w:lineRule="auto"/>
              <w:ind w:left="14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865" w:type="dxa"/>
            <w:vAlign w:val="top"/>
          </w:tcPr>
          <w:p w14:paraId="6190962F">
            <w:pPr>
              <w:spacing w:line="290" w:lineRule="auto"/>
              <w:rPr>
                <w:rFonts w:ascii="Arial"/>
                <w:sz w:val="21"/>
              </w:rPr>
            </w:pPr>
          </w:p>
          <w:p w14:paraId="538A0911">
            <w:pPr>
              <w:spacing w:before="57" w:line="197" w:lineRule="auto"/>
              <w:ind w:left="115"/>
              <w:rPr>
                <w:rFonts w:ascii="Times New Roman" w:hAnsi="Times New Roman" w:eastAsia="Times New Roman" w:cs="Times New Roman"/>
                <w:sz w:val="20"/>
                <w:szCs w:val="20"/>
              </w:rPr>
            </w:pPr>
            <w:r>
              <w:rPr>
                <w:rFonts w:ascii="Times New Roman" w:hAnsi="Times New Roman" w:eastAsia="Times New Roman" w:cs="Times New Roman"/>
                <w:sz w:val="20"/>
                <w:szCs w:val="20"/>
              </w:rPr>
              <w:t>KQ</w:t>
            </w:r>
            <w:r>
              <w:rPr>
                <w:rFonts w:ascii="Times New Roman" w:hAnsi="Times New Roman" w:eastAsia="Times New Roman" w:cs="Times New Roman"/>
                <w:spacing w:val="7"/>
                <w:sz w:val="20"/>
                <w:szCs w:val="20"/>
              </w:rPr>
              <w:t>002</w:t>
            </w:r>
          </w:p>
        </w:tc>
        <w:tc>
          <w:tcPr>
            <w:tcW w:w="2489" w:type="dxa"/>
            <w:vAlign w:val="top"/>
          </w:tcPr>
          <w:p w14:paraId="3C9D9CCA">
            <w:pPr>
              <w:pStyle w:val="6"/>
              <w:spacing w:before="177" w:line="251" w:lineRule="auto"/>
              <w:ind w:left="306" w:right="92" w:hanging="203"/>
              <w:rPr>
                <w:sz w:val="20"/>
                <w:szCs w:val="20"/>
              </w:rPr>
            </w:pPr>
            <w:r>
              <w:rPr>
                <w:spacing w:val="8"/>
                <w:sz w:val="20"/>
                <w:szCs w:val="20"/>
              </w:rPr>
              <w:t>重庆市黔江区邻鄂镇殷家</w:t>
            </w:r>
            <w:r>
              <w:rPr>
                <w:sz w:val="20"/>
                <w:szCs w:val="20"/>
              </w:rPr>
              <w:t xml:space="preserve"> </w:t>
            </w:r>
            <w:r>
              <w:rPr>
                <w:spacing w:val="8"/>
                <w:sz w:val="20"/>
                <w:szCs w:val="20"/>
              </w:rPr>
              <w:t>坨饰面石材用灰岩矿</w:t>
            </w:r>
          </w:p>
        </w:tc>
        <w:tc>
          <w:tcPr>
            <w:tcW w:w="977" w:type="dxa"/>
            <w:vAlign w:val="top"/>
          </w:tcPr>
          <w:p w14:paraId="2A3EC2EC">
            <w:pPr>
              <w:pStyle w:val="6"/>
              <w:spacing w:before="188" w:line="232" w:lineRule="auto"/>
              <w:ind w:left="101"/>
              <w:rPr>
                <w:sz w:val="19"/>
                <w:szCs w:val="19"/>
              </w:rPr>
            </w:pPr>
            <w:r>
              <w:rPr>
                <w:spacing w:val="6"/>
                <w:sz w:val="19"/>
                <w:szCs w:val="19"/>
              </w:rPr>
              <w:t>饰面石材</w:t>
            </w:r>
          </w:p>
          <w:p w14:paraId="40045CFB">
            <w:pPr>
              <w:pStyle w:val="6"/>
              <w:spacing w:before="20" w:line="233" w:lineRule="auto"/>
              <w:ind w:left="100"/>
              <w:rPr>
                <w:sz w:val="19"/>
                <w:szCs w:val="19"/>
              </w:rPr>
            </w:pPr>
            <w:r>
              <w:rPr>
                <w:spacing w:val="6"/>
                <w:sz w:val="19"/>
                <w:szCs w:val="19"/>
              </w:rPr>
              <w:t>用灰岩矿</w:t>
            </w:r>
          </w:p>
        </w:tc>
        <w:tc>
          <w:tcPr>
            <w:tcW w:w="977" w:type="dxa"/>
            <w:vAlign w:val="top"/>
          </w:tcPr>
          <w:p w14:paraId="66FC5FD4">
            <w:pPr>
              <w:spacing w:line="298" w:lineRule="auto"/>
              <w:rPr>
                <w:rFonts w:ascii="Arial"/>
                <w:sz w:val="21"/>
              </w:rPr>
            </w:pPr>
          </w:p>
          <w:p w14:paraId="735600DD">
            <w:pPr>
              <w:spacing w:before="54" w:line="195" w:lineRule="auto"/>
              <w:ind w:left="221"/>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0.2418</w:t>
            </w:r>
          </w:p>
        </w:tc>
        <w:tc>
          <w:tcPr>
            <w:tcW w:w="1044" w:type="dxa"/>
            <w:vAlign w:val="top"/>
          </w:tcPr>
          <w:p w14:paraId="4324C363">
            <w:pPr>
              <w:spacing w:line="257" w:lineRule="auto"/>
              <w:rPr>
                <w:rFonts w:ascii="Arial"/>
                <w:sz w:val="21"/>
              </w:rPr>
            </w:pPr>
          </w:p>
          <w:p w14:paraId="2FC97503">
            <w:pPr>
              <w:pStyle w:val="6"/>
              <w:spacing w:before="61" w:line="231" w:lineRule="auto"/>
              <w:ind w:left="336"/>
              <w:rPr>
                <w:sz w:val="19"/>
                <w:szCs w:val="19"/>
              </w:rPr>
            </w:pPr>
            <w:r>
              <w:rPr>
                <w:spacing w:val="2"/>
                <w:sz w:val="19"/>
                <w:szCs w:val="19"/>
              </w:rPr>
              <w:t>新设</w:t>
            </w:r>
          </w:p>
        </w:tc>
        <w:tc>
          <w:tcPr>
            <w:tcW w:w="1193" w:type="dxa"/>
            <w:vAlign w:val="top"/>
          </w:tcPr>
          <w:p w14:paraId="4C3168E7">
            <w:pPr>
              <w:spacing w:line="256" w:lineRule="auto"/>
              <w:rPr>
                <w:rFonts w:ascii="Arial"/>
                <w:sz w:val="21"/>
              </w:rPr>
            </w:pPr>
          </w:p>
          <w:p w14:paraId="29F013D8">
            <w:pPr>
              <w:pStyle w:val="6"/>
              <w:spacing w:before="62" w:line="230" w:lineRule="auto"/>
              <w:ind w:left="417"/>
              <w:rPr>
                <w:sz w:val="19"/>
                <w:szCs w:val="19"/>
              </w:rPr>
            </w:pPr>
            <w:r>
              <w:rPr>
                <w:spacing w:val="2"/>
                <w:sz w:val="19"/>
                <w:szCs w:val="19"/>
              </w:rPr>
              <w:t>详查</w:t>
            </w:r>
          </w:p>
        </w:tc>
        <w:tc>
          <w:tcPr>
            <w:tcW w:w="901" w:type="dxa"/>
            <w:tcBorders>
              <w:right w:val="single" w:color="000000" w:sz="10" w:space="0"/>
            </w:tcBorders>
            <w:vAlign w:val="top"/>
          </w:tcPr>
          <w:p w14:paraId="7F0BFA7D">
            <w:pPr>
              <w:spacing w:line="298" w:lineRule="auto"/>
              <w:rPr>
                <w:rFonts w:ascii="Arial"/>
                <w:sz w:val="21"/>
              </w:rPr>
            </w:pPr>
          </w:p>
          <w:p w14:paraId="0F6F9805">
            <w:pPr>
              <w:spacing w:before="54" w:line="195" w:lineRule="auto"/>
              <w:ind w:left="256"/>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2022</w:t>
            </w:r>
          </w:p>
        </w:tc>
      </w:tr>
      <w:tr w14:paraId="475FBB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427" w:type="dxa"/>
            <w:tcBorders>
              <w:left w:val="single" w:color="000000" w:sz="10" w:space="0"/>
            </w:tcBorders>
            <w:vAlign w:val="top"/>
          </w:tcPr>
          <w:p w14:paraId="75C732A7">
            <w:pPr>
              <w:spacing w:line="296" w:lineRule="auto"/>
              <w:rPr>
                <w:rFonts w:ascii="Arial"/>
                <w:sz w:val="21"/>
              </w:rPr>
            </w:pPr>
          </w:p>
          <w:p w14:paraId="2E71F7BA">
            <w:pPr>
              <w:spacing w:before="57" w:line="195" w:lineRule="auto"/>
              <w:ind w:left="15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865" w:type="dxa"/>
            <w:vAlign w:val="top"/>
          </w:tcPr>
          <w:p w14:paraId="0010D749">
            <w:pPr>
              <w:spacing w:line="295" w:lineRule="auto"/>
              <w:rPr>
                <w:rFonts w:ascii="Arial"/>
                <w:sz w:val="21"/>
              </w:rPr>
            </w:pPr>
          </w:p>
          <w:p w14:paraId="1381D44F">
            <w:pPr>
              <w:spacing w:before="58" w:line="197" w:lineRule="auto"/>
              <w:ind w:left="115"/>
              <w:rPr>
                <w:rFonts w:ascii="Times New Roman" w:hAnsi="Times New Roman" w:eastAsia="Times New Roman" w:cs="Times New Roman"/>
                <w:sz w:val="20"/>
                <w:szCs w:val="20"/>
              </w:rPr>
            </w:pPr>
            <w:r>
              <w:rPr>
                <w:rFonts w:ascii="Times New Roman" w:hAnsi="Times New Roman" w:eastAsia="Times New Roman" w:cs="Times New Roman"/>
                <w:sz w:val="20"/>
                <w:szCs w:val="20"/>
              </w:rPr>
              <w:t>KQ</w:t>
            </w:r>
            <w:r>
              <w:rPr>
                <w:rFonts w:ascii="Times New Roman" w:hAnsi="Times New Roman" w:eastAsia="Times New Roman" w:cs="Times New Roman"/>
                <w:spacing w:val="7"/>
                <w:sz w:val="20"/>
                <w:szCs w:val="20"/>
              </w:rPr>
              <w:t>003</w:t>
            </w:r>
          </w:p>
        </w:tc>
        <w:tc>
          <w:tcPr>
            <w:tcW w:w="2489" w:type="dxa"/>
            <w:vAlign w:val="top"/>
          </w:tcPr>
          <w:p w14:paraId="18EB981D">
            <w:pPr>
              <w:pStyle w:val="6"/>
              <w:spacing w:before="181" w:line="251" w:lineRule="auto"/>
              <w:ind w:left="96" w:right="94" w:firstLine="6"/>
              <w:rPr>
                <w:sz w:val="20"/>
                <w:szCs w:val="20"/>
              </w:rPr>
            </w:pPr>
            <w:r>
              <w:rPr>
                <w:spacing w:val="7"/>
                <w:sz w:val="20"/>
                <w:szCs w:val="20"/>
              </w:rPr>
              <w:t>重庆市黔江区沙坝镇脉东</w:t>
            </w:r>
            <w:r>
              <w:rPr>
                <w:spacing w:val="8"/>
                <w:sz w:val="20"/>
                <w:szCs w:val="20"/>
              </w:rPr>
              <w:t xml:space="preserve"> 社区石筒槽饰面用灰岩矿</w:t>
            </w:r>
          </w:p>
        </w:tc>
        <w:tc>
          <w:tcPr>
            <w:tcW w:w="977" w:type="dxa"/>
            <w:vAlign w:val="top"/>
          </w:tcPr>
          <w:p w14:paraId="2F95F796">
            <w:pPr>
              <w:pStyle w:val="6"/>
              <w:spacing w:before="182" w:line="232" w:lineRule="auto"/>
              <w:ind w:left="80"/>
              <w:rPr>
                <w:sz w:val="20"/>
                <w:szCs w:val="20"/>
              </w:rPr>
            </w:pPr>
            <w:r>
              <w:rPr>
                <w:spacing w:val="5"/>
                <w:sz w:val="20"/>
                <w:szCs w:val="20"/>
              </w:rPr>
              <w:t>饰面石材</w:t>
            </w:r>
          </w:p>
          <w:p w14:paraId="3851F6A5">
            <w:pPr>
              <w:pStyle w:val="6"/>
              <w:spacing w:before="20" w:line="232" w:lineRule="auto"/>
              <w:ind w:left="79"/>
              <w:rPr>
                <w:sz w:val="20"/>
                <w:szCs w:val="20"/>
              </w:rPr>
            </w:pPr>
            <w:r>
              <w:rPr>
                <w:spacing w:val="5"/>
                <w:sz w:val="20"/>
                <w:szCs w:val="20"/>
              </w:rPr>
              <w:t>用灰岩矿</w:t>
            </w:r>
          </w:p>
        </w:tc>
        <w:tc>
          <w:tcPr>
            <w:tcW w:w="977" w:type="dxa"/>
            <w:vAlign w:val="top"/>
          </w:tcPr>
          <w:p w14:paraId="4F500392">
            <w:pPr>
              <w:spacing w:line="296" w:lineRule="auto"/>
              <w:rPr>
                <w:rFonts w:ascii="Arial"/>
                <w:sz w:val="21"/>
              </w:rPr>
            </w:pPr>
          </w:p>
          <w:p w14:paraId="7CB4508E">
            <w:pPr>
              <w:spacing w:before="57" w:line="195" w:lineRule="auto"/>
              <w:ind w:left="2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0.0297</w:t>
            </w:r>
          </w:p>
        </w:tc>
        <w:tc>
          <w:tcPr>
            <w:tcW w:w="1044" w:type="dxa"/>
            <w:vAlign w:val="top"/>
          </w:tcPr>
          <w:p w14:paraId="46A38BD6">
            <w:pPr>
              <w:spacing w:line="260" w:lineRule="auto"/>
              <w:rPr>
                <w:rFonts w:ascii="Arial"/>
                <w:sz w:val="21"/>
              </w:rPr>
            </w:pPr>
          </w:p>
          <w:p w14:paraId="585FF45E">
            <w:pPr>
              <w:pStyle w:val="6"/>
              <w:spacing w:before="61" w:line="231" w:lineRule="auto"/>
              <w:ind w:left="336"/>
              <w:rPr>
                <w:sz w:val="19"/>
                <w:szCs w:val="19"/>
              </w:rPr>
            </w:pPr>
            <w:r>
              <w:rPr>
                <w:spacing w:val="2"/>
                <w:sz w:val="19"/>
                <w:szCs w:val="19"/>
              </w:rPr>
              <w:t>新设</w:t>
            </w:r>
          </w:p>
        </w:tc>
        <w:tc>
          <w:tcPr>
            <w:tcW w:w="1193" w:type="dxa"/>
            <w:vAlign w:val="top"/>
          </w:tcPr>
          <w:p w14:paraId="1FE8D95F">
            <w:pPr>
              <w:spacing w:line="259" w:lineRule="auto"/>
              <w:rPr>
                <w:rFonts w:ascii="Arial"/>
                <w:sz w:val="21"/>
              </w:rPr>
            </w:pPr>
          </w:p>
          <w:p w14:paraId="1A176765">
            <w:pPr>
              <w:pStyle w:val="6"/>
              <w:spacing w:before="62" w:line="230" w:lineRule="auto"/>
              <w:ind w:left="417"/>
              <w:rPr>
                <w:sz w:val="19"/>
                <w:szCs w:val="19"/>
              </w:rPr>
            </w:pPr>
            <w:r>
              <w:rPr>
                <w:spacing w:val="2"/>
                <w:sz w:val="19"/>
                <w:szCs w:val="19"/>
              </w:rPr>
              <w:t>详查</w:t>
            </w:r>
          </w:p>
        </w:tc>
        <w:tc>
          <w:tcPr>
            <w:tcW w:w="901" w:type="dxa"/>
            <w:tcBorders>
              <w:right w:val="single" w:color="000000" w:sz="10" w:space="0"/>
            </w:tcBorders>
            <w:vAlign w:val="top"/>
          </w:tcPr>
          <w:p w14:paraId="4B3A6FA1">
            <w:pPr>
              <w:spacing w:line="301" w:lineRule="auto"/>
              <w:rPr>
                <w:rFonts w:ascii="Arial"/>
                <w:sz w:val="21"/>
              </w:rPr>
            </w:pPr>
          </w:p>
          <w:p w14:paraId="76DD024C">
            <w:pPr>
              <w:spacing w:before="54" w:line="195" w:lineRule="auto"/>
              <w:ind w:left="256"/>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2022</w:t>
            </w:r>
          </w:p>
        </w:tc>
      </w:tr>
      <w:tr w14:paraId="303160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427" w:type="dxa"/>
            <w:tcBorders>
              <w:left w:val="single" w:color="000000" w:sz="10" w:space="0"/>
              <w:bottom w:val="single" w:color="000000" w:sz="10" w:space="0"/>
            </w:tcBorders>
            <w:vAlign w:val="top"/>
          </w:tcPr>
          <w:p w14:paraId="1FC4B02A">
            <w:pPr>
              <w:spacing w:line="299" w:lineRule="auto"/>
              <w:rPr>
                <w:rFonts w:ascii="Arial"/>
                <w:sz w:val="21"/>
              </w:rPr>
            </w:pPr>
          </w:p>
          <w:p w14:paraId="623A2F50">
            <w:pPr>
              <w:spacing w:before="57" w:line="195" w:lineRule="auto"/>
              <w:ind w:left="14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865" w:type="dxa"/>
            <w:tcBorders>
              <w:bottom w:val="single" w:color="000000" w:sz="10" w:space="0"/>
            </w:tcBorders>
            <w:vAlign w:val="top"/>
          </w:tcPr>
          <w:p w14:paraId="75DB3C5B">
            <w:pPr>
              <w:spacing w:line="298" w:lineRule="auto"/>
              <w:rPr>
                <w:rFonts w:ascii="Arial"/>
                <w:sz w:val="21"/>
              </w:rPr>
            </w:pPr>
          </w:p>
          <w:p w14:paraId="2FE92FE6">
            <w:pPr>
              <w:spacing w:before="58" w:line="197" w:lineRule="auto"/>
              <w:ind w:left="115"/>
              <w:rPr>
                <w:rFonts w:ascii="Times New Roman" w:hAnsi="Times New Roman" w:eastAsia="Times New Roman" w:cs="Times New Roman"/>
                <w:sz w:val="20"/>
                <w:szCs w:val="20"/>
              </w:rPr>
            </w:pPr>
            <w:r>
              <w:rPr>
                <w:rFonts w:ascii="Times New Roman" w:hAnsi="Times New Roman" w:eastAsia="Times New Roman" w:cs="Times New Roman"/>
                <w:sz w:val="20"/>
                <w:szCs w:val="20"/>
              </w:rPr>
              <w:t>KQ</w:t>
            </w:r>
            <w:r>
              <w:rPr>
                <w:rFonts w:ascii="Times New Roman" w:hAnsi="Times New Roman" w:eastAsia="Times New Roman" w:cs="Times New Roman"/>
                <w:spacing w:val="7"/>
                <w:sz w:val="20"/>
                <w:szCs w:val="20"/>
              </w:rPr>
              <w:t>004</w:t>
            </w:r>
          </w:p>
        </w:tc>
        <w:tc>
          <w:tcPr>
            <w:tcW w:w="2489" w:type="dxa"/>
            <w:tcBorders>
              <w:bottom w:val="single" w:color="000000" w:sz="10" w:space="0"/>
            </w:tcBorders>
            <w:vAlign w:val="top"/>
          </w:tcPr>
          <w:p w14:paraId="53C48416">
            <w:pPr>
              <w:pStyle w:val="6"/>
              <w:spacing w:before="184" w:line="254" w:lineRule="auto"/>
              <w:ind w:left="725" w:right="92" w:hanging="622"/>
              <w:rPr>
                <w:sz w:val="20"/>
                <w:szCs w:val="20"/>
              </w:rPr>
            </w:pPr>
            <w:r>
              <w:rPr>
                <w:spacing w:val="8"/>
                <w:sz w:val="20"/>
                <w:szCs w:val="20"/>
              </w:rPr>
              <w:t>重庆市黔江区中塘乡二坪</w:t>
            </w:r>
            <w:r>
              <w:rPr>
                <w:sz w:val="20"/>
                <w:szCs w:val="20"/>
              </w:rPr>
              <w:t xml:space="preserve"> </w:t>
            </w:r>
            <w:r>
              <w:rPr>
                <w:spacing w:val="6"/>
                <w:sz w:val="20"/>
                <w:szCs w:val="20"/>
              </w:rPr>
              <w:t>铝土矿普查</w:t>
            </w:r>
          </w:p>
        </w:tc>
        <w:tc>
          <w:tcPr>
            <w:tcW w:w="977" w:type="dxa"/>
            <w:tcBorders>
              <w:bottom w:val="single" w:color="000000" w:sz="10" w:space="0"/>
            </w:tcBorders>
            <w:vAlign w:val="top"/>
          </w:tcPr>
          <w:p w14:paraId="463414DB">
            <w:pPr>
              <w:spacing w:line="265" w:lineRule="auto"/>
              <w:rPr>
                <w:rFonts w:ascii="Arial"/>
                <w:sz w:val="21"/>
              </w:rPr>
            </w:pPr>
          </w:p>
          <w:p w14:paraId="76CF1BFC">
            <w:pPr>
              <w:pStyle w:val="6"/>
              <w:spacing w:before="61" w:line="233" w:lineRule="auto"/>
              <w:ind w:left="199"/>
              <w:rPr>
                <w:sz w:val="19"/>
                <w:szCs w:val="19"/>
              </w:rPr>
            </w:pPr>
            <w:r>
              <w:rPr>
                <w:spacing w:val="5"/>
                <w:sz w:val="19"/>
                <w:szCs w:val="19"/>
              </w:rPr>
              <w:t>铝土矿</w:t>
            </w:r>
          </w:p>
        </w:tc>
        <w:tc>
          <w:tcPr>
            <w:tcW w:w="977" w:type="dxa"/>
            <w:tcBorders>
              <w:bottom w:val="single" w:color="000000" w:sz="10" w:space="0"/>
            </w:tcBorders>
            <w:vAlign w:val="top"/>
          </w:tcPr>
          <w:p w14:paraId="4D8EF642">
            <w:pPr>
              <w:spacing w:line="306" w:lineRule="auto"/>
              <w:rPr>
                <w:rFonts w:ascii="Arial"/>
                <w:sz w:val="21"/>
              </w:rPr>
            </w:pPr>
          </w:p>
          <w:p w14:paraId="28CA0903">
            <w:pPr>
              <w:spacing w:before="55" w:line="195" w:lineRule="auto"/>
              <w:ind w:left="222"/>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3.9566</w:t>
            </w:r>
          </w:p>
        </w:tc>
        <w:tc>
          <w:tcPr>
            <w:tcW w:w="1044" w:type="dxa"/>
            <w:tcBorders>
              <w:bottom w:val="single" w:color="000000" w:sz="10" w:space="0"/>
            </w:tcBorders>
            <w:vAlign w:val="top"/>
          </w:tcPr>
          <w:p w14:paraId="62CA7EFD">
            <w:pPr>
              <w:spacing w:line="265" w:lineRule="auto"/>
              <w:rPr>
                <w:rFonts w:ascii="Arial"/>
                <w:sz w:val="21"/>
              </w:rPr>
            </w:pPr>
          </w:p>
          <w:p w14:paraId="4926B703">
            <w:pPr>
              <w:pStyle w:val="6"/>
              <w:spacing w:before="62" w:line="231" w:lineRule="auto"/>
              <w:ind w:left="336"/>
              <w:rPr>
                <w:sz w:val="19"/>
                <w:szCs w:val="19"/>
              </w:rPr>
            </w:pPr>
            <w:r>
              <w:rPr>
                <w:spacing w:val="2"/>
                <w:sz w:val="19"/>
                <w:szCs w:val="19"/>
              </w:rPr>
              <w:t>新设</w:t>
            </w:r>
          </w:p>
        </w:tc>
        <w:tc>
          <w:tcPr>
            <w:tcW w:w="1193" w:type="dxa"/>
            <w:tcBorders>
              <w:bottom w:val="single" w:color="000000" w:sz="10" w:space="0"/>
            </w:tcBorders>
            <w:vAlign w:val="top"/>
          </w:tcPr>
          <w:p w14:paraId="541F7470">
            <w:pPr>
              <w:spacing w:line="253" w:lineRule="auto"/>
              <w:rPr>
                <w:rFonts w:ascii="Arial"/>
                <w:sz w:val="21"/>
              </w:rPr>
            </w:pPr>
          </w:p>
          <w:p w14:paraId="6F974F4A">
            <w:pPr>
              <w:pStyle w:val="6"/>
              <w:spacing w:before="65" w:line="234" w:lineRule="auto"/>
              <w:ind w:left="410"/>
              <w:rPr>
                <w:sz w:val="20"/>
                <w:szCs w:val="20"/>
              </w:rPr>
            </w:pPr>
            <w:r>
              <w:rPr>
                <w:sz w:val="20"/>
                <w:szCs w:val="20"/>
              </w:rPr>
              <w:t>普查</w:t>
            </w:r>
          </w:p>
        </w:tc>
        <w:tc>
          <w:tcPr>
            <w:tcW w:w="901" w:type="dxa"/>
            <w:tcBorders>
              <w:bottom w:val="single" w:color="000000" w:sz="10" w:space="0"/>
              <w:right w:val="single" w:color="000000" w:sz="10" w:space="0"/>
            </w:tcBorders>
            <w:vAlign w:val="top"/>
          </w:tcPr>
          <w:p w14:paraId="4B843C1F">
            <w:pPr>
              <w:spacing w:line="299" w:lineRule="auto"/>
              <w:rPr>
                <w:rFonts w:ascii="Arial"/>
                <w:sz w:val="21"/>
              </w:rPr>
            </w:pPr>
          </w:p>
          <w:p w14:paraId="7B184B82">
            <w:pPr>
              <w:spacing w:before="57" w:line="195" w:lineRule="auto"/>
              <w:ind w:left="24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2023</w:t>
            </w:r>
          </w:p>
        </w:tc>
      </w:tr>
    </w:tbl>
    <w:p w14:paraId="10E913A8">
      <w:pPr>
        <w:pStyle w:val="2"/>
      </w:pPr>
    </w:p>
    <w:p w14:paraId="1E4FD2F3">
      <w:pPr>
        <w:sectPr>
          <w:headerReference r:id="rId45" w:type="default"/>
          <w:footerReference r:id="rId46" w:type="default"/>
          <w:pgSz w:w="11906" w:h="16839"/>
          <w:pgMar w:top="1116" w:right="1354" w:bottom="1480" w:left="1464" w:header="683" w:footer="1318" w:gutter="0"/>
          <w:cols w:space="720" w:num="1"/>
        </w:sectPr>
      </w:pPr>
    </w:p>
    <w:p w14:paraId="6217FFCB">
      <w:pPr>
        <w:spacing w:before="82"/>
      </w:pPr>
    </w:p>
    <w:tbl>
      <w:tblPr>
        <w:tblStyle w:val="5"/>
        <w:tblW w:w="887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7"/>
        <w:gridCol w:w="865"/>
        <w:gridCol w:w="2489"/>
        <w:gridCol w:w="977"/>
        <w:gridCol w:w="977"/>
        <w:gridCol w:w="1044"/>
        <w:gridCol w:w="1193"/>
        <w:gridCol w:w="901"/>
      </w:tblGrid>
      <w:tr w14:paraId="5837C1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8" w:hRule="atLeast"/>
        </w:trPr>
        <w:tc>
          <w:tcPr>
            <w:tcW w:w="427" w:type="dxa"/>
            <w:tcBorders>
              <w:top w:val="single" w:color="000000" w:sz="10" w:space="0"/>
              <w:left w:val="single" w:color="000000" w:sz="10" w:space="0"/>
            </w:tcBorders>
            <w:vAlign w:val="top"/>
          </w:tcPr>
          <w:p w14:paraId="28E11E59">
            <w:pPr>
              <w:spacing w:line="287" w:lineRule="auto"/>
              <w:rPr>
                <w:rFonts w:ascii="Arial"/>
                <w:sz w:val="21"/>
              </w:rPr>
            </w:pPr>
          </w:p>
          <w:p w14:paraId="3C96DA50">
            <w:pPr>
              <w:spacing w:before="57" w:line="192" w:lineRule="auto"/>
              <w:ind w:left="15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865" w:type="dxa"/>
            <w:tcBorders>
              <w:top w:val="single" w:color="000000" w:sz="10" w:space="0"/>
            </w:tcBorders>
            <w:vAlign w:val="top"/>
          </w:tcPr>
          <w:p w14:paraId="61B6D6D2">
            <w:pPr>
              <w:spacing w:line="284" w:lineRule="auto"/>
              <w:rPr>
                <w:rFonts w:ascii="Arial"/>
                <w:sz w:val="21"/>
              </w:rPr>
            </w:pPr>
          </w:p>
          <w:p w14:paraId="7E96DF47">
            <w:pPr>
              <w:spacing w:before="57" w:line="197" w:lineRule="auto"/>
              <w:ind w:left="115"/>
              <w:rPr>
                <w:rFonts w:ascii="Times New Roman" w:hAnsi="Times New Roman" w:eastAsia="Times New Roman" w:cs="Times New Roman"/>
                <w:sz w:val="20"/>
                <w:szCs w:val="20"/>
              </w:rPr>
            </w:pPr>
            <w:r>
              <w:rPr>
                <w:rFonts w:ascii="Times New Roman" w:hAnsi="Times New Roman" w:eastAsia="Times New Roman" w:cs="Times New Roman"/>
                <w:sz w:val="20"/>
                <w:szCs w:val="20"/>
              </w:rPr>
              <w:t>KQ</w:t>
            </w:r>
            <w:r>
              <w:rPr>
                <w:rFonts w:ascii="Times New Roman" w:hAnsi="Times New Roman" w:eastAsia="Times New Roman" w:cs="Times New Roman"/>
                <w:spacing w:val="7"/>
                <w:sz w:val="20"/>
                <w:szCs w:val="20"/>
              </w:rPr>
              <w:t>005</w:t>
            </w:r>
          </w:p>
        </w:tc>
        <w:tc>
          <w:tcPr>
            <w:tcW w:w="2489" w:type="dxa"/>
            <w:tcBorders>
              <w:top w:val="single" w:color="000000" w:sz="10" w:space="0"/>
            </w:tcBorders>
            <w:vAlign w:val="top"/>
          </w:tcPr>
          <w:p w14:paraId="4DC25EB3">
            <w:pPr>
              <w:pStyle w:val="6"/>
              <w:spacing w:before="171" w:line="252" w:lineRule="auto"/>
              <w:ind w:left="304" w:right="92" w:hanging="201"/>
              <w:rPr>
                <w:sz w:val="20"/>
                <w:szCs w:val="20"/>
              </w:rPr>
            </w:pPr>
            <w:r>
              <w:rPr>
                <w:spacing w:val="8"/>
                <w:sz w:val="20"/>
                <w:szCs w:val="20"/>
              </w:rPr>
              <w:t>重庆市黔江区石家镇清塘</w:t>
            </w:r>
            <w:r>
              <w:rPr>
                <w:sz w:val="20"/>
                <w:szCs w:val="20"/>
              </w:rPr>
              <w:t xml:space="preserve"> </w:t>
            </w:r>
            <w:r>
              <w:rPr>
                <w:spacing w:val="8"/>
                <w:sz w:val="20"/>
                <w:szCs w:val="20"/>
              </w:rPr>
              <w:t>村风岩坡萤石矿普查</w:t>
            </w:r>
          </w:p>
        </w:tc>
        <w:tc>
          <w:tcPr>
            <w:tcW w:w="977" w:type="dxa"/>
            <w:tcBorders>
              <w:top w:val="single" w:color="000000" w:sz="10" w:space="0"/>
            </w:tcBorders>
            <w:vAlign w:val="top"/>
          </w:tcPr>
          <w:p w14:paraId="4216F2B3">
            <w:pPr>
              <w:spacing w:line="250" w:lineRule="auto"/>
              <w:rPr>
                <w:rFonts w:ascii="Arial"/>
                <w:sz w:val="21"/>
              </w:rPr>
            </w:pPr>
          </w:p>
          <w:p w14:paraId="614A54E1">
            <w:pPr>
              <w:pStyle w:val="6"/>
              <w:spacing w:before="62" w:line="233" w:lineRule="auto"/>
              <w:ind w:left="205"/>
              <w:rPr>
                <w:sz w:val="19"/>
                <w:szCs w:val="19"/>
              </w:rPr>
            </w:pPr>
            <w:r>
              <w:rPr>
                <w:spacing w:val="3"/>
                <w:sz w:val="19"/>
                <w:szCs w:val="19"/>
              </w:rPr>
              <w:t>萤石矿</w:t>
            </w:r>
          </w:p>
        </w:tc>
        <w:tc>
          <w:tcPr>
            <w:tcW w:w="977" w:type="dxa"/>
            <w:tcBorders>
              <w:top w:val="single" w:color="000000" w:sz="10" w:space="0"/>
            </w:tcBorders>
            <w:vAlign w:val="top"/>
          </w:tcPr>
          <w:p w14:paraId="45CC242A">
            <w:pPr>
              <w:spacing w:line="291" w:lineRule="auto"/>
              <w:rPr>
                <w:rFonts w:ascii="Arial"/>
                <w:sz w:val="21"/>
              </w:rPr>
            </w:pPr>
          </w:p>
          <w:p w14:paraId="2AEC2281">
            <w:pPr>
              <w:spacing w:before="55" w:line="195" w:lineRule="auto"/>
              <w:ind w:left="271"/>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0.262</w:t>
            </w:r>
          </w:p>
        </w:tc>
        <w:tc>
          <w:tcPr>
            <w:tcW w:w="1044" w:type="dxa"/>
            <w:tcBorders>
              <w:top w:val="single" w:color="000000" w:sz="10" w:space="0"/>
            </w:tcBorders>
            <w:vAlign w:val="top"/>
          </w:tcPr>
          <w:p w14:paraId="16374EDA">
            <w:pPr>
              <w:spacing w:line="250" w:lineRule="auto"/>
              <w:rPr>
                <w:rFonts w:ascii="Arial"/>
                <w:sz w:val="21"/>
              </w:rPr>
            </w:pPr>
          </w:p>
          <w:p w14:paraId="4EAEF4CA">
            <w:pPr>
              <w:pStyle w:val="6"/>
              <w:spacing w:before="62" w:line="231" w:lineRule="auto"/>
              <w:ind w:left="336"/>
              <w:rPr>
                <w:sz w:val="19"/>
                <w:szCs w:val="19"/>
              </w:rPr>
            </w:pPr>
            <w:r>
              <w:rPr>
                <w:spacing w:val="2"/>
                <w:sz w:val="19"/>
                <w:szCs w:val="19"/>
              </w:rPr>
              <w:t>新设</w:t>
            </w:r>
          </w:p>
        </w:tc>
        <w:tc>
          <w:tcPr>
            <w:tcW w:w="1193" w:type="dxa"/>
            <w:tcBorders>
              <w:top w:val="single" w:color="000000" w:sz="10" w:space="0"/>
            </w:tcBorders>
            <w:vAlign w:val="top"/>
          </w:tcPr>
          <w:p w14:paraId="0C5292D5">
            <w:pPr>
              <w:pStyle w:val="6"/>
              <w:spacing w:before="304" w:line="234" w:lineRule="auto"/>
              <w:ind w:left="410"/>
              <w:rPr>
                <w:sz w:val="20"/>
                <w:szCs w:val="20"/>
              </w:rPr>
            </w:pPr>
            <w:r>
              <w:rPr>
                <w:sz w:val="20"/>
                <w:szCs w:val="20"/>
              </w:rPr>
              <w:t>普查</w:t>
            </w:r>
          </w:p>
        </w:tc>
        <w:tc>
          <w:tcPr>
            <w:tcW w:w="901" w:type="dxa"/>
            <w:tcBorders>
              <w:top w:val="single" w:color="000000" w:sz="10" w:space="0"/>
              <w:right w:val="single" w:color="000000" w:sz="10" w:space="0"/>
            </w:tcBorders>
            <w:vAlign w:val="top"/>
          </w:tcPr>
          <w:p w14:paraId="2C881623">
            <w:pPr>
              <w:spacing w:line="284" w:lineRule="auto"/>
              <w:rPr>
                <w:rFonts w:ascii="Arial"/>
                <w:sz w:val="21"/>
              </w:rPr>
            </w:pPr>
          </w:p>
          <w:p w14:paraId="2D1133EB">
            <w:pPr>
              <w:spacing w:before="57" w:line="195" w:lineRule="auto"/>
              <w:ind w:left="24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2023</w:t>
            </w:r>
          </w:p>
        </w:tc>
      </w:tr>
      <w:tr w14:paraId="7A3489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3" w:hRule="atLeast"/>
        </w:trPr>
        <w:tc>
          <w:tcPr>
            <w:tcW w:w="427" w:type="dxa"/>
            <w:tcBorders>
              <w:left w:val="single" w:color="000000" w:sz="10" w:space="0"/>
            </w:tcBorders>
            <w:vAlign w:val="top"/>
          </w:tcPr>
          <w:p w14:paraId="74E6E5D6">
            <w:pPr>
              <w:spacing w:line="284" w:lineRule="auto"/>
              <w:rPr>
                <w:rFonts w:ascii="Arial"/>
                <w:sz w:val="21"/>
              </w:rPr>
            </w:pPr>
          </w:p>
          <w:p w14:paraId="4EF2F41D">
            <w:pPr>
              <w:spacing w:before="58" w:line="195" w:lineRule="auto"/>
              <w:ind w:left="151"/>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865" w:type="dxa"/>
            <w:vAlign w:val="top"/>
          </w:tcPr>
          <w:p w14:paraId="5C065B4A">
            <w:pPr>
              <w:spacing w:line="284" w:lineRule="auto"/>
              <w:rPr>
                <w:rFonts w:ascii="Arial"/>
                <w:sz w:val="21"/>
              </w:rPr>
            </w:pPr>
          </w:p>
          <w:p w14:paraId="40525301">
            <w:pPr>
              <w:spacing w:before="57" w:line="197" w:lineRule="auto"/>
              <w:ind w:left="115"/>
              <w:rPr>
                <w:rFonts w:ascii="Times New Roman" w:hAnsi="Times New Roman" w:eastAsia="Times New Roman" w:cs="Times New Roman"/>
                <w:sz w:val="20"/>
                <w:szCs w:val="20"/>
              </w:rPr>
            </w:pPr>
            <w:r>
              <w:rPr>
                <w:rFonts w:ascii="Times New Roman" w:hAnsi="Times New Roman" w:eastAsia="Times New Roman" w:cs="Times New Roman"/>
                <w:sz w:val="20"/>
                <w:szCs w:val="20"/>
              </w:rPr>
              <w:t>KQ</w:t>
            </w:r>
            <w:r>
              <w:rPr>
                <w:rFonts w:ascii="Times New Roman" w:hAnsi="Times New Roman" w:eastAsia="Times New Roman" w:cs="Times New Roman"/>
                <w:spacing w:val="7"/>
                <w:sz w:val="20"/>
                <w:szCs w:val="20"/>
              </w:rPr>
              <w:t>006</w:t>
            </w:r>
          </w:p>
        </w:tc>
        <w:tc>
          <w:tcPr>
            <w:tcW w:w="2489" w:type="dxa"/>
            <w:vAlign w:val="top"/>
          </w:tcPr>
          <w:p w14:paraId="46DF3F34">
            <w:pPr>
              <w:pStyle w:val="6"/>
              <w:spacing w:before="173" w:line="250" w:lineRule="auto"/>
              <w:ind w:left="515" w:right="92" w:hanging="412"/>
              <w:rPr>
                <w:sz w:val="20"/>
                <w:szCs w:val="20"/>
              </w:rPr>
            </w:pPr>
            <w:r>
              <w:rPr>
                <w:spacing w:val="8"/>
                <w:sz w:val="20"/>
                <w:szCs w:val="20"/>
              </w:rPr>
              <w:t>重庆市黔江区新华乡大田</w:t>
            </w:r>
            <w:r>
              <w:rPr>
                <w:sz w:val="20"/>
                <w:szCs w:val="20"/>
              </w:rPr>
              <w:t xml:space="preserve"> </w:t>
            </w:r>
            <w:r>
              <w:rPr>
                <w:spacing w:val="7"/>
                <w:sz w:val="20"/>
                <w:szCs w:val="20"/>
              </w:rPr>
              <w:t>村长湾重晶石矿</w:t>
            </w:r>
          </w:p>
        </w:tc>
        <w:tc>
          <w:tcPr>
            <w:tcW w:w="977" w:type="dxa"/>
            <w:vAlign w:val="top"/>
          </w:tcPr>
          <w:p w14:paraId="4F9DCD07">
            <w:pPr>
              <w:spacing w:line="250" w:lineRule="auto"/>
              <w:rPr>
                <w:rFonts w:ascii="Arial"/>
                <w:sz w:val="21"/>
              </w:rPr>
            </w:pPr>
          </w:p>
          <w:p w14:paraId="09C4E55B">
            <w:pPr>
              <w:pStyle w:val="6"/>
              <w:spacing w:before="62" w:line="232" w:lineRule="auto"/>
              <w:ind w:left="106"/>
              <w:rPr>
                <w:sz w:val="19"/>
                <w:szCs w:val="19"/>
              </w:rPr>
            </w:pPr>
            <w:r>
              <w:rPr>
                <w:spacing w:val="4"/>
                <w:sz w:val="19"/>
                <w:szCs w:val="19"/>
              </w:rPr>
              <w:t>重晶石矿</w:t>
            </w:r>
          </w:p>
        </w:tc>
        <w:tc>
          <w:tcPr>
            <w:tcW w:w="977" w:type="dxa"/>
            <w:vAlign w:val="top"/>
          </w:tcPr>
          <w:p w14:paraId="31076D4A">
            <w:pPr>
              <w:spacing w:line="292" w:lineRule="auto"/>
              <w:rPr>
                <w:rFonts w:ascii="Arial"/>
                <w:sz w:val="21"/>
              </w:rPr>
            </w:pPr>
          </w:p>
          <w:p w14:paraId="563B9BB5">
            <w:pPr>
              <w:spacing w:before="54" w:line="195" w:lineRule="auto"/>
              <w:ind w:left="167"/>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22.1643</w:t>
            </w:r>
          </w:p>
        </w:tc>
        <w:tc>
          <w:tcPr>
            <w:tcW w:w="1044" w:type="dxa"/>
            <w:vAlign w:val="top"/>
          </w:tcPr>
          <w:p w14:paraId="25F4628E">
            <w:pPr>
              <w:spacing w:line="251" w:lineRule="auto"/>
              <w:rPr>
                <w:rFonts w:ascii="Arial"/>
                <w:sz w:val="21"/>
              </w:rPr>
            </w:pPr>
          </w:p>
          <w:p w14:paraId="0667667A">
            <w:pPr>
              <w:pStyle w:val="6"/>
              <w:spacing w:before="61" w:line="231" w:lineRule="auto"/>
              <w:ind w:left="336"/>
              <w:rPr>
                <w:sz w:val="19"/>
                <w:szCs w:val="19"/>
              </w:rPr>
            </w:pPr>
            <w:r>
              <w:rPr>
                <w:spacing w:val="2"/>
                <w:sz w:val="19"/>
                <w:szCs w:val="19"/>
              </w:rPr>
              <w:t>新设</w:t>
            </w:r>
          </w:p>
        </w:tc>
        <w:tc>
          <w:tcPr>
            <w:tcW w:w="1193" w:type="dxa"/>
            <w:vAlign w:val="top"/>
          </w:tcPr>
          <w:p w14:paraId="40DF58C4">
            <w:pPr>
              <w:spacing w:line="241" w:lineRule="auto"/>
              <w:rPr>
                <w:rFonts w:ascii="Arial"/>
                <w:sz w:val="21"/>
              </w:rPr>
            </w:pPr>
          </w:p>
          <w:p w14:paraId="0F2040DF">
            <w:pPr>
              <w:pStyle w:val="6"/>
              <w:spacing w:before="65" w:line="234" w:lineRule="auto"/>
              <w:ind w:left="410"/>
              <w:rPr>
                <w:sz w:val="20"/>
                <w:szCs w:val="20"/>
              </w:rPr>
            </w:pPr>
            <w:r>
              <w:rPr>
                <w:sz w:val="20"/>
                <w:szCs w:val="20"/>
              </w:rPr>
              <w:t>普查</w:t>
            </w:r>
          </w:p>
        </w:tc>
        <w:tc>
          <w:tcPr>
            <w:tcW w:w="901" w:type="dxa"/>
            <w:tcBorders>
              <w:right w:val="single" w:color="000000" w:sz="10" w:space="0"/>
            </w:tcBorders>
            <w:vAlign w:val="top"/>
          </w:tcPr>
          <w:p w14:paraId="6AF6AA7C">
            <w:pPr>
              <w:spacing w:line="284" w:lineRule="auto"/>
              <w:rPr>
                <w:rFonts w:ascii="Arial"/>
                <w:sz w:val="21"/>
              </w:rPr>
            </w:pPr>
          </w:p>
          <w:p w14:paraId="69FADE79">
            <w:pPr>
              <w:spacing w:before="58" w:line="195" w:lineRule="auto"/>
              <w:ind w:left="24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2023</w:t>
            </w:r>
          </w:p>
        </w:tc>
      </w:tr>
      <w:tr w14:paraId="6B708A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4" w:hRule="atLeast"/>
        </w:trPr>
        <w:tc>
          <w:tcPr>
            <w:tcW w:w="427" w:type="dxa"/>
            <w:tcBorders>
              <w:left w:val="single" w:color="000000" w:sz="10" w:space="0"/>
            </w:tcBorders>
            <w:vAlign w:val="top"/>
          </w:tcPr>
          <w:p w14:paraId="215D31F1">
            <w:pPr>
              <w:spacing w:line="294" w:lineRule="auto"/>
              <w:rPr>
                <w:rFonts w:ascii="Arial"/>
                <w:sz w:val="21"/>
              </w:rPr>
            </w:pPr>
          </w:p>
          <w:p w14:paraId="7247F137">
            <w:pPr>
              <w:spacing w:before="58" w:line="192" w:lineRule="auto"/>
              <w:ind w:left="150"/>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865" w:type="dxa"/>
            <w:vAlign w:val="top"/>
          </w:tcPr>
          <w:p w14:paraId="60FE9FDD">
            <w:pPr>
              <w:spacing w:line="291" w:lineRule="auto"/>
              <w:rPr>
                <w:rFonts w:ascii="Arial"/>
                <w:sz w:val="21"/>
              </w:rPr>
            </w:pPr>
          </w:p>
          <w:p w14:paraId="0DE2B536">
            <w:pPr>
              <w:spacing w:before="58" w:line="197" w:lineRule="auto"/>
              <w:ind w:left="115"/>
              <w:rPr>
                <w:rFonts w:ascii="Times New Roman" w:hAnsi="Times New Roman" w:eastAsia="Times New Roman" w:cs="Times New Roman"/>
                <w:sz w:val="20"/>
                <w:szCs w:val="20"/>
              </w:rPr>
            </w:pPr>
            <w:r>
              <w:rPr>
                <w:rFonts w:ascii="Times New Roman" w:hAnsi="Times New Roman" w:eastAsia="Times New Roman" w:cs="Times New Roman"/>
                <w:sz w:val="20"/>
                <w:szCs w:val="20"/>
              </w:rPr>
              <w:t>KQ</w:t>
            </w:r>
            <w:r>
              <w:rPr>
                <w:rFonts w:ascii="Times New Roman" w:hAnsi="Times New Roman" w:eastAsia="Times New Roman" w:cs="Times New Roman"/>
                <w:spacing w:val="7"/>
                <w:sz w:val="20"/>
                <w:szCs w:val="20"/>
              </w:rPr>
              <w:t>007</w:t>
            </w:r>
          </w:p>
        </w:tc>
        <w:tc>
          <w:tcPr>
            <w:tcW w:w="2489" w:type="dxa"/>
            <w:vAlign w:val="top"/>
          </w:tcPr>
          <w:p w14:paraId="47106D7C">
            <w:pPr>
              <w:pStyle w:val="6"/>
              <w:spacing w:before="179" w:line="252" w:lineRule="auto"/>
              <w:ind w:left="515" w:right="92" w:hanging="412"/>
              <w:rPr>
                <w:sz w:val="20"/>
                <w:szCs w:val="20"/>
              </w:rPr>
            </w:pPr>
            <w:r>
              <w:rPr>
                <w:spacing w:val="8"/>
                <w:sz w:val="20"/>
                <w:szCs w:val="20"/>
              </w:rPr>
              <w:t>重庆市黔江区金溪镇望岭</w:t>
            </w:r>
            <w:r>
              <w:rPr>
                <w:sz w:val="20"/>
                <w:szCs w:val="20"/>
              </w:rPr>
              <w:t xml:space="preserve"> </w:t>
            </w:r>
            <w:r>
              <w:rPr>
                <w:spacing w:val="7"/>
                <w:sz w:val="20"/>
                <w:szCs w:val="20"/>
              </w:rPr>
              <w:t>村彭家湾萤石矿</w:t>
            </w:r>
          </w:p>
        </w:tc>
        <w:tc>
          <w:tcPr>
            <w:tcW w:w="977" w:type="dxa"/>
            <w:vAlign w:val="top"/>
          </w:tcPr>
          <w:p w14:paraId="5F584F12">
            <w:pPr>
              <w:spacing w:line="258" w:lineRule="auto"/>
              <w:rPr>
                <w:rFonts w:ascii="Arial"/>
                <w:sz w:val="21"/>
              </w:rPr>
            </w:pPr>
          </w:p>
          <w:p w14:paraId="487F7B6C">
            <w:pPr>
              <w:pStyle w:val="6"/>
              <w:spacing w:before="61" w:line="233" w:lineRule="auto"/>
              <w:ind w:left="205"/>
              <w:rPr>
                <w:sz w:val="19"/>
                <w:szCs w:val="19"/>
              </w:rPr>
            </w:pPr>
            <w:r>
              <w:rPr>
                <w:spacing w:val="3"/>
                <w:sz w:val="19"/>
                <w:szCs w:val="19"/>
              </w:rPr>
              <w:t>萤石矿</w:t>
            </w:r>
          </w:p>
        </w:tc>
        <w:tc>
          <w:tcPr>
            <w:tcW w:w="977" w:type="dxa"/>
            <w:vAlign w:val="top"/>
          </w:tcPr>
          <w:p w14:paraId="51231464">
            <w:pPr>
              <w:spacing w:line="299" w:lineRule="auto"/>
              <w:rPr>
                <w:rFonts w:ascii="Arial"/>
                <w:sz w:val="21"/>
              </w:rPr>
            </w:pPr>
          </w:p>
          <w:p w14:paraId="188EB817">
            <w:pPr>
              <w:spacing w:before="55" w:line="195" w:lineRule="auto"/>
              <w:ind w:left="217"/>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4.7182</w:t>
            </w:r>
          </w:p>
        </w:tc>
        <w:tc>
          <w:tcPr>
            <w:tcW w:w="1044" w:type="dxa"/>
            <w:vAlign w:val="top"/>
          </w:tcPr>
          <w:p w14:paraId="2F5608E1">
            <w:pPr>
              <w:spacing w:line="258" w:lineRule="auto"/>
              <w:rPr>
                <w:rFonts w:ascii="Arial"/>
                <w:sz w:val="21"/>
              </w:rPr>
            </w:pPr>
          </w:p>
          <w:p w14:paraId="3B587A7F">
            <w:pPr>
              <w:pStyle w:val="6"/>
              <w:spacing w:before="62" w:line="231" w:lineRule="auto"/>
              <w:ind w:left="336"/>
              <w:rPr>
                <w:sz w:val="19"/>
                <w:szCs w:val="19"/>
              </w:rPr>
            </w:pPr>
            <w:r>
              <w:rPr>
                <w:spacing w:val="2"/>
                <w:sz w:val="19"/>
                <w:szCs w:val="19"/>
              </w:rPr>
              <w:t>新设</w:t>
            </w:r>
          </w:p>
        </w:tc>
        <w:tc>
          <w:tcPr>
            <w:tcW w:w="1193" w:type="dxa"/>
            <w:vAlign w:val="top"/>
          </w:tcPr>
          <w:p w14:paraId="3DED59F5">
            <w:pPr>
              <w:spacing w:line="248" w:lineRule="auto"/>
              <w:rPr>
                <w:rFonts w:ascii="Arial"/>
                <w:sz w:val="21"/>
              </w:rPr>
            </w:pPr>
          </w:p>
          <w:p w14:paraId="46745F95">
            <w:pPr>
              <w:pStyle w:val="6"/>
              <w:spacing w:before="65" w:line="234" w:lineRule="auto"/>
              <w:ind w:left="410"/>
              <w:rPr>
                <w:sz w:val="20"/>
                <w:szCs w:val="20"/>
              </w:rPr>
            </w:pPr>
            <w:r>
              <w:rPr>
                <w:sz w:val="20"/>
                <w:szCs w:val="20"/>
              </w:rPr>
              <w:t>普查</w:t>
            </w:r>
          </w:p>
        </w:tc>
        <w:tc>
          <w:tcPr>
            <w:tcW w:w="901" w:type="dxa"/>
            <w:tcBorders>
              <w:right w:val="single" w:color="000000" w:sz="10" w:space="0"/>
            </w:tcBorders>
            <w:vAlign w:val="top"/>
          </w:tcPr>
          <w:p w14:paraId="129441CC">
            <w:pPr>
              <w:spacing w:line="292" w:lineRule="auto"/>
              <w:rPr>
                <w:rFonts w:ascii="Arial"/>
                <w:sz w:val="21"/>
              </w:rPr>
            </w:pPr>
          </w:p>
          <w:p w14:paraId="72FA017F">
            <w:pPr>
              <w:spacing w:before="57" w:line="195" w:lineRule="auto"/>
              <w:ind w:left="24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2021</w:t>
            </w:r>
          </w:p>
        </w:tc>
      </w:tr>
      <w:tr w14:paraId="4AE06F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427" w:type="dxa"/>
            <w:tcBorders>
              <w:left w:val="single" w:color="000000" w:sz="10" w:space="0"/>
              <w:bottom w:val="single" w:color="000000" w:sz="10" w:space="0"/>
            </w:tcBorders>
            <w:vAlign w:val="top"/>
          </w:tcPr>
          <w:p w14:paraId="2EF212FB">
            <w:pPr>
              <w:spacing w:line="298" w:lineRule="auto"/>
              <w:rPr>
                <w:rFonts w:ascii="Arial"/>
                <w:sz w:val="21"/>
              </w:rPr>
            </w:pPr>
          </w:p>
          <w:p w14:paraId="31810997">
            <w:pPr>
              <w:spacing w:before="58" w:line="195" w:lineRule="auto"/>
              <w:ind w:left="155"/>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865" w:type="dxa"/>
            <w:tcBorders>
              <w:bottom w:val="single" w:color="000000" w:sz="10" w:space="0"/>
            </w:tcBorders>
            <w:vAlign w:val="top"/>
          </w:tcPr>
          <w:p w14:paraId="06E051BB">
            <w:pPr>
              <w:spacing w:line="298" w:lineRule="auto"/>
              <w:rPr>
                <w:rFonts w:ascii="Arial"/>
                <w:sz w:val="21"/>
              </w:rPr>
            </w:pPr>
          </w:p>
          <w:p w14:paraId="230085EF">
            <w:pPr>
              <w:spacing w:before="57" w:line="197" w:lineRule="auto"/>
              <w:ind w:left="115"/>
              <w:rPr>
                <w:rFonts w:ascii="Times New Roman" w:hAnsi="Times New Roman" w:eastAsia="Times New Roman" w:cs="Times New Roman"/>
                <w:sz w:val="20"/>
                <w:szCs w:val="20"/>
              </w:rPr>
            </w:pPr>
            <w:r>
              <w:rPr>
                <w:rFonts w:ascii="Times New Roman" w:hAnsi="Times New Roman" w:eastAsia="Times New Roman" w:cs="Times New Roman"/>
                <w:sz w:val="20"/>
                <w:szCs w:val="20"/>
              </w:rPr>
              <w:t>KQ</w:t>
            </w:r>
            <w:r>
              <w:rPr>
                <w:rFonts w:ascii="Times New Roman" w:hAnsi="Times New Roman" w:eastAsia="Times New Roman" w:cs="Times New Roman"/>
                <w:spacing w:val="7"/>
                <w:sz w:val="20"/>
                <w:szCs w:val="20"/>
              </w:rPr>
              <w:t>008</w:t>
            </w:r>
          </w:p>
        </w:tc>
        <w:tc>
          <w:tcPr>
            <w:tcW w:w="2489" w:type="dxa"/>
            <w:tcBorders>
              <w:bottom w:val="single" w:color="000000" w:sz="10" w:space="0"/>
            </w:tcBorders>
            <w:vAlign w:val="top"/>
          </w:tcPr>
          <w:p w14:paraId="7F0408C4">
            <w:pPr>
              <w:pStyle w:val="6"/>
              <w:spacing w:before="185" w:line="250" w:lineRule="auto"/>
              <w:ind w:left="410" w:right="92" w:hanging="307"/>
              <w:rPr>
                <w:sz w:val="20"/>
                <w:szCs w:val="20"/>
              </w:rPr>
            </w:pPr>
            <w:r>
              <w:rPr>
                <w:spacing w:val="8"/>
                <w:sz w:val="20"/>
                <w:szCs w:val="20"/>
              </w:rPr>
              <w:t>重庆市黔江区石会镇会西</w:t>
            </w:r>
            <w:r>
              <w:rPr>
                <w:sz w:val="20"/>
                <w:szCs w:val="20"/>
              </w:rPr>
              <w:t xml:space="preserve"> </w:t>
            </w:r>
            <w:r>
              <w:rPr>
                <w:spacing w:val="8"/>
                <w:sz w:val="20"/>
                <w:szCs w:val="20"/>
              </w:rPr>
              <w:t>村周家坡重晶石矿</w:t>
            </w:r>
          </w:p>
        </w:tc>
        <w:tc>
          <w:tcPr>
            <w:tcW w:w="977" w:type="dxa"/>
            <w:tcBorders>
              <w:bottom w:val="single" w:color="000000" w:sz="10" w:space="0"/>
            </w:tcBorders>
            <w:vAlign w:val="top"/>
          </w:tcPr>
          <w:p w14:paraId="5F458B24">
            <w:pPr>
              <w:spacing w:line="262" w:lineRule="auto"/>
              <w:rPr>
                <w:rFonts w:ascii="Arial"/>
                <w:sz w:val="21"/>
              </w:rPr>
            </w:pPr>
          </w:p>
          <w:p w14:paraId="4D311D62">
            <w:pPr>
              <w:pStyle w:val="6"/>
              <w:spacing w:before="62" w:line="232" w:lineRule="auto"/>
              <w:ind w:left="106"/>
              <w:rPr>
                <w:sz w:val="19"/>
                <w:szCs w:val="19"/>
              </w:rPr>
            </w:pPr>
            <w:r>
              <w:rPr>
                <w:spacing w:val="4"/>
                <w:sz w:val="19"/>
                <w:szCs w:val="19"/>
              </w:rPr>
              <w:t>重晶石矿</w:t>
            </w:r>
          </w:p>
        </w:tc>
        <w:tc>
          <w:tcPr>
            <w:tcW w:w="977" w:type="dxa"/>
            <w:tcBorders>
              <w:bottom w:val="single" w:color="000000" w:sz="10" w:space="0"/>
            </w:tcBorders>
            <w:vAlign w:val="top"/>
          </w:tcPr>
          <w:p w14:paraId="38CD14E7">
            <w:pPr>
              <w:spacing w:line="303" w:lineRule="auto"/>
              <w:rPr>
                <w:rFonts w:ascii="Arial"/>
                <w:sz w:val="21"/>
              </w:rPr>
            </w:pPr>
          </w:p>
          <w:p w14:paraId="32055CEA">
            <w:pPr>
              <w:spacing w:before="55" w:line="195" w:lineRule="auto"/>
              <w:ind w:left="223"/>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5.2622</w:t>
            </w:r>
          </w:p>
        </w:tc>
        <w:tc>
          <w:tcPr>
            <w:tcW w:w="1044" w:type="dxa"/>
            <w:tcBorders>
              <w:bottom w:val="single" w:color="000000" w:sz="10" w:space="0"/>
            </w:tcBorders>
            <w:vAlign w:val="top"/>
          </w:tcPr>
          <w:p w14:paraId="47E368BA">
            <w:pPr>
              <w:spacing w:line="262" w:lineRule="auto"/>
              <w:rPr>
                <w:rFonts w:ascii="Arial"/>
                <w:sz w:val="21"/>
              </w:rPr>
            </w:pPr>
          </w:p>
          <w:p w14:paraId="3F0818D3">
            <w:pPr>
              <w:pStyle w:val="6"/>
              <w:spacing w:before="62" w:line="231" w:lineRule="auto"/>
              <w:ind w:left="336"/>
              <w:rPr>
                <w:sz w:val="19"/>
                <w:szCs w:val="19"/>
              </w:rPr>
            </w:pPr>
            <w:r>
              <w:rPr>
                <w:spacing w:val="2"/>
                <w:sz w:val="19"/>
                <w:szCs w:val="19"/>
              </w:rPr>
              <w:t>新设</w:t>
            </w:r>
          </w:p>
        </w:tc>
        <w:tc>
          <w:tcPr>
            <w:tcW w:w="1193" w:type="dxa"/>
            <w:tcBorders>
              <w:bottom w:val="single" w:color="000000" w:sz="10" w:space="0"/>
            </w:tcBorders>
            <w:vAlign w:val="top"/>
          </w:tcPr>
          <w:p w14:paraId="5F62024A">
            <w:pPr>
              <w:spacing w:line="262" w:lineRule="auto"/>
              <w:rPr>
                <w:rFonts w:ascii="Arial"/>
                <w:sz w:val="21"/>
              </w:rPr>
            </w:pPr>
          </w:p>
          <w:p w14:paraId="360E683F">
            <w:pPr>
              <w:pStyle w:val="6"/>
              <w:spacing w:before="62" w:line="234" w:lineRule="auto"/>
              <w:ind w:left="419"/>
              <w:rPr>
                <w:sz w:val="19"/>
                <w:szCs w:val="19"/>
              </w:rPr>
            </w:pPr>
            <w:r>
              <w:rPr>
                <w:spacing w:val="1"/>
                <w:sz w:val="19"/>
                <w:szCs w:val="19"/>
              </w:rPr>
              <w:t>普查</w:t>
            </w:r>
          </w:p>
        </w:tc>
        <w:tc>
          <w:tcPr>
            <w:tcW w:w="901" w:type="dxa"/>
            <w:tcBorders>
              <w:bottom w:val="single" w:color="000000" w:sz="10" w:space="0"/>
              <w:right w:val="single" w:color="000000" w:sz="10" w:space="0"/>
            </w:tcBorders>
            <w:vAlign w:val="top"/>
          </w:tcPr>
          <w:p w14:paraId="74CE7994">
            <w:pPr>
              <w:spacing w:line="298" w:lineRule="auto"/>
              <w:rPr>
                <w:rFonts w:ascii="Arial"/>
                <w:sz w:val="21"/>
              </w:rPr>
            </w:pPr>
          </w:p>
          <w:p w14:paraId="324862B6">
            <w:pPr>
              <w:spacing w:before="58" w:line="195" w:lineRule="auto"/>
              <w:ind w:left="24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2023</w:t>
            </w:r>
          </w:p>
        </w:tc>
      </w:tr>
    </w:tbl>
    <w:p w14:paraId="641F264D">
      <w:pPr>
        <w:spacing w:before="146" w:line="229" w:lineRule="auto"/>
        <w:ind w:left="530"/>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2</w:t>
      </w:r>
      <w:r>
        <w:rPr>
          <w:rFonts w:ascii="仿宋" w:hAnsi="仿宋" w:eastAsia="仿宋" w:cs="仿宋"/>
          <w:spacing w:val="7"/>
          <w:sz w:val="25"/>
          <w:szCs w:val="25"/>
        </w:rPr>
        <w:t>）开采规划区块</w:t>
      </w:r>
    </w:p>
    <w:p w14:paraId="71AB1F56">
      <w:pPr>
        <w:spacing w:before="152" w:line="339" w:lineRule="auto"/>
        <w:ind w:left="45" w:firstLine="481"/>
        <w:rPr>
          <w:rFonts w:ascii="仿宋" w:hAnsi="仿宋" w:eastAsia="仿宋" w:cs="仿宋"/>
          <w:sz w:val="25"/>
          <w:szCs w:val="25"/>
        </w:rPr>
      </w:pPr>
      <w:r>
        <w:rPr>
          <w:rFonts w:ascii="仿宋" w:hAnsi="仿宋" w:eastAsia="仿宋" w:cs="仿宋"/>
          <w:spacing w:val="8"/>
          <w:sz w:val="25"/>
          <w:szCs w:val="25"/>
        </w:rPr>
        <w:t>本次设置开采规划区块</w:t>
      </w:r>
      <w:r>
        <w:rPr>
          <w:rFonts w:ascii="仿宋" w:hAnsi="仿宋" w:eastAsia="仿宋" w:cs="仿宋"/>
          <w:spacing w:val="-36"/>
          <w:sz w:val="25"/>
          <w:szCs w:val="25"/>
        </w:rPr>
        <w:t xml:space="preserve"> </w:t>
      </w:r>
      <w:r>
        <w:rPr>
          <w:rFonts w:ascii="Times New Roman" w:hAnsi="Times New Roman" w:eastAsia="Times New Roman" w:cs="Times New Roman"/>
          <w:spacing w:val="8"/>
          <w:sz w:val="25"/>
          <w:szCs w:val="25"/>
        </w:rPr>
        <w:t>32</w:t>
      </w:r>
      <w:r>
        <w:rPr>
          <w:rFonts w:ascii="Times New Roman" w:hAnsi="Times New Roman" w:eastAsia="Times New Roman" w:cs="Times New Roman"/>
          <w:spacing w:val="23"/>
          <w:sz w:val="25"/>
          <w:szCs w:val="25"/>
        </w:rPr>
        <w:t xml:space="preserve"> </w:t>
      </w:r>
      <w:r>
        <w:rPr>
          <w:rFonts w:ascii="仿宋" w:hAnsi="仿宋" w:eastAsia="仿宋" w:cs="仿宋"/>
          <w:spacing w:val="8"/>
          <w:sz w:val="25"/>
          <w:szCs w:val="25"/>
        </w:rPr>
        <w:t>个，其中已设采矿权保留开采规划区块</w:t>
      </w:r>
      <w:r>
        <w:rPr>
          <w:rFonts w:ascii="仿宋" w:hAnsi="仿宋" w:eastAsia="仿宋" w:cs="仿宋"/>
          <w:spacing w:val="-27"/>
          <w:sz w:val="25"/>
          <w:szCs w:val="25"/>
        </w:rPr>
        <w:t xml:space="preserve"> </w:t>
      </w:r>
      <w:r>
        <w:rPr>
          <w:rFonts w:ascii="Times New Roman" w:hAnsi="Times New Roman" w:eastAsia="Times New Roman" w:cs="Times New Roman"/>
          <w:spacing w:val="8"/>
          <w:sz w:val="25"/>
          <w:szCs w:val="25"/>
        </w:rPr>
        <w:t>16</w:t>
      </w:r>
      <w:r>
        <w:rPr>
          <w:rFonts w:ascii="Times New Roman" w:hAnsi="Times New Roman" w:eastAsia="Times New Roman" w:cs="Times New Roman"/>
          <w:spacing w:val="23"/>
          <w:sz w:val="25"/>
          <w:szCs w:val="25"/>
        </w:rPr>
        <w:t xml:space="preserve"> </w:t>
      </w:r>
      <w:r>
        <w:rPr>
          <w:rFonts w:ascii="仿宋" w:hAnsi="仿宋" w:eastAsia="仿宋" w:cs="仿宋"/>
          <w:spacing w:val="8"/>
          <w:sz w:val="25"/>
          <w:szCs w:val="25"/>
        </w:rPr>
        <w:t>个、</w:t>
      </w:r>
      <w:r>
        <w:rPr>
          <w:rFonts w:ascii="仿宋" w:hAnsi="仿宋" w:eastAsia="仿宋" w:cs="仿宋"/>
          <w:sz w:val="25"/>
          <w:szCs w:val="25"/>
        </w:rPr>
        <w:t xml:space="preserve"> </w:t>
      </w:r>
      <w:r>
        <w:rPr>
          <w:rFonts w:ascii="仿宋" w:hAnsi="仿宋" w:eastAsia="仿宋" w:cs="仿宋"/>
          <w:spacing w:val="8"/>
          <w:sz w:val="25"/>
          <w:szCs w:val="25"/>
        </w:rPr>
        <w:t>空白区新设采矿权开采规划区块</w:t>
      </w:r>
      <w:r>
        <w:rPr>
          <w:rFonts w:ascii="Times New Roman" w:hAnsi="Times New Roman" w:eastAsia="Times New Roman" w:cs="Times New Roman"/>
          <w:spacing w:val="8"/>
          <w:sz w:val="25"/>
          <w:szCs w:val="25"/>
        </w:rPr>
        <w:t>7</w:t>
      </w:r>
      <w:r>
        <w:rPr>
          <w:rFonts w:ascii="Times New Roman" w:hAnsi="Times New Roman" w:eastAsia="Times New Roman" w:cs="Times New Roman"/>
          <w:spacing w:val="21"/>
          <w:sz w:val="25"/>
          <w:szCs w:val="25"/>
        </w:rPr>
        <w:t xml:space="preserve"> </w:t>
      </w:r>
      <w:r>
        <w:rPr>
          <w:rFonts w:ascii="仿宋" w:hAnsi="仿宋" w:eastAsia="仿宋" w:cs="仿宋"/>
          <w:spacing w:val="8"/>
          <w:sz w:val="25"/>
          <w:szCs w:val="25"/>
        </w:rPr>
        <w:t>个、探转采</w:t>
      </w:r>
      <w:r>
        <w:rPr>
          <w:rFonts w:ascii="仿宋" w:hAnsi="仿宋" w:eastAsia="仿宋" w:cs="仿宋"/>
          <w:spacing w:val="-48"/>
          <w:sz w:val="25"/>
          <w:szCs w:val="25"/>
        </w:rPr>
        <w:t xml:space="preserve"> </w:t>
      </w:r>
      <w:r>
        <w:rPr>
          <w:rFonts w:ascii="Times New Roman" w:hAnsi="Times New Roman" w:eastAsia="Times New Roman" w:cs="Times New Roman"/>
          <w:spacing w:val="8"/>
          <w:sz w:val="25"/>
          <w:szCs w:val="25"/>
        </w:rPr>
        <w:t>5</w:t>
      </w:r>
      <w:r>
        <w:rPr>
          <w:rFonts w:ascii="Times New Roman" w:hAnsi="Times New Roman" w:eastAsia="Times New Roman" w:cs="Times New Roman"/>
          <w:spacing w:val="21"/>
          <w:sz w:val="25"/>
          <w:szCs w:val="25"/>
        </w:rPr>
        <w:t xml:space="preserve"> </w:t>
      </w:r>
      <w:r>
        <w:rPr>
          <w:rFonts w:ascii="仿宋" w:hAnsi="仿宋" w:eastAsia="仿宋" w:cs="仿宋"/>
          <w:spacing w:val="8"/>
          <w:sz w:val="25"/>
          <w:szCs w:val="25"/>
        </w:rPr>
        <w:t>个，</w:t>
      </w:r>
      <w:r>
        <w:rPr>
          <w:rFonts w:ascii="仿宋" w:hAnsi="仿宋" w:eastAsia="仿宋" w:cs="仿宋"/>
          <w:spacing w:val="-66"/>
          <w:sz w:val="25"/>
          <w:szCs w:val="25"/>
        </w:rPr>
        <w:t xml:space="preserve"> </w:t>
      </w:r>
      <w:r>
        <w:rPr>
          <w:rFonts w:ascii="仿宋" w:hAnsi="仿宋" w:eastAsia="仿宋" w:cs="仿宋"/>
          <w:spacing w:val="8"/>
          <w:sz w:val="25"/>
          <w:szCs w:val="25"/>
        </w:rPr>
        <w:t>已设采矿权到期关闭的采</w:t>
      </w:r>
      <w:r>
        <w:rPr>
          <w:rFonts w:ascii="仿宋" w:hAnsi="仿宋" w:eastAsia="仿宋" w:cs="仿宋"/>
          <w:sz w:val="25"/>
          <w:szCs w:val="25"/>
        </w:rPr>
        <w:t xml:space="preserve"> </w:t>
      </w:r>
      <w:r>
        <w:rPr>
          <w:rFonts w:ascii="仿宋" w:hAnsi="仿宋" w:eastAsia="仿宋" w:cs="仿宋"/>
          <w:spacing w:val="5"/>
          <w:sz w:val="25"/>
          <w:szCs w:val="25"/>
        </w:rPr>
        <w:t>矿权区块</w:t>
      </w:r>
      <w:r>
        <w:rPr>
          <w:rFonts w:ascii="仿宋" w:hAnsi="仿宋" w:eastAsia="仿宋" w:cs="仿宋"/>
          <w:spacing w:val="-44"/>
          <w:sz w:val="25"/>
          <w:szCs w:val="25"/>
        </w:rPr>
        <w:t xml:space="preserve"> </w:t>
      </w:r>
      <w:r>
        <w:rPr>
          <w:rFonts w:ascii="Times New Roman" w:hAnsi="Times New Roman" w:eastAsia="Times New Roman" w:cs="Times New Roman"/>
          <w:spacing w:val="5"/>
          <w:sz w:val="25"/>
          <w:szCs w:val="25"/>
        </w:rPr>
        <w:t>4</w:t>
      </w:r>
      <w:r>
        <w:rPr>
          <w:rFonts w:ascii="Times New Roman" w:hAnsi="Times New Roman" w:eastAsia="Times New Roman" w:cs="Times New Roman"/>
          <w:spacing w:val="20"/>
          <w:w w:val="101"/>
          <w:sz w:val="25"/>
          <w:szCs w:val="25"/>
        </w:rPr>
        <w:t xml:space="preserve"> </w:t>
      </w:r>
      <w:r>
        <w:rPr>
          <w:rFonts w:ascii="仿宋" w:hAnsi="仿宋" w:eastAsia="仿宋" w:cs="仿宋"/>
          <w:spacing w:val="5"/>
          <w:sz w:val="25"/>
          <w:szCs w:val="25"/>
        </w:rPr>
        <w:t>个，均为建筑石料用灰岩矿（其中</w:t>
      </w:r>
      <w:r>
        <w:rPr>
          <w:rFonts w:ascii="仿宋" w:hAnsi="仿宋" w:eastAsia="仿宋" w:cs="仿宋"/>
          <w:spacing w:val="-50"/>
          <w:sz w:val="25"/>
          <w:szCs w:val="25"/>
        </w:rPr>
        <w:t xml:space="preserve"> </w:t>
      </w:r>
      <w:r>
        <w:rPr>
          <w:rFonts w:ascii="Times New Roman" w:hAnsi="Times New Roman" w:eastAsia="Times New Roman" w:cs="Times New Roman"/>
          <w:spacing w:val="5"/>
          <w:sz w:val="25"/>
          <w:szCs w:val="25"/>
        </w:rPr>
        <w:t>3</w:t>
      </w:r>
      <w:r>
        <w:rPr>
          <w:rFonts w:ascii="Times New Roman" w:hAnsi="Times New Roman" w:eastAsia="Times New Roman" w:cs="Times New Roman"/>
          <w:spacing w:val="23"/>
          <w:w w:val="101"/>
          <w:sz w:val="25"/>
          <w:szCs w:val="25"/>
        </w:rPr>
        <w:t xml:space="preserve"> </w:t>
      </w:r>
      <w:r>
        <w:rPr>
          <w:rFonts w:ascii="仿宋" w:hAnsi="仿宋" w:eastAsia="仿宋" w:cs="仿宋"/>
          <w:spacing w:val="5"/>
          <w:sz w:val="25"/>
          <w:szCs w:val="25"/>
        </w:rPr>
        <w:t>个采矿权现已注销）。至</w:t>
      </w:r>
      <w:r>
        <w:rPr>
          <w:rFonts w:ascii="仿宋" w:hAnsi="仿宋" w:eastAsia="仿宋" w:cs="仿宋"/>
          <w:spacing w:val="-55"/>
          <w:sz w:val="25"/>
          <w:szCs w:val="25"/>
        </w:rPr>
        <w:t xml:space="preserve"> </w:t>
      </w:r>
      <w:r>
        <w:rPr>
          <w:rFonts w:ascii="Times New Roman" w:hAnsi="Times New Roman" w:eastAsia="Times New Roman" w:cs="Times New Roman"/>
          <w:spacing w:val="5"/>
          <w:sz w:val="25"/>
          <w:szCs w:val="25"/>
        </w:rPr>
        <w:t>2025</w:t>
      </w:r>
      <w:r>
        <w:rPr>
          <w:rFonts w:ascii="Times New Roman" w:hAnsi="Times New Roman" w:eastAsia="Times New Roman" w:cs="Times New Roman"/>
          <w:sz w:val="25"/>
          <w:szCs w:val="25"/>
        </w:rPr>
        <w:t xml:space="preserve">  </w:t>
      </w:r>
      <w:r>
        <w:rPr>
          <w:rFonts w:ascii="仿宋" w:hAnsi="仿宋" w:eastAsia="仿宋" w:cs="仿宋"/>
          <w:spacing w:val="2"/>
          <w:sz w:val="25"/>
          <w:szCs w:val="25"/>
        </w:rPr>
        <w:t>年期末全区矿山数量不超过</w:t>
      </w:r>
      <w:r>
        <w:rPr>
          <w:rFonts w:ascii="仿宋" w:hAnsi="仿宋" w:eastAsia="仿宋" w:cs="仿宋"/>
          <w:spacing w:val="-48"/>
          <w:sz w:val="25"/>
          <w:szCs w:val="25"/>
        </w:rPr>
        <w:t xml:space="preserve"> </w:t>
      </w:r>
      <w:r>
        <w:rPr>
          <w:rFonts w:ascii="Times New Roman" w:hAnsi="Times New Roman" w:eastAsia="Times New Roman" w:cs="Times New Roman"/>
          <w:spacing w:val="2"/>
          <w:sz w:val="25"/>
          <w:szCs w:val="25"/>
        </w:rPr>
        <w:t>28</w:t>
      </w:r>
      <w:r>
        <w:rPr>
          <w:rFonts w:ascii="Times New Roman" w:hAnsi="Times New Roman" w:eastAsia="Times New Roman" w:cs="Times New Roman"/>
          <w:spacing w:val="23"/>
          <w:w w:val="101"/>
          <w:sz w:val="25"/>
          <w:szCs w:val="25"/>
        </w:rPr>
        <w:t xml:space="preserve"> </w:t>
      </w:r>
      <w:r>
        <w:rPr>
          <w:rFonts w:ascii="仿宋" w:hAnsi="仿宋" w:eastAsia="仿宋" w:cs="仿宋"/>
          <w:spacing w:val="2"/>
          <w:sz w:val="25"/>
          <w:szCs w:val="25"/>
        </w:rPr>
        <w:t>个，其中建筑石料用灰岩矿山数量控制在</w:t>
      </w:r>
      <w:r>
        <w:rPr>
          <w:rFonts w:ascii="仿宋" w:hAnsi="仿宋" w:eastAsia="仿宋" w:cs="仿宋"/>
          <w:spacing w:val="-27"/>
          <w:sz w:val="25"/>
          <w:szCs w:val="25"/>
        </w:rPr>
        <w:t xml:space="preserve"> </w:t>
      </w:r>
      <w:r>
        <w:rPr>
          <w:rFonts w:ascii="Times New Roman" w:hAnsi="Times New Roman" w:eastAsia="Times New Roman" w:cs="Times New Roman"/>
          <w:spacing w:val="2"/>
          <w:sz w:val="25"/>
          <w:szCs w:val="25"/>
        </w:rPr>
        <w:t>12</w:t>
      </w:r>
      <w:r>
        <w:rPr>
          <w:rFonts w:ascii="Times New Roman" w:hAnsi="Times New Roman" w:eastAsia="Times New Roman" w:cs="Times New Roman"/>
          <w:spacing w:val="20"/>
          <w:w w:val="101"/>
          <w:sz w:val="25"/>
          <w:szCs w:val="25"/>
        </w:rPr>
        <w:t xml:space="preserve"> </w:t>
      </w:r>
      <w:r>
        <w:rPr>
          <w:rFonts w:ascii="仿宋" w:hAnsi="仿宋" w:eastAsia="仿宋" w:cs="仿宋"/>
          <w:spacing w:val="2"/>
          <w:sz w:val="25"/>
          <w:szCs w:val="25"/>
        </w:rPr>
        <w:t>个。</w:t>
      </w:r>
      <w:r>
        <w:rPr>
          <w:rFonts w:ascii="仿宋" w:hAnsi="仿宋" w:eastAsia="仿宋" w:cs="仿宋"/>
          <w:sz w:val="25"/>
          <w:szCs w:val="25"/>
        </w:rPr>
        <w:t xml:space="preserve"> </w:t>
      </w:r>
      <w:r>
        <w:rPr>
          <w:rFonts w:ascii="仿宋" w:hAnsi="仿宋" w:eastAsia="仿宋" w:cs="仿宋"/>
          <w:spacing w:val="2"/>
          <w:sz w:val="25"/>
          <w:szCs w:val="25"/>
        </w:rPr>
        <w:t>详见表</w:t>
      </w:r>
      <w:r>
        <w:rPr>
          <w:rFonts w:ascii="仿宋" w:hAnsi="仿宋" w:eastAsia="仿宋" w:cs="仿宋"/>
          <w:spacing w:val="-48"/>
          <w:sz w:val="25"/>
          <w:szCs w:val="25"/>
        </w:rPr>
        <w:t xml:space="preserve"> </w:t>
      </w:r>
      <w:r>
        <w:rPr>
          <w:rFonts w:ascii="Times New Roman" w:hAnsi="Times New Roman" w:eastAsia="Times New Roman" w:cs="Times New Roman"/>
          <w:spacing w:val="2"/>
          <w:sz w:val="25"/>
          <w:szCs w:val="25"/>
        </w:rPr>
        <w:t>2.1-6</w:t>
      </w:r>
      <w:r>
        <w:rPr>
          <w:rFonts w:ascii="仿宋" w:hAnsi="仿宋" w:eastAsia="仿宋" w:cs="仿宋"/>
          <w:spacing w:val="2"/>
          <w:sz w:val="25"/>
          <w:szCs w:val="25"/>
        </w:rPr>
        <w:t>。</w:t>
      </w:r>
    </w:p>
    <w:p w14:paraId="20196142">
      <w:pPr>
        <w:spacing w:before="44" w:line="231" w:lineRule="auto"/>
        <w:ind w:left="2693"/>
        <w:rPr>
          <w:rFonts w:ascii="仿宋" w:hAnsi="仿宋" w:eastAsia="仿宋" w:cs="仿宋"/>
          <w:sz w:val="20"/>
          <w:szCs w:val="20"/>
        </w:rPr>
      </w:pPr>
      <w:r>
        <w:rPr>
          <w:rFonts w:ascii="仿宋" w:hAnsi="仿宋" w:eastAsia="仿宋" w:cs="仿宋"/>
          <w:b/>
          <w:bCs/>
          <w:spacing w:val="5"/>
          <w:sz w:val="20"/>
          <w:szCs w:val="20"/>
        </w:rPr>
        <w:t>表</w:t>
      </w:r>
      <w:r>
        <w:rPr>
          <w:rFonts w:ascii="仿宋" w:hAnsi="仿宋" w:eastAsia="仿宋" w:cs="仿宋"/>
          <w:spacing w:val="-30"/>
          <w:sz w:val="20"/>
          <w:szCs w:val="20"/>
        </w:rPr>
        <w:t xml:space="preserve"> </w:t>
      </w:r>
      <w:r>
        <w:rPr>
          <w:rFonts w:ascii="Times New Roman" w:hAnsi="Times New Roman" w:eastAsia="Times New Roman" w:cs="Times New Roman"/>
          <w:b/>
          <w:bCs/>
          <w:spacing w:val="5"/>
          <w:sz w:val="20"/>
          <w:szCs w:val="20"/>
        </w:rPr>
        <w:t xml:space="preserve">2.1-6      </w:t>
      </w:r>
      <w:r>
        <w:rPr>
          <w:rFonts w:ascii="仿宋" w:hAnsi="仿宋" w:eastAsia="仿宋" w:cs="仿宋"/>
          <w:b/>
          <w:bCs/>
          <w:spacing w:val="5"/>
          <w:sz w:val="20"/>
          <w:szCs w:val="20"/>
        </w:rPr>
        <w:t>黔江区矿产资源开采规划区块表</w:t>
      </w:r>
    </w:p>
    <w:p w14:paraId="4FA2C013">
      <w:pPr>
        <w:spacing w:line="22" w:lineRule="exact"/>
      </w:pPr>
    </w:p>
    <w:tbl>
      <w:tblPr>
        <w:tblStyle w:val="5"/>
        <w:tblW w:w="8878"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6"/>
        <w:gridCol w:w="707"/>
        <w:gridCol w:w="3351"/>
        <w:gridCol w:w="1501"/>
        <w:gridCol w:w="600"/>
        <w:gridCol w:w="1149"/>
        <w:gridCol w:w="1074"/>
      </w:tblGrid>
      <w:tr w14:paraId="4B36AC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1" w:hRule="atLeast"/>
        </w:trPr>
        <w:tc>
          <w:tcPr>
            <w:tcW w:w="496" w:type="dxa"/>
            <w:tcBorders>
              <w:top w:val="single" w:color="000000" w:sz="10" w:space="0"/>
              <w:left w:val="single" w:color="000000" w:sz="10" w:space="0"/>
            </w:tcBorders>
            <w:vAlign w:val="top"/>
          </w:tcPr>
          <w:p w14:paraId="41163FAB">
            <w:pPr>
              <w:pStyle w:val="6"/>
              <w:spacing w:before="244" w:line="231" w:lineRule="auto"/>
              <w:ind w:left="34"/>
              <w:rPr>
                <w:sz w:val="20"/>
                <w:szCs w:val="20"/>
              </w:rPr>
            </w:pPr>
            <w:r>
              <w:rPr>
                <w:spacing w:val="2"/>
                <w:sz w:val="20"/>
                <w:szCs w:val="20"/>
              </w:rPr>
              <w:t>序号</w:t>
            </w:r>
          </w:p>
        </w:tc>
        <w:tc>
          <w:tcPr>
            <w:tcW w:w="707" w:type="dxa"/>
            <w:tcBorders>
              <w:top w:val="single" w:color="000000" w:sz="10" w:space="0"/>
            </w:tcBorders>
            <w:vAlign w:val="top"/>
          </w:tcPr>
          <w:p w14:paraId="3029B5BC">
            <w:pPr>
              <w:pStyle w:val="6"/>
              <w:spacing w:before="245" w:line="232" w:lineRule="auto"/>
              <w:ind w:left="145"/>
              <w:rPr>
                <w:sz w:val="20"/>
                <w:szCs w:val="20"/>
              </w:rPr>
            </w:pPr>
            <w:r>
              <w:rPr>
                <w:spacing w:val="1"/>
                <w:sz w:val="20"/>
                <w:szCs w:val="20"/>
              </w:rPr>
              <w:t>编号</w:t>
            </w:r>
          </w:p>
        </w:tc>
        <w:tc>
          <w:tcPr>
            <w:tcW w:w="3351" w:type="dxa"/>
            <w:tcBorders>
              <w:top w:val="single" w:color="000000" w:sz="10" w:space="0"/>
            </w:tcBorders>
            <w:vAlign w:val="top"/>
          </w:tcPr>
          <w:p w14:paraId="1D095CBB">
            <w:pPr>
              <w:pStyle w:val="6"/>
              <w:spacing w:before="245" w:line="229" w:lineRule="auto"/>
              <w:ind w:left="1280"/>
              <w:rPr>
                <w:sz w:val="20"/>
                <w:szCs w:val="20"/>
              </w:rPr>
            </w:pPr>
            <w:r>
              <w:rPr>
                <w:spacing w:val="1"/>
                <w:sz w:val="20"/>
                <w:szCs w:val="20"/>
              </w:rPr>
              <w:t>区块名称</w:t>
            </w:r>
          </w:p>
        </w:tc>
        <w:tc>
          <w:tcPr>
            <w:tcW w:w="1501" w:type="dxa"/>
            <w:tcBorders>
              <w:top w:val="single" w:color="000000" w:sz="10" w:space="0"/>
            </w:tcBorders>
            <w:vAlign w:val="top"/>
          </w:tcPr>
          <w:p w14:paraId="52F790AA">
            <w:pPr>
              <w:pStyle w:val="6"/>
              <w:spacing w:before="245" w:line="229" w:lineRule="auto"/>
              <w:ind w:left="239"/>
              <w:rPr>
                <w:sz w:val="20"/>
                <w:szCs w:val="20"/>
              </w:rPr>
            </w:pPr>
            <w:r>
              <w:rPr>
                <w:spacing w:val="7"/>
                <w:sz w:val="20"/>
                <w:szCs w:val="20"/>
              </w:rPr>
              <w:t>开采主矿种</w:t>
            </w:r>
          </w:p>
        </w:tc>
        <w:tc>
          <w:tcPr>
            <w:tcW w:w="600" w:type="dxa"/>
            <w:tcBorders>
              <w:top w:val="single" w:color="000000" w:sz="10" w:space="0"/>
            </w:tcBorders>
            <w:vAlign w:val="top"/>
          </w:tcPr>
          <w:p w14:paraId="0C6AB755">
            <w:pPr>
              <w:pStyle w:val="6"/>
              <w:spacing w:before="110" w:line="231" w:lineRule="auto"/>
              <w:ind w:left="106"/>
              <w:rPr>
                <w:sz w:val="20"/>
                <w:szCs w:val="20"/>
              </w:rPr>
            </w:pPr>
            <w:r>
              <w:rPr>
                <w:spacing w:val="2"/>
                <w:sz w:val="20"/>
                <w:szCs w:val="20"/>
              </w:rPr>
              <w:t>开采</w:t>
            </w:r>
          </w:p>
          <w:p w14:paraId="7A735A35">
            <w:pPr>
              <w:pStyle w:val="6"/>
              <w:spacing w:before="20" w:line="232" w:lineRule="auto"/>
              <w:ind w:left="112"/>
              <w:rPr>
                <w:sz w:val="20"/>
                <w:szCs w:val="20"/>
              </w:rPr>
            </w:pPr>
            <w:r>
              <w:rPr>
                <w:spacing w:val="-1"/>
                <w:sz w:val="20"/>
                <w:szCs w:val="20"/>
              </w:rPr>
              <w:t>方式</w:t>
            </w:r>
          </w:p>
        </w:tc>
        <w:tc>
          <w:tcPr>
            <w:tcW w:w="1149" w:type="dxa"/>
            <w:tcBorders>
              <w:top w:val="single" w:color="000000" w:sz="10" w:space="0"/>
            </w:tcBorders>
            <w:vAlign w:val="top"/>
          </w:tcPr>
          <w:p w14:paraId="60E2A642">
            <w:pPr>
              <w:pStyle w:val="6"/>
              <w:spacing w:before="110" w:line="232" w:lineRule="auto"/>
              <w:ind w:left="192"/>
              <w:rPr>
                <w:sz w:val="20"/>
                <w:szCs w:val="20"/>
              </w:rPr>
            </w:pPr>
            <w:r>
              <w:rPr>
                <w:spacing w:val="1"/>
                <w:sz w:val="20"/>
                <w:szCs w:val="20"/>
              </w:rPr>
              <w:t>区块面积</w:t>
            </w:r>
          </w:p>
          <w:p w14:paraId="5897AA66">
            <w:pPr>
              <w:pStyle w:val="6"/>
              <w:spacing w:before="20" w:line="265" w:lineRule="exact"/>
              <w:ind w:left="219"/>
              <w:rPr>
                <w:sz w:val="20"/>
                <w:szCs w:val="20"/>
              </w:rPr>
            </w:pPr>
            <w:r>
              <w:rPr>
                <w:spacing w:val="3"/>
                <w:position w:val="1"/>
                <w:sz w:val="20"/>
                <w:szCs w:val="20"/>
              </w:rPr>
              <w:t>（</w:t>
            </w:r>
            <w:r>
              <w:rPr>
                <w:rFonts w:ascii="Times New Roman" w:hAnsi="Times New Roman" w:eastAsia="Times New Roman" w:cs="Times New Roman"/>
                <w:position w:val="1"/>
                <w:sz w:val="20"/>
                <w:szCs w:val="20"/>
              </w:rPr>
              <w:t>km</w:t>
            </w:r>
            <w:r>
              <w:rPr>
                <w:rFonts w:ascii="Times New Roman" w:hAnsi="Times New Roman" w:eastAsia="Times New Roman" w:cs="Times New Roman"/>
                <w:spacing w:val="3"/>
                <w:position w:val="7"/>
                <w:sz w:val="13"/>
                <w:szCs w:val="13"/>
              </w:rPr>
              <w:t>2</w:t>
            </w:r>
            <w:r>
              <w:rPr>
                <w:spacing w:val="3"/>
                <w:position w:val="1"/>
                <w:sz w:val="20"/>
                <w:szCs w:val="20"/>
              </w:rPr>
              <w:t>）</w:t>
            </w:r>
          </w:p>
        </w:tc>
        <w:tc>
          <w:tcPr>
            <w:tcW w:w="1074" w:type="dxa"/>
            <w:tcBorders>
              <w:top w:val="single" w:color="000000" w:sz="10" w:space="0"/>
              <w:right w:val="single" w:color="000000" w:sz="10" w:space="0"/>
            </w:tcBorders>
            <w:vAlign w:val="top"/>
          </w:tcPr>
          <w:p w14:paraId="5AE626F0">
            <w:pPr>
              <w:pStyle w:val="6"/>
              <w:spacing w:before="245" w:line="232" w:lineRule="auto"/>
              <w:ind w:left="130"/>
              <w:rPr>
                <w:sz w:val="20"/>
                <w:szCs w:val="20"/>
              </w:rPr>
            </w:pPr>
            <w:r>
              <w:rPr>
                <w:spacing w:val="6"/>
                <w:sz w:val="20"/>
                <w:szCs w:val="20"/>
              </w:rPr>
              <w:t>设置类型</w:t>
            </w:r>
          </w:p>
        </w:tc>
      </w:tr>
      <w:tr w14:paraId="4FE1FF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7" w:hRule="atLeast"/>
        </w:trPr>
        <w:tc>
          <w:tcPr>
            <w:tcW w:w="496" w:type="dxa"/>
            <w:tcBorders>
              <w:left w:val="single" w:color="000000" w:sz="10" w:space="0"/>
            </w:tcBorders>
            <w:vAlign w:val="top"/>
          </w:tcPr>
          <w:p w14:paraId="2ED244C8">
            <w:pPr>
              <w:spacing w:before="280" w:line="195" w:lineRule="auto"/>
              <w:ind w:left="20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07" w:type="dxa"/>
            <w:vAlign w:val="top"/>
          </w:tcPr>
          <w:p w14:paraId="5382FC71">
            <w:pPr>
              <w:spacing w:before="280" w:line="197" w:lineRule="auto"/>
              <w:ind w:left="43"/>
              <w:rPr>
                <w:rFonts w:ascii="Times New Roman" w:hAnsi="Times New Roman" w:eastAsia="Times New Roman" w:cs="Times New Roman"/>
                <w:sz w:val="20"/>
                <w:szCs w:val="20"/>
              </w:rPr>
            </w:pPr>
            <w:r>
              <w:rPr>
                <w:rFonts w:ascii="Times New Roman" w:hAnsi="Times New Roman" w:eastAsia="Times New Roman" w:cs="Times New Roman"/>
                <w:sz w:val="20"/>
                <w:szCs w:val="20"/>
              </w:rPr>
              <w:t>CQ</w:t>
            </w:r>
            <w:r>
              <w:rPr>
                <w:rFonts w:ascii="Times New Roman" w:hAnsi="Times New Roman" w:eastAsia="Times New Roman" w:cs="Times New Roman"/>
                <w:spacing w:val="6"/>
                <w:sz w:val="20"/>
                <w:szCs w:val="20"/>
              </w:rPr>
              <w:t>001</w:t>
            </w:r>
          </w:p>
        </w:tc>
        <w:tc>
          <w:tcPr>
            <w:tcW w:w="3351" w:type="dxa"/>
            <w:vAlign w:val="top"/>
          </w:tcPr>
          <w:p w14:paraId="12BE0094">
            <w:pPr>
              <w:pStyle w:val="6"/>
              <w:spacing w:before="110" w:line="231" w:lineRule="auto"/>
              <w:ind w:left="112"/>
              <w:rPr>
                <w:sz w:val="20"/>
                <w:szCs w:val="20"/>
              </w:rPr>
            </w:pPr>
            <w:r>
              <w:rPr>
                <w:spacing w:val="8"/>
                <w:sz w:val="20"/>
                <w:szCs w:val="20"/>
              </w:rPr>
              <w:t>重庆市黔江区舟白街道丛山饰面用</w:t>
            </w:r>
          </w:p>
          <w:p w14:paraId="5F62989D">
            <w:pPr>
              <w:pStyle w:val="6"/>
              <w:spacing w:before="21" w:line="232" w:lineRule="auto"/>
              <w:ind w:left="1367"/>
              <w:rPr>
                <w:sz w:val="20"/>
                <w:szCs w:val="20"/>
              </w:rPr>
            </w:pPr>
            <w:r>
              <w:rPr>
                <w:spacing w:val="4"/>
                <w:sz w:val="20"/>
                <w:szCs w:val="20"/>
              </w:rPr>
              <w:t>灰岩矿</w:t>
            </w:r>
          </w:p>
        </w:tc>
        <w:tc>
          <w:tcPr>
            <w:tcW w:w="1501" w:type="dxa"/>
            <w:vAlign w:val="top"/>
          </w:tcPr>
          <w:p w14:paraId="18C08DFD">
            <w:pPr>
              <w:pStyle w:val="6"/>
              <w:spacing w:before="244" w:line="232" w:lineRule="auto"/>
              <w:ind w:left="240"/>
              <w:rPr>
                <w:sz w:val="20"/>
                <w:szCs w:val="20"/>
              </w:rPr>
            </w:pPr>
            <w:r>
              <w:rPr>
                <w:spacing w:val="6"/>
                <w:sz w:val="20"/>
                <w:szCs w:val="20"/>
              </w:rPr>
              <w:t>饰面用灰岩</w:t>
            </w:r>
          </w:p>
        </w:tc>
        <w:tc>
          <w:tcPr>
            <w:tcW w:w="600" w:type="dxa"/>
            <w:vAlign w:val="top"/>
          </w:tcPr>
          <w:p w14:paraId="41194441">
            <w:pPr>
              <w:pStyle w:val="6"/>
              <w:spacing w:before="110" w:line="232" w:lineRule="auto"/>
              <w:ind w:left="112"/>
              <w:rPr>
                <w:sz w:val="20"/>
                <w:szCs w:val="20"/>
              </w:rPr>
            </w:pPr>
            <w:r>
              <w:rPr>
                <w:spacing w:val="-1"/>
                <w:sz w:val="20"/>
                <w:szCs w:val="20"/>
              </w:rPr>
              <w:t>露天</w:t>
            </w:r>
          </w:p>
          <w:p w14:paraId="20DDEF38">
            <w:pPr>
              <w:pStyle w:val="6"/>
              <w:spacing w:before="19" w:line="231" w:lineRule="auto"/>
              <w:ind w:left="106"/>
              <w:rPr>
                <w:sz w:val="20"/>
                <w:szCs w:val="20"/>
              </w:rPr>
            </w:pPr>
            <w:r>
              <w:rPr>
                <w:spacing w:val="2"/>
                <w:sz w:val="20"/>
                <w:szCs w:val="20"/>
              </w:rPr>
              <w:t>开采</w:t>
            </w:r>
          </w:p>
        </w:tc>
        <w:tc>
          <w:tcPr>
            <w:tcW w:w="1149" w:type="dxa"/>
            <w:vAlign w:val="top"/>
          </w:tcPr>
          <w:p w14:paraId="2E397B7E">
            <w:pPr>
              <w:spacing w:before="280" w:line="195" w:lineRule="auto"/>
              <w:ind w:left="2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0.2181</w:t>
            </w:r>
          </w:p>
        </w:tc>
        <w:tc>
          <w:tcPr>
            <w:tcW w:w="1074" w:type="dxa"/>
            <w:tcBorders>
              <w:right w:val="single" w:color="000000" w:sz="10" w:space="0"/>
            </w:tcBorders>
            <w:vAlign w:val="top"/>
          </w:tcPr>
          <w:p w14:paraId="58F8D9A2">
            <w:pPr>
              <w:pStyle w:val="6"/>
              <w:spacing w:before="110" w:line="250" w:lineRule="auto"/>
              <w:ind w:left="236" w:right="103" w:hanging="78"/>
              <w:rPr>
                <w:sz w:val="20"/>
                <w:szCs w:val="20"/>
              </w:rPr>
            </w:pPr>
            <w:r>
              <w:rPr>
                <w:spacing w:val="-1"/>
                <w:sz w:val="20"/>
                <w:szCs w:val="20"/>
              </w:rPr>
              <w:t>已设采矿</w:t>
            </w:r>
            <w:r>
              <w:rPr>
                <w:sz w:val="20"/>
                <w:szCs w:val="20"/>
              </w:rPr>
              <w:t xml:space="preserve"> </w:t>
            </w:r>
            <w:r>
              <w:rPr>
                <w:spacing w:val="5"/>
                <w:sz w:val="20"/>
                <w:szCs w:val="20"/>
              </w:rPr>
              <w:t>权保留</w:t>
            </w:r>
          </w:p>
        </w:tc>
      </w:tr>
      <w:tr w14:paraId="610B78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7" w:hRule="atLeast"/>
        </w:trPr>
        <w:tc>
          <w:tcPr>
            <w:tcW w:w="496" w:type="dxa"/>
            <w:tcBorders>
              <w:left w:val="single" w:color="000000" w:sz="10" w:space="0"/>
            </w:tcBorders>
            <w:vAlign w:val="top"/>
          </w:tcPr>
          <w:p w14:paraId="7964D534">
            <w:pPr>
              <w:spacing w:before="284" w:line="195" w:lineRule="auto"/>
              <w:ind w:left="18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707" w:type="dxa"/>
            <w:vAlign w:val="top"/>
          </w:tcPr>
          <w:p w14:paraId="1EE5B199">
            <w:pPr>
              <w:spacing w:before="283" w:line="197" w:lineRule="auto"/>
              <w:ind w:left="43"/>
              <w:rPr>
                <w:rFonts w:ascii="Times New Roman" w:hAnsi="Times New Roman" w:eastAsia="Times New Roman" w:cs="Times New Roman"/>
                <w:sz w:val="20"/>
                <w:szCs w:val="20"/>
              </w:rPr>
            </w:pPr>
            <w:r>
              <w:rPr>
                <w:rFonts w:ascii="Times New Roman" w:hAnsi="Times New Roman" w:eastAsia="Times New Roman" w:cs="Times New Roman"/>
                <w:sz w:val="20"/>
                <w:szCs w:val="20"/>
              </w:rPr>
              <w:t>CQ</w:t>
            </w:r>
            <w:r>
              <w:rPr>
                <w:rFonts w:ascii="Times New Roman" w:hAnsi="Times New Roman" w:eastAsia="Times New Roman" w:cs="Times New Roman"/>
                <w:spacing w:val="6"/>
                <w:sz w:val="20"/>
                <w:szCs w:val="20"/>
              </w:rPr>
              <w:t>002</w:t>
            </w:r>
          </w:p>
        </w:tc>
        <w:tc>
          <w:tcPr>
            <w:tcW w:w="3351" w:type="dxa"/>
            <w:vAlign w:val="top"/>
          </w:tcPr>
          <w:p w14:paraId="0397043F">
            <w:pPr>
              <w:pStyle w:val="6"/>
              <w:spacing w:before="110" w:line="252" w:lineRule="auto"/>
              <w:ind w:left="774" w:right="104" w:hanging="662"/>
              <w:rPr>
                <w:sz w:val="20"/>
                <w:szCs w:val="20"/>
              </w:rPr>
            </w:pPr>
            <w:r>
              <w:rPr>
                <w:spacing w:val="8"/>
                <w:sz w:val="20"/>
                <w:szCs w:val="20"/>
              </w:rPr>
              <w:t>重庆市黔江区阿蓬江镇石合村狮子</w:t>
            </w:r>
            <w:r>
              <w:rPr>
                <w:spacing w:val="7"/>
                <w:sz w:val="20"/>
                <w:szCs w:val="20"/>
              </w:rPr>
              <w:t xml:space="preserve"> </w:t>
            </w:r>
            <w:r>
              <w:rPr>
                <w:spacing w:val="4"/>
                <w:sz w:val="20"/>
                <w:szCs w:val="20"/>
              </w:rPr>
              <w:t>口建筑石料用灰岩矿</w:t>
            </w:r>
          </w:p>
        </w:tc>
        <w:tc>
          <w:tcPr>
            <w:tcW w:w="1501" w:type="dxa"/>
            <w:vAlign w:val="top"/>
          </w:tcPr>
          <w:p w14:paraId="3E4D6364">
            <w:pPr>
              <w:pStyle w:val="6"/>
              <w:spacing w:before="247" w:line="229" w:lineRule="auto"/>
              <w:ind w:left="28"/>
              <w:rPr>
                <w:sz w:val="20"/>
                <w:szCs w:val="20"/>
              </w:rPr>
            </w:pPr>
            <w:r>
              <w:rPr>
                <w:spacing w:val="7"/>
                <w:sz w:val="20"/>
                <w:szCs w:val="20"/>
              </w:rPr>
              <w:t>建筑石料用灰岩</w:t>
            </w:r>
          </w:p>
        </w:tc>
        <w:tc>
          <w:tcPr>
            <w:tcW w:w="600" w:type="dxa"/>
            <w:vAlign w:val="top"/>
          </w:tcPr>
          <w:p w14:paraId="78995ABA">
            <w:pPr>
              <w:pStyle w:val="6"/>
              <w:spacing w:before="111" w:line="232" w:lineRule="auto"/>
              <w:ind w:left="112"/>
              <w:rPr>
                <w:sz w:val="20"/>
                <w:szCs w:val="20"/>
              </w:rPr>
            </w:pPr>
            <w:r>
              <w:rPr>
                <w:spacing w:val="-1"/>
                <w:sz w:val="20"/>
                <w:szCs w:val="20"/>
              </w:rPr>
              <w:t>露天</w:t>
            </w:r>
          </w:p>
          <w:p w14:paraId="156DA6BA">
            <w:pPr>
              <w:pStyle w:val="6"/>
              <w:spacing w:before="21" w:line="231" w:lineRule="auto"/>
              <w:ind w:left="106"/>
              <w:rPr>
                <w:sz w:val="20"/>
                <w:szCs w:val="20"/>
              </w:rPr>
            </w:pPr>
            <w:r>
              <w:rPr>
                <w:spacing w:val="2"/>
                <w:sz w:val="20"/>
                <w:szCs w:val="20"/>
              </w:rPr>
              <w:t>开采</w:t>
            </w:r>
          </w:p>
        </w:tc>
        <w:tc>
          <w:tcPr>
            <w:tcW w:w="1149" w:type="dxa"/>
            <w:vAlign w:val="top"/>
          </w:tcPr>
          <w:p w14:paraId="2C35DD12">
            <w:pPr>
              <w:spacing w:before="284" w:line="195" w:lineRule="auto"/>
              <w:ind w:left="2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0.0325</w:t>
            </w:r>
          </w:p>
        </w:tc>
        <w:tc>
          <w:tcPr>
            <w:tcW w:w="1074" w:type="dxa"/>
            <w:tcBorders>
              <w:right w:val="single" w:color="000000" w:sz="10" w:space="0"/>
            </w:tcBorders>
            <w:vAlign w:val="top"/>
          </w:tcPr>
          <w:p w14:paraId="1185560C">
            <w:pPr>
              <w:pStyle w:val="6"/>
              <w:spacing w:before="111" w:line="252" w:lineRule="auto"/>
              <w:ind w:left="236" w:right="103" w:hanging="78"/>
              <w:rPr>
                <w:sz w:val="20"/>
                <w:szCs w:val="20"/>
              </w:rPr>
            </w:pPr>
            <w:r>
              <w:rPr>
                <w:spacing w:val="-1"/>
                <w:sz w:val="20"/>
                <w:szCs w:val="20"/>
              </w:rPr>
              <w:t>已设采矿</w:t>
            </w:r>
            <w:r>
              <w:rPr>
                <w:sz w:val="20"/>
                <w:szCs w:val="20"/>
              </w:rPr>
              <w:t xml:space="preserve"> </w:t>
            </w:r>
            <w:r>
              <w:rPr>
                <w:spacing w:val="5"/>
                <w:sz w:val="20"/>
                <w:szCs w:val="20"/>
              </w:rPr>
              <w:t>权保留</w:t>
            </w:r>
          </w:p>
        </w:tc>
      </w:tr>
      <w:tr w14:paraId="3F71AB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7" w:hRule="atLeast"/>
        </w:trPr>
        <w:tc>
          <w:tcPr>
            <w:tcW w:w="496" w:type="dxa"/>
            <w:tcBorders>
              <w:left w:val="single" w:color="000000" w:sz="10" w:space="0"/>
            </w:tcBorders>
            <w:vAlign w:val="top"/>
          </w:tcPr>
          <w:p w14:paraId="236BBC58">
            <w:pPr>
              <w:spacing w:before="285" w:line="195" w:lineRule="auto"/>
              <w:ind w:left="18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707" w:type="dxa"/>
            <w:vAlign w:val="top"/>
          </w:tcPr>
          <w:p w14:paraId="5BE2B977">
            <w:pPr>
              <w:spacing w:before="285" w:line="197" w:lineRule="auto"/>
              <w:ind w:left="43"/>
              <w:rPr>
                <w:rFonts w:ascii="Times New Roman" w:hAnsi="Times New Roman" w:eastAsia="Times New Roman" w:cs="Times New Roman"/>
                <w:sz w:val="20"/>
                <w:szCs w:val="20"/>
              </w:rPr>
            </w:pPr>
            <w:r>
              <w:rPr>
                <w:rFonts w:ascii="Times New Roman" w:hAnsi="Times New Roman" w:eastAsia="Times New Roman" w:cs="Times New Roman"/>
                <w:sz w:val="20"/>
                <w:szCs w:val="20"/>
              </w:rPr>
              <w:t>CQ</w:t>
            </w:r>
            <w:r>
              <w:rPr>
                <w:rFonts w:ascii="Times New Roman" w:hAnsi="Times New Roman" w:eastAsia="Times New Roman" w:cs="Times New Roman"/>
                <w:spacing w:val="6"/>
                <w:sz w:val="20"/>
                <w:szCs w:val="20"/>
              </w:rPr>
              <w:t>003</w:t>
            </w:r>
          </w:p>
        </w:tc>
        <w:tc>
          <w:tcPr>
            <w:tcW w:w="3351" w:type="dxa"/>
            <w:vAlign w:val="top"/>
          </w:tcPr>
          <w:p w14:paraId="538CD91C">
            <w:pPr>
              <w:pStyle w:val="6"/>
              <w:spacing w:before="114" w:line="229" w:lineRule="auto"/>
              <w:ind w:left="112"/>
              <w:rPr>
                <w:sz w:val="20"/>
                <w:szCs w:val="20"/>
              </w:rPr>
            </w:pPr>
            <w:r>
              <w:rPr>
                <w:spacing w:val="8"/>
                <w:sz w:val="20"/>
                <w:szCs w:val="20"/>
              </w:rPr>
              <w:t>重庆市黔江区水田乡大堡建筑石料</w:t>
            </w:r>
          </w:p>
          <w:p w14:paraId="47B3C318">
            <w:pPr>
              <w:pStyle w:val="6"/>
              <w:spacing w:before="23" w:line="232" w:lineRule="auto"/>
              <w:ind w:left="1262"/>
              <w:rPr>
                <w:sz w:val="20"/>
                <w:szCs w:val="20"/>
              </w:rPr>
            </w:pPr>
            <w:r>
              <w:rPr>
                <w:spacing w:val="5"/>
                <w:sz w:val="20"/>
                <w:szCs w:val="20"/>
              </w:rPr>
              <w:t>用灰岩矿</w:t>
            </w:r>
          </w:p>
        </w:tc>
        <w:tc>
          <w:tcPr>
            <w:tcW w:w="1501" w:type="dxa"/>
            <w:vAlign w:val="top"/>
          </w:tcPr>
          <w:p w14:paraId="15027568">
            <w:pPr>
              <w:pStyle w:val="6"/>
              <w:spacing w:before="249" w:line="229" w:lineRule="auto"/>
              <w:ind w:left="28"/>
              <w:rPr>
                <w:sz w:val="20"/>
                <w:szCs w:val="20"/>
              </w:rPr>
            </w:pPr>
            <w:r>
              <w:rPr>
                <w:spacing w:val="7"/>
                <w:sz w:val="20"/>
                <w:szCs w:val="20"/>
              </w:rPr>
              <w:t>建筑石料用灰岩</w:t>
            </w:r>
          </w:p>
        </w:tc>
        <w:tc>
          <w:tcPr>
            <w:tcW w:w="600" w:type="dxa"/>
            <w:vAlign w:val="top"/>
          </w:tcPr>
          <w:p w14:paraId="5914BA57">
            <w:pPr>
              <w:pStyle w:val="6"/>
              <w:spacing w:before="115" w:line="232" w:lineRule="auto"/>
              <w:ind w:left="112"/>
              <w:rPr>
                <w:sz w:val="20"/>
                <w:szCs w:val="20"/>
              </w:rPr>
            </w:pPr>
            <w:r>
              <w:rPr>
                <w:spacing w:val="-1"/>
                <w:sz w:val="20"/>
                <w:szCs w:val="20"/>
              </w:rPr>
              <w:t>露天</w:t>
            </w:r>
          </w:p>
          <w:p w14:paraId="7477F63C">
            <w:pPr>
              <w:pStyle w:val="6"/>
              <w:spacing w:before="19" w:line="231" w:lineRule="auto"/>
              <w:ind w:left="106"/>
              <w:rPr>
                <w:sz w:val="20"/>
                <w:szCs w:val="20"/>
              </w:rPr>
            </w:pPr>
            <w:r>
              <w:rPr>
                <w:spacing w:val="2"/>
                <w:sz w:val="20"/>
                <w:szCs w:val="20"/>
              </w:rPr>
              <w:t>开采</w:t>
            </w:r>
          </w:p>
        </w:tc>
        <w:tc>
          <w:tcPr>
            <w:tcW w:w="1149" w:type="dxa"/>
            <w:vAlign w:val="top"/>
          </w:tcPr>
          <w:p w14:paraId="48A83ADF">
            <w:pPr>
              <w:spacing w:before="285" w:line="195" w:lineRule="auto"/>
              <w:ind w:left="35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0.166</w:t>
            </w:r>
          </w:p>
        </w:tc>
        <w:tc>
          <w:tcPr>
            <w:tcW w:w="1074" w:type="dxa"/>
            <w:tcBorders>
              <w:right w:val="single" w:color="000000" w:sz="10" w:space="0"/>
            </w:tcBorders>
            <w:vAlign w:val="top"/>
          </w:tcPr>
          <w:p w14:paraId="441CAB2E">
            <w:pPr>
              <w:pStyle w:val="6"/>
              <w:spacing w:before="114" w:line="250" w:lineRule="auto"/>
              <w:ind w:left="236" w:right="103" w:hanging="78"/>
              <w:rPr>
                <w:sz w:val="20"/>
                <w:szCs w:val="20"/>
              </w:rPr>
            </w:pPr>
            <w:r>
              <w:rPr>
                <w:spacing w:val="-1"/>
                <w:sz w:val="20"/>
                <w:szCs w:val="20"/>
              </w:rPr>
              <w:t>已设采矿</w:t>
            </w:r>
            <w:r>
              <w:rPr>
                <w:sz w:val="20"/>
                <w:szCs w:val="20"/>
              </w:rPr>
              <w:t xml:space="preserve"> </w:t>
            </w:r>
            <w:r>
              <w:rPr>
                <w:spacing w:val="5"/>
                <w:sz w:val="20"/>
                <w:szCs w:val="20"/>
              </w:rPr>
              <w:t>权保留</w:t>
            </w:r>
          </w:p>
        </w:tc>
      </w:tr>
      <w:tr w14:paraId="0426D0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7" w:hRule="atLeast"/>
        </w:trPr>
        <w:tc>
          <w:tcPr>
            <w:tcW w:w="496" w:type="dxa"/>
            <w:tcBorders>
              <w:left w:val="single" w:color="000000" w:sz="10" w:space="0"/>
            </w:tcBorders>
            <w:vAlign w:val="top"/>
          </w:tcPr>
          <w:p w14:paraId="7D79BEDC">
            <w:pPr>
              <w:spacing w:before="289" w:line="195" w:lineRule="auto"/>
              <w:ind w:left="18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707" w:type="dxa"/>
            <w:vAlign w:val="top"/>
          </w:tcPr>
          <w:p w14:paraId="3FD55BB3">
            <w:pPr>
              <w:spacing w:before="288" w:line="197" w:lineRule="auto"/>
              <w:ind w:left="43"/>
              <w:rPr>
                <w:rFonts w:ascii="Times New Roman" w:hAnsi="Times New Roman" w:eastAsia="Times New Roman" w:cs="Times New Roman"/>
                <w:sz w:val="20"/>
                <w:szCs w:val="20"/>
              </w:rPr>
            </w:pPr>
            <w:r>
              <w:rPr>
                <w:rFonts w:ascii="Times New Roman" w:hAnsi="Times New Roman" w:eastAsia="Times New Roman" w:cs="Times New Roman"/>
                <w:sz w:val="20"/>
                <w:szCs w:val="20"/>
              </w:rPr>
              <w:t>CQ</w:t>
            </w:r>
            <w:r>
              <w:rPr>
                <w:rFonts w:ascii="Times New Roman" w:hAnsi="Times New Roman" w:eastAsia="Times New Roman" w:cs="Times New Roman"/>
                <w:spacing w:val="6"/>
                <w:sz w:val="20"/>
                <w:szCs w:val="20"/>
              </w:rPr>
              <w:t>004</w:t>
            </w:r>
          </w:p>
        </w:tc>
        <w:tc>
          <w:tcPr>
            <w:tcW w:w="3351" w:type="dxa"/>
            <w:vAlign w:val="top"/>
          </w:tcPr>
          <w:p w14:paraId="272C3225">
            <w:pPr>
              <w:pStyle w:val="6"/>
              <w:spacing w:before="116" w:line="231" w:lineRule="auto"/>
              <w:ind w:left="112"/>
              <w:rPr>
                <w:sz w:val="20"/>
                <w:szCs w:val="20"/>
              </w:rPr>
            </w:pPr>
            <w:r>
              <w:rPr>
                <w:spacing w:val="8"/>
                <w:sz w:val="20"/>
                <w:szCs w:val="20"/>
              </w:rPr>
              <w:t>重庆市黔江区石家镇火石垭建筑石</w:t>
            </w:r>
          </w:p>
          <w:p w14:paraId="00074903">
            <w:pPr>
              <w:pStyle w:val="6"/>
              <w:spacing w:before="23" w:line="229" w:lineRule="auto"/>
              <w:ind w:left="1156"/>
              <w:rPr>
                <w:sz w:val="20"/>
                <w:szCs w:val="20"/>
              </w:rPr>
            </w:pPr>
            <w:r>
              <w:rPr>
                <w:spacing w:val="7"/>
                <w:sz w:val="20"/>
                <w:szCs w:val="20"/>
              </w:rPr>
              <w:t>料用灰岩矿</w:t>
            </w:r>
          </w:p>
        </w:tc>
        <w:tc>
          <w:tcPr>
            <w:tcW w:w="1501" w:type="dxa"/>
            <w:vAlign w:val="top"/>
          </w:tcPr>
          <w:p w14:paraId="1FD04E6F">
            <w:pPr>
              <w:pStyle w:val="6"/>
              <w:spacing w:before="252" w:line="229" w:lineRule="auto"/>
              <w:ind w:left="28"/>
              <w:rPr>
                <w:sz w:val="20"/>
                <w:szCs w:val="20"/>
              </w:rPr>
            </w:pPr>
            <w:r>
              <w:rPr>
                <w:spacing w:val="7"/>
                <w:sz w:val="20"/>
                <w:szCs w:val="20"/>
              </w:rPr>
              <w:t>建筑石料用灰岩</w:t>
            </w:r>
          </w:p>
        </w:tc>
        <w:tc>
          <w:tcPr>
            <w:tcW w:w="600" w:type="dxa"/>
            <w:vAlign w:val="top"/>
          </w:tcPr>
          <w:p w14:paraId="761786C5">
            <w:pPr>
              <w:pStyle w:val="6"/>
              <w:spacing w:before="116" w:line="231" w:lineRule="auto"/>
              <w:ind w:left="107"/>
              <w:rPr>
                <w:sz w:val="20"/>
                <w:szCs w:val="20"/>
              </w:rPr>
            </w:pPr>
            <w:r>
              <w:rPr>
                <w:spacing w:val="1"/>
                <w:sz w:val="20"/>
                <w:szCs w:val="20"/>
              </w:rPr>
              <w:t>地下</w:t>
            </w:r>
          </w:p>
          <w:p w14:paraId="0649EA85">
            <w:pPr>
              <w:pStyle w:val="6"/>
              <w:spacing w:before="23" w:line="231" w:lineRule="auto"/>
              <w:ind w:left="106"/>
              <w:rPr>
                <w:sz w:val="20"/>
                <w:szCs w:val="20"/>
              </w:rPr>
            </w:pPr>
            <w:r>
              <w:rPr>
                <w:spacing w:val="2"/>
                <w:sz w:val="20"/>
                <w:szCs w:val="20"/>
              </w:rPr>
              <w:t>开采</w:t>
            </w:r>
          </w:p>
        </w:tc>
        <w:tc>
          <w:tcPr>
            <w:tcW w:w="1149" w:type="dxa"/>
            <w:vAlign w:val="top"/>
          </w:tcPr>
          <w:p w14:paraId="0C530A7B">
            <w:pPr>
              <w:spacing w:before="288" w:line="195" w:lineRule="auto"/>
              <w:ind w:left="2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0.0769</w:t>
            </w:r>
          </w:p>
        </w:tc>
        <w:tc>
          <w:tcPr>
            <w:tcW w:w="1074" w:type="dxa"/>
            <w:tcBorders>
              <w:right w:val="single" w:color="000000" w:sz="10" w:space="0"/>
            </w:tcBorders>
            <w:vAlign w:val="top"/>
          </w:tcPr>
          <w:p w14:paraId="2D1905BC">
            <w:pPr>
              <w:pStyle w:val="6"/>
              <w:spacing w:before="116" w:line="252" w:lineRule="auto"/>
              <w:ind w:left="236" w:right="103" w:hanging="78"/>
              <w:rPr>
                <w:sz w:val="20"/>
                <w:szCs w:val="20"/>
              </w:rPr>
            </w:pPr>
            <w:r>
              <w:rPr>
                <w:spacing w:val="-1"/>
                <w:sz w:val="20"/>
                <w:szCs w:val="20"/>
              </w:rPr>
              <w:t>已设采矿</w:t>
            </w:r>
            <w:r>
              <w:rPr>
                <w:sz w:val="20"/>
                <w:szCs w:val="20"/>
              </w:rPr>
              <w:t xml:space="preserve"> </w:t>
            </w:r>
            <w:r>
              <w:rPr>
                <w:spacing w:val="5"/>
                <w:sz w:val="20"/>
                <w:szCs w:val="20"/>
              </w:rPr>
              <w:t>权保留</w:t>
            </w:r>
          </w:p>
        </w:tc>
      </w:tr>
      <w:tr w14:paraId="64898D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8" w:hRule="atLeast"/>
        </w:trPr>
        <w:tc>
          <w:tcPr>
            <w:tcW w:w="496" w:type="dxa"/>
            <w:tcBorders>
              <w:left w:val="single" w:color="000000" w:sz="10" w:space="0"/>
            </w:tcBorders>
            <w:vAlign w:val="top"/>
          </w:tcPr>
          <w:p w14:paraId="661B0851">
            <w:pPr>
              <w:spacing w:before="295" w:line="192" w:lineRule="auto"/>
              <w:ind w:left="18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707" w:type="dxa"/>
            <w:vAlign w:val="top"/>
          </w:tcPr>
          <w:p w14:paraId="6F575C6B">
            <w:pPr>
              <w:spacing w:before="292" w:line="197" w:lineRule="auto"/>
              <w:ind w:left="43"/>
              <w:rPr>
                <w:rFonts w:ascii="Times New Roman" w:hAnsi="Times New Roman" w:eastAsia="Times New Roman" w:cs="Times New Roman"/>
                <w:sz w:val="20"/>
                <w:szCs w:val="20"/>
              </w:rPr>
            </w:pPr>
            <w:r>
              <w:rPr>
                <w:rFonts w:ascii="Times New Roman" w:hAnsi="Times New Roman" w:eastAsia="Times New Roman" w:cs="Times New Roman"/>
                <w:sz w:val="20"/>
                <w:szCs w:val="20"/>
              </w:rPr>
              <w:t>CQ</w:t>
            </w:r>
            <w:r>
              <w:rPr>
                <w:rFonts w:ascii="Times New Roman" w:hAnsi="Times New Roman" w:eastAsia="Times New Roman" w:cs="Times New Roman"/>
                <w:spacing w:val="6"/>
                <w:sz w:val="20"/>
                <w:szCs w:val="20"/>
              </w:rPr>
              <w:t>005</w:t>
            </w:r>
          </w:p>
        </w:tc>
        <w:tc>
          <w:tcPr>
            <w:tcW w:w="3351" w:type="dxa"/>
            <w:vAlign w:val="top"/>
          </w:tcPr>
          <w:p w14:paraId="30F92967">
            <w:pPr>
              <w:pStyle w:val="6"/>
              <w:spacing w:before="119" w:line="230" w:lineRule="auto"/>
              <w:ind w:left="112"/>
              <w:rPr>
                <w:sz w:val="20"/>
                <w:szCs w:val="20"/>
              </w:rPr>
            </w:pPr>
            <w:r>
              <w:rPr>
                <w:spacing w:val="8"/>
                <w:sz w:val="20"/>
                <w:szCs w:val="20"/>
              </w:rPr>
              <w:t>重庆市黔江区水市乡水市村建筑石</w:t>
            </w:r>
          </w:p>
          <w:p w14:paraId="37227BF3">
            <w:pPr>
              <w:pStyle w:val="6"/>
              <w:spacing w:before="23" w:line="229" w:lineRule="auto"/>
              <w:ind w:left="1156"/>
              <w:rPr>
                <w:sz w:val="20"/>
                <w:szCs w:val="20"/>
              </w:rPr>
            </w:pPr>
            <w:r>
              <w:rPr>
                <w:spacing w:val="7"/>
                <w:sz w:val="20"/>
                <w:szCs w:val="20"/>
              </w:rPr>
              <w:t>料用灰岩矿</w:t>
            </w:r>
          </w:p>
        </w:tc>
        <w:tc>
          <w:tcPr>
            <w:tcW w:w="1501" w:type="dxa"/>
            <w:vAlign w:val="top"/>
          </w:tcPr>
          <w:p w14:paraId="07F3A601">
            <w:pPr>
              <w:pStyle w:val="6"/>
              <w:spacing w:before="253" w:line="229" w:lineRule="auto"/>
              <w:ind w:left="28"/>
              <w:rPr>
                <w:sz w:val="20"/>
                <w:szCs w:val="20"/>
              </w:rPr>
            </w:pPr>
            <w:r>
              <w:rPr>
                <w:spacing w:val="7"/>
                <w:sz w:val="20"/>
                <w:szCs w:val="20"/>
              </w:rPr>
              <w:t>建筑石料用灰岩</w:t>
            </w:r>
          </w:p>
        </w:tc>
        <w:tc>
          <w:tcPr>
            <w:tcW w:w="600" w:type="dxa"/>
            <w:vAlign w:val="top"/>
          </w:tcPr>
          <w:p w14:paraId="6B70DADF">
            <w:pPr>
              <w:pStyle w:val="6"/>
              <w:spacing w:before="120" w:line="232" w:lineRule="auto"/>
              <w:ind w:left="112"/>
              <w:rPr>
                <w:sz w:val="20"/>
                <w:szCs w:val="20"/>
              </w:rPr>
            </w:pPr>
            <w:r>
              <w:rPr>
                <w:spacing w:val="-1"/>
                <w:sz w:val="20"/>
                <w:szCs w:val="20"/>
              </w:rPr>
              <w:t>露天</w:t>
            </w:r>
          </w:p>
          <w:p w14:paraId="0D32FEA1">
            <w:pPr>
              <w:pStyle w:val="6"/>
              <w:spacing w:before="21" w:line="231" w:lineRule="auto"/>
              <w:ind w:left="106"/>
              <w:rPr>
                <w:sz w:val="20"/>
                <w:szCs w:val="20"/>
              </w:rPr>
            </w:pPr>
            <w:r>
              <w:rPr>
                <w:spacing w:val="2"/>
                <w:sz w:val="20"/>
                <w:szCs w:val="20"/>
              </w:rPr>
              <w:t>开采</w:t>
            </w:r>
          </w:p>
        </w:tc>
        <w:tc>
          <w:tcPr>
            <w:tcW w:w="1149" w:type="dxa"/>
            <w:vAlign w:val="top"/>
          </w:tcPr>
          <w:p w14:paraId="1243543D">
            <w:pPr>
              <w:spacing w:before="292" w:line="195" w:lineRule="auto"/>
              <w:ind w:left="2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0.0419</w:t>
            </w:r>
          </w:p>
        </w:tc>
        <w:tc>
          <w:tcPr>
            <w:tcW w:w="1074" w:type="dxa"/>
            <w:tcBorders>
              <w:right w:val="single" w:color="000000" w:sz="10" w:space="0"/>
            </w:tcBorders>
            <w:vAlign w:val="top"/>
          </w:tcPr>
          <w:p w14:paraId="2A55EF68">
            <w:pPr>
              <w:pStyle w:val="6"/>
              <w:spacing w:before="120" w:line="252" w:lineRule="auto"/>
              <w:ind w:left="236" w:right="103" w:hanging="78"/>
              <w:rPr>
                <w:sz w:val="20"/>
                <w:szCs w:val="20"/>
              </w:rPr>
            </w:pPr>
            <w:r>
              <w:rPr>
                <w:spacing w:val="-1"/>
                <w:sz w:val="20"/>
                <w:szCs w:val="20"/>
              </w:rPr>
              <w:t>已设采矿</w:t>
            </w:r>
            <w:r>
              <w:rPr>
                <w:sz w:val="20"/>
                <w:szCs w:val="20"/>
              </w:rPr>
              <w:t xml:space="preserve"> </w:t>
            </w:r>
            <w:r>
              <w:rPr>
                <w:spacing w:val="5"/>
                <w:sz w:val="20"/>
                <w:szCs w:val="20"/>
              </w:rPr>
              <w:t>权保留</w:t>
            </w:r>
          </w:p>
        </w:tc>
      </w:tr>
      <w:tr w14:paraId="13E520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7" w:hRule="atLeast"/>
        </w:trPr>
        <w:tc>
          <w:tcPr>
            <w:tcW w:w="496" w:type="dxa"/>
            <w:tcBorders>
              <w:left w:val="single" w:color="000000" w:sz="10" w:space="0"/>
            </w:tcBorders>
            <w:vAlign w:val="top"/>
          </w:tcPr>
          <w:p w14:paraId="1DFDB260">
            <w:pPr>
              <w:spacing w:before="292" w:line="195" w:lineRule="auto"/>
              <w:ind w:left="187"/>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707" w:type="dxa"/>
            <w:vAlign w:val="top"/>
          </w:tcPr>
          <w:p w14:paraId="4A264A16">
            <w:pPr>
              <w:spacing w:before="292" w:line="197" w:lineRule="auto"/>
              <w:ind w:left="43"/>
              <w:rPr>
                <w:rFonts w:ascii="Times New Roman" w:hAnsi="Times New Roman" w:eastAsia="Times New Roman" w:cs="Times New Roman"/>
                <w:sz w:val="20"/>
                <w:szCs w:val="20"/>
              </w:rPr>
            </w:pPr>
            <w:r>
              <w:rPr>
                <w:rFonts w:ascii="Times New Roman" w:hAnsi="Times New Roman" w:eastAsia="Times New Roman" w:cs="Times New Roman"/>
                <w:sz w:val="20"/>
                <w:szCs w:val="20"/>
              </w:rPr>
              <w:t>CQ</w:t>
            </w:r>
            <w:r>
              <w:rPr>
                <w:rFonts w:ascii="Times New Roman" w:hAnsi="Times New Roman" w:eastAsia="Times New Roman" w:cs="Times New Roman"/>
                <w:spacing w:val="6"/>
                <w:sz w:val="20"/>
                <w:szCs w:val="20"/>
              </w:rPr>
              <w:t>006</w:t>
            </w:r>
          </w:p>
        </w:tc>
        <w:tc>
          <w:tcPr>
            <w:tcW w:w="3351" w:type="dxa"/>
            <w:vAlign w:val="top"/>
          </w:tcPr>
          <w:p w14:paraId="4B6C1D34">
            <w:pPr>
              <w:pStyle w:val="6"/>
              <w:spacing w:before="122" w:line="231" w:lineRule="auto"/>
              <w:ind w:left="112"/>
              <w:rPr>
                <w:sz w:val="20"/>
                <w:szCs w:val="20"/>
              </w:rPr>
            </w:pPr>
            <w:r>
              <w:rPr>
                <w:spacing w:val="8"/>
                <w:sz w:val="20"/>
                <w:szCs w:val="20"/>
              </w:rPr>
              <w:t>重庆市黔江区蓬东乡棕树坪建筑石</w:t>
            </w:r>
          </w:p>
          <w:p w14:paraId="32E33A5B">
            <w:pPr>
              <w:pStyle w:val="6"/>
              <w:spacing w:before="20" w:line="229" w:lineRule="auto"/>
              <w:ind w:left="1156"/>
              <w:rPr>
                <w:sz w:val="20"/>
                <w:szCs w:val="20"/>
              </w:rPr>
            </w:pPr>
            <w:r>
              <w:rPr>
                <w:spacing w:val="7"/>
                <w:sz w:val="20"/>
                <w:szCs w:val="20"/>
              </w:rPr>
              <w:t>料用灰岩矿</w:t>
            </w:r>
          </w:p>
        </w:tc>
        <w:tc>
          <w:tcPr>
            <w:tcW w:w="1501" w:type="dxa"/>
            <w:vAlign w:val="top"/>
          </w:tcPr>
          <w:p w14:paraId="04F3B735">
            <w:pPr>
              <w:pStyle w:val="6"/>
              <w:spacing w:before="256" w:line="229" w:lineRule="auto"/>
              <w:ind w:left="28"/>
              <w:rPr>
                <w:sz w:val="20"/>
                <w:szCs w:val="20"/>
              </w:rPr>
            </w:pPr>
            <w:r>
              <w:rPr>
                <w:spacing w:val="7"/>
                <w:sz w:val="20"/>
                <w:szCs w:val="20"/>
              </w:rPr>
              <w:t>建筑石料用灰岩</w:t>
            </w:r>
          </w:p>
        </w:tc>
        <w:tc>
          <w:tcPr>
            <w:tcW w:w="600" w:type="dxa"/>
            <w:vAlign w:val="top"/>
          </w:tcPr>
          <w:p w14:paraId="211EE899">
            <w:pPr>
              <w:pStyle w:val="6"/>
              <w:spacing w:before="122" w:line="232" w:lineRule="auto"/>
              <w:ind w:left="112"/>
              <w:rPr>
                <w:sz w:val="20"/>
                <w:szCs w:val="20"/>
              </w:rPr>
            </w:pPr>
            <w:r>
              <w:rPr>
                <w:spacing w:val="-1"/>
                <w:sz w:val="20"/>
                <w:szCs w:val="20"/>
              </w:rPr>
              <w:t>露天</w:t>
            </w:r>
          </w:p>
          <w:p w14:paraId="354C82A6">
            <w:pPr>
              <w:pStyle w:val="6"/>
              <w:spacing w:before="19" w:line="231" w:lineRule="auto"/>
              <w:ind w:left="106"/>
              <w:rPr>
                <w:sz w:val="20"/>
                <w:szCs w:val="20"/>
              </w:rPr>
            </w:pPr>
            <w:r>
              <w:rPr>
                <w:spacing w:val="2"/>
                <w:sz w:val="20"/>
                <w:szCs w:val="20"/>
              </w:rPr>
              <w:t>开采</w:t>
            </w:r>
          </w:p>
        </w:tc>
        <w:tc>
          <w:tcPr>
            <w:tcW w:w="1149" w:type="dxa"/>
            <w:vAlign w:val="top"/>
          </w:tcPr>
          <w:p w14:paraId="5B552E46">
            <w:pPr>
              <w:spacing w:before="292" w:line="195" w:lineRule="auto"/>
              <w:ind w:left="2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0.1059</w:t>
            </w:r>
          </w:p>
        </w:tc>
        <w:tc>
          <w:tcPr>
            <w:tcW w:w="1074" w:type="dxa"/>
            <w:tcBorders>
              <w:right w:val="single" w:color="000000" w:sz="10" w:space="0"/>
            </w:tcBorders>
            <w:vAlign w:val="top"/>
          </w:tcPr>
          <w:p w14:paraId="22C5A61E">
            <w:pPr>
              <w:pStyle w:val="6"/>
              <w:spacing w:before="122" w:line="250" w:lineRule="auto"/>
              <w:ind w:left="236" w:right="103" w:hanging="78"/>
              <w:rPr>
                <w:sz w:val="20"/>
                <w:szCs w:val="20"/>
              </w:rPr>
            </w:pPr>
            <w:r>
              <w:rPr>
                <w:spacing w:val="-1"/>
                <w:sz w:val="20"/>
                <w:szCs w:val="20"/>
              </w:rPr>
              <w:t>已设采矿</w:t>
            </w:r>
            <w:r>
              <w:rPr>
                <w:sz w:val="20"/>
                <w:szCs w:val="20"/>
              </w:rPr>
              <w:t xml:space="preserve"> </w:t>
            </w:r>
            <w:r>
              <w:rPr>
                <w:spacing w:val="5"/>
                <w:sz w:val="20"/>
                <w:szCs w:val="20"/>
              </w:rPr>
              <w:t>权保留</w:t>
            </w:r>
          </w:p>
        </w:tc>
      </w:tr>
      <w:tr w14:paraId="7F506C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7" w:hRule="atLeast"/>
        </w:trPr>
        <w:tc>
          <w:tcPr>
            <w:tcW w:w="496" w:type="dxa"/>
            <w:tcBorders>
              <w:left w:val="single" w:color="000000" w:sz="10" w:space="0"/>
            </w:tcBorders>
            <w:vAlign w:val="top"/>
          </w:tcPr>
          <w:p w14:paraId="2AF77CC3">
            <w:pPr>
              <w:rPr>
                <w:rFonts w:ascii="Arial"/>
                <w:sz w:val="21"/>
              </w:rPr>
            </w:pPr>
          </w:p>
          <w:p w14:paraId="4C52A00A">
            <w:pPr>
              <w:spacing w:before="57" w:line="192" w:lineRule="auto"/>
              <w:ind w:left="186"/>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707" w:type="dxa"/>
            <w:vAlign w:val="top"/>
          </w:tcPr>
          <w:p w14:paraId="3717B06D">
            <w:pPr>
              <w:spacing w:before="296" w:line="197" w:lineRule="auto"/>
              <w:ind w:left="43"/>
              <w:rPr>
                <w:rFonts w:ascii="Times New Roman" w:hAnsi="Times New Roman" w:eastAsia="Times New Roman" w:cs="Times New Roman"/>
                <w:sz w:val="20"/>
                <w:szCs w:val="20"/>
              </w:rPr>
            </w:pPr>
            <w:r>
              <w:rPr>
                <w:rFonts w:ascii="Times New Roman" w:hAnsi="Times New Roman" w:eastAsia="Times New Roman" w:cs="Times New Roman"/>
                <w:sz w:val="20"/>
                <w:szCs w:val="20"/>
              </w:rPr>
              <w:t>CQ</w:t>
            </w:r>
            <w:r>
              <w:rPr>
                <w:rFonts w:ascii="Times New Roman" w:hAnsi="Times New Roman" w:eastAsia="Times New Roman" w:cs="Times New Roman"/>
                <w:spacing w:val="6"/>
                <w:sz w:val="20"/>
                <w:szCs w:val="20"/>
              </w:rPr>
              <w:t>007</w:t>
            </w:r>
          </w:p>
        </w:tc>
        <w:tc>
          <w:tcPr>
            <w:tcW w:w="3351" w:type="dxa"/>
            <w:vAlign w:val="top"/>
          </w:tcPr>
          <w:p w14:paraId="6E22A459">
            <w:pPr>
              <w:pStyle w:val="6"/>
              <w:spacing w:before="123" w:line="230" w:lineRule="auto"/>
              <w:ind w:left="112"/>
              <w:rPr>
                <w:sz w:val="20"/>
                <w:szCs w:val="20"/>
              </w:rPr>
            </w:pPr>
            <w:r>
              <w:rPr>
                <w:spacing w:val="8"/>
                <w:sz w:val="20"/>
                <w:szCs w:val="20"/>
              </w:rPr>
              <w:t>重庆市黔江区中塘镇兴权村中波建</w:t>
            </w:r>
          </w:p>
          <w:p w14:paraId="6E7ADC1B">
            <w:pPr>
              <w:pStyle w:val="6"/>
              <w:spacing w:before="23" w:line="229" w:lineRule="auto"/>
              <w:ind w:left="948"/>
              <w:rPr>
                <w:sz w:val="20"/>
                <w:szCs w:val="20"/>
              </w:rPr>
            </w:pPr>
            <w:r>
              <w:rPr>
                <w:spacing w:val="7"/>
                <w:sz w:val="20"/>
                <w:szCs w:val="20"/>
              </w:rPr>
              <w:t>筑石料用灰岩矿</w:t>
            </w:r>
          </w:p>
        </w:tc>
        <w:tc>
          <w:tcPr>
            <w:tcW w:w="1501" w:type="dxa"/>
            <w:vAlign w:val="top"/>
          </w:tcPr>
          <w:p w14:paraId="2F02E833">
            <w:pPr>
              <w:pStyle w:val="6"/>
              <w:spacing w:before="260" w:line="229" w:lineRule="auto"/>
              <w:ind w:left="28"/>
              <w:rPr>
                <w:sz w:val="20"/>
                <w:szCs w:val="20"/>
              </w:rPr>
            </w:pPr>
            <w:r>
              <w:rPr>
                <w:spacing w:val="7"/>
                <w:sz w:val="20"/>
                <w:szCs w:val="20"/>
              </w:rPr>
              <w:t>建筑石料用灰岩</w:t>
            </w:r>
          </w:p>
        </w:tc>
        <w:tc>
          <w:tcPr>
            <w:tcW w:w="600" w:type="dxa"/>
            <w:vAlign w:val="top"/>
          </w:tcPr>
          <w:p w14:paraId="49F4C8F0">
            <w:pPr>
              <w:pStyle w:val="6"/>
              <w:spacing w:before="123" w:line="232" w:lineRule="auto"/>
              <w:ind w:left="112"/>
              <w:rPr>
                <w:sz w:val="20"/>
                <w:szCs w:val="20"/>
              </w:rPr>
            </w:pPr>
            <w:r>
              <w:rPr>
                <w:spacing w:val="-1"/>
                <w:sz w:val="20"/>
                <w:szCs w:val="20"/>
              </w:rPr>
              <w:t>露天</w:t>
            </w:r>
          </w:p>
          <w:p w14:paraId="2467E34B">
            <w:pPr>
              <w:pStyle w:val="6"/>
              <w:spacing w:before="21" w:line="231" w:lineRule="auto"/>
              <w:ind w:left="106"/>
              <w:rPr>
                <w:sz w:val="20"/>
                <w:szCs w:val="20"/>
              </w:rPr>
            </w:pPr>
            <w:r>
              <w:rPr>
                <w:spacing w:val="2"/>
                <w:sz w:val="20"/>
                <w:szCs w:val="20"/>
              </w:rPr>
              <w:t>开采</w:t>
            </w:r>
          </w:p>
        </w:tc>
        <w:tc>
          <w:tcPr>
            <w:tcW w:w="1149" w:type="dxa"/>
            <w:vAlign w:val="top"/>
          </w:tcPr>
          <w:p w14:paraId="235A1CB6">
            <w:pPr>
              <w:spacing w:before="296" w:line="195" w:lineRule="auto"/>
              <w:ind w:left="2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0.1235</w:t>
            </w:r>
          </w:p>
        </w:tc>
        <w:tc>
          <w:tcPr>
            <w:tcW w:w="1074" w:type="dxa"/>
            <w:tcBorders>
              <w:right w:val="single" w:color="000000" w:sz="10" w:space="0"/>
            </w:tcBorders>
            <w:vAlign w:val="top"/>
          </w:tcPr>
          <w:p w14:paraId="74F82330">
            <w:pPr>
              <w:pStyle w:val="6"/>
              <w:spacing w:before="123" w:line="252" w:lineRule="auto"/>
              <w:ind w:left="236" w:right="103" w:hanging="78"/>
              <w:rPr>
                <w:sz w:val="20"/>
                <w:szCs w:val="20"/>
              </w:rPr>
            </w:pPr>
            <w:r>
              <w:rPr>
                <w:spacing w:val="-1"/>
                <w:sz w:val="20"/>
                <w:szCs w:val="20"/>
              </w:rPr>
              <w:t>已设采矿</w:t>
            </w:r>
            <w:r>
              <w:rPr>
                <w:sz w:val="20"/>
                <w:szCs w:val="20"/>
              </w:rPr>
              <w:t xml:space="preserve"> </w:t>
            </w:r>
            <w:r>
              <w:rPr>
                <w:spacing w:val="5"/>
                <w:sz w:val="20"/>
                <w:szCs w:val="20"/>
              </w:rPr>
              <w:t>权保留</w:t>
            </w:r>
          </w:p>
        </w:tc>
      </w:tr>
      <w:tr w14:paraId="743344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8" w:hRule="atLeast"/>
        </w:trPr>
        <w:tc>
          <w:tcPr>
            <w:tcW w:w="496" w:type="dxa"/>
            <w:tcBorders>
              <w:left w:val="single" w:color="000000" w:sz="10" w:space="0"/>
            </w:tcBorders>
            <w:vAlign w:val="top"/>
          </w:tcPr>
          <w:p w14:paraId="12C81DC1">
            <w:pPr>
              <w:rPr>
                <w:rFonts w:ascii="Arial"/>
                <w:sz w:val="21"/>
              </w:rPr>
            </w:pPr>
          </w:p>
          <w:p w14:paraId="3A7D5F9B">
            <w:pPr>
              <w:spacing w:before="58" w:line="195" w:lineRule="auto"/>
              <w:ind w:left="191"/>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707" w:type="dxa"/>
            <w:vAlign w:val="top"/>
          </w:tcPr>
          <w:p w14:paraId="5B4D38EB">
            <w:pPr>
              <w:rPr>
                <w:rFonts w:ascii="Arial"/>
                <w:sz w:val="21"/>
              </w:rPr>
            </w:pPr>
          </w:p>
          <w:p w14:paraId="718AFAB1">
            <w:pPr>
              <w:spacing w:before="58" w:line="197" w:lineRule="auto"/>
              <w:ind w:left="43"/>
              <w:rPr>
                <w:rFonts w:ascii="Times New Roman" w:hAnsi="Times New Roman" w:eastAsia="Times New Roman" w:cs="Times New Roman"/>
                <w:sz w:val="20"/>
                <w:szCs w:val="20"/>
              </w:rPr>
            </w:pPr>
            <w:r>
              <w:rPr>
                <w:rFonts w:ascii="Times New Roman" w:hAnsi="Times New Roman" w:eastAsia="Times New Roman" w:cs="Times New Roman"/>
                <w:sz w:val="20"/>
                <w:szCs w:val="20"/>
              </w:rPr>
              <w:t>CQ</w:t>
            </w:r>
            <w:r>
              <w:rPr>
                <w:rFonts w:ascii="Times New Roman" w:hAnsi="Times New Roman" w:eastAsia="Times New Roman" w:cs="Times New Roman"/>
                <w:spacing w:val="6"/>
                <w:sz w:val="20"/>
                <w:szCs w:val="20"/>
              </w:rPr>
              <w:t>008</w:t>
            </w:r>
          </w:p>
        </w:tc>
        <w:tc>
          <w:tcPr>
            <w:tcW w:w="3351" w:type="dxa"/>
            <w:vAlign w:val="top"/>
          </w:tcPr>
          <w:p w14:paraId="6AB0062A">
            <w:pPr>
              <w:pStyle w:val="6"/>
              <w:spacing w:before="127" w:line="227" w:lineRule="auto"/>
              <w:ind w:left="112"/>
              <w:rPr>
                <w:sz w:val="20"/>
                <w:szCs w:val="20"/>
              </w:rPr>
            </w:pPr>
            <w:r>
              <w:rPr>
                <w:spacing w:val="8"/>
                <w:sz w:val="20"/>
                <w:szCs w:val="20"/>
              </w:rPr>
              <w:t>重庆市黔江区黑溪镇转堡建筑石料</w:t>
            </w:r>
          </w:p>
          <w:p w14:paraId="54AC5C76">
            <w:pPr>
              <w:pStyle w:val="6"/>
              <w:spacing w:before="25" w:line="232" w:lineRule="auto"/>
              <w:ind w:left="1262"/>
              <w:rPr>
                <w:sz w:val="20"/>
                <w:szCs w:val="20"/>
              </w:rPr>
            </w:pPr>
            <w:r>
              <w:rPr>
                <w:spacing w:val="5"/>
                <w:sz w:val="20"/>
                <w:szCs w:val="20"/>
              </w:rPr>
              <w:t>用灰岩矿</w:t>
            </w:r>
          </w:p>
        </w:tc>
        <w:tc>
          <w:tcPr>
            <w:tcW w:w="1501" w:type="dxa"/>
            <w:vAlign w:val="top"/>
          </w:tcPr>
          <w:p w14:paraId="484DB32A">
            <w:pPr>
              <w:pStyle w:val="6"/>
              <w:spacing w:before="261" w:line="229" w:lineRule="auto"/>
              <w:ind w:left="28"/>
              <w:rPr>
                <w:sz w:val="20"/>
                <w:szCs w:val="20"/>
              </w:rPr>
            </w:pPr>
            <w:r>
              <w:rPr>
                <w:spacing w:val="7"/>
                <w:sz w:val="20"/>
                <w:szCs w:val="20"/>
              </w:rPr>
              <w:t>建筑石料用灰岩</w:t>
            </w:r>
          </w:p>
        </w:tc>
        <w:tc>
          <w:tcPr>
            <w:tcW w:w="600" w:type="dxa"/>
            <w:vAlign w:val="top"/>
          </w:tcPr>
          <w:p w14:paraId="556BF6EC">
            <w:pPr>
              <w:pStyle w:val="6"/>
              <w:spacing w:before="127" w:line="232" w:lineRule="auto"/>
              <w:ind w:left="112"/>
              <w:rPr>
                <w:sz w:val="20"/>
                <w:szCs w:val="20"/>
              </w:rPr>
            </w:pPr>
            <w:r>
              <w:rPr>
                <w:spacing w:val="-1"/>
                <w:sz w:val="20"/>
                <w:szCs w:val="20"/>
              </w:rPr>
              <w:t>露天</w:t>
            </w:r>
          </w:p>
          <w:p w14:paraId="4BC6D1A8">
            <w:pPr>
              <w:pStyle w:val="6"/>
              <w:spacing w:before="19" w:line="231" w:lineRule="auto"/>
              <w:ind w:left="106"/>
              <w:rPr>
                <w:sz w:val="20"/>
                <w:szCs w:val="20"/>
              </w:rPr>
            </w:pPr>
            <w:r>
              <w:rPr>
                <w:spacing w:val="2"/>
                <w:sz w:val="20"/>
                <w:szCs w:val="20"/>
              </w:rPr>
              <w:t>开采</w:t>
            </w:r>
          </w:p>
        </w:tc>
        <w:tc>
          <w:tcPr>
            <w:tcW w:w="1149" w:type="dxa"/>
            <w:vAlign w:val="top"/>
          </w:tcPr>
          <w:p w14:paraId="7DF23AEA">
            <w:pPr>
              <w:spacing w:line="241" w:lineRule="auto"/>
              <w:rPr>
                <w:rFonts w:ascii="Arial"/>
                <w:sz w:val="21"/>
              </w:rPr>
            </w:pPr>
          </w:p>
          <w:p w14:paraId="7071A068">
            <w:pPr>
              <w:spacing w:before="57" w:line="195" w:lineRule="auto"/>
              <w:ind w:left="40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0.06</w:t>
            </w:r>
          </w:p>
        </w:tc>
        <w:tc>
          <w:tcPr>
            <w:tcW w:w="1074" w:type="dxa"/>
            <w:tcBorders>
              <w:right w:val="single" w:color="000000" w:sz="10" w:space="0"/>
            </w:tcBorders>
            <w:vAlign w:val="top"/>
          </w:tcPr>
          <w:p w14:paraId="636DA8E4">
            <w:pPr>
              <w:pStyle w:val="6"/>
              <w:spacing w:before="127" w:line="250" w:lineRule="auto"/>
              <w:ind w:left="236" w:right="103" w:hanging="78"/>
              <w:rPr>
                <w:sz w:val="20"/>
                <w:szCs w:val="20"/>
              </w:rPr>
            </w:pPr>
            <w:r>
              <w:rPr>
                <w:spacing w:val="-1"/>
                <w:sz w:val="20"/>
                <w:szCs w:val="20"/>
              </w:rPr>
              <w:t>已设采矿</w:t>
            </w:r>
            <w:r>
              <w:rPr>
                <w:sz w:val="20"/>
                <w:szCs w:val="20"/>
              </w:rPr>
              <w:t xml:space="preserve"> </w:t>
            </w:r>
            <w:r>
              <w:rPr>
                <w:spacing w:val="5"/>
                <w:sz w:val="20"/>
                <w:szCs w:val="20"/>
              </w:rPr>
              <w:t>权保留</w:t>
            </w:r>
          </w:p>
        </w:tc>
      </w:tr>
      <w:tr w14:paraId="3AB3D3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496" w:type="dxa"/>
            <w:tcBorders>
              <w:left w:val="single" w:color="000000" w:sz="10" w:space="0"/>
              <w:bottom w:val="single" w:color="000000" w:sz="10" w:space="0"/>
            </w:tcBorders>
            <w:vAlign w:val="top"/>
          </w:tcPr>
          <w:p w14:paraId="0C1BB9B5">
            <w:pPr>
              <w:spacing w:line="241" w:lineRule="auto"/>
              <w:rPr>
                <w:rFonts w:ascii="Arial"/>
                <w:sz w:val="21"/>
              </w:rPr>
            </w:pPr>
          </w:p>
          <w:p w14:paraId="4AB7B26A">
            <w:pPr>
              <w:spacing w:before="57" w:line="195" w:lineRule="auto"/>
              <w:ind w:left="187"/>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707" w:type="dxa"/>
            <w:tcBorders>
              <w:bottom w:val="single" w:color="000000" w:sz="10" w:space="0"/>
            </w:tcBorders>
            <w:vAlign w:val="top"/>
          </w:tcPr>
          <w:p w14:paraId="1F2E6A89">
            <w:pPr>
              <w:rPr>
                <w:rFonts w:ascii="Arial"/>
                <w:sz w:val="21"/>
              </w:rPr>
            </w:pPr>
          </w:p>
          <w:p w14:paraId="0FA2A308">
            <w:pPr>
              <w:spacing w:before="58" w:line="197" w:lineRule="auto"/>
              <w:ind w:left="43"/>
              <w:rPr>
                <w:rFonts w:ascii="Times New Roman" w:hAnsi="Times New Roman" w:eastAsia="Times New Roman" w:cs="Times New Roman"/>
                <w:sz w:val="20"/>
                <w:szCs w:val="20"/>
              </w:rPr>
            </w:pPr>
            <w:r>
              <w:rPr>
                <w:rFonts w:ascii="Times New Roman" w:hAnsi="Times New Roman" w:eastAsia="Times New Roman" w:cs="Times New Roman"/>
                <w:sz w:val="20"/>
                <w:szCs w:val="20"/>
              </w:rPr>
              <w:t>CQ</w:t>
            </w:r>
            <w:r>
              <w:rPr>
                <w:rFonts w:ascii="Times New Roman" w:hAnsi="Times New Roman" w:eastAsia="Times New Roman" w:cs="Times New Roman"/>
                <w:spacing w:val="6"/>
                <w:sz w:val="20"/>
                <w:szCs w:val="20"/>
              </w:rPr>
              <w:t>009</w:t>
            </w:r>
          </w:p>
        </w:tc>
        <w:tc>
          <w:tcPr>
            <w:tcW w:w="3351" w:type="dxa"/>
            <w:tcBorders>
              <w:bottom w:val="single" w:color="000000" w:sz="10" w:space="0"/>
            </w:tcBorders>
            <w:vAlign w:val="top"/>
          </w:tcPr>
          <w:p w14:paraId="7A549477">
            <w:pPr>
              <w:pStyle w:val="6"/>
              <w:spacing w:before="127" w:line="229" w:lineRule="auto"/>
              <w:ind w:left="112"/>
              <w:rPr>
                <w:sz w:val="20"/>
                <w:szCs w:val="20"/>
              </w:rPr>
            </w:pPr>
            <w:r>
              <w:rPr>
                <w:spacing w:val="8"/>
                <w:sz w:val="20"/>
                <w:szCs w:val="20"/>
              </w:rPr>
              <w:t>重庆市黔江区阿蓬江镇昌立建筑石</w:t>
            </w:r>
          </w:p>
          <w:p w14:paraId="1D8F9209">
            <w:pPr>
              <w:pStyle w:val="6"/>
              <w:spacing w:before="24" w:line="229" w:lineRule="auto"/>
              <w:ind w:left="1156"/>
              <w:rPr>
                <w:sz w:val="20"/>
                <w:szCs w:val="20"/>
              </w:rPr>
            </w:pPr>
            <w:r>
              <w:rPr>
                <w:spacing w:val="7"/>
                <w:sz w:val="20"/>
                <w:szCs w:val="20"/>
              </w:rPr>
              <w:t>料用灰岩矿</w:t>
            </w:r>
          </w:p>
        </w:tc>
        <w:tc>
          <w:tcPr>
            <w:tcW w:w="1501" w:type="dxa"/>
            <w:tcBorders>
              <w:bottom w:val="single" w:color="000000" w:sz="10" w:space="0"/>
            </w:tcBorders>
            <w:vAlign w:val="top"/>
          </w:tcPr>
          <w:p w14:paraId="680F29FF">
            <w:pPr>
              <w:pStyle w:val="6"/>
              <w:spacing w:before="263" w:line="229" w:lineRule="auto"/>
              <w:ind w:left="28"/>
              <w:rPr>
                <w:sz w:val="20"/>
                <w:szCs w:val="20"/>
              </w:rPr>
            </w:pPr>
            <w:r>
              <w:rPr>
                <w:spacing w:val="7"/>
                <w:sz w:val="20"/>
                <w:szCs w:val="20"/>
              </w:rPr>
              <w:t>建筑石料用灰岩</w:t>
            </w:r>
          </w:p>
        </w:tc>
        <w:tc>
          <w:tcPr>
            <w:tcW w:w="600" w:type="dxa"/>
            <w:tcBorders>
              <w:bottom w:val="single" w:color="000000" w:sz="10" w:space="0"/>
            </w:tcBorders>
            <w:vAlign w:val="top"/>
          </w:tcPr>
          <w:p w14:paraId="4BA54DD5">
            <w:pPr>
              <w:pStyle w:val="6"/>
              <w:spacing w:before="127" w:line="232" w:lineRule="auto"/>
              <w:ind w:left="112"/>
              <w:rPr>
                <w:sz w:val="20"/>
                <w:szCs w:val="20"/>
              </w:rPr>
            </w:pPr>
            <w:r>
              <w:rPr>
                <w:spacing w:val="-1"/>
                <w:sz w:val="20"/>
                <w:szCs w:val="20"/>
              </w:rPr>
              <w:t>露天</w:t>
            </w:r>
          </w:p>
          <w:p w14:paraId="36A56436">
            <w:pPr>
              <w:pStyle w:val="6"/>
              <w:spacing w:before="21" w:line="231" w:lineRule="auto"/>
              <w:ind w:left="106"/>
              <w:rPr>
                <w:sz w:val="20"/>
                <w:szCs w:val="20"/>
              </w:rPr>
            </w:pPr>
            <w:r>
              <w:rPr>
                <w:spacing w:val="2"/>
                <w:sz w:val="20"/>
                <w:szCs w:val="20"/>
              </w:rPr>
              <w:t>开采</w:t>
            </w:r>
          </w:p>
        </w:tc>
        <w:tc>
          <w:tcPr>
            <w:tcW w:w="1149" w:type="dxa"/>
            <w:tcBorders>
              <w:bottom w:val="single" w:color="000000" w:sz="10" w:space="0"/>
            </w:tcBorders>
            <w:vAlign w:val="top"/>
          </w:tcPr>
          <w:p w14:paraId="58237969">
            <w:pPr>
              <w:spacing w:line="241" w:lineRule="auto"/>
              <w:rPr>
                <w:rFonts w:ascii="Arial"/>
                <w:sz w:val="21"/>
              </w:rPr>
            </w:pPr>
          </w:p>
          <w:p w14:paraId="476231A4">
            <w:pPr>
              <w:spacing w:before="57" w:line="195" w:lineRule="auto"/>
              <w:ind w:left="2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0.0808</w:t>
            </w:r>
          </w:p>
        </w:tc>
        <w:tc>
          <w:tcPr>
            <w:tcW w:w="1074" w:type="dxa"/>
            <w:tcBorders>
              <w:bottom w:val="single" w:color="000000" w:sz="10" w:space="0"/>
              <w:right w:val="single" w:color="000000" w:sz="10" w:space="0"/>
            </w:tcBorders>
            <w:vAlign w:val="top"/>
          </w:tcPr>
          <w:p w14:paraId="17743933">
            <w:pPr>
              <w:pStyle w:val="6"/>
              <w:spacing w:before="127" w:line="252" w:lineRule="auto"/>
              <w:ind w:left="236" w:right="103" w:hanging="78"/>
              <w:rPr>
                <w:sz w:val="20"/>
                <w:szCs w:val="20"/>
              </w:rPr>
            </w:pPr>
            <w:r>
              <w:rPr>
                <w:spacing w:val="-1"/>
                <w:sz w:val="20"/>
                <w:szCs w:val="20"/>
              </w:rPr>
              <w:t>已设采矿</w:t>
            </w:r>
            <w:r>
              <w:rPr>
                <w:sz w:val="20"/>
                <w:szCs w:val="20"/>
              </w:rPr>
              <w:t xml:space="preserve"> </w:t>
            </w:r>
            <w:r>
              <w:rPr>
                <w:spacing w:val="5"/>
                <w:sz w:val="20"/>
                <w:szCs w:val="20"/>
              </w:rPr>
              <w:t>权保留</w:t>
            </w:r>
          </w:p>
        </w:tc>
      </w:tr>
    </w:tbl>
    <w:p w14:paraId="5462FCE4">
      <w:pPr>
        <w:pStyle w:val="2"/>
      </w:pPr>
    </w:p>
    <w:p w14:paraId="4FBB143D">
      <w:pPr>
        <w:sectPr>
          <w:headerReference r:id="rId47" w:type="default"/>
          <w:footerReference r:id="rId48" w:type="default"/>
          <w:pgSz w:w="11906" w:h="16839"/>
          <w:pgMar w:top="1116" w:right="1385" w:bottom="1480" w:left="1557" w:header="683" w:footer="1318" w:gutter="0"/>
          <w:cols w:space="720" w:num="1"/>
        </w:sectPr>
      </w:pPr>
    </w:p>
    <w:p w14:paraId="43842E2B">
      <w:pPr>
        <w:spacing w:before="82"/>
      </w:pPr>
    </w:p>
    <w:tbl>
      <w:tblPr>
        <w:tblStyle w:val="5"/>
        <w:tblW w:w="8878"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6"/>
        <w:gridCol w:w="707"/>
        <w:gridCol w:w="3351"/>
        <w:gridCol w:w="1501"/>
        <w:gridCol w:w="600"/>
        <w:gridCol w:w="1149"/>
        <w:gridCol w:w="1074"/>
      </w:tblGrid>
      <w:tr w14:paraId="222CBA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496" w:type="dxa"/>
            <w:tcBorders>
              <w:top w:val="single" w:color="000000" w:sz="10" w:space="0"/>
              <w:left w:val="single" w:color="000000" w:sz="10" w:space="0"/>
            </w:tcBorders>
            <w:vAlign w:val="top"/>
          </w:tcPr>
          <w:p w14:paraId="6CAEAC2B">
            <w:pPr>
              <w:spacing w:before="283" w:line="195" w:lineRule="auto"/>
              <w:ind w:left="15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707" w:type="dxa"/>
            <w:tcBorders>
              <w:top w:val="single" w:color="000000" w:sz="10" w:space="0"/>
            </w:tcBorders>
            <w:vAlign w:val="top"/>
          </w:tcPr>
          <w:p w14:paraId="1C14C179">
            <w:pPr>
              <w:spacing w:before="283" w:line="197" w:lineRule="auto"/>
              <w:ind w:left="43"/>
              <w:rPr>
                <w:rFonts w:ascii="Times New Roman" w:hAnsi="Times New Roman" w:eastAsia="Times New Roman" w:cs="Times New Roman"/>
                <w:sz w:val="20"/>
                <w:szCs w:val="20"/>
              </w:rPr>
            </w:pPr>
            <w:r>
              <w:rPr>
                <w:rFonts w:ascii="Times New Roman" w:hAnsi="Times New Roman" w:eastAsia="Times New Roman" w:cs="Times New Roman"/>
                <w:sz w:val="20"/>
                <w:szCs w:val="20"/>
              </w:rPr>
              <w:t>CQ</w:t>
            </w:r>
            <w:r>
              <w:rPr>
                <w:rFonts w:ascii="Times New Roman" w:hAnsi="Times New Roman" w:eastAsia="Times New Roman" w:cs="Times New Roman"/>
                <w:spacing w:val="6"/>
                <w:sz w:val="20"/>
                <w:szCs w:val="20"/>
              </w:rPr>
              <w:t>010</w:t>
            </w:r>
          </w:p>
        </w:tc>
        <w:tc>
          <w:tcPr>
            <w:tcW w:w="3351" w:type="dxa"/>
            <w:tcBorders>
              <w:top w:val="single" w:color="000000" w:sz="10" w:space="0"/>
            </w:tcBorders>
            <w:vAlign w:val="top"/>
          </w:tcPr>
          <w:p w14:paraId="27C2BCF6">
            <w:pPr>
              <w:pStyle w:val="6"/>
              <w:spacing w:before="110" w:line="229" w:lineRule="auto"/>
              <w:ind w:left="112"/>
              <w:rPr>
                <w:sz w:val="20"/>
                <w:szCs w:val="20"/>
              </w:rPr>
            </w:pPr>
            <w:r>
              <w:rPr>
                <w:spacing w:val="8"/>
                <w:sz w:val="20"/>
                <w:szCs w:val="20"/>
              </w:rPr>
              <w:t>重庆市黔江区水田河坝建筑石料用</w:t>
            </w:r>
          </w:p>
          <w:p w14:paraId="0C8CECF5">
            <w:pPr>
              <w:pStyle w:val="6"/>
              <w:spacing w:before="26" w:line="232" w:lineRule="auto"/>
              <w:ind w:left="1367"/>
              <w:rPr>
                <w:sz w:val="20"/>
                <w:szCs w:val="20"/>
              </w:rPr>
            </w:pPr>
            <w:r>
              <w:rPr>
                <w:spacing w:val="4"/>
                <w:sz w:val="20"/>
                <w:szCs w:val="20"/>
              </w:rPr>
              <w:t>灰岩矿</w:t>
            </w:r>
          </w:p>
        </w:tc>
        <w:tc>
          <w:tcPr>
            <w:tcW w:w="1501" w:type="dxa"/>
            <w:tcBorders>
              <w:top w:val="single" w:color="000000" w:sz="10" w:space="0"/>
            </w:tcBorders>
            <w:vAlign w:val="top"/>
          </w:tcPr>
          <w:p w14:paraId="54A169EF">
            <w:pPr>
              <w:pStyle w:val="6"/>
              <w:spacing w:before="244" w:line="229" w:lineRule="auto"/>
              <w:ind w:left="28"/>
              <w:rPr>
                <w:sz w:val="20"/>
                <w:szCs w:val="20"/>
              </w:rPr>
            </w:pPr>
            <w:r>
              <w:rPr>
                <w:spacing w:val="7"/>
                <w:sz w:val="20"/>
                <w:szCs w:val="20"/>
              </w:rPr>
              <w:t>建筑石料用灰岩</w:t>
            </w:r>
          </w:p>
        </w:tc>
        <w:tc>
          <w:tcPr>
            <w:tcW w:w="600" w:type="dxa"/>
            <w:tcBorders>
              <w:top w:val="single" w:color="000000" w:sz="10" w:space="0"/>
            </w:tcBorders>
            <w:vAlign w:val="top"/>
          </w:tcPr>
          <w:p w14:paraId="5D6C4F94">
            <w:pPr>
              <w:pStyle w:val="6"/>
              <w:spacing w:before="111" w:line="232" w:lineRule="auto"/>
              <w:ind w:left="112"/>
              <w:rPr>
                <w:sz w:val="20"/>
                <w:szCs w:val="20"/>
              </w:rPr>
            </w:pPr>
            <w:r>
              <w:rPr>
                <w:spacing w:val="-1"/>
                <w:sz w:val="20"/>
                <w:szCs w:val="20"/>
              </w:rPr>
              <w:t>露天</w:t>
            </w:r>
          </w:p>
          <w:p w14:paraId="656E42A2">
            <w:pPr>
              <w:pStyle w:val="6"/>
              <w:spacing w:before="21" w:line="231" w:lineRule="auto"/>
              <w:ind w:left="106"/>
              <w:rPr>
                <w:sz w:val="20"/>
                <w:szCs w:val="20"/>
              </w:rPr>
            </w:pPr>
            <w:r>
              <w:rPr>
                <w:spacing w:val="2"/>
                <w:sz w:val="20"/>
                <w:szCs w:val="20"/>
              </w:rPr>
              <w:t>开采</w:t>
            </w:r>
          </w:p>
        </w:tc>
        <w:tc>
          <w:tcPr>
            <w:tcW w:w="1149" w:type="dxa"/>
            <w:tcBorders>
              <w:top w:val="single" w:color="000000" w:sz="10" w:space="0"/>
            </w:tcBorders>
            <w:vAlign w:val="top"/>
          </w:tcPr>
          <w:p w14:paraId="72C26C28">
            <w:pPr>
              <w:spacing w:before="283" w:line="195" w:lineRule="auto"/>
              <w:ind w:left="2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0.0393</w:t>
            </w:r>
          </w:p>
        </w:tc>
        <w:tc>
          <w:tcPr>
            <w:tcW w:w="1074" w:type="dxa"/>
            <w:tcBorders>
              <w:top w:val="single" w:color="000000" w:sz="10" w:space="0"/>
              <w:right w:val="single" w:color="000000" w:sz="10" w:space="0"/>
            </w:tcBorders>
            <w:vAlign w:val="top"/>
          </w:tcPr>
          <w:p w14:paraId="3364F2CD">
            <w:pPr>
              <w:pStyle w:val="6"/>
              <w:spacing w:before="111" w:line="252" w:lineRule="auto"/>
              <w:ind w:left="236" w:right="103" w:hanging="78"/>
              <w:rPr>
                <w:sz w:val="20"/>
                <w:szCs w:val="20"/>
              </w:rPr>
            </w:pPr>
            <w:r>
              <w:rPr>
                <w:spacing w:val="-1"/>
                <w:sz w:val="20"/>
                <w:szCs w:val="20"/>
              </w:rPr>
              <w:t>已设采矿</w:t>
            </w:r>
            <w:r>
              <w:rPr>
                <w:sz w:val="20"/>
                <w:szCs w:val="20"/>
              </w:rPr>
              <w:t xml:space="preserve"> </w:t>
            </w:r>
            <w:r>
              <w:rPr>
                <w:spacing w:val="5"/>
                <w:sz w:val="20"/>
                <w:szCs w:val="20"/>
              </w:rPr>
              <w:t>权保留</w:t>
            </w:r>
          </w:p>
        </w:tc>
      </w:tr>
      <w:tr w14:paraId="362304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8" w:hRule="atLeast"/>
        </w:trPr>
        <w:tc>
          <w:tcPr>
            <w:tcW w:w="496" w:type="dxa"/>
            <w:tcBorders>
              <w:left w:val="single" w:color="000000" w:sz="10" w:space="0"/>
            </w:tcBorders>
            <w:vAlign w:val="top"/>
          </w:tcPr>
          <w:p w14:paraId="3911C098">
            <w:pPr>
              <w:spacing w:before="278" w:line="195" w:lineRule="auto"/>
              <w:ind w:left="15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11</w:t>
            </w:r>
          </w:p>
        </w:tc>
        <w:tc>
          <w:tcPr>
            <w:tcW w:w="707" w:type="dxa"/>
            <w:vAlign w:val="top"/>
          </w:tcPr>
          <w:p w14:paraId="558403CC">
            <w:pPr>
              <w:spacing w:before="278" w:line="197" w:lineRule="auto"/>
              <w:ind w:left="43"/>
              <w:rPr>
                <w:rFonts w:ascii="Times New Roman" w:hAnsi="Times New Roman" w:eastAsia="Times New Roman" w:cs="Times New Roman"/>
                <w:sz w:val="20"/>
                <w:szCs w:val="20"/>
              </w:rPr>
            </w:pPr>
            <w:r>
              <w:rPr>
                <w:rFonts w:ascii="Times New Roman" w:hAnsi="Times New Roman" w:eastAsia="Times New Roman" w:cs="Times New Roman"/>
                <w:sz w:val="20"/>
                <w:szCs w:val="20"/>
              </w:rPr>
              <w:t>CQ</w:t>
            </w:r>
            <w:r>
              <w:rPr>
                <w:rFonts w:ascii="Times New Roman" w:hAnsi="Times New Roman" w:eastAsia="Times New Roman" w:cs="Times New Roman"/>
                <w:spacing w:val="6"/>
                <w:sz w:val="20"/>
                <w:szCs w:val="20"/>
              </w:rPr>
              <w:t>011</w:t>
            </w:r>
          </w:p>
        </w:tc>
        <w:tc>
          <w:tcPr>
            <w:tcW w:w="3351" w:type="dxa"/>
            <w:vAlign w:val="top"/>
          </w:tcPr>
          <w:p w14:paraId="114A6029">
            <w:pPr>
              <w:pStyle w:val="6"/>
              <w:spacing w:before="108" w:line="229" w:lineRule="auto"/>
              <w:ind w:left="112"/>
              <w:rPr>
                <w:sz w:val="20"/>
                <w:szCs w:val="20"/>
              </w:rPr>
            </w:pPr>
            <w:r>
              <w:rPr>
                <w:spacing w:val="8"/>
                <w:sz w:val="20"/>
                <w:szCs w:val="20"/>
              </w:rPr>
              <w:t>重庆市黔江区水田乡刚建建筑石料</w:t>
            </w:r>
          </w:p>
          <w:p w14:paraId="198AA9F9">
            <w:pPr>
              <w:pStyle w:val="6"/>
              <w:spacing w:before="23" w:line="232" w:lineRule="auto"/>
              <w:ind w:left="1262"/>
              <w:rPr>
                <w:sz w:val="20"/>
                <w:szCs w:val="20"/>
              </w:rPr>
            </w:pPr>
            <w:r>
              <w:rPr>
                <w:spacing w:val="5"/>
                <w:sz w:val="20"/>
                <w:szCs w:val="20"/>
              </w:rPr>
              <w:t>用灰岩矿</w:t>
            </w:r>
          </w:p>
        </w:tc>
        <w:tc>
          <w:tcPr>
            <w:tcW w:w="1501" w:type="dxa"/>
            <w:vAlign w:val="top"/>
          </w:tcPr>
          <w:p w14:paraId="36353874">
            <w:pPr>
              <w:pStyle w:val="6"/>
              <w:spacing w:before="242" w:line="229" w:lineRule="auto"/>
              <w:ind w:left="28"/>
              <w:rPr>
                <w:sz w:val="20"/>
                <w:szCs w:val="20"/>
              </w:rPr>
            </w:pPr>
            <w:r>
              <w:rPr>
                <w:spacing w:val="7"/>
                <w:sz w:val="20"/>
                <w:szCs w:val="20"/>
              </w:rPr>
              <w:t>建筑石料用灰岩</w:t>
            </w:r>
          </w:p>
        </w:tc>
        <w:tc>
          <w:tcPr>
            <w:tcW w:w="600" w:type="dxa"/>
            <w:vAlign w:val="top"/>
          </w:tcPr>
          <w:p w14:paraId="5B4A89C3">
            <w:pPr>
              <w:pStyle w:val="6"/>
              <w:spacing w:before="108" w:line="231" w:lineRule="auto"/>
              <w:ind w:left="107"/>
              <w:rPr>
                <w:sz w:val="20"/>
                <w:szCs w:val="20"/>
              </w:rPr>
            </w:pPr>
            <w:r>
              <w:rPr>
                <w:spacing w:val="1"/>
                <w:sz w:val="20"/>
                <w:szCs w:val="20"/>
              </w:rPr>
              <w:t>地下</w:t>
            </w:r>
          </w:p>
          <w:p w14:paraId="060E7054">
            <w:pPr>
              <w:pStyle w:val="6"/>
              <w:spacing w:before="20" w:line="231" w:lineRule="auto"/>
              <w:ind w:left="106"/>
              <w:rPr>
                <w:sz w:val="20"/>
                <w:szCs w:val="20"/>
              </w:rPr>
            </w:pPr>
            <w:r>
              <w:rPr>
                <w:spacing w:val="2"/>
                <w:sz w:val="20"/>
                <w:szCs w:val="20"/>
              </w:rPr>
              <w:t>开采</w:t>
            </w:r>
          </w:p>
        </w:tc>
        <w:tc>
          <w:tcPr>
            <w:tcW w:w="1149" w:type="dxa"/>
            <w:vAlign w:val="top"/>
          </w:tcPr>
          <w:p w14:paraId="3F1AC9B1">
            <w:pPr>
              <w:spacing w:before="278" w:line="195" w:lineRule="auto"/>
              <w:ind w:left="2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0.1098</w:t>
            </w:r>
          </w:p>
        </w:tc>
        <w:tc>
          <w:tcPr>
            <w:tcW w:w="1074" w:type="dxa"/>
            <w:tcBorders>
              <w:right w:val="single" w:color="000000" w:sz="10" w:space="0"/>
            </w:tcBorders>
            <w:vAlign w:val="top"/>
          </w:tcPr>
          <w:p w14:paraId="428D3B52">
            <w:pPr>
              <w:pStyle w:val="6"/>
              <w:spacing w:before="108" w:line="250" w:lineRule="auto"/>
              <w:ind w:left="236" w:right="103" w:hanging="78"/>
              <w:rPr>
                <w:sz w:val="20"/>
                <w:szCs w:val="20"/>
              </w:rPr>
            </w:pPr>
            <w:r>
              <w:rPr>
                <w:spacing w:val="-1"/>
                <w:sz w:val="20"/>
                <w:szCs w:val="20"/>
              </w:rPr>
              <w:t>已设采矿</w:t>
            </w:r>
            <w:r>
              <w:rPr>
                <w:sz w:val="20"/>
                <w:szCs w:val="20"/>
              </w:rPr>
              <w:t xml:space="preserve"> </w:t>
            </w:r>
            <w:r>
              <w:rPr>
                <w:spacing w:val="5"/>
                <w:sz w:val="20"/>
                <w:szCs w:val="20"/>
              </w:rPr>
              <w:t>权保留</w:t>
            </w:r>
          </w:p>
        </w:tc>
      </w:tr>
      <w:tr w14:paraId="61F914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8" w:hRule="atLeast"/>
        </w:trPr>
        <w:tc>
          <w:tcPr>
            <w:tcW w:w="496" w:type="dxa"/>
            <w:tcBorders>
              <w:left w:val="single" w:color="000000" w:sz="10" w:space="0"/>
            </w:tcBorders>
            <w:vAlign w:val="top"/>
          </w:tcPr>
          <w:p w14:paraId="7ED655B0">
            <w:pPr>
              <w:spacing w:before="281" w:line="195" w:lineRule="auto"/>
              <w:ind w:left="15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707" w:type="dxa"/>
            <w:vAlign w:val="top"/>
          </w:tcPr>
          <w:p w14:paraId="585DD8BF">
            <w:pPr>
              <w:spacing w:before="281" w:line="197" w:lineRule="auto"/>
              <w:ind w:left="43"/>
              <w:rPr>
                <w:rFonts w:ascii="Times New Roman" w:hAnsi="Times New Roman" w:eastAsia="Times New Roman" w:cs="Times New Roman"/>
                <w:sz w:val="20"/>
                <w:szCs w:val="20"/>
              </w:rPr>
            </w:pPr>
            <w:r>
              <w:rPr>
                <w:rFonts w:ascii="Times New Roman" w:hAnsi="Times New Roman" w:eastAsia="Times New Roman" w:cs="Times New Roman"/>
                <w:sz w:val="20"/>
                <w:szCs w:val="20"/>
              </w:rPr>
              <w:t>CQ</w:t>
            </w:r>
            <w:r>
              <w:rPr>
                <w:rFonts w:ascii="Times New Roman" w:hAnsi="Times New Roman" w:eastAsia="Times New Roman" w:cs="Times New Roman"/>
                <w:spacing w:val="6"/>
                <w:sz w:val="20"/>
                <w:szCs w:val="20"/>
              </w:rPr>
              <w:t>012</w:t>
            </w:r>
          </w:p>
        </w:tc>
        <w:tc>
          <w:tcPr>
            <w:tcW w:w="3351" w:type="dxa"/>
            <w:vAlign w:val="top"/>
          </w:tcPr>
          <w:p w14:paraId="19C30961">
            <w:pPr>
              <w:pStyle w:val="6"/>
              <w:spacing w:before="108" w:line="229" w:lineRule="auto"/>
              <w:ind w:left="112"/>
              <w:rPr>
                <w:sz w:val="20"/>
                <w:szCs w:val="20"/>
              </w:rPr>
            </w:pPr>
            <w:r>
              <w:rPr>
                <w:spacing w:val="8"/>
                <w:sz w:val="20"/>
                <w:szCs w:val="20"/>
              </w:rPr>
              <w:t>重庆市黔江区蓬东乡永赢建筑石料</w:t>
            </w:r>
          </w:p>
          <w:p w14:paraId="640ABA42">
            <w:pPr>
              <w:pStyle w:val="6"/>
              <w:spacing w:before="26" w:line="232" w:lineRule="auto"/>
              <w:ind w:left="1262"/>
              <w:rPr>
                <w:sz w:val="20"/>
                <w:szCs w:val="20"/>
              </w:rPr>
            </w:pPr>
            <w:r>
              <w:rPr>
                <w:spacing w:val="5"/>
                <w:sz w:val="20"/>
                <w:szCs w:val="20"/>
              </w:rPr>
              <w:t>用灰岩矿</w:t>
            </w:r>
          </w:p>
        </w:tc>
        <w:tc>
          <w:tcPr>
            <w:tcW w:w="1501" w:type="dxa"/>
            <w:vAlign w:val="top"/>
          </w:tcPr>
          <w:p w14:paraId="2DE1013A">
            <w:pPr>
              <w:pStyle w:val="6"/>
              <w:spacing w:before="245" w:line="229" w:lineRule="auto"/>
              <w:ind w:left="28"/>
              <w:rPr>
                <w:sz w:val="20"/>
                <w:szCs w:val="20"/>
              </w:rPr>
            </w:pPr>
            <w:r>
              <w:rPr>
                <w:spacing w:val="7"/>
                <w:sz w:val="20"/>
                <w:szCs w:val="20"/>
              </w:rPr>
              <w:t>建筑石料用灰岩</w:t>
            </w:r>
          </w:p>
        </w:tc>
        <w:tc>
          <w:tcPr>
            <w:tcW w:w="600" w:type="dxa"/>
            <w:vAlign w:val="top"/>
          </w:tcPr>
          <w:p w14:paraId="45F95A1C">
            <w:pPr>
              <w:pStyle w:val="6"/>
              <w:spacing w:before="108" w:line="231" w:lineRule="auto"/>
              <w:ind w:left="107"/>
              <w:rPr>
                <w:sz w:val="20"/>
                <w:szCs w:val="20"/>
              </w:rPr>
            </w:pPr>
            <w:r>
              <w:rPr>
                <w:spacing w:val="1"/>
                <w:sz w:val="20"/>
                <w:szCs w:val="20"/>
              </w:rPr>
              <w:t>地下</w:t>
            </w:r>
          </w:p>
          <w:p w14:paraId="26E745A2">
            <w:pPr>
              <w:pStyle w:val="6"/>
              <w:spacing w:before="23" w:line="231" w:lineRule="auto"/>
              <w:ind w:left="106"/>
              <w:rPr>
                <w:sz w:val="20"/>
                <w:szCs w:val="20"/>
              </w:rPr>
            </w:pPr>
            <w:r>
              <w:rPr>
                <w:spacing w:val="2"/>
                <w:sz w:val="20"/>
                <w:szCs w:val="20"/>
              </w:rPr>
              <w:t>开采</w:t>
            </w:r>
          </w:p>
        </w:tc>
        <w:tc>
          <w:tcPr>
            <w:tcW w:w="1149" w:type="dxa"/>
            <w:vAlign w:val="top"/>
          </w:tcPr>
          <w:p w14:paraId="746CD331">
            <w:pPr>
              <w:spacing w:before="281" w:line="195" w:lineRule="auto"/>
              <w:ind w:left="2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0.1183</w:t>
            </w:r>
          </w:p>
        </w:tc>
        <w:tc>
          <w:tcPr>
            <w:tcW w:w="1074" w:type="dxa"/>
            <w:tcBorders>
              <w:right w:val="single" w:color="000000" w:sz="10" w:space="0"/>
            </w:tcBorders>
            <w:vAlign w:val="top"/>
          </w:tcPr>
          <w:p w14:paraId="3D30C879">
            <w:pPr>
              <w:pStyle w:val="6"/>
              <w:spacing w:before="108" w:line="252" w:lineRule="auto"/>
              <w:ind w:left="236" w:right="103" w:hanging="78"/>
              <w:rPr>
                <w:sz w:val="20"/>
                <w:szCs w:val="20"/>
              </w:rPr>
            </w:pPr>
            <w:r>
              <w:rPr>
                <w:spacing w:val="-1"/>
                <w:sz w:val="20"/>
                <w:szCs w:val="20"/>
              </w:rPr>
              <w:t>已设采矿</w:t>
            </w:r>
            <w:r>
              <w:rPr>
                <w:sz w:val="20"/>
                <w:szCs w:val="20"/>
              </w:rPr>
              <w:t xml:space="preserve"> </w:t>
            </w:r>
            <w:r>
              <w:rPr>
                <w:spacing w:val="5"/>
                <w:sz w:val="20"/>
                <w:szCs w:val="20"/>
              </w:rPr>
              <w:t>权保留</w:t>
            </w:r>
          </w:p>
        </w:tc>
      </w:tr>
      <w:tr w14:paraId="6E5F00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496" w:type="dxa"/>
            <w:tcBorders>
              <w:left w:val="single" w:color="000000" w:sz="10" w:space="0"/>
            </w:tcBorders>
            <w:vAlign w:val="top"/>
          </w:tcPr>
          <w:p w14:paraId="577FAD68">
            <w:pPr>
              <w:spacing w:before="283" w:line="195" w:lineRule="auto"/>
              <w:ind w:left="15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707" w:type="dxa"/>
            <w:vAlign w:val="top"/>
          </w:tcPr>
          <w:p w14:paraId="7C3578E0">
            <w:pPr>
              <w:spacing w:before="283" w:line="197" w:lineRule="auto"/>
              <w:ind w:left="43"/>
              <w:rPr>
                <w:rFonts w:ascii="Times New Roman" w:hAnsi="Times New Roman" w:eastAsia="Times New Roman" w:cs="Times New Roman"/>
                <w:sz w:val="20"/>
                <w:szCs w:val="20"/>
              </w:rPr>
            </w:pPr>
            <w:r>
              <w:rPr>
                <w:rFonts w:ascii="Times New Roman" w:hAnsi="Times New Roman" w:eastAsia="Times New Roman" w:cs="Times New Roman"/>
                <w:sz w:val="20"/>
                <w:szCs w:val="20"/>
              </w:rPr>
              <w:t>CQ</w:t>
            </w:r>
            <w:r>
              <w:rPr>
                <w:rFonts w:ascii="Times New Roman" w:hAnsi="Times New Roman" w:eastAsia="Times New Roman" w:cs="Times New Roman"/>
                <w:spacing w:val="6"/>
                <w:sz w:val="20"/>
                <w:szCs w:val="20"/>
              </w:rPr>
              <w:t>013</w:t>
            </w:r>
          </w:p>
        </w:tc>
        <w:tc>
          <w:tcPr>
            <w:tcW w:w="3351" w:type="dxa"/>
            <w:vAlign w:val="top"/>
          </w:tcPr>
          <w:p w14:paraId="7DCC6866">
            <w:pPr>
              <w:pStyle w:val="6"/>
              <w:spacing w:before="111" w:line="231" w:lineRule="auto"/>
              <w:ind w:left="112"/>
              <w:rPr>
                <w:sz w:val="20"/>
                <w:szCs w:val="20"/>
              </w:rPr>
            </w:pPr>
            <w:r>
              <w:rPr>
                <w:spacing w:val="8"/>
                <w:sz w:val="20"/>
                <w:szCs w:val="20"/>
              </w:rPr>
              <w:t>重庆市黔江区黑溪镇泰峰铸型用砂</w:t>
            </w:r>
          </w:p>
          <w:p w14:paraId="05626303">
            <w:pPr>
              <w:pStyle w:val="6"/>
              <w:spacing w:before="21" w:line="232" w:lineRule="auto"/>
              <w:ind w:left="1469"/>
              <w:rPr>
                <w:sz w:val="20"/>
                <w:szCs w:val="20"/>
              </w:rPr>
            </w:pPr>
            <w:r>
              <w:rPr>
                <w:spacing w:val="3"/>
                <w:sz w:val="20"/>
                <w:szCs w:val="20"/>
              </w:rPr>
              <w:t>岩矿</w:t>
            </w:r>
          </w:p>
        </w:tc>
        <w:tc>
          <w:tcPr>
            <w:tcW w:w="1501" w:type="dxa"/>
            <w:vAlign w:val="top"/>
          </w:tcPr>
          <w:p w14:paraId="6B503582">
            <w:pPr>
              <w:pStyle w:val="6"/>
              <w:spacing w:before="245" w:line="232" w:lineRule="auto"/>
              <w:ind w:left="239"/>
              <w:rPr>
                <w:sz w:val="20"/>
                <w:szCs w:val="20"/>
              </w:rPr>
            </w:pPr>
            <w:r>
              <w:rPr>
                <w:spacing w:val="7"/>
                <w:sz w:val="20"/>
                <w:szCs w:val="20"/>
              </w:rPr>
              <w:t>铸型用砂岩</w:t>
            </w:r>
          </w:p>
        </w:tc>
        <w:tc>
          <w:tcPr>
            <w:tcW w:w="600" w:type="dxa"/>
            <w:vAlign w:val="top"/>
          </w:tcPr>
          <w:p w14:paraId="2ED12DB1">
            <w:pPr>
              <w:pStyle w:val="6"/>
              <w:spacing w:before="111" w:line="231" w:lineRule="auto"/>
              <w:ind w:left="107"/>
              <w:rPr>
                <w:sz w:val="20"/>
                <w:szCs w:val="20"/>
              </w:rPr>
            </w:pPr>
            <w:r>
              <w:rPr>
                <w:spacing w:val="1"/>
                <w:sz w:val="20"/>
                <w:szCs w:val="20"/>
              </w:rPr>
              <w:t>地下</w:t>
            </w:r>
          </w:p>
          <w:p w14:paraId="218583CB">
            <w:pPr>
              <w:pStyle w:val="6"/>
              <w:spacing w:before="20" w:line="231" w:lineRule="auto"/>
              <w:ind w:left="106"/>
              <w:rPr>
                <w:sz w:val="20"/>
                <w:szCs w:val="20"/>
              </w:rPr>
            </w:pPr>
            <w:r>
              <w:rPr>
                <w:spacing w:val="2"/>
                <w:sz w:val="20"/>
                <w:szCs w:val="20"/>
              </w:rPr>
              <w:t>开采</w:t>
            </w:r>
          </w:p>
        </w:tc>
        <w:tc>
          <w:tcPr>
            <w:tcW w:w="1149" w:type="dxa"/>
            <w:vAlign w:val="top"/>
          </w:tcPr>
          <w:p w14:paraId="71957DB7">
            <w:pPr>
              <w:spacing w:before="283" w:line="195" w:lineRule="auto"/>
              <w:ind w:left="2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0.2045</w:t>
            </w:r>
          </w:p>
        </w:tc>
        <w:tc>
          <w:tcPr>
            <w:tcW w:w="1074" w:type="dxa"/>
            <w:tcBorders>
              <w:right w:val="single" w:color="000000" w:sz="10" w:space="0"/>
            </w:tcBorders>
            <w:vAlign w:val="top"/>
          </w:tcPr>
          <w:p w14:paraId="4DD7624D">
            <w:pPr>
              <w:pStyle w:val="6"/>
              <w:spacing w:before="111" w:line="250" w:lineRule="auto"/>
              <w:ind w:left="236" w:right="103" w:hanging="78"/>
              <w:rPr>
                <w:sz w:val="20"/>
                <w:szCs w:val="20"/>
              </w:rPr>
            </w:pPr>
            <w:r>
              <w:rPr>
                <w:spacing w:val="-1"/>
                <w:sz w:val="20"/>
                <w:szCs w:val="20"/>
              </w:rPr>
              <w:t>已设采矿</w:t>
            </w:r>
            <w:r>
              <w:rPr>
                <w:sz w:val="20"/>
                <w:szCs w:val="20"/>
              </w:rPr>
              <w:t xml:space="preserve"> </w:t>
            </w:r>
            <w:r>
              <w:rPr>
                <w:spacing w:val="5"/>
                <w:sz w:val="20"/>
                <w:szCs w:val="20"/>
              </w:rPr>
              <w:t>权保留</w:t>
            </w:r>
          </w:p>
        </w:tc>
      </w:tr>
      <w:tr w14:paraId="1F4DCE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8" w:hRule="atLeast"/>
        </w:trPr>
        <w:tc>
          <w:tcPr>
            <w:tcW w:w="496" w:type="dxa"/>
            <w:tcBorders>
              <w:left w:val="single" w:color="000000" w:sz="10" w:space="0"/>
            </w:tcBorders>
            <w:vAlign w:val="top"/>
          </w:tcPr>
          <w:p w14:paraId="6395F7DE">
            <w:pPr>
              <w:spacing w:before="283" w:line="195" w:lineRule="auto"/>
              <w:ind w:left="15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707" w:type="dxa"/>
            <w:vAlign w:val="top"/>
          </w:tcPr>
          <w:p w14:paraId="79AB242F">
            <w:pPr>
              <w:spacing w:before="282" w:line="197" w:lineRule="auto"/>
              <w:ind w:left="43"/>
              <w:rPr>
                <w:rFonts w:ascii="Times New Roman" w:hAnsi="Times New Roman" w:eastAsia="Times New Roman" w:cs="Times New Roman"/>
                <w:sz w:val="20"/>
                <w:szCs w:val="20"/>
              </w:rPr>
            </w:pPr>
            <w:r>
              <w:rPr>
                <w:rFonts w:ascii="Times New Roman" w:hAnsi="Times New Roman" w:eastAsia="Times New Roman" w:cs="Times New Roman"/>
                <w:sz w:val="20"/>
                <w:szCs w:val="20"/>
              </w:rPr>
              <w:t>CQ</w:t>
            </w:r>
            <w:r>
              <w:rPr>
                <w:rFonts w:ascii="Times New Roman" w:hAnsi="Times New Roman" w:eastAsia="Times New Roman" w:cs="Times New Roman"/>
                <w:spacing w:val="6"/>
                <w:sz w:val="20"/>
                <w:szCs w:val="20"/>
              </w:rPr>
              <w:t>014</w:t>
            </w:r>
          </w:p>
        </w:tc>
        <w:tc>
          <w:tcPr>
            <w:tcW w:w="3351" w:type="dxa"/>
            <w:vAlign w:val="top"/>
          </w:tcPr>
          <w:p w14:paraId="141C170F">
            <w:pPr>
              <w:pStyle w:val="6"/>
              <w:spacing w:before="110" w:line="231" w:lineRule="auto"/>
              <w:ind w:left="112"/>
              <w:rPr>
                <w:sz w:val="20"/>
                <w:szCs w:val="20"/>
              </w:rPr>
            </w:pPr>
            <w:r>
              <w:rPr>
                <w:spacing w:val="8"/>
                <w:sz w:val="20"/>
                <w:szCs w:val="20"/>
              </w:rPr>
              <w:t>重庆市黔江区金溪镇金竹坪萤石重</w:t>
            </w:r>
          </w:p>
          <w:p w14:paraId="72B55615">
            <w:pPr>
              <w:pStyle w:val="6"/>
              <w:spacing w:before="23" w:line="232" w:lineRule="auto"/>
              <w:ind w:left="1383"/>
              <w:rPr>
                <w:sz w:val="20"/>
                <w:szCs w:val="20"/>
              </w:rPr>
            </w:pPr>
            <w:r>
              <w:rPr>
                <w:spacing w:val="-1"/>
                <w:sz w:val="20"/>
                <w:szCs w:val="20"/>
              </w:rPr>
              <w:t>晶石矿</w:t>
            </w:r>
          </w:p>
        </w:tc>
        <w:tc>
          <w:tcPr>
            <w:tcW w:w="1501" w:type="dxa"/>
            <w:vAlign w:val="top"/>
          </w:tcPr>
          <w:p w14:paraId="684FD75B">
            <w:pPr>
              <w:pStyle w:val="6"/>
              <w:spacing w:before="246" w:line="234" w:lineRule="auto"/>
              <w:ind w:left="141"/>
              <w:rPr>
                <w:sz w:val="20"/>
                <w:szCs w:val="20"/>
              </w:rPr>
            </w:pPr>
            <w:r>
              <w:rPr>
                <w:spacing w:val="4"/>
                <w:sz w:val="20"/>
                <w:szCs w:val="20"/>
              </w:rPr>
              <w:t>萤石（普通）</w:t>
            </w:r>
          </w:p>
        </w:tc>
        <w:tc>
          <w:tcPr>
            <w:tcW w:w="600" w:type="dxa"/>
            <w:vAlign w:val="top"/>
          </w:tcPr>
          <w:p w14:paraId="373EEED9">
            <w:pPr>
              <w:pStyle w:val="6"/>
              <w:spacing w:before="110" w:line="232" w:lineRule="auto"/>
              <w:ind w:left="112"/>
              <w:rPr>
                <w:sz w:val="20"/>
                <w:szCs w:val="20"/>
              </w:rPr>
            </w:pPr>
            <w:r>
              <w:rPr>
                <w:spacing w:val="-1"/>
                <w:sz w:val="20"/>
                <w:szCs w:val="20"/>
              </w:rPr>
              <w:t>露天</w:t>
            </w:r>
          </w:p>
          <w:p w14:paraId="080E4495">
            <w:pPr>
              <w:pStyle w:val="6"/>
              <w:spacing w:before="21" w:line="231" w:lineRule="auto"/>
              <w:ind w:left="106"/>
              <w:rPr>
                <w:sz w:val="20"/>
                <w:szCs w:val="20"/>
              </w:rPr>
            </w:pPr>
            <w:r>
              <w:rPr>
                <w:spacing w:val="2"/>
                <w:sz w:val="20"/>
                <w:szCs w:val="20"/>
              </w:rPr>
              <w:t>开采</w:t>
            </w:r>
          </w:p>
        </w:tc>
        <w:tc>
          <w:tcPr>
            <w:tcW w:w="1149" w:type="dxa"/>
            <w:vAlign w:val="top"/>
          </w:tcPr>
          <w:p w14:paraId="606508E1">
            <w:pPr>
              <w:spacing w:before="283" w:line="195" w:lineRule="auto"/>
              <w:ind w:left="35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0.147</w:t>
            </w:r>
          </w:p>
        </w:tc>
        <w:tc>
          <w:tcPr>
            <w:tcW w:w="1074" w:type="dxa"/>
            <w:tcBorders>
              <w:right w:val="single" w:color="000000" w:sz="10" w:space="0"/>
            </w:tcBorders>
            <w:vAlign w:val="top"/>
          </w:tcPr>
          <w:p w14:paraId="75D9453D">
            <w:pPr>
              <w:pStyle w:val="6"/>
              <w:spacing w:before="110" w:line="252" w:lineRule="auto"/>
              <w:ind w:left="236" w:right="103" w:hanging="78"/>
              <w:rPr>
                <w:sz w:val="20"/>
                <w:szCs w:val="20"/>
              </w:rPr>
            </w:pPr>
            <w:r>
              <w:rPr>
                <w:spacing w:val="-1"/>
                <w:sz w:val="20"/>
                <w:szCs w:val="20"/>
              </w:rPr>
              <w:t>已设采矿</w:t>
            </w:r>
            <w:r>
              <w:rPr>
                <w:sz w:val="20"/>
                <w:szCs w:val="20"/>
              </w:rPr>
              <w:t xml:space="preserve"> </w:t>
            </w:r>
            <w:r>
              <w:rPr>
                <w:spacing w:val="5"/>
                <w:sz w:val="20"/>
                <w:szCs w:val="20"/>
              </w:rPr>
              <w:t>权保留</w:t>
            </w:r>
          </w:p>
        </w:tc>
      </w:tr>
      <w:tr w14:paraId="4D7856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8" w:hRule="atLeast"/>
        </w:trPr>
        <w:tc>
          <w:tcPr>
            <w:tcW w:w="496" w:type="dxa"/>
            <w:tcBorders>
              <w:left w:val="single" w:color="000000" w:sz="10" w:space="0"/>
            </w:tcBorders>
            <w:vAlign w:val="top"/>
          </w:tcPr>
          <w:p w14:paraId="59BD2071">
            <w:pPr>
              <w:spacing w:before="285" w:line="195" w:lineRule="auto"/>
              <w:ind w:left="15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707" w:type="dxa"/>
            <w:vAlign w:val="top"/>
          </w:tcPr>
          <w:p w14:paraId="61807084">
            <w:pPr>
              <w:spacing w:before="285" w:line="197" w:lineRule="auto"/>
              <w:ind w:left="43"/>
              <w:rPr>
                <w:rFonts w:ascii="Times New Roman" w:hAnsi="Times New Roman" w:eastAsia="Times New Roman" w:cs="Times New Roman"/>
                <w:sz w:val="20"/>
                <w:szCs w:val="20"/>
              </w:rPr>
            </w:pPr>
            <w:r>
              <w:rPr>
                <w:rFonts w:ascii="Times New Roman" w:hAnsi="Times New Roman" w:eastAsia="Times New Roman" w:cs="Times New Roman"/>
                <w:sz w:val="20"/>
                <w:szCs w:val="20"/>
              </w:rPr>
              <w:t>CQ</w:t>
            </w:r>
            <w:r>
              <w:rPr>
                <w:rFonts w:ascii="Times New Roman" w:hAnsi="Times New Roman" w:eastAsia="Times New Roman" w:cs="Times New Roman"/>
                <w:spacing w:val="6"/>
                <w:sz w:val="20"/>
                <w:szCs w:val="20"/>
              </w:rPr>
              <w:t>015</w:t>
            </w:r>
          </w:p>
        </w:tc>
        <w:tc>
          <w:tcPr>
            <w:tcW w:w="3351" w:type="dxa"/>
            <w:vAlign w:val="top"/>
          </w:tcPr>
          <w:p w14:paraId="4459C2F1">
            <w:pPr>
              <w:pStyle w:val="6"/>
              <w:spacing w:before="112" w:line="231" w:lineRule="auto"/>
              <w:ind w:left="24"/>
              <w:rPr>
                <w:sz w:val="20"/>
                <w:szCs w:val="20"/>
              </w:rPr>
            </w:pPr>
            <w:r>
              <w:rPr>
                <w:spacing w:val="7"/>
                <w:sz w:val="20"/>
                <w:szCs w:val="20"/>
              </w:rPr>
              <w:t>重庆市黔江区太极乡萤石（普通）、</w:t>
            </w:r>
          </w:p>
          <w:p w14:paraId="64CB2D85">
            <w:pPr>
              <w:pStyle w:val="6"/>
              <w:spacing w:before="20" w:line="232" w:lineRule="auto"/>
              <w:ind w:left="1269"/>
              <w:rPr>
                <w:sz w:val="20"/>
                <w:szCs w:val="20"/>
              </w:rPr>
            </w:pPr>
            <w:r>
              <w:rPr>
                <w:spacing w:val="4"/>
                <w:sz w:val="20"/>
                <w:szCs w:val="20"/>
              </w:rPr>
              <w:t>重晶石矿</w:t>
            </w:r>
          </w:p>
        </w:tc>
        <w:tc>
          <w:tcPr>
            <w:tcW w:w="1501" w:type="dxa"/>
            <w:vAlign w:val="top"/>
          </w:tcPr>
          <w:p w14:paraId="7947A7B0">
            <w:pPr>
              <w:pStyle w:val="6"/>
              <w:spacing w:before="247" w:line="234" w:lineRule="auto"/>
              <w:ind w:left="141"/>
              <w:rPr>
                <w:sz w:val="20"/>
                <w:szCs w:val="20"/>
              </w:rPr>
            </w:pPr>
            <w:r>
              <w:rPr>
                <w:spacing w:val="4"/>
                <w:sz w:val="20"/>
                <w:szCs w:val="20"/>
              </w:rPr>
              <w:t>萤石（普通）</w:t>
            </w:r>
          </w:p>
        </w:tc>
        <w:tc>
          <w:tcPr>
            <w:tcW w:w="600" w:type="dxa"/>
            <w:vAlign w:val="top"/>
          </w:tcPr>
          <w:p w14:paraId="62E3287B">
            <w:pPr>
              <w:pStyle w:val="6"/>
              <w:spacing w:before="112" w:line="231" w:lineRule="auto"/>
              <w:ind w:left="107"/>
              <w:rPr>
                <w:sz w:val="20"/>
                <w:szCs w:val="20"/>
              </w:rPr>
            </w:pPr>
            <w:r>
              <w:rPr>
                <w:spacing w:val="1"/>
                <w:sz w:val="20"/>
                <w:szCs w:val="20"/>
              </w:rPr>
              <w:t>地下</w:t>
            </w:r>
          </w:p>
          <w:p w14:paraId="20C3C736">
            <w:pPr>
              <w:pStyle w:val="6"/>
              <w:spacing w:before="20" w:line="231" w:lineRule="auto"/>
              <w:ind w:left="106"/>
              <w:rPr>
                <w:sz w:val="20"/>
                <w:szCs w:val="20"/>
              </w:rPr>
            </w:pPr>
            <w:r>
              <w:rPr>
                <w:spacing w:val="2"/>
                <w:sz w:val="20"/>
                <w:szCs w:val="20"/>
              </w:rPr>
              <w:t>开采</w:t>
            </w:r>
          </w:p>
        </w:tc>
        <w:tc>
          <w:tcPr>
            <w:tcW w:w="1149" w:type="dxa"/>
            <w:vAlign w:val="top"/>
          </w:tcPr>
          <w:p w14:paraId="51B349BB">
            <w:pPr>
              <w:spacing w:before="285" w:line="195" w:lineRule="auto"/>
              <w:ind w:left="2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0.4633</w:t>
            </w:r>
          </w:p>
        </w:tc>
        <w:tc>
          <w:tcPr>
            <w:tcW w:w="1074" w:type="dxa"/>
            <w:tcBorders>
              <w:right w:val="single" w:color="000000" w:sz="10" w:space="0"/>
            </w:tcBorders>
            <w:vAlign w:val="top"/>
          </w:tcPr>
          <w:p w14:paraId="046CF8D1">
            <w:pPr>
              <w:pStyle w:val="6"/>
              <w:spacing w:before="112" w:line="250" w:lineRule="auto"/>
              <w:ind w:left="236" w:right="103" w:hanging="78"/>
              <w:rPr>
                <w:sz w:val="20"/>
                <w:szCs w:val="20"/>
              </w:rPr>
            </w:pPr>
            <w:r>
              <w:rPr>
                <w:spacing w:val="-1"/>
                <w:sz w:val="20"/>
                <w:szCs w:val="20"/>
              </w:rPr>
              <w:t>已设采矿</w:t>
            </w:r>
            <w:r>
              <w:rPr>
                <w:sz w:val="20"/>
                <w:szCs w:val="20"/>
              </w:rPr>
              <w:t xml:space="preserve"> </w:t>
            </w:r>
            <w:r>
              <w:rPr>
                <w:spacing w:val="5"/>
                <w:sz w:val="20"/>
                <w:szCs w:val="20"/>
              </w:rPr>
              <w:t>权保留</w:t>
            </w:r>
          </w:p>
        </w:tc>
      </w:tr>
      <w:tr w14:paraId="04F935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8" w:hRule="atLeast"/>
        </w:trPr>
        <w:tc>
          <w:tcPr>
            <w:tcW w:w="496" w:type="dxa"/>
            <w:tcBorders>
              <w:left w:val="single" w:color="000000" w:sz="10" w:space="0"/>
            </w:tcBorders>
            <w:vAlign w:val="top"/>
          </w:tcPr>
          <w:p w14:paraId="68AB14CB">
            <w:pPr>
              <w:spacing w:before="288" w:line="195" w:lineRule="auto"/>
              <w:ind w:left="15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707" w:type="dxa"/>
            <w:vAlign w:val="top"/>
          </w:tcPr>
          <w:p w14:paraId="1D514CD3">
            <w:pPr>
              <w:spacing w:before="288" w:line="197" w:lineRule="auto"/>
              <w:ind w:left="43"/>
              <w:rPr>
                <w:rFonts w:ascii="Times New Roman" w:hAnsi="Times New Roman" w:eastAsia="Times New Roman" w:cs="Times New Roman"/>
                <w:sz w:val="20"/>
                <w:szCs w:val="20"/>
              </w:rPr>
            </w:pPr>
            <w:r>
              <w:rPr>
                <w:rFonts w:ascii="Times New Roman" w:hAnsi="Times New Roman" w:eastAsia="Times New Roman" w:cs="Times New Roman"/>
                <w:sz w:val="20"/>
                <w:szCs w:val="20"/>
              </w:rPr>
              <w:t>CQ</w:t>
            </w:r>
            <w:r>
              <w:rPr>
                <w:rFonts w:ascii="Times New Roman" w:hAnsi="Times New Roman" w:eastAsia="Times New Roman" w:cs="Times New Roman"/>
                <w:spacing w:val="6"/>
                <w:sz w:val="20"/>
                <w:szCs w:val="20"/>
              </w:rPr>
              <w:t>016</w:t>
            </w:r>
          </w:p>
        </w:tc>
        <w:tc>
          <w:tcPr>
            <w:tcW w:w="3351" w:type="dxa"/>
            <w:vAlign w:val="top"/>
          </w:tcPr>
          <w:p w14:paraId="521586EF">
            <w:pPr>
              <w:pStyle w:val="6"/>
              <w:spacing w:before="249" w:line="231" w:lineRule="auto"/>
              <w:ind w:left="218"/>
              <w:rPr>
                <w:sz w:val="20"/>
                <w:szCs w:val="20"/>
              </w:rPr>
            </w:pPr>
            <w:r>
              <w:rPr>
                <w:spacing w:val="8"/>
                <w:sz w:val="20"/>
                <w:szCs w:val="20"/>
              </w:rPr>
              <w:t>重庆市黔江区太极乡水槽萤石厂</w:t>
            </w:r>
          </w:p>
        </w:tc>
        <w:tc>
          <w:tcPr>
            <w:tcW w:w="1501" w:type="dxa"/>
            <w:vAlign w:val="top"/>
          </w:tcPr>
          <w:p w14:paraId="413B9FF1">
            <w:pPr>
              <w:pStyle w:val="6"/>
              <w:spacing w:before="249" w:line="234" w:lineRule="auto"/>
              <w:ind w:left="141"/>
              <w:rPr>
                <w:sz w:val="20"/>
                <w:szCs w:val="20"/>
              </w:rPr>
            </w:pPr>
            <w:r>
              <w:rPr>
                <w:spacing w:val="4"/>
                <w:sz w:val="20"/>
                <w:szCs w:val="20"/>
              </w:rPr>
              <w:t>萤石（普通）</w:t>
            </w:r>
          </w:p>
        </w:tc>
        <w:tc>
          <w:tcPr>
            <w:tcW w:w="600" w:type="dxa"/>
            <w:vAlign w:val="top"/>
          </w:tcPr>
          <w:p w14:paraId="7B239970">
            <w:pPr>
              <w:pStyle w:val="6"/>
              <w:spacing w:before="115" w:line="231" w:lineRule="auto"/>
              <w:ind w:left="107"/>
              <w:rPr>
                <w:sz w:val="20"/>
                <w:szCs w:val="20"/>
              </w:rPr>
            </w:pPr>
            <w:r>
              <w:rPr>
                <w:spacing w:val="1"/>
                <w:sz w:val="20"/>
                <w:szCs w:val="20"/>
              </w:rPr>
              <w:t>地下</w:t>
            </w:r>
          </w:p>
          <w:p w14:paraId="2641179A">
            <w:pPr>
              <w:pStyle w:val="6"/>
              <w:spacing w:before="20" w:line="231" w:lineRule="auto"/>
              <w:ind w:left="106"/>
              <w:rPr>
                <w:sz w:val="20"/>
                <w:szCs w:val="20"/>
              </w:rPr>
            </w:pPr>
            <w:r>
              <w:rPr>
                <w:spacing w:val="2"/>
                <w:sz w:val="20"/>
                <w:szCs w:val="20"/>
              </w:rPr>
              <w:t>开采</w:t>
            </w:r>
          </w:p>
        </w:tc>
        <w:tc>
          <w:tcPr>
            <w:tcW w:w="1149" w:type="dxa"/>
            <w:vAlign w:val="top"/>
          </w:tcPr>
          <w:p w14:paraId="313C4B9C">
            <w:pPr>
              <w:spacing w:before="288" w:line="195" w:lineRule="auto"/>
              <w:ind w:left="2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0.0183</w:t>
            </w:r>
          </w:p>
        </w:tc>
        <w:tc>
          <w:tcPr>
            <w:tcW w:w="1074" w:type="dxa"/>
            <w:tcBorders>
              <w:right w:val="single" w:color="000000" w:sz="10" w:space="0"/>
            </w:tcBorders>
            <w:vAlign w:val="top"/>
          </w:tcPr>
          <w:p w14:paraId="33E5CE49">
            <w:pPr>
              <w:pStyle w:val="6"/>
              <w:spacing w:before="115" w:line="250" w:lineRule="auto"/>
              <w:ind w:left="236" w:right="103" w:hanging="78"/>
              <w:rPr>
                <w:sz w:val="20"/>
                <w:szCs w:val="20"/>
              </w:rPr>
            </w:pPr>
            <w:r>
              <w:rPr>
                <w:spacing w:val="-1"/>
                <w:sz w:val="20"/>
                <w:szCs w:val="20"/>
              </w:rPr>
              <w:t>已设采矿</w:t>
            </w:r>
            <w:r>
              <w:rPr>
                <w:sz w:val="20"/>
                <w:szCs w:val="20"/>
              </w:rPr>
              <w:t xml:space="preserve"> </w:t>
            </w:r>
            <w:r>
              <w:rPr>
                <w:spacing w:val="5"/>
                <w:sz w:val="20"/>
                <w:szCs w:val="20"/>
              </w:rPr>
              <w:t>权保留</w:t>
            </w:r>
          </w:p>
        </w:tc>
      </w:tr>
      <w:tr w14:paraId="3B2C49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496" w:type="dxa"/>
            <w:tcBorders>
              <w:left w:val="single" w:color="000000" w:sz="10" w:space="0"/>
            </w:tcBorders>
            <w:vAlign w:val="top"/>
          </w:tcPr>
          <w:p w14:paraId="17F27968">
            <w:pPr>
              <w:spacing w:before="288" w:line="195" w:lineRule="auto"/>
              <w:ind w:left="15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707" w:type="dxa"/>
            <w:vAlign w:val="top"/>
          </w:tcPr>
          <w:p w14:paraId="63747787">
            <w:pPr>
              <w:spacing w:before="288" w:line="197" w:lineRule="auto"/>
              <w:ind w:left="43"/>
              <w:rPr>
                <w:rFonts w:ascii="Times New Roman" w:hAnsi="Times New Roman" w:eastAsia="Times New Roman" w:cs="Times New Roman"/>
                <w:sz w:val="20"/>
                <w:szCs w:val="20"/>
              </w:rPr>
            </w:pPr>
            <w:r>
              <w:rPr>
                <w:rFonts w:ascii="Times New Roman" w:hAnsi="Times New Roman" w:eastAsia="Times New Roman" w:cs="Times New Roman"/>
                <w:sz w:val="20"/>
                <w:szCs w:val="20"/>
              </w:rPr>
              <w:t>CQ</w:t>
            </w:r>
            <w:r>
              <w:rPr>
                <w:rFonts w:ascii="Times New Roman" w:hAnsi="Times New Roman" w:eastAsia="Times New Roman" w:cs="Times New Roman"/>
                <w:spacing w:val="6"/>
                <w:sz w:val="20"/>
                <w:szCs w:val="20"/>
              </w:rPr>
              <w:t>017</w:t>
            </w:r>
          </w:p>
        </w:tc>
        <w:tc>
          <w:tcPr>
            <w:tcW w:w="3351" w:type="dxa"/>
            <w:vAlign w:val="top"/>
          </w:tcPr>
          <w:p w14:paraId="78233ECF">
            <w:pPr>
              <w:pStyle w:val="6"/>
              <w:spacing w:before="250" w:line="231" w:lineRule="auto"/>
              <w:ind w:left="218"/>
              <w:rPr>
                <w:sz w:val="20"/>
                <w:szCs w:val="20"/>
              </w:rPr>
            </w:pPr>
            <w:r>
              <w:rPr>
                <w:spacing w:val="8"/>
                <w:sz w:val="20"/>
                <w:szCs w:val="20"/>
              </w:rPr>
              <w:t>重庆市黔江区鹅池镇萤石开采厂</w:t>
            </w:r>
          </w:p>
        </w:tc>
        <w:tc>
          <w:tcPr>
            <w:tcW w:w="1501" w:type="dxa"/>
            <w:vAlign w:val="top"/>
          </w:tcPr>
          <w:p w14:paraId="3459C645">
            <w:pPr>
              <w:pStyle w:val="6"/>
              <w:spacing w:before="249" w:line="234" w:lineRule="auto"/>
              <w:ind w:left="141"/>
              <w:rPr>
                <w:sz w:val="20"/>
                <w:szCs w:val="20"/>
              </w:rPr>
            </w:pPr>
            <w:r>
              <w:rPr>
                <w:spacing w:val="4"/>
                <w:sz w:val="20"/>
                <w:szCs w:val="20"/>
              </w:rPr>
              <w:t>萤石（普通）</w:t>
            </w:r>
          </w:p>
        </w:tc>
        <w:tc>
          <w:tcPr>
            <w:tcW w:w="600" w:type="dxa"/>
            <w:vAlign w:val="top"/>
          </w:tcPr>
          <w:p w14:paraId="657D74D7">
            <w:pPr>
              <w:pStyle w:val="6"/>
              <w:spacing w:before="115" w:line="231" w:lineRule="auto"/>
              <w:ind w:left="107"/>
              <w:rPr>
                <w:sz w:val="20"/>
                <w:szCs w:val="20"/>
              </w:rPr>
            </w:pPr>
            <w:r>
              <w:rPr>
                <w:spacing w:val="1"/>
                <w:sz w:val="20"/>
                <w:szCs w:val="20"/>
              </w:rPr>
              <w:t>地下</w:t>
            </w:r>
          </w:p>
          <w:p w14:paraId="0866F5C8">
            <w:pPr>
              <w:pStyle w:val="6"/>
              <w:spacing w:before="23" w:line="231" w:lineRule="auto"/>
              <w:ind w:left="106"/>
              <w:rPr>
                <w:sz w:val="20"/>
                <w:szCs w:val="20"/>
              </w:rPr>
            </w:pPr>
            <w:r>
              <w:rPr>
                <w:spacing w:val="2"/>
                <w:sz w:val="20"/>
                <w:szCs w:val="20"/>
              </w:rPr>
              <w:t>开采</w:t>
            </w:r>
          </w:p>
        </w:tc>
        <w:tc>
          <w:tcPr>
            <w:tcW w:w="1149" w:type="dxa"/>
            <w:vAlign w:val="top"/>
          </w:tcPr>
          <w:p w14:paraId="316F6637">
            <w:pPr>
              <w:spacing w:before="288" w:line="195" w:lineRule="auto"/>
              <w:ind w:left="2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0.0113</w:t>
            </w:r>
          </w:p>
        </w:tc>
        <w:tc>
          <w:tcPr>
            <w:tcW w:w="1074" w:type="dxa"/>
            <w:tcBorders>
              <w:right w:val="single" w:color="000000" w:sz="10" w:space="0"/>
            </w:tcBorders>
            <w:vAlign w:val="top"/>
          </w:tcPr>
          <w:p w14:paraId="4825E29D">
            <w:pPr>
              <w:pStyle w:val="6"/>
              <w:spacing w:before="116" w:line="252" w:lineRule="auto"/>
              <w:ind w:left="236" w:right="103" w:hanging="78"/>
              <w:rPr>
                <w:sz w:val="20"/>
                <w:szCs w:val="20"/>
              </w:rPr>
            </w:pPr>
            <w:r>
              <w:rPr>
                <w:spacing w:val="-1"/>
                <w:sz w:val="20"/>
                <w:szCs w:val="20"/>
              </w:rPr>
              <w:t>已设采矿</w:t>
            </w:r>
            <w:r>
              <w:rPr>
                <w:sz w:val="20"/>
                <w:szCs w:val="20"/>
              </w:rPr>
              <w:t xml:space="preserve"> </w:t>
            </w:r>
            <w:r>
              <w:rPr>
                <w:spacing w:val="5"/>
                <w:sz w:val="20"/>
                <w:szCs w:val="20"/>
              </w:rPr>
              <w:t>权保留</w:t>
            </w:r>
          </w:p>
        </w:tc>
      </w:tr>
      <w:tr w14:paraId="0C4D30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8" w:hRule="atLeast"/>
        </w:trPr>
        <w:tc>
          <w:tcPr>
            <w:tcW w:w="496" w:type="dxa"/>
            <w:tcBorders>
              <w:left w:val="single" w:color="000000" w:sz="10" w:space="0"/>
            </w:tcBorders>
            <w:vAlign w:val="top"/>
          </w:tcPr>
          <w:p w14:paraId="30ACCFFB">
            <w:pPr>
              <w:spacing w:before="290" w:line="195" w:lineRule="auto"/>
              <w:ind w:left="15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707" w:type="dxa"/>
            <w:vAlign w:val="top"/>
          </w:tcPr>
          <w:p w14:paraId="17FD997B">
            <w:pPr>
              <w:spacing w:before="289" w:line="197" w:lineRule="auto"/>
              <w:ind w:left="43"/>
              <w:rPr>
                <w:rFonts w:ascii="Times New Roman" w:hAnsi="Times New Roman" w:eastAsia="Times New Roman" w:cs="Times New Roman"/>
                <w:sz w:val="20"/>
                <w:szCs w:val="20"/>
              </w:rPr>
            </w:pPr>
            <w:r>
              <w:rPr>
                <w:rFonts w:ascii="Times New Roman" w:hAnsi="Times New Roman" w:eastAsia="Times New Roman" w:cs="Times New Roman"/>
                <w:sz w:val="20"/>
                <w:szCs w:val="20"/>
              </w:rPr>
              <w:t>CQ</w:t>
            </w:r>
            <w:r>
              <w:rPr>
                <w:rFonts w:ascii="Times New Roman" w:hAnsi="Times New Roman" w:eastAsia="Times New Roman" w:cs="Times New Roman"/>
                <w:spacing w:val="6"/>
                <w:sz w:val="20"/>
                <w:szCs w:val="20"/>
              </w:rPr>
              <w:t>018</w:t>
            </w:r>
          </w:p>
        </w:tc>
        <w:tc>
          <w:tcPr>
            <w:tcW w:w="3351" w:type="dxa"/>
            <w:vAlign w:val="top"/>
          </w:tcPr>
          <w:p w14:paraId="289EFA13">
            <w:pPr>
              <w:pStyle w:val="6"/>
              <w:spacing w:before="251" w:line="231" w:lineRule="auto"/>
              <w:ind w:left="218"/>
              <w:rPr>
                <w:sz w:val="20"/>
                <w:szCs w:val="20"/>
              </w:rPr>
            </w:pPr>
            <w:r>
              <w:rPr>
                <w:spacing w:val="8"/>
                <w:sz w:val="20"/>
                <w:szCs w:val="20"/>
              </w:rPr>
              <w:t>重庆市黔江区鹅池镇四季采矿场</w:t>
            </w:r>
          </w:p>
        </w:tc>
        <w:tc>
          <w:tcPr>
            <w:tcW w:w="1501" w:type="dxa"/>
            <w:vAlign w:val="top"/>
          </w:tcPr>
          <w:p w14:paraId="175D6C72">
            <w:pPr>
              <w:pStyle w:val="6"/>
              <w:spacing w:before="251" w:line="234" w:lineRule="auto"/>
              <w:ind w:left="141"/>
              <w:rPr>
                <w:sz w:val="20"/>
                <w:szCs w:val="20"/>
              </w:rPr>
            </w:pPr>
            <w:r>
              <w:rPr>
                <w:spacing w:val="4"/>
                <w:sz w:val="20"/>
                <w:szCs w:val="20"/>
              </w:rPr>
              <w:t>萤石（普通）</w:t>
            </w:r>
          </w:p>
        </w:tc>
        <w:tc>
          <w:tcPr>
            <w:tcW w:w="600" w:type="dxa"/>
            <w:vAlign w:val="top"/>
          </w:tcPr>
          <w:p w14:paraId="24916FFA">
            <w:pPr>
              <w:pStyle w:val="6"/>
              <w:spacing w:before="117" w:line="231" w:lineRule="auto"/>
              <w:ind w:left="107"/>
              <w:rPr>
                <w:sz w:val="20"/>
                <w:szCs w:val="20"/>
              </w:rPr>
            </w:pPr>
            <w:r>
              <w:rPr>
                <w:spacing w:val="1"/>
                <w:sz w:val="20"/>
                <w:szCs w:val="20"/>
              </w:rPr>
              <w:t>地下</w:t>
            </w:r>
          </w:p>
          <w:p w14:paraId="29804BCE">
            <w:pPr>
              <w:pStyle w:val="6"/>
              <w:spacing w:before="20" w:line="231" w:lineRule="auto"/>
              <w:ind w:left="106"/>
              <w:rPr>
                <w:sz w:val="20"/>
                <w:szCs w:val="20"/>
              </w:rPr>
            </w:pPr>
            <w:r>
              <w:rPr>
                <w:spacing w:val="2"/>
                <w:sz w:val="20"/>
                <w:szCs w:val="20"/>
              </w:rPr>
              <w:t>开采</w:t>
            </w:r>
          </w:p>
        </w:tc>
        <w:tc>
          <w:tcPr>
            <w:tcW w:w="1149" w:type="dxa"/>
            <w:vAlign w:val="top"/>
          </w:tcPr>
          <w:p w14:paraId="6B2C195D">
            <w:pPr>
              <w:spacing w:before="290" w:line="195" w:lineRule="auto"/>
              <w:ind w:left="2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0.0116</w:t>
            </w:r>
          </w:p>
        </w:tc>
        <w:tc>
          <w:tcPr>
            <w:tcW w:w="1074" w:type="dxa"/>
            <w:tcBorders>
              <w:right w:val="single" w:color="000000" w:sz="10" w:space="0"/>
            </w:tcBorders>
            <w:vAlign w:val="top"/>
          </w:tcPr>
          <w:p w14:paraId="159F28C5">
            <w:pPr>
              <w:pStyle w:val="6"/>
              <w:spacing w:before="117" w:line="250" w:lineRule="auto"/>
              <w:ind w:left="236" w:right="103" w:hanging="78"/>
              <w:rPr>
                <w:sz w:val="20"/>
                <w:szCs w:val="20"/>
              </w:rPr>
            </w:pPr>
            <w:r>
              <w:rPr>
                <w:spacing w:val="-1"/>
                <w:sz w:val="20"/>
                <w:szCs w:val="20"/>
              </w:rPr>
              <w:t>已设采矿</w:t>
            </w:r>
            <w:r>
              <w:rPr>
                <w:sz w:val="20"/>
                <w:szCs w:val="20"/>
              </w:rPr>
              <w:t xml:space="preserve"> </w:t>
            </w:r>
            <w:r>
              <w:rPr>
                <w:spacing w:val="5"/>
                <w:sz w:val="20"/>
                <w:szCs w:val="20"/>
              </w:rPr>
              <w:t>权保留</w:t>
            </w:r>
          </w:p>
        </w:tc>
      </w:tr>
      <w:tr w14:paraId="707100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496" w:type="dxa"/>
            <w:tcBorders>
              <w:left w:val="single" w:color="000000" w:sz="10" w:space="0"/>
            </w:tcBorders>
            <w:vAlign w:val="top"/>
          </w:tcPr>
          <w:p w14:paraId="369CBEC3">
            <w:pPr>
              <w:spacing w:before="290" w:line="195" w:lineRule="auto"/>
              <w:ind w:left="15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707" w:type="dxa"/>
            <w:vAlign w:val="top"/>
          </w:tcPr>
          <w:p w14:paraId="278FC89D">
            <w:pPr>
              <w:spacing w:before="290" w:line="197" w:lineRule="auto"/>
              <w:ind w:left="43"/>
              <w:rPr>
                <w:rFonts w:ascii="Times New Roman" w:hAnsi="Times New Roman" w:eastAsia="Times New Roman" w:cs="Times New Roman"/>
                <w:sz w:val="20"/>
                <w:szCs w:val="20"/>
              </w:rPr>
            </w:pPr>
            <w:r>
              <w:rPr>
                <w:rFonts w:ascii="Times New Roman" w:hAnsi="Times New Roman" w:eastAsia="Times New Roman" w:cs="Times New Roman"/>
                <w:sz w:val="20"/>
                <w:szCs w:val="20"/>
              </w:rPr>
              <w:t>CQ</w:t>
            </w:r>
            <w:r>
              <w:rPr>
                <w:rFonts w:ascii="Times New Roman" w:hAnsi="Times New Roman" w:eastAsia="Times New Roman" w:cs="Times New Roman"/>
                <w:spacing w:val="6"/>
                <w:sz w:val="20"/>
                <w:szCs w:val="20"/>
              </w:rPr>
              <w:t>019</w:t>
            </w:r>
          </w:p>
        </w:tc>
        <w:tc>
          <w:tcPr>
            <w:tcW w:w="3351" w:type="dxa"/>
            <w:vAlign w:val="top"/>
          </w:tcPr>
          <w:p w14:paraId="527032C2">
            <w:pPr>
              <w:pStyle w:val="6"/>
              <w:spacing w:before="119" w:line="231" w:lineRule="auto"/>
              <w:ind w:left="112"/>
              <w:rPr>
                <w:sz w:val="20"/>
                <w:szCs w:val="20"/>
              </w:rPr>
            </w:pPr>
            <w:r>
              <w:rPr>
                <w:spacing w:val="8"/>
                <w:sz w:val="20"/>
                <w:szCs w:val="20"/>
              </w:rPr>
              <w:t>重庆市黔江区鹅池镇铁厂坝萤石重</w:t>
            </w:r>
          </w:p>
          <w:p w14:paraId="0B33CD1D">
            <w:pPr>
              <w:pStyle w:val="6"/>
              <w:spacing w:before="20" w:line="232" w:lineRule="auto"/>
              <w:ind w:left="1383"/>
              <w:rPr>
                <w:sz w:val="20"/>
                <w:szCs w:val="20"/>
              </w:rPr>
            </w:pPr>
            <w:r>
              <w:rPr>
                <w:spacing w:val="-1"/>
                <w:sz w:val="20"/>
                <w:szCs w:val="20"/>
              </w:rPr>
              <w:t>晶石矿</w:t>
            </w:r>
          </w:p>
        </w:tc>
        <w:tc>
          <w:tcPr>
            <w:tcW w:w="1501" w:type="dxa"/>
            <w:vAlign w:val="top"/>
          </w:tcPr>
          <w:p w14:paraId="735B1EEB">
            <w:pPr>
              <w:pStyle w:val="6"/>
              <w:spacing w:before="254" w:line="234" w:lineRule="auto"/>
              <w:ind w:left="141"/>
              <w:rPr>
                <w:sz w:val="20"/>
                <w:szCs w:val="20"/>
              </w:rPr>
            </w:pPr>
            <w:r>
              <w:rPr>
                <w:spacing w:val="4"/>
                <w:sz w:val="20"/>
                <w:szCs w:val="20"/>
              </w:rPr>
              <w:t>萤石（普通）</w:t>
            </w:r>
          </w:p>
        </w:tc>
        <w:tc>
          <w:tcPr>
            <w:tcW w:w="600" w:type="dxa"/>
            <w:vAlign w:val="top"/>
          </w:tcPr>
          <w:p w14:paraId="574FFA89">
            <w:pPr>
              <w:pStyle w:val="6"/>
              <w:spacing w:before="119" w:line="231" w:lineRule="auto"/>
              <w:ind w:left="107"/>
              <w:rPr>
                <w:sz w:val="20"/>
                <w:szCs w:val="20"/>
              </w:rPr>
            </w:pPr>
            <w:r>
              <w:rPr>
                <w:spacing w:val="1"/>
                <w:sz w:val="20"/>
                <w:szCs w:val="20"/>
              </w:rPr>
              <w:t>地下</w:t>
            </w:r>
          </w:p>
          <w:p w14:paraId="5E86E10B">
            <w:pPr>
              <w:pStyle w:val="6"/>
              <w:spacing w:before="20" w:line="231" w:lineRule="auto"/>
              <w:ind w:left="106"/>
              <w:rPr>
                <w:sz w:val="20"/>
                <w:szCs w:val="20"/>
              </w:rPr>
            </w:pPr>
            <w:r>
              <w:rPr>
                <w:spacing w:val="2"/>
                <w:sz w:val="20"/>
                <w:szCs w:val="20"/>
              </w:rPr>
              <w:t>开采</w:t>
            </w:r>
          </w:p>
        </w:tc>
        <w:tc>
          <w:tcPr>
            <w:tcW w:w="1149" w:type="dxa"/>
            <w:vAlign w:val="top"/>
          </w:tcPr>
          <w:p w14:paraId="3BA9B571">
            <w:pPr>
              <w:spacing w:before="290" w:line="195" w:lineRule="auto"/>
              <w:ind w:left="2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0.2194</w:t>
            </w:r>
          </w:p>
        </w:tc>
        <w:tc>
          <w:tcPr>
            <w:tcW w:w="1074" w:type="dxa"/>
            <w:tcBorders>
              <w:right w:val="single" w:color="000000" w:sz="10" w:space="0"/>
            </w:tcBorders>
            <w:vAlign w:val="top"/>
          </w:tcPr>
          <w:p w14:paraId="1E482460">
            <w:pPr>
              <w:pStyle w:val="6"/>
              <w:spacing w:before="119" w:line="250" w:lineRule="auto"/>
              <w:ind w:left="236" w:right="103" w:hanging="78"/>
              <w:rPr>
                <w:sz w:val="20"/>
                <w:szCs w:val="20"/>
              </w:rPr>
            </w:pPr>
            <w:r>
              <w:rPr>
                <w:spacing w:val="-1"/>
                <w:sz w:val="20"/>
                <w:szCs w:val="20"/>
              </w:rPr>
              <w:t>已设采矿</w:t>
            </w:r>
            <w:r>
              <w:rPr>
                <w:sz w:val="20"/>
                <w:szCs w:val="20"/>
              </w:rPr>
              <w:t xml:space="preserve"> </w:t>
            </w:r>
            <w:r>
              <w:rPr>
                <w:spacing w:val="5"/>
                <w:sz w:val="20"/>
                <w:szCs w:val="20"/>
              </w:rPr>
              <w:t>权保留</w:t>
            </w:r>
          </w:p>
        </w:tc>
      </w:tr>
      <w:tr w14:paraId="6FE350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496" w:type="dxa"/>
            <w:tcBorders>
              <w:left w:val="single" w:color="000000" w:sz="10" w:space="0"/>
            </w:tcBorders>
            <w:vAlign w:val="top"/>
          </w:tcPr>
          <w:p w14:paraId="6F63431C">
            <w:pPr>
              <w:spacing w:before="291"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707" w:type="dxa"/>
            <w:vAlign w:val="top"/>
          </w:tcPr>
          <w:p w14:paraId="2929E261">
            <w:pPr>
              <w:spacing w:before="291" w:line="197" w:lineRule="auto"/>
              <w:ind w:left="43"/>
              <w:rPr>
                <w:rFonts w:ascii="Times New Roman" w:hAnsi="Times New Roman" w:eastAsia="Times New Roman" w:cs="Times New Roman"/>
                <w:sz w:val="20"/>
                <w:szCs w:val="20"/>
              </w:rPr>
            </w:pPr>
            <w:r>
              <w:rPr>
                <w:rFonts w:ascii="Times New Roman" w:hAnsi="Times New Roman" w:eastAsia="Times New Roman" w:cs="Times New Roman"/>
                <w:sz w:val="20"/>
                <w:szCs w:val="20"/>
              </w:rPr>
              <w:t>CQ</w:t>
            </w:r>
            <w:r>
              <w:rPr>
                <w:rFonts w:ascii="Times New Roman" w:hAnsi="Times New Roman" w:eastAsia="Times New Roman" w:cs="Times New Roman"/>
                <w:spacing w:val="6"/>
                <w:sz w:val="20"/>
                <w:szCs w:val="20"/>
              </w:rPr>
              <w:t>020</w:t>
            </w:r>
          </w:p>
        </w:tc>
        <w:tc>
          <w:tcPr>
            <w:tcW w:w="3351" w:type="dxa"/>
            <w:vAlign w:val="top"/>
          </w:tcPr>
          <w:p w14:paraId="1797DC23">
            <w:pPr>
              <w:pStyle w:val="6"/>
              <w:spacing w:before="119" w:line="231" w:lineRule="auto"/>
              <w:ind w:left="112"/>
              <w:rPr>
                <w:sz w:val="20"/>
                <w:szCs w:val="20"/>
              </w:rPr>
            </w:pPr>
            <w:r>
              <w:rPr>
                <w:spacing w:val="8"/>
                <w:sz w:val="20"/>
                <w:szCs w:val="20"/>
              </w:rPr>
              <w:t>重庆市黔江区蓬东乡河坝坡水泥用</w:t>
            </w:r>
          </w:p>
          <w:p w14:paraId="10E82EE6">
            <w:pPr>
              <w:pStyle w:val="6"/>
              <w:spacing w:before="21" w:line="232" w:lineRule="auto"/>
              <w:ind w:left="1367"/>
              <w:rPr>
                <w:sz w:val="20"/>
                <w:szCs w:val="20"/>
              </w:rPr>
            </w:pPr>
            <w:r>
              <w:rPr>
                <w:spacing w:val="4"/>
                <w:sz w:val="20"/>
                <w:szCs w:val="20"/>
              </w:rPr>
              <w:t>灰岩矿</w:t>
            </w:r>
          </w:p>
        </w:tc>
        <w:tc>
          <w:tcPr>
            <w:tcW w:w="1501" w:type="dxa"/>
            <w:vAlign w:val="top"/>
          </w:tcPr>
          <w:p w14:paraId="3D4B2862">
            <w:pPr>
              <w:pStyle w:val="6"/>
              <w:spacing w:before="253" w:line="232" w:lineRule="auto"/>
              <w:ind w:left="133"/>
              <w:rPr>
                <w:sz w:val="20"/>
                <w:szCs w:val="20"/>
              </w:rPr>
            </w:pPr>
            <w:r>
              <w:rPr>
                <w:spacing w:val="7"/>
                <w:sz w:val="20"/>
                <w:szCs w:val="20"/>
              </w:rPr>
              <w:t>水泥用灰岩矿</w:t>
            </w:r>
          </w:p>
        </w:tc>
        <w:tc>
          <w:tcPr>
            <w:tcW w:w="600" w:type="dxa"/>
            <w:vAlign w:val="top"/>
          </w:tcPr>
          <w:p w14:paraId="2958D1D1">
            <w:pPr>
              <w:pStyle w:val="6"/>
              <w:spacing w:before="119" w:line="232" w:lineRule="auto"/>
              <w:ind w:left="112"/>
              <w:rPr>
                <w:sz w:val="20"/>
                <w:szCs w:val="20"/>
              </w:rPr>
            </w:pPr>
            <w:r>
              <w:rPr>
                <w:spacing w:val="-1"/>
                <w:sz w:val="20"/>
                <w:szCs w:val="20"/>
              </w:rPr>
              <w:t>露天</w:t>
            </w:r>
          </w:p>
          <w:p w14:paraId="614B8985">
            <w:pPr>
              <w:pStyle w:val="6"/>
              <w:spacing w:before="19" w:line="231" w:lineRule="auto"/>
              <w:ind w:left="106"/>
              <w:rPr>
                <w:sz w:val="20"/>
                <w:szCs w:val="20"/>
              </w:rPr>
            </w:pPr>
            <w:r>
              <w:rPr>
                <w:spacing w:val="2"/>
                <w:sz w:val="20"/>
                <w:szCs w:val="20"/>
              </w:rPr>
              <w:t>开采</w:t>
            </w:r>
          </w:p>
        </w:tc>
        <w:tc>
          <w:tcPr>
            <w:tcW w:w="1149" w:type="dxa"/>
            <w:vAlign w:val="top"/>
          </w:tcPr>
          <w:p w14:paraId="54A2BD4E">
            <w:pPr>
              <w:spacing w:before="291" w:line="195" w:lineRule="auto"/>
              <w:ind w:left="35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0.404</w:t>
            </w:r>
          </w:p>
        </w:tc>
        <w:tc>
          <w:tcPr>
            <w:tcW w:w="1074" w:type="dxa"/>
            <w:tcBorders>
              <w:right w:val="single" w:color="000000" w:sz="10" w:space="0"/>
            </w:tcBorders>
            <w:vAlign w:val="top"/>
          </w:tcPr>
          <w:p w14:paraId="09824382">
            <w:pPr>
              <w:pStyle w:val="6"/>
              <w:spacing w:before="119" w:line="250" w:lineRule="auto"/>
              <w:ind w:left="236" w:right="103" w:hanging="78"/>
              <w:rPr>
                <w:sz w:val="20"/>
                <w:szCs w:val="20"/>
              </w:rPr>
            </w:pPr>
            <w:r>
              <w:rPr>
                <w:spacing w:val="-1"/>
                <w:sz w:val="20"/>
                <w:szCs w:val="20"/>
              </w:rPr>
              <w:t>已设采矿</w:t>
            </w:r>
            <w:r>
              <w:rPr>
                <w:sz w:val="20"/>
                <w:szCs w:val="20"/>
              </w:rPr>
              <w:t xml:space="preserve"> </w:t>
            </w:r>
            <w:r>
              <w:rPr>
                <w:spacing w:val="5"/>
                <w:sz w:val="20"/>
                <w:szCs w:val="20"/>
              </w:rPr>
              <w:t>权保留</w:t>
            </w:r>
          </w:p>
        </w:tc>
      </w:tr>
      <w:tr w14:paraId="38F89B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8" w:hRule="atLeast"/>
        </w:trPr>
        <w:tc>
          <w:tcPr>
            <w:tcW w:w="496" w:type="dxa"/>
            <w:tcBorders>
              <w:left w:val="single" w:color="000000" w:sz="10" w:space="0"/>
            </w:tcBorders>
            <w:vAlign w:val="top"/>
          </w:tcPr>
          <w:p w14:paraId="6080D917">
            <w:pPr>
              <w:spacing w:before="291"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707" w:type="dxa"/>
            <w:vAlign w:val="top"/>
          </w:tcPr>
          <w:p w14:paraId="3D426F62">
            <w:pPr>
              <w:spacing w:before="290" w:line="197" w:lineRule="auto"/>
              <w:ind w:left="43"/>
              <w:rPr>
                <w:rFonts w:ascii="Times New Roman" w:hAnsi="Times New Roman" w:eastAsia="Times New Roman" w:cs="Times New Roman"/>
                <w:sz w:val="20"/>
                <w:szCs w:val="20"/>
              </w:rPr>
            </w:pPr>
            <w:r>
              <w:rPr>
                <w:rFonts w:ascii="Times New Roman" w:hAnsi="Times New Roman" w:eastAsia="Times New Roman" w:cs="Times New Roman"/>
                <w:sz w:val="20"/>
                <w:szCs w:val="20"/>
              </w:rPr>
              <w:t>CQ</w:t>
            </w:r>
            <w:r>
              <w:rPr>
                <w:rFonts w:ascii="Times New Roman" w:hAnsi="Times New Roman" w:eastAsia="Times New Roman" w:cs="Times New Roman"/>
                <w:spacing w:val="6"/>
                <w:sz w:val="20"/>
                <w:szCs w:val="20"/>
              </w:rPr>
              <w:t>021</w:t>
            </w:r>
          </w:p>
        </w:tc>
        <w:tc>
          <w:tcPr>
            <w:tcW w:w="3351" w:type="dxa"/>
            <w:vAlign w:val="top"/>
          </w:tcPr>
          <w:p w14:paraId="288BC129">
            <w:pPr>
              <w:pStyle w:val="6"/>
              <w:spacing w:before="120" w:line="229" w:lineRule="auto"/>
              <w:ind w:left="110"/>
              <w:rPr>
                <w:sz w:val="20"/>
                <w:szCs w:val="20"/>
              </w:rPr>
            </w:pPr>
            <w:r>
              <w:rPr>
                <w:spacing w:val="8"/>
                <w:sz w:val="20"/>
                <w:szCs w:val="20"/>
              </w:rPr>
              <w:t>黔江区杉岭乡兴隆村后河建筑石料</w:t>
            </w:r>
          </w:p>
          <w:p w14:paraId="689EAE14">
            <w:pPr>
              <w:pStyle w:val="6"/>
              <w:spacing w:before="23" w:line="232" w:lineRule="auto"/>
              <w:ind w:left="1262"/>
              <w:rPr>
                <w:sz w:val="20"/>
                <w:szCs w:val="20"/>
              </w:rPr>
            </w:pPr>
            <w:r>
              <w:rPr>
                <w:spacing w:val="5"/>
                <w:sz w:val="20"/>
                <w:szCs w:val="20"/>
              </w:rPr>
              <w:t>用灰岩矿</w:t>
            </w:r>
          </w:p>
        </w:tc>
        <w:tc>
          <w:tcPr>
            <w:tcW w:w="1501" w:type="dxa"/>
            <w:vAlign w:val="top"/>
          </w:tcPr>
          <w:p w14:paraId="086A17A5">
            <w:pPr>
              <w:pStyle w:val="6"/>
              <w:spacing w:before="254" w:line="229" w:lineRule="auto"/>
              <w:ind w:left="28"/>
              <w:rPr>
                <w:sz w:val="20"/>
                <w:szCs w:val="20"/>
              </w:rPr>
            </w:pPr>
            <w:r>
              <w:rPr>
                <w:spacing w:val="7"/>
                <w:sz w:val="20"/>
                <w:szCs w:val="20"/>
              </w:rPr>
              <w:t>建筑石料用灰岩</w:t>
            </w:r>
          </w:p>
        </w:tc>
        <w:tc>
          <w:tcPr>
            <w:tcW w:w="600" w:type="dxa"/>
            <w:vAlign w:val="top"/>
          </w:tcPr>
          <w:p w14:paraId="12687B67">
            <w:pPr>
              <w:pStyle w:val="6"/>
              <w:spacing w:before="121" w:line="232" w:lineRule="auto"/>
              <w:ind w:left="112"/>
              <w:rPr>
                <w:sz w:val="20"/>
                <w:szCs w:val="20"/>
              </w:rPr>
            </w:pPr>
            <w:r>
              <w:rPr>
                <w:spacing w:val="-1"/>
                <w:sz w:val="20"/>
                <w:szCs w:val="20"/>
              </w:rPr>
              <w:t>露天</w:t>
            </w:r>
          </w:p>
          <w:p w14:paraId="41F67455">
            <w:pPr>
              <w:pStyle w:val="6"/>
              <w:spacing w:before="19" w:line="231" w:lineRule="auto"/>
              <w:ind w:left="106"/>
              <w:rPr>
                <w:sz w:val="20"/>
                <w:szCs w:val="20"/>
              </w:rPr>
            </w:pPr>
            <w:r>
              <w:rPr>
                <w:spacing w:val="2"/>
                <w:sz w:val="20"/>
                <w:szCs w:val="20"/>
              </w:rPr>
              <w:t>开采</w:t>
            </w:r>
          </w:p>
        </w:tc>
        <w:tc>
          <w:tcPr>
            <w:tcW w:w="1149" w:type="dxa"/>
            <w:vAlign w:val="top"/>
          </w:tcPr>
          <w:p w14:paraId="67992C5B">
            <w:pPr>
              <w:spacing w:before="291" w:line="195" w:lineRule="auto"/>
              <w:ind w:left="2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0.0334</w:t>
            </w:r>
          </w:p>
        </w:tc>
        <w:tc>
          <w:tcPr>
            <w:tcW w:w="1074" w:type="dxa"/>
            <w:tcBorders>
              <w:right w:val="single" w:color="000000" w:sz="10" w:space="0"/>
            </w:tcBorders>
            <w:vAlign w:val="top"/>
          </w:tcPr>
          <w:p w14:paraId="0181DE71">
            <w:pPr>
              <w:pStyle w:val="6"/>
              <w:spacing w:before="120" w:line="231" w:lineRule="auto"/>
              <w:ind w:left="143"/>
              <w:rPr>
                <w:sz w:val="20"/>
                <w:szCs w:val="20"/>
              </w:rPr>
            </w:pPr>
            <w:r>
              <w:rPr>
                <w:spacing w:val="3"/>
                <w:sz w:val="20"/>
                <w:szCs w:val="20"/>
              </w:rPr>
              <w:t>空白区新</w:t>
            </w:r>
          </w:p>
          <w:p w14:paraId="662E4A97">
            <w:pPr>
              <w:pStyle w:val="6"/>
              <w:spacing w:before="21" w:line="232" w:lineRule="auto"/>
              <w:ind w:left="445"/>
              <w:rPr>
                <w:sz w:val="20"/>
                <w:szCs w:val="20"/>
              </w:rPr>
            </w:pPr>
            <w:r>
              <w:rPr>
                <w:sz w:val="20"/>
                <w:szCs w:val="20"/>
              </w:rPr>
              <w:t>设</w:t>
            </w:r>
          </w:p>
        </w:tc>
      </w:tr>
      <w:tr w14:paraId="28FF7E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496" w:type="dxa"/>
            <w:tcBorders>
              <w:left w:val="single" w:color="000000" w:sz="10" w:space="0"/>
            </w:tcBorders>
            <w:vAlign w:val="top"/>
          </w:tcPr>
          <w:p w14:paraId="62F5B428">
            <w:pPr>
              <w:spacing w:before="293"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707" w:type="dxa"/>
            <w:vAlign w:val="top"/>
          </w:tcPr>
          <w:p w14:paraId="0CA6CEC1">
            <w:pPr>
              <w:spacing w:before="293" w:line="197" w:lineRule="auto"/>
              <w:ind w:left="43"/>
              <w:rPr>
                <w:rFonts w:ascii="Times New Roman" w:hAnsi="Times New Roman" w:eastAsia="Times New Roman" w:cs="Times New Roman"/>
                <w:sz w:val="20"/>
                <w:szCs w:val="20"/>
              </w:rPr>
            </w:pPr>
            <w:r>
              <w:rPr>
                <w:rFonts w:ascii="Times New Roman" w:hAnsi="Times New Roman" w:eastAsia="Times New Roman" w:cs="Times New Roman"/>
                <w:sz w:val="20"/>
                <w:szCs w:val="20"/>
              </w:rPr>
              <w:t>CQ</w:t>
            </w:r>
            <w:r>
              <w:rPr>
                <w:rFonts w:ascii="Times New Roman" w:hAnsi="Times New Roman" w:eastAsia="Times New Roman" w:cs="Times New Roman"/>
                <w:spacing w:val="6"/>
                <w:sz w:val="20"/>
                <w:szCs w:val="20"/>
              </w:rPr>
              <w:t>022</w:t>
            </w:r>
          </w:p>
        </w:tc>
        <w:tc>
          <w:tcPr>
            <w:tcW w:w="3351" w:type="dxa"/>
            <w:vAlign w:val="top"/>
          </w:tcPr>
          <w:p w14:paraId="2DC8E404">
            <w:pPr>
              <w:pStyle w:val="6"/>
              <w:spacing w:before="123" w:line="230" w:lineRule="auto"/>
              <w:ind w:left="110"/>
              <w:rPr>
                <w:sz w:val="20"/>
                <w:szCs w:val="20"/>
              </w:rPr>
            </w:pPr>
            <w:r>
              <w:rPr>
                <w:spacing w:val="8"/>
                <w:sz w:val="20"/>
                <w:szCs w:val="20"/>
              </w:rPr>
              <w:t>黔江区蓬东乡尖山村六组道湾建筑</w:t>
            </w:r>
          </w:p>
          <w:p w14:paraId="378C4CA3">
            <w:pPr>
              <w:pStyle w:val="6"/>
              <w:spacing w:before="21" w:line="229" w:lineRule="auto"/>
              <w:ind w:left="1051"/>
              <w:rPr>
                <w:sz w:val="20"/>
                <w:szCs w:val="20"/>
              </w:rPr>
            </w:pPr>
            <w:r>
              <w:rPr>
                <w:spacing w:val="7"/>
                <w:sz w:val="20"/>
                <w:szCs w:val="20"/>
              </w:rPr>
              <w:t>石料用灰岩矿</w:t>
            </w:r>
          </w:p>
        </w:tc>
        <w:tc>
          <w:tcPr>
            <w:tcW w:w="1501" w:type="dxa"/>
            <w:vAlign w:val="top"/>
          </w:tcPr>
          <w:p w14:paraId="16F7CA1F">
            <w:pPr>
              <w:pStyle w:val="6"/>
              <w:spacing w:before="257" w:line="229" w:lineRule="auto"/>
              <w:ind w:left="28"/>
              <w:rPr>
                <w:sz w:val="20"/>
                <w:szCs w:val="20"/>
              </w:rPr>
            </w:pPr>
            <w:r>
              <w:rPr>
                <w:spacing w:val="7"/>
                <w:sz w:val="20"/>
                <w:szCs w:val="20"/>
              </w:rPr>
              <w:t>建筑石料用灰岩</w:t>
            </w:r>
          </w:p>
        </w:tc>
        <w:tc>
          <w:tcPr>
            <w:tcW w:w="600" w:type="dxa"/>
            <w:vAlign w:val="top"/>
          </w:tcPr>
          <w:p w14:paraId="64BB633F">
            <w:pPr>
              <w:pStyle w:val="6"/>
              <w:spacing w:before="123" w:line="232" w:lineRule="auto"/>
              <w:ind w:left="112"/>
              <w:rPr>
                <w:sz w:val="20"/>
                <w:szCs w:val="20"/>
              </w:rPr>
            </w:pPr>
            <w:r>
              <w:rPr>
                <w:spacing w:val="-1"/>
                <w:sz w:val="20"/>
                <w:szCs w:val="20"/>
              </w:rPr>
              <w:t>露天</w:t>
            </w:r>
          </w:p>
          <w:p w14:paraId="0A2C411D">
            <w:pPr>
              <w:pStyle w:val="6"/>
              <w:spacing w:before="19" w:line="231" w:lineRule="auto"/>
              <w:ind w:left="106"/>
              <w:rPr>
                <w:sz w:val="20"/>
                <w:szCs w:val="20"/>
              </w:rPr>
            </w:pPr>
            <w:r>
              <w:rPr>
                <w:spacing w:val="2"/>
                <w:sz w:val="20"/>
                <w:szCs w:val="20"/>
              </w:rPr>
              <w:t>开采</w:t>
            </w:r>
          </w:p>
        </w:tc>
        <w:tc>
          <w:tcPr>
            <w:tcW w:w="1149" w:type="dxa"/>
            <w:vAlign w:val="top"/>
          </w:tcPr>
          <w:p w14:paraId="2EA138E3">
            <w:pPr>
              <w:spacing w:before="293" w:line="195" w:lineRule="auto"/>
              <w:ind w:left="2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0.1676</w:t>
            </w:r>
          </w:p>
        </w:tc>
        <w:tc>
          <w:tcPr>
            <w:tcW w:w="1074" w:type="dxa"/>
            <w:tcBorders>
              <w:right w:val="single" w:color="000000" w:sz="10" w:space="0"/>
            </w:tcBorders>
            <w:vAlign w:val="top"/>
          </w:tcPr>
          <w:p w14:paraId="1EB1C3E7">
            <w:pPr>
              <w:pStyle w:val="6"/>
              <w:spacing w:before="123" w:line="231" w:lineRule="auto"/>
              <w:ind w:left="143"/>
              <w:rPr>
                <w:sz w:val="20"/>
                <w:szCs w:val="20"/>
              </w:rPr>
            </w:pPr>
            <w:r>
              <w:rPr>
                <w:spacing w:val="3"/>
                <w:sz w:val="20"/>
                <w:szCs w:val="20"/>
              </w:rPr>
              <w:t>空白区新</w:t>
            </w:r>
          </w:p>
          <w:p w14:paraId="77322FD2">
            <w:pPr>
              <w:pStyle w:val="6"/>
              <w:spacing w:before="21" w:line="232" w:lineRule="auto"/>
              <w:ind w:left="445"/>
              <w:rPr>
                <w:sz w:val="20"/>
                <w:szCs w:val="20"/>
              </w:rPr>
            </w:pPr>
            <w:r>
              <w:rPr>
                <w:sz w:val="20"/>
                <w:szCs w:val="20"/>
              </w:rPr>
              <w:t>设</w:t>
            </w:r>
          </w:p>
        </w:tc>
      </w:tr>
      <w:tr w14:paraId="45B53D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8" w:hRule="atLeast"/>
        </w:trPr>
        <w:tc>
          <w:tcPr>
            <w:tcW w:w="496" w:type="dxa"/>
            <w:tcBorders>
              <w:left w:val="single" w:color="000000" w:sz="10" w:space="0"/>
            </w:tcBorders>
            <w:vAlign w:val="top"/>
          </w:tcPr>
          <w:p w14:paraId="47F77446">
            <w:pPr>
              <w:spacing w:before="295"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707" w:type="dxa"/>
            <w:vAlign w:val="top"/>
          </w:tcPr>
          <w:p w14:paraId="5FC8947D">
            <w:pPr>
              <w:spacing w:before="295" w:line="197" w:lineRule="auto"/>
              <w:ind w:left="43"/>
              <w:rPr>
                <w:rFonts w:ascii="Times New Roman" w:hAnsi="Times New Roman" w:eastAsia="Times New Roman" w:cs="Times New Roman"/>
                <w:sz w:val="20"/>
                <w:szCs w:val="20"/>
              </w:rPr>
            </w:pPr>
            <w:r>
              <w:rPr>
                <w:rFonts w:ascii="Times New Roman" w:hAnsi="Times New Roman" w:eastAsia="Times New Roman" w:cs="Times New Roman"/>
                <w:sz w:val="20"/>
                <w:szCs w:val="20"/>
              </w:rPr>
              <w:t>CQ</w:t>
            </w:r>
            <w:r>
              <w:rPr>
                <w:rFonts w:ascii="Times New Roman" w:hAnsi="Times New Roman" w:eastAsia="Times New Roman" w:cs="Times New Roman"/>
                <w:spacing w:val="6"/>
                <w:sz w:val="20"/>
                <w:szCs w:val="20"/>
              </w:rPr>
              <w:t>023</w:t>
            </w:r>
          </w:p>
        </w:tc>
        <w:tc>
          <w:tcPr>
            <w:tcW w:w="3351" w:type="dxa"/>
            <w:vAlign w:val="top"/>
          </w:tcPr>
          <w:p w14:paraId="65524C72">
            <w:pPr>
              <w:pStyle w:val="6"/>
              <w:spacing w:before="122" w:line="229" w:lineRule="auto"/>
              <w:ind w:left="110"/>
              <w:rPr>
                <w:sz w:val="20"/>
                <w:szCs w:val="20"/>
              </w:rPr>
            </w:pPr>
            <w:r>
              <w:rPr>
                <w:spacing w:val="8"/>
                <w:sz w:val="20"/>
                <w:szCs w:val="20"/>
              </w:rPr>
              <w:t>黔江区五里乡河南村燕岩建筑石料</w:t>
            </w:r>
          </w:p>
          <w:p w14:paraId="40013FAB">
            <w:pPr>
              <w:pStyle w:val="6"/>
              <w:spacing w:before="23" w:line="232" w:lineRule="auto"/>
              <w:ind w:left="1262"/>
              <w:rPr>
                <w:sz w:val="20"/>
                <w:szCs w:val="20"/>
              </w:rPr>
            </w:pPr>
            <w:r>
              <w:rPr>
                <w:spacing w:val="5"/>
                <w:sz w:val="20"/>
                <w:szCs w:val="20"/>
              </w:rPr>
              <w:t>用灰岩矿</w:t>
            </w:r>
          </w:p>
        </w:tc>
        <w:tc>
          <w:tcPr>
            <w:tcW w:w="1501" w:type="dxa"/>
            <w:vAlign w:val="top"/>
          </w:tcPr>
          <w:p w14:paraId="421AF1AE">
            <w:pPr>
              <w:pStyle w:val="6"/>
              <w:spacing w:before="256" w:line="229" w:lineRule="auto"/>
              <w:ind w:left="28"/>
              <w:rPr>
                <w:sz w:val="20"/>
                <w:szCs w:val="20"/>
              </w:rPr>
            </w:pPr>
            <w:r>
              <w:rPr>
                <w:spacing w:val="7"/>
                <w:sz w:val="20"/>
                <w:szCs w:val="20"/>
              </w:rPr>
              <w:t>建筑石料用灰岩</w:t>
            </w:r>
          </w:p>
        </w:tc>
        <w:tc>
          <w:tcPr>
            <w:tcW w:w="600" w:type="dxa"/>
            <w:vAlign w:val="top"/>
          </w:tcPr>
          <w:p w14:paraId="6F243945">
            <w:pPr>
              <w:pStyle w:val="6"/>
              <w:spacing w:before="122" w:line="232" w:lineRule="auto"/>
              <w:ind w:left="112"/>
              <w:rPr>
                <w:sz w:val="20"/>
                <w:szCs w:val="20"/>
              </w:rPr>
            </w:pPr>
            <w:r>
              <w:rPr>
                <w:spacing w:val="-1"/>
                <w:sz w:val="20"/>
                <w:szCs w:val="20"/>
              </w:rPr>
              <w:t>露天</w:t>
            </w:r>
          </w:p>
          <w:p w14:paraId="47EF437C">
            <w:pPr>
              <w:pStyle w:val="6"/>
              <w:spacing w:before="19" w:line="231" w:lineRule="auto"/>
              <w:ind w:left="106"/>
              <w:rPr>
                <w:sz w:val="20"/>
                <w:szCs w:val="20"/>
              </w:rPr>
            </w:pPr>
            <w:r>
              <w:rPr>
                <w:spacing w:val="2"/>
                <w:sz w:val="20"/>
                <w:szCs w:val="20"/>
              </w:rPr>
              <w:t>开采</w:t>
            </w:r>
          </w:p>
        </w:tc>
        <w:tc>
          <w:tcPr>
            <w:tcW w:w="1149" w:type="dxa"/>
            <w:vAlign w:val="top"/>
          </w:tcPr>
          <w:p w14:paraId="78344429">
            <w:pPr>
              <w:spacing w:before="295" w:line="195" w:lineRule="auto"/>
              <w:ind w:left="2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0.3384</w:t>
            </w:r>
          </w:p>
        </w:tc>
        <w:tc>
          <w:tcPr>
            <w:tcW w:w="1074" w:type="dxa"/>
            <w:tcBorders>
              <w:right w:val="single" w:color="000000" w:sz="10" w:space="0"/>
            </w:tcBorders>
            <w:vAlign w:val="top"/>
          </w:tcPr>
          <w:p w14:paraId="164AEE07">
            <w:pPr>
              <w:pStyle w:val="6"/>
              <w:spacing w:before="122" w:line="231" w:lineRule="auto"/>
              <w:ind w:left="143"/>
              <w:rPr>
                <w:sz w:val="20"/>
                <w:szCs w:val="20"/>
              </w:rPr>
            </w:pPr>
            <w:r>
              <w:rPr>
                <w:spacing w:val="3"/>
                <w:sz w:val="20"/>
                <w:szCs w:val="20"/>
              </w:rPr>
              <w:t>空白区新</w:t>
            </w:r>
          </w:p>
          <w:p w14:paraId="28300A69">
            <w:pPr>
              <w:pStyle w:val="6"/>
              <w:spacing w:before="21" w:line="232" w:lineRule="auto"/>
              <w:ind w:left="445"/>
              <w:rPr>
                <w:sz w:val="20"/>
                <w:szCs w:val="20"/>
              </w:rPr>
            </w:pPr>
            <w:r>
              <w:rPr>
                <w:sz w:val="20"/>
                <w:szCs w:val="20"/>
              </w:rPr>
              <w:t>设</w:t>
            </w:r>
          </w:p>
        </w:tc>
      </w:tr>
      <w:tr w14:paraId="166F20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8" w:hRule="atLeast"/>
        </w:trPr>
        <w:tc>
          <w:tcPr>
            <w:tcW w:w="496" w:type="dxa"/>
            <w:tcBorders>
              <w:left w:val="single" w:color="000000" w:sz="10" w:space="0"/>
            </w:tcBorders>
            <w:vAlign w:val="top"/>
          </w:tcPr>
          <w:p w14:paraId="50461D33">
            <w:pPr>
              <w:spacing w:before="295"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707" w:type="dxa"/>
            <w:vAlign w:val="top"/>
          </w:tcPr>
          <w:p w14:paraId="417B0383">
            <w:pPr>
              <w:spacing w:before="295" w:line="197" w:lineRule="auto"/>
              <w:ind w:left="43"/>
              <w:rPr>
                <w:rFonts w:ascii="Times New Roman" w:hAnsi="Times New Roman" w:eastAsia="Times New Roman" w:cs="Times New Roman"/>
                <w:sz w:val="20"/>
                <w:szCs w:val="20"/>
              </w:rPr>
            </w:pPr>
            <w:r>
              <w:rPr>
                <w:rFonts w:ascii="Times New Roman" w:hAnsi="Times New Roman" w:eastAsia="Times New Roman" w:cs="Times New Roman"/>
                <w:sz w:val="20"/>
                <w:szCs w:val="20"/>
              </w:rPr>
              <w:t>CQ</w:t>
            </w:r>
            <w:r>
              <w:rPr>
                <w:rFonts w:ascii="Times New Roman" w:hAnsi="Times New Roman" w:eastAsia="Times New Roman" w:cs="Times New Roman"/>
                <w:spacing w:val="6"/>
                <w:sz w:val="20"/>
                <w:szCs w:val="20"/>
              </w:rPr>
              <w:t>024</w:t>
            </w:r>
          </w:p>
        </w:tc>
        <w:tc>
          <w:tcPr>
            <w:tcW w:w="3351" w:type="dxa"/>
            <w:vAlign w:val="top"/>
          </w:tcPr>
          <w:p w14:paraId="7314230A">
            <w:pPr>
              <w:pStyle w:val="6"/>
              <w:spacing w:before="125" w:line="230" w:lineRule="auto"/>
              <w:ind w:left="110"/>
              <w:rPr>
                <w:sz w:val="20"/>
                <w:szCs w:val="20"/>
              </w:rPr>
            </w:pPr>
            <w:r>
              <w:rPr>
                <w:spacing w:val="8"/>
                <w:sz w:val="20"/>
                <w:szCs w:val="20"/>
              </w:rPr>
              <w:t>黔江区黎水镇竹园村韩家湾建筑石</w:t>
            </w:r>
          </w:p>
          <w:p w14:paraId="0CFC60BC">
            <w:pPr>
              <w:pStyle w:val="6"/>
              <w:spacing w:before="21" w:line="229" w:lineRule="auto"/>
              <w:ind w:left="1156"/>
              <w:rPr>
                <w:sz w:val="20"/>
                <w:szCs w:val="20"/>
              </w:rPr>
            </w:pPr>
            <w:r>
              <w:rPr>
                <w:spacing w:val="7"/>
                <w:sz w:val="20"/>
                <w:szCs w:val="20"/>
              </w:rPr>
              <w:t>料用灰岩矿</w:t>
            </w:r>
          </w:p>
        </w:tc>
        <w:tc>
          <w:tcPr>
            <w:tcW w:w="1501" w:type="dxa"/>
            <w:vAlign w:val="top"/>
          </w:tcPr>
          <w:p w14:paraId="642511C5">
            <w:pPr>
              <w:pStyle w:val="6"/>
              <w:spacing w:before="259" w:line="229" w:lineRule="auto"/>
              <w:ind w:left="28"/>
              <w:rPr>
                <w:sz w:val="20"/>
                <w:szCs w:val="20"/>
              </w:rPr>
            </w:pPr>
            <w:r>
              <w:rPr>
                <w:spacing w:val="7"/>
                <w:sz w:val="20"/>
                <w:szCs w:val="20"/>
              </w:rPr>
              <w:t>建筑石料用灰岩</w:t>
            </w:r>
          </w:p>
        </w:tc>
        <w:tc>
          <w:tcPr>
            <w:tcW w:w="600" w:type="dxa"/>
            <w:vAlign w:val="top"/>
          </w:tcPr>
          <w:p w14:paraId="5463AA19">
            <w:pPr>
              <w:pStyle w:val="6"/>
              <w:spacing w:before="125" w:line="232" w:lineRule="auto"/>
              <w:ind w:left="112"/>
              <w:rPr>
                <w:sz w:val="20"/>
                <w:szCs w:val="20"/>
              </w:rPr>
            </w:pPr>
            <w:r>
              <w:rPr>
                <w:spacing w:val="-1"/>
                <w:sz w:val="20"/>
                <w:szCs w:val="20"/>
              </w:rPr>
              <w:t>露天</w:t>
            </w:r>
          </w:p>
          <w:p w14:paraId="34ACE210">
            <w:pPr>
              <w:pStyle w:val="6"/>
              <w:spacing w:before="19" w:line="231" w:lineRule="auto"/>
              <w:ind w:left="106"/>
              <w:rPr>
                <w:sz w:val="20"/>
                <w:szCs w:val="20"/>
              </w:rPr>
            </w:pPr>
            <w:r>
              <w:rPr>
                <w:spacing w:val="2"/>
                <w:sz w:val="20"/>
                <w:szCs w:val="20"/>
              </w:rPr>
              <w:t>开采</w:t>
            </w:r>
          </w:p>
        </w:tc>
        <w:tc>
          <w:tcPr>
            <w:tcW w:w="1149" w:type="dxa"/>
            <w:vAlign w:val="top"/>
          </w:tcPr>
          <w:p w14:paraId="40C7F477">
            <w:pPr>
              <w:spacing w:before="295" w:line="195" w:lineRule="auto"/>
              <w:ind w:left="2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0.0493</w:t>
            </w:r>
          </w:p>
        </w:tc>
        <w:tc>
          <w:tcPr>
            <w:tcW w:w="1074" w:type="dxa"/>
            <w:tcBorders>
              <w:right w:val="single" w:color="000000" w:sz="10" w:space="0"/>
            </w:tcBorders>
            <w:vAlign w:val="top"/>
          </w:tcPr>
          <w:p w14:paraId="330FC879">
            <w:pPr>
              <w:pStyle w:val="6"/>
              <w:spacing w:before="125" w:line="231" w:lineRule="auto"/>
              <w:ind w:left="143"/>
              <w:rPr>
                <w:sz w:val="20"/>
                <w:szCs w:val="20"/>
              </w:rPr>
            </w:pPr>
            <w:r>
              <w:rPr>
                <w:spacing w:val="3"/>
                <w:sz w:val="20"/>
                <w:szCs w:val="20"/>
              </w:rPr>
              <w:t>空白区新</w:t>
            </w:r>
          </w:p>
          <w:p w14:paraId="04BADA19">
            <w:pPr>
              <w:pStyle w:val="6"/>
              <w:spacing w:before="21" w:line="232" w:lineRule="auto"/>
              <w:ind w:left="445"/>
              <w:rPr>
                <w:sz w:val="20"/>
                <w:szCs w:val="20"/>
              </w:rPr>
            </w:pPr>
            <w:r>
              <w:rPr>
                <w:sz w:val="20"/>
                <w:szCs w:val="20"/>
              </w:rPr>
              <w:t>设</w:t>
            </w:r>
          </w:p>
        </w:tc>
      </w:tr>
      <w:tr w14:paraId="00C483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496" w:type="dxa"/>
            <w:tcBorders>
              <w:left w:val="single" w:color="000000" w:sz="10" w:space="0"/>
            </w:tcBorders>
            <w:vAlign w:val="top"/>
          </w:tcPr>
          <w:p w14:paraId="56D0E150">
            <w:pPr>
              <w:spacing w:before="298"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707" w:type="dxa"/>
            <w:vAlign w:val="top"/>
          </w:tcPr>
          <w:p w14:paraId="59F01279">
            <w:pPr>
              <w:spacing w:before="297" w:line="197" w:lineRule="auto"/>
              <w:ind w:left="43"/>
              <w:rPr>
                <w:rFonts w:ascii="Times New Roman" w:hAnsi="Times New Roman" w:eastAsia="Times New Roman" w:cs="Times New Roman"/>
                <w:sz w:val="20"/>
                <w:szCs w:val="20"/>
              </w:rPr>
            </w:pPr>
            <w:r>
              <w:rPr>
                <w:rFonts w:ascii="Times New Roman" w:hAnsi="Times New Roman" w:eastAsia="Times New Roman" w:cs="Times New Roman"/>
                <w:sz w:val="20"/>
                <w:szCs w:val="20"/>
              </w:rPr>
              <w:t>CQ</w:t>
            </w:r>
            <w:r>
              <w:rPr>
                <w:rFonts w:ascii="Times New Roman" w:hAnsi="Times New Roman" w:eastAsia="Times New Roman" w:cs="Times New Roman"/>
                <w:spacing w:val="6"/>
                <w:sz w:val="20"/>
                <w:szCs w:val="20"/>
              </w:rPr>
              <w:t>025</w:t>
            </w:r>
          </w:p>
        </w:tc>
        <w:tc>
          <w:tcPr>
            <w:tcW w:w="3351" w:type="dxa"/>
            <w:vAlign w:val="top"/>
          </w:tcPr>
          <w:p w14:paraId="463A4D50">
            <w:pPr>
              <w:pStyle w:val="6"/>
              <w:spacing w:before="125" w:line="230" w:lineRule="auto"/>
              <w:ind w:left="21"/>
              <w:rPr>
                <w:sz w:val="20"/>
                <w:szCs w:val="20"/>
              </w:rPr>
            </w:pPr>
            <w:r>
              <w:rPr>
                <w:spacing w:val="6"/>
                <w:sz w:val="20"/>
                <w:szCs w:val="20"/>
              </w:rPr>
              <w:t>黔江区马喇镇龙溪村</w:t>
            </w:r>
            <w:r>
              <w:rPr>
                <w:spacing w:val="-42"/>
                <w:sz w:val="20"/>
                <w:szCs w:val="20"/>
              </w:rPr>
              <w:t xml:space="preserve"> </w:t>
            </w:r>
            <w:r>
              <w:rPr>
                <w:rFonts w:ascii="Times New Roman" w:hAnsi="Times New Roman" w:eastAsia="Times New Roman" w:cs="Times New Roman"/>
                <w:spacing w:val="6"/>
                <w:sz w:val="20"/>
                <w:szCs w:val="20"/>
              </w:rPr>
              <w:t xml:space="preserve">3 </w:t>
            </w:r>
            <w:r>
              <w:rPr>
                <w:spacing w:val="6"/>
                <w:sz w:val="20"/>
                <w:szCs w:val="20"/>
              </w:rPr>
              <w:t>组曾家坪建筑</w:t>
            </w:r>
          </w:p>
          <w:p w14:paraId="0A987C22">
            <w:pPr>
              <w:pStyle w:val="6"/>
              <w:spacing w:before="23" w:line="229" w:lineRule="auto"/>
              <w:ind w:left="1051"/>
              <w:rPr>
                <w:sz w:val="20"/>
                <w:szCs w:val="20"/>
              </w:rPr>
            </w:pPr>
            <w:r>
              <w:rPr>
                <w:spacing w:val="7"/>
                <w:sz w:val="20"/>
                <w:szCs w:val="20"/>
              </w:rPr>
              <w:t>石料用灰岩矿</w:t>
            </w:r>
          </w:p>
        </w:tc>
        <w:tc>
          <w:tcPr>
            <w:tcW w:w="1501" w:type="dxa"/>
            <w:vAlign w:val="top"/>
          </w:tcPr>
          <w:p w14:paraId="410E1DA9">
            <w:pPr>
              <w:pStyle w:val="6"/>
              <w:spacing w:before="261" w:line="229" w:lineRule="auto"/>
              <w:ind w:left="28"/>
              <w:rPr>
                <w:sz w:val="20"/>
                <w:szCs w:val="20"/>
              </w:rPr>
            </w:pPr>
            <w:r>
              <w:rPr>
                <w:spacing w:val="7"/>
                <w:sz w:val="20"/>
                <w:szCs w:val="20"/>
              </w:rPr>
              <w:t>建筑石料用灰岩</w:t>
            </w:r>
          </w:p>
        </w:tc>
        <w:tc>
          <w:tcPr>
            <w:tcW w:w="600" w:type="dxa"/>
            <w:vAlign w:val="top"/>
          </w:tcPr>
          <w:p w14:paraId="483B41E7">
            <w:pPr>
              <w:pStyle w:val="6"/>
              <w:spacing w:before="125" w:line="232" w:lineRule="auto"/>
              <w:ind w:left="112"/>
              <w:rPr>
                <w:sz w:val="20"/>
                <w:szCs w:val="20"/>
              </w:rPr>
            </w:pPr>
            <w:r>
              <w:rPr>
                <w:spacing w:val="-1"/>
                <w:sz w:val="20"/>
                <w:szCs w:val="20"/>
              </w:rPr>
              <w:t>露天</w:t>
            </w:r>
          </w:p>
          <w:p w14:paraId="25222218">
            <w:pPr>
              <w:pStyle w:val="6"/>
              <w:spacing w:before="21" w:line="231" w:lineRule="auto"/>
              <w:ind w:left="106"/>
              <w:rPr>
                <w:sz w:val="20"/>
                <w:szCs w:val="20"/>
              </w:rPr>
            </w:pPr>
            <w:r>
              <w:rPr>
                <w:spacing w:val="2"/>
                <w:sz w:val="20"/>
                <w:szCs w:val="20"/>
              </w:rPr>
              <w:t>开采</w:t>
            </w:r>
          </w:p>
        </w:tc>
        <w:tc>
          <w:tcPr>
            <w:tcW w:w="1149" w:type="dxa"/>
            <w:vAlign w:val="top"/>
          </w:tcPr>
          <w:p w14:paraId="4D41EF4E">
            <w:pPr>
              <w:spacing w:before="298" w:line="195" w:lineRule="auto"/>
              <w:ind w:left="2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0.0296</w:t>
            </w:r>
          </w:p>
        </w:tc>
        <w:tc>
          <w:tcPr>
            <w:tcW w:w="1074" w:type="dxa"/>
            <w:tcBorders>
              <w:right w:val="single" w:color="000000" w:sz="10" w:space="0"/>
            </w:tcBorders>
            <w:vAlign w:val="top"/>
          </w:tcPr>
          <w:p w14:paraId="6BDB2F0A">
            <w:pPr>
              <w:pStyle w:val="6"/>
              <w:spacing w:before="125" w:line="231" w:lineRule="auto"/>
              <w:ind w:left="143"/>
              <w:rPr>
                <w:sz w:val="20"/>
                <w:szCs w:val="20"/>
              </w:rPr>
            </w:pPr>
            <w:r>
              <w:rPr>
                <w:spacing w:val="3"/>
                <w:sz w:val="20"/>
                <w:szCs w:val="20"/>
              </w:rPr>
              <w:t>空白区新</w:t>
            </w:r>
          </w:p>
          <w:p w14:paraId="293DE5CD">
            <w:pPr>
              <w:pStyle w:val="6"/>
              <w:spacing w:before="23" w:line="232" w:lineRule="auto"/>
              <w:ind w:left="445"/>
              <w:rPr>
                <w:sz w:val="20"/>
                <w:szCs w:val="20"/>
              </w:rPr>
            </w:pPr>
            <w:r>
              <w:rPr>
                <w:sz w:val="20"/>
                <w:szCs w:val="20"/>
              </w:rPr>
              <w:t>设</w:t>
            </w:r>
          </w:p>
        </w:tc>
      </w:tr>
      <w:tr w14:paraId="212E4C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8" w:hRule="atLeast"/>
        </w:trPr>
        <w:tc>
          <w:tcPr>
            <w:tcW w:w="496" w:type="dxa"/>
            <w:tcBorders>
              <w:left w:val="single" w:color="000000" w:sz="10" w:space="0"/>
            </w:tcBorders>
            <w:vAlign w:val="top"/>
          </w:tcPr>
          <w:p w14:paraId="0BB6EF6C">
            <w:pPr>
              <w:rPr>
                <w:rFonts w:ascii="Arial"/>
                <w:sz w:val="21"/>
              </w:rPr>
            </w:pPr>
          </w:p>
          <w:p w14:paraId="27ABDFEB">
            <w:pPr>
              <w:spacing w:before="58"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707" w:type="dxa"/>
            <w:vAlign w:val="top"/>
          </w:tcPr>
          <w:p w14:paraId="11BB7E2D">
            <w:pPr>
              <w:rPr>
                <w:rFonts w:ascii="Arial"/>
                <w:sz w:val="21"/>
              </w:rPr>
            </w:pPr>
          </w:p>
          <w:p w14:paraId="412048A0">
            <w:pPr>
              <w:spacing w:before="57" w:line="197" w:lineRule="auto"/>
              <w:ind w:left="43"/>
              <w:rPr>
                <w:rFonts w:ascii="Times New Roman" w:hAnsi="Times New Roman" w:eastAsia="Times New Roman" w:cs="Times New Roman"/>
                <w:sz w:val="20"/>
                <w:szCs w:val="20"/>
              </w:rPr>
            </w:pPr>
            <w:r>
              <w:rPr>
                <w:rFonts w:ascii="Times New Roman" w:hAnsi="Times New Roman" w:eastAsia="Times New Roman" w:cs="Times New Roman"/>
                <w:sz w:val="20"/>
                <w:szCs w:val="20"/>
              </w:rPr>
              <w:t>CQ</w:t>
            </w:r>
            <w:r>
              <w:rPr>
                <w:rFonts w:ascii="Times New Roman" w:hAnsi="Times New Roman" w:eastAsia="Times New Roman" w:cs="Times New Roman"/>
                <w:spacing w:val="6"/>
                <w:sz w:val="20"/>
                <w:szCs w:val="20"/>
              </w:rPr>
              <w:t>026</w:t>
            </w:r>
          </w:p>
        </w:tc>
        <w:tc>
          <w:tcPr>
            <w:tcW w:w="3351" w:type="dxa"/>
            <w:vAlign w:val="top"/>
          </w:tcPr>
          <w:p w14:paraId="4A797BF6">
            <w:pPr>
              <w:pStyle w:val="6"/>
              <w:spacing w:before="261" w:line="231" w:lineRule="auto"/>
              <w:ind w:left="215"/>
              <w:rPr>
                <w:sz w:val="20"/>
                <w:szCs w:val="20"/>
              </w:rPr>
            </w:pPr>
            <w:r>
              <w:rPr>
                <w:spacing w:val="8"/>
                <w:sz w:val="20"/>
                <w:szCs w:val="20"/>
              </w:rPr>
              <w:t>黔江区水田乡杉子岭石英砂岩矿</w:t>
            </w:r>
          </w:p>
        </w:tc>
        <w:tc>
          <w:tcPr>
            <w:tcW w:w="1501" w:type="dxa"/>
            <w:vAlign w:val="top"/>
          </w:tcPr>
          <w:p w14:paraId="61A13490">
            <w:pPr>
              <w:pStyle w:val="6"/>
              <w:spacing w:before="261" w:line="232" w:lineRule="auto"/>
              <w:ind w:left="239"/>
              <w:rPr>
                <w:sz w:val="20"/>
                <w:szCs w:val="20"/>
              </w:rPr>
            </w:pPr>
            <w:r>
              <w:rPr>
                <w:spacing w:val="7"/>
                <w:sz w:val="20"/>
                <w:szCs w:val="20"/>
              </w:rPr>
              <w:t>建筑用砂岩</w:t>
            </w:r>
          </w:p>
        </w:tc>
        <w:tc>
          <w:tcPr>
            <w:tcW w:w="600" w:type="dxa"/>
            <w:vAlign w:val="top"/>
          </w:tcPr>
          <w:p w14:paraId="2F390F97">
            <w:pPr>
              <w:pStyle w:val="6"/>
              <w:spacing w:before="127" w:line="232" w:lineRule="auto"/>
              <w:ind w:left="112"/>
              <w:rPr>
                <w:sz w:val="20"/>
                <w:szCs w:val="20"/>
              </w:rPr>
            </w:pPr>
            <w:r>
              <w:rPr>
                <w:spacing w:val="-1"/>
                <w:sz w:val="20"/>
                <w:szCs w:val="20"/>
              </w:rPr>
              <w:t>露天</w:t>
            </w:r>
          </w:p>
          <w:p w14:paraId="431BDAB3">
            <w:pPr>
              <w:pStyle w:val="6"/>
              <w:spacing w:before="19" w:line="231" w:lineRule="auto"/>
              <w:ind w:left="106"/>
              <w:rPr>
                <w:sz w:val="20"/>
                <w:szCs w:val="20"/>
              </w:rPr>
            </w:pPr>
            <w:r>
              <w:rPr>
                <w:spacing w:val="2"/>
                <w:sz w:val="20"/>
                <w:szCs w:val="20"/>
              </w:rPr>
              <w:t>开采</w:t>
            </w:r>
          </w:p>
        </w:tc>
        <w:tc>
          <w:tcPr>
            <w:tcW w:w="1149" w:type="dxa"/>
            <w:vAlign w:val="top"/>
          </w:tcPr>
          <w:p w14:paraId="54EE1925">
            <w:pPr>
              <w:rPr>
                <w:rFonts w:ascii="Arial"/>
                <w:sz w:val="21"/>
              </w:rPr>
            </w:pPr>
          </w:p>
          <w:p w14:paraId="39F6F1BB">
            <w:pPr>
              <w:spacing w:before="58" w:line="195" w:lineRule="auto"/>
              <w:ind w:left="3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2.605</w:t>
            </w:r>
          </w:p>
        </w:tc>
        <w:tc>
          <w:tcPr>
            <w:tcW w:w="1074" w:type="dxa"/>
            <w:tcBorders>
              <w:right w:val="single" w:color="000000" w:sz="10" w:space="0"/>
            </w:tcBorders>
            <w:vAlign w:val="top"/>
          </w:tcPr>
          <w:p w14:paraId="1D2330EC">
            <w:pPr>
              <w:pStyle w:val="6"/>
              <w:spacing w:before="126" w:line="231" w:lineRule="auto"/>
              <w:ind w:left="143"/>
              <w:rPr>
                <w:sz w:val="20"/>
                <w:szCs w:val="20"/>
              </w:rPr>
            </w:pPr>
            <w:r>
              <w:rPr>
                <w:spacing w:val="3"/>
                <w:sz w:val="20"/>
                <w:szCs w:val="20"/>
              </w:rPr>
              <w:t>空白区新</w:t>
            </w:r>
          </w:p>
          <w:p w14:paraId="3A03F0A9">
            <w:pPr>
              <w:pStyle w:val="6"/>
              <w:spacing w:before="21" w:line="232" w:lineRule="auto"/>
              <w:ind w:left="445"/>
              <w:rPr>
                <w:sz w:val="20"/>
                <w:szCs w:val="20"/>
              </w:rPr>
            </w:pPr>
            <w:r>
              <w:rPr>
                <w:sz w:val="20"/>
                <w:szCs w:val="20"/>
              </w:rPr>
              <w:t>设</w:t>
            </w:r>
          </w:p>
        </w:tc>
      </w:tr>
      <w:tr w14:paraId="3BF5D6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8" w:hRule="atLeast"/>
        </w:trPr>
        <w:tc>
          <w:tcPr>
            <w:tcW w:w="496" w:type="dxa"/>
            <w:tcBorders>
              <w:left w:val="single" w:color="000000" w:sz="10" w:space="0"/>
            </w:tcBorders>
            <w:vAlign w:val="top"/>
          </w:tcPr>
          <w:p w14:paraId="68F02362">
            <w:pPr>
              <w:spacing w:line="241" w:lineRule="auto"/>
              <w:rPr>
                <w:rFonts w:ascii="Arial"/>
                <w:sz w:val="21"/>
              </w:rPr>
            </w:pPr>
          </w:p>
          <w:p w14:paraId="6B73B202">
            <w:pPr>
              <w:spacing w:before="57"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707" w:type="dxa"/>
            <w:vAlign w:val="top"/>
          </w:tcPr>
          <w:p w14:paraId="4B83FBB7">
            <w:pPr>
              <w:rPr>
                <w:rFonts w:ascii="Arial"/>
                <w:sz w:val="21"/>
              </w:rPr>
            </w:pPr>
          </w:p>
          <w:p w14:paraId="5EAD2420">
            <w:pPr>
              <w:spacing w:before="58" w:line="197" w:lineRule="auto"/>
              <w:ind w:left="43"/>
              <w:rPr>
                <w:rFonts w:ascii="Times New Roman" w:hAnsi="Times New Roman" w:eastAsia="Times New Roman" w:cs="Times New Roman"/>
                <w:sz w:val="20"/>
                <w:szCs w:val="20"/>
              </w:rPr>
            </w:pPr>
            <w:r>
              <w:rPr>
                <w:rFonts w:ascii="Times New Roman" w:hAnsi="Times New Roman" w:eastAsia="Times New Roman" w:cs="Times New Roman"/>
                <w:sz w:val="20"/>
                <w:szCs w:val="20"/>
              </w:rPr>
              <w:t>CQ</w:t>
            </w:r>
            <w:r>
              <w:rPr>
                <w:rFonts w:ascii="Times New Roman" w:hAnsi="Times New Roman" w:eastAsia="Times New Roman" w:cs="Times New Roman"/>
                <w:spacing w:val="6"/>
                <w:sz w:val="20"/>
                <w:szCs w:val="20"/>
              </w:rPr>
              <w:t>027</w:t>
            </w:r>
          </w:p>
        </w:tc>
        <w:tc>
          <w:tcPr>
            <w:tcW w:w="3351" w:type="dxa"/>
            <w:vAlign w:val="top"/>
          </w:tcPr>
          <w:p w14:paraId="3613DBA5">
            <w:pPr>
              <w:pStyle w:val="6"/>
              <w:spacing w:before="127" w:line="230" w:lineRule="auto"/>
              <w:ind w:left="112"/>
              <w:rPr>
                <w:sz w:val="20"/>
                <w:szCs w:val="20"/>
              </w:rPr>
            </w:pPr>
            <w:r>
              <w:rPr>
                <w:spacing w:val="8"/>
                <w:sz w:val="20"/>
                <w:szCs w:val="20"/>
              </w:rPr>
              <w:t>重庆市黔江区水田乡石郎村桃子坡</w:t>
            </w:r>
          </w:p>
          <w:p w14:paraId="72479C3B">
            <w:pPr>
              <w:pStyle w:val="6"/>
              <w:spacing w:before="23" w:line="232" w:lineRule="auto"/>
              <w:ind w:left="1051"/>
              <w:rPr>
                <w:sz w:val="20"/>
                <w:szCs w:val="20"/>
              </w:rPr>
            </w:pPr>
            <w:r>
              <w:rPr>
                <w:spacing w:val="7"/>
                <w:sz w:val="20"/>
                <w:szCs w:val="20"/>
              </w:rPr>
              <w:t>水泥用灰岩矿</w:t>
            </w:r>
          </w:p>
        </w:tc>
        <w:tc>
          <w:tcPr>
            <w:tcW w:w="1501" w:type="dxa"/>
            <w:vAlign w:val="top"/>
          </w:tcPr>
          <w:p w14:paraId="034F68A2">
            <w:pPr>
              <w:pStyle w:val="6"/>
              <w:spacing w:before="263" w:line="232" w:lineRule="auto"/>
              <w:ind w:left="133"/>
              <w:rPr>
                <w:sz w:val="20"/>
                <w:szCs w:val="20"/>
              </w:rPr>
            </w:pPr>
            <w:r>
              <w:rPr>
                <w:spacing w:val="7"/>
                <w:sz w:val="20"/>
                <w:szCs w:val="20"/>
              </w:rPr>
              <w:t>水泥用灰岩矿</w:t>
            </w:r>
          </w:p>
        </w:tc>
        <w:tc>
          <w:tcPr>
            <w:tcW w:w="600" w:type="dxa"/>
            <w:vAlign w:val="top"/>
          </w:tcPr>
          <w:p w14:paraId="46F496C2">
            <w:pPr>
              <w:pStyle w:val="6"/>
              <w:spacing w:before="127" w:line="232" w:lineRule="auto"/>
              <w:ind w:left="112"/>
              <w:rPr>
                <w:sz w:val="20"/>
                <w:szCs w:val="20"/>
              </w:rPr>
            </w:pPr>
            <w:r>
              <w:rPr>
                <w:spacing w:val="-1"/>
                <w:sz w:val="20"/>
                <w:szCs w:val="20"/>
              </w:rPr>
              <w:t>露天</w:t>
            </w:r>
          </w:p>
          <w:p w14:paraId="0BC4F9E9">
            <w:pPr>
              <w:pStyle w:val="6"/>
              <w:spacing w:before="21" w:line="231" w:lineRule="auto"/>
              <w:ind w:left="106"/>
              <w:rPr>
                <w:sz w:val="20"/>
                <w:szCs w:val="20"/>
              </w:rPr>
            </w:pPr>
            <w:r>
              <w:rPr>
                <w:spacing w:val="2"/>
                <w:sz w:val="20"/>
                <w:szCs w:val="20"/>
              </w:rPr>
              <w:t>开采</w:t>
            </w:r>
          </w:p>
        </w:tc>
        <w:tc>
          <w:tcPr>
            <w:tcW w:w="1149" w:type="dxa"/>
            <w:vAlign w:val="top"/>
          </w:tcPr>
          <w:p w14:paraId="0CCD8298">
            <w:pPr>
              <w:spacing w:line="241" w:lineRule="auto"/>
              <w:rPr>
                <w:rFonts w:ascii="Arial"/>
                <w:sz w:val="21"/>
              </w:rPr>
            </w:pPr>
          </w:p>
          <w:p w14:paraId="6A232895">
            <w:pPr>
              <w:spacing w:before="57" w:line="195" w:lineRule="auto"/>
              <w:ind w:left="2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0.9702</w:t>
            </w:r>
          </w:p>
        </w:tc>
        <w:tc>
          <w:tcPr>
            <w:tcW w:w="1074" w:type="dxa"/>
            <w:tcBorders>
              <w:right w:val="single" w:color="000000" w:sz="10" w:space="0"/>
            </w:tcBorders>
            <w:vAlign w:val="top"/>
          </w:tcPr>
          <w:p w14:paraId="50A964CC">
            <w:pPr>
              <w:pStyle w:val="6"/>
              <w:spacing w:before="264" w:line="227" w:lineRule="auto"/>
              <w:ind w:left="237"/>
              <w:rPr>
                <w:sz w:val="20"/>
                <w:szCs w:val="20"/>
              </w:rPr>
            </w:pPr>
            <w:r>
              <w:rPr>
                <w:spacing w:val="5"/>
                <w:sz w:val="20"/>
                <w:szCs w:val="20"/>
              </w:rPr>
              <w:t>探转采</w:t>
            </w:r>
          </w:p>
        </w:tc>
      </w:tr>
      <w:tr w14:paraId="617707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0" w:hRule="atLeast"/>
        </w:trPr>
        <w:tc>
          <w:tcPr>
            <w:tcW w:w="496" w:type="dxa"/>
            <w:tcBorders>
              <w:left w:val="single" w:color="000000" w:sz="10" w:space="0"/>
              <w:bottom w:val="single" w:color="000000" w:sz="10" w:space="0"/>
            </w:tcBorders>
            <w:vAlign w:val="top"/>
          </w:tcPr>
          <w:p w14:paraId="5807C4A0">
            <w:pPr>
              <w:spacing w:line="243" w:lineRule="auto"/>
              <w:rPr>
                <w:rFonts w:ascii="Arial"/>
                <w:sz w:val="21"/>
              </w:rPr>
            </w:pPr>
          </w:p>
          <w:p w14:paraId="684E4CFF">
            <w:pPr>
              <w:spacing w:before="58"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707" w:type="dxa"/>
            <w:tcBorders>
              <w:bottom w:val="single" w:color="000000" w:sz="10" w:space="0"/>
            </w:tcBorders>
            <w:vAlign w:val="top"/>
          </w:tcPr>
          <w:p w14:paraId="17A49547">
            <w:pPr>
              <w:spacing w:line="243" w:lineRule="auto"/>
              <w:rPr>
                <w:rFonts w:ascii="Arial"/>
                <w:sz w:val="21"/>
              </w:rPr>
            </w:pPr>
          </w:p>
          <w:p w14:paraId="62E75002">
            <w:pPr>
              <w:spacing w:before="57" w:line="197" w:lineRule="auto"/>
              <w:ind w:left="43"/>
              <w:rPr>
                <w:rFonts w:ascii="Times New Roman" w:hAnsi="Times New Roman" w:eastAsia="Times New Roman" w:cs="Times New Roman"/>
                <w:sz w:val="20"/>
                <w:szCs w:val="20"/>
              </w:rPr>
            </w:pPr>
            <w:r>
              <w:rPr>
                <w:rFonts w:ascii="Times New Roman" w:hAnsi="Times New Roman" w:eastAsia="Times New Roman" w:cs="Times New Roman"/>
                <w:sz w:val="20"/>
                <w:szCs w:val="20"/>
              </w:rPr>
              <w:t>CQ</w:t>
            </w:r>
            <w:r>
              <w:rPr>
                <w:rFonts w:ascii="Times New Roman" w:hAnsi="Times New Roman" w:eastAsia="Times New Roman" w:cs="Times New Roman"/>
                <w:spacing w:val="6"/>
                <w:sz w:val="20"/>
                <w:szCs w:val="20"/>
              </w:rPr>
              <w:t>028</w:t>
            </w:r>
          </w:p>
        </w:tc>
        <w:tc>
          <w:tcPr>
            <w:tcW w:w="3351" w:type="dxa"/>
            <w:tcBorders>
              <w:bottom w:val="single" w:color="000000" w:sz="10" w:space="0"/>
            </w:tcBorders>
            <w:vAlign w:val="top"/>
          </w:tcPr>
          <w:p w14:paraId="0F34829E">
            <w:pPr>
              <w:pStyle w:val="6"/>
              <w:spacing w:before="129" w:line="231" w:lineRule="auto"/>
              <w:ind w:left="112"/>
              <w:rPr>
                <w:sz w:val="20"/>
                <w:szCs w:val="20"/>
              </w:rPr>
            </w:pPr>
            <w:r>
              <w:rPr>
                <w:spacing w:val="8"/>
                <w:sz w:val="20"/>
                <w:szCs w:val="20"/>
              </w:rPr>
              <w:t>重庆市黔江区邻鄂镇殷家坨饰面石</w:t>
            </w:r>
          </w:p>
          <w:p w14:paraId="00C4AC73">
            <w:pPr>
              <w:pStyle w:val="6"/>
              <w:spacing w:before="23" w:line="232" w:lineRule="auto"/>
              <w:ind w:left="1156"/>
              <w:rPr>
                <w:sz w:val="20"/>
                <w:szCs w:val="20"/>
              </w:rPr>
            </w:pPr>
            <w:r>
              <w:rPr>
                <w:spacing w:val="7"/>
                <w:sz w:val="20"/>
                <w:szCs w:val="20"/>
              </w:rPr>
              <w:t>材用灰岩矿</w:t>
            </w:r>
          </w:p>
        </w:tc>
        <w:tc>
          <w:tcPr>
            <w:tcW w:w="1501" w:type="dxa"/>
            <w:tcBorders>
              <w:bottom w:val="single" w:color="000000" w:sz="10" w:space="0"/>
            </w:tcBorders>
            <w:vAlign w:val="top"/>
          </w:tcPr>
          <w:p w14:paraId="68F10594">
            <w:pPr>
              <w:pStyle w:val="6"/>
              <w:spacing w:before="128" w:line="254" w:lineRule="auto"/>
              <w:ind w:left="659" w:right="12" w:hanging="630"/>
              <w:rPr>
                <w:sz w:val="20"/>
                <w:szCs w:val="20"/>
              </w:rPr>
            </w:pPr>
            <w:r>
              <w:rPr>
                <w:spacing w:val="7"/>
                <w:sz w:val="20"/>
                <w:szCs w:val="20"/>
              </w:rPr>
              <w:t>饰面石材用灰岩</w:t>
            </w:r>
            <w:r>
              <w:rPr>
                <w:spacing w:val="4"/>
                <w:sz w:val="20"/>
                <w:szCs w:val="20"/>
              </w:rPr>
              <w:t xml:space="preserve"> </w:t>
            </w:r>
            <w:r>
              <w:rPr>
                <w:sz w:val="20"/>
                <w:szCs w:val="20"/>
              </w:rPr>
              <w:t>矿</w:t>
            </w:r>
          </w:p>
        </w:tc>
        <w:tc>
          <w:tcPr>
            <w:tcW w:w="600" w:type="dxa"/>
            <w:tcBorders>
              <w:bottom w:val="single" w:color="000000" w:sz="10" w:space="0"/>
            </w:tcBorders>
            <w:vAlign w:val="top"/>
          </w:tcPr>
          <w:p w14:paraId="69B0BA9D">
            <w:pPr>
              <w:pStyle w:val="6"/>
              <w:spacing w:before="130" w:line="232" w:lineRule="auto"/>
              <w:ind w:left="112"/>
              <w:rPr>
                <w:sz w:val="20"/>
                <w:szCs w:val="20"/>
              </w:rPr>
            </w:pPr>
            <w:r>
              <w:rPr>
                <w:spacing w:val="-1"/>
                <w:sz w:val="20"/>
                <w:szCs w:val="20"/>
              </w:rPr>
              <w:t>露天</w:t>
            </w:r>
          </w:p>
          <w:p w14:paraId="37026719">
            <w:pPr>
              <w:pStyle w:val="6"/>
              <w:spacing w:before="21" w:line="231" w:lineRule="auto"/>
              <w:ind w:left="106"/>
              <w:rPr>
                <w:sz w:val="20"/>
                <w:szCs w:val="20"/>
              </w:rPr>
            </w:pPr>
            <w:r>
              <w:rPr>
                <w:spacing w:val="2"/>
                <w:sz w:val="20"/>
                <w:szCs w:val="20"/>
              </w:rPr>
              <w:t>开采</w:t>
            </w:r>
          </w:p>
        </w:tc>
        <w:tc>
          <w:tcPr>
            <w:tcW w:w="1149" w:type="dxa"/>
            <w:tcBorders>
              <w:bottom w:val="single" w:color="000000" w:sz="10" w:space="0"/>
            </w:tcBorders>
            <w:vAlign w:val="top"/>
          </w:tcPr>
          <w:p w14:paraId="33F9416E">
            <w:pPr>
              <w:spacing w:line="243" w:lineRule="auto"/>
              <w:rPr>
                <w:rFonts w:ascii="Arial"/>
                <w:sz w:val="21"/>
              </w:rPr>
            </w:pPr>
          </w:p>
          <w:p w14:paraId="04C5BEFE">
            <w:pPr>
              <w:spacing w:before="58" w:line="195" w:lineRule="auto"/>
              <w:ind w:left="2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0.2418</w:t>
            </w:r>
          </w:p>
        </w:tc>
        <w:tc>
          <w:tcPr>
            <w:tcW w:w="1074" w:type="dxa"/>
            <w:tcBorders>
              <w:bottom w:val="single" w:color="000000" w:sz="10" w:space="0"/>
              <w:right w:val="single" w:color="000000" w:sz="10" w:space="0"/>
            </w:tcBorders>
            <w:vAlign w:val="top"/>
          </w:tcPr>
          <w:p w14:paraId="09869D2D">
            <w:pPr>
              <w:pStyle w:val="6"/>
              <w:spacing w:before="264" w:line="227" w:lineRule="auto"/>
              <w:ind w:left="237"/>
              <w:rPr>
                <w:sz w:val="20"/>
                <w:szCs w:val="20"/>
              </w:rPr>
            </w:pPr>
            <w:r>
              <w:rPr>
                <w:spacing w:val="5"/>
                <w:sz w:val="20"/>
                <w:szCs w:val="20"/>
              </w:rPr>
              <w:t>探转采</w:t>
            </w:r>
          </w:p>
        </w:tc>
      </w:tr>
    </w:tbl>
    <w:p w14:paraId="156B2953">
      <w:pPr>
        <w:pStyle w:val="2"/>
      </w:pPr>
    </w:p>
    <w:p w14:paraId="0EEAEF95">
      <w:pPr>
        <w:sectPr>
          <w:headerReference r:id="rId49" w:type="default"/>
          <w:footerReference r:id="rId50" w:type="default"/>
          <w:pgSz w:w="11906" w:h="16839"/>
          <w:pgMar w:top="1116" w:right="1444" w:bottom="1480" w:left="1557" w:header="683" w:footer="1318" w:gutter="0"/>
          <w:cols w:space="720" w:num="1"/>
        </w:sectPr>
      </w:pPr>
    </w:p>
    <w:p w14:paraId="0B328C88">
      <w:pPr>
        <w:spacing w:before="82"/>
      </w:pPr>
    </w:p>
    <w:tbl>
      <w:tblPr>
        <w:tblStyle w:val="5"/>
        <w:tblW w:w="8878" w:type="dxa"/>
        <w:tblInd w:w="10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6"/>
        <w:gridCol w:w="707"/>
        <w:gridCol w:w="3351"/>
        <w:gridCol w:w="1501"/>
        <w:gridCol w:w="600"/>
        <w:gridCol w:w="1149"/>
        <w:gridCol w:w="1074"/>
      </w:tblGrid>
      <w:tr w14:paraId="527B47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8" w:hRule="atLeast"/>
        </w:trPr>
        <w:tc>
          <w:tcPr>
            <w:tcW w:w="496" w:type="dxa"/>
            <w:tcBorders>
              <w:top w:val="single" w:color="000000" w:sz="10" w:space="0"/>
              <w:left w:val="single" w:color="000000" w:sz="10" w:space="0"/>
            </w:tcBorders>
            <w:vAlign w:val="top"/>
          </w:tcPr>
          <w:p w14:paraId="41FDEDBF">
            <w:pPr>
              <w:spacing w:before="283"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29</w:t>
            </w:r>
          </w:p>
        </w:tc>
        <w:tc>
          <w:tcPr>
            <w:tcW w:w="707" w:type="dxa"/>
            <w:tcBorders>
              <w:top w:val="single" w:color="000000" w:sz="10" w:space="0"/>
            </w:tcBorders>
            <w:vAlign w:val="top"/>
          </w:tcPr>
          <w:p w14:paraId="2CD2BBC3">
            <w:pPr>
              <w:spacing w:before="283" w:line="197" w:lineRule="auto"/>
              <w:ind w:left="43"/>
              <w:rPr>
                <w:rFonts w:ascii="Times New Roman" w:hAnsi="Times New Roman" w:eastAsia="Times New Roman" w:cs="Times New Roman"/>
                <w:sz w:val="20"/>
                <w:szCs w:val="20"/>
              </w:rPr>
            </w:pPr>
            <w:r>
              <w:rPr>
                <w:rFonts w:ascii="Times New Roman" w:hAnsi="Times New Roman" w:eastAsia="Times New Roman" w:cs="Times New Roman"/>
                <w:sz w:val="20"/>
                <w:szCs w:val="20"/>
              </w:rPr>
              <w:t>CQ</w:t>
            </w:r>
            <w:r>
              <w:rPr>
                <w:rFonts w:ascii="Times New Roman" w:hAnsi="Times New Roman" w:eastAsia="Times New Roman" w:cs="Times New Roman"/>
                <w:spacing w:val="6"/>
                <w:sz w:val="20"/>
                <w:szCs w:val="20"/>
              </w:rPr>
              <w:t>029</w:t>
            </w:r>
          </w:p>
        </w:tc>
        <w:tc>
          <w:tcPr>
            <w:tcW w:w="3351" w:type="dxa"/>
            <w:tcBorders>
              <w:top w:val="single" w:color="000000" w:sz="10" w:space="0"/>
            </w:tcBorders>
            <w:vAlign w:val="top"/>
          </w:tcPr>
          <w:p w14:paraId="056C4C8A">
            <w:pPr>
              <w:pStyle w:val="6"/>
              <w:spacing w:before="110" w:line="231" w:lineRule="auto"/>
              <w:ind w:left="112"/>
              <w:rPr>
                <w:sz w:val="20"/>
                <w:szCs w:val="20"/>
              </w:rPr>
            </w:pPr>
            <w:r>
              <w:rPr>
                <w:spacing w:val="8"/>
                <w:sz w:val="20"/>
                <w:szCs w:val="20"/>
              </w:rPr>
              <w:t>重庆市黔江区沙坝镇脉东社区石筒</w:t>
            </w:r>
          </w:p>
          <w:p w14:paraId="4ECFD979">
            <w:pPr>
              <w:pStyle w:val="6"/>
              <w:spacing w:before="23" w:line="232" w:lineRule="auto"/>
              <w:ind w:left="949"/>
              <w:rPr>
                <w:sz w:val="20"/>
                <w:szCs w:val="20"/>
              </w:rPr>
            </w:pPr>
            <w:r>
              <w:rPr>
                <w:spacing w:val="7"/>
                <w:sz w:val="20"/>
                <w:szCs w:val="20"/>
              </w:rPr>
              <w:t>漕饰面用灰岩矿</w:t>
            </w:r>
          </w:p>
        </w:tc>
        <w:tc>
          <w:tcPr>
            <w:tcW w:w="1501" w:type="dxa"/>
            <w:tcBorders>
              <w:top w:val="single" w:color="000000" w:sz="10" w:space="0"/>
            </w:tcBorders>
            <w:vAlign w:val="top"/>
          </w:tcPr>
          <w:p w14:paraId="3D006F41">
            <w:pPr>
              <w:pStyle w:val="6"/>
              <w:spacing w:before="109" w:line="254" w:lineRule="auto"/>
              <w:ind w:left="659" w:right="12" w:hanging="630"/>
              <w:rPr>
                <w:sz w:val="20"/>
                <w:szCs w:val="20"/>
              </w:rPr>
            </w:pPr>
            <w:r>
              <w:rPr>
                <w:spacing w:val="7"/>
                <w:sz w:val="20"/>
                <w:szCs w:val="20"/>
              </w:rPr>
              <w:t>饰面石材用灰岩</w:t>
            </w:r>
            <w:r>
              <w:rPr>
                <w:spacing w:val="4"/>
                <w:sz w:val="20"/>
                <w:szCs w:val="20"/>
              </w:rPr>
              <w:t xml:space="preserve"> </w:t>
            </w:r>
            <w:r>
              <w:rPr>
                <w:sz w:val="20"/>
                <w:szCs w:val="20"/>
              </w:rPr>
              <w:t>矿</w:t>
            </w:r>
          </w:p>
        </w:tc>
        <w:tc>
          <w:tcPr>
            <w:tcW w:w="600" w:type="dxa"/>
            <w:tcBorders>
              <w:top w:val="single" w:color="000000" w:sz="10" w:space="0"/>
            </w:tcBorders>
            <w:vAlign w:val="top"/>
          </w:tcPr>
          <w:p w14:paraId="60752A84">
            <w:pPr>
              <w:pStyle w:val="6"/>
              <w:spacing w:before="111" w:line="232" w:lineRule="auto"/>
              <w:ind w:left="112"/>
              <w:rPr>
                <w:sz w:val="20"/>
                <w:szCs w:val="20"/>
              </w:rPr>
            </w:pPr>
            <w:r>
              <w:rPr>
                <w:spacing w:val="-1"/>
                <w:sz w:val="20"/>
                <w:szCs w:val="20"/>
              </w:rPr>
              <w:t>露天</w:t>
            </w:r>
          </w:p>
          <w:p w14:paraId="6715D4EC">
            <w:pPr>
              <w:pStyle w:val="6"/>
              <w:spacing w:before="21" w:line="231" w:lineRule="auto"/>
              <w:ind w:left="106"/>
              <w:rPr>
                <w:sz w:val="20"/>
                <w:szCs w:val="20"/>
              </w:rPr>
            </w:pPr>
            <w:r>
              <w:rPr>
                <w:spacing w:val="2"/>
                <w:sz w:val="20"/>
                <w:szCs w:val="20"/>
              </w:rPr>
              <w:t>开采</w:t>
            </w:r>
          </w:p>
        </w:tc>
        <w:tc>
          <w:tcPr>
            <w:tcW w:w="1149" w:type="dxa"/>
            <w:tcBorders>
              <w:top w:val="single" w:color="000000" w:sz="10" w:space="0"/>
            </w:tcBorders>
            <w:vAlign w:val="top"/>
          </w:tcPr>
          <w:p w14:paraId="69D8CB1B">
            <w:pPr>
              <w:spacing w:before="283" w:line="195" w:lineRule="auto"/>
              <w:ind w:left="2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0.0297</w:t>
            </w:r>
          </w:p>
        </w:tc>
        <w:tc>
          <w:tcPr>
            <w:tcW w:w="1074" w:type="dxa"/>
            <w:tcBorders>
              <w:top w:val="single" w:color="000000" w:sz="10" w:space="0"/>
              <w:right w:val="single" w:color="000000" w:sz="10" w:space="0"/>
            </w:tcBorders>
            <w:vAlign w:val="top"/>
          </w:tcPr>
          <w:p w14:paraId="0E303B2B">
            <w:pPr>
              <w:pStyle w:val="6"/>
              <w:spacing w:before="245" w:line="227" w:lineRule="auto"/>
              <w:ind w:left="237"/>
              <w:rPr>
                <w:sz w:val="20"/>
                <w:szCs w:val="20"/>
              </w:rPr>
            </w:pPr>
            <w:r>
              <w:rPr>
                <w:spacing w:val="5"/>
                <w:sz w:val="20"/>
                <w:szCs w:val="20"/>
              </w:rPr>
              <w:t>探转采</w:t>
            </w:r>
          </w:p>
        </w:tc>
      </w:tr>
      <w:tr w14:paraId="1C4EB0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496" w:type="dxa"/>
            <w:tcBorders>
              <w:left w:val="single" w:color="000000" w:sz="10" w:space="0"/>
            </w:tcBorders>
            <w:vAlign w:val="top"/>
          </w:tcPr>
          <w:p w14:paraId="381A4579">
            <w:pPr>
              <w:spacing w:before="283" w:line="195" w:lineRule="auto"/>
              <w:ind w:left="134"/>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707" w:type="dxa"/>
            <w:vAlign w:val="top"/>
          </w:tcPr>
          <w:p w14:paraId="612B18CB">
            <w:pPr>
              <w:spacing w:before="283" w:line="197" w:lineRule="auto"/>
              <w:ind w:left="43"/>
              <w:rPr>
                <w:rFonts w:ascii="Times New Roman" w:hAnsi="Times New Roman" w:eastAsia="Times New Roman" w:cs="Times New Roman"/>
                <w:sz w:val="20"/>
                <w:szCs w:val="20"/>
              </w:rPr>
            </w:pPr>
            <w:r>
              <w:rPr>
                <w:rFonts w:ascii="Times New Roman" w:hAnsi="Times New Roman" w:eastAsia="Times New Roman" w:cs="Times New Roman"/>
                <w:sz w:val="20"/>
                <w:szCs w:val="20"/>
              </w:rPr>
              <w:t>CQ</w:t>
            </w:r>
            <w:r>
              <w:rPr>
                <w:rFonts w:ascii="Times New Roman" w:hAnsi="Times New Roman" w:eastAsia="Times New Roman" w:cs="Times New Roman"/>
                <w:spacing w:val="6"/>
                <w:sz w:val="20"/>
                <w:szCs w:val="20"/>
              </w:rPr>
              <w:t>030</w:t>
            </w:r>
          </w:p>
        </w:tc>
        <w:tc>
          <w:tcPr>
            <w:tcW w:w="3351" w:type="dxa"/>
            <w:vAlign w:val="top"/>
          </w:tcPr>
          <w:p w14:paraId="19A6373B">
            <w:pPr>
              <w:pStyle w:val="6"/>
              <w:spacing w:before="113" w:line="230" w:lineRule="auto"/>
              <w:ind w:left="112"/>
              <w:rPr>
                <w:sz w:val="20"/>
                <w:szCs w:val="20"/>
              </w:rPr>
            </w:pPr>
            <w:r>
              <w:rPr>
                <w:spacing w:val="8"/>
                <w:sz w:val="20"/>
                <w:szCs w:val="20"/>
              </w:rPr>
              <w:t>重庆市黔江区石家镇清塘村风岩坡</w:t>
            </w:r>
          </w:p>
          <w:p w14:paraId="174FD22F">
            <w:pPr>
              <w:pStyle w:val="6"/>
              <w:spacing w:before="22" w:line="232" w:lineRule="auto"/>
              <w:ind w:left="1164"/>
              <w:rPr>
                <w:sz w:val="20"/>
                <w:szCs w:val="20"/>
              </w:rPr>
            </w:pPr>
            <w:r>
              <w:rPr>
                <w:spacing w:val="5"/>
                <w:sz w:val="20"/>
                <w:szCs w:val="20"/>
              </w:rPr>
              <w:t>萤石矿普查</w:t>
            </w:r>
          </w:p>
        </w:tc>
        <w:tc>
          <w:tcPr>
            <w:tcW w:w="1501" w:type="dxa"/>
            <w:vAlign w:val="top"/>
          </w:tcPr>
          <w:p w14:paraId="05526081">
            <w:pPr>
              <w:pStyle w:val="6"/>
              <w:spacing w:before="248" w:line="232" w:lineRule="auto"/>
              <w:ind w:left="455"/>
              <w:rPr>
                <w:sz w:val="20"/>
                <w:szCs w:val="20"/>
              </w:rPr>
            </w:pPr>
            <w:r>
              <w:rPr>
                <w:spacing w:val="2"/>
                <w:sz w:val="20"/>
                <w:szCs w:val="20"/>
              </w:rPr>
              <w:t>萤石矿</w:t>
            </w:r>
          </w:p>
        </w:tc>
        <w:tc>
          <w:tcPr>
            <w:tcW w:w="600" w:type="dxa"/>
            <w:vAlign w:val="top"/>
          </w:tcPr>
          <w:p w14:paraId="31CDE075">
            <w:pPr>
              <w:pStyle w:val="6"/>
              <w:spacing w:before="113" w:line="231" w:lineRule="auto"/>
              <w:ind w:left="107"/>
              <w:rPr>
                <w:sz w:val="20"/>
                <w:szCs w:val="20"/>
              </w:rPr>
            </w:pPr>
            <w:r>
              <w:rPr>
                <w:spacing w:val="1"/>
                <w:sz w:val="20"/>
                <w:szCs w:val="20"/>
              </w:rPr>
              <w:t>地下</w:t>
            </w:r>
          </w:p>
          <w:p w14:paraId="6EFBA94B">
            <w:pPr>
              <w:pStyle w:val="6"/>
              <w:spacing w:before="20" w:line="231" w:lineRule="auto"/>
              <w:ind w:left="106"/>
              <w:rPr>
                <w:sz w:val="20"/>
                <w:szCs w:val="20"/>
              </w:rPr>
            </w:pPr>
            <w:r>
              <w:rPr>
                <w:spacing w:val="2"/>
                <w:sz w:val="20"/>
                <w:szCs w:val="20"/>
              </w:rPr>
              <w:t>开采</w:t>
            </w:r>
          </w:p>
        </w:tc>
        <w:tc>
          <w:tcPr>
            <w:tcW w:w="1149" w:type="dxa"/>
            <w:vAlign w:val="top"/>
          </w:tcPr>
          <w:p w14:paraId="53787559">
            <w:pPr>
              <w:spacing w:before="283" w:line="195" w:lineRule="auto"/>
              <w:ind w:left="2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0.2620</w:t>
            </w:r>
          </w:p>
        </w:tc>
        <w:tc>
          <w:tcPr>
            <w:tcW w:w="1074" w:type="dxa"/>
            <w:tcBorders>
              <w:right w:val="single" w:color="000000" w:sz="10" w:space="0"/>
            </w:tcBorders>
            <w:vAlign w:val="top"/>
          </w:tcPr>
          <w:p w14:paraId="327666AA">
            <w:pPr>
              <w:pStyle w:val="6"/>
              <w:spacing w:before="248" w:line="227" w:lineRule="auto"/>
              <w:ind w:left="237"/>
              <w:rPr>
                <w:sz w:val="20"/>
                <w:szCs w:val="20"/>
              </w:rPr>
            </w:pPr>
            <w:r>
              <w:rPr>
                <w:spacing w:val="5"/>
                <w:sz w:val="20"/>
                <w:szCs w:val="20"/>
              </w:rPr>
              <w:t>探转采</w:t>
            </w:r>
          </w:p>
        </w:tc>
      </w:tr>
      <w:tr w14:paraId="2FC785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496" w:type="dxa"/>
            <w:tcBorders>
              <w:left w:val="single" w:color="000000" w:sz="10" w:space="0"/>
            </w:tcBorders>
            <w:vAlign w:val="top"/>
          </w:tcPr>
          <w:p w14:paraId="44F54939">
            <w:pPr>
              <w:spacing w:before="291" w:line="195" w:lineRule="auto"/>
              <w:ind w:left="134"/>
              <w:rPr>
                <w:rFonts w:ascii="Times New Roman" w:hAnsi="Times New Roman" w:eastAsia="Times New Roman" w:cs="Times New Roman"/>
                <w:sz w:val="20"/>
                <w:szCs w:val="20"/>
              </w:rPr>
            </w:pPr>
            <w:r>
              <w:rPr>
                <w:rFonts w:ascii="Times New Roman" w:hAnsi="Times New Roman" w:eastAsia="Times New Roman" w:cs="Times New Roman"/>
                <w:sz w:val="20"/>
                <w:szCs w:val="20"/>
              </w:rPr>
              <w:t>31</w:t>
            </w:r>
          </w:p>
        </w:tc>
        <w:tc>
          <w:tcPr>
            <w:tcW w:w="707" w:type="dxa"/>
            <w:vAlign w:val="top"/>
          </w:tcPr>
          <w:p w14:paraId="2934FFEC">
            <w:pPr>
              <w:spacing w:before="291" w:line="197" w:lineRule="auto"/>
              <w:ind w:left="43"/>
              <w:rPr>
                <w:rFonts w:ascii="Times New Roman" w:hAnsi="Times New Roman" w:eastAsia="Times New Roman" w:cs="Times New Roman"/>
                <w:sz w:val="20"/>
                <w:szCs w:val="20"/>
              </w:rPr>
            </w:pPr>
            <w:r>
              <w:rPr>
                <w:rFonts w:ascii="Times New Roman" w:hAnsi="Times New Roman" w:eastAsia="Times New Roman" w:cs="Times New Roman"/>
                <w:sz w:val="20"/>
                <w:szCs w:val="20"/>
              </w:rPr>
              <w:t>CQ</w:t>
            </w:r>
            <w:r>
              <w:rPr>
                <w:rFonts w:ascii="Times New Roman" w:hAnsi="Times New Roman" w:eastAsia="Times New Roman" w:cs="Times New Roman"/>
                <w:spacing w:val="6"/>
                <w:sz w:val="20"/>
                <w:szCs w:val="20"/>
              </w:rPr>
              <w:t>031</w:t>
            </w:r>
          </w:p>
        </w:tc>
        <w:tc>
          <w:tcPr>
            <w:tcW w:w="3351" w:type="dxa"/>
            <w:vAlign w:val="top"/>
          </w:tcPr>
          <w:p w14:paraId="3974F2D4">
            <w:pPr>
              <w:pStyle w:val="6"/>
              <w:spacing w:before="118" w:line="230" w:lineRule="auto"/>
              <w:ind w:left="112"/>
              <w:rPr>
                <w:sz w:val="20"/>
                <w:szCs w:val="20"/>
              </w:rPr>
            </w:pPr>
            <w:r>
              <w:rPr>
                <w:spacing w:val="8"/>
                <w:sz w:val="20"/>
                <w:szCs w:val="20"/>
              </w:rPr>
              <w:t>重庆市黔江区新华乡大田村长湾重</w:t>
            </w:r>
          </w:p>
          <w:p w14:paraId="317968F2">
            <w:pPr>
              <w:pStyle w:val="6"/>
              <w:spacing w:before="23" w:line="232" w:lineRule="auto"/>
              <w:ind w:left="1383"/>
              <w:rPr>
                <w:sz w:val="20"/>
                <w:szCs w:val="20"/>
              </w:rPr>
            </w:pPr>
            <w:r>
              <w:rPr>
                <w:spacing w:val="-1"/>
                <w:sz w:val="20"/>
                <w:szCs w:val="20"/>
              </w:rPr>
              <w:t>晶石矿</w:t>
            </w:r>
          </w:p>
        </w:tc>
        <w:tc>
          <w:tcPr>
            <w:tcW w:w="1501" w:type="dxa"/>
            <w:vAlign w:val="top"/>
          </w:tcPr>
          <w:p w14:paraId="07F089A0">
            <w:pPr>
              <w:pStyle w:val="6"/>
              <w:spacing w:before="254" w:line="232" w:lineRule="auto"/>
              <w:ind w:left="349"/>
              <w:rPr>
                <w:sz w:val="20"/>
                <w:szCs w:val="20"/>
              </w:rPr>
            </w:pPr>
            <w:r>
              <w:rPr>
                <w:spacing w:val="4"/>
                <w:sz w:val="20"/>
                <w:szCs w:val="20"/>
              </w:rPr>
              <w:t>重晶石矿</w:t>
            </w:r>
          </w:p>
        </w:tc>
        <w:tc>
          <w:tcPr>
            <w:tcW w:w="600" w:type="dxa"/>
            <w:vAlign w:val="top"/>
          </w:tcPr>
          <w:p w14:paraId="023E3CF2">
            <w:pPr>
              <w:pStyle w:val="6"/>
              <w:spacing w:before="118" w:line="231" w:lineRule="auto"/>
              <w:ind w:left="107"/>
              <w:rPr>
                <w:sz w:val="20"/>
                <w:szCs w:val="20"/>
              </w:rPr>
            </w:pPr>
            <w:r>
              <w:rPr>
                <w:spacing w:val="1"/>
                <w:sz w:val="20"/>
                <w:szCs w:val="20"/>
              </w:rPr>
              <w:t>地下</w:t>
            </w:r>
          </w:p>
          <w:p w14:paraId="44968B0E">
            <w:pPr>
              <w:pStyle w:val="6"/>
              <w:spacing w:before="23" w:line="231" w:lineRule="auto"/>
              <w:ind w:left="106"/>
              <w:rPr>
                <w:sz w:val="20"/>
                <w:szCs w:val="20"/>
              </w:rPr>
            </w:pPr>
            <w:r>
              <w:rPr>
                <w:spacing w:val="2"/>
                <w:sz w:val="20"/>
                <w:szCs w:val="20"/>
              </w:rPr>
              <w:t>开采</w:t>
            </w:r>
          </w:p>
        </w:tc>
        <w:tc>
          <w:tcPr>
            <w:tcW w:w="1149" w:type="dxa"/>
            <w:vAlign w:val="top"/>
          </w:tcPr>
          <w:p w14:paraId="3DE84D9E">
            <w:pPr>
              <w:spacing w:before="291"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22.1643</w:t>
            </w:r>
          </w:p>
        </w:tc>
        <w:tc>
          <w:tcPr>
            <w:tcW w:w="1074" w:type="dxa"/>
            <w:tcBorders>
              <w:right w:val="single" w:color="000000" w:sz="10" w:space="0"/>
            </w:tcBorders>
            <w:vAlign w:val="top"/>
          </w:tcPr>
          <w:p w14:paraId="23E230D3">
            <w:pPr>
              <w:pStyle w:val="6"/>
              <w:spacing w:before="255" w:line="227" w:lineRule="auto"/>
              <w:ind w:left="237"/>
              <w:rPr>
                <w:sz w:val="20"/>
                <w:szCs w:val="20"/>
              </w:rPr>
            </w:pPr>
            <w:r>
              <w:rPr>
                <w:spacing w:val="5"/>
                <w:sz w:val="20"/>
                <w:szCs w:val="20"/>
              </w:rPr>
              <w:t>探转采</w:t>
            </w:r>
          </w:p>
        </w:tc>
      </w:tr>
      <w:tr w14:paraId="5F6581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7" w:hRule="atLeast"/>
        </w:trPr>
        <w:tc>
          <w:tcPr>
            <w:tcW w:w="496" w:type="dxa"/>
            <w:tcBorders>
              <w:left w:val="single" w:color="000000" w:sz="10" w:space="0"/>
              <w:bottom w:val="single" w:color="000000" w:sz="10" w:space="0"/>
            </w:tcBorders>
            <w:vAlign w:val="top"/>
          </w:tcPr>
          <w:p w14:paraId="71613842">
            <w:pPr>
              <w:spacing w:before="297"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32</w:t>
            </w:r>
          </w:p>
        </w:tc>
        <w:tc>
          <w:tcPr>
            <w:tcW w:w="707" w:type="dxa"/>
            <w:tcBorders>
              <w:bottom w:val="single" w:color="000000" w:sz="10" w:space="0"/>
            </w:tcBorders>
            <w:vAlign w:val="top"/>
          </w:tcPr>
          <w:p w14:paraId="7B983C1B">
            <w:pPr>
              <w:spacing w:before="297" w:line="197" w:lineRule="auto"/>
              <w:ind w:left="43"/>
              <w:rPr>
                <w:rFonts w:ascii="Times New Roman" w:hAnsi="Times New Roman" w:eastAsia="Times New Roman" w:cs="Times New Roman"/>
                <w:sz w:val="20"/>
                <w:szCs w:val="20"/>
              </w:rPr>
            </w:pPr>
            <w:r>
              <w:rPr>
                <w:rFonts w:ascii="Times New Roman" w:hAnsi="Times New Roman" w:eastAsia="Times New Roman" w:cs="Times New Roman"/>
                <w:sz w:val="20"/>
                <w:szCs w:val="20"/>
              </w:rPr>
              <w:t>CQ</w:t>
            </w:r>
            <w:r>
              <w:rPr>
                <w:rFonts w:ascii="Times New Roman" w:hAnsi="Times New Roman" w:eastAsia="Times New Roman" w:cs="Times New Roman"/>
                <w:spacing w:val="6"/>
                <w:sz w:val="20"/>
                <w:szCs w:val="20"/>
              </w:rPr>
              <w:t>032</w:t>
            </w:r>
          </w:p>
        </w:tc>
        <w:tc>
          <w:tcPr>
            <w:tcW w:w="3351" w:type="dxa"/>
            <w:tcBorders>
              <w:bottom w:val="single" w:color="000000" w:sz="10" w:space="0"/>
            </w:tcBorders>
            <w:vAlign w:val="top"/>
          </w:tcPr>
          <w:p w14:paraId="0F7B207E">
            <w:pPr>
              <w:pStyle w:val="6"/>
              <w:spacing w:before="259" w:line="231" w:lineRule="auto"/>
              <w:ind w:left="427"/>
              <w:rPr>
                <w:sz w:val="20"/>
                <w:szCs w:val="20"/>
              </w:rPr>
            </w:pPr>
            <w:r>
              <w:rPr>
                <w:spacing w:val="8"/>
                <w:sz w:val="20"/>
                <w:szCs w:val="20"/>
              </w:rPr>
              <w:t>黔江区中塘镇水田坝铝土矿</w:t>
            </w:r>
          </w:p>
        </w:tc>
        <w:tc>
          <w:tcPr>
            <w:tcW w:w="1501" w:type="dxa"/>
            <w:tcBorders>
              <w:bottom w:val="single" w:color="000000" w:sz="10" w:space="0"/>
            </w:tcBorders>
            <w:vAlign w:val="top"/>
          </w:tcPr>
          <w:p w14:paraId="7DF44D1A">
            <w:pPr>
              <w:pStyle w:val="6"/>
              <w:spacing w:before="259" w:line="232" w:lineRule="auto"/>
              <w:ind w:left="449"/>
              <w:rPr>
                <w:sz w:val="20"/>
                <w:szCs w:val="20"/>
              </w:rPr>
            </w:pPr>
            <w:r>
              <w:rPr>
                <w:spacing w:val="4"/>
                <w:sz w:val="20"/>
                <w:szCs w:val="20"/>
              </w:rPr>
              <w:t>铝土矿</w:t>
            </w:r>
          </w:p>
        </w:tc>
        <w:tc>
          <w:tcPr>
            <w:tcW w:w="600" w:type="dxa"/>
            <w:tcBorders>
              <w:bottom w:val="single" w:color="000000" w:sz="10" w:space="0"/>
            </w:tcBorders>
            <w:vAlign w:val="top"/>
          </w:tcPr>
          <w:p w14:paraId="7401DE30">
            <w:pPr>
              <w:pStyle w:val="6"/>
              <w:spacing w:before="125" w:line="231" w:lineRule="auto"/>
              <w:ind w:left="107"/>
              <w:rPr>
                <w:sz w:val="20"/>
                <w:szCs w:val="20"/>
              </w:rPr>
            </w:pPr>
            <w:r>
              <w:rPr>
                <w:spacing w:val="1"/>
                <w:sz w:val="20"/>
                <w:szCs w:val="20"/>
              </w:rPr>
              <w:t>地下</w:t>
            </w:r>
          </w:p>
          <w:p w14:paraId="5F67BD96">
            <w:pPr>
              <w:pStyle w:val="6"/>
              <w:spacing w:before="20" w:line="231" w:lineRule="auto"/>
              <w:ind w:left="106"/>
              <w:rPr>
                <w:sz w:val="20"/>
                <w:szCs w:val="20"/>
              </w:rPr>
            </w:pPr>
            <w:r>
              <w:rPr>
                <w:spacing w:val="2"/>
                <w:sz w:val="20"/>
                <w:szCs w:val="20"/>
              </w:rPr>
              <w:t>开采</w:t>
            </w:r>
          </w:p>
        </w:tc>
        <w:tc>
          <w:tcPr>
            <w:tcW w:w="1149" w:type="dxa"/>
            <w:tcBorders>
              <w:bottom w:val="single" w:color="000000" w:sz="10" w:space="0"/>
            </w:tcBorders>
            <w:vAlign w:val="top"/>
          </w:tcPr>
          <w:p w14:paraId="1BB42305">
            <w:pPr>
              <w:spacing w:before="297" w:line="195" w:lineRule="auto"/>
              <w:ind w:left="3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3.452</w:t>
            </w:r>
          </w:p>
        </w:tc>
        <w:tc>
          <w:tcPr>
            <w:tcW w:w="1074" w:type="dxa"/>
            <w:tcBorders>
              <w:bottom w:val="single" w:color="000000" w:sz="10" w:space="0"/>
              <w:right w:val="single" w:color="000000" w:sz="10" w:space="0"/>
            </w:tcBorders>
            <w:vAlign w:val="top"/>
          </w:tcPr>
          <w:p w14:paraId="664D890A">
            <w:pPr>
              <w:pStyle w:val="6"/>
              <w:spacing w:before="125" w:line="231" w:lineRule="auto"/>
              <w:ind w:left="143"/>
              <w:rPr>
                <w:sz w:val="20"/>
                <w:szCs w:val="20"/>
              </w:rPr>
            </w:pPr>
            <w:r>
              <w:rPr>
                <w:spacing w:val="3"/>
                <w:sz w:val="20"/>
                <w:szCs w:val="20"/>
              </w:rPr>
              <w:t>空白区新</w:t>
            </w:r>
          </w:p>
          <w:p w14:paraId="11AC87BA">
            <w:pPr>
              <w:pStyle w:val="6"/>
              <w:spacing w:before="21" w:line="232" w:lineRule="auto"/>
              <w:ind w:left="445"/>
              <w:rPr>
                <w:sz w:val="20"/>
                <w:szCs w:val="20"/>
              </w:rPr>
            </w:pPr>
            <w:r>
              <w:rPr>
                <w:sz w:val="20"/>
                <w:szCs w:val="20"/>
              </w:rPr>
              <w:t>设</w:t>
            </w:r>
          </w:p>
        </w:tc>
      </w:tr>
    </w:tbl>
    <w:p w14:paraId="65043597">
      <w:pPr>
        <w:spacing w:before="146" w:line="229" w:lineRule="auto"/>
        <w:ind w:left="662"/>
        <w:rPr>
          <w:rFonts w:ascii="仿宋" w:hAnsi="仿宋" w:eastAsia="仿宋" w:cs="仿宋"/>
          <w:sz w:val="25"/>
          <w:szCs w:val="25"/>
        </w:rPr>
      </w:pPr>
      <w:r>
        <w:rPr>
          <w:rFonts w:ascii="仿宋" w:hAnsi="仿宋" w:eastAsia="仿宋" w:cs="仿宋"/>
          <w:b/>
          <w:bCs/>
          <w:spacing w:val="5"/>
          <w:sz w:val="25"/>
          <w:szCs w:val="25"/>
        </w:rPr>
        <w:t>（</w:t>
      </w:r>
      <w:r>
        <w:rPr>
          <w:rFonts w:ascii="Times New Roman" w:hAnsi="Times New Roman" w:eastAsia="Times New Roman" w:cs="Times New Roman"/>
          <w:b/>
          <w:bCs/>
          <w:spacing w:val="5"/>
          <w:sz w:val="25"/>
          <w:szCs w:val="25"/>
        </w:rPr>
        <w:t>5</w:t>
      </w:r>
      <w:r>
        <w:rPr>
          <w:rFonts w:ascii="仿宋" w:hAnsi="仿宋" w:eastAsia="仿宋" w:cs="仿宋"/>
          <w:b/>
          <w:bCs/>
          <w:spacing w:val="5"/>
          <w:sz w:val="25"/>
          <w:szCs w:val="25"/>
        </w:rPr>
        <w:t>）合理确定开发强度</w:t>
      </w:r>
    </w:p>
    <w:p w14:paraId="5DA4DD83">
      <w:pPr>
        <w:spacing w:before="151" w:line="338" w:lineRule="auto"/>
        <w:ind w:left="141" w:right="122" w:firstLine="482"/>
        <w:rPr>
          <w:rFonts w:ascii="仿宋" w:hAnsi="仿宋" w:eastAsia="仿宋" w:cs="仿宋"/>
          <w:sz w:val="25"/>
          <w:szCs w:val="25"/>
        </w:rPr>
      </w:pPr>
      <w:r>
        <w:rPr>
          <w:rFonts w:ascii="仿宋" w:hAnsi="仿宋" w:eastAsia="仿宋" w:cs="仿宋"/>
          <w:spacing w:val="10"/>
          <w:sz w:val="25"/>
          <w:szCs w:val="25"/>
        </w:rPr>
        <w:t>合理调控建筑石料用灰岩、饰面用灰岩、水泥用灰岩、铸型用砂岩、萤石</w:t>
      </w:r>
      <w:r>
        <w:rPr>
          <w:rFonts w:ascii="仿宋" w:hAnsi="仿宋" w:eastAsia="仿宋" w:cs="仿宋"/>
          <w:spacing w:val="18"/>
          <w:sz w:val="25"/>
          <w:szCs w:val="25"/>
        </w:rPr>
        <w:t xml:space="preserve"> </w:t>
      </w:r>
      <w:r>
        <w:rPr>
          <w:rFonts w:ascii="仿宋" w:hAnsi="仿宋" w:eastAsia="仿宋" w:cs="仿宋"/>
          <w:spacing w:val="8"/>
          <w:sz w:val="25"/>
          <w:szCs w:val="25"/>
        </w:rPr>
        <w:t>（普通）、重晶石等矿种开发利用总量。</w:t>
      </w:r>
    </w:p>
    <w:p w14:paraId="0B109B9C">
      <w:pPr>
        <w:spacing w:before="45" w:line="231" w:lineRule="auto"/>
        <w:ind w:left="2520"/>
        <w:rPr>
          <w:rFonts w:ascii="仿宋" w:hAnsi="仿宋" w:eastAsia="仿宋" w:cs="仿宋"/>
          <w:sz w:val="20"/>
          <w:szCs w:val="20"/>
        </w:rPr>
      </w:pPr>
      <w:r>
        <w:rPr>
          <w:rFonts w:ascii="仿宋" w:hAnsi="仿宋" w:eastAsia="仿宋" w:cs="仿宋"/>
          <w:b/>
          <w:bCs/>
          <w:spacing w:val="5"/>
          <w:sz w:val="20"/>
          <w:szCs w:val="20"/>
        </w:rPr>
        <w:t>表</w:t>
      </w:r>
      <w:r>
        <w:rPr>
          <w:rFonts w:ascii="仿宋" w:hAnsi="仿宋" w:eastAsia="仿宋" w:cs="仿宋"/>
          <w:spacing w:val="-22"/>
          <w:sz w:val="20"/>
          <w:szCs w:val="20"/>
        </w:rPr>
        <w:t xml:space="preserve"> </w:t>
      </w:r>
      <w:r>
        <w:rPr>
          <w:rFonts w:ascii="Times New Roman" w:hAnsi="Times New Roman" w:eastAsia="Times New Roman" w:cs="Times New Roman"/>
          <w:b/>
          <w:bCs/>
          <w:spacing w:val="5"/>
          <w:sz w:val="20"/>
          <w:szCs w:val="20"/>
        </w:rPr>
        <w:t xml:space="preserve">2.1-7    </w:t>
      </w:r>
      <w:r>
        <w:rPr>
          <w:rFonts w:ascii="仿宋" w:hAnsi="仿宋" w:eastAsia="仿宋" w:cs="仿宋"/>
          <w:b/>
          <w:bCs/>
          <w:spacing w:val="5"/>
          <w:sz w:val="20"/>
          <w:szCs w:val="20"/>
        </w:rPr>
        <w:t>黔江区主要矿产开发利用总量调控</w:t>
      </w:r>
    </w:p>
    <w:p w14:paraId="00BC9D9C">
      <w:pPr>
        <w:spacing w:line="22" w:lineRule="exact"/>
      </w:pPr>
    </w:p>
    <w:tbl>
      <w:tblPr>
        <w:tblStyle w:val="5"/>
        <w:tblW w:w="9059"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83"/>
        <w:gridCol w:w="2350"/>
        <w:gridCol w:w="2136"/>
        <w:gridCol w:w="1890"/>
      </w:tblGrid>
      <w:tr w14:paraId="76580C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 w:hRule="atLeast"/>
        </w:trPr>
        <w:tc>
          <w:tcPr>
            <w:tcW w:w="2683" w:type="dxa"/>
            <w:tcBorders>
              <w:top w:val="single" w:color="000000" w:sz="10" w:space="0"/>
              <w:left w:val="single" w:color="000000" w:sz="10" w:space="0"/>
            </w:tcBorders>
            <w:vAlign w:val="top"/>
          </w:tcPr>
          <w:p w14:paraId="6C341BA6">
            <w:pPr>
              <w:pStyle w:val="6"/>
              <w:spacing w:before="96" w:line="229" w:lineRule="auto"/>
              <w:ind w:left="719"/>
              <w:rPr>
                <w:sz w:val="20"/>
                <w:szCs w:val="20"/>
              </w:rPr>
            </w:pPr>
            <w:r>
              <w:rPr>
                <w:spacing w:val="5"/>
                <w:sz w:val="20"/>
                <w:szCs w:val="20"/>
              </w:rPr>
              <w:t>总量调控矿种</w:t>
            </w:r>
          </w:p>
        </w:tc>
        <w:tc>
          <w:tcPr>
            <w:tcW w:w="2350" w:type="dxa"/>
            <w:tcBorders>
              <w:top w:val="single" w:color="000000" w:sz="10" w:space="0"/>
            </w:tcBorders>
            <w:vAlign w:val="top"/>
          </w:tcPr>
          <w:p w14:paraId="17647A7B">
            <w:pPr>
              <w:pStyle w:val="6"/>
              <w:spacing w:before="96" w:line="229" w:lineRule="auto"/>
              <w:ind w:left="761"/>
              <w:rPr>
                <w:sz w:val="20"/>
                <w:szCs w:val="20"/>
              </w:rPr>
            </w:pPr>
            <w:r>
              <w:rPr>
                <w:spacing w:val="5"/>
                <w:sz w:val="20"/>
                <w:szCs w:val="20"/>
              </w:rPr>
              <w:t>计量单位</w:t>
            </w:r>
          </w:p>
        </w:tc>
        <w:tc>
          <w:tcPr>
            <w:tcW w:w="2136" w:type="dxa"/>
            <w:tcBorders>
              <w:top w:val="single" w:color="000000" w:sz="10" w:space="0"/>
            </w:tcBorders>
            <w:vAlign w:val="top"/>
          </w:tcPr>
          <w:p w14:paraId="71DC5BB6">
            <w:pPr>
              <w:pStyle w:val="6"/>
              <w:spacing w:before="95" w:line="232" w:lineRule="auto"/>
              <w:ind w:left="669"/>
              <w:rPr>
                <w:sz w:val="20"/>
                <w:szCs w:val="20"/>
              </w:rPr>
            </w:pPr>
            <w:r>
              <w:rPr>
                <w:spacing w:val="3"/>
                <w:sz w:val="20"/>
                <w:szCs w:val="20"/>
              </w:rPr>
              <w:t>总量调控</w:t>
            </w:r>
          </w:p>
        </w:tc>
        <w:tc>
          <w:tcPr>
            <w:tcW w:w="1890" w:type="dxa"/>
            <w:tcBorders>
              <w:top w:val="single" w:color="000000" w:sz="10" w:space="0"/>
              <w:right w:val="single" w:color="000000" w:sz="10" w:space="0"/>
            </w:tcBorders>
            <w:vAlign w:val="top"/>
          </w:tcPr>
          <w:p w14:paraId="45649695">
            <w:pPr>
              <w:pStyle w:val="6"/>
              <w:spacing w:before="95" w:line="229" w:lineRule="auto"/>
              <w:ind w:left="747"/>
              <w:rPr>
                <w:sz w:val="20"/>
                <w:szCs w:val="20"/>
              </w:rPr>
            </w:pPr>
            <w:r>
              <w:rPr>
                <w:spacing w:val="2"/>
                <w:sz w:val="20"/>
                <w:szCs w:val="20"/>
              </w:rPr>
              <w:t>属性</w:t>
            </w:r>
          </w:p>
        </w:tc>
      </w:tr>
      <w:tr w14:paraId="5F32BB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2683" w:type="dxa"/>
            <w:tcBorders>
              <w:left w:val="single" w:color="000000" w:sz="10" w:space="0"/>
            </w:tcBorders>
            <w:vAlign w:val="top"/>
          </w:tcPr>
          <w:p w14:paraId="1DE30C21">
            <w:pPr>
              <w:pStyle w:val="6"/>
              <w:spacing w:before="93" w:line="232" w:lineRule="auto"/>
              <w:ind w:left="1026"/>
              <w:rPr>
                <w:sz w:val="20"/>
                <w:szCs w:val="20"/>
              </w:rPr>
            </w:pPr>
            <w:r>
              <w:rPr>
                <w:spacing w:val="4"/>
                <w:sz w:val="20"/>
                <w:szCs w:val="20"/>
              </w:rPr>
              <w:t>铝土矿</w:t>
            </w:r>
          </w:p>
        </w:tc>
        <w:tc>
          <w:tcPr>
            <w:tcW w:w="2350" w:type="dxa"/>
            <w:vAlign w:val="top"/>
          </w:tcPr>
          <w:p w14:paraId="304A30DC">
            <w:pPr>
              <w:pStyle w:val="6"/>
              <w:spacing w:before="93" w:line="234" w:lineRule="auto"/>
              <w:ind w:left="948"/>
              <w:rPr>
                <w:rFonts w:ascii="Times New Roman" w:hAnsi="Times New Roman" w:eastAsia="Times New Roman" w:cs="Times New Roman"/>
                <w:sz w:val="20"/>
                <w:szCs w:val="20"/>
              </w:rPr>
            </w:pPr>
            <w:r>
              <w:rPr>
                <w:spacing w:val="-1"/>
                <w:sz w:val="20"/>
                <w:szCs w:val="20"/>
              </w:rPr>
              <w:t>万</w:t>
            </w:r>
            <w:r>
              <w:rPr>
                <w:spacing w:val="-43"/>
                <w:sz w:val="20"/>
                <w:szCs w:val="20"/>
              </w:rPr>
              <w:t xml:space="preserve"> </w:t>
            </w:r>
            <w:r>
              <w:rPr>
                <w:rFonts w:ascii="Times New Roman" w:hAnsi="Times New Roman" w:eastAsia="Times New Roman" w:cs="Times New Roman"/>
                <w:spacing w:val="-1"/>
                <w:sz w:val="20"/>
                <w:szCs w:val="20"/>
              </w:rPr>
              <w:t>t/a</w:t>
            </w:r>
          </w:p>
        </w:tc>
        <w:tc>
          <w:tcPr>
            <w:tcW w:w="2136" w:type="dxa"/>
            <w:vAlign w:val="top"/>
          </w:tcPr>
          <w:p w14:paraId="6EFB8D95">
            <w:pPr>
              <w:spacing w:before="128" w:line="195" w:lineRule="auto"/>
              <w:ind w:left="972"/>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890" w:type="dxa"/>
            <w:tcBorders>
              <w:right w:val="single" w:color="000000" w:sz="10" w:space="0"/>
            </w:tcBorders>
            <w:vAlign w:val="top"/>
          </w:tcPr>
          <w:p w14:paraId="75D8A306">
            <w:pPr>
              <w:pStyle w:val="6"/>
              <w:spacing w:before="92" w:line="229" w:lineRule="auto"/>
              <w:ind w:left="643"/>
              <w:rPr>
                <w:sz w:val="20"/>
                <w:szCs w:val="20"/>
              </w:rPr>
            </w:pPr>
            <w:r>
              <w:rPr>
                <w:spacing w:val="4"/>
                <w:sz w:val="20"/>
                <w:szCs w:val="20"/>
              </w:rPr>
              <w:t>预期性</w:t>
            </w:r>
          </w:p>
        </w:tc>
      </w:tr>
      <w:tr w14:paraId="6681C0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2683" w:type="dxa"/>
            <w:tcBorders>
              <w:left w:val="single" w:color="000000" w:sz="10" w:space="0"/>
            </w:tcBorders>
            <w:vAlign w:val="top"/>
          </w:tcPr>
          <w:p w14:paraId="46CFE245">
            <w:pPr>
              <w:pStyle w:val="6"/>
              <w:spacing w:before="97" w:line="232" w:lineRule="auto"/>
              <w:ind w:left="297"/>
              <w:rPr>
                <w:sz w:val="20"/>
                <w:szCs w:val="20"/>
              </w:rPr>
            </w:pPr>
            <w:r>
              <w:rPr>
                <w:spacing w:val="3"/>
                <w:sz w:val="20"/>
                <w:szCs w:val="20"/>
              </w:rPr>
              <w:t>萤石（普通）</w:t>
            </w:r>
            <w:r>
              <w:rPr>
                <w:spacing w:val="-54"/>
                <w:sz w:val="20"/>
                <w:szCs w:val="20"/>
              </w:rPr>
              <w:t xml:space="preserve"> </w:t>
            </w:r>
            <w:r>
              <w:rPr>
                <w:spacing w:val="3"/>
                <w:sz w:val="20"/>
                <w:szCs w:val="20"/>
              </w:rPr>
              <w:t>、重晶石</w:t>
            </w:r>
          </w:p>
        </w:tc>
        <w:tc>
          <w:tcPr>
            <w:tcW w:w="2350" w:type="dxa"/>
            <w:vAlign w:val="top"/>
          </w:tcPr>
          <w:p w14:paraId="1349741E">
            <w:pPr>
              <w:pStyle w:val="6"/>
              <w:spacing w:before="98" w:line="234" w:lineRule="auto"/>
              <w:ind w:left="948"/>
              <w:rPr>
                <w:rFonts w:ascii="Times New Roman" w:hAnsi="Times New Roman" w:eastAsia="Times New Roman" w:cs="Times New Roman"/>
                <w:sz w:val="20"/>
                <w:szCs w:val="20"/>
              </w:rPr>
            </w:pPr>
            <w:r>
              <w:rPr>
                <w:spacing w:val="-1"/>
                <w:sz w:val="20"/>
                <w:szCs w:val="20"/>
              </w:rPr>
              <w:t>万</w:t>
            </w:r>
            <w:r>
              <w:rPr>
                <w:spacing w:val="-43"/>
                <w:sz w:val="20"/>
                <w:szCs w:val="20"/>
              </w:rPr>
              <w:t xml:space="preserve"> </w:t>
            </w:r>
            <w:r>
              <w:rPr>
                <w:rFonts w:ascii="Times New Roman" w:hAnsi="Times New Roman" w:eastAsia="Times New Roman" w:cs="Times New Roman"/>
                <w:spacing w:val="-1"/>
                <w:sz w:val="20"/>
                <w:szCs w:val="20"/>
              </w:rPr>
              <w:t>t/a</w:t>
            </w:r>
          </w:p>
        </w:tc>
        <w:tc>
          <w:tcPr>
            <w:tcW w:w="2136" w:type="dxa"/>
            <w:vAlign w:val="top"/>
          </w:tcPr>
          <w:p w14:paraId="598D7AB6">
            <w:pPr>
              <w:spacing w:before="133" w:line="195" w:lineRule="auto"/>
              <w:ind w:left="88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24.5</w:t>
            </w:r>
          </w:p>
        </w:tc>
        <w:tc>
          <w:tcPr>
            <w:tcW w:w="1890" w:type="dxa"/>
            <w:tcBorders>
              <w:right w:val="single" w:color="000000" w:sz="10" w:space="0"/>
            </w:tcBorders>
            <w:vAlign w:val="top"/>
          </w:tcPr>
          <w:p w14:paraId="0C86096B">
            <w:pPr>
              <w:pStyle w:val="6"/>
              <w:spacing w:before="97" w:line="229" w:lineRule="auto"/>
              <w:ind w:left="643"/>
              <w:rPr>
                <w:sz w:val="20"/>
                <w:szCs w:val="20"/>
              </w:rPr>
            </w:pPr>
            <w:r>
              <w:rPr>
                <w:spacing w:val="4"/>
                <w:sz w:val="20"/>
                <w:szCs w:val="20"/>
              </w:rPr>
              <w:t>预期性</w:t>
            </w:r>
          </w:p>
        </w:tc>
      </w:tr>
      <w:tr w14:paraId="23FAA9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2683" w:type="dxa"/>
            <w:tcBorders>
              <w:left w:val="single" w:color="000000" w:sz="10" w:space="0"/>
            </w:tcBorders>
            <w:vAlign w:val="top"/>
          </w:tcPr>
          <w:p w14:paraId="50ACB565">
            <w:pPr>
              <w:pStyle w:val="6"/>
              <w:spacing w:before="98" w:line="232" w:lineRule="auto"/>
              <w:ind w:left="815"/>
              <w:rPr>
                <w:sz w:val="20"/>
                <w:szCs w:val="20"/>
              </w:rPr>
            </w:pPr>
            <w:r>
              <w:rPr>
                <w:spacing w:val="7"/>
                <w:sz w:val="20"/>
                <w:szCs w:val="20"/>
              </w:rPr>
              <w:t>水泥用灰岩</w:t>
            </w:r>
          </w:p>
        </w:tc>
        <w:tc>
          <w:tcPr>
            <w:tcW w:w="2350" w:type="dxa"/>
            <w:vAlign w:val="top"/>
          </w:tcPr>
          <w:p w14:paraId="3AD1BB76">
            <w:pPr>
              <w:pStyle w:val="6"/>
              <w:spacing w:before="99" w:line="234" w:lineRule="auto"/>
              <w:ind w:left="948"/>
              <w:rPr>
                <w:rFonts w:ascii="Times New Roman" w:hAnsi="Times New Roman" w:eastAsia="Times New Roman" w:cs="Times New Roman"/>
                <w:sz w:val="20"/>
                <w:szCs w:val="20"/>
              </w:rPr>
            </w:pPr>
            <w:r>
              <w:rPr>
                <w:spacing w:val="-1"/>
                <w:sz w:val="20"/>
                <w:szCs w:val="20"/>
              </w:rPr>
              <w:t>万</w:t>
            </w:r>
            <w:r>
              <w:rPr>
                <w:spacing w:val="-43"/>
                <w:sz w:val="20"/>
                <w:szCs w:val="20"/>
              </w:rPr>
              <w:t xml:space="preserve"> </w:t>
            </w:r>
            <w:r>
              <w:rPr>
                <w:rFonts w:ascii="Times New Roman" w:hAnsi="Times New Roman" w:eastAsia="Times New Roman" w:cs="Times New Roman"/>
                <w:spacing w:val="-1"/>
                <w:sz w:val="20"/>
                <w:szCs w:val="20"/>
              </w:rPr>
              <w:t>t/a</w:t>
            </w:r>
          </w:p>
        </w:tc>
        <w:tc>
          <w:tcPr>
            <w:tcW w:w="2136" w:type="dxa"/>
            <w:vAlign w:val="top"/>
          </w:tcPr>
          <w:p w14:paraId="2ACBB040">
            <w:pPr>
              <w:spacing w:before="135" w:line="195" w:lineRule="auto"/>
              <w:ind w:left="9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350</w:t>
            </w:r>
          </w:p>
        </w:tc>
        <w:tc>
          <w:tcPr>
            <w:tcW w:w="1890" w:type="dxa"/>
            <w:tcBorders>
              <w:right w:val="single" w:color="000000" w:sz="10" w:space="0"/>
            </w:tcBorders>
            <w:vAlign w:val="top"/>
          </w:tcPr>
          <w:p w14:paraId="73459250">
            <w:pPr>
              <w:pStyle w:val="6"/>
              <w:spacing w:before="98" w:line="229" w:lineRule="auto"/>
              <w:ind w:left="643"/>
              <w:rPr>
                <w:sz w:val="20"/>
                <w:szCs w:val="20"/>
              </w:rPr>
            </w:pPr>
            <w:r>
              <w:rPr>
                <w:spacing w:val="4"/>
                <w:sz w:val="20"/>
                <w:szCs w:val="20"/>
              </w:rPr>
              <w:t>约束性</w:t>
            </w:r>
          </w:p>
        </w:tc>
      </w:tr>
      <w:tr w14:paraId="7F5F80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2683" w:type="dxa"/>
            <w:tcBorders>
              <w:left w:val="single" w:color="000000" w:sz="10" w:space="0"/>
            </w:tcBorders>
            <w:vAlign w:val="top"/>
          </w:tcPr>
          <w:p w14:paraId="0A54FBFD">
            <w:pPr>
              <w:pStyle w:val="6"/>
              <w:spacing w:before="102" w:line="229" w:lineRule="auto"/>
              <w:ind w:left="605"/>
              <w:rPr>
                <w:sz w:val="20"/>
                <w:szCs w:val="20"/>
              </w:rPr>
            </w:pPr>
            <w:r>
              <w:rPr>
                <w:spacing w:val="7"/>
                <w:sz w:val="20"/>
                <w:szCs w:val="20"/>
              </w:rPr>
              <w:t>建筑石料用灰岩</w:t>
            </w:r>
          </w:p>
        </w:tc>
        <w:tc>
          <w:tcPr>
            <w:tcW w:w="2350" w:type="dxa"/>
            <w:vAlign w:val="top"/>
          </w:tcPr>
          <w:p w14:paraId="14899284">
            <w:pPr>
              <w:pStyle w:val="6"/>
              <w:spacing w:before="103" w:line="234" w:lineRule="auto"/>
              <w:ind w:left="948"/>
              <w:rPr>
                <w:rFonts w:ascii="Times New Roman" w:hAnsi="Times New Roman" w:eastAsia="Times New Roman" w:cs="Times New Roman"/>
                <w:sz w:val="20"/>
                <w:szCs w:val="20"/>
              </w:rPr>
            </w:pPr>
            <w:r>
              <w:rPr>
                <w:spacing w:val="-1"/>
                <w:sz w:val="20"/>
                <w:szCs w:val="20"/>
              </w:rPr>
              <w:t>万</w:t>
            </w:r>
            <w:r>
              <w:rPr>
                <w:spacing w:val="-43"/>
                <w:sz w:val="20"/>
                <w:szCs w:val="20"/>
              </w:rPr>
              <w:t xml:space="preserve"> </w:t>
            </w:r>
            <w:r>
              <w:rPr>
                <w:rFonts w:ascii="Times New Roman" w:hAnsi="Times New Roman" w:eastAsia="Times New Roman" w:cs="Times New Roman"/>
                <w:spacing w:val="-1"/>
                <w:sz w:val="20"/>
                <w:szCs w:val="20"/>
              </w:rPr>
              <w:t>t/a</w:t>
            </w:r>
          </w:p>
        </w:tc>
        <w:tc>
          <w:tcPr>
            <w:tcW w:w="2136" w:type="dxa"/>
            <w:vAlign w:val="top"/>
          </w:tcPr>
          <w:p w14:paraId="6D4C0F3E">
            <w:pPr>
              <w:spacing w:before="138" w:line="195" w:lineRule="auto"/>
              <w:ind w:left="9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700</w:t>
            </w:r>
          </w:p>
        </w:tc>
        <w:tc>
          <w:tcPr>
            <w:tcW w:w="1890" w:type="dxa"/>
            <w:tcBorders>
              <w:right w:val="single" w:color="000000" w:sz="10" w:space="0"/>
            </w:tcBorders>
            <w:vAlign w:val="top"/>
          </w:tcPr>
          <w:p w14:paraId="1520C0C6">
            <w:pPr>
              <w:pStyle w:val="6"/>
              <w:spacing w:before="102" w:line="229" w:lineRule="auto"/>
              <w:ind w:left="643"/>
              <w:rPr>
                <w:sz w:val="20"/>
                <w:szCs w:val="20"/>
              </w:rPr>
            </w:pPr>
            <w:r>
              <w:rPr>
                <w:spacing w:val="4"/>
                <w:sz w:val="20"/>
                <w:szCs w:val="20"/>
              </w:rPr>
              <w:t>约束性</w:t>
            </w:r>
          </w:p>
        </w:tc>
      </w:tr>
      <w:tr w14:paraId="2D6759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2683" w:type="dxa"/>
            <w:tcBorders>
              <w:left w:val="single" w:color="000000" w:sz="10" w:space="0"/>
            </w:tcBorders>
            <w:vAlign w:val="top"/>
          </w:tcPr>
          <w:p w14:paraId="5127F36D">
            <w:pPr>
              <w:pStyle w:val="6"/>
              <w:spacing w:before="107" w:line="232" w:lineRule="auto"/>
              <w:ind w:left="817"/>
              <w:rPr>
                <w:sz w:val="20"/>
                <w:szCs w:val="20"/>
              </w:rPr>
            </w:pPr>
            <w:r>
              <w:rPr>
                <w:spacing w:val="6"/>
                <w:sz w:val="20"/>
                <w:szCs w:val="20"/>
              </w:rPr>
              <w:t>饰面用灰岩</w:t>
            </w:r>
          </w:p>
        </w:tc>
        <w:tc>
          <w:tcPr>
            <w:tcW w:w="2350" w:type="dxa"/>
            <w:vAlign w:val="top"/>
          </w:tcPr>
          <w:p w14:paraId="35779098">
            <w:pPr>
              <w:pStyle w:val="6"/>
              <w:spacing w:before="107" w:line="234" w:lineRule="auto"/>
              <w:ind w:left="861"/>
              <w:rPr>
                <w:rFonts w:ascii="Times New Roman" w:hAnsi="Times New Roman" w:eastAsia="Times New Roman" w:cs="Times New Roman"/>
                <w:sz w:val="20"/>
                <w:szCs w:val="20"/>
              </w:rPr>
            </w:pPr>
            <w:r>
              <w:rPr>
                <w:spacing w:val="1"/>
                <w:sz w:val="20"/>
                <w:szCs w:val="20"/>
              </w:rPr>
              <w:t>万</w:t>
            </w:r>
            <w:r>
              <w:rPr>
                <w:spacing w:val="-42"/>
                <w:sz w:val="20"/>
                <w:szCs w:val="20"/>
              </w:rPr>
              <w:t xml:space="preserve"> </w:t>
            </w:r>
            <w:r>
              <w:rPr>
                <w:rFonts w:ascii="Times New Roman" w:hAnsi="Times New Roman" w:eastAsia="Times New Roman" w:cs="Times New Roman"/>
                <w:spacing w:val="1"/>
                <w:sz w:val="20"/>
                <w:szCs w:val="20"/>
              </w:rPr>
              <w:t>m</w:t>
            </w:r>
            <w:r>
              <w:rPr>
                <w:rFonts w:ascii="Times New Roman" w:hAnsi="Times New Roman" w:eastAsia="Times New Roman" w:cs="Times New Roman"/>
                <w:spacing w:val="1"/>
                <w:position w:val="6"/>
                <w:sz w:val="13"/>
                <w:szCs w:val="13"/>
              </w:rPr>
              <w:t>3</w:t>
            </w:r>
            <w:r>
              <w:rPr>
                <w:rFonts w:ascii="Times New Roman" w:hAnsi="Times New Roman" w:eastAsia="Times New Roman" w:cs="Times New Roman"/>
                <w:spacing w:val="1"/>
                <w:sz w:val="20"/>
                <w:szCs w:val="20"/>
              </w:rPr>
              <w:t>/a</w:t>
            </w:r>
          </w:p>
        </w:tc>
        <w:tc>
          <w:tcPr>
            <w:tcW w:w="2136" w:type="dxa"/>
            <w:vAlign w:val="top"/>
          </w:tcPr>
          <w:p w14:paraId="424D20E1">
            <w:pPr>
              <w:spacing w:before="142" w:line="195" w:lineRule="auto"/>
              <w:ind w:left="101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890" w:type="dxa"/>
            <w:tcBorders>
              <w:right w:val="single" w:color="000000" w:sz="10" w:space="0"/>
            </w:tcBorders>
            <w:vAlign w:val="top"/>
          </w:tcPr>
          <w:p w14:paraId="3B36155A">
            <w:pPr>
              <w:pStyle w:val="6"/>
              <w:spacing w:before="106" w:line="229" w:lineRule="auto"/>
              <w:ind w:left="643"/>
              <w:rPr>
                <w:sz w:val="20"/>
                <w:szCs w:val="20"/>
              </w:rPr>
            </w:pPr>
            <w:r>
              <w:rPr>
                <w:spacing w:val="4"/>
                <w:sz w:val="20"/>
                <w:szCs w:val="20"/>
              </w:rPr>
              <w:t>预期性</w:t>
            </w:r>
          </w:p>
        </w:tc>
      </w:tr>
      <w:tr w14:paraId="2A9D78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2683" w:type="dxa"/>
            <w:tcBorders>
              <w:left w:val="single" w:color="000000" w:sz="10" w:space="0"/>
            </w:tcBorders>
            <w:vAlign w:val="top"/>
          </w:tcPr>
          <w:p w14:paraId="593E1F5A">
            <w:pPr>
              <w:pStyle w:val="6"/>
              <w:spacing w:before="107" w:line="232" w:lineRule="auto"/>
              <w:ind w:left="816"/>
              <w:rPr>
                <w:sz w:val="20"/>
                <w:szCs w:val="20"/>
              </w:rPr>
            </w:pPr>
            <w:r>
              <w:rPr>
                <w:spacing w:val="7"/>
                <w:sz w:val="20"/>
                <w:szCs w:val="20"/>
              </w:rPr>
              <w:t>铸型用砂岩</w:t>
            </w:r>
          </w:p>
        </w:tc>
        <w:tc>
          <w:tcPr>
            <w:tcW w:w="2350" w:type="dxa"/>
            <w:vAlign w:val="top"/>
          </w:tcPr>
          <w:p w14:paraId="11027C78">
            <w:pPr>
              <w:pStyle w:val="6"/>
              <w:spacing w:before="108" w:line="234" w:lineRule="auto"/>
              <w:ind w:left="948"/>
              <w:rPr>
                <w:rFonts w:ascii="Times New Roman" w:hAnsi="Times New Roman" w:eastAsia="Times New Roman" w:cs="Times New Roman"/>
                <w:sz w:val="20"/>
                <w:szCs w:val="20"/>
              </w:rPr>
            </w:pPr>
            <w:r>
              <w:rPr>
                <w:spacing w:val="-1"/>
                <w:sz w:val="20"/>
                <w:szCs w:val="20"/>
              </w:rPr>
              <w:t>万</w:t>
            </w:r>
            <w:r>
              <w:rPr>
                <w:spacing w:val="-43"/>
                <w:sz w:val="20"/>
                <w:szCs w:val="20"/>
              </w:rPr>
              <w:t xml:space="preserve"> </w:t>
            </w:r>
            <w:r>
              <w:rPr>
                <w:rFonts w:ascii="Times New Roman" w:hAnsi="Times New Roman" w:eastAsia="Times New Roman" w:cs="Times New Roman"/>
                <w:spacing w:val="-1"/>
                <w:sz w:val="20"/>
                <w:szCs w:val="20"/>
              </w:rPr>
              <w:t>t/a</w:t>
            </w:r>
          </w:p>
        </w:tc>
        <w:tc>
          <w:tcPr>
            <w:tcW w:w="2136" w:type="dxa"/>
            <w:vAlign w:val="top"/>
          </w:tcPr>
          <w:p w14:paraId="339CBBC7">
            <w:pPr>
              <w:spacing w:before="144" w:line="195" w:lineRule="auto"/>
              <w:ind w:left="98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890" w:type="dxa"/>
            <w:tcBorders>
              <w:right w:val="single" w:color="000000" w:sz="10" w:space="0"/>
            </w:tcBorders>
            <w:vAlign w:val="top"/>
          </w:tcPr>
          <w:p w14:paraId="4A4E62B0">
            <w:pPr>
              <w:pStyle w:val="6"/>
              <w:spacing w:before="107" w:line="229" w:lineRule="auto"/>
              <w:ind w:left="643"/>
              <w:rPr>
                <w:sz w:val="20"/>
                <w:szCs w:val="20"/>
              </w:rPr>
            </w:pPr>
            <w:r>
              <w:rPr>
                <w:spacing w:val="4"/>
                <w:sz w:val="20"/>
                <w:szCs w:val="20"/>
              </w:rPr>
              <w:t>预期性</w:t>
            </w:r>
          </w:p>
        </w:tc>
      </w:tr>
      <w:tr w14:paraId="6B3F50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2683" w:type="dxa"/>
            <w:tcBorders>
              <w:left w:val="single" w:color="000000" w:sz="10" w:space="0"/>
              <w:bottom w:val="single" w:color="000000" w:sz="10" w:space="0"/>
            </w:tcBorders>
            <w:vAlign w:val="top"/>
          </w:tcPr>
          <w:p w14:paraId="3BCB5589">
            <w:pPr>
              <w:pStyle w:val="6"/>
              <w:spacing w:before="112" w:line="232" w:lineRule="auto"/>
              <w:ind w:left="816"/>
              <w:rPr>
                <w:sz w:val="20"/>
                <w:szCs w:val="20"/>
              </w:rPr>
            </w:pPr>
            <w:r>
              <w:rPr>
                <w:spacing w:val="7"/>
                <w:sz w:val="20"/>
                <w:szCs w:val="20"/>
              </w:rPr>
              <w:t>建筑用砂岩</w:t>
            </w:r>
          </w:p>
        </w:tc>
        <w:tc>
          <w:tcPr>
            <w:tcW w:w="2350" w:type="dxa"/>
            <w:tcBorders>
              <w:bottom w:val="single" w:color="000000" w:sz="10" w:space="0"/>
            </w:tcBorders>
            <w:vAlign w:val="top"/>
          </w:tcPr>
          <w:p w14:paraId="40F4B3D7">
            <w:pPr>
              <w:pStyle w:val="6"/>
              <w:spacing w:before="112" w:line="234" w:lineRule="auto"/>
              <w:ind w:left="948"/>
              <w:rPr>
                <w:rFonts w:ascii="Times New Roman" w:hAnsi="Times New Roman" w:eastAsia="Times New Roman" w:cs="Times New Roman"/>
                <w:sz w:val="20"/>
                <w:szCs w:val="20"/>
              </w:rPr>
            </w:pPr>
            <w:r>
              <w:rPr>
                <w:spacing w:val="-1"/>
                <w:sz w:val="20"/>
                <w:szCs w:val="20"/>
              </w:rPr>
              <w:t>万</w:t>
            </w:r>
            <w:r>
              <w:rPr>
                <w:spacing w:val="-43"/>
                <w:sz w:val="20"/>
                <w:szCs w:val="20"/>
              </w:rPr>
              <w:t xml:space="preserve"> </w:t>
            </w:r>
            <w:r>
              <w:rPr>
                <w:rFonts w:ascii="Times New Roman" w:hAnsi="Times New Roman" w:eastAsia="Times New Roman" w:cs="Times New Roman"/>
                <w:spacing w:val="-1"/>
                <w:sz w:val="20"/>
                <w:szCs w:val="20"/>
              </w:rPr>
              <w:t>t/a</w:t>
            </w:r>
          </w:p>
        </w:tc>
        <w:tc>
          <w:tcPr>
            <w:tcW w:w="2136" w:type="dxa"/>
            <w:tcBorders>
              <w:bottom w:val="single" w:color="000000" w:sz="10" w:space="0"/>
            </w:tcBorders>
            <w:vAlign w:val="top"/>
          </w:tcPr>
          <w:p w14:paraId="1E1D04F0">
            <w:pPr>
              <w:spacing w:before="147" w:line="195" w:lineRule="auto"/>
              <w:ind w:left="98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890" w:type="dxa"/>
            <w:tcBorders>
              <w:bottom w:val="single" w:color="000000" w:sz="10" w:space="0"/>
              <w:right w:val="single" w:color="000000" w:sz="10" w:space="0"/>
            </w:tcBorders>
            <w:vAlign w:val="top"/>
          </w:tcPr>
          <w:p w14:paraId="09747A86">
            <w:pPr>
              <w:pStyle w:val="6"/>
              <w:spacing w:before="111" w:line="229" w:lineRule="auto"/>
              <w:ind w:left="643"/>
              <w:rPr>
                <w:sz w:val="20"/>
                <w:szCs w:val="20"/>
              </w:rPr>
            </w:pPr>
            <w:r>
              <w:rPr>
                <w:spacing w:val="4"/>
                <w:sz w:val="20"/>
                <w:szCs w:val="20"/>
              </w:rPr>
              <w:t>预期性</w:t>
            </w:r>
          </w:p>
        </w:tc>
      </w:tr>
    </w:tbl>
    <w:p w14:paraId="536F3CF7">
      <w:pPr>
        <w:spacing w:before="146" w:line="229" w:lineRule="auto"/>
        <w:ind w:left="662"/>
        <w:rPr>
          <w:rFonts w:ascii="仿宋" w:hAnsi="仿宋" w:eastAsia="仿宋" w:cs="仿宋"/>
          <w:sz w:val="25"/>
          <w:szCs w:val="25"/>
        </w:rPr>
      </w:pPr>
      <w:r>
        <w:rPr>
          <w:rFonts w:ascii="仿宋" w:hAnsi="仿宋" w:eastAsia="仿宋" w:cs="仿宋"/>
          <w:b/>
          <w:bCs/>
          <w:spacing w:val="5"/>
          <w:sz w:val="25"/>
          <w:szCs w:val="25"/>
        </w:rPr>
        <w:t>（</w:t>
      </w:r>
      <w:r>
        <w:rPr>
          <w:rFonts w:ascii="Times New Roman" w:hAnsi="Times New Roman" w:eastAsia="Times New Roman" w:cs="Times New Roman"/>
          <w:b/>
          <w:bCs/>
          <w:spacing w:val="5"/>
          <w:sz w:val="25"/>
          <w:szCs w:val="25"/>
        </w:rPr>
        <w:t>6</w:t>
      </w:r>
      <w:r>
        <w:rPr>
          <w:rFonts w:ascii="仿宋" w:hAnsi="仿宋" w:eastAsia="仿宋" w:cs="仿宋"/>
          <w:b/>
          <w:bCs/>
          <w:spacing w:val="5"/>
          <w:sz w:val="25"/>
          <w:szCs w:val="25"/>
        </w:rPr>
        <w:t>）优化开发利用结构</w:t>
      </w:r>
    </w:p>
    <w:p w14:paraId="315B2671">
      <w:pPr>
        <w:spacing w:before="149" w:line="228" w:lineRule="auto"/>
        <w:ind w:left="649"/>
        <w:rPr>
          <w:rFonts w:ascii="仿宋" w:hAnsi="仿宋" w:eastAsia="仿宋" w:cs="仿宋"/>
          <w:sz w:val="25"/>
          <w:szCs w:val="25"/>
        </w:rPr>
      </w:pPr>
      <w:r>
        <w:rPr>
          <w:rFonts w:ascii="宋体" w:hAnsi="宋体" w:eastAsia="宋体" w:cs="宋体"/>
          <w:spacing w:val="8"/>
          <w:sz w:val="25"/>
          <w:szCs w:val="25"/>
        </w:rPr>
        <w:t>①</w:t>
      </w:r>
      <w:r>
        <w:rPr>
          <w:rFonts w:ascii="仿宋" w:hAnsi="仿宋" w:eastAsia="仿宋" w:cs="仿宋"/>
          <w:spacing w:val="8"/>
          <w:sz w:val="25"/>
          <w:szCs w:val="25"/>
        </w:rPr>
        <w:t>矿山最低开采规模</w:t>
      </w:r>
    </w:p>
    <w:p w14:paraId="038F556F">
      <w:pPr>
        <w:spacing w:before="151" w:line="340" w:lineRule="auto"/>
        <w:ind w:left="136" w:right="122" w:firstLine="480"/>
        <w:jc w:val="both"/>
        <w:rPr>
          <w:rFonts w:ascii="仿宋" w:hAnsi="仿宋" w:eastAsia="仿宋" w:cs="仿宋"/>
          <w:sz w:val="25"/>
          <w:szCs w:val="25"/>
        </w:rPr>
      </w:pPr>
      <w:r>
        <w:rPr>
          <w:rFonts w:ascii="仿宋" w:hAnsi="仿宋" w:eastAsia="仿宋" w:cs="仿宋"/>
          <w:spacing w:val="11"/>
          <w:sz w:val="25"/>
          <w:szCs w:val="25"/>
        </w:rPr>
        <w:t>适度集中，压缩过剩、落后能力，做到矿山开采规模与矿床</w:t>
      </w:r>
      <w:r>
        <w:rPr>
          <w:rFonts w:ascii="仿宋" w:hAnsi="仿宋" w:eastAsia="仿宋" w:cs="仿宋"/>
          <w:spacing w:val="10"/>
          <w:sz w:val="25"/>
          <w:szCs w:val="25"/>
        </w:rPr>
        <w:t>（区）储量规</w:t>
      </w:r>
      <w:r>
        <w:rPr>
          <w:rFonts w:ascii="仿宋" w:hAnsi="仿宋" w:eastAsia="仿宋" w:cs="仿宋"/>
          <w:sz w:val="25"/>
          <w:szCs w:val="25"/>
        </w:rPr>
        <w:t xml:space="preserve"> </w:t>
      </w:r>
      <w:r>
        <w:rPr>
          <w:rFonts w:ascii="仿宋" w:hAnsi="仿宋" w:eastAsia="仿宋" w:cs="仿宋"/>
          <w:spacing w:val="10"/>
          <w:sz w:val="25"/>
          <w:szCs w:val="25"/>
        </w:rPr>
        <w:t>模相适应，设立矿山开采最低规模，并严格控</w:t>
      </w:r>
      <w:r>
        <w:rPr>
          <w:rFonts w:ascii="仿宋" w:hAnsi="仿宋" w:eastAsia="仿宋" w:cs="仿宋"/>
          <w:spacing w:val="9"/>
          <w:sz w:val="25"/>
          <w:szCs w:val="25"/>
        </w:rPr>
        <w:t>制建筑石料用灰岩新建矿山生产</w:t>
      </w:r>
      <w:r>
        <w:rPr>
          <w:rFonts w:ascii="仿宋" w:hAnsi="仿宋" w:eastAsia="仿宋" w:cs="仿宋"/>
          <w:sz w:val="25"/>
          <w:szCs w:val="25"/>
        </w:rPr>
        <w:t xml:space="preserve"> 规模。</w:t>
      </w:r>
    </w:p>
    <w:p w14:paraId="26773C13">
      <w:pPr>
        <w:spacing w:before="42" w:line="231" w:lineRule="auto"/>
        <w:ind w:left="3260"/>
        <w:rPr>
          <w:rFonts w:ascii="仿宋" w:hAnsi="仿宋" w:eastAsia="仿宋" w:cs="仿宋"/>
          <w:sz w:val="20"/>
          <w:szCs w:val="20"/>
        </w:rPr>
      </w:pPr>
      <w:r>
        <w:rPr>
          <w:rFonts w:ascii="仿宋" w:hAnsi="仿宋" w:eastAsia="仿宋" w:cs="仿宋"/>
          <w:b/>
          <w:bCs/>
          <w:spacing w:val="4"/>
          <w:sz w:val="20"/>
          <w:szCs w:val="20"/>
        </w:rPr>
        <w:t>表</w:t>
      </w:r>
      <w:r>
        <w:rPr>
          <w:rFonts w:ascii="仿宋" w:hAnsi="仿宋" w:eastAsia="仿宋" w:cs="仿宋"/>
          <w:spacing w:val="-30"/>
          <w:sz w:val="20"/>
          <w:szCs w:val="20"/>
        </w:rPr>
        <w:t xml:space="preserve"> </w:t>
      </w:r>
      <w:r>
        <w:rPr>
          <w:rFonts w:ascii="Times New Roman" w:hAnsi="Times New Roman" w:eastAsia="Times New Roman" w:cs="Times New Roman"/>
          <w:b/>
          <w:bCs/>
          <w:spacing w:val="4"/>
          <w:sz w:val="20"/>
          <w:szCs w:val="20"/>
        </w:rPr>
        <w:t xml:space="preserve">2.1-8    </w:t>
      </w:r>
      <w:r>
        <w:rPr>
          <w:rFonts w:ascii="仿宋" w:hAnsi="仿宋" w:eastAsia="仿宋" w:cs="仿宋"/>
          <w:b/>
          <w:bCs/>
          <w:spacing w:val="4"/>
          <w:sz w:val="20"/>
          <w:szCs w:val="20"/>
        </w:rPr>
        <w:t>矿山最低开采规模</w:t>
      </w:r>
    </w:p>
    <w:p w14:paraId="7FC6ACCC">
      <w:pPr>
        <w:spacing w:line="22" w:lineRule="exact"/>
      </w:pPr>
    </w:p>
    <w:tbl>
      <w:tblPr>
        <w:tblStyle w:val="5"/>
        <w:tblW w:w="9060"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66"/>
        <w:gridCol w:w="1650"/>
        <w:gridCol w:w="1675"/>
        <w:gridCol w:w="3469"/>
      </w:tblGrid>
      <w:tr w14:paraId="570DAA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2266" w:type="dxa"/>
            <w:tcBorders>
              <w:top w:val="single" w:color="000000" w:sz="10" w:space="0"/>
              <w:left w:val="single" w:color="000000" w:sz="10" w:space="0"/>
            </w:tcBorders>
            <w:vAlign w:val="top"/>
          </w:tcPr>
          <w:p w14:paraId="0B7F7A3E">
            <w:pPr>
              <w:pStyle w:val="6"/>
              <w:spacing w:before="89" w:line="229" w:lineRule="auto"/>
              <w:ind w:left="922"/>
              <w:rPr>
                <w:sz w:val="20"/>
                <w:szCs w:val="20"/>
              </w:rPr>
            </w:pPr>
            <w:r>
              <w:rPr>
                <w:spacing w:val="2"/>
                <w:sz w:val="20"/>
                <w:szCs w:val="20"/>
              </w:rPr>
              <w:t>矿种</w:t>
            </w:r>
          </w:p>
        </w:tc>
        <w:tc>
          <w:tcPr>
            <w:tcW w:w="1650" w:type="dxa"/>
            <w:tcBorders>
              <w:top w:val="single" w:color="000000" w:sz="10" w:space="0"/>
            </w:tcBorders>
            <w:vAlign w:val="top"/>
          </w:tcPr>
          <w:p w14:paraId="0E1C28F9">
            <w:pPr>
              <w:pStyle w:val="6"/>
              <w:spacing w:before="89" w:line="229" w:lineRule="auto"/>
              <w:ind w:left="626"/>
              <w:rPr>
                <w:sz w:val="20"/>
                <w:szCs w:val="20"/>
              </w:rPr>
            </w:pPr>
            <w:r>
              <w:rPr>
                <w:spacing w:val="-1"/>
                <w:sz w:val="20"/>
                <w:szCs w:val="20"/>
              </w:rPr>
              <w:t>单位</w:t>
            </w:r>
          </w:p>
        </w:tc>
        <w:tc>
          <w:tcPr>
            <w:tcW w:w="1675" w:type="dxa"/>
            <w:tcBorders>
              <w:top w:val="single" w:color="000000" w:sz="10" w:space="0"/>
            </w:tcBorders>
            <w:vAlign w:val="top"/>
          </w:tcPr>
          <w:p w14:paraId="483A5A17">
            <w:pPr>
              <w:pStyle w:val="6"/>
              <w:spacing w:before="88" w:line="231" w:lineRule="auto"/>
              <w:ind w:left="226"/>
              <w:rPr>
                <w:sz w:val="20"/>
                <w:szCs w:val="20"/>
              </w:rPr>
            </w:pPr>
            <w:r>
              <w:rPr>
                <w:spacing w:val="6"/>
                <w:sz w:val="20"/>
                <w:szCs w:val="20"/>
              </w:rPr>
              <w:t>最低开采规模</w:t>
            </w:r>
          </w:p>
        </w:tc>
        <w:tc>
          <w:tcPr>
            <w:tcW w:w="3469" w:type="dxa"/>
            <w:tcBorders>
              <w:top w:val="single" w:color="000000" w:sz="10" w:space="0"/>
              <w:right w:val="single" w:color="000000" w:sz="10" w:space="0"/>
            </w:tcBorders>
            <w:vAlign w:val="top"/>
          </w:tcPr>
          <w:p w14:paraId="100FE63A">
            <w:pPr>
              <w:pStyle w:val="6"/>
              <w:spacing w:before="88" w:line="233" w:lineRule="auto"/>
              <w:ind w:left="1539"/>
              <w:rPr>
                <w:sz w:val="20"/>
                <w:szCs w:val="20"/>
              </w:rPr>
            </w:pPr>
            <w:r>
              <w:rPr>
                <w:spacing w:val="1"/>
                <w:sz w:val="20"/>
                <w:szCs w:val="20"/>
              </w:rPr>
              <w:t>备注</w:t>
            </w:r>
          </w:p>
        </w:tc>
      </w:tr>
      <w:tr w14:paraId="05CCBC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2266" w:type="dxa"/>
            <w:tcBorders>
              <w:left w:val="single" w:color="000000" w:sz="10" w:space="0"/>
            </w:tcBorders>
            <w:vAlign w:val="top"/>
          </w:tcPr>
          <w:p w14:paraId="72EB59F6">
            <w:pPr>
              <w:pStyle w:val="6"/>
              <w:spacing w:before="70" w:line="232" w:lineRule="auto"/>
              <w:ind w:left="817"/>
              <w:rPr>
                <w:sz w:val="20"/>
                <w:szCs w:val="20"/>
              </w:rPr>
            </w:pPr>
            <w:r>
              <w:rPr>
                <w:spacing w:val="4"/>
                <w:sz w:val="20"/>
                <w:szCs w:val="20"/>
              </w:rPr>
              <w:t>铝土矿</w:t>
            </w:r>
          </w:p>
        </w:tc>
        <w:tc>
          <w:tcPr>
            <w:tcW w:w="1650" w:type="dxa"/>
            <w:vAlign w:val="top"/>
          </w:tcPr>
          <w:p w14:paraId="5D4654DB">
            <w:pPr>
              <w:pStyle w:val="6"/>
              <w:spacing w:before="69" w:line="231" w:lineRule="auto"/>
              <w:ind w:left="489"/>
              <w:rPr>
                <w:sz w:val="20"/>
                <w:szCs w:val="20"/>
              </w:rPr>
            </w:pPr>
            <w:r>
              <w:rPr>
                <w:spacing w:val="3"/>
                <w:sz w:val="20"/>
                <w:szCs w:val="20"/>
              </w:rPr>
              <w:t>万吨</w:t>
            </w:r>
            <w:r>
              <w:rPr>
                <w:rFonts w:ascii="Times New Roman" w:hAnsi="Times New Roman" w:eastAsia="Times New Roman" w:cs="Times New Roman"/>
                <w:spacing w:val="3"/>
                <w:sz w:val="20"/>
                <w:szCs w:val="20"/>
              </w:rPr>
              <w:t>/</w:t>
            </w:r>
            <w:r>
              <w:rPr>
                <w:spacing w:val="3"/>
                <w:sz w:val="20"/>
                <w:szCs w:val="20"/>
              </w:rPr>
              <w:t>年</w:t>
            </w:r>
          </w:p>
        </w:tc>
        <w:tc>
          <w:tcPr>
            <w:tcW w:w="1675" w:type="dxa"/>
            <w:vAlign w:val="top"/>
          </w:tcPr>
          <w:p w14:paraId="5DE0AE53">
            <w:pPr>
              <w:spacing w:before="105" w:line="195" w:lineRule="auto"/>
              <w:ind w:left="740"/>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3469" w:type="dxa"/>
            <w:tcBorders>
              <w:right w:val="single" w:color="000000" w:sz="10" w:space="0"/>
            </w:tcBorders>
            <w:vAlign w:val="top"/>
          </w:tcPr>
          <w:p w14:paraId="778F19BA">
            <w:pPr>
              <w:pStyle w:val="6"/>
              <w:spacing w:before="69" w:line="231" w:lineRule="auto"/>
              <w:ind w:left="510"/>
              <w:rPr>
                <w:sz w:val="20"/>
                <w:szCs w:val="20"/>
              </w:rPr>
            </w:pPr>
            <w:r>
              <w:rPr>
                <w:spacing w:val="10"/>
                <w:sz w:val="20"/>
                <w:szCs w:val="20"/>
              </w:rPr>
              <w:t>新建矿山不低于</w:t>
            </w:r>
            <w:r>
              <w:rPr>
                <w:rFonts w:ascii="Times New Roman" w:hAnsi="Times New Roman" w:eastAsia="Times New Roman" w:cs="Times New Roman"/>
                <w:spacing w:val="10"/>
                <w:sz w:val="20"/>
                <w:szCs w:val="20"/>
              </w:rPr>
              <w:t>30</w:t>
            </w:r>
            <w:r>
              <w:rPr>
                <w:rFonts w:ascii="Times New Roman" w:hAnsi="Times New Roman" w:eastAsia="Times New Roman" w:cs="Times New Roman"/>
                <w:spacing w:val="22"/>
                <w:sz w:val="20"/>
                <w:szCs w:val="20"/>
              </w:rPr>
              <w:t xml:space="preserve"> </w:t>
            </w:r>
            <w:r>
              <w:rPr>
                <w:spacing w:val="10"/>
                <w:sz w:val="20"/>
                <w:szCs w:val="20"/>
              </w:rPr>
              <w:t>万吨</w:t>
            </w:r>
            <w:r>
              <w:rPr>
                <w:rFonts w:ascii="Times New Roman" w:hAnsi="Times New Roman" w:eastAsia="Times New Roman" w:cs="Times New Roman"/>
                <w:spacing w:val="10"/>
                <w:sz w:val="20"/>
                <w:szCs w:val="20"/>
              </w:rPr>
              <w:t>/</w:t>
            </w:r>
            <w:r>
              <w:rPr>
                <w:spacing w:val="10"/>
                <w:sz w:val="20"/>
                <w:szCs w:val="20"/>
              </w:rPr>
              <w:t>年</w:t>
            </w:r>
          </w:p>
        </w:tc>
      </w:tr>
      <w:tr w14:paraId="21B3A2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trPr>
        <w:tc>
          <w:tcPr>
            <w:tcW w:w="2266" w:type="dxa"/>
            <w:tcBorders>
              <w:left w:val="single" w:color="000000" w:sz="10" w:space="0"/>
            </w:tcBorders>
            <w:vAlign w:val="top"/>
          </w:tcPr>
          <w:p w14:paraId="02031C0B">
            <w:pPr>
              <w:pStyle w:val="6"/>
              <w:spacing w:before="91" w:line="232" w:lineRule="auto"/>
              <w:ind w:left="117"/>
              <w:rPr>
                <w:sz w:val="20"/>
                <w:szCs w:val="20"/>
              </w:rPr>
            </w:pPr>
            <w:r>
              <w:rPr>
                <w:spacing w:val="1"/>
                <w:sz w:val="20"/>
                <w:szCs w:val="20"/>
              </w:rPr>
              <w:t>萤石（普通）、重晶石</w:t>
            </w:r>
          </w:p>
        </w:tc>
        <w:tc>
          <w:tcPr>
            <w:tcW w:w="1650" w:type="dxa"/>
            <w:vAlign w:val="top"/>
          </w:tcPr>
          <w:p w14:paraId="1C1C44FE">
            <w:pPr>
              <w:pStyle w:val="6"/>
              <w:spacing w:before="92" w:line="231" w:lineRule="auto"/>
              <w:ind w:left="489"/>
              <w:rPr>
                <w:sz w:val="20"/>
                <w:szCs w:val="20"/>
              </w:rPr>
            </w:pPr>
            <w:r>
              <w:rPr>
                <w:spacing w:val="3"/>
                <w:sz w:val="20"/>
                <w:szCs w:val="20"/>
              </w:rPr>
              <w:t>万吨</w:t>
            </w:r>
            <w:r>
              <w:rPr>
                <w:rFonts w:ascii="Times New Roman" w:hAnsi="Times New Roman" w:eastAsia="Times New Roman" w:cs="Times New Roman"/>
                <w:spacing w:val="3"/>
                <w:sz w:val="20"/>
                <w:szCs w:val="20"/>
              </w:rPr>
              <w:t>/</w:t>
            </w:r>
            <w:r>
              <w:rPr>
                <w:spacing w:val="3"/>
                <w:sz w:val="20"/>
                <w:szCs w:val="20"/>
              </w:rPr>
              <w:t>年</w:t>
            </w:r>
          </w:p>
        </w:tc>
        <w:tc>
          <w:tcPr>
            <w:tcW w:w="1675" w:type="dxa"/>
            <w:vAlign w:val="top"/>
          </w:tcPr>
          <w:p w14:paraId="1FA7FBC2">
            <w:pPr>
              <w:spacing w:before="128" w:line="195" w:lineRule="auto"/>
              <w:ind w:left="790"/>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3469" w:type="dxa"/>
            <w:tcBorders>
              <w:right w:val="single" w:color="000000" w:sz="10" w:space="0"/>
            </w:tcBorders>
            <w:vAlign w:val="top"/>
          </w:tcPr>
          <w:p w14:paraId="12363DA8">
            <w:pPr>
              <w:pStyle w:val="6"/>
              <w:spacing w:before="92" w:line="231" w:lineRule="auto"/>
              <w:ind w:left="562"/>
              <w:rPr>
                <w:sz w:val="20"/>
                <w:szCs w:val="20"/>
              </w:rPr>
            </w:pPr>
            <w:r>
              <w:rPr>
                <w:spacing w:val="5"/>
                <w:sz w:val="20"/>
                <w:szCs w:val="20"/>
              </w:rPr>
              <w:t>新建矿山不低于</w:t>
            </w:r>
            <w:r>
              <w:rPr>
                <w:spacing w:val="-33"/>
                <w:sz w:val="20"/>
                <w:szCs w:val="20"/>
              </w:rPr>
              <w:t xml:space="preserve"> </w:t>
            </w:r>
            <w:r>
              <w:rPr>
                <w:rFonts w:ascii="Times New Roman" w:hAnsi="Times New Roman" w:eastAsia="Times New Roman" w:cs="Times New Roman"/>
                <w:spacing w:val="5"/>
                <w:sz w:val="20"/>
                <w:szCs w:val="20"/>
              </w:rPr>
              <w:t>5</w:t>
            </w:r>
            <w:r>
              <w:rPr>
                <w:rFonts w:ascii="Times New Roman" w:hAnsi="Times New Roman" w:eastAsia="Times New Roman" w:cs="Times New Roman"/>
                <w:spacing w:val="19"/>
                <w:w w:val="101"/>
                <w:sz w:val="20"/>
                <w:szCs w:val="20"/>
              </w:rPr>
              <w:t xml:space="preserve"> </w:t>
            </w:r>
            <w:r>
              <w:rPr>
                <w:spacing w:val="5"/>
                <w:sz w:val="20"/>
                <w:szCs w:val="20"/>
              </w:rPr>
              <w:t>万吨</w:t>
            </w:r>
            <w:r>
              <w:rPr>
                <w:rFonts w:ascii="Times New Roman" w:hAnsi="Times New Roman" w:eastAsia="Times New Roman" w:cs="Times New Roman"/>
                <w:spacing w:val="5"/>
                <w:sz w:val="20"/>
                <w:szCs w:val="20"/>
              </w:rPr>
              <w:t>/</w:t>
            </w:r>
            <w:r>
              <w:rPr>
                <w:spacing w:val="5"/>
                <w:sz w:val="20"/>
                <w:szCs w:val="20"/>
              </w:rPr>
              <w:t>年</w:t>
            </w:r>
          </w:p>
        </w:tc>
      </w:tr>
      <w:tr w14:paraId="14503B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2266" w:type="dxa"/>
            <w:tcBorders>
              <w:left w:val="single" w:color="000000" w:sz="10" w:space="0"/>
            </w:tcBorders>
            <w:vAlign w:val="top"/>
          </w:tcPr>
          <w:p w14:paraId="6EEAF254">
            <w:pPr>
              <w:pStyle w:val="6"/>
              <w:spacing w:before="51" w:line="219" w:lineRule="auto"/>
              <w:ind w:left="607"/>
              <w:rPr>
                <w:sz w:val="20"/>
                <w:szCs w:val="20"/>
              </w:rPr>
            </w:pPr>
            <w:r>
              <w:rPr>
                <w:spacing w:val="7"/>
                <w:sz w:val="20"/>
                <w:szCs w:val="20"/>
              </w:rPr>
              <w:t>水泥用灰岩</w:t>
            </w:r>
          </w:p>
        </w:tc>
        <w:tc>
          <w:tcPr>
            <w:tcW w:w="1650" w:type="dxa"/>
            <w:vAlign w:val="top"/>
          </w:tcPr>
          <w:p w14:paraId="58979895">
            <w:pPr>
              <w:pStyle w:val="6"/>
              <w:spacing w:before="51" w:line="219" w:lineRule="auto"/>
              <w:ind w:left="489"/>
              <w:rPr>
                <w:sz w:val="20"/>
                <w:szCs w:val="20"/>
              </w:rPr>
            </w:pPr>
            <w:r>
              <w:rPr>
                <w:spacing w:val="3"/>
                <w:sz w:val="20"/>
                <w:szCs w:val="20"/>
              </w:rPr>
              <w:t>万吨</w:t>
            </w:r>
            <w:r>
              <w:rPr>
                <w:rFonts w:ascii="Times New Roman" w:hAnsi="Times New Roman" w:eastAsia="Times New Roman" w:cs="Times New Roman"/>
                <w:spacing w:val="3"/>
                <w:sz w:val="20"/>
                <w:szCs w:val="20"/>
              </w:rPr>
              <w:t>/</w:t>
            </w:r>
            <w:r>
              <w:rPr>
                <w:spacing w:val="3"/>
                <w:sz w:val="20"/>
                <w:szCs w:val="20"/>
              </w:rPr>
              <w:t>年</w:t>
            </w:r>
          </w:p>
        </w:tc>
        <w:tc>
          <w:tcPr>
            <w:tcW w:w="1675" w:type="dxa"/>
            <w:vAlign w:val="top"/>
          </w:tcPr>
          <w:p w14:paraId="72B7DEFD">
            <w:pPr>
              <w:spacing w:before="88" w:line="195" w:lineRule="auto"/>
              <w:ind w:left="70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3469" w:type="dxa"/>
            <w:tcBorders>
              <w:right w:val="single" w:color="000000" w:sz="10" w:space="0"/>
            </w:tcBorders>
            <w:vAlign w:val="top"/>
          </w:tcPr>
          <w:p w14:paraId="280A21EB">
            <w:pPr>
              <w:pStyle w:val="6"/>
              <w:spacing w:before="51" w:line="219" w:lineRule="auto"/>
              <w:ind w:left="457"/>
              <w:rPr>
                <w:sz w:val="20"/>
                <w:szCs w:val="20"/>
              </w:rPr>
            </w:pPr>
            <w:r>
              <w:rPr>
                <w:spacing w:val="4"/>
                <w:sz w:val="20"/>
                <w:szCs w:val="20"/>
              </w:rPr>
              <w:t>新建矿山不低于</w:t>
            </w:r>
            <w:r>
              <w:rPr>
                <w:spacing w:val="-18"/>
                <w:sz w:val="20"/>
                <w:szCs w:val="20"/>
              </w:rPr>
              <w:t xml:space="preserve"> </w:t>
            </w:r>
            <w:r>
              <w:rPr>
                <w:rFonts w:ascii="Times New Roman" w:hAnsi="Times New Roman" w:eastAsia="Times New Roman" w:cs="Times New Roman"/>
                <w:spacing w:val="4"/>
                <w:sz w:val="20"/>
                <w:szCs w:val="20"/>
              </w:rPr>
              <w:t>100</w:t>
            </w:r>
            <w:r>
              <w:rPr>
                <w:rFonts w:ascii="Times New Roman" w:hAnsi="Times New Roman" w:eastAsia="Times New Roman" w:cs="Times New Roman"/>
                <w:spacing w:val="20"/>
                <w:sz w:val="20"/>
                <w:szCs w:val="20"/>
              </w:rPr>
              <w:t xml:space="preserve"> </w:t>
            </w:r>
            <w:r>
              <w:rPr>
                <w:spacing w:val="4"/>
                <w:sz w:val="20"/>
                <w:szCs w:val="20"/>
              </w:rPr>
              <w:t>万吨</w:t>
            </w:r>
            <w:r>
              <w:rPr>
                <w:rFonts w:ascii="Times New Roman" w:hAnsi="Times New Roman" w:eastAsia="Times New Roman" w:cs="Times New Roman"/>
                <w:spacing w:val="4"/>
                <w:sz w:val="20"/>
                <w:szCs w:val="20"/>
              </w:rPr>
              <w:t>/</w:t>
            </w:r>
            <w:r>
              <w:rPr>
                <w:spacing w:val="4"/>
                <w:sz w:val="20"/>
                <w:szCs w:val="20"/>
              </w:rPr>
              <w:t>年</w:t>
            </w:r>
          </w:p>
        </w:tc>
      </w:tr>
      <w:tr w14:paraId="47A0D7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2266" w:type="dxa"/>
            <w:tcBorders>
              <w:left w:val="single" w:color="000000" w:sz="10" w:space="0"/>
            </w:tcBorders>
            <w:vAlign w:val="top"/>
          </w:tcPr>
          <w:p w14:paraId="3FDB0B05">
            <w:pPr>
              <w:pStyle w:val="6"/>
              <w:spacing w:before="74" w:line="229" w:lineRule="auto"/>
              <w:ind w:left="396"/>
              <w:rPr>
                <w:sz w:val="20"/>
                <w:szCs w:val="20"/>
              </w:rPr>
            </w:pPr>
            <w:r>
              <w:rPr>
                <w:spacing w:val="7"/>
                <w:sz w:val="20"/>
                <w:szCs w:val="20"/>
              </w:rPr>
              <w:t>建筑石料用灰岩</w:t>
            </w:r>
          </w:p>
        </w:tc>
        <w:tc>
          <w:tcPr>
            <w:tcW w:w="1650" w:type="dxa"/>
            <w:vAlign w:val="top"/>
          </w:tcPr>
          <w:p w14:paraId="1AD1C60D">
            <w:pPr>
              <w:pStyle w:val="6"/>
              <w:spacing w:before="74" w:line="231" w:lineRule="auto"/>
              <w:ind w:left="489"/>
              <w:rPr>
                <w:sz w:val="20"/>
                <w:szCs w:val="20"/>
              </w:rPr>
            </w:pPr>
            <w:r>
              <w:rPr>
                <w:spacing w:val="3"/>
                <w:sz w:val="20"/>
                <w:szCs w:val="20"/>
              </w:rPr>
              <w:t>万吨</w:t>
            </w:r>
            <w:r>
              <w:rPr>
                <w:rFonts w:ascii="Times New Roman" w:hAnsi="Times New Roman" w:eastAsia="Times New Roman" w:cs="Times New Roman"/>
                <w:spacing w:val="3"/>
                <w:sz w:val="20"/>
                <w:szCs w:val="20"/>
              </w:rPr>
              <w:t>/</w:t>
            </w:r>
            <w:r>
              <w:rPr>
                <w:spacing w:val="3"/>
                <w:sz w:val="20"/>
                <w:szCs w:val="20"/>
              </w:rPr>
              <w:t>年</w:t>
            </w:r>
          </w:p>
        </w:tc>
        <w:tc>
          <w:tcPr>
            <w:tcW w:w="1675" w:type="dxa"/>
            <w:vAlign w:val="top"/>
          </w:tcPr>
          <w:p w14:paraId="4819C905">
            <w:pPr>
              <w:spacing w:before="110" w:line="195" w:lineRule="auto"/>
              <w:ind w:left="7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3469" w:type="dxa"/>
            <w:tcBorders>
              <w:right w:val="single" w:color="000000" w:sz="10" w:space="0"/>
            </w:tcBorders>
            <w:vAlign w:val="top"/>
          </w:tcPr>
          <w:p w14:paraId="7D04B09C">
            <w:pPr>
              <w:pStyle w:val="6"/>
              <w:spacing w:before="74" w:line="231" w:lineRule="auto"/>
              <w:ind w:left="510"/>
              <w:rPr>
                <w:sz w:val="20"/>
                <w:szCs w:val="20"/>
              </w:rPr>
            </w:pPr>
            <w:r>
              <w:rPr>
                <w:spacing w:val="6"/>
                <w:sz w:val="20"/>
                <w:szCs w:val="20"/>
              </w:rPr>
              <w:t>新建矿山不低于</w:t>
            </w:r>
            <w:r>
              <w:rPr>
                <w:spacing w:val="-43"/>
                <w:sz w:val="20"/>
                <w:szCs w:val="20"/>
              </w:rPr>
              <w:t xml:space="preserve"> </w:t>
            </w:r>
            <w:r>
              <w:rPr>
                <w:rFonts w:ascii="Times New Roman" w:hAnsi="Times New Roman" w:eastAsia="Times New Roman" w:cs="Times New Roman"/>
                <w:spacing w:val="6"/>
                <w:sz w:val="20"/>
                <w:szCs w:val="20"/>
              </w:rPr>
              <w:t>20</w:t>
            </w:r>
            <w:r>
              <w:rPr>
                <w:rFonts w:ascii="Times New Roman" w:hAnsi="Times New Roman" w:eastAsia="Times New Roman" w:cs="Times New Roman"/>
                <w:spacing w:val="17"/>
                <w:sz w:val="20"/>
                <w:szCs w:val="20"/>
              </w:rPr>
              <w:t xml:space="preserve"> </w:t>
            </w:r>
            <w:r>
              <w:rPr>
                <w:spacing w:val="6"/>
                <w:sz w:val="20"/>
                <w:szCs w:val="20"/>
              </w:rPr>
              <w:t>万吨</w:t>
            </w:r>
            <w:r>
              <w:rPr>
                <w:rFonts w:ascii="Times New Roman" w:hAnsi="Times New Roman" w:eastAsia="Times New Roman" w:cs="Times New Roman"/>
                <w:spacing w:val="6"/>
                <w:sz w:val="20"/>
                <w:szCs w:val="20"/>
              </w:rPr>
              <w:t>/</w:t>
            </w:r>
            <w:r>
              <w:rPr>
                <w:spacing w:val="6"/>
                <w:sz w:val="20"/>
                <w:szCs w:val="20"/>
              </w:rPr>
              <w:t>年</w:t>
            </w:r>
          </w:p>
        </w:tc>
      </w:tr>
      <w:tr w14:paraId="257812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2266" w:type="dxa"/>
            <w:tcBorders>
              <w:left w:val="single" w:color="000000" w:sz="10" w:space="0"/>
            </w:tcBorders>
            <w:vAlign w:val="top"/>
          </w:tcPr>
          <w:p w14:paraId="6C6902B4">
            <w:pPr>
              <w:pStyle w:val="6"/>
              <w:spacing w:before="60" w:line="212" w:lineRule="auto"/>
              <w:ind w:left="607"/>
              <w:rPr>
                <w:sz w:val="20"/>
                <w:szCs w:val="20"/>
              </w:rPr>
            </w:pPr>
            <w:r>
              <w:rPr>
                <w:spacing w:val="7"/>
                <w:sz w:val="20"/>
                <w:szCs w:val="20"/>
              </w:rPr>
              <w:t>铸型用砂岩</w:t>
            </w:r>
          </w:p>
        </w:tc>
        <w:tc>
          <w:tcPr>
            <w:tcW w:w="1650" w:type="dxa"/>
            <w:vAlign w:val="top"/>
          </w:tcPr>
          <w:p w14:paraId="054C7508">
            <w:pPr>
              <w:pStyle w:val="6"/>
              <w:spacing w:before="60" w:line="212" w:lineRule="auto"/>
              <w:ind w:left="489"/>
              <w:rPr>
                <w:sz w:val="20"/>
                <w:szCs w:val="20"/>
              </w:rPr>
            </w:pPr>
            <w:r>
              <w:rPr>
                <w:spacing w:val="3"/>
                <w:sz w:val="20"/>
                <w:szCs w:val="20"/>
              </w:rPr>
              <w:t>万吨</w:t>
            </w:r>
            <w:r>
              <w:rPr>
                <w:rFonts w:ascii="Times New Roman" w:hAnsi="Times New Roman" w:eastAsia="Times New Roman" w:cs="Times New Roman"/>
                <w:spacing w:val="3"/>
                <w:sz w:val="20"/>
                <w:szCs w:val="20"/>
              </w:rPr>
              <w:t>/</w:t>
            </w:r>
            <w:r>
              <w:rPr>
                <w:spacing w:val="3"/>
                <w:sz w:val="20"/>
                <w:szCs w:val="20"/>
              </w:rPr>
              <w:t>年</w:t>
            </w:r>
          </w:p>
        </w:tc>
        <w:tc>
          <w:tcPr>
            <w:tcW w:w="1675" w:type="dxa"/>
            <w:vAlign w:val="top"/>
          </w:tcPr>
          <w:p w14:paraId="3E436272">
            <w:pPr>
              <w:spacing w:before="95" w:line="195" w:lineRule="auto"/>
              <w:ind w:left="75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3469" w:type="dxa"/>
            <w:tcBorders>
              <w:right w:val="single" w:color="000000" w:sz="10" w:space="0"/>
            </w:tcBorders>
            <w:vAlign w:val="top"/>
          </w:tcPr>
          <w:p w14:paraId="16D5DCD4">
            <w:pPr>
              <w:pStyle w:val="6"/>
              <w:spacing w:before="60" w:line="212" w:lineRule="auto"/>
              <w:ind w:left="510"/>
              <w:rPr>
                <w:sz w:val="20"/>
                <w:szCs w:val="20"/>
              </w:rPr>
            </w:pPr>
            <w:r>
              <w:rPr>
                <w:spacing w:val="4"/>
                <w:sz w:val="20"/>
                <w:szCs w:val="20"/>
              </w:rPr>
              <w:t>新建矿山不低于</w:t>
            </w:r>
            <w:r>
              <w:rPr>
                <w:spacing w:val="-17"/>
                <w:sz w:val="20"/>
                <w:szCs w:val="20"/>
              </w:rPr>
              <w:t xml:space="preserve"> </w:t>
            </w:r>
            <w:r>
              <w:rPr>
                <w:rFonts w:ascii="Times New Roman" w:hAnsi="Times New Roman" w:eastAsia="Times New Roman" w:cs="Times New Roman"/>
                <w:spacing w:val="4"/>
                <w:sz w:val="20"/>
                <w:szCs w:val="20"/>
              </w:rPr>
              <w:t>10</w:t>
            </w:r>
            <w:r>
              <w:rPr>
                <w:rFonts w:ascii="Times New Roman" w:hAnsi="Times New Roman" w:eastAsia="Times New Roman" w:cs="Times New Roman"/>
                <w:spacing w:val="17"/>
                <w:sz w:val="20"/>
                <w:szCs w:val="20"/>
              </w:rPr>
              <w:t xml:space="preserve"> </w:t>
            </w:r>
            <w:r>
              <w:rPr>
                <w:spacing w:val="4"/>
                <w:sz w:val="20"/>
                <w:szCs w:val="20"/>
              </w:rPr>
              <w:t>万吨</w:t>
            </w:r>
            <w:r>
              <w:rPr>
                <w:rFonts w:ascii="Times New Roman" w:hAnsi="Times New Roman" w:eastAsia="Times New Roman" w:cs="Times New Roman"/>
                <w:spacing w:val="4"/>
                <w:sz w:val="20"/>
                <w:szCs w:val="20"/>
              </w:rPr>
              <w:t>/</w:t>
            </w:r>
            <w:r>
              <w:rPr>
                <w:spacing w:val="4"/>
                <w:sz w:val="20"/>
                <w:szCs w:val="20"/>
              </w:rPr>
              <w:t>年</w:t>
            </w:r>
          </w:p>
        </w:tc>
      </w:tr>
      <w:tr w14:paraId="2FAB48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2266" w:type="dxa"/>
            <w:tcBorders>
              <w:left w:val="single" w:color="000000" w:sz="10" w:space="0"/>
            </w:tcBorders>
            <w:vAlign w:val="top"/>
          </w:tcPr>
          <w:p w14:paraId="61A35A0F">
            <w:pPr>
              <w:pStyle w:val="6"/>
              <w:spacing w:before="50" w:line="198" w:lineRule="auto"/>
              <w:ind w:left="607"/>
              <w:rPr>
                <w:sz w:val="20"/>
                <w:szCs w:val="20"/>
              </w:rPr>
            </w:pPr>
            <w:r>
              <w:rPr>
                <w:spacing w:val="7"/>
                <w:sz w:val="20"/>
                <w:szCs w:val="20"/>
              </w:rPr>
              <w:t>建筑用砂岩</w:t>
            </w:r>
          </w:p>
        </w:tc>
        <w:tc>
          <w:tcPr>
            <w:tcW w:w="1650" w:type="dxa"/>
            <w:vAlign w:val="top"/>
          </w:tcPr>
          <w:p w14:paraId="06270812">
            <w:pPr>
              <w:pStyle w:val="6"/>
              <w:spacing w:before="50" w:line="198" w:lineRule="auto"/>
              <w:ind w:left="489"/>
              <w:rPr>
                <w:sz w:val="20"/>
                <w:szCs w:val="20"/>
              </w:rPr>
            </w:pPr>
            <w:r>
              <w:rPr>
                <w:spacing w:val="3"/>
                <w:sz w:val="20"/>
                <w:szCs w:val="20"/>
              </w:rPr>
              <w:t>万吨</w:t>
            </w:r>
            <w:r>
              <w:rPr>
                <w:rFonts w:ascii="Times New Roman" w:hAnsi="Times New Roman" w:eastAsia="Times New Roman" w:cs="Times New Roman"/>
                <w:spacing w:val="3"/>
                <w:sz w:val="20"/>
                <w:szCs w:val="20"/>
              </w:rPr>
              <w:t>/</w:t>
            </w:r>
            <w:r>
              <w:rPr>
                <w:spacing w:val="3"/>
                <w:sz w:val="20"/>
                <w:szCs w:val="20"/>
              </w:rPr>
              <w:t>年</w:t>
            </w:r>
          </w:p>
        </w:tc>
        <w:tc>
          <w:tcPr>
            <w:tcW w:w="1675" w:type="dxa"/>
            <w:vAlign w:val="top"/>
          </w:tcPr>
          <w:p w14:paraId="329470E8">
            <w:pPr>
              <w:spacing w:before="86" w:line="186" w:lineRule="auto"/>
              <w:ind w:left="75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3469" w:type="dxa"/>
            <w:tcBorders>
              <w:right w:val="single" w:color="000000" w:sz="10" w:space="0"/>
            </w:tcBorders>
            <w:vAlign w:val="top"/>
          </w:tcPr>
          <w:p w14:paraId="79207A51">
            <w:pPr>
              <w:pStyle w:val="6"/>
              <w:spacing w:before="50" w:line="198" w:lineRule="auto"/>
              <w:ind w:left="510"/>
              <w:rPr>
                <w:sz w:val="20"/>
                <w:szCs w:val="20"/>
              </w:rPr>
            </w:pPr>
            <w:r>
              <w:rPr>
                <w:spacing w:val="4"/>
                <w:sz w:val="20"/>
                <w:szCs w:val="20"/>
              </w:rPr>
              <w:t>新建矿山不低于</w:t>
            </w:r>
            <w:r>
              <w:rPr>
                <w:spacing w:val="-17"/>
                <w:sz w:val="20"/>
                <w:szCs w:val="20"/>
              </w:rPr>
              <w:t xml:space="preserve"> </w:t>
            </w:r>
            <w:r>
              <w:rPr>
                <w:rFonts w:ascii="Times New Roman" w:hAnsi="Times New Roman" w:eastAsia="Times New Roman" w:cs="Times New Roman"/>
                <w:spacing w:val="4"/>
                <w:sz w:val="20"/>
                <w:szCs w:val="20"/>
              </w:rPr>
              <w:t>10</w:t>
            </w:r>
            <w:r>
              <w:rPr>
                <w:rFonts w:ascii="Times New Roman" w:hAnsi="Times New Roman" w:eastAsia="Times New Roman" w:cs="Times New Roman"/>
                <w:spacing w:val="17"/>
                <w:sz w:val="20"/>
                <w:szCs w:val="20"/>
              </w:rPr>
              <w:t xml:space="preserve"> </w:t>
            </w:r>
            <w:r>
              <w:rPr>
                <w:spacing w:val="4"/>
                <w:sz w:val="20"/>
                <w:szCs w:val="20"/>
              </w:rPr>
              <w:t>万吨</w:t>
            </w:r>
            <w:r>
              <w:rPr>
                <w:rFonts w:ascii="Times New Roman" w:hAnsi="Times New Roman" w:eastAsia="Times New Roman" w:cs="Times New Roman"/>
                <w:spacing w:val="4"/>
                <w:sz w:val="20"/>
                <w:szCs w:val="20"/>
              </w:rPr>
              <w:t>/</w:t>
            </w:r>
            <w:r>
              <w:rPr>
                <w:spacing w:val="4"/>
                <w:sz w:val="20"/>
                <w:szCs w:val="20"/>
              </w:rPr>
              <w:t>年</w:t>
            </w:r>
          </w:p>
        </w:tc>
      </w:tr>
      <w:tr w14:paraId="04D968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2266" w:type="dxa"/>
            <w:tcBorders>
              <w:left w:val="single" w:color="000000" w:sz="10" w:space="0"/>
              <w:bottom w:val="single" w:color="000000" w:sz="10" w:space="0"/>
            </w:tcBorders>
            <w:vAlign w:val="top"/>
          </w:tcPr>
          <w:p w14:paraId="6C8C9F9D">
            <w:pPr>
              <w:pStyle w:val="6"/>
              <w:spacing w:before="87" w:line="232" w:lineRule="auto"/>
              <w:ind w:left="608"/>
              <w:rPr>
                <w:sz w:val="20"/>
                <w:szCs w:val="20"/>
              </w:rPr>
            </w:pPr>
            <w:r>
              <w:rPr>
                <w:spacing w:val="6"/>
                <w:sz w:val="20"/>
                <w:szCs w:val="20"/>
              </w:rPr>
              <w:t>饰面用灰岩</w:t>
            </w:r>
          </w:p>
        </w:tc>
        <w:tc>
          <w:tcPr>
            <w:tcW w:w="1650" w:type="dxa"/>
            <w:tcBorders>
              <w:bottom w:val="single" w:color="000000" w:sz="10" w:space="0"/>
            </w:tcBorders>
            <w:vAlign w:val="top"/>
          </w:tcPr>
          <w:p w14:paraId="4C928669">
            <w:pPr>
              <w:pStyle w:val="6"/>
              <w:spacing w:before="86" w:line="231" w:lineRule="auto"/>
              <w:ind w:left="280"/>
              <w:rPr>
                <w:sz w:val="20"/>
                <w:szCs w:val="20"/>
              </w:rPr>
            </w:pPr>
            <w:r>
              <w:rPr>
                <w:spacing w:val="5"/>
                <w:sz w:val="20"/>
                <w:szCs w:val="20"/>
              </w:rPr>
              <w:t>万立方米</w:t>
            </w:r>
            <w:r>
              <w:rPr>
                <w:rFonts w:ascii="Times New Roman" w:hAnsi="Times New Roman" w:eastAsia="Times New Roman" w:cs="Times New Roman"/>
                <w:spacing w:val="5"/>
                <w:sz w:val="20"/>
                <w:szCs w:val="20"/>
              </w:rPr>
              <w:t>/</w:t>
            </w:r>
            <w:r>
              <w:rPr>
                <w:spacing w:val="5"/>
                <w:sz w:val="20"/>
                <w:szCs w:val="20"/>
              </w:rPr>
              <w:t>年</w:t>
            </w:r>
          </w:p>
        </w:tc>
        <w:tc>
          <w:tcPr>
            <w:tcW w:w="1675" w:type="dxa"/>
            <w:tcBorders>
              <w:bottom w:val="single" w:color="000000" w:sz="10" w:space="0"/>
            </w:tcBorders>
            <w:vAlign w:val="top"/>
          </w:tcPr>
          <w:p w14:paraId="0758ABA9">
            <w:pPr>
              <w:spacing w:before="125" w:line="195" w:lineRule="auto"/>
              <w:ind w:left="80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469" w:type="dxa"/>
            <w:tcBorders>
              <w:bottom w:val="single" w:color="000000" w:sz="10" w:space="0"/>
              <w:right w:val="single" w:color="000000" w:sz="10" w:space="0"/>
            </w:tcBorders>
            <w:vAlign w:val="top"/>
          </w:tcPr>
          <w:p w14:paraId="1D28C108">
            <w:pPr>
              <w:pStyle w:val="6"/>
              <w:spacing w:before="86" w:line="231" w:lineRule="auto"/>
              <w:ind w:left="351"/>
              <w:rPr>
                <w:sz w:val="20"/>
                <w:szCs w:val="20"/>
              </w:rPr>
            </w:pPr>
            <w:r>
              <w:rPr>
                <w:spacing w:val="5"/>
                <w:sz w:val="20"/>
                <w:szCs w:val="20"/>
              </w:rPr>
              <w:t>新建矿山不低于</w:t>
            </w:r>
            <w:r>
              <w:rPr>
                <w:spacing w:val="-23"/>
                <w:sz w:val="20"/>
                <w:szCs w:val="20"/>
              </w:rPr>
              <w:t xml:space="preserve"> </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19"/>
                <w:w w:val="101"/>
                <w:sz w:val="20"/>
                <w:szCs w:val="20"/>
              </w:rPr>
              <w:t xml:space="preserve"> </w:t>
            </w:r>
            <w:r>
              <w:rPr>
                <w:spacing w:val="5"/>
                <w:sz w:val="20"/>
                <w:szCs w:val="20"/>
              </w:rPr>
              <w:t>万立方米</w:t>
            </w:r>
            <w:r>
              <w:rPr>
                <w:rFonts w:ascii="Times New Roman" w:hAnsi="Times New Roman" w:eastAsia="Times New Roman" w:cs="Times New Roman"/>
                <w:spacing w:val="5"/>
                <w:sz w:val="20"/>
                <w:szCs w:val="20"/>
              </w:rPr>
              <w:t>/</w:t>
            </w:r>
            <w:r>
              <w:rPr>
                <w:spacing w:val="5"/>
                <w:sz w:val="20"/>
                <w:szCs w:val="20"/>
              </w:rPr>
              <w:t>年</w:t>
            </w:r>
          </w:p>
        </w:tc>
      </w:tr>
    </w:tbl>
    <w:p w14:paraId="61C7E57D">
      <w:pPr>
        <w:pStyle w:val="2"/>
      </w:pPr>
    </w:p>
    <w:p w14:paraId="63BD29B7">
      <w:pPr>
        <w:sectPr>
          <w:headerReference r:id="rId51" w:type="default"/>
          <w:footerReference r:id="rId52" w:type="default"/>
          <w:pgSz w:w="11906" w:h="16839"/>
          <w:pgMar w:top="1116" w:right="1353" w:bottom="1480" w:left="1466" w:header="683" w:footer="1318" w:gutter="0"/>
          <w:cols w:space="720" w:num="1"/>
        </w:sectPr>
      </w:pPr>
    </w:p>
    <w:p w14:paraId="626D91D5">
      <w:pPr>
        <w:pStyle w:val="2"/>
        <w:spacing w:line="386" w:lineRule="auto"/>
      </w:pPr>
    </w:p>
    <w:p w14:paraId="620842F6">
      <w:pPr>
        <w:spacing w:before="81" w:line="228" w:lineRule="auto"/>
        <w:ind w:left="528"/>
        <w:rPr>
          <w:rFonts w:ascii="仿宋" w:hAnsi="仿宋" w:eastAsia="仿宋" w:cs="仿宋"/>
          <w:sz w:val="25"/>
          <w:szCs w:val="25"/>
        </w:rPr>
      </w:pPr>
      <w:r>
        <w:rPr>
          <w:rFonts w:ascii="宋体" w:hAnsi="宋体" w:eastAsia="宋体" w:cs="宋体"/>
          <w:spacing w:val="8"/>
          <w:sz w:val="25"/>
          <w:szCs w:val="25"/>
        </w:rPr>
        <w:t>②</w:t>
      </w:r>
      <w:r>
        <w:rPr>
          <w:rFonts w:ascii="仿宋" w:hAnsi="仿宋" w:eastAsia="仿宋" w:cs="仿宋"/>
          <w:spacing w:val="8"/>
          <w:sz w:val="25"/>
          <w:szCs w:val="25"/>
        </w:rPr>
        <w:t>矿山结构规模</w:t>
      </w:r>
    </w:p>
    <w:p w14:paraId="0A4B3E1F">
      <w:pPr>
        <w:spacing w:before="152" w:line="337" w:lineRule="auto"/>
        <w:ind w:left="13" w:right="81" w:firstLine="523"/>
        <w:rPr>
          <w:rFonts w:ascii="仿宋" w:hAnsi="仿宋" w:eastAsia="仿宋" w:cs="仿宋"/>
          <w:sz w:val="25"/>
          <w:szCs w:val="25"/>
        </w:rPr>
      </w:pPr>
      <w:r>
        <w:rPr>
          <w:rFonts w:ascii="仿宋" w:hAnsi="仿宋" w:eastAsia="仿宋" w:cs="仿宋"/>
          <w:spacing w:val="6"/>
          <w:sz w:val="25"/>
          <w:szCs w:val="25"/>
        </w:rPr>
        <w:t>按照市场需求有序投放矿业权，增加有效供给。</w:t>
      </w:r>
      <w:r>
        <w:rPr>
          <w:rFonts w:ascii="Times New Roman" w:hAnsi="Times New Roman" w:eastAsia="Times New Roman" w:cs="Times New Roman"/>
          <w:spacing w:val="6"/>
          <w:sz w:val="25"/>
          <w:szCs w:val="25"/>
        </w:rPr>
        <w:t>2025</w:t>
      </w:r>
      <w:r>
        <w:rPr>
          <w:rFonts w:ascii="Times New Roman" w:hAnsi="Times New Roman" w:eastAsia="Times New Roman" w:cs="Times New Roman"/>
          <w:spacing w:val="40"/>
          <w:w w:val="101"/>
          <w:sz w:val="25"/>
          <w:szCs w:val="25"/>
        </w:rPr>
        <w:t xml:space="preserve"> </w:t>
      </w:r>
      <w:r>
        <w:rPr>
          <w:rFonts w:ascii="仿宋" w:hAnsi="仿宋" w:eastAsia="仿宋" w:cs="仿宋"/>
          <w:spacing w:val="6"/>
          <w:sz w:val="25"/>
          <w:szCs w:val="25"/>
        </w:rPr>
        <w:t>年底，建筑石料用灰</w:t>
      </w:r>
      <w:r>
        <w:rPr>
          <w:rFonts w:ascii="仿宋" w:hAnsi="仿宋" w:eastAsia="仿宋" w:cs="仿宋"/>
          <w:sz w:val="25"/>
          <w:szCs w:val="25"/>
        </w:rPr>
        <w:t xml:space="preserve"> </w:t>
      </w:r>
      <w:r>
        <w:rPr>
          <w:rFonts w:ascii="仿宋" w:hAnsi="仿宋" w:eastAsia="仿宋" w:cs="仿宋"/>
          <w:spacing w:val="5"/>
          <w:sz w:val="25"/>
          <w:szCs w:val="25"/>
        </w:rPr>
        <w:t>岩矿山控制在</w:t>
      </w:r>
      <w:r>
        <w:rPr>
          <w:rFonts w:ascii="仿宋" w:hAnsi="仿宋" w:eastAsia="仿宋" w:cs="仿宋"/>
          <w:spacing w:val="-16"/>
          <w:sz w:val="25"/>
          <w:szCs w:val="25"/>
        </w:rPr>
        <w:t xml:space="preserve"> </w:t>
      </w:r>
      <w:r>
        <w:rPr>
          <w:rFonts w:ascii="Times New Roman" w:hAnsi="Times New Roman" w:eastAsia="Times New Roman" w:cs="Times New Roman"/>
          <w:spacing w:val="5"/>
          <w:sz w:val="25"/>
          <w:szCs w:val="25"/>
        </w:rPr>
        <w:t>12</w:t>
      </w:r>
      <w:r>
        <w:rPr>
          <w:rFonts w:ascii="Times New Roman" w:hAnsi="Times New Roman" w:eastAsia="Times New Roman" w:cs="Times New Roman"/>
          <w:spacing w:val="23"/>
          <w:w w:val="101"/>
          <w:sz w:val="25"/>
          <w:szCs w:val="25"/>
        </w:rPr>
        <w:t xml:space="preserve"> </w:t>
      </w:r>
      <w:r>
        <w:rPr>
          <w:rFonts w:ascii="仿宋" w:hAnsi="仿宋" w:eastAsia="仿宋" w:cs="仿宋"/>
          <w:spacing w:val="5"/>
          <w:sz w:val="25"/>
          <w:szCs w:val="25"/>
        </w:rPr>
        <w:t>个以内，全区矿山总数控制在</w:t>
      </w:r>
      <w:r>
        <w:rPr>
          <w:rFonts w:ascii="仿宋" w:hAnsi="仿宋" w:eastAsia="仿宋" w:cs="仿宋"/>
          <w:spacing w:val="-55"/>
          <w:sz w:val="25"/>
          <w:szCs w:val="25"/>
        </w:rPr>
        <w:t xml:space="preserve"> </w:t>
      </w:r>
      <w:r>
        <w:rPr>
          <w:rFonts w:ascii="Times New Roman" w:hAnsi="Times New Roman" w:eastAsia="Times New Roman" w:cs="Times New Roman"/>
          <w:spacing w:val="5"/>
          <w:sz w:val="25"/>
          <w:szCs w:val="25"/>
        </w:rPr>
        <w:t>28</w:t>
      </w:r>
      <w:r>
        <w:rPr>
          <w:rFonts w:ascii="Times New Roman" w:hAnsi="Times New Roman" w:eastAsia="Times New Roman" w:cs="Times New Roman"/>
          <w:spacing w:val="23"/>
          <w:sz w:val="25"/>
          <w:szCs w:val="25"/>
        </w:rPr>
        <w:t xml:space="preserve"> </w:t>
      </w:r>
      <w:r>
        <w:rPr>
          <w:rFonts w:ascii="仿宋" w:hAnsi="仿宋" w:eastAsia="仿宋" w:cs="仿宋"/>
          <w:spacing w:val="5"/>
          <w:sz w:val="25"/>
          <w:szCs w:val="25"/>
        </w:rPr>
        <w:t>个以内。</w:t>
      </w:r>
    </w:p>
    <w:p w14:paraId="15B54F84">
      <w:pPr>
        <w:spacing w:before="5" w:line="228" w:lineRule="auto"/>
        <w:ind w:left="528"/>
        <w:rPr>
          <w:rFonts w:ascii="仿宋" w:hAnsi="仿宋" w:eastAsia="仿宋" w:cs="仿宋"/>
          <w:sz w:val="25"/>
          <w:szCs w:val="25"/>
        </w:rPr>
      </w:pPr>
      <w:r>
        <w:rPr>
          <w:rFonts w:ascii="宋体" w:hAnsi="宋体" w:eastAsia="宋体" w:cs="宋体"/>
          <w:spacing w:val="8"/>
          <w:sz w:val="25"/>
          <w:szCs w:val="25"/>
        </w:rPr>
        <w:t>③</w:t>
      </w:r>
      <w:r>
        <w:rPr>
          <w:rFonts w:ascii="仿宋" w:hAnsi="仿宋" w:eastAsia="仿宋" w:cs="仿宋"/>
          <w:spacing w:val="8"/>
          <w:sz w:val="25"/>
          <w:szCs w:val="25"/>
        </w:rPr>
        <w:t>提高大中型矿山比例。</w:t>
      </w:r>
    </w:p>
    <w:p w14:paraId="022ECC26">
      <w:pPr>
        <w:spacing w:before="150" w:line="340" w:lineRule="auto"/>
        <w:ind w:left="24" w:right="83" w:firstLine="513"/>
        <w:rPr>
          <w:rFonts w:ascii="仿宋" w:hAnsi="仿宋" w:eastAsia="仿宋" w:cs="仿宋"/>
          <w:sz w:val="25"/>
          <w:szCs w:val="25"/>
        </w:rPr>
      </w:pPr>
      <w:r>
        <w:rPr>
          <w:rFonts w:ascii="仿宋" w:hAnsi="仿宋" w:eastAsia="仿宋" w:cs="仿宋"/>
          <w:spacing w:val="9"/>
          <w:sz w:val="25"/>
          <w:szCs w:val="25"/>
        </w:rPr>
        <w:t>培育集勘查、开采、加工、科研于一体的大型矿业集团，加快大中型和骨</w:t>
      </w:r>
      <w:r>
        <w:rPr>
          <w:rFonts w:ascii="仿宋" w:hAnsi="仿宋" w:eastAsia="仿宋" w:cs="仿宋"/>
          <w:spacing w:val="15"/>
          <w:sz w:val="25"/>
          <w:szCs w:val="25"/>
        </w:rPr>
        <w:t xml:space="preserve"> </w:t>
      </w:r>
      <w:r>
        <w:rPr>
          <w:rFonts w:ascii="仿宋" w:hAnsi="仿宋" w:eastAsia="仿宋" w:cs="仿宋"/>
          <w:spacing w:val="4"/>
          <w:sz w:val="25"/>
          <w:szCs w:val="25"/>
        </w:rPr>
        <w:t>干矿山企业的建设和发展，促进小型矿山企业的重组改造，到</w:t>
      </w:r>
      <w:r>
        <w:rPr>
          <w:rFonts w:ascii="仿宋" w:hAnsi="仿宋" w:eastAsia="仿宋" w:cs="仿宋"/>
          <w:spacing w:val="-42"/>
          <w:sz w:val="25"/>
          <w:szCs w:val="25"/>
        </w:rPr>
        <w:t xml:space="preserve"> </w:t>
      </w:r>
      <w:r>
        <w:rPr>
          <w:rFonts w:ascii="Times New Roman" w:hAnsi="Times New Roman" w:eastAsia="Times New Roman" w:cs="Times New Roman"/>
          <w:spacing w:val="4"/>
          <w:sz w:val="25"/>
          <w:szCs w:val="25"/>
        </w:rPr>
        <w:t>2025</w:t>
      </w:r>
      <w:r>
        <w:rPr>
          <w:rFonts w:ascii="Times New Roman" w:hAnsi="Times New Roman" w:eastAsia="Times New Roman" w:cs="Times New Roman"/>
          <w:spacing w:val="27"/>
          <w:w w:val="101"/>
          <w:sz w:val="25"/>
          <w:szCs w:val="25"/>
        </w:rPr>
        <w:t xml:space="preserve"> </w:t>
      </w:r>
      <w:r>
        <w:rPr>
          <w:rFonts w:ascii="仿宋" w:hAnsi="仿宋" w:eastAsia="仿宋" w:cs="仿宋"/>
          <w:spacing w:val="4"/>
          <w:sz w:val="25"/>
          <w:szCs w:val="25"/>
        </w:rPr>
        <w:t>年期末，全</w:t>
      </w:r>
      <w:r>
        <w:rPr>
          <w:rFonts w:ascii="仿宋" w:hAnsi="仿宋" w:eastAsia="仿宋" w:cs="仿宋"/>
          <w:sz w:val="25"/>
          <w:szCs w:val="25"/>
        </w:rPr>
        <w:t xml:space="preserve"> </w:t>
      </w:r>
      <w:r>
        <w:rPr>
          <w:rFonts w:ascii="仿宋" w:hAnsi="仿宋" w:eastAsia="仿宋" w:cs="仿宋"/>
          <w:spacing w:val="11"/>
          <w:sz w:val="25"/>
          <w:szCs w:val="25"/>
        </w:rPr>
        <w:t>区大中型矿山比例达到</w:t>
      </w:r>
      <w:r>
        <w:rPr>
          <w:rFonts w:ascii="Times New Roman" w:hAnsi="Times New Roman" w:eastAsia="Times New Roman" w:cs="Times New Roman"/>
          <w:spacing w:val="11"/>
          <w:sz w:val="25"/>
          <w:szCs w:val="25"/>
        </w:rPr>
        <w:t>60%</w:t>
      </w:r>
      <w:r>
        <w:rPr>
          <w:rFonts w:ascii="仿宋" w:hAnsi="仿宋" w:eastAsia="仿宋" w:cs="仿宋"/>
          <w:spacing w:val="11"/>
          <w:sz w:val="25"/>
          <w:szCs w:val="25"/>
        </w:rPr>
        <w:t>以上。</w:t>
      </w:r>
    </w:p>
    <w:p w14:paraId="4B5B10D1">
      <w:pPr>
        <w:spacing w:before="12" w:line="229" w:lineRule="auto"/>
        <w:ind w:left="5"/>
        <w:outlineLvl w:val="1"/>
        <w:rPr>
          <w:rFonts w:ascii="仿宋" w:hAnsi="仿宋" w:eastAsia="仿宋" w:cs="仿宋"/>
          <w:sz w:val="25"/>
          <w:szCs w:val="25"/>
        </w:rPr>
      </w:pPr>
      <w:bookmarkStart w:id="13" w:name="bookmark12"/>
      <w:bookmarkEnd w:id="13"/>
      <w:r>
        <w:rPr>
          <w:rFonts w:ascii="Times New Roman" w:hAnsi="Times New Roman" w:eastAsia="Times New Roman" w:cs="Times New Roman"/>
          <w:b/>
          <w:bCs/>
          <w:spacing w:val="6"/>
          <w:sz w:val="25"/>
          <w:szCs w:val="25"/>
        </w:rPr>
        <w:t xml:space="preserve">2.2  </w:t>
      </w:r>
      <w:r>
        <w:rPr>
          <w:rFonts w:ascii="仿宋" w:hAnsi="仿宋" w:eastAsia="仿宋" w:cs="仿宋"/>
          <w:b/>
          <w:bCs/>
          <w:spacing w:val="6"/>
          <w:sz w:val="25"/>
          <w:szCs w:val="25"/>
        </w:rPr>
        <w:t>本次规划调整情况概述</w:t>
      </w:r>
    </w:p>
    <w:p w14:paraId="77EB3DAD">
      <w:pPr>
        <w:spacing w:before="254" w:line="229" w:lineRule="auto"/>
        <w:ind w:left="5"/>
        <w:outlineLvl w:val="2"/>
        <w:rPr>
          <w:rFonts w:ascii="仿宋" w:hAnsi="仿宋" w:eastAsia="仿宋" w:cs="仿宋"/>
          <w:sz w:val="25"/>
          <w:szCs w:val="25"/>
        </w:rPr>
      </w:pPr>
      <w:r>
        <w:rPr>
          <w:rFonts w:ascii="Times New Roman" w:hAnsi="Times New Roman" w:eastAsia="Times New Roman" w:cs="Times New Roman"/>
          <w:b/>
          <w:bCs/>
          <w:spacing w:val="6"/>
          <w:sz w:val="25"/>
          <w:szCs w:val="25"/>
        </w:rPr>
        <w:t xml:space="preserve">2.2.1  </w:t>
      </w:r>
      <w:r>
        <w:rPr>
          <w:rFonts w:ascii="仿宋" w:hAnsi="仿宋" w:eastAsia="仿宋" w:cs="仿宋"/>
          <w:b/>
          <w:bCs/>
          <w:spacing w:val="6"/>
          <w:sz w:val="25"/>
          <w:szCs w:val="25"/>
        </w:rPr>
        <w:t>矿产资源及开发利用现状</w:t>
      </w:r>
    </w:p>
    <w:p w14:paraId="062C3682">
      <w:pPr>
        <w:spacing w:before="270" w:line="231" w:lineRule="auto"/>
        <w:ind w:left="5"/>
        <w:outlineLvl w:val="3"/>
        <w:rPr>
          <w:rFonts w:ascii="仿宋" w:hAnsi="仿宋" w:eastAsia="仿宋" w:cs="仿宋"/>
          <w:sz w:val="25"/>
          <w:szCs w:val="25"/>
        </w:rPr>
      </w:pPr>
      <w:r>
        <w:rPr>
          <w:rFonts w:ascii="Times New Roman" w:hAnsi="Times New Roman" w:eastAsia="Times New Roman" w:cs="Times New Roman"/>
          <w:b/>
          <w:bCs/>
          <w:spacing w:val="3"/>
          <w:sz w:val="25"/>
          <w:szCs w:val="25"/>
        </w:rPr>
        <w:t>2.2.1.1</w:t>
      </w:r>
      <w:r>
        <w:rPr>
          <w:rFonts w:ascii="Times New Roman" w:hAnsi="Times New Roman" w:eastAsia="Times New Roman" w:cs="Times New Roman"/>
          <w:b/>
          <w:bCs/>
          <w:spacing w:val="44"/>
          <w:sz w:val="25"/>
          <w:szCs w:val="25"/>
        </w:rPr>
        <w:t xml:space="preserve"> </w:t>
      </w:r>
      <w:r>
        <w:rPr>
          <w:rFonts w:ascii="仿宋" w:hAnsi="仿宋" w:eastAsia="仿宋" w:cs="仿宋"/>
          <w:b/>
          <w:bCs/>
          <w:spacing w:val="3"/>
          <w:sz w:val="25"/>
          <w:szCs w:val="25"/>
        </w:rPr>
        <w:t>区域矿产资源现状</w:t>
      </w:r>
    </w:p>
    <w:p w14:paraId="3F57DEE0">
      <w:pPr>
        <w:spacing w:before="264" w:line="340" w:lineRule="auto"/>
        <w:ind w:left="16" w:firstLine="520"/>
        <w:jc w:val="both"/>
        <w:rPr>
          <w:rFonts w:ascii="仿宋" w:hAnsi="仿宋" w:eastAsia="仿宋" w:cs="仿宋"/>
          <w:sz w:val="25"/>
          <w:szCs w:val="25"/>
        </w:rPr>
      </w:pPr>
      <w:r>
        <w:rPr>
          <w:rFonts w:ascii="仿宋" w:hAnsi="仿宋" w:eastAsia="仿宋" w:cs="仿宋"/>
          <w:spacing w:val="2"/>
          <w:sz w:val="25"/>
          <w:szCs w:val="25"/>
        </w:rPr>
        <w:t>截至</w:t>
      </w:r>
      <w:r>
        <w:rPr>
          <w:rFonts w:ascii="仿宋" w:hAnsi="仿宋" w:eastAsia="仿宋" w:cs="仿宋"/>
          <w:spacing w:val="-52"/>
          <w:sz w:val="25"/>
          <w:szCs w:val="25"/>
        </w:rPr>
        <w:t xml:space="preserve"> </w:t>
      </w:r>
      <w:r>
        <w:rPr>
          <w:rFonts w:ascii="Times New Roman" w:hAnsi="Times New Roman" w:eastAsia="Times New Roman" w:cs="Times New Roman"/>
          <w:spacing w:val="2"/>
          <w:sz w:val="25"/>
          <w:szCs w:val="25"/>
        </w:rPr>
        <w:t>2024</w:t>
      </w:r>
      <w:r>
        <w:rPr>
          <w:rFonts w:ascii="Times New Roman" w:hAnsi="Times New Roman" w:eastAsia="Times New Roman" w:cs="Times New Roman"/>
          <w:spacing w:val="24"/>
          <w:w w:val="101"/>
          <w:sz w:val="25"/>
          <w:szCs w:val="25"/>
        </w:rPr>
        <w:t xml:space="preserve"> </w:t>
      </w:r>
      <w:r>
        <w:rPr>
          <w:rFonts w:ascii="仿宋" w:hAnsi="仿宋" w:eastAsia="仿宋" w:cs="仿宋"/>
          <w:spacing w:val="2"/>
          <w:sz w:val="25"/>
          <w:szCs w:val="25"/>
        </w:rPr>
        <w:t>年</w:t>
      </w:r>
      <w:r>
        <w:rPr>
          <w:rFonts w:ascii="仿宋" w:hAnsi="仿宋" w:eastAsia="仿宋" w:cs="仿宋"/>
          <w:spacing w:val="-28"/>
          <w:sz w:val="25"/>
          <w:szCs w:val="25"/>
        </w:rPr>
        <w:t xml:space="preserve"> </w:t>
      </w:r>
      <w:r>
        <w:rPr>
          <w:rFonts w:ascii="Times New Roman" w:hAnsi="Times New Roman" w:eastAsia="Times New Roman" w:cs="Times New Roman"/>
          <w:spacing w:val="2"/>
          <w:sz w:val="25"/>
          <w:szCs w:val="25"/>
        </w:rPr>
        <w:t>12</w:t>
      </w:r>
      <w:r>
        <w:rPr>
          <w:rFonts w:ascii="Times New Roman" w:hAnsi="Times New Roman" w:eastAsia="Times New Roman" w:cs="Times New Roman"/>
          <w:spacing w:val="32"/>
          <w:sz w:val="25"/>
          <w:szCs w:val="25"/>
        </w:rPr>
        <w:t xml:space="preserve"> </w:t>
      </w:r>
      <w:r>
        <w:rPr>
          <w:rFonts w:ascii="仿宋" w:hAnsi="仿宋" w:eastAsia="仿宋" w:cs="仿宋"/>
          <w:spacing w:val="2"/>
          <w:sz w:val="25"/>
          <w:szCs w:val="25"/>
        </w:rPr>
        <w:t>月，黔江区已发现矿产</w:t>
      </w:r>
      <w:r>
        <w:rPr>
          <w:rFonts w:ascii="仿宋" w:hAnsi="仿宋" w:eastAsia="仿宋" w:cs="仿宋"/>
          <w:spacing w:val="-30"/>
          <w:sz w:val="25"/>
          <w:szCs w:val="25"/>
        </w:rPr>
        <w:t xml:space="preserve"> </w:t>
      </w:r>
      <w:r>
        <w:rPr>
          <w:rFonts w:ascii="Times New Roman" w:hAnsi="Times New Roman" w:eastAsia="Times New Roman" w:cs="Times New Roman"/>
          <w:spacing w:val="2"/>
          <w:sz w:val="25"/>
          <w:szCs w:val="25"/>
        </w:rPr>
        <w:t>14</w:t>
      </w:r>
      <w:r>
        <w:rPr>
          <w:rFonts w:ascii="Times New Roman" w:hAnsi="Times New Roman" w:eastAsia="Times New Roman" w:cs="Times New Roman"/>
          <w:spacing w:val="22"/>
          <w:sz w:val="25"/>
          <w:szCs w:val="25"/>
        </w:rPr>
        <w:t xml:space="preserve"> </w:t>
      </w:r>
      <w:r>
        <w:rPr>
          <w:rFonts w:ascii="仿宋" w:hAnsi="仿宋" w:eastAsia="仿宋" w:cs="仿宋"/>
          <w:spacing w:val="2"/>
          <w:sz w:val="25"/>
          <w:szCs w:val="25"/>
        </w:rPr>
        <w:t>种</w:t>
      </w:r>
      <w:r>
        <w:rPr>
          <w:rFonts w:ascii="仿宋" w:hAnsi="仿宋" w:eastAsia="仿宋" w:cs="仿宋"/>
          <w:spacing w:val="1"/>
          <w:sz w:val="25"/>
          <w:szCs w:val="25"/>
        </w:rPr>
        <w:t>（含亚矿种</w:t>
      </w:r>
      <w:r>
        <w:rPr>
          <w:rFonts w:ascii="仿宋" w:hAnsi="仿宋" w:eastAsia="仿宋" w:cs="仿宋"/>
          <w:spacing w:val="26"/>
          <w:sz w:val="25"/>
          <w:szCs w:val="25"/>
        </w:rPr>
        <w:t>）：</w:t>
      </w:r>
      <w:r>
        <w:rPr>
          <w:rFonts w:ascii="仿宋" w:hAnsi="仿宋" w:eastAsia="仿宋" w:cs="仿宋"/>
          <w:spacing w:val="1"/>
          <w:sz w:val="25"/>
          <w:szCs w:val="25"/>
        </w:rPr>
        <w:t>页岩气、煤、</w:t>
      </w:r>
      <w:r>
        <w:rPr>
          <w:rFonts w:ascii="仿宋" w:hAnsi="仿宋" w:eastAsia="仿宋" w:cs="仿宋"/>
          <w:sz w:val="25"/>
          <w:szCs w:val="25"/>
        </w:rPr>
        <w:t xml:space="preserve"> </w:t>
      </w:r>
      <w:r>
        <w:rPr>
          <w:rFonts w:ascii="仿宋" w:hAnsi="仿宋" w:eastAsia="仿宋" w:cs="仿宋"/>
          <w:spacing w:val="5"/>
          <w:sz w:val="25"/>
          <w:szCs w:val="25"/>
        </w:rPr>
        <w:t>铁、铅、锌、铝土矿、萤石（普通）、重晶</w:t>
      </w:r>
      <w:r>
        <w:rPr>
          <w:rFonts w:ascii="仿宋" w:hAnsi="仿宋" w:eastAsia="仿宋" w:cs="仿宋"/>
          <w:spacing w:val="4"/>
          <w:sz w:val="25"/>
          <w:szCs w:val="25"/>
        </w:rPr>
        <w:t>石、建筑石料用灰岩、水泥用灰岩、</w:t>
      </w:r>
      <w:r>
        <w:rPr>
          <w:rFonts w:ascii="仿宋" w:hAnsi="仿宋" w:eastAsia="仿宋" w:cs="仿宋"/>
          <w:sz w:val="25"/>
          <w:szCs w:val="25"/>
        </w:rPr>
        <w:t xml:space="preserve"> </w:t>
      </w:r>
      <w:r>
        <w:rPr>
          <w:rFonts w:ascii="仿宋" w:hAnsi="仿宋" w:eastAsia="仿宋" w:cs="仿宋"/>
          <w:spacing w:val="14"/>
          <w:sz w:val="25"/>
          <w:szCs w:val="25"/>
        </w:rPr>
        <w:t>饰面用灰岩、铸型用砂岩、铁矾土、硫铁矿等。具有查明资源储量的矿</w:t>
      </w:r>
      <w:r>
        <w:rPr>
          <w:rFonts w:ascii="仿宋" w:hAnsi="仿宋" w:eastAsia="仿宋" w:cs="仿宋"/>
          <w:spacing w:val="13"/>
          <w:sz w:val="25"/>
          <w:szCs w:val="25"/>
        </w:rPr>
        <w:t>产</w:t>
      </w:r>
      <w:r>
        <w:rPr>
          <w:rFonts w:ascii="仿宋" w:hAnsi="仿宋" w:eastAsia="仿宋" w:cs="仿宋"/>
          <w:spacing w:val="-23"/>
          <w:sz w:val="25"/>
          <w:szCs w:val="25"/>
        </w:rPr>
        <w:t xml:space="preserve"> </w:t>
      </w:r>
      <w:r>
        <w:rPr>
          <w:rFonts w:ascii="Times New Roman" w:hAnsi="Times New Roman" w:eastAsia="Times New Roman" w:cs="Times New Roman"/>
          <w:spacing w:val="13"/>
          <w:sz w:val="25"/>
          <w:szCs w:val="25"/>
        </w:rPr>
        <w:t>10</w:t>
      </w:r>
      <w:r>
        <w:rPr>
          <w:rFonts w:ascii="Times New Roman" w:hAnsi="Times New Roman" w:eastAsia="Times New Roman" w:cs="Times New Roman"/>
          <w:sz w:val="25"/>
          <w:szCs w:val="25"/>
        </w:rPr>
        <w:t xml:space="preserve">  </w:t>
      </w:r>
      <w:r>
        <w:rPr>
          <w:rFonts w:ascii="仿宋" w:hAnsi="仿宋" w:eastAsia="仿宋" w:cs="仿宋"/>
          <w:spacing w:val="5"/>
          <w:sz w:val="25"/>
          <w:szCs w:val="25"/>
        </w:rPr>
        <w:t>种：煤、铝土矿、铁、萤石（普通）、重晶</w:t>
      </w:r>
      <w:r>
        <w:rPr>
          <w:rFonts w:ascii="仿宋" w:hAnsi="仿宋" w:eastAsia="仿宋" w:cs="仿宋"/>
          <w:spacing w:val="4"/>
          <w:sz w:val="25"/>
          <w:szCs w:val="25"/>
        </w:rPr>
        <w:t>石、建筑石料用灰岩、玻璃用砂岩、</w:t>
      </w:r>
      <w:r>
        <w:rPr>
          <w:rFonts w:ascii="仿宋" w:hAnsi="仿宋" w:eastAsia="仿宋" w:cs="仿宋"/>
          <w:sz w:val="25"/>
          <w:szCs w:val="25"/>
        </w:rPr>
        <w:t xml:space="preserve"> </w:t>
      </w:r>
      <w:r>
        <w:rPr>
          <w:rFonts w:ascii="仿宋" w:hAnsi="仿宋" w:eastAsia="仿宋" w:cs="仿宋"/>
          <w:spacing w:val="5"/>
          <w:sz w:val="25"/>
          <w:szCs w:val="25"/>
        </w:rPr>
        <w:t>铸型用砂岩、水泥用灰岩、饰面用灰岩等。各类矿产地共</w:t>
      </w:r>
      <w:r>
        <w:rPr>
          <w:rFonts w:ascii="仿宋" w:hAnsi="仿宋" w:eastAsia="仿宋" w:cs="仿宋"/>
          <w:spacing w:val="-49"/>
          <w:sz w:val="25"/>
          <w:szCs w:val="25"/>
        </w:rPr>
        <w:t xml:space="preserve"> </w:t>
      </w:r>
      <w:r>
        <w:rPr>
          <w:rFonts w:ascii="Times New Roman" w:hAnsi="Times New Roman" w:eastAsia="Times New Roman" w:cs="Times New Roman"/>
          <w:spacing w:val="5"/>
          <w:sz w:val="25"/>
          <w:szCs w:val="25"/>
        </w:rPr>
        <w:t>6</w:t>
      </w:r>
      <w:r>
        <w:rPr>
          <w:rFonts w:ascii="Times New Roman" w:hAnsi="Times New Roman" w:eastAsia="Times New Roman" w:cs="Times New Roman"/>
          <w:spacing w:val="4"/>
          <w:sz w:val="25"/>
          <w:szCs w:val="25"/>
        </w:rPr>
        <w:t>3</w:t>
      </w:r>
      <w:r>
        <w:rPr>
          <w:rFonts w:ascii="Times New Roman" w:hAnsi="Times New Roman" w:eastAsia="Times New Roman" w:cs="Times New Roman"/>
          <w:spacing w:val="23"/>
          <w:sz w:val="25"/>
          <w:szCs w:val="25"/>
        </w:rPr>
        <w:t xml:space="preserve"> </w:t>
      </w:r>
      <w:r>
        <w:rPr>
          <w:rFonts w:ascii="仿宋" w:hAnsi="仿宋" w:eastAsia="仿宋" w:cs="仿宋"/>
          <w:spacing w:val="4"/>
          <w:sz w:val="25"/>
          <w:szCs w:val="25"/>
        </w:rPr>
        <w:t>处，其中大型矿产</w:t>
      </w:r>
      <w:r>
        <w:rPr>
          <w:rFonts w:ascii="仿宋" w:hAnsi="仿宋" w:eastAsia="仿宋" w:cs="仿宋"/>
          <w:sz w:val="25"/>
          <w:szCs w:val="25"/>
        </w:rPr>
        <w:t xml:space="preserve"> </w:t>
      </w:r>
      <w:r>
        <w:rPr>
          <w:rFonts w:ascii="仿宋" w:hAnsi="仿宋" w:eastAsia="仿宋" w:cs="仿宋"/>
          <w:spacing w:val="-1"/>
          <w:sz w:val="25"/>
          <w:szCs w:val="25"/>
        </w:rPr>
        <w:t>地</w:t>
      </w:r>
      <w:r>
        <w:rPr>
          <w:rFonts w:ascii="仿宋" w:hAnsi="仿宋" w:eastAsia="仿宋" w:cs="仿宋"/>
          <w:spacing w:val="-11"/>
          <w:sz w:val="25"/>
          <w:szCs w:val="25"/>
        </w:rPr>
        <w:t xml:space="preserve"> </w:t>
      </w:r>
      <w:r>
        <w:rPr>
          <w:rFonts w:ascii="Times New Roman" w:hAnsi="Times New Roman" w:eastAsia="Times New Roman" w:cs="Times New Roman"/>
          <w:spacing w:val="-1"/>
          <w:sz w:val="25"/>
          <w:szCs w:val="25"/>
        </w:rPr>
        <w:t>1</w:t>
      </w:r>
      <w:r>
        <w:rPr>
          <w:rFonts w:ascii="Times New Roman" w:hAnsi="Times New Roman" w:eastAsia="Times New Roman" w:cs="Times New Roman"/>
          <w:spacing w:val="20"/>
          <w:w w:val="101"/>
          <w:sz w:val="25"/>
          <w:szCs w:val="25"/>
        </w:rPr>
        <w:t xml:space="preserve"> </w:t>
      </w:r>
      <w:r>
        <w:rPr>
          <w:rFonts w:ascii="仿宋" w:hAnsi="仿宋" w:eastAsia="仿宋" w:cs="仿宋"/>
          <w:spacing w:val="-1"/>
          <w:sz w:val="25"/>
          <w:szCs w:val="25"/>
        </w:rPr>
        <w:t>处、</w:t>
      </w:r>
      <w:r>
        <w:rPr>
          <w:rFonts w:ascii="仿宋" w:hAnsi="仿宋" w:eastAsia="仿宋" w:cs="仿宋"/>
          <w:spacing w:val="-66"/>
          <w:sz w:val="25"/>
          <w:szCs w:val="25"/>
        </w:rPr>
        <w:t xml:space="preserve"> </w:t>
      </w:r>
      <w:r>
        <w:rPr>
          <w:rFonts w:ascii="仿宋" w:hAnsi="仿宋" w:eastAsia="仿宋" w:cs="仿宋"/>
          <w:spacing w:val="-1"/>
          <w:sz w:val="25"/>
          <w:szCs w:val="25"/>
        </w:rPr>
        <w:t>中型矿产地</w:t>
      </w:r>
      <w:r>
        <w:rPr>
          <w:rFonts w:ascii="仿宋" w:hAnsi="仿宋" w:eastAsia="仿宋" w:cs="仿宋"/>
          <w:spacing w:val="-56"/>
          <w:sz w:val="25"/>
          <w:szCs w:val="25"/>
        </w:rPr>
        <w:t xml:space="preserve"> </w:t>
      </w:r>
      <w:r>
        <w:rPr>
          <w:rFonts w:ascii="Times New Roman" w:hAnsi="Times New Roman" w:eastAsia="Times New Roman" w:cs="Times New Roman"/>
          <w:spacing w:val="-1"/>
          <w:sz w:val="25"/>
          <w:szCs w:val="25"/>
        </w:rPr>
        <w:t>4</w:t>
      </w:r>
      <w:r>
        <w:rPr>
          <w:rFonts w:ascii="Times New Roman" w:hAnsi="Times New Roman" w:eastAsia="Times New Roman" w:cs="Times New Roman"/>
          <w:spacing w:val="23"/>
          <w:sz w:val="25"/>
          <w:szCs w:val="25"/>
        </w:rPr>
        <w:t xml:space="preserve"> </w:t>
      </w:r>
      <w:r>
        <w:rPr>
          <w:rFonts w:ascii="仿宋" w:hAnsi="仿宋" w:eastAsia="仿宋" w:cs="仿宋"/>
          <w:spacing w:val="-1"/>
          <w:sz w:val="25"/>
          <w:szCs w:val="25"/>
        </w:rPr>
        <w:t>处、小型矿产地</w:t>
      </w:r>
      <w:r>
        <w:rPr>
          <w:rFonts w:ascii="仿宋" w:hAnsi="仿宋" w:eastAsia="仿宋" w:cs="仿宋"/>
          <w:spacing w:val="-48"/>
          <w:sz w:val="25"/>
          <w:szCs w:val="25"/>
        </w:rPr>
        <w:t xml:space="preserve"> </w:t>
      </w:r>
      <w:r>
        <w:rPr>
          <w:rFonts w:ascii="Times New Roman" w:hAnsi="Times New Roman" w:eastAsia="Times New Roman" w:cs="Times New Roman"/>
          <w:spacing w:val="-1"/>
          <w:sz w:val="25"/>
          <w:szCs w:val="25"/>
        </w:rPr>
        <w:t>58</w:t>
      </w:r>
      <w:r>
        <w:rPr>
          <w:rFonts w:ascii="Times New Roman" w:hAnsi="Times New Roman" w:eastAsia="Times New Roman" w:cs="Times New Roman"/>
          <w:spacing w:val="21"/>
          <w:sz w:val="25"/>
          <w:szCs w:val="25"/>
        </w:rPr>
        <w:t xml:space="preserve"> </w:t>
      </w:r>
      <w:r>
        <w:rPr>
          <w:rFonts w:ascii="仿宋" w:hAnsi="仿宋" w:eastAsia="仿宋" w:cs="仿宋"/>
          <w:spacing w:val="-1"/>
          <w:sz w:val="25"/>
          <w:szCs w:val="25"/>
        </w:rPr>
        <w:t>处。</w:t>
      </w:r>
    </w:p>
    <w:p w14:paraId="4D9904C3">
      <w:pPr>
        <w:spacing w:before="3" w:line="339" w:lineRule="auto"/>
        <w:ind w:left="16" w:right="83" w:firstLine="526"/>
        <w:jc w:val="both"/>
        <w:rPr>
          <w:rFonts w:ascii="仿宋" w:hAnsi="仿宋" w:eastAsia="仿宋" w:cs="仿宋"/>
          <w:sz w:val="25"/>
          <w:szCs w:val="25"/>
        </w:rPr>
      </w:pPr>
      <w:r>
        <w:rPr>
          <w:rFonts w:ascii="仿宋" w:hAnsi="仿宋" w:eastAsia="仿宋" w:cs="仿宋"/>
          <w:spacing w:val="9"/>
          <w:sz w:val="25"/>
          <w:szCs w:val="25"/>
        </w:rPr>
        <w:t>全区矿产资源总体特征表现为：矿产资源产地分布相对集中；大中型矿床</w:t>
      </w:r>
      <w:r>
        <w:rPr>
          <w:rFonts w:ascii="仿宋" w:hAnsi="仿宋" w:eastAsia="仿宋" w:cs="仿宋"/>
          <w:spacing w:val="10"/>
          <w:sz w:val="25"/>
          <w:szCs w:val="25"/>
        </w:rPr>
        <w:t xml:space="preserve"> </w:t>
      </w:r>
      <w:r>
        <w:rPr>
          <w:rFonts w:ascii="仿宋" w:hAnsi="仿宋" w:eastAsia="仿宋" w:cs="仿宋"/>
          <w:spacing w:val="8"/>
          <w:sz w:val="25"/>
          <w:szCs w:val="25"/>
        </w:rPr>
        <w:t>少，小型矿床、矿点及矿化点多；贫矿多，富矿、金属矿产少。整体来看，</w:t>
      </w:r>
      <w:r>
        <w:rPr>
          <w:rFonts w:ascii="仿宋" w:hAnsi="仿宋" w:eastAsia="仿宋" w:cs="仿宋"/>
          <w:spacing w:val="-72"/>
          <w:sz w:val="25"/>
          <w:szCs w:val="25"/>
        </w:rPr>
        <w:t xml:space="preserve"> </w:t>
      </w:r>
      <w:r>
        <w:rPr>
          <w:rFonts w:ascii="仿宋" w:hAnsi="仿宋" w:eastAsia="仿宋" w:cs="仿宋"/>
          <w:spacing w:val="8"/>
          <w:sz w:val="25"/>
          <w:szCs w:val="25"/>
        </w:rPr>
        <w:t>以</w:t>
      </w:r>
      <w:r>
        <w:rPr>
          <w:rFonts w:ascii="仿宋" w:hAnsi="仿宋" w:eastAsia="仿宋" w:cs="仿宋"/>
          <w:sz w:val="25"/>
          <w:szCs w:val="25"/>
        </w:rPr>
        <w:t xml:space="preserve"> </w:t>
      </w:r>
      <w:r>
        <w:rPr>
          <w:rFonts w:ascii="仿宋" w:hAnsi="仿宋" w:eastAsia="仿宋" w:cs="仿宋"/>
          <w:spacing w:val="8"/>
          <w:sz w:val="25"/>
          <w:szCs w:val="25"/>
        </w:rPr>
        <w:t>石灰岩等建筑材料类及萤石（普通）、重晶石为主。</w:t>
      </w:r>
    </w:p>
    <w:p w14:paraId="165319B1">
      <w:pPr>
        <w:spacing w:before="120" w:line="229" w:lineRule="auto"/>
        <w:ind w:left="5"/>
        <w:outlineLvl w:val="3"/>
        <w:rPr>
          <w:rFonts w:ascii="仿宋" w:hAnsi="仿宋" w:eastAsia="仿宋" w:cs="仿宋"/>
          <w:sz w:val="25"/>
          <w:szCs w:val="25"/>
        </w:rPr>
      </w:pPr>
      <w:r>
        <w:rPr>
          <w:rFonts w:ascii="Times New Roman" w:hAnsi="Times New Roman" w:eastAsia="Times New Roman" w:cs="Times New Roman"/>
          <w:b/>
          <w:bCs/>
          <w:spacing w:val="5"/>
          <w:sz w:val="25"/>
          <w:szCs w:val="25"/>
        </w:rPr>
        <w:t>2.2.1.2</w:t>
      </w:r>
      <w:r>
        <w:rPr>
          <w:rFonts w:ascii="Times New Roman" w:hAnsi="Times New Roman" w:eastAsia="Times New Roman" w:cs="Times New Roman"/>
          <w:b/>
          <w:bCs/>
          <w:spacing w:val="20"/>
          <w:sz w:val="25"/>
          <w:szCs w:val="25"/>
        </w:rPr>
        <w:t xml:space="preserve"> </w:t>
      </w:r>
      <w:r>
        <w:rPr>
          <w:rFonts w:ascii="仿宋" w:hAnsi="仿宋" w:eastAsia="仿宋" w:cs="仿宋"/>
          <w:b/>
          <w:bCs/>
          <w:spacing w:val="5"/>
          <w:sz w:val="25"/>
          <w:szCs w:val="25"/>
        </w:rPr>
        <w:t>矿产资源开发利用现状</w:t>
      </w:r>
    </w:p>
    <w:p w14:paraId="2E929A0D">
      <w:pPr>
        <w:spacing w:before="270" w:line="227" w:lineRule="auto"/>
        <w:ind w:left="5"/>
        <w:outlineLvl w:val="2"/>
        <w:rPr>
          <w:rFonts w:ascii="仿宋" w:hAnsi="仿宋" w:eastAsia="仿宋" w:cs="仿宋"/>
          <w:sz w:val="25"/>
          <w:szCs w:val="25"/>
        </w:rPr>
      </w:pPr>
      <w:r>
        <w:rPr>
          <w:rFonts w:ascii="Times New Roman" w:hAnsi="Times New Roman" w:eastAsia="Times New Roman" w:cs="Times New Roman"/>
          <w:b/>
          <w:bCs/>
          <w:spacing w:val="5"/>
          <w:sz w:val="25"/>
          <w:szCs w:val="25"/>
        </w:rPr>
        <w:t xml:space="preserve">2.2.2  </w:t>
      </w:r>
      <w:r>
        <w:rPr>
          <w:rFonts w:ascii="仿宋" w:hAnsi="仿宋" w:eastAsia="仿宋" w:cs="仿宋"/>
          <w:b/>
          <w:bCs/>
          <w:spacing w:val="5"/>
          <w:sz w:val="25"/>
          <w:szCs w:val="25"/>
        </w:rPr>
        <w:t>规划调整的必要性</w:t>
      </w:r>
    </w:p>
    <w:p w14:paraId="4B8A9D3C">
      <w:pPr>
        <w:spacing w:before="273" w:line="228" w:lineRule="auto"/>
        <w:ind w:left="509"/>
        <w:rPr>
          <w:rFonts w:ascii="仿宋" w:hAnsi="仿宋" w:eastAsia="仿宋" w:cs="仿宋"/>
          <w:sz w:val="25"/>
          <w:szCs w:val="25"/>
        </w:rPr>
      </w:pPr>
      <w:r>
        <w:rPr>
          <w:rFonts w:ascii="Times New Roman" w:hAnsi="Times New Roman" w:eastAsia="Times New Roman" w:cs="Times New Roman"/>
          <w:spacing w:val="6"/>
          <w:sz w:val="25"/>
          <w:szCs w:val="25"/>
        </w:rPr>
        <w:t>1</w:t>
      </w:r>
      <w:r>
        <w:rPr>
          <w:rFonts w:ascii="Times New Roman" w:hAnsi="Times New Roman" w:eastAsia="Times New Roman" w:cs="Times New Roman"/>
          <w:spacing w:val="-21"/>
          <w:sz w:val="25"/>
          <w:szCs w:val="25"/>
        </w:rPr>
        <w:t xml:space="preserve"> </w:t>
      </w:r>
      <w:r>
        <w:rPr>
          <w:rFonts w:ascii="仿宋" w:hAnsi="仿宋" w:eastAsia="仿宋" w:cs="仿宋"/>
          <w:spacing w:val="6"/>
          <w:sz w:val="25"/>
          <w:szCs w:val="25"/>
        </w:rPr>
        <w:t>、规划调整有效促进黔江区经济可持续发展</w:t>
      </w:r>
    </w:p>
    <w:p w14:paraId="15F82BB7">
      <w:pPr>
        <w:spacing w:before="148" w:line="340" w:lineRule="auto"/>
        <w:ind w:left="16" w:right="81" w:firstLine="479"/>
        <w:rPr>
          <w:rFonts w:ascii="仿宋" w:hAnsi="仿宋" w:eastAsia="仿宋" w:cs="仿宋"/>
          <w:sz w:val="25"/>
          <w:szCs w:val="25"/>
        </w:rPr>
      </w:pPr>
      <w:r>
        <w:rPr>
          <w:rFonts w:ascii="仿宋" w:hAnsi="仿宋" w:eastAsia="仿宋" w:cs="仿宋"/>
          <w:spacing w:val="11"/>
          <w:sz w:val="25"/>
          <w:szCs w:val="25"/>
        </w:rPr>
        <w:t>规划实施以来，黔江区积极推进勘查、开采区块的投放与管</w:t>
      </w:r>
      <w:r>
        <w:rPr>
          <w:rFonts w:ascii="仿宋" w:hAnsi="仿宋" w:eastAsia="仿宋" w:cs="仿宋"/>
          <w:spacing w:val="10"/>
          <w:sz w:val="25"/>
          <w:szCs w:val="25"/>
        </w:rPr>
        <w:t>理，市场表现</w:t>
      </w:r>
      <w:r>
        <w:rPr>
          <w:rFonts w:ascii="仿宋" w:hAnsi="仿宋" w:eastAsia="仿宋" w:cs="仿宋"/>
          <w:sz w:val="25"/>
          <w:szCs w:val="25"/>
        </w:rPr>
        <w:t xml:space="preserve"> </w:t>
      </w:r>
      <w:r>
        <w:rPr>
          <w:rFonts w:ascii="仿宋" w:hAnsi="仿宋" w:eastAsia="仿宋" w:cs="仿宋"/>
          <w:spacing w:val="10"/>
          <w:sz w:val="25"/>
          <w:szCs w:val="25"/>
        </w:rPr>
        <w:t>出较为积极的探矿、采矿热情。黔江区拥有</w:t>
      </w:r>
      <w:r>
        <w:rPr>
          <w:rFonts w:ascii="仿宋" w:hAnsi="仿宋" w:eastAsia="仿宋" w:cs="仿宋"/>
          <w:spacing w:val="9"/>
          <w:sz w:val="25"/>
          <w:szCs w:val="25"/>
        </w:rPr>
        <w:t>丰富的矿产资源，这些矿产是当地</w:t>
      </w:r>
      <w:r>
        <w:rPr>
          <w:rFonts w:ascii="仿宋" w:hAnsi="仿宋" w:eastAsia="仿宋" w:cs="仿宋"/>
          <w:sz w:val="25"/>
          <w:szCs w:val="25"/>
        </w:rPr>
        <w:t xml:space="preserve"> </w:t>
      </w:r>
      <w:r>
        <w:rPr>
          <w:rFonts w:ascii="仿宋" w:hAnsi="仿宋" w:eastAsia="仿宋" w:cs="仿宋"/>
          <w:spacing w:val="10"/>
          <w:sz w:val="25"/>
          <w:szCs w:val="25"/>
        </w:rPr>
        <w:t>重要的资源优势。矿产的勘查开发能够有效</w:t>
      </w:r>
      <w:r>
        <w:rPr>
          <w:rFonts w:ascii="仿宋" w:hAnsi="仿宋" w:eastAsia="仿宋" w:cs="仿宋"/>
          <w:spacing w:val="9"/>
          <w:sz w:val="25"/>
          <w:szCs w:val="25"/>
        </w:rPr>
        <w:t>提升资源利用效率，促进当地矿业</w:t>
      </w:r>
      <w:r>
        <w:rPr>
          <w:rFonts w:ascii="仿宋" w:hAnsi="仿宋" w:eastAsia="仿宋" w:cs="仿宋"/>
          <w:sz w:val="25"/>
          <w:szCs w:val="25"/>
        </w:rPr>
        <w:t xml:space="preserve"> </w:t>
      </w:r>
      <w:r>
        <w:rPr>
          <w:rFonts w:ascii="仿宋" w:hAnsi="仿宋" w:eastAsia="仿宋" w:cs="仿宋"/>
          <w:spacing w:val="10"/>
          <w:sz w:val="25"/>
          <w:szCs w:val="25"/>
        </w:rPr>
        <w:t>经济的发展，为区域经济增长提供重要支撑</w:t>
      </w:r>
      <w:r>
        <w:rPr>
          <w:rFonts w:ascii="仿宋" w:hAnsi="仿宋" w:eastAsia="仿宋" w:cs="仿宋"/>
          <w:spacing w:val="9"/>
          <w:sz w:val="25"/>
          <w:szCs w:val="25"/>
        </w:rPr>
        <w:t>。通过合理开发这些矿产资源，可</w:t>
      </w:r>
      <w:r>
        <w:rPr>
          <w:rFonts w:ascii="仿宋" w:hAnsi="仿宋" w:eastAsia="仿宋" w:cs="仿宋"/>
          <w:sz w:val="25"/>
          <w:szCs w:val="25"/>
        </w:rPr>
        <w:t xml:space="preserve"> </w:t>
      </w:r>
      <w:r>
        <w:rPr>
          <w:rFonts w:ascii="仿宋" w:hAnsi="仿宋" w:eastAsia="仿宋" w:cs="仿宋"/>
          <w:spacing w:val="8"/>
          <w:sz w:val="25"/>
          <w:szCs w:val="25"/>
        </w:rPr>
        <w:t>以带动相关产业链的发展，促进就业和经济增长，</w:t>
      </w:r>
      <w:r>
        <w:rPr>
          <w:rFonts w:ascii="仿宋" w:hAnsi="仿宋" w:eastAsia="仿宋" w:cs="仿宋"/>
          <w:spacing w:val="-68"/>
          <w:sz w:val="25"/>
          <w:szCs w:val="25"/>
        </w:rPr>
        <w:t xml:space="preserve"> </w:t>
      </w:r>
      <w:r>
        <w:rPr>
          <w:rFonts w:ascii="仿宋" w:hAnsi="仿宋" w:eastAsia="仿宋" w:cs="仿宋"/>
          <w:spacing w:val="8"/>
          <w:sz w:val="25"/>
          <w:szCs w:val="25"/>
        </w:rPr>
        <w:t>同时为全区基础设</w:t>
      </w:r>
      <w:r>
        <w:rPr>
          <w:rFonts w:ascii="仿宋" w:hAnsi="仿宋" w:eastAsia="仿宋" w:cs="仿宋"/>
          <w:spacing w:val="7"/>
          <w:sz w:val="25"/>
          <w:szCs w:val="25"/>
        </w:rPr>
        <w:t>施建设提</w:t>
      </w:r>
      <w:r>
        <w:rPr>
          <w:rFonts w:ascii="仿宋" w:hAnsi="仿宋" w:eastAsia="仿宋" w:cs="仿宋"/>
          <w:sz w:val="25"/>
          <w:szCs w:val="25"/>
        </w:rPr>
        <w:t xml:space="preserve"> </w:t>
      </w:r>
      <w:r>
        <w:rPr>
          <w:rFonts w:ascii="仿宋" w:hAnsi="仿宋" w:eastAsia="仿宋" w:cs="仿宋"/>
          <w:spacing w:val="9"/>
          <w:sz w:val="25"/>
          <w:szCs w:val="25"/>
        </w:rPr>
        <w:t>供材料要素保障。矿业活动围绕贯彻“共抓大保</w:t>
      </w:r>
      <w:r>
        <w:rPr>
          <w:rFonts w:ascii="仿宋" w:hAnsi="仿宋" w:eastAsia="仿宋" w:cs="仿宋"/>
          <w:spacing w:val="8"/>
          <w:sz w:val="25"/>
          <w:szCs w:val="25"/>
        </w:rPr>
        <w:t>护、不搞大开发</w:t>
      </w:r>
      <w:r>
        <w:rPr>
          <w:rFonts w:ascii="仿宋" w:hAnsi="仿宋" w:eastAsia="仿宋" w:cs="仿宋"/>
          <w:spacing w:val="-90"/>
          <w:sz w:val="25"/>
          <w:szCs w:val="25"/>
        </w:rPr>
        <w:t xml:space="preserve"> </w:t>
      </w:r>
      <w:r>
        <w:rPr>
          <w:rFonts w:ascii="仿宋" w:hAnsi="仿宋" w:eastAsia="仿宋" w:cs="仿宋"/>
          <w:spacing w:val="8"/>
          <w:sz w:val="25"/>
          <w:szCs w:val="25"/>
        </w:rPr>
        <w:t>”方针，厚植</w:t>
      </w:r>
    </w:p>
    <w:p w14:paraId="5383212A">
      <w:pPr>
        <w:spacing w:line="340" w:lineRule="auto"/>
        <w:rPr>
          <w:rFonts w:ascii="仿宋" w:hAnsi="仿宋" w:eastAsia="仿宋" w:cs="仿宋"/>
          <w:sz w:val="25"/>
          <w:szCs w:val="25"/>
        </w:rPr>
        <w:sectPr>
          <w:headerReference r:id="rId53" w:type="default"/>
          <w:footerReference r:id="rId54" w:type="default"/>
          <w:pgSz w:w="11906" w:h="16839"/>
          <w:pgMar w:top="1116" w:right="1392" w:bottom="1480" w:left="1587" w:header="683" w:footer="1318" w:gutter="0"/>
          <w:cols w:space="720" w:num="1"/>
        </w:sectPr>
      </w:pPr>
    </w:p>
    <w:p w14:paraId="2BFC0217">
      <w:pPr>
        <w:pStyle w:val="2"/>
        <w:spacing w:line="386" w:lineRule="auto"/>
      </w:pPr>
    </w:p>
    <w:p w14:paraId="6484771F">
      <w:pPr>
        <w:spacing w:before="82" w:line="339" w:lineRule="auto"/>
        <w:ind w:left="21" w:right="19" w:firstLine="10"/>
        <w:rPr>
          <w:rFonts w:ascii="仿宋" w:hAnsi="仿宋" w:eastAsia="仿宋" w:cs="仿宋"/>
          <w:sz w:val="25"/>
          <w:szCs w:val="25"/>
        </w:rPr>
      </w:pPr>
      <w:r>
        <w:rPr>
          <w:rFonts w:ascii="仿宋" w:hAnsi="仿宋" w:eastAsia="仿宋" w:cs="仿宋"/>
          <w:spacing w:val="1"/>
          <w:sz w:val="25"/>
          <w:szCs w:val="25"/>
        </w:rPr>
        <w:t>生态根基，严守生态红线、</w:t>
      </w:r>
      <w:r>
        <w:rPr>
          <w:rFonts w:ascii="仿宋" w:hAnsi="仿宋" w:eastAsia="仿宋" w:cs="仿宋"/>
          <w:spacing w:val="-63"/>
          <w:sz w:val="25"/>
          <w:szCs w:val="25"/>
        </w:rPr>
        <w:t xml:space="preserve"> </w:t>
      </w:r>
      <w:r>
        <w:rPr>
          <w:rFonts w:ascii="仿宋" w:hAnsi="仿宋" w:eastAsia="仿宋" w:cs="仿宋"/>
          <w:spacing w:val="1"/>
          <w:sz w:val="25"/>
          <w:szCs w:val="25"/>
        </w:rPr>
        <w:t>自然保护地、“三区三线</w:t>
      </w:r>
      <w:r>
        <w:rPr>
          <w:rFonts w:ascii="仿宋" w:hAnsi="仿宋" w:eastAsia="仿宋" w:cs="仿宋"/>
          <w:spacing w:val="-91"/>
          <w:sz w:val="25"/>
          <w:szCs w:val="25"/>
        </w:rPr>
        <w:t xml:space="preserve"> </w:t>
      </w:r>
      <w:r>
        <w:rPr>
          <w:rFonts w:ascii="仿宋" w:hAnsi="仿宋" w:eastAsia="仿宋" w:cs="仿宋"/>
          <w:spacing w:val="1"/>
          <w:sz w:val="25"/>
          <w:szCs w:val="25"/>
        </w:rPr>
        <w:t>”等各类政策、管控红线，</w:t>
      </w:r>
      <w:r>
        <w:rPr>
          <w:rFonts w:ascii="仿宋" w:hAnsi="仿宋" w:eastAsia="仿宋" w:cs="仿宋"/>
          <w:sz w:val="25"/>
          <w:szCs w:val="25"/>
        </w:rPr>
        <w:t xml:space="preserve"> </w:t>
      </w:r>
      <w:r>
        <w:rPr>
          <w:rFonts w:ascii="仿宋" w:hAnsi="仿宋" w:eastAsia="仿宋" w:cs="仿宋"/>
          <w:spacing w:val="8"/>
          <w:sz w:val="25"/>
          <w:szCs w:val="25"/>
        </w:rPr>
        <w:t>要求高精度规范设置（优化）矿业权，需要对规划进行调整。</w:t>
      </w:r>
    </w:p>
    <w:p w14:paraId="7C293603">
      <w:pPr>
        <w:spacing w:line="227" w:lineRule="auto"/>
        <w:ind w:left="484"/>
        <w:rPr>
          <w:rFonts w:ascii="仿宋" w:hAnsi="仿宋" w:eastAsia="仿宋" w:cs="仿宋"/>
          <w:sz w:val="25"/>
          <w:szCs w:val="25"/>
        </w:rPr>
      </w:pPr>
      <w:r>
        <w:rPr>
          <w:rFonts w:ascii="Times New Roman" w:hAnsi="Times New Roman" w:eastAsia="Times New Roman" w:cs="Times New Roman"/>
          <w:spacing w:val="5"/>
          <w:sz w:val="25"/>
          <w:szCs w:val="25"/>
        </w:rPr>
        <w:t>2</w:t>
      </w:r>
      <w:r>
        <w:rPr>
          <w:rFonts w:ascii="Times New Roman" w:hAnsi="Times New Roman" w:eastAsia="Times New Roman" w:cs="Times New Roman"/>
          <w:spacing w:val="-25"/>
          <w:sz w:val="25"/>
          <w:szCs w:val="25"/>
        </w:rPr>
        <w:t xml:space="preserve"> </w:t>
      </w:r>
      <w:r>
        <w:rPr>
          <w:rFonts w:ascii="仿宋" w:hAnsi="仿宋" w:eastAsia="仿宋" w:cs="仿宋"/>
          <w:spacing w:val="5"/>
          <w:sz w:val="25"/>
          <w:szCs w:val="25"/>
        </w:rPr>
        <w:t>、满足市场经济需求</w:t>
      </w:r>
    </w:p>
    <w:p w14:paraId="5999192C">
      <w:pPr>
        <w:spacing w:before="148" w:line="340" w:lineRule="auto"/>
        <w:ind w:left="16" w:right="90" w:firstLine="480"/>
        <w:rPr>
          <w:rFonts w:ascii="仿宋" w:hAnsi="仿宋" w:eastAsia="仿宋" w:cs="仿宋"/>
          <w:sz w:val="25"/>
          <w:szCs w:val="25"/>
        </w:rPr>
      </w:pPr>
      <w:r>
        <w:rPr>
          <w:rFonts w:ascii="仿宋" w:hAnsi="仿宋" w:eastAsia="仿宋" w:cs="仿宋"/>
          <w:spacing w:val="11"/>
          <w:sz w:val="25"/>
          <w:szCs w:val="25"/>
        </w:rPr>
        <w:t>铸型用砂岩市场需求正盛。全球铸造砂市场正经历高端化</w:t>
      </w:r>
      <w:r>
        <w:rPr>
          <w:rFonts w:ascii="仿宋" w:hAnsi="仿宋" w:eastAsia="仿宋" w:cs="仿宋"/>
          <w:spacing w:val="10"/>
          <w:sz w:val="25"/>
          <w:szCs w:val="25"/>
        </w:rPr>
        <w:t>转型，尤其是汽</w:t>
      </w:r>
      <w:r>
        <w:rPr>
          <w:rFonts w:ascii="仿宋" w:hAnsi="仿宋" w:eastAsia="仿宋" w:cs="仿宋"/>
          <w:sz w:val="25"/>
          <w:szCs w:val="25"/>
        </w:rPr>
        <w:t xml:space="preserve"> </w:t>
      </w:r>
      <w:r>
        <w:rPr>
          <w:rFonts w:ascii="仿宋" w:hAnsi="仿宋" w:eastAsia="仿宋" w:cs="仿宋"/>
          <w:spacing w:val="7"/>
          <w:sz w:val="25"/>
          <w:szCs w:val="25"/>
        </w:rPr>
        <w:t>车、航空航天等领域对高性能铸型材料需求激增。中国铸造砂市场预计到</w:t>
      </w:r>
      <w:r>
        <w:rPr>
          <w:rFonts w:ascii="仿宋" w:hAnsi="仿宋" w:eastAsia="仿宋" w:cs="仿宋"/>
          <w:spacing w:val="-52"/>
          <w:sz w:val="25"/>
          <w:szCs w:val="25"/>
        </w:rPr>
        <w:t xml:space="preserve"> </w:t>
      </w:r>
      <w:r>
        <w:rPr>
          <w:rFonts w:ascii="Times New Roman" w:hAnsi="Times New Roman" w:eastAsia="Times New Roman" w:cs="Times New Roman"/>
          <w:spacing w:val="7"/>
          <w:sz w:val="25"/>
          <w:szCs w:val="25"/>
        </w:rPr>
        <w:t>2030</w:t>
      </w:r>
      <w:r>
        <w:rPr>
          <w:rFonts w:ascii="Times New Roman" w:hAnsi="Times New Roman" w:eastAsia="Times New Roman" w:cs="Times New Roman"/>
          <w:sz w:val="25"/>
          <w:szCs w:val="25"/>
        </w:rPr>
        <w:t xml:space="preserve"> </w:t>
      </w:r>
      <w:r>
        <w:rPr>
          <w:rFonts w:ascii="仿宋" w:hAnsi="仿宋" w:eastAsia="仿宋" w:cs="仿宋"/>
          <w:spacing w:val="6"/>
          <w:sz w:val="25"/>
          <w:szCs w:val="25"/>
        </w:rPr>
        <w:t>年将达</w:t>
      </w:r>
      <w:r>
        <w:rPr>
          <w:rFonts w:ascii="仿宋" w:hAnsi="仿宋" w:eastAsia="仿宋" w:cs="仿宋"/>
          <w:spacing w:val="-50"/>
          <w:sz w:val="25"/>
          <w:szCs w:val="25"/>
        </w:rPr>
        <w:t xml:space="preserve"> </w:t>
      </w:r>
      <w:r>
        <w:rPr>
          <w:rFonts w:ascii="Times New Roman" w:hAnsi="Times New Roman" w:eastAsia="Times New Roman" w:cs="Times New Roman"/>
          <w:spacing w:val="6"/>
          <w:sz w:val="25"/>
          <w:szCs w:val="25"/>
        </w:rPr>
        <w:t>300</w:t>
      </w:r>
      <w:r>
        <w:rPr>
          <w:rFonts w:ascii="Times New Roman" w:hAnsi="Times New Roman" w:eastAsia="Times New Roman" w:cs="Times New Roman"/>
          <w:spacing w:val="24"/>
          <w:w w:val="101"/>
          <w:sz w:val="25"/>
          <w:szCs w:val="25"/>
        </w:rPr>
        <w:t xml:space="preserve"> </w:t>
      </w:r>
      <w:r>
        <w:rPr>
          <w:rFonts w:ascii="仿宋" w:hAnsi="仿宋" w:eastAsia="仿宋" w:cs="仿宋"/>
          <w:spacing w:val="6"/>
          <w:sz w:val="25"/>
          <w:szCs w:val="25"/>
        </w:rPr>
        <w:t xml:space="preserve">万吨，年复合增长率约 </w:t>
      </w:r>
      <w:r>
        <w:rPr>
          <w:rFonts w:ascii="Times New Roman" w:hAnsi="Times New Roman" w:eastAsia="Times New Roman" w:cs="Times New Roman"/>
          <w:spacing w:val="6"/>
          <w:sz w:val="25"/>
          <w:szCs w:val="25"/>
        </w:rPr>
        <w:t>8.5</w:t>
      </w:r>
      <w:r>
        <w:rPr>
          <w:rFonts w:ascii="Times New Roman" w:hAnsi="Times New Roman" w:eastAsia="Times New Roman" w:cs="Times New Roman"/>
          <w:spacing w:val="5"/>
          <w:sz w:val="25"/>
          <w:szCs w:val="25"/>
        </w:rPr>
        <w:t>%</w:t>
      </w:r>
      <w:r>
        <w:rPr>
          <w:rFonts w:ascii="Times New Roman" w:hAnsi="Times New Roman" w:eastAsia="Times New Roman" w:cs="Times New Roman"/>
          <w:spacing w:val="-23"/>
          <w:sz w:val="25"/>
          <w:szCs w:val="25"/>
        </w:rPr>
        <w:t xml:space="preserve"> </w:t>
      </w:r>
      <w:r>
        <w:rPr>
          <w:rFonts w:ascii="仿宋" w:hAnsi="仿宋" w:eastAsia="仿宋" w:cs="仿宋"/>
          <w:spacing w:val="5"/>
          <w:sz w:val="25"/>
          <w:szCs w:val="25"/>
        </w:rPr>
        <w:t>。黔江区铸型用砂岩年开采量已达</w:t>
      </w:r>
      <w:r>
        <w:rPr>
          <w:rFonts w:ascii="仿宋" w:hAnsi="仿宋" w:eastAsia="仿宋" w:cs="仿宋"/>
          <w:spacing w:val="-30"/>
          <w:sz w:val="25"/>
          <w:szCs w:val="25"/>
        </w:rPr>
        <w:t xml:space="preserve"> </w:t>
      </w:r>
      <w:r>
        <w:rPr>
          <w:rFonts w:ascii="Times New Roman" w:hAnsi="Times New Roman" w:eastAsia="Times New Roman" w:cs="Times New Roman"/>
          <w:spacing w:val="5"/>
          <w:sz w:val="25"/>
          <w:szCs w:val="25"/>
        </w:rPr>
        <w:t>10</w:t>
      </w:r>
      <w:r>
        <w:rPr>
          <w:rFonts w:ascii="Times New Roman" w:hAnsi="Times New Roman" w:eastAsia="Times New Roman" w:cs="Times New Roman"/>
          <w:sz w:val="25"/>
          <w:szCs w:val="25"/>
        </w:rPr>
        <w:t xml:space="preserve">  </w:t>
      </w:r>
      <w:r>
        <w:rPr>
          <w:rFonts w:ascii="仿宋" w:hAnsi="仿宋" w:eastAsia="仿宋" w:cs="仿宋"/>
          <w:spacing w:val="10"/>
          <w:sz w:val="25"/>
          <w:szCs w:val="25"/>
        </w:rPr>
        <w:t>万吨，且规划中明确其为重点开发矿种，符</w:t>
      </w:r>
      <w:r>
        <w:rPr>
          <w:rFonts w:ascii="仿宋" w:hAnsi="仿宋" w:eastAsia="仿宋" w:cs="仿宋"/>
          <w:spacing w:val="9"/>
          <w:sz w:val="25"/>
          <w:szCs w:val="25"/>
        </w:rPr>
        <w:t>合国内铸造业升级趋势。例如，新</w:t>
      </w:r>
      <w:r>
        <w:rPr>
          <w:rFonts w:ascii="仿宋" w:hAnsi="仿宋" w:eastAsia="仿宋" w:cs="仿宋"/>
          <w:sz w:val="25"/>
          <w:szCs w:val="25"/>
        </w:rPr>
        <w:t xml:space="preserve"> </w:t>
      </w:r>
      <w:r>
        <w:rPr>
          <w:rFonts w:ascii="仿宋" w:hAnsi="仿宋" w:eastAsia="仿宋" w:cs="仿宋"/>
          <w:spacing w:val="10"/>
          <w:sz w:val="25"/>
          <w:szCs w:val="25"/>
        </w:rPr>
        <w:t>能源汽车电池外壳、精密机械零部件等高端</w:t>
      </w:r>
      <w:r>
        <w:rPr>
          <w:rFonts w:ascii="仿宋" w:hAnsi="仿宋" w:eastAsia="仿宋" w:cs="仿宋"/>
          <w:spacing w:val="9"/>
          <w:sz w:val="25"/>
          <w:szCs w:val="25"/>
        </w:rPr>
        <w:t>铸件对砂型的耐高温性、粒度均匀</w:t>
      </w:r>
      <w:r>
        <w:rPr>
          <w:rFonts w:ascii="仿宋" w:hAnsi="仿宋" w:eastAsia="仿宋" w:cs="仿宋"/>
          <w:sz w:val="25"/>
          <w:szCs w:val="25"/>
        </w:rPr>
        <w:t xml:space="preserve"> </w:t>
      </w:r>
      <w:r>
        <w:rPr>
          <w:rFonts w:ascii="仿宋" w:hAnsi="仿宋" w:eastAsia="仿宋" w:cs="仿宋"/>
          <w:spacing w:val="8"/>
          <w:sz w:val="25"/>
          <w:szCs w:val="25"/>
        </w:rPr>
        <w:t xml:space="preserve">性要求极高，而黔江砂岩若具备高硅含量（如 </w:t>
      </w:r>
      <w:r>
        <w:rPr>
          <w:rFonts w:ascii="Times New Roman" w:hAnsi="Times New Roman" w:eastAsia="Times New Roman" w:cs="Times New Roman"/>
          <w:sz w:val="25"/>
          <w:szCs w:val="25"/>
        </w:rPr>
        <w:t>SiO</w:t>
      </w:r>
      <w:r>
        <w:rPr>
          <w:rFonts w:ascii="Times New Roman" w:hAnsi="Times New Roman" w:eastAsia="Times New Roman" w:cs="Times New Roman"/>
          <w:spacing w:val="8"/>
          <w:sz w:val="25"/>
          <w:szCs w:val="25"/>
        </w:rPr>
        <w:t>₂</w:t>
      </w:r>
      <w:r>
        <w:rPr>
          <w:rFonts w:ascii="仿宋" w:hAnsi="仿宋" w:eastAsia="仿宋" w:cs="仿宋"/>
          <w:spacing w:val="8"/>
          <w:sz w:val="25"/>
          <w:szCs w:val="25"/>
        </w:rPr>
        <w:t>≥</w:t>
      </w:r>
      <w:r>
        <w:rPr>
          <w:rFonts w:ascii="Times New Roman" w:hAnsi="Times New Roman" w:eastAsia="Times New Roman" w:cs="Times New Roman"/>
          <w:spacing w:val="8"/>
          <w:sz w:val="25"/>
          <w:szCs w:val="25"/>
        </w:rPr>
        <w:t>95%</w:t>
      </w:r>
      <w:r>
        <w:rPr>
          <w:rFonts w:ascii="仿宋" w:hAnsi="仿宋" w:eastAsia="仿宋" w:cs="仿宋"/>
          <w:spacing w:val="8"/>
          <w:sz w:val="25"/>
          <w:szCs w:val="25"/>
        </w:rPr>
        <w:t>）和低杂质特性</w:t>
      </w:r>
      <w:r>
        <w:rPr>
          <w:rFonts w:ascii="仿宋" w:hAnsi="仿宋" w:eastAsia="仿宋" w:cs="仿宋"/>
          <w:spacing w:val="7"/>
          <w:sz w:val="25"/>
          <w:szCs w:val="25"/>
        </w:rPr>
        <w:t>，可</w:t>
      </w:r>
      <w:r>
        <w:rPr>
          <w:rFonts w:ascii="仿宋" w:hAnsi="仿宋" w:eastAsia="仿宋" w:cs="仿宋"/>
          <w:sz w:val="25"/>
          <w:szCs w:val="25"/>
        </w:rPr>
        <w:t xml:space="preserve"> </w:t>
      </w:r>
      <w:r>
        <w:rPr>
          <w:rFonts w:ascii="仿宋" w:hAnsi="仿宋" w:eastAsia="仿宋" w:cs="仿宋"/>
          <w:spacing w:val="10"/>
          <w:sz w:val="25"/>
          <w:szCs w:val="25"/>
        </w:rPr>
        <w:t>精准匹配这一需求。此外，成渝地区双城经</w:t>
      </w:r>
      <w:r>
        <w:rPr>
          <w:rFonts w:ascii="仿宋" w:hAnsi="仿宋" w:eastAsia="仿宋" w:cs="仿宋"/>
          <w:spacing w:val="9"/>
          <w:sz w:val="25"/>
          <w:szCs w:val="25"/>
        </w:rPr>
        <w:t>济圈建设加速，汽车制造、装备产</w:t>
      </w:r>
      <w:r>
        <w:rPr>
          <w:rFonts w:ascii="仿宋" w:hAnsi="仿宋" w:eastAsia="仿宋" w:cs="仿宋"/>
          <w:sz w:val="25"/>
          <w:szCs w:val="25"/>
        </w:rPr>
        <w:t xml:space="preserve"> </w:t>
      </w:r>
      <w:r>
        <w:rPr>
          <w:rFonts w:ascii="仿宋" w:hAnsi="仿宋" w:eastAsia="仿宋" w:cs="仿宋"/>
          <w:spacing w:val="10"/>
          <w:sz w:val="25"/>
          <w:szCs w:val="25"/>
        </w:rPr>
        <w:t>业集群扩张将直接拉动本地铸型砂需求，黔</w:t>
      </w:r>
      <w:r>
        <w:rPr>
          <w:rFonts w:ascii="仿宋" w:hAnsi="仿宋" w:eastAsia="仿宋" w:cs="仿宋"/>
          <w:spacing w:val="9"/>
          <w:sz w:val="25"/>
          <w:szCs w:val="25"/>
        </w:rPr>
        <w:t>江作为区域交通节点，可通过铁路</w:t>
      </w:r>
      <w:r>
        <w:rPr>
          <w:rFonts w:ascii="仿宋" w:hAnsi="仿宋" w:eastAsia="仿宋" w:cs="仿宋"/>
          <w:sz w:val="25"/>
          <w:szCs w:val="25"/>
        </w:rPr>
        <w:t xml:space="preserve"> </w:t>
      </w:r>
      <w:r>
        <w:rPr>
          <w:rFonts w:ascii="仿宋" w:hAnsi="仿宋" w:eastAsia="仿宋" w:cs="仿宋"/>
          <w:spacing w:val="10"/>
          <w:sz w:val="25"/>
          <w:szCs w:val="25"/>
        </w:rPr>
        <w:t>货场（如</w:t>
      </w:r>
      <w:r>
        <w:rPr>
          <w:rFonts w:ascii="Times New Roman" w:hAnsi="Times New Roman" w:eastAsia="Times New Roman" w:cs="Times New Roman"/>
          <w:spacing w:val="10"/>
          <w:sz w:val="25"/>
          <w:szCs w:val="25"/>
        </w:rPr>
        <w:t>200</w:t>
      </w:r>
      <w:r>
        <w:rPr>
          <w:rFonts w:ascii="Times New Roman" w:hAnsi="Times New Roman" w:eastAsia="Times New Roman" w:cs="Times New Roman"/>
          <w:spacing w:val="24"/>
          <w:sz w:val="25"/>
          <w:szCs w:val="25"/>
        </w:rPr>
        <w:t xml:space="preserve"> </w:t>
      </w:r>
      <w:r>
        <w:rPr>
          <w:rFonts w:ascii="仿宋" w:hAnsi="仿宋" w:eastAsia="仿宋" w:cs="仿宋"/>
          <w:spacing w:val="10"/>
          <w:sz w:val="25"/>
          <w:szCs w:val="25"/>
        </w:rPr>
        <w:t>万吨级货场）实现高效配送。</w:t>
      </w:r>
    </w:p>
    <w:p w14:paraId="6AA66E4C">
      <w:pPr>
        <w:spacing w:before="9" w:line="339" w:lineRule="auto"/>
        <w:ind w:left="16" w:right="90" w:firstLine="481"/>
        <w:jc w:val="both"/>
        <w:rPr>
          <w:rFonts w:ascii="仿宋" w:hAnsi="仿宋" w:eastAsia="仿宋" w:cs="仿宋"/>
          <w:sz w:val="25"/>
          <w:szCs w:val="25"/>
        </w:rPr>
      </w:pPr>
      <w:r>
        <w:rPr>
          <w:rFonts w:ascii="仿宋" w:hAnsi="仿宋" w:eastAsia="仿宋" w:cs="仿宋"/>
          <w:spacing w:val="5"/>
          <w:sz w:val="25"/>
          <w:szCs w:val="25"/>
        </w:rPr>
        <w:t>铝土矿开发的中国铝土矿对外依存度高达</w:t>
      </w:r>
      <w:r>
        <w:rPr>
          <w:rFonts w:ascii="仿宋" w:hAnsi="仿宋" w:eastAsia="仿宋" w:cs="仿宋"/>
          <w:spacing w:val="-42"/>
          <w:sz w:val="25"/>
          <w:szCs w:val="25"/>
        </w:rPr>
        <w:t xml:space="preserve"> </w:t>
      </w:r>
      <w:r>
        <w:rPr>
          <w:rFonts w:ascii="Times New Roman" w:hAnsi="Times New Roman" w:eastAsia="Times New Roman" w:cs="Times New Roman"/>
          <w:spacing w:val="5"/>
          <w:sz w:val="25"/>
          <w:szCs w:val="25"/>
        </w:rPr>
        <w:t>80%</w:t>
      </w:r>
      <w:r>
        <w:rPr>
          <w:rFonts w:ascii="Times New Roman" w:hAnsi="Times New Roman" w:eastAsia="Times New Roman" w:cs="Times New Roman"/>
          <w:spacing w:val="-27"/>
          <w:sz w:val="25"/>
          <w:szCs w:val="25"/>
        </w:rPr>
        <w:t xml:space="preserve"> </w:t>
      </w:r>
      <w:r>
        <w:rPr>
          <w:rFonts w:ascii="仿宋" w:hAnsi="仿宋" w:eastAsia="仿宋" w:cs="仿宋"/>
          <w:spacing w:val="5"/>
          <w:sz w:val="25"/>
          <w:szCs w:val="25"/>
        </w:rPr>
        <w:t>，且</w:t>
      </w:r>
      <w:r>
        <w:rPr>
          <w:rFonts w:ascii="仿宋" w:hAnsi="仿宋" w:eastAsia="仿宋" w:cs="仿宋"/>
          <w:spacing w:val="-48"/>
          <w:sz w:val="25"/>
          <w:szCs w:val="25"/>
        </w:rPr>
        <w:t xml:space="preserve"> </w:t>
      </w:r>
      <w:r>
        <w:rPr>
          <w:rFonts w:ascii="Times New Roman" w:hAnsi="Times New Roman" w:eastAsia="Times New Roman" w:cs="Times New Roman"/>
          <w:spacing w:val="5"/>
          <w:sz w:val="25"/>
          <w:szCs w:val="25"/>
        </w:rPr>
        <w:t>70%</w:t>
      </w:r>
      <w:r>
        <w:rPr>
          <w:rFonts w:ascii="仿宋" w:hAnsi="仿宋" w:eastAsia="仿宋" w:cs="仿宋"/>
          <w:spacing w:val="5"/>
          <w:sz w:val="25"/>
          <w:szCs w:val="25"/>
        </w:rPr>
        <w:t>依赖几内亚进</w:t>
      </w:r>
      <w:r>
        <w:rPr>
          <w:rFonts w:ascii="仿宋" w:hAnsi="仿宋" w:eastAsia="仿宋" w:cs="仿宋"/>
          <w:spacing w:val="-61"/>
          <w:sz w:val="25"/>
          <w:szCs w:val="25"/>
        </w:rPr>
        <w:t xml:space="preserve"> </w:t>
      </w:r>
      <w:r>
        <w:rPr>
          <w:rFonts w:ascii="仿宋" w:hAnsi="仿宋" w:eastAsia="仿宋" w:cs="仿宋"/>
          <w:spacing w:val="4"/>
          <w:sz w:val="25"/>
          <w:szCs w:val="25"/>
        </w:rPr>
        <w:t>口，</w:t>
      </w:r>
      <w:r>
        <w:rPr>
          <w:rFonts w:ascii="仿宋" w:hAnsi="仿宋" w:eastAsia="仿宋" w:cs="仿宋"/>
          <w:sz w:val="25"/>
          <w:szCs w:val="25"/>
        </w:rPr>
        <w:t xml:space="preserve"> </w:t>
      </w:r>
      <w:r>
        <w:rPr>
          <w:rFonts w:ascii="仿宋" w:hAnsi="仿宋" w:eastAsia="仿宋" w:cs="仿宋"/>
          <w:spacing w:val="10"/>
          <w:sz w:val="25"/>
          <w:szCs w:val="25"/>
        </w:rPr>
        <w:t>而几内亚雨季延长、政策动荡等风险加剧供</w:t>
      </w:r>
      <w:r>
        <w:rPr>
          <w:rFonts w:ascii="仿宋" w:hAnsi="仿宋" w:eastAsia="仿宋" w:cs="仿宋"/>
          <w:spacing w:val="9"/>
          <w:sz w:val="25"/>
          <w:szCs w:val="25"/>
        </w:rPr>
        <w:t>应链波动。黔江区已探获铝土矿资</w:t>
      </w:r>
      <w:r>
        <w:rPr>
          <w:rFonts w:ascii="仿宋" w:hAnsi="仿宋" w:eastAsia="仿宋" w:cs="仿宋"/>
          <w:sz w:val="25"/>
          <w:szCs w:val="25"/>
        </w:rPr>
        <w:t xml:space="preserve"> </w:t>
      </w:r>
      <w:r>
        <w:rPr>
          <w:rFonts w:ascii="仿宋" w:hAnsi="仿宋" w:eastAsia="仿宋" w:cs="仿宋"/>
          <w:spacing w:val="7"/>
          <w:sz w:val="25"/>
          <w:szCs w:val="25"/>
        </w:rPr>
        <w:t>源量</w:t>
      </w:r>
      <w:r>
        <w:rPr>
          <w:rFonts w:ascii="仿宋" w:hAnsi="仿宋" w:eastAsia="仿宋" w:cs="仿宋"/>
          <w:spacing w:val="-29"/>
          <w:sz w:val="25"/>
          <w:szCs w:val="25"/>
        </w:rPr>
        <w:t xml:space="preserve"> </w:t>
      </w:r>
      <w:r>
        <w:rPr>
          <w:rFonts w:ascii="Times New Roman" w:hAnsi="Times New Roman" w:eastAsia="Times New Roman" w:cs="Times New Roman"/>
          <w:spacing w:val="7"/>
          <w:sz w:val="25"/>
          <w:szCs w:val="25"/>
        </w:rPr>
        <w:t>3772.65</w:t>
      </w:r>
      <w:r>
        <w:rPr>
          <w:rFonts w:ascii="Times New Roman" w:hAnsi="Times New Roman" w:eastAsia="Times New Roman" w:cs="Times New Roman"/>
          <w:spacing w:val="27"/>
          <w:sz w:val="25"/>
          <w:szCs w:val="25"/>
        </w:rPr>
        <w:t xml:space="preserve"> </w:t>
      </w:r>
      <w:r>
        <w:rPr>
          <w:rFonts w:ascii="仿宋" w:hAnsi="仿宋" w:eastAsia="仿宋" w:cs="仿宋"/>
          <w:spacing w:val="7"/>
          <w:sz w:val="25"/>
          <w:szCs w:val="25"/>
        </w:rPr>
        <w:t>万吨，开发本地资源可显著降低进口依赖。若年开采量达</w:t>
      </w:r>
      <w:r>
        <w:rPr>
          <w:rFonts w:ascii="仿宋" w:hAnsi="仿宋" w:eastAsia="仿宋" w:cs="仿宋"/>
          <w:spacing w:val="-28"/>
          <w:sz w:val="25"/>
          <w:szCs w:val="25"/>
        </w:rPr>
        <w:t xml:space="preserve"> </w:t>
      </w:r>
      <w:r>
        <w:rPr>
          <w:rFonts w:ascii="Times New Roman" w:hAnsi="Times New Roman" w:eastAsia="Times New Roman" w:cs="Times New Roman"/>
          <w:spacing w:val="7"/>
          <w:sz w:val="25"/>
          <w:szCs w:val="25"/>
        </w:rPr>
        <w:t>100</w:t>
      </w:r>
      <w:r>
        <w:rPr>
          <w:rFonts w:ascii="Times New Roman" w:hAnsi="Times New Roman" w:eastAsia="Times New Roman" w:cs="Times New Roman"/>
          <w:spacing w:val="27"/>
          <w:sz w:val="25"/>
          <w:szCs w:val="25"/>
        </w:rPr>
        <w:t xml:space="preserve"> </w:t>
      </w:r>
      <w:r>
        <w:rPr>
          <w:rFonts w:ascii="仿宋" w:hAnsi="仿宋" w:eastAsia="仿宋" w:cs="仿宋"/>
          <w:spacing w:val="7"/>
          <w:sz w:val="25"/>
          <w:szCs w:val="25"/>
        </w:rPr>
        <w:t>万</w:t>
      </w:r>
      <w:r>
        <w:rPr>
          <w:rFonts w:ascii="仿宋" w:hAnsi="仿宋" w:eastAsia="仿宋" w:cs="仿宋"/>
          <w:sz w:val="25"/>
          <w:szCs w:val="25"/>
        </w:rPr>
        <w:t xml:space="preserve"> </w:t>
      </w:r>
      <w:r>
        <w:rPr>
          <w:rFonts w:ascii="仿宋" w:hAnsi="仿宋" w:eastAsia="仿宋" w:cs="仿宋"/>
          <w:spacing w:val="7"/>
          <w:sz w:val="25"/>
          <w:szCs w:val="25"/>
        </w:rPr>
        <w:t>吨（参考市级规划目标</w:t>
      </w:r>
      <w:r>
        <w:rPr>
          <w:rFonts w:ascii="仿宋" w:hAnsi="仿宋" w:eastAsia="仿宋" w:cs="仿宋"/>
          <w:spacing w:val="20"/>
          <w:sz w:val="25"/>
          <w:szCs w:val="25"/>
        </w:rPr>
        <w:t>），</w:t>
      </w:r>
      <w:r>
        <w:rPr>
          <w:rFonts w:ascii="仿宋" w:hAnsi="仿宋" w:eastAsia="仿宋" w:cs="仿宋"/>
          <w:spacing w:val="7"/>
          <w:sz w:val="25"/>
          <w:szCs w:val="25"/>
        </w:rPr>
        <w:t>可满足本地氧化铝厂约</w:t>
      </w:r>
      <w:r>
        <w:rPr>
          <w:rFonts w:ascii="仿宋" w:hAnsi="仿宋" w:eastAsia="仿宋" w:cs="仿宋"/>
          <w:spacing w:val="-29"/>
          <w:sz w:val="25"/>
          <w:szCs w:val="25"/>
        </w:rPr>
        <w:t xml:space="preserve"> </w:t>
      </w:r>
      <w:r>
        <w:rPr>
          <w:rFonts w:ascii="Times New Roman" w:hAnsi="Times New Roman" w:eastAsia="Times New Roman" w:cs="Times New Roman"/>
          <w:spacing w:val="7"/>
          <w:sz w:val="25"/>
          <w:szCs w:val="25"/>
        </w:rPr>
        <w:t>15%</w:t>
      </w:r>
      <w:r>
        <w:rPr>
          <w:rFonts w:ascii="仿宋" w:hAnsi="仿宋" w:eastAsia="仿宋" w:cs="仿宋"/>
          <w:spacing w:val="7"/>
          <w:sz w:val="25"/>
          <w:szCs w:val="25"/>
        </w:rPr>
        <w:t>的原料需求，缓解“卡</w:t>
      </w:r>
      <w:r>
        <w:rPr>
          <w:rFonts w:ascii="仿宋" w:hAnsi="仿宋" w:eastAsia="仿宋" w:cs="仿宋"/>
          <w:sz w:val="25"/>
          <w:szCs w:val="25"/>
        </w:rPr>
        <w:t xml:space="preserve"> </w:t>
      </w:r>
      <w:r>
        <w:rPr>
          <w:rFonts w:ascii="仿宋" w:hAnsi="仿宋" w:eastAsia="仿宋" w:cs="仿宋"/>
          <w:spacing w:val="6"/>
          <w:sz w:val="25"/>
          <w:szCs w:val="25"/>
        </w:rPr>
        <w:t>脖子</w:t>
      </w:r>
      <w:r>
        <w:rPr>
          <w:rFonts w:ascii="仿宋" w:hAnsi="仿宋" w:eastAsia="仿宋" w:cs="仿宋"/>
          <w:spacing w:val="-88"/>
          <w:sz w:val="25"/>
          <w:szCs w:val="25"/>
        </w:rPr>
        <w:t xml:space="preserve"> </w:t>
      </w:r>
      <w:r>
        <w:rPr>
          <w:rFonts w:ascii="仿宋" w:hAnsi="仿宋" w:eastAsia="仿宋" w:cs="仿宋"/>
          <w:spacing w:val="6"/>
          <w:sz w:val="25"/>
          <w:szCs w:val="25"/>
        </w:rPr>
        <w:t>”压力。黔江区计划打造“再生铝</w:t>
      </w:r>
      <w:r>
        <w:rPr>
          <w:rFonts w:ascii="Times New Roman" w:hAnsi="Times New Roman" w:eastAsia="Times New Roman" w:cs="Times New Roman"/>
          <w:spacing w:val="6"/>
          <w:sz w:val="25"/>
          <w:szCs w:val="25"/>
        </w:rPr>
        <w:t>-</w:t>
      </w:r>
      <w:r>
        <w:rPr>
          <w:rFonts w:ascii="仿宋" w:hAnsi="仿宋" w:eastAsia="仿宋" w:cs="仿宋"/>
          <w:spacing w:val="6"/>
          <w:sz w:val="25"/>
          <w:szCs w:val="25"/>
        </w:rPr>
        <w:t>铝精深加工</w:t>
      </w:r>
      <w:r>
        <w:rPr>
          <w:rFonts w:ascii="仿宋" w:hAnsi="仿宋" w:eastAsia="仿宋" w:cs="仿宋"/>
          <w:spacing w:val="-91"/>
          <w:sz w:val="25"/>
          <w:szCs w:val="25"/>
        </w:rPr>
        <w:t xml:space="preserve"> </w:t>
      </w:r>
      <w:r>
        <w:rPr>
          <w:rFonts w:ascii="仿宋" w:hAnsi="仿宋" w:eastAsia="仿宋" w:cs="仿宋"/>
          <w:spacing w:val="6"/>
          <w:sz w:val="25"/>
          <w:szCs w:val="25"/>
        </w:rPr>
        <w:t>”</w:t>
      </w:r>
      <w:r>
        <w:rPr>
          <w:rFonts w:ascii="Times New Roman" w:hAnsi="Times New Roman" w:eastAsia="Times New Roman" w:cs="Times New Roman"/>
          <w:spacing w:val="6"/>
          <w:sz w:val="25"/>
          <w:szCs w:val="25"/>
        </w:rPr>
        <w:t>100</w:t>
      </w:r>
      <w:r>
        <w:rPr>
          <w:rFonts w:ascii="Times New Roman" w:hAnsi="Times New Roman" w:eastAsia="Times New Roman" w:cs="Times New Roman"/>
          <w:spacing w:val="25"/>
          <w:w w:val="101"/>
          <w:sz w:val="25"/>
          <w:szCs w:val="25"/>
        </w:rPr>
        <w:t xml:space="preserve"> </w:t>
      </w:r>
      <w:r>
        <w:rPr>
          <w:rFonts w:ascii="仿宋" w:hAnsi="仿宋" w:eastAsia="仿宋" w:cs="仿宋"/>
          <w:spacing w:val="6"/>
          <w:sz w:val="25"/>
          <w:szCs w:val="25"/>
        </w:rPr>
        <w:t>亿</w:t>
      </w:r>
      <w:r>
        <w:rPr>
          <w:rFonts w:ascii="仿宋" w:hAnsi="仿宋" w:eastAsia="仿宋" w:cs="仿宋"/>
          <w:spacing w:val="5"/>
          <w:sz w:val="25"/>
          <w:szCs w:val="25"/>
        </w:rPr>
        <w:t>产业链。铝土矿开</w:t>
      </w:r>
      <w:r>
        <w:rPr>
          <w:rFonts w:ascii="仿宋" w:hAnsi="仿宋" w:eastAsia="仿宋" w:cs="仿宋"/>
          <w:sz w:val="25"/>
          <w:szCs w:val="25"/>
        </w:rPr>
        <w:t xml:space="preserve"> </w:t>
      </w:r>
      <w:r>
        <w:rPr>
          <w:rFonts w:ascii="仿宋" w:hAnsi="仿宋" w:eastAsia="仿宋" w:cs="仿宋"/>
          <w:spacing w:val="12"/>
          <w:sz w:val="25"/>
          <w:szCs w:val="25"/>
        </w:rPr>
        <w:t>发可与现有产能形成闭环：上游矿石开采</w:t>
      </w:r>
      <w:r>
        <w:rPr>
          <w:rFonts w:ascii="Times New Roman" w:hAnsi="Times New Roman" w:eastAsia="Times New Roman" w:cs="Times New Roman"/>
          <w:spacing w:val="12"/>
          <w:sz w:val="25"/>
          <w:szCs w:val="25"/>
        </w:rPr>
        <w:t>-</w:t>
      </w:r>
      <w:r>
        <w:rPr>
          <w:rFonts w:ascii="仿宋" w:hAnsi="仿宋" w:eastAsia="仿宋" w:cs="仿宋"/>
          <w:spacing w:val="12"/>
          <w:sz w:val="25"/>
          <w:szCs w:val="25"/>
        </w:rPr>
        <w:t>中游氧化铝</w:t>
      </w:r>
      <w:r>
        <w:rPr>
          <w:rFonts w:ascii="仿宋" w:hAnsi="仿宋" w:eastAsia="仿宋" w:cs="仿宋"/>
          <w:spacing w:val="11"/>
          <w:sz w:val="25"/>
          <w:szCs w:val="25"/>
        </w:rPr>
        <w:t>提炼</w:t>
      </w:r>
      <w:r>
        <w:rPr>
          <w:rFonts w:ascii="Times New Roman" w:hAnsi="Times New Roman" w:eastAsia="Times New Roman" w:cs="Times New Roman"/>
          <w:spacing w:val="11"/>
          <w:sz w:val="25"/>
          <w:szCs w:val="25"/>
        </w:rPr>
        <w:t>-</w:t>
      </w:r>
      <w:r>
        <w:rPr>
          <w:rFonts w:ascii="仿宋" w:hAnsi="仿宋" w:eastAsia="仿宋" w:cs="仿宋"/>
          <w:spacing w:val="11"/>
          <w:sz w:val="25"/>
          <w:szCs w:val="25"/>
        </w:rPr>
        <w:t>下游再生铝及铝合</w:t>
      </w:r>
      <w:r>
        <w:rPr>
          <w:rFonts w:ascii="仿宋" w:hAnsi="仿宋" w:eastAsia="仿宋" w:cs="仿宋"/>
          <w:sz w:val="25"/>
          <w:szCs w:val="25"/>
        </w:rPr>
        <w:t xml:space="preserve"> </w:t>
      </w:r>
      <w:r>
        <w:rPr>
          <w:rFonts w:ascii="仿宋" w:hAnsi="仿宋" w:eastAsia="仿宋" w:cs="仿宋"/>
          <w:spacing w:val="6"/>
          <w:sz w:val="25"/>
          <w:szCs w:val="25"/>
        </w:rPr>
        <w:t>金加工，减少原料外购成本。重庆市“十四五</w:t>
      </w:r>
      <w:r>
        <w:rPr>
          <w:rFonts w:ascii="仿宋" w:hAnsi="仿宋" w:eastAsia="仿宋" w:cs="仿宋"/>
          <w:spacing w:val="-90"/>
          <w:sz w:val="25"/>
          <w:szCs w:val="25"/>
        </w:rPr>
        <w:t xml:space="preserve"> </w:t>
      </w:r>
      <w:r>
        <w:rPr>
          <w:rFonts w:ascii="仿宋" w:hAnsi="仿宋" w:eastAsia="仿宋" w:cs="仿宋"/>
          <w:spacing w:val="6"/>
          <w:sz w:val="25"/>
          <w:szCs w:val="25"/>
        </w:rPr>
        <w:t>”</w:t>
      </w:r>
      <w:r>
        <w:rPr>
          <w:rFonts w:ascii="仿宋" w:hAnsi="仿宋" w:eastAsia="仿宋" w:cs="仿宋"/>
          <w:spacing w:val="-35"/>
          <w:sz w:val="25"/>
          <w:szCs w:val="25"/>
        </w:rPr>
        <w:t xml:space="preserve"> </w:t>
      </w:r>
      <w:r>
        <w:rPr>
          <w:rFonts w:ascii="仿宋" w:hAnsi="仿宋" w:eastAsia="仿宋" w:cs="仿宋"/>
          <w:spacing w:val="6"/>
          <w:sz w:val="25"/>
          <w:szCs w:val="25"/>
        </w:rPr>
        <w:t>矿产规划将铝土矿列</w:t>
      </w:r>
      <w:r>
        <w:rPr>
          <w:rFonts w:ascii="仿宋" w:hAnsi="仿宋" w:eastAsia="仿宋" w:cs="仿宋"/>
          <w:spacing w:val="5"/>
          <w:sz w:val="25"/>
          <w:szCs w:val="25"/>
        </w:rPr>
        <w:t>为重点勘</w:t>
      </w:r>
      <w:r>
        <w:rPr>
          <w:rFonts w:ascii="仿宋" w:hAnsi="仿宋" w:eastAsia="仿宋" w:cs="仿宋"/>
          <w:sz w:val="25"/>
          <w:szCs w:val="25"/>
        </w:rPr>
        <w:t xml:space="preserve"> </w:t>
      </w:r>
      <w:r>
        <w:rPr>
          <w:rFonts w:ascii="仿宋" w:hAnsi="仿宋" w:eastAsia="仿宋" w:cs="仿宋"/>
          <w:spacing w:val="10"/>
          <w:sz w:val="25"/>
          <w:szCs w:val="25"/>
        </w:rPr>
        <w:t>查开发矿种，黔江区政府工作报告明确提出</w:t>
      </w:r>
      <w:r>
        <w:rPr>
          <w:rFonts w:ascii="仿宋" w:hAnsi="仿宋" w:eastAsia="仿宋" w:cs="仿宋"/>
          <w:spacing w:val="9"/>
          <w:sz w:val="25"/>
          <w:szCs w:val="25"/>
        </w:rPr>
        <w:t>“实施工业硅改造升级和铝土矿开</w:t>
      </w:r>
      <w:r>
        <w:rPr>
          <w:rFonts w:ascii="仿宋" w:hAnsi="仿宋" w:eastAsia="仿宋" w:cs="仿宋"/>
          <w:sz w:val="25"/>
          <w:szCs w:val="25"/>
        </w:rPr>
        <w:t xml:space="preserve"> </w:t>
      </w:r>
      <w:r>
        <w:rPr>
          <w:rFonts w:ascii="仿宋" w:hAnsi="仿宋" w:eastAsia="仿宋" w:cs="仿宋"/>
          <w:spacing w:val="8"/>
          <w:sz w:val="25"/>
          <w:szCs w:val="25"/>
        </w:rPr>
        <w:t>发</w:t>
      </w:r>
      <w:r>
        <w:rPr>
          <w:rFonts w:ascii="仿宋" w:hAnsi="仿宋" w:eastAsia="仿宋" w:cs="仿宋"/>
          <w:spacing w:val="-72"/>
          <w:sz w:val="25"/>
          <w:szCs w:val="25"/>
        </w:rPr>
        <w:t xml:space="preserve"> </w:t>
      </w:r>
      <w:r>
        <w:rPr>
          <w:rFonts w:ascii="仿宋" w:hAnsi="仿宋" w:eastAsia="仿宋" w:cs="仿宋"/>
          <w:spacing w:val="8"/>
          <w:sz w:val="25"/>
          <w:szCs w:val="25"/>
        </w:rPr>
        <w:t>”。此外，铝土矿伴生资源（如镓）的综合利用符合绿色矿山要求，可提升</w:t>
      </w:r>
      <w:r>
        <w:rPr>
          <w:rFonts w:ascii="仿宋" w:hAnsi="仿宋" w:eastAsia="仿宋" w:cs="仿宋"/>
          <w:sz w:val="25"/>
          <w:szCs w:val="25"/>
        </w:rPr>
        <w:t xml:space="preserve"> </w:t>
      </w:r>
      <w:r>
        <w:rPr>
          <w:rFonts w:ascii="仿宋" w:hAnsi="仿宋" w:eastAsia="仿宋" w:cs="仿宋"/>
          <w:spacing w:val="10"/>
          <w:sz w:val="25"/>
          <w:szCs w:val="25"/>
        </w:rPr>
        <w:t>项目附加值。结合成渝地区新能源汽车、光</w:t>
      </w:r>
      <w:r>
        <w:rPr>
          <w:rFonts w:ascii="仿宋" w:hAnsi="仿宋" w:eastAsia="仿宋" w:cs="仿宋"/>
          <w:spacing w:val="9"/>
          <w:sz w:val="25"/>
          <w:szCs w:val="25"/>
        </w:rPr>
        <w:t>伏产业的快速发展，铝需求持续增</w:t>
      </w:r>
      <w:r>
        <w:rPr>
          <w:rFonts w:ascii="仿宋" w:hAnsi="仿宋" w:eastAsia="仿宋" w:cs="仿宋"/>
          <w:sz w:val="25"/>
          <w:szCs w:val="25"/>
        </w:rPr>
        <w:t xml:space="preserve"> </w:t>
      </w:r>
      <w:r>
        <w:rPr>
          <w:rFonts w:ascii="仿宋" w:hAnsi="仿宋" w:eastAsia="仿宋" w:cs="仿宋"/>
          <w:spacing w:val="8"/>
          <w:sz w:val="25"/>
          <w:szCs w:val="25"/>
        </w:rPr>
        <w:t>长，本地资源开发将深度融入区域产业生态。</w:t>
      </w:r>
    </w:p>
    <w:p w14:paraId="0D137DBE">
      <w:pPr>
        <w:spacing w:line="228" w:lineRule="auto"/>
        <w:ind w:left="490"/>
        <w:rPr>
          <w:rFonts w:ascii="仿宋" w:hAnsi="仿宋" w:eastAsia="仿宋" w:cs="仿宋"/>
          <w:sz w:val="25"/>
          <w:szCs w:val="25"/>
        </w:rPr>
      </w:pPr>
      <w:r>
        <w:rPr>
          <w:rFonts w:ascii="Times New Roman" w:hAnsi="Times New Roman" w:eastAsia="Times New Roman" w:cs="Times New Roman"/>
          <w:spacing w:val="6"/>
          <w:sz w:val="25"/>
          <w:szCs w:val="25"/>
        </w:rPr>
        <w:t>3</w:t>
      </w:r>
      <w:r>
        <w:rPr>
          <w:rFonts w:ascii="Times New Roman" w:hAnsi="Times New Roman" w:eastAsia="Times New Roman" w:cs="Times New Roman"/>
          <w:spacing w:val="-15"/>
          <w:sz w:val="25"/>
          <w:szCs w:val="25"/>
        </w:rPr>
        <w:t xml:space="preserve"> </w:t>
      </w:r>
      <w:r>
        <w:rPr>
          <w:rFonts w:ascii="仿宋" w:hAnsi="仿宋" w:eastAsia="仿宋" w:cs="仿宋"/>
          <w:spacing w:val="6"/>
          <w:sz w:val="25"/>
          <w:szCs w:val="25"/>
        </w:rPr>
        <w:t>、规划调整有利于促进“十四五</w:t>
      </w:r>
      <w:r>
        <w:rPr>
          <w:rFonts w:ascii="仿宋" w:hAnsi="仿宋" w:eastAsia="仿宋" w:cs="仿宋"/>
          <w:spacing w:val="-90"/>
          <w:sz w:val="25"/>
          <w:szCs w:val="25"/>
        </w:rPr>
        <w:t xml:space="preserve"> </w:t>
      </w:r>
      <w:r>
        <w:rPr>
          <w:rFonts w:ascii="仿宋" w:hAnsi="仿宋" w:eastAsia="仿宋" w:cs="仿宋"/>
          <w:spacing w:val="6"/>
          <w:sz w:val="25"/>
          <w:szCs w:val="25"/>
        </w:rPr>
        <w:t>”矿产资源规划的落实</w:t>
      </w:r>
    </w:p>
    <w:p w14:paraId="02C7A900">
      <w:pPr>
        <w:spacing w:before="151" w:line="340" w:lineRule="auto"/>
        <w:ind w:left="15" w:firstLine="480"/>
        <w:rPr>
          <w:rFonts w:ascii="仿宋" w:hAnsi="仿宋" w:eastAsia="仿宋" w:cs="仿宋"/>
          <w:sz w:val="25"/>
          <w:szCs w:val="25"/>
        </w:rPr>
      </w:pPr>
      <w:r>
        <w:rPr>
          <w:rFonts w:ascii="仿宋" w:hAnsi="仿宋" w:eastAsia="仿宋" w:cs="仿宋"/>
          <w:spacing w:val="11"/>
          <w:sz w:val="25"/>
          <w:szCs w:val="25"/>
        </w:rPr>
        <w:t>规划调整为合理开发利用矿产资源，促进矿山安全生产，加</w:t>
      </w:r>
      <w:r>
        <w:rPr>
          <w:rFonts w:ascii="仿宋" w:hAnsi="仿宋" w:eastAsia="仿宋" w:cs="仿宋"/>
          <w:spacing w:val="10"/>
          <w:sz w:val="25"/>
          <w:szCs w:val="25"/>
        </w:rPr>
        <w:t>强矿业权市场</w:t>
      </w:r>
      <w:r>
        <w:rPr>
          <w:rFonts w:ascii="仿宋" w:hAnsi="仿宋" w:eastAsia="仿宋" w:cs="仿宋"/>
          <w:sz w:val="25"/>
          <w:szCs w:val="25"/>
        </w:rPr>
        <w:t xml:space="preserve"> </w:t>
      </w:r>
      <w:r>
        <w:rPr>
          <w:rFonts w:ascii="仿宋" w:hAnsi="仿宋" w:eastAsia="仿宋" w:cs="仿宋"/>
          <w:spacing w:val="4"/>
          <w:sz w:val="25"/>
          <w:szCs w:val="25"/>
        </w:rPr>
        <w:t>建设，遵循相关矿证管理和要求，能有效促进“十四五</w:t>
      </w:r>
      <w:r>
        <w:rPr>
          <w:rFonts w:ascii="仿宋" w:hAnsi="仿宋" w:eastAsia="仿宋" w:cs="仿宋"/>
          <w:spacing w:val="-90"/>
          <w:sz w:val="25"/>
          <w:szCs w:val="25"/>
        </w:rPr>
        <w:t xml:space="preserve"> </w:t>
      </w:r>
      <w:r>
        <w:rPr>
          <w:rFonts w:ascii="仿宋" w:hAnsi="仿宋" w:eastAsia="仿宋" w:cs="仿宋"/>
          <w:spacing w:val="4"/>
          <w:sz w:val="25"/>
          <w:szCs w:val="25"/>
        </w:rPr>
        <w:t>”矿产</w:t>
      </w:r>
      <w:r>
        <w:rPr>
          <w:rFonts w:ascii="仿宋" w:hAnsi="仿宋" w:eastAsia="仿宋" w:cs="仿宋"/>
          <w:spacing w:val="3"/>
          <w:sz w:val="25"/>
          <w:szCs w:val="25"/>
        </w:rPr>
        <w:t>资源规划的落实。</w:t>
      </w:r>
      <w:r>
        <w:rPr>
          <w:rFonts w:ascii="仿宋" w:hAnsi="仿宋" w:eastAsia="仿宋" w:cs="仿宋"/>
          <w:sz w:val="25"/>
          <w:szCs w:val="25"/>
        </w:rPr>
        <w:t xml:space="preserve"> </w:t>
      </w:r>
      <w:r>
        <w:rPr>
          <w:rFonts w:ascii="仿宋" w:hAnsi="仿宋" w:eastAsia="仿宋" w:cs="仿宋"/>
          <w:spacing w:val="8"/>
          <w:sz w:val="25"/>
          <w:szCs w:val="25"/>
        </w:rPr>
        <w:t>上一轮规划中，</w:t>
      </w:r>
      <w:r>
        <w:rPr>
          <w:rFonts w:ascii="仿宋" w:hAnsi="仿宋" w:eastAsia="仿宋" w:cs="仿宋"/>
          <w:spacing w:val="-65"/>
          <w:sz w:val="25"/>
          <w:szCs w:val="25"/>
        </w:rPr>
        <w:t xml:space="preserve"> </w:t>
      </w:r>
      <w:r>
        <w:rPr>
          <w:rFonts w:ascii="仿宋" w:hAnsi="仿宋" w:eastAsia="仿宋" w:cs="仿宋"/>
          <w:spacing w:val="8"/>
          <w:sz w:val="25"/>
          <w:szCs w:val="25"/>
        </w:rPr>
        <w:t>由于勘查程度不足，铝土矿开采区块达不到采矿</w:t>
      </w:r>
      <w:r>
        <w:rPr>
          <w:rFonts w:ascii="仿宋" w:hAnsi="仿宋" w:eastAsia="仿宋" w:cs="仿宋"/>
          <w:spacing w:val="7"/>
          <w:sz w:val="25"/>
          <w:szCs w:val="25"/>
        </w:rPr>
        <w:t>权投放的最低</w:t>
      </w:r>
      <w:r>
        <w:rPr>
          <w:rFonts w:ascii="仿宋" w:hAnsi="仿宋" w:eastAsia="仿宋" w:cs="仿宋"/>
          <w:sz w:val="25"/>
          <w:szCs w:val="25"/>
        </w:rPr>
        <w:t xml:space="preserve"> </w:t>
      </w:r>
      <w:r>
        <w:rPr>
          <w:rFonts w:ascii="仿宋" w:hAnsi="仿宋" w:eastAsia="仿宋" w:cs="仿宋"/>
          <w:spacing w:val="9"/>
          <w:sz w:val="25"/>
          <w:szCs w:val="25"/>
        </w:rPr>
        <w:t>要求，开采区块无法落地实施，亟须调整区块类型与范围，进一步勘查工作；</w:t>
      </w:r>
      <w:r>
        <w:rPr>
          <w:rFonts w:ascii="仿宋" w:hAnsi="仿宋" w:eastAsia="仿宋" w:cs="仿宋"/>
          <w:spacing w:val="10"/>
          <w:sz w:val="25"/>
          <w:szCs w:val="25"/>
        </w:rPr>
        <w:t xml:space="preserve"> 勘查区块原范围设置不合理，未能将其附近的</w:t>
      </w:r>
      <w:r>
        <w:rPr>
          <w:rFonts w:ascii="仿宋" w:hAnsi="仿宋" w:eastAsia="仿宋" w:cs="仿宋"/>
          <w:spacing w:val="9"/>
          <w:sz w:val="25"/>
          <w:szCs w:val="25"/>
        </w:rPr>
        <w:t>矿体包含进来，需要新设勘查规</w:t>
      </w:r>
    </w:p>
    <w:p w14:paraId="6C21CFBA">
      <w:pPr>
        <w:spacing w:line="340" w:lineRule="auto"/>
        <w:rPr>
          <w:rFonts w:ascii="仿宋" w:hAnsi="仿宋" w:eastAsia="仿宋" w:cs="仿宋"/>
          <w:sz w:val="25"/>
          <w:szCs w:val="25"/>
        </w:rPr>
        <w:sectPr>
          <w:headerReference r:id="rId55" w:type="default"/>
          <w:footerReference r:id="rId56" w:type="default"/>
          <w:pgSz w:w="11906" w:h="16839"/>
          <w:pgMar w:top="1116" w:right="1385" w:bottom="1480" w:left="1587" w:header="683" w:footer="1318" w:gutter="0"/>
          <w:cols w:space="720" w:num="1"/>
        </w:sectPr>
      </w:pPr>
    </w:p>
    <w:p w14:paraId="6B448D17">
      <w:pPr>
        <w:pStyle w:val="2"/>
        <w:spacing w:line="386" w:lineRule="auto"/>
      </w:pPr>
    </w:p>
    <w:p w14:paraId="545E687B">
      <w:pPr>
        <w:spacing w:before="82" w:line="339" w:lineRule="auto"/>
        <w:ind w:left="360" w:right="342"/>
        <w:rPr>
          <w:rFonts w:ascii="仿宋" w:hAnsi="仿宋" w:eastAsia="仿宋" w:cs="仿宋"/>
          <w:sz w:val="25"/>
          <w:szCs w:val="25"/>
        </w:rPr>
      </w:pPr>
      <w:r>
        <w:rPr>
          <w:rFonts w:ascii="仿宋" w:hAnsi="仿宋" w:eastAsia="仿宋" w:cs="仿宋"/>
          <w:spacing w:val="9"/>
          <w:sz w:val="25"/>
          <w:szCs w:val="25"/>
        </w:rPr>
        <w:t>划，增强资源的集约化利用。本次规划调整目标是解决这些问题，借此促进规</w:t>
      </w:r>
      <w:r>
        <w:rPr>
          <w:rFonts w:ascii="仿宋" w:hAnsi="仿宋" w:eastAsia="仿宋" w:cs="仿宋"/>
          <w:spacing w:val="16"/>
          <w:sz w:val="25"/>
          <w:szCs w:val="25"/>
        </w:rPr>
        <w:t xml:space="preserve"> </w:t>
      </w:r>
      <w:r>
        <w:rPr>
          <w:rFonts w:ascii="仿宋" w:hAnsi="仿宋" w:eastAsia="仿宋" w:cs="仿宋"/>
          <w:spacing w:val="6"/>
          <w:sz w:val="25"/>
          <w:szCs w:val="25"/>
        </w:rPr>
        <w:t>划落实与资源利用。</w:t>
      </w:r>
    </w:p>
    <w:p w14:paraId="110F0B57">
      <w:pPr>
        <w:spacing w:before="7" w:line="339" w:lineRule="auto"/>
        <w:ind w:left="355" w:right="339" w:firstLine="486"/>
        <w:jc w:val="both"/>
        <w:rPr>
          <w:rFonts w:ascii="仿宋" w:hAnsi="仿宋" w:eastAsia="仿宋" w:cs="仿宋"/>
          <w:sz w:val="25"/>
          <w:szCs w:val="25"/>
        </w:rPr>
      </w:pPr>
      <w:r>
        <w:rPr>
          <w:rFonts w:ascii="仿宋" w:hAnsi="仿宋" w:eastAsia="仿宋" w:cs="仿宋"/>
          <w:spacing w:val="9"/>
          <w:sz w:val="25"/>
          <w:szCs w:val="25"/>
        </w:rPr>
        <w:t>结合黔江区矿产资源开发利用实际，原《规</w:t>
      </w:r>
      <w:r>
        <w:rPr>
          <w:rFonts w:ascii="仿宋" w:hAnsi="仿宋" w:eastAsia="仿宋" w:cs="仿宋"/>
          <w:spacing w:val="8"/>
          <w:sz w:val="25"/>
          <w:szCs w:val="25"/>
        </w:rPr>
        <w:t>划》</w:t>
      </w:r>
      <w:r>
        <w:rPr>
          <w:rFonts w:ascii="仿宋" w:hAnsi="仿宋" w:eastAsia="仿宋" w:cs="仿宋"/>
          <w:spacing w:val="-60"/>
          <w:sz w:val="25"/>
          <w:szCs w:val="25"/>
        </w:rPr>
        <w:t xml:space="preserve"> </w:t>
      </w:r>
      <w:r>
        <w:rPr>
          <w:rFonts w:ascii="仿宋" w:hAnsi="仿宋" w:eastAsia="仿宋" w:cs="仿宋"/>
          <w:spacing w:val="8"/>
          <w:sz w:val="25"/>
          <w:szCs w:val="25"/>
        </w:rPr>
        <w:t>已不能满足市场和现状的</w:t>
      </w:r>
      <w:r>
        <w:rPr>
          <w:rFonts w:ascii="仿宋" w:hAnsi="仿宋" w:eastAsia="仿宋" w:cs="仿宋"/>
          <w:sz w:val="25"/>
          <w:szCs w:val="25"/>
        </w:rPr>
        <w:t xml:space="preserve"> </w:t>
      </w:r>
      <w:r>
        <w:rPr>
          <w:rFonts w:ascii="仿宋" w:hAnsi="仿宋" w:eastAsia="仿宋" w:cs="仿宋"/>
          <w:spacing w:val="10"/>
          <w:sz w:val="25"/>
          <w:szCs w:val="25"/>
        </w:rPr>
        <w:t>需求，且部分规划区块地质工作程度欠缺，个</w:t>
      </w:r>
      <w:r>
        <w:rPr>
          <w:rFonts w:ascii="仿宋" w:hAnsi="仿宋" w:eastAsia="仿宋" w:cs="仿宋"/>
          <w:spacing w:val="9"/>
          <w:sz w:val="25"/>
          <w:szCs w:val="25"/>
        </w:rPr>
        <w:t>别规划区块设置不合理，矿山市</w:t>
      </w:r>
      <w:r>
        <w:rPr>
          <w:rFonts w:ascii="仿宋" w:hAnsi="仿宋" w:eastAsia="仿宋" w:cs="仿宋"/>
          <w:sz w:val="25"/>
          <w:szCs w:val="25"/>
        </w:rPr>
        <w:t xml:space="preserve"> </w:t>
      </w:r>
      <w:r>
        <w:rPr>
          <w:rFonts w:ascii="仿宋" w:hAnsi="仿宋" w:eastAsia="仿宋" w:cs="仿宋"/>
          <w:spacing w:val="8"/>
          <w:sz w:val="25"/>
          <w:szCs w:val="25"/>
        </w:rPr>
        <w:t>场条件、技术条件发生重大变化，需进行《规划》调整。</w:t>
      </w:r>
      <w:r>
        <w:rPr>
          <w:rFonts w:ascii="仿宋" w:hAnsi="仿宋" w:eastAsia="仿宋" w:cs="仿宋"/>
          <w:spacing w:val="-71"/>
          <w:sz w:val="25"/>
          <w:szCs w:val="25"/>
        </w:rPr>
        <w:t xml:space="preserve"> </w:t>
      </w:r>
      <w:r>
        <w:rPr>
          <w:rFonts w:ascii="仿宋" w:hAnsi="仿宋" w:eastAsia="仿宋" w:cs="仿宋"/>
          <w:spacing w:val="8"/>
          <w:sz w:val="25"/>
          <w:szCs w:val="25"/>
        </w:rPr>
        <w:t>同时为新设矿权提供</w:t>
      </w:r>
      <w:r>
        <w:rPr>
          <w:rFonts w:ascii="仿宋" w:hAnsi="仿宋" w:eastAsia="仿宋" w:cs="仿宋"/>
          <w:sz w:val="25"/>
          <w:szCs w:val="25"/>
        </w:rPr>
        <w:t xml:space="preserve"> </w:t>
      </w:r>
      <w:r>
        <w:rPr>
          <w:rFonts w:ascii="仿宋" w:hAnsi="仿宋" w:eastAsia="仿宋" w:cs="仿宋"/>
          <w:spacing w:val="10"/>
          <w:sz w:val="25"/>
          <w:szCs w:val="25"/>
        </w:rPr>
        <w:t>《规划》支撑，为促进黔江区矿山企业高质量</w:t>
      </w:r>
      <w:r>
        <w:rPr>
          <w:rFonts w:ascii="仿宋" w:hAnsi="仿宋" w:eastAsia="仿宋" w:cs="仿宋"/>
          <w:spacing w:val="9"/>
          <w:sz w:val="25"/>
          <w:szCs w:val="25"/>
        </w:rPr>
        <w:t>发展，服务矿山企业，提高矿产</w:t>
      </w:r>
      <w:r>
        <w:rPr>
          <w:rFonts w:ascii="仿宋" w:hAnsi="仿宋" w:eastAsia="仿宋" w:cs="仿宋"/>
          <w:sz w:val="25"/>
          <w:szCs w:val="25"/>
        </w:rPr>
        <w:t xml:space="preserve"> </w:t>
      </w:r>
      <w:r>
        <w:rPr>
          <w:rFonts w:ascii="仿宋" w:hAnsi="仿宋" w:eastAsia="仿宋" w:cs="仿宋"/>
          <w:spacing w:val="10"/>
          <w:sz w:val="25"/>
          <w:szCs w:val="25"/>
        </w:rPr>
        <w:t>行业经济效益，根据目前矿业市场实际需求情况</w:t>
      </w:r>
      <w:r>
        <w:rPr>
          <w:rFonts w:ascii="仿宋" w:hAnsi="仿宋" w:eastAsia="仿宋" w:cs="仿宋"/>
          <w:spacing w:val="9"/>
          <w:sz w:val="25"/>
          <w:szCs w:val="25"/>
        </w:rPr>
        <w:t>，结合《自然资源部关于完善</w:t>
      </w:r>
      <w:r>
        <w:rPr>
          <w:rFonts w:ascii="仿宋" w:hAnsi="仿宋" w:eastAsia="仿宋" w:cs="仿宋"/>
          <w:sz w:val="25"/>
          <w:szCs w:val="25"/>
        </w:rPr>
        <w:t xml:space="preserve"> </w:t>
      </w:r>
      <w:r>
        <w:rPr>
          <w:rFonts w:ascii="仿宋" w:hAnsi="仿宋" w:eastAsia="仿宋" w:cs="仿宋"/>
          <w:spacing w:val="4"/>
          <w:sz w:val="25"/>
          <w:szCs w:val="25"/>
        </w:rPr>
        <w:t>矿产资源规划实施管理有关事项的通知》（</w:t>
      </w:r>
      <w:r>
        <w:rPr>
          <w:rFonts w:ascii="仿宋" w:hAnsi="仿宋" w:eastAsia="仿宋" w:cs="仿宋"/>
          <w:spacing w:val="-21"/>
          <w:sz w:val="25"/>
          <w:szCs w:val="25"/>
        </w:rPr>
        <w:t xml:space="preserve"> </w:t>
      </w:r>
      <w:r>
        <w:rPr>
          <w:rFonts w:ascii="仿宋" w:hAnsi="仿宋" w:eastAsia="仿宋" w:cs="仿宋"/>
          <w:spacing w:val="4"/>
          <w:sz w:val="25"/>
          <w:szCs w:val="25"/>
        </w:rPr>
        <w:t>自然资发〔</w:t>
      </w:r>
      <w:r>
        <w:rPr>
          <w:rFonts w:ascii="Times New Roman" w:hAnsi="Times New Roman" w:eastAsia="Times New Roman" w:cs="Times New Roman"/>
          <w:spacing w:val="4"/>
          <w:sz w:val="25"/>
          <w:szCs w:val="25"/>
        </w:rPr>
        <w:t>20</w:t>
      </w:r>
      <w:r>
        <w:rPr>
          <w:rFonts w:ascii="Times New Roman" w:hAnsi="Times New Roman" w:eastAsia="Times New Roman" w:cs="Times New Roman"/>
          <w:spacing w:val="3"/>
          <w:sz w:val="25"/>
          <w:szCs w:val="25"/>
        </w:rPr>
        <w:t>24</w:t>
      </w:r>
      <w:r>
        <w:rPr>
          <w:rFonts w:ascii="仿宋" w:hAnsi="仿宋" w:eastAsia="仿宋" w:cs="仿宋"/>
          <w:spacing w:val="3"/>
          <w:sz w:val="25"/>
          <w:szCs w:val="25"/>
        </w:rPr>
        <w:t>〕</w:t>
      </w:r>
      <w:r>
        <w:rPr>
          <w:rFonts w:ascii="Times New Roman" w:hAnsi="Times New Roman" w:eastAsia="Times New Roman" w:cs="Times New Roman"/>
          <w:spacing w:val="3"/>
          <w:sz w:val="25"/>
          <w:szCs w:val="25"/>
        </w:rPr>
        <w:t>53</w:t>
      </w:r>
      <w:r>
        <w:rPr>
          <w:rFonts w:ascii="Times New Roman" w:hAnsi="Times New Roman" w:eastAsia="Times New Roman" w:cs="Times New Roman"/>
          <w:spacing w:val="26"/>
          <w:sz w:val="25"/>
          <w:szCs w:val="25"/>
        </w:rPr>
        <w:t xml:space="preserve"> </w:t>
      </w:r>
      <w:r>
        <w:rPr>
          <w:rFonts w:ascii="仿宋" w:hAnsi="仿宋" w:eastAsia="仿宋" w:cs="仿宋"/>
          <w:spacing w:val="3"/>
          <w:sz w:val="25"/>
          <w:szCs w:val="25"/>
        </w:rPr>
        <w:t>号）《重庆市</w:t>
      </w:r>
      <w:r>
        <w:rPr>
          <w:rFonts w:ascii="仿宋" w:hAnsi="仿宋" w:eastAsia="仿宋" w:cs="仿宋"/>
          <w:sz w:val="25"/>
          <w:szCs w:val="25"/>
        </w:rPr>
        <w:t xml:space="preserve"> </w:t>
      </w:r>
      <w:r>
        <w:rPr>
          <w:rFonts w:ascii="仿宋" w:hAnsi="仿宋" w:eastAsia="仿宋" w:cs="仿宋"/>
          <w:spacing w:val="10"/>
          <w:sz w:val="25"/>
          <w:szCs w:val="25"/>
        </w:rPr>
        <w:t>规划和自然资源局重庆市生态环境局关于进一</w:t>
      </w:r>
      <w:r>
        <w:rPr>
          <w:rFonts w:ascii="仿宋" w:hAnsi="仿宋" w:eastAsia="仿宋" w:cs="仿宋"/>
          <w:spacing w:val="9"/>
          <w:sz w:val="25"/>
          <w:szCs w:val="25"/>
        </w:rPr>
        <w:t>步规范矿产资源规划实施管理的</w:t>
      </w:r>
      <w:r>
        <w:rPr>
          <w:rFonts w:ascii="仿宋" w:hAnsi="仿宋" w:eastAsia="仿宋" w:cs="仿宋"/>
          <w:sz w:val="25"/>
          <w:szCs w:val="25"/>
        </w:rPr>
        <w:t xml:space="preserve"> </w:t>
      </w:r>
      <w:r>
        <w:rPr>
          <w:rFonts w:ascii="仿宋" w:hAnsi="仿宋" w:eastAsia="仿宋" w:cs="仿宋"/>
          <w:spacing w:val="7"/>
          <w:sz w:val="25"/>
          <w:szCs w:val="25"/>
        </w:rPr>
        <w:t>通知》（渝规资〔</w:t>
      </w:r>
      <w:r>
        <w:rPr>
          <w:rFonts w:ascii="Times New Roman" w:hAnsi="Times New Roman" w:eastAsia="Times New Roman" w:cs="Times New Roman"/>
          <w:spacing w:val="7"/>
          <w:sz w:val="25"/>
          <w:szCs w:val="25"/>
        </w:rPr>
        <w:t>2025</w:t>
      </w:r>
      <w:r>
        <w:rPr>
          <w:rFonts w:ascii="仿宋" w:hAnsi="仿宋" w:eastAsia="仿宋" w:cs="仿宋"/>
          <w:spacing w:val="7"/>
          <w:sz w:val="25"/>
          <w:szCs w:val="25"/>
        </w:rPr>
        <w:t>〕</w:t>
      </w:r>
      <w:r>
        <w:rPr>
          <w:rFonts w:ascii="Times New Roman" w:hAnsi="Times New Roman" w:eastAsia="Times New Roman" w:cs="Times New Roman"/>
          <w:spacing w:val="7"/>
          <w:sz w:val="25"/>
          <w:szCs w:val="25"/>
        </w:rPr>
        <w:t>119</w:t>
      </w:r>
      <w:r>
        <w:rPr>
          <w:rFonts w:ascii="Times New Roman" w:hAnsi="Times New Roman" w:eastAsia="Times New Roman" w:cs="Times New Roman"/>
          <w:spacing w:val="40"/>
          <w:sz w:val="25"/>
          <w:szCs w:val="25"/>
        </w:rPr>
        <w:t xml:space="preserve"> </w:t>
      </w:r>
      <w:r>
        <w:rPr>
          <w:rFonts w:ascii="仿宋" w:hAnsi="仿宋" w:eastAsia="仿宋" w:cs="仿宋"/>
          <w:spacing w:val="7"/>
          <w:sz w:val="25"/>
          <w:szCs w:val="25"/>
        </w:rPr>
        <w:t>号）文件精神，拟对《规划》进行调整。</w:t>
      </w:r>
    </w:p>
    <w:p w14:paraId="7A8DA009">
      <w:pPr>
        <w:spacing w:before="121" w:line="229" w:lineRule="auto"/>
        <w:ind w:left="346"/>
        <w:outlineLvl w:val="2"/>
        <w:rPr>
          <w:rFonts w:ascii="仿宋" w:hAnsi="仿宋" w:eastAsia="仿宋" w:cs="仿宋"/>
          <w:sz w:val="25"/>
          <w:szCs w:val="25"/>
        </w:rPr>
      </w:pPr>
      <w:r>
        <w:rPr>
          <w:rFonts w:ascii="Times New Roman" w:hAnsi="Times New Roman" w:eastAsia="Times New Roman" w:cs="Times New Roman"/>
          <w:b/>
          <w:bCs/>
          <w:spacing w:val="5"/>
          <w:sz w:val="25"/>
          <w:szCs w:val="25"/>
        </w:rPr>
        <w:t xml:space="preserve">2.2.4  </w:t>
      </w:r>
      <w:r>
        <w:rPr>
          <w:rFonts w:ascii="仿宋" w:hAnsi="仿宋" w:eastAsia="仿宋" w:cs="仿宋"/>
          <w:b/>
          <w:bCs/>
          <w:spacing w:val="5"/>
          <w:sz w:val="25"/>
          <w:szCs w:val="25"/>
        </w:rPr>
        <w:t>规划调整内容</w:t>
      </w:r>
    </w:p>
    <w:p w14:paraId="3566AD09">
      <w:pPr>
        <w:spacing w:before="268" w:line="229" w:lineRule="auto"/>
        <w:ind w:left="346"/>
        <w:outlineLvl w:val="3"/>
        <w:rPr>
          <w:rFonts w:ascii="仿宋" w:hAnsi="仿宋" w:eastAsia="仿宋" w:cs="仿宋"/>
          <w:sz w:val="25"/>
          <w:szCs w:val="25"/>
        </w:rPr>
      </w:pPr>
      <w:r>
        <w:rPr>
          <w:rFonts w:ascii="Times New Roman" w:hAnsi="Times New Roman" w:eastAsia="Times New Roman" w:cs="Times New Roman"/>
          <w:b/>
          <w:bCs/>
          <w:spacing w:val="3"/>
          <w:sz w:val="25"/>
          <w:szCs w:val="25"/>
        </w:rPr>
        <w:t>2.2.4.1</w:t>
      </w:r>
      <w:r>
        <w:rPr>
          <w:rFonts w:ascii="Times New Roman" w:hAnsi="Times New Roman" w:eastAsia="Times New Roman" w:cs="Times New Roman"/>
          <w:b/>
          <w:bCs/>
          <w:spacing w:val="23"/>
          <w:sz w:val="25"/>
          <w:szCs w:val="25"/>
        </w:rPr>
        <w:t xml:space="preserve"> </w:t>
      </w:r>
      <w:r>
        <w:rPr>
          <w:rFonts w:ascii="仿宋" w:hAnsi="仿宋" w:eastAsia="仿宋" w:cs="仿宋"/>
          <w:b/>
          <w:bCs/>
          <w:spacing w:val="3"/>
          <w:sz w:val="25"/>
          <w:szCs w:val="25"/>
        </w:rPr>
        <w:t>规划指标</w:t>
      </w:r>
    </w:p>
    <w:p w14:paraId="4D07394E">
      <w:pPr>
        <w:spacing w:before="269" w:line="341" w:lineRule="auto"/>
        <w:ind w:left="356" w:right="342" w:firstLine="481"/>
        <w:rPr>
          <w:rFonts w:ascii="仿宋" w:hAnsi="仿宋" w:eastAsia="仿宋" w:cs="仿宋"/>
          <w:sz w:val="25"/>
          <w:szCs w:val="25"/>
        </w:rPr>
      </w:pPr>
      <w:r>
        <w:rPr>
          <w:rFonts w:ascii="仿宋" w:hAnsi="仿宋" w:eastAsia="仿宋" w:cs="仿宋"/>
          <w:spacing w:val="11"/>
          <w:sz w:val="25"/>
          <w:szCs w:val="25"/>
        </w:rPr>
        <w:t>本次调整不涉及勘查指标、开发指标的调整。新发现矿</w:t>
      </w:r>
      <w:r>
        <w:rPr>
          <w:rFonts w:ascii="仿宋" w:hAnsi="仿宋" w:eastAsia="仿宋" w:cs="仿宋"/>
          <w:spacing w:val="10"/>
          <w:sz w:val="25"/>
          <w:szCs w:val="25"/>
        </w:rPr>
        <w:t>化线索增设勘查区</w:t>
      </w:r>
      <w:r>
        <w:rPr>
          <w:rFonts w:ascii="仿宋" w:hAnsi="仿宋" w:eastAsia="仿宋" w:cs="仿宋"/>
          <w:sz w:val="25"/>
          <w:szCs w:val="25"/>
        </w:rPr>
        <w:t xml:space="preserve"> </w:t>
      </w:r>
      <w:r>
        <w:rPr>
          <w:rFonts w:ascii="仿宋" w:hAnsi="仿宋" w:eastAsia="仿宋" w:cs="仿宋"/>
          <w:spacing w:val="5"/>
          <w:sz w:val="25"/>
          <w:szCs w:val="25"/>
        </w:rPr>
        <w:t>块，</w:t>
      </w:r>
      <w:r>
        <w:rPr>
          <w:rFonts w:ascii="仿宋" w:hAnsi="仿宋" w:eastAsia="仿宋" w:cs="仿宋"/>
          <w:spacing w:val="-54"/>
          <w:sz w:val="25"/>
          <w:szCs w:val="25"/>
        </w:rPr>
        <w:t xml:space="preserve"> </w:t>
      </w:r>
      <w:r>
        <w:rPr>
          <w:rFonts w:ascii="仿宋" w:hAnsi="仿宋" w:eastAsia="仿宋" w:cs="仿宋"/>
          <w:spacing w:val="5"/>
          <w:sz w:val="25"/>
          <w:szCs w:val="25"/>
        </w:rPr>
        <w:t>由于临近规划期末，勘查指标不做调整。</w:t>
      </w:r>
    </w:p>
    <w:p w14:paraId="64E610BC">
      <w:pPr>
        <w:spacing w:before="39" w:line="231" w:lineRule="auto"/>
        <w:ind w:left="2402"/>
        <w:rPr>
          <w:rFonts w:ascii="仿宋" w:hAnsi="仿宋" w:eastAsia="仿宋" w:cs="仿宋"/>
          <w:sz w:val="20"/>
          <w:szCs w:val="20"/>
        </w:rPr>
      </w:pPr>
      <w:r>
        <w:rPr>
          <w:rFonts w:ascii="仿宋" w:hAnsi="仿宋" w:eastAsia="仿宋" w:cs="仿宋"/>
          <w:b/>
          <w:bCs/>
          <w:spacing w:val="6"/>
          <w:sz w:val="20"/>
          <w:szCs w:val="20"/>
        </w:rPr>
        <w:t>表</w:t>
      </w:r>
      <w:r>
        <w:rPr>
          <w:rFonts w:ascii="仿宋" w:hAnsi="仿宋" w:eastAsia="仿宋" w:cs="仿宋"/>
          <w:spacing w:val="-24"/>
          <w:sz w:val="20"/>
          <w:szCs w:val="20"/>
        </w:rPr>
        <w:t xml:space="preserve"> </w:t>
      </w:r>
      <w:r>
        <w:rPr>
          <w:rFonts w:ascii="Times New Roman" w:hAnsi="Times New Roman" w:eastAsia="Times New Roman" w:cs="Times New Roman"/>
          <w:b/>
          <w:bCs/>
          <w:spacing w:val="6"/>
          <w:sz w:val="20"/>
          <w:szCs w:val="20"/>
        </w:rPr>
        <w:t xml:space="preserve">2.2-1  </w:t>
      </w:r>
      <w:r>
        <w:rPr>
          <w:rFonts w:ascii="仿宋" w:hAnsi="仿宋" w:eastAsia="仿宋" w:cs="仿宋"/>
          <w:b/>
          <w:bCs/>
          <w:spacing w:val="6"/>
          <w:sz w:val="20"/>
          <w:szCs w:val="20"/>
        </w:rPr>
        <w:t>《规划调整》与原规划主要指标变化情况对比表</w:t>
      </w:r>
    </w:p>
    <w:p w14:paraId="6DE1A7F6">
      <w:pPr>
        <w:spacing w:line="22" w:lineRule="exact"/>
      </w:pPr>
    </w:p>
    <w:tbl>
      <w:tblPr>
        <w:tblStyle w:val="5"/>
        <w:tblW w:w="9500"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5"/>
        <w:gridCol w:w="1960"/>
        <w:gridCol w:w="1671"/>
        <w:gridCol w:w="1222"/>
        <w:gridCol w:w="1396"/>
        <w:gridCol w:w="1344"/>
        <w:gridCol w:w="1192"/>
      </w:tblGrid>
      <w:tr w14:paraId="581AAE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715" w:type="dxa"/>
            <w:vMerge w:val="restart"/>
            <w:tcBorders>
              <w:top w:val="single" w:color="000000" w:sz="10" w:space="0"/>
              <w:left w:val="single" w:color="000000" w:sz="10" w:space="0"/>
              <w:bottom w:val="nil"/>
            </w:tcBorders>
            <w:textDirection w:val="tbRlV"/>
            <w:vAlign w:val="top"/>
          </w:tcPr>
          <w:p w14:paraId="4CEB9B71">
            <w:pPr>
              <w:pStyle w:val="6"/>
              <w:spacing w:before="255" w:line="210" w:lineRule="auto"/>
              <w:ind w:left="96"/>
              <w:rPr>
                <w:sz w:val="20"/>
                <w:szCs w:val="20"/>
              </w:rPr>
            </w:pPr>
            <w:r>
              <w:rPr>
                <w:spacing w:val="13"/>
                <w:sz w:val="20"/>
                <w:szCs w:val="20"/>
              </w:rPr>
              <w:t>指</w:t>
            </w:r>
            <w:r>
              <w:rPr>
                <w:spacing w:val="-40"/>
                <w:sz w:val="20"/>
                <w:szCs w:val="20"/>
              </w:rPr>
              <w:t xml:space="preserve"> </w:t>
            </w:r>
            <w:r>
              <w:rPr>
                <w:spacing w:val="13"/>
                <w:sz w:val="20"/>
                <w:szCs w:val="20"/>
              </w:rPr>
              <w:t>标</w:t>
            </w:r>
          </w:p>
        </w:tc>
        <w:tc>
          <w:tcPr>
            <w:tcW w:w="1960" w:type="dxa"/>
            <w:vMerge w:val="restart"/>
            <w:tcBorders>
              <w:top w:val="single" w:color="000000" w:sz="10" w:space="0"/>
              <w:bottom w:val="nil"/>
            </w:tcBorders>
            <w:vAlign w:val="top"/>
          </w:tcPr>
          <w:p w14:paraId="5B30DCC7">
            <w:pPr>
              <w:pStyle w:val="6"/>
              <w:spacing w:before="233" w:line="229" w:lineRule="auto"/>
              <w:ind w:left="773"/>
              <w:rPr>
                <w:sz w:val="20"/>
                <w:szCs w:val="20"/>
              </w:rPr>
            </w:pPr>
            <w:r>
              <w:rPr>
                <w:spacing w:val="2"/>
                <w:sz w:val="20"/>
                <w:szCs w:val="20"/>
              </w:rPr>
              <w:t>矿种</w:t>
            </w:r>
          </w:p>
        </w:tc>
        <w:tc>
          <w:tcPr>
            <w:tcW w:w="1671" w:type="dxa"/>
            <w:vMerge w:val="restart"/>
            <w:tcBorders>
              <w:top w:val="single" w:color="000000" w:sz="10" w:space="0"/>
              <w:bottom w:val="nil"/>
            </w:tcBorders>
            <w:vAlign w:val="top"/>
          </w:tcPr>
          <w:p w14:paraId="24356DCC">
            <w:pPr>
              <w:pStyle w:val="6"/>
              <w:spacing w:before="233" w:line="229" w:lineRule="auto"/>
              <w:ind w:left="636"/>
              <w:rPr>
                <w:sz w:val="20"/>
                <w:szCs w:val="20"/>
              </w:rPr>
            </w:pPr>
            <w:r>
              <w:rPr>
                <w:spacing w:val="-1"/>
                <w:sz w:val="20"/>
                <w:szCs w:val="20"/>
              </w:rPr>
              <w:t>单位</w:t>
            </w:r>
          </w:p>
        </w:tc>
        <w:tc>
          <w:tcPr>
            <w:tcW w:w="2618" w:type="dxa"/>
            <w:gridSpan w:val="2"/>
            <w:tcBorders>
              <w:top w:val="single" w:color="000000" w:sz="10" w:space="0"/>
            </w:tcBorders>
            <w:vAlign w:val="top"/>
          </w:tcPr>
          <w:p w14:paraId="7FE0C35E">
            <w:pPr>
              <w:pStyle w:val="6"/>
              <w:spacing w:before="67" w:line="231" w:lineRule="auto"/>
              <w:ind w:left="697"/>
              <w:rPr>
                <w:sz w:val="20"/>
                <w:szCs w:val="20"/>
              </w:rPr>
            </w:pPr>
            <w:r>
              <w:rPr>
                <w:spacing w:val="6"/>
                <w:sz w:val="20"/>
                <w:szCs w:val="20"/>
              </w:rPr>
              <w:t>主要规划指标</w:t>
            </w:r>
          </w:p>
        </w:tc>
        <w:tc>
          <w:tcPr>
            <w:tcW w:w="1344" w:type="dxa"/>
            <w:vMerge w:val="restart"/>
            <w:tcBorders>
              <w:top w:val="single" w:color="000000" w:sz="10" w:space="0"/>
              <w:bottom w:val="nil"/>
            </w:tcBorders>
            <w:vAlign w:val="top"/>
          </w:tcPr>
          <w:p w14:paraId="1A44A4C8">
            <w:pPr>
              <w:pStyle w:val="6"/>
              <w:spacing w:before="233" w:line="231" w:lineRule="auto"/>
              <w:ind w:left="278"/>
              <w:rPr>
                <w:sz w:val="20"/>
                <w:szCs w:val="20"/>
              </w:rPr>
            </w:pPr>
            <w:r>
              <w:rPr>
                <w:spacing w:val="4"/>
                <w:sz w:val="20"/>
                <w:szCs w:val="20"/>
              </w:rPr>
              <w:t>变化情况</w:t>
            </w:r>
          </w:p>
        </w:tc>
        <w:tc>
          <w:tcPr>
            <w:tcW w:w="1192" w:type="dxa"/>
            <w:vMerge w:val="restart"/>
            <w:tcBorders>
              <w:top w:val="single" w:color="000000" w:sz="10" w:space="0"/>
              <w:bottom w:val="nil"/>
              <w:right w:val="single" w:color="000000" w:sz="10" w:space="0"/>
            </w:tcBorders>
            <w:vAlign w:val="top"/>
          </w:tcPr>
          <w:p w14:paraId="7E8FCEDA">
            <w:pPr>
              <w:pStyle w:val="6"/>
              <w:spacing w:before="96" w:line="231" w:lineRule="auto"/>
              <w:ind w:left="401"/>
              <w:rPr>
                <w:sz w:val="20"/>
                <w:szCs w:val="20"/>
              </w:rPr>
            </w:pPr>
            <w:r>
              <w:rPr>
                <w:spacing w:val="2"/>
                <w:sz w:val="20"/>
                <w:szCs w:val="20"/>
              </w:rPr>
              <w:t>指标</w:t>
            </w:r>
          </w:p>
          <w:p w14:paraId="795582F5">
            <w:pPr>
              <w:pStyle w:val="6"/>
              <w:spacing w:before="23" w:line="229" w:lineRule="auto"/>
              <w:ind w:left="401"/>
              <w:rPr>
                <w:sz w:val="20"/>
                <w:szCs w:val="20"/>
              </w:rPr>
            </w:pPr>
            <w:r>
              <w:rPr>
                <w:spacing w:val="2"/>
                <w:sz w:val="20"/>
                <w:szCs w:val="20"/>
              </w:rPr>
              <w:t>属性</w:t>
            </w:r>
          </w:p>
        </w:tc>
      </w:tr>
      <w:tr w14:paraId="206384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715" w:type="dxa"/>
            <w:vMerge w:val="continue"/>
            <w:tcBorders>
              <w:top w:val="nil"/>
              <w:left w:val="single" w:color="000000" w:sz="10" w:space="0"/>
            </w:tcBorders>
            <w:textDirection w:val="tbRlV"/>
            <w:vAlign w:val="top"/>
          </w:tcPr>
          <w:p w14:paraId="4D17C914">
            <w:pPr>
              <w:rPr>
                <w:rFonts w:ascii="Arial"/>
                <w:sz w:val="21"/>
              </w:rPr>
            </w:pPr>
          </w:p>
        </w:tc>
        <w:tc>
          <w:tcPr>
            <w:tcW w:w="1960" w:type="dxa"/>
            <w:vMerge w:val="continue"/>
            <w:tcBorders>
              <w:top w:val="nil"/>
            </w:tcBorders>
            <w:vAlign w:val="top"/>
          </w:tcPr>
          <w:p w14:paraId="41C17EBB">
            <w:pPr>
              <w:rPr>
                <w:rFonts w:ascii="Arial"/>
                <w:sz w:val="21"/>
              </w:rPr>
            </w:pPr>
          </w:p>
        </w:tc>
        <w:tc>
          <w:tcPr>
            <w:tcW w:w="1671" w:type="dxa"/>
            <w:vMerge w:val="continue"/>
            <w:tcBorders>
              <w:top w:val="nil"/>
            </w:tcBorders>
            <w:vAlign w:val="top"/>
          </w:tcPr>
          <w:p w14:paraId="2D2E814B">
            <w:pPr>
              <w:rPr>
                <w:rFonts w:ascii="Arial"/>
                <w:sz w:val="21"/>
              </w:rPr>
            </w:pPr>
          </w:p>
        </w:tc>
        <w:tc>
          <w:tcPr>
            <w:tcW w:w="1222" w:type="dxa"/>
            <w:vAlign w:val="top"/>
          </w:tcPr>
          <w:p w14:paraId="648F24DB">
            <w:pPr>
              <w:pStyle w:val="6"/>
              <w:spacing w:before="58" w:line="232" w:lineRule="auto"/>
              <w:ind w:left="201"/>
              <w:rPr>
                <w:sz w:val="20"/>
                <w:szCs w:val="20"/>
              </w:rPr>
            </w:pPr>
            <w:r>
              <w:rPr>
                <w:spacing w:val="3"/>
                <w:sz w:val="20"/>
                <w:szCs w:val="20"/>
              </w:rPr>
              <w:t>《规划》</w:t>
            </w:r>
          </w:p>
        </w:tc>
        <w:tc>
          <w:tcPr>
            <w:tcW w:w="1396" w:type="dxa"/>
            <w:vAlign w:val="top"/>
          </w:tcPr>
          <w:p w14:paraId="3C173459">
            <w:pPr>
              <w:pStyle w:val="6"/>
              <w:spacing w:before="58" w:line="232" w:lineRule="auto"/>
              <w:ind w:left="119"/>
              <w:rPr>
                <w:sz w:val="20"/>
                <w:szCs w:val="20"/>
              </w:rPr>
            </w:pPr>
            <w:r>
              <w:rPr>
                <w:spacing w:val="5"/>
                <w:sz w:val="20"/>
                <w:szCs w:val="20"/>
              </w:rPr>
              <w:t>《规划调整》</w:t>
            </w:r>
          </w:p>
        </w:tc>
        <w:tc>
          <w:tcPr>
            <w:tcW w:w="1344" w:type="dxa"/>
            <w:vMerge w:val="continue"/>
            <w:tcBorders>
              <w:top w:val="nil"/>
            </w:tcBorders>
            <w:vAlign w:val="top"/>
          </w:tcPr>
          <w:p w14:paraId="05708963">
            <w:pPr>
              <w:rPr>
                <w:rFonts w:ascii="Arial"/>
                <w:sz w:val="21"/>
              </w:rPr>
            </w:pPr>
          </w:p>
        </w:tc>
        <w:tc>
          <w:tcPr>
            <w:tcW w:w="1192" w:type="dxa"/>
            <w:vMerge w:val="continue"/>
            <w:tcBorders>
              <w:top w:val="nil"/>
              <w:right w:val="single" w:color="000000" w:sz="10" w:space="0"/>
            </w:tcBorders>
            <w:vAlign w:val="top"/>
          </w:tcPr>
          <w:p w14:paraId="4AA5024D">
            <w:pPr>
              <w:rPr>
                <w:rFonts w:ascii="Arial"/>
                <w:sz w:val="21"/>
              </w:rPr>
            </w:pPr>
          </w:p>
        </w:tc>
      </w:tr>
      <w:tr w14:paraId="44C5CA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2675" w:type="dxa"/>
            <w:gridSpan w:val="2"/>
            <w:tcBorders>
              <w:left w:val="single" w:color="000000" w:sz="10" w:space="0"/>
            </w:tcBorders>
            <w:vAlign w:val="top"/>
          </w:tcPr>
          <w:p w14:paraId="12EA02BE">
            <w:pPr>
              <w:pStyle w:val="6"/>
              <w:spacing w:before="33" w:line="215" w:lineRule="auto"/>
              <w:ind w:left="181"/>
              <w:rPr>
                <w:sz w:val="20"/>
                <w:szCs w:val="20"/>
              </w:rPr>
            </w:pPr>
            <w:r>
              <w:rPr>
                <w:spacing w:val="8"/>
                <w:sz w:val="20"/>
                <w:szCs w:val="20"/>
              </w:rPr>
              <w:t>新发现和评价重要矿产地</w:t>
            </w:r>
          </w:p>
        </w:tc>
        <w:tc>
          <w:tcPr>
            <w:tcW w:w="1671" w:type="dxa"/>
            <w:vAlign w:val="top"/>
          </w:tcPr>
          <w:p w14:paraId="2E523D3D">
            <w:pPr>
              <w:pStyle w:val="6"/>
              <w:spacing w:before="33" w:line="215" w:lineRule="auto"/>
              <w:ind w:left="738"/>
              <w:rPr>
                <w:sz w:val="20"/>
                <w:szCs w:val="20"/>
              </w:rPr>
            </w:pPr>
            <w:r>
              <w:rPr>
                <w:sz w:val="20"/>
                <w:szCs w:val="20"/>
              </w:rPr>
              <w:t>处</w:t>
            </w:r>
          </w:p>
        </w:tc>
        <w:tc>
          <w:tcPr>
            <w:tcW w:w="1222" w:type="dxa"/>
            <w:vAlign w:val="top"/>
          </w:tcPr>
          <w:p w14:paraId="16D762E1">
            <w:pPr>
              <w:spacing w:before="69" w:line="195" w:lineRule="auto"/>
              <w:ind w:left="55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396" w:type="dxa"/>
            <w:vAlign w:val="top"/>
          </w:tcPr>
          <w:p w14:paraId="68F1D095">
            <w:pPr>
              <w:spacing w:before="69" w:line="195" w:lineRule="auto"/>
              <w:ind w:left="64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344" w:type="dxa"/>
            <w:vAlign w:val="top"/>
          </w:tcPr>
          <w:p w14:paraId="385722BB">
            <w:pPr>
              <w:pStyle w:val="6"/>
              <w:spacing w:before="33" w:line="215" w:lineRule="auto"/>
              <w:ind w:left="377"/>
              <w:rPr>
                <w:sz w:val="20"/>
                <w:szCs w:val="20"/>
              </w:rPr>
            </w:pPr>
            <w:r>
              <w:rPr>
                <w:spacing w:val="4"/>
                <w:sz w:val="20"/>
                <w:szCs w:val="20"/>
              </w:rPr>
              <w:t>无变化</w:t>
            </w:r>
          </w:p>
        </w:tc>
        <w:tc>
          <w:tcPr>
            <w:tcW w:w="1192" w:type="dxa"/>
            <w:tcBorders>
              <w:right w:val="single" w:color="000000" w:sz="10" w:space="0"/>
            </w:tcBorders>
            <w:vAlign w:val="top"/>
          </w:tcPr>
          <w:p w14:paraId="50EADADA">
            <w:pPr>
              <w:pStyle w:val="6"/>
              <w:spacing w:before="33" w:line="215" w:lineRule="auto"/>
              <w:ind w:left="297"/>
              <w:rPr>
                <w:sz w:val="20"/>
                <w:szCs w:val="20"/>
              </w:rPr>
            </w:pPr>
            <w:r>
              <w:rPr>
                <w:spacing w:val="4"/>
                <w:sz w:val="20"/>
                <w:szCs w:val="20"/>
              </w:rPr>
              <w:t>预期性</w:t>
            </w:r>
          </w:p>
        </w:tc>
      </w:tr>
      <w:tr w14:paraId="5FF1CA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715" w:type="dxa"/>
            <w:vMerge w:val="restart"/>
            <w:tcBorders>
              <w:left w:val="single" w:color="000000" w:sz="10" w:space="0"/>
              <w:bottom w:val="nil"/>
            </w:tcBorders>
            <w:vAlign w:val="top"/>
          </w:tcPr>
          <w:p w14:paraId="4D8D23EB">
            <w:pPr>
              <w:spacing w:line="319" w:lineRule="auto"/>
              <w:rPr>
                <w:rFonts w:ascii="Arial"/>
                <w:sz w:val="21"/>
              </w:rPr>
            </w:pPr>
          </w:p>
          <w:p w14:paraId="581978AB">
            <w:pPr>
              <w:spacing w:line="319" w:lineRule="auto"/>
              <w:rPr>
                <w:rFonts w:ascii="Arial"/>
                <w:sz w:val="21"/>
              </w:rPr>
            </w:pPr>
          </w:p>
          <w:p w14:paraId="325A7A2F">
            <w:pPr>
              <w:pStyle w:val="6"/>
              <w:spacing w:before="65" w:line="231" w:lineRule="auto"/>
              <w:ind w:left="143"/>
              <w:rPr>
                <w:sz w:val="20"/>
                <w:szCs w:val="20"/>
              </w:rPr>
            </w:pPr>
            <w:r>
              <w:rPr>
                <w:spacing w:val="2"/>
                <w:sz w:val="20"/>
                <w:szCs w:val="20"/>
              </w:rPr>
              <w:t>新增</w:t>
            </w:r>
          </w:p>
          <w:p w14:paraId="5F52F775">
            <w:pPr>
              <w:pStyle w:val="6"/>
              <w:spacing w:before="21" w:line="232" w:lineRule="auto"/>
              <w:ind w:left="154"/>
              <w:rPr>
                <w:sz w:val="20"/>
                <w:szCs w:val="20"/>
              </w:rPr>
            </w:pPr>
            <w:r>
              <w:rPr>
                <w:spacing w:val="-4"/>
                <w:sz w:val="20"/>
                <w:szCs w:val="20"/>
              </w:rPr>
              <w:t>资源</w:t>
            </w:r>
          </w:p>
          <w:p w14:paraId="671EE0F3">
            <w:pPr>
              <w:pStyle w:val="6"/>
              <w:spacing w:before="19" w:line="232" w:lineRule="auto"/>
              <w:ind w:left="144"/>
              <w:rPr>
                <w:sz w:val="20"/>
                <w:szCs w:val="20"/>
              </w:rPr>
            </w:pPr>
            <w:r>
              <w:rPr>
                <w:spacing w:val="1"/>
                <w:sz w:val="20"/>
                <w:szCs w:val="20"/>
              </w:rPr>
              <w:t>储量</w:t>
            </w:r>
          </w:p>
        </w:tc>
        <w:tc>
          <w:tcPr>
            <w:tcW w:w="1960" w:type="dxa"/>
            <w:vAlign w:val="top"/>
          </w:tcPr>
          <w:p w14:paraId="033C8A48">
            <w:pPr>
              <w:pStyle w:val="6"/>
              <w:spacing w:before="83" w:line="232" w:lineRule="auto"/>
              <w:ind w:left="668"/>
              <w:rPr>
                <w:sz w:val="20"/>
                <w:szCs w:val="20"/>
              </w:rPr>
            </w:pPr>
            <w:r>
              <w:rPr>
                <w:spacing w:val="4"/>
                <w:sz w:val="20"/>
                <w:szCs w:val="20"/>
              </w:rPr>
              <w:t>铝土矿</w:t>
            </w:r>
          </w:p>
        </w:tc>
        <w:tc>
          <w:tcPr>
            <w:tcW w:w="1671" w:type="dxa"/>
            <w:vAlign w:val="top"/>
          </w:tcPr>
          <w:p w14:paraId="26518021">
            <w:pPr>
              <w:pStyle w:val="6"/>
              <w:spacing w:before="83" w:line="234" w:lineRule="auto"/>
              <w:ind w:left="607"/>
              <w:rPr>
                <w:rFonts w:ascii="Times New Roman" w:hAnsi="Times New Roman" w:eastAsia="Times New Roman" w:cs="Times New Roman"/>
                <w:sz w:val="20"/>
                <w:szCs w:val="20"/>
              </w:rPr>
            </w:pPr>
            <w:r>
              <w:rPr>
                <w:spacing w:val="-1"/>
                <w:sz w:val="20"/>
                <w:szCs w:val="20"/>
              </w:rPr>
              <w:t>万</w:t>
            </w:r>
            <w:r>
              <w:rPr>
                <w:spacing w:val="-41"/>
                <w:sz w:val="20"/>
                <w:szCs w:val="20"/>
              </w:rPr>
              <w:t xml:space="preserve"> </w:t>
            </w:r>
            <w:r>
              <w:rPr>
                <w:rFonts w:ascii="Times New Roman" w:hAnsi="Times New Roman" w:eastAsia="Times New Roman" w:cs="Times New Roman"/>
                <w:spacing w:val="-1"/>
                <w:sz w:val="20"/>
                <w:szCs w:val="20"/>
              </w:rPr>
              <w:t>t/a</w:t>
            </w:r>
          </w:p>
        </w:tc>
        <w:tc>
          <w:tcPr>
            <w:tcW w:w="1222" w:type="dxa"/>
            <w:vAlign w:val="top"/>
          </w:tcPr>
          <w:p w14:paraId="2A65EE81">
            <w:pPr>
              <w:spacing w:before="119" w:line="195" w:lineRule="auto"/>
              <w:ind w:left="4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920</w:t>
            </w:r>
          </w:p>
        </w:tc>
        <w:tc>
          <w:tcPr>
            <w:tcW w:w="1396" w:type="dxa"/>
            <w:vAlign w:val="top"/>
          </w:tcPr>
          <w:p w14:paraId="6A8BA681">
            <w:pPr>
              <w:spacing w:before="119" w:line="195" w:lineRule="auto"/>
              <w:ind w:left="5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920</w:t>
            </w:r>
          </w:p>
        </w:tc>
        <w:tc>
          <w:tcPr>
            <w:tcW w:w="1344" w:type="dxa"/>
            <w:vAlign w:val="top"/>
          </w:tcPr>
          <w:p w14:paraId="6071E353">
            <w:pPr>
              <w:pStyle w:val="6"/>
              <w:spacing w:before="83" w:line="231" w:lineRule="auto"/>
              <w:ind w:left="377"/>
              <w:rPr>
                <w:sz w:val="20"/>
                <w:szCs w:val="20"/>
              </w:rPr>
            </w:pPr>
            <w:r>
              <w:rPr>
                <w:spacing w:val="4"/>
                <w:sz w:val="20"/>
                <w:szCs w:val="20"/>
              </w:rPr>
              <w:t>无变化</w:t>
            </w:r>
          </w:p>
        </w:tc>
        <w:tc>
          <w:tcPr>
            <w:tcW w:w="1192" w:type="dxa"/>
            <w:vMerge w:val="restart"/>
            <w:tcBorders>
              <w:bottom w:val="nil"/>
              <w:right w:val="single" w:color="000000" w:sz="10" w:space="0"/>
            </w:tcBorders>
            <w:vAlign w:val="top"/>
          </w:tcPr>
          <w:p w14:paraId="0D1BD16E">
            <w:pPr>
              <w:spacing w:line="302" w:lineRule="auto"/>
              <w:rPr>
                <w:rFonts w:ascii="Arial"/>
                <w:sz w:val="21"/>
              </w:rPr>
            </w:pPr>
          </w:p>
          <w:p w14:paraId="13685F62">
            <w:pPr>
              <w:spacing w:line="302" w:lineRule="auto"/>
              <w:rPr>
                <w:rFonts w:ascii="Arial"/>
                <w:sz w:val="21"/>
              </w:rPr>
            </w:pPr>
          </w:p>
          <w:p w14:paraId="7DF0C620">
            <w:pPr>
              <w:spacing w:line="303" w:lineRule="auto"/>
              <w:rPr>
                <w:rFonts w:ascii="Arial"/>
                <w:sz w:val="21"/>
              </w:rPr>
            </w:pPr>
          </w:p>
          <w:p w14:paraId="4AFCC259">
            <w:pPr>
              <w:pStyle w:val="6"/>
              <w:spacing w:before="65" w:line="229" w:lineRule="auto"/>
              <w:ind w:left="297"/>
              <w:rPr>
                <w:sz w:val="20"/>
                <w:szCs w:val="20"/>
              </w:rPr>
            </w:pPr>
            <w:r>
              <w:rPr>
                <w:spacing w:val="4"/>
                <w:sz w:val="20"/>
                <w:szCs w:val="20"/>
              </w:rPr>
              <w:t>预期性</w:t>
            </w:r>
          </w:p>
        </w:tc>
      </w:tr>
      <w:tr w14:paraId="423F10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715" w:type="dxa"/>
            <w:vMerge w:val="continue"/>
            <w:tcBorders>
              <w:top w:val="nil"/>
              <w:left w:val="single" w:color="000000" w:sz="10" w:space="0"/>
              <w:bottom w:val="nil"/>
            </w:tcBorders>
            <w:vAlign w:val="top"/>
          </w:tcPr>
          <w:p w14:paraId="3B53F3C2">
            <w:pPr>
              <w:rPr>
                <w:rFonts w:ascii="Arial"/>
                <w:sz w:val="21"/>
              </w:rPr>
            </w:pPr>
          </w:p>
        </w:tc>
        <w:tc>
          <w:tcPr>
            <w:tcW w:w="1960" w:type="dxa"/>
            <w:vAlign w:val="top"/>
          </w:tcPr>
          <w:p w14:paraId="2506D42D">
            <w:pPr>
              <w:pStyle w:val="6"/>
              <w:spacing w:before="89" w:line="234" w:lineRule="auto"/>
              <w:ind w:left="359"/>
              <w:rPr>
                <w:sz w:val="20"/>
                <w:szCs w:val="20"/>
              </w:rPr>
            </w:pPr>
            <w:r>
              <w:rPr>
                <w:spacing w:val="4"/>
                <w:sz w:val="20"/>
                <w:szCs w:val="20"/>
              </w:rPr>
              <w:t>萤石（普通）</w:t>
            </w:r>
          </w:p>
        </w:tc>
        <w:tc>
          <w:tcPr>
            <w:tcW w:w="1671" w:type="dxa"/>
            <w:vAlign w:val="top"/>
          </w:tcPr>
          <w:p w14:paraId="1E85325E">
            <w:pPr>
              <w:pStyle w:val="6"/>
              <w:spacing w:before="89" w:line="234" w:lineRule="auto"/>
              <w:ind w:left="607"/>
              <w:rPr>
                <w:rFonts w:ascii="Times New Roman" w:hAnsi="Times New Roman" w:eastAsia="Times New Roman" w:cs="Times New Roman"/>
                <w:sz w:val="20"/>
                <w:szCs w:val="20"/>
              </w:rPr>
            </w:pPr>
            <w:r>
              <w:rPr>
                <w:spacing w:val="-1"/>
                <w:sz w:val="20"/>
                <w:szCs w:val="20"/>
              </w:rPr>
              <w:t>万</w:t>
            </w:r>
            <w:r>
              <w:rPr>
                <w:spacing w:val="-41"/>
                <w:sz w:val="20"/>
                <w:szCs w:val="20"/>
              </w:rPr>
              <w:t xml:space="preserve"> </w:t>
            </w:r>
            <w:r>
              <w:rPr>
                <w:rFonts w:ascii="Times New Roman" w:hAnsi="Times New Roman" w:eastAsia="Times New Roman" w:cs="Times New Roman"/>
                <w:spacing w:val="-1"/>
                <w:sz w:val="20"/>
                <w:szCs w:val="20"/>
              </w:rPr>
              <w:t>t/a</w:t>
            </w:r>
          </w:p>
        </w:tc>
        <w:tc>
          <w:tcPr>
            <w:tcW w:w="1222" w:type="dxa"/>
            <w:vAlign w:val="top"/>
          </w:tcPr>
          <w:p w14:paraId="1B386A19">
            <w:pPr>
              <w:spacing w:before="125" w:line="195" w:lineRule="auto"/>
              <w:ind w:left="512"/>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396" w:type="dxa"/>
            <w:vAlign w:val="top"/>
          </w:tcPr>
          <w:p w14:paraId="2872CF77">
            <w:pPr>
              <w:spacing w:before="125" w:line="195" w:lineRule="auto"/>
              <w:ind w:left="603"/>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344" w:type="dxa"/>
            <w:vAlign w:val="top"/>
          </w:tcPr>
          <w:p w14:paraId="36AA9675">
            <w:pPr>
              <w:pStyle w:val="6"/>
              <w:spacing w:before="89" w:line="231" w:lineRule="auto"/>
              <w:ind w:left="377"/>
              <w:rPr>
                <w:sz w:val="20"/>
                <w:szCs w:val="20"/>
              </w:rPr>
            </w:pPr>
            <w:r>
              <w:rPr>
                <w:spacing w:val="4"/>
                <w:sz w:val="20"/>
                <w:szCs w:val="20"/>
              </w:rPr>
              <w:t>无变化</w:t>
            </w:r>
          </w:p>
        </w:tc>
        <w:tc>
          <w:tcPr>
            <w:tcW w:w="1192" w:type="dxa"/>
            <w:vMerge w:val="continue"/>
            <w:tcBorders>
              <w:top w:val="nil"/>
              <w:bottom w:val="nil"/>
              <w:right w:val="single" w:color="000000" w:sz="10" w:space="0"/>
            </w:tcBorders>
            <w:vAlign w:val="top"/>
          </w:tcPr>
          <w:p w14:paraId="4242F548">
            <w:pPr>
              <w:rPr>
                <w:rFonts w:ascii="Arial"/>
                <w:sz w:val="21"/>
              </w:rPr>
            </w:pPr>
          </w:p>
        </w:tc>
      </w:tr>
      <w:tr w14:paraId="0B923E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715" w:type="dxa"/>
            <w:vMerge w:val="continue"/>
            <w:tcBorders>
              <w:top w:val="nil"/>
              <w:left w:val="single" w:color="000000" w:sz="10" w:space="0"/>
              <w:bottom w:val="nil"/>
            </w:tcBorders>
            <w:vAlign w:val="top"/>
          </w:tcPr>
          <w:p w14:paraId="1A520904">
            <w:pPr>
              <w:rPr>
                <w:rFonts w:ascii="Arial"/>
                <w:sz w:val="21"/>
              </w:rPr>
            </w:pPr>
          </w:p>
        </w:tc>
        <w:tc>
          <w:tcPr>
            <w:tcW w:w="1960" w:type="dxa"/>
            <w:vAlign w:val="top"/>
          </w:tcPr>
          <w:p w14:paraId="26850DDC">
            <w:pPr>
              <w:pStyle w:val="6"/>
              <w:spacing w:before="194" w:line="232" w:lineRule="auto"/>
              <w:ind w:left="674"/>
              <w:rPr>
                <w:sz w:val="20"/>
                <w:szCs w:val="20"/>
              </w:rPr>
            </w:pPr>
            <w:r>
              <w:rPr>
                <w:spacing w:val="2"/>
                <w:sz w:val="20"/>
                <w:szCs w:val="20"/>
              </w:rPr>
              <w:t>重晶石</w:t>
            </w:r>
          </w:p>
        </w:tc>
        <w:tc>
          <w:tcPr>
            <w:tcW w:w="1671" w:type="dxa"/>
            <w:vAlign w:val="top"/>
          </w:tcPr>
          <w:p w14:paraId="3E329A8D">
            <w:pPr>
              <w:pStyle w:val="6"/>
              <w:spacing w:before="195" w:line="234" w:lineRule="auto"/>
              <w:ind w:left="607"/>
              <w:rPr>
                <w:rFonts w:ascii="Times New Roman" w:hAnsi="Times New Roman" w:eastAsia="Times New Roman" w:cs="Times New Roman"/>
                <w:sz w:val="20"/>
                <w:szCs w:val="20"/>
              </w:rPr>
            </w:pPr>
            <w:r>
              <w:rPr>
                <w:spacing w:val="-1"/>
                <w:sz w:val="20"/>
                <w:szCs w:val="20"/>
              </w:rPr>
              <w:t>万</w:t>
            </w:r>
            <w:r>
              <w:rPr>
                <w:spacing w:val="-41"/>
                <w:sz w:val="20"/>
                <w:szCs w:val="20"/>
              </w:rPr>
              <w:t xml:space="preserve"> </w:t>
            </w:r>
            <w:r>
              <w:rPr>
                <w:rFonts w:ascii="Times New Roman" w:hAnsi="Times New Roman" w:eastAsia="Times New Roman" w:cs="Times New Roman"/>
                <w:spacing w:val="-1"/>
                <w:sz w:val="20"/>
                <w:szCs w:val="20"/>
              </w:rPr>
              <w:t>t/a</w:t>
            </w:r>
          </w:p>
        </w:tc>
        <w:tc>
          <w:tcPr>
            <w:tcW w:w="1222" w:type="dxa"/>
            <w:vAlign w:val="top"/>
          </w:tcPr>
          <w:p w14:paraId="71FA3F76">
            <w:pPr>
              <w:spacing w:before="231" w:line="195" w:lineRule="auto"/>
              <w:ind w:left="511"/>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396" w:type="dxa"/>
            <w:vAlign w:val="top"/>
          </w:tcPr>
          <w:p w14:paraId="59FBD21E">
            <w:pPr>
              <w:spacing w:before="231" w:line="195" w:lineRule="auto"/>
              <w:ind w:left="602"/>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344" w:type="dxa"/>
            <w:vAlign w:val="top"/>
          </w:tcPr>
          <w:p w14:paraId="683A140E">
            <w:pPr>
              <w:pStyle w:val="6"/>
              <w:spacing w:before="195" w:line="231" w:lineRule="auto"/>
              <w:ind w:left="377"/>
              <w:rPr>
                <w:sz w:val="20"/>
                <w:szCs w:val="20"/>
              </w:rPr>
            </w:pPr>
            <w:r>
              <w:rPr>
                <w:spacing w:val="4"/>
                <w:sz w:val="20"/>
                <w:szCs w:val="20"/>
              </w:rPr>
              <w:t>无变化</w:t>
            </w:r>
          </w:p>
        </w:tc>
        <w:tc>
          <w:tcPr>
            <w:tcW w:w="1192" w:type="dxa"/>
            <w:vMerge w:val="continue"/>
            <w:tcBorders>
              <w:top w:val="nil"/>
              <w:bottom w:val="nil"/>
              <w:right w:val="single" w:color="000000" w:sz="10" w:space="0"/>
            </w:tcBorders>
            <w:vAlign w:val="top"/>
          </w:tcPr>
          <w:p w14:paraId="5C2ED196">
            <w:pPr>
              <w:rPr>
                <w:rFonts w:ascii="Arial"/>
                <w:sz w:val="21"/>
              </w:rPr>
            </w:pPr>
          </w:p>
        </w:tc>
      </w:tr>
      <w:tr w14:paraId="01A270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715" w:type="dxa"/>
            <w:vMerge w:val="continue"/>
            <w:tcBorders>
              <w:top w:val="nil"/>
              <w:left w:val="single" w:color="000000" w:sz="10" w:space="0"/>
              <w:bottom w:val="nil"/>
            </w:tcBorders>
            <w:vAlign w:val="top"/>
          </w:tcPr>
          <w:p w14:paraId="7D44C089">
            <w:pPr>
              <w:rPr>
                <w:rFonts w:ascii="Arial"/>
                <w:sz w:val="21"/>
              </w:rPr>
            </w:pPr>
          </w:p>
        </w:tc>
        <w:tc>
          <w:tcPr>
            <w:tcW w:w="1960" w:type="dxa"/>
            <w:vAlign w:val="top"/>
          </w:tcPr>
          <w:p w14:paraId="69D118FC">
            <w:pPr>
              <w:pStyle w:val="6"/>
              <w:spacing w:before="93" w:line="232" w:lineRule="auto"/>
              <w:ind w:left="458"/>
              <w:rPr>
                <w:sz w:val="20"/>
                <w:szCs w:val="20"/>
              </w:rPr>
            </w:pPr>
            <w:r>
              <w:rPr>
                <w:spacing w:val="7"/>
                <w:sz w:val="20"/>
                <w:szCs w:val="20"/>
              </w:rPr>
              <w:t>水泥用灰岩</w:t>
            </w:r>
          </w:p>
        </w:tc>
        <w:tc>
          <w:tcPr>
            <w:tcW w:w="1671" w:type="dxa"/>
            <w:vAlign w:val="top"/>
          </w:tcPr>
          <w:p w14:paraId="2C0CB73C">
            <w:pPr>
              <w:pStyle w:val="6"/>
              <w:spacing w:before="94" w:line="234" w:lineRule="auto"/>
              <w:ind w:left="607"/>
              <w:rPr>
                <w:rFonts w:ascii="Times New Roman" w:hAnsi="Times New Roman" w:eastAsia="Times New Roman" w:cs="Times New Roman"/>
                <w:sz w:val="20"/>
                <w:szCs w:val="20"/>
              </w:rPr>
            </w:pPr>
            <w:r>
              <w:rPr>
                <w:spacing w:val="-1"/>
                <w:sz w:val="20"/>
                <w:szCs w:val="20"/>
              </w:rPr>
              <w:t>万</w:t>
            </w:r>
            <w:r>
              <w:rPr>
                <w:spacing w:val="-41"/>
                <w:sz w:val="20"/>
                <w:szCs w:val="20"/>
              </w:rPr>
              <w:t xml:space="preserve"> </w:t>
            </w:r>
            <w:r>
              <w:rPr>
                <w:rFonts w:ascii="Times New Roman" w:hAnsi="Times New Roman" w:eastAsia="Times New Roman" w:cs="Times New Roman"/>
                <w:spacing w:val="-1"/>
                <w:sz w:val="20"/>
                <w:szCs w:val="20"/>
              </w:rPr>
              <w:t>t/a</w:t>
            </w:r>
          </w:p>
        </w:tc>
        <w:tc>
          <w:tcPr>
            <w:tcW w:w="1222" w:type="dxa"/>
            <w:vAlign w:val="top"/>
          </w:tcPr>
          <w:p w14:paraId="50D04736">
            <w:pPr>
              <w:spacing w:before="130" w:line="195" w:lineRule="auto"/>
              <w:ind w:left="4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3500</w:t>
            </w:r>
          </w:p>
        </w:tc>
        <w:tc>
          <w:tcPr>
            <w:tcW w:w="1396" w:type="dxa"/>
            <w:vAlign w:val="top"/>
          </w:tcPr>
          <w:p w14:paraId="6553ECA3">
            <w:pPr>
              <w:spacing w:before="130" w:line="195" w:lineRule="auto"/>
              <w:ind w:left="4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3500</w:t>
            </w:r>
          </w:p>
        </w:tc>
        <w:tc>
          <w:tcPr>
            <w:tcW w:w="1344" w:type="dxa"/>
            <w:vAlign w:val="top"/>
          </w:tcPr>
          <w:p w14:paraId="184A6AA4">
            <w:pPr>
              <w:pStyle w:val="6"/>
              <w:spacing w:before="94" w:line="231" w:lineRule="auto"/>
              <w:ind w:left="377"/>
              <w:rPr>
                <w:sz w:val="20"/>
                <w:szCs w:val="20"/>
              </w:rPr>
            </w:pPr>
            <w:r>
              <w:rPr>
                <w:spacing w:val="4"/>
                <w:sz w:val="20"/>
                <w:szCs w:val="20"/>
              </w:rPr>
              <w:t>无变化</w:t>
            </w:r>
          </w:p>
        </w:tc>
        <w:tc>
          <w:tcPr>
            <w:tcW w:w="1192" w:type="dxa"/>
            <w:vMerge w:val="continue"/>
            <w:tcBorders>
              <w:top w:val="nil"/>
              <w:bottom w:val="nil"/>
              <w:right w:val="single" w:color="000000" w:sz="10" w:space="0"/>
            </w:tcBorders>
            <w:vAlign w:val="top"/>
          </w:tcPr>
          <w:p w14:paraId="6BE7CE65">
            <w:pPr>
              <w:rPr>
                <w:rFonts w:ascii="Arial"/>
                <w:sz w:val="21"/>
              </w:rPr>
            </w:pPr>
          </w:p>
        </w:tc>
      </w:tr>
      <w:tr w14:paraId="20E5BC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715" w:type="dxa"/>
            <w:vMerge w:val="continue"/>
            <w:tcBorders>
              <w:top w:val="nil"/>
              <w:left w:val="single" w:color="000000" w:sz="10" w:space="0"/>
            </w:tcBorders>
            <w:vAlign w:val="top"/>
          </w:tcPr>
          <w:p w14:paraId="374218B3">
            <w:pPr>
              <w:rPr>
                <w:rFonts w:ascii="Arial"/>
                <w:sz w:val="21"/>
              </w:rPr>
            </w:pPr>
          </w:p>
        </w:tc>
        <w:tc>
          <w:tcPr>
            <w:tcW w:w="1960" w:type="dxa"/>
            <w:vAlign w:val="top"/>
          </w:tcPr>
          <w:p w14:paraId="635420EB">
            <w:pPr>
              <w:pStyle w:val="6"/>
              <w:spacing w:before="108" w:line="232" w:lineRule="auto"/>
              <w:ind w:left="459"/>
              <w:rPr>
                <w:sz w:val="20"/>
                <w:szCs w:val="20"/>
              </w:rPr>
            </w:pPr>
            <w:r>
              <w:rPr>
                <w:spacing w:val="6"/>
                <w:sz w:val="20"/>
                <w:szCs w:val="20"/>
              </w:rPr>
              <w:t>饰面用灰岩</w:t>
            </w:r>
          </w:p>
        </w:tc>
        <w:tc>
          <w:tcPr>
            <w:tcW w:w="1671" w:type="dxa"/>
            <w:vAlign w:val="top"/>
          </w:tcPr>
          <w:p w14:paraId="3F7FF616">
            <w:pPr>
              <w:pStyle w:val="6"/>
              <w:spacing w:before="109" w:line="234" w:lineRule="auto"/>
              <w:ind w:left="523"/>
              <w:rPr>
                <w:rFonts w:ascii="Times New Roman" w:hAnsi="Times New Roman" w:eastAsia="Times New Roman" w:cs="Times New Roman"/>
                <w:sz w:val="20"/>
                <w:szCs w:val="20"/>
              </w:rPr>
            </w:pPr>
            <w:r>
              <w:rPr>
                <w:spacing w:val="1"/>
                <w:sz w:val="20"/>
                <w:szCs w:val="20"/>
              </w:rPr>
              <w:t>万</w:t>
            </w:r>
            <w:r>
              <w:rPr>
                <w:spacing w:val="-42"/>
                <w:sz w:val="20"/>
                <w:szCs w:val="20"/>
              </w:rPr>
              <w:t xml:space="preserve"> </w:t>
            </w:r>
            <w:r>
              <w:rPr>
                <w:rFonts w:ascii="Times New Roman" w:hAnsi="Times New Roman" w:eastAsia="Times New Roman" w:cs="Times New Roman"/>
                <w:spacing w:val="1"/>
                <w:sz w:val="20"/>
                <w:szCs w:val="20"/>
              </w:rPr>
              <w:t>m</w:t>
            </w:r>
            <w:r>
              <w:rPr>
                <w:rFonts w:ascii="Times New Roman" w:hAnsi="Times New Roman" w:eastAsia="Times New Roman" w:cs="Times New Roman"/>
                <w:spacing w:val="1"/>
                <w:position w:val="6"/>
                <w:sz w:val="13"/>
                <w:szCs w:val="13"/>
              </w:rPr>
              <w:t>3</w:t>
            </w:r>
            <w:r>
              <w:rPr>
                <w:rFonts w:ascii="Times New Roman" w:hAnsi="Times New Roman" w:eastAsia="Times New Roman" w:cs="Times New Roman"/>
                <w:spacing w:val="1"/>
                <w:sz w:val="20"/>
                <w:szCs w:val="20"/>
              </w:rPr>
              <w:t>/a</w:t>
            </w:r>
          </w:p>
        </w:tc>
        <w:tc>
          <w:tcPr>
            <w:tcW w:w="1222" w:type="dxa"/>
            <w:vAlign w:val="top"/>
          </w:tcPr>
          <w:p w14:paraId="2CCB44DD">
            <w:pPr>
              <w:spacing w:before="146" w:line="195" w:lineRule="auto"/>
              <w:ind w:left="47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140</w:t>
            </w:r>
          </w:p>
        </w:tc>
        <w:tc>
          <w:tcPr>
            <w:tcW w:w="1396" w:type="dxa"/>
            <w:vAlign w:val="top"/>
          </w:tcPr>
          <w:p w14:paraId="40294237">
            <w:pPr>
              <w:spacing w:before="146" w:line="195" w:lineRule="auto"/>
              <w:ind w:left="5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140</w:t>
            </w:r>
          </w:p>
        </w:tc>
        <w:tc>
          <w:tcPr>
            <w:tcW w:w="1344" w:type="dxa"/>
            <w:vAlign w:val="top"/>
          </w:tcPr>
          <w:p w14:paraId="01063FB5">
            <w:pPr>
              <w:pStyle w:val="6"/>
              <w:spacing w:before="108" w:line="231" w:lineRule="auto"/>
              <w:ind w:left="377"/>
              <w:rPr>
                <w:sz w:val="20"/>
                <w:szCs w:val="20"/>
              </w:rPr>
            </w:pPr>
            <w:r>
              <w:rPr>
                <w:spacing w:val="4"/>
                <w:sz w:val="20"/>
                <w:szCs w:val="20"/>
              </w:rPr>
              <w:t>无变化</w:t>
            </w:r>
          </w:p>
        </w:tc>
        <w:tc>
          <w:tcPr>
            <w:tcW w:w="1192" w:type="dxa"/>
            <w:vMerge w:val="continue"/>
            <w:tcBorders>
              <w:top w:val="nil"/>
              <w:right w:val="single" w:color="000000" w:sz="10" w:space="0"/>
            </w:tcBorders>
            <w:vAlign w:val="top"/>
          </w:tcPr>
          <w:p w14:paraId="1E135577">
            <w:pPr>
              <w:rPr>
                <w:rFonts w:ascii="Arial"/>
                <w:sz w:val="21"/>
              </w:rPr>
            </w:pPr>
          </w:p>
        </w:tc>
      </w:tr>
      <w:tr w14:paraId="1602AD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715" w:type="dxa"/>
            <w:vMerge w:val="restart"/>
            <w:tcBorders>
              <w:left w:val="single" w:color="000000" w:sz="10" w:space="0"/>
              <w:bottom w:val="nil"/>
            </w:tcBorders>
            <w:vAlign w:val="top"/>
          </w:tcPr>
          <w:p w14:paraId="30908A38">
            <w:pPr>
              <w:spacing w:line="267" w:lineRule="auto"/>
              <w:rPr>
                <w:rFonts w:ascii="Arial"/>
                <w:sz w:val="21"/>
              </w:rPr>
            </w:pPr>
          </w:p>
          <w:p w14:paraId="3EC9B74B">
            <w:pPr>
              <w:spacing w:line="267" w:lineRule="auto"/>
              <w:rPr>
                <w:rFonts w:ascii="Arial"/>
                <w:sz w:val="21"/>
              </w:rPr>
            </w:pPr>
          </w:p>
          <w:p w14:paraId="099D9205">
            <w:pPr>
              <w:spacing w:line="267" w:lineRule="auto"/>
              <w:rPr>
                <w:rFonts w:ascii="Arial"/>
                <w:sz w:val="21"/>
              </w:rPr>
            </w:pPr>
          </w:p>
          <w:p w14:paraId="078DC179">
            <w:pPr>
              <w:spacing w:line="267" w:lineRule="auto"/>
              <w:rPr>
                <w:rFonts w:ascii="Arial"/>
                <w:sz w:val="21"/>
              </w:rPr>
            </w:pPr>
          </w:p>
          <w:p w14:paraId="75FF3D5B">
            <w:pPr>
              <w:pStyle w:val="6"/>
              <w:spacing w:before="65" w:line="232" w:lineRule="auto"/>
              <w:ind w:left="143"/>
              <w:rPr>
                <w:sz w:val="20"/>
                <w:szCs w:val="20"/>
              </w:rPr>
            </w:pPr>
            <w:r>
              <w:rPr>
                <w:spacing w:val="2"/>
                <w:sz w:val="20"/>
                <w:szCs w:val="20"/>
              </w:rPr>
              <w:t>矿山</w:t>
            </w:r>
          </w:p>
          <w:p w14:paraId="6D6A6891">
            <w:pPr>
              <w:pStyle w:val="6"/>
              <w:spacing w:before="19" w:line="231" w:lineRule="auto"/>
              <w:ind w:left="143"/>
              <w:rPr>
                <w:sz w:val="20"/>
                <w:szCs w:val="20"/>
              </w:rPr>
            </w:pPr>
            <w:r>
              <w:rPr>
                <w:spacing w:val="2"/>
                <w:sz w:val="20"/>
                <w:szCs w:val="20"/>
              </w:rPr>
              <w:t>开采</w:t>
            </w:r>
          </w:p>
          <w:p w14:paraId="7B3DC8BE">
            <w:pPr>
              <w:pStyle w:val="6"/>
              <w:spacing w:before="23" w:line="234" w:lineRule="auto"/>
              <w:ind w:left="152"/>
              <w:rPr>
                <w:sz w:val="20"/>
                <w:szCs w:val="20"/>
              </w:rPr>
            </w:pPr>
            <w:r>
              <w:rPr>
                <w:spacing w:val="-3"/>
                <w:sz w:val="20"/>
                <w:szCs w:val="20"/>
              </w:rPr>
              <w:t>总量</w:t>
            </w:r>
          </w:p>
        </w:tc>
        <w:tc>
          <w:tcPr>
            <w:tcW w:w="1960" w:type="dxa"/>
            <w:vAlign w:val="top"/>
          </w:tcPr>
          <w:p w14:paraId="3AA9D8EC">
            <w:pPr>
              <w:pStyle w:val="6"/>
              <w:spacing w:before="95" w:line="232" w:lineRule="auto"/>
              <w:ind w:left="668"/>
              <w:rPr>
                <w:sz w:val="20"/>
                <w:szCs w:val="20"/>
              </w:rPr>
            </w:pPr>
            <w:r>
              <w:rPr>
                <w:spacing w:val="4"/>
                <w:sz w:val="20"/>
                <w:szCs w:val="20"/>
              </w:rPr>
              <w:t>铝土矿</w:t>
            </w:r>
          </w:p>
        </w:tc>
        <w:tc>
          <w:tcPr>
            <w:tcW w:w="1671" w:type="dxa"/>
            <w:vAlign w:val="top"/>
          </w:tcPr>
          <w:p w14:paraId="1EC37BE1">
            <w:pPr>
              <w:pStyle w:val="6"/>
              <w:spacing w:before="91" w:line="234" w:lineRule="auto"/>
              <w:ind w:left="607"/>
              <w:rPr>
                <w:rFonts w:ascii="Times New Roman" w:hAnsi="Times New Roman" w:eastAsia="Times New Roman" w:cs="Times New Roman"/>
                <w:sz w:val="20"/>
                <w:szCs w:val="20"/>
              </w:rPr>
            </w:pPr>
            <w:r>
              <w:rPr>
                <w:spacing w:val="-1"/>
                <w:sz w:val="20"/>
                <w:szCs w:val="20"/>
              </w:rPr>
              <w:t>万</w:t>
            </w:r>
            <w:r>
              <w:rPr>
                <w:spacing w:val="-41"/>
                <w:sz w:val="20"/>
                <w:szCs w:val="20"/>
              </w:rPr>
              <w:t xml:space="preserve"> </w:t>
            </w:r>
            <w:r>
              <w:rPr>
                <w:rFonts w:ascii="Times New Roman" w:hAnsi="Times New Roman" w:eastAsia="Times New Roman" w:cs="Times New Roman"/>
                <w:spacing w:val="-1"/>
                <w:sz w:val="20"/>
                <w:szCs w:val="20"/>
              </w:rPr>
              <w:t>t/a</w:t>
            </w:r>
          </w:p>
        </w:tc>
        <w:tc>
          <w:tcPr>
            <w:tcW w:w="1222" w:type="dxa"/>
            <w:vAlign w:val="top"/>
          </w:tcPr>
          <w:p w14:paraId="77133B29">
            <w:pPr>
              <w:spacing w:before="131" w:line="195" w:lineRule="auto"/>
              <w:ind w:left="511"/>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396" w:type="dxa"/>
            <w:vAlign w:val="top"/>
          </w:tcPr>
          <w:p w14:paraId="46DEEF86">
            <w:pPr>
              <w:spacing w:before="131" w:line="195" w:lineRule="auto"/>
              <w:ind w:left="602"/>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344" w:type="dxa"/>
            <w:vAlign w:val="top"/>
          </w:tcPr>
          <w:p w14:paraId="7BED69AD">
            <w:pPr>
              <w:pStyle w:val="6"/>
              <w:spacing w:before="95" w:line="231" w:lineRule="auto"/>
              <w:ind w:left="377"/>
              <w:rPr>
                <w:sz w:val="20"/>
                <w:szCs w:val="20"/>
              </w:rPr>
            </w:pPr>
            <w:r>
              <w:rPr>
                <w:spacing w:val="4"/>
                <w:sz w:val="20"/>
                <w:szCs w:val="20"/>
              </w:rPr>
              <w:t>无变化</w:t>
            </w:r>
          </w:p>
        </w:tc>
        <w:tc>
          <w:tcPr>
            <w:tcW w:w="1192" w:type="dxa"/>
            <w:vMerge w:val="restart"/>
            <w:tcBorders>
              <w:bottom w:val="nil"/>
              <w:right w:val="single" w:color="000000" w:sz="10" w:space="0"/>
            </w:tcBorders>
            <w:vAlign w:val="top"/>
          </w:tcPr>
          <w:p w14:paraId="1360FF9B">
            <w:pPr>
              <w:spacing w:line="304" w:lineRule="auto"/>
              <w:rPr>
                <w:rFonts w:ascii="Arial"/>
                <w:sz w:val="21"/>
              </w:rPr>
            </w:pPr>
          </w:p>
          <w:p w14:paraId="36A0DA2A">
            <w:pPr>
              <w:pStyle w:val="6"/>
              <w:spacing w:before="65" w:line="229" w:lineRule="auto"/>
              <w:ind w:left="297"/>
              <w:rPr>
                <w:sz w:val="20"/>
                <w:szCs w:val="20"/>
              </w:rPr>
            </w:pPr>
            <w:r>
              <w:rPr>
                <w:spacing w:val="4"/>
                <w:sz w:val="20"/>
                <w:szCs w:val="20"/>
              </w:rPr>
              <w:t>预期性</w:t>
            </w:r>
          </w:p>
        </w:tc>
      </w:tr>
      <w:tr w14:paraId="2CDE60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715" w:type="dxa"/>
            <w:vMerge w:val="continue"/>
            <w:tcBorders>
              <w:top w:val="nil"/>
              <w:left w:val="single" w:color="000000" w:sz="10" w:space="0"/>
              <w:bottom w:val="nil"/>
            </w:tcBorders>
            <w:vAlign w:val="top"/>
          </w:tcPr>
          <w:p w14:paraId="15CA9ED2">
            <w:pPr>
              <w:rPr>
                <w:rFonts w:ascii="Arial"/>
                <w:sz w:val="21"/>
              </w:rPr>
            </w:pPr>
          </w:p>
        </w:tc>
        <w:tc>
          <w:tcPr>
            <w:tcW w:w="1960" w:type="dxa"/>
            <w:vAlign w:val="top"/>
          </w:tcPr>
          <w:p w14:paraId="019619C2">
            <w:pPr>
              <w:pStyle w:val="6"/>
              <w:spacing w:before="48" w:line="226" w:lineRule="auto"/>
              <w:ind w:left="789" w:right="149" w:hanging="641"/>
              <w:rPr>
                <w:sz w:val="20"/>
                <w:szCs w:val="20"/>
              </w:rPr>
            </w:pPr>
            <w:r>
              <w:rPr>
                <w:spacing w:val="2"/>
                <w:sz w:val="20"/>
                <w:szCs w:val="20"/>
              </w:rPr>
              <w:t>萤石（普通）</w:t>
            </w:r>
            <w:r>
              <w:rPr>
                <w:spacing w:val="-60"/>
                <w:sz w:val="20"/>
                <w:szCs w:val="20"/>
              </w:rPr>
              <w:t xml:space="preserve"> </w:t>
            </w:r>
            <w:r>
              <w:rPr>
                <w:spacing w:val="2"/>
                <w:sz w:val="20"/>
                <w:szCs w:val="20"/>
              </w:rPr>
              <w:t>、重</w:t>
            </w:r>
            <w:r>
              <w:rPr>
                <w:sz w:val="20"/>
                <w:szCs w:val="20"/>
              </w:rPr>
              <w:t xml:space="preserve"> </w:t>
            </w:r>
            <w:r>
              <w:rPr>
                <w:spacing w:val="-7"/>
                <w:sz w:val="20"/>
                <w:szCs w:val="20"/>
              </w:rPr>
              <w:t>晶石</w:t>
            </w:r>
          </w:p>
        </w:tc>
        <w:tc>
          <w:tcPr>
            <w:tcW w:w="1671" w:type="dxa"/>
            <w:vAlign w:val="top"/>
          </w:tcPr>
          <w:p w14:paraId="5DC40EDF">
            <w:pPr>
              <w:pStyle w:val="6"/>
              <w:spacing w:before="180" w:line="234" w:lineRule="auto"/>
              <w:ind w:left="607"/>
              <w:rPr>
                <w:rFonts w:ascii="Times New Roman" w:hAnsi="Times New Roman" w:eastAsia="Times New Roman" w:cs="Times New Roman"/>
                <w:sz w:val="20"/>
                <w:szCs w:val="20"/>
              </w:rPr>
            </w:pPr>
            <w:r>
              <w:rPr>
                <w:spacing w:val="-1"/>
                <w:sz w:val="20"/>
                <w:szCs w:val="20"/>
              </w:rPr>
              <w:t>万</w:t>
            </w:r>
            <w:r>
              <w:rPr>
                <w:spacing w:val="-41"/>
                <w:sz w:val="20"/>
                <w:szCs w:val="20"/>
              </w:rPr>
              <w:t xml:space="preserve"> </w:t>
            </w:r>
            <w:r>
              <w:rPr>
                <w:rFonts w:ascii="Times New Roman" w:hAnsi="Times New Roman" w:eastAsia="Times New Roman" w:cs="Times New Roman"/>
                <w:spacing w:val="-1"/>
                <w:sz w:val="20"/>
                <w:szCs w:val="20"/>
              </w:rPr>
              <w:t>t/a</w:t>
            </w:r>
          </w:p>
        </w:tc>
        <w:tc>
          <w:tcPr>
            <w:tcW w:w="1222" w:type="dxa"/>
            <w:vAlign w:val="top"/>
          </w:tcPr>
          <w:p w14:paraId="4DF02405">
            <w:pPr>
              <w:spacing w:before="220" w:line="195" w:lineRule="auto"/>
              <w:ind w:left="4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24.5</w:t>
            </w:r>
          </w:p>
        </w:tc>
        <w:tc>
          <w:tcPr>
            <w:tcW w:w="1396" w:type="dxa"/>
            <w:vAlign w:val="top"/>
          </w:tcPr>
          <w:p w14:paraId="10617200">
            <w:pPr>
              <w:spacing w:before="220" w:line="195" w:lineRule="auto"/>
              <w:ind w:left="5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24.5</w:t>
            </w:r>
          </w:p>
        </w:tc>
        <w:tc>
          <w:tcPr>
            <w:tcW w:w="1344" w:type="dxa"/>
            <w:vAlign w:val="top"/>
          </w:tcPr>
          <w:p w14:paraId="7D184902">
            <w:pPr>
              <w:pStyle w:val="6"/>
              <w:spacing w:before="181" w:line="231" w:lineRule="auto"/>
              <w:ind w:left="377"/>
              <w:rPr>
                <w:sz w:val="20"/>
                <w:szCs w:val="20"/>
              </w:rPr>
            </w:pPr>
            <w:r>
              <w:rPr>
                <w:spacing w:val="4"/>
                <w:sz w:val="20"/>
                <w:szCs w:val="20"/>
              </w:rPr>
              <w:t>无变化</w:t>
            </w:r>
          </w:p>
        </w:tc>
        <w:tc>
          <w:tcPr>
            <w:tcW w:w="1192" w:type="dxa"/>
            <w:vMerge w:val="continue"/>
            <w:tcBorders>
              <w:top w:val="nil"/>
              <w:right w:val="single" w:color="000000" w:sz="10" w:space="0"/>
            </w:tcBorders>
            <w:vAlign w:val="top"/>
          </w:tcPr>
          <w:p w14:paraId="0C39897B">
            <w:pPr>
              <w:rPr>
                <w:rFonts w:ascii="Arial"/>
                <w:sz w:val="21"/>
              </w:rPr>
            </w:pPr>
          </w:p>
        </w:tc>
      </w:tr>
      <w:tr w14:paraId="430CDA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715" w:type="dxa"/>
            <w:vMerge w:val="continue"/>
            <w:tcBorders>
              <w:top w:val="nil"/>
              <w:left w:val="single" w:color="000000" w:sz="10" w:space="0"/>
              <w:bottom w:val="nil"/>
            </w:tcBorders>
            <w:vAlign w:val="top"/>
          </w:tcPr>
          <w:p w14:paraId="6937FB8F">
            <w:pPr>
              <w:rPr>
                <w:rFonts w:ascii="Arial"/>
                <w:sz w:val="21"/>
              </w:rPr>
            </w:pPr>
          </w:p>
        </w:tc>
        <w:tc>
          <w:tcPr>
            <w:tcW w:w="1960" w:type="dxa"/>
            <w:vAlign w:val="top"/>
          </w:tcPr>
          <w:p w14:paraId="18877B93">
            <w:pPr>
              <w:pStyle w:val="6"/>
              <w:spacing w:before="101" w:line="232" w:lineRule="auto"/>
              <w:ind w:left="458"/>
              <w:rPr>
                <w:sz w:val="20"/>
                <w:szCs w:val="20"/>
              </w:rPr>
            </w:pPr>
            <w:r>
              <w:rPr>
                <w:spacing w:val="7"/>
                <w:sz w:val="20"/>
                <w:szCs w:val="20"/>
              </w:rPr>
              <w:t>水泥用灰岩</w:t>
            </w:r>
          </w:p>
        </w:tc>
        <w:tc>
          <w:tcPr>
            <w:tcW w:w="1671" w:type="dxa"/>
            <w:vAlign w:val="top"/>
          </w:tcPr>
          <w:p w14:paraId="5A7F003A">
            <w:pPr>
              <w:pStyle w:val="6"/>
              <w:spacing w:before="99" w:line="234" w:lineRule="auto"/>
              <w:ind w:left="607"/>
              <w:rPr>
                <w:rFonts w:ascii="Times New Roman" w:hAnsi="Times New Roman" w:eastAsia="Times New Roman" w:cs="Times New Roman"/>
                <w:sz w:val="20"/>
                <w:szCs w:val="20"/>
              </w:rPr>
            </w:pPr>
            <w:r>
              <w:rPr>
                <w:spacing w:val="-1"/>
                <w:sz w:val="20"/>
                <w:szCs w:val="20"/>
              </w:rPr>
              <w:t>万</w:t>
            </w:r>
            <w:r>
              <w:rPr>
                <w:spacing w:val="-41"/>
                <w:sz w:val="20"/>
                <w:szCs w:val="20"/>
              </w:rPr>
              <w:t xml:space="preserve"> </w:t>
            </w:r>
            <w:r>
              <w:rPr>
                <w:rFonts w:ascii="Times New Roman" w:hAnsi="Times New Roman" w:eastAsia="Times New Roman" w:cs="Times New Roman"/>
                <w:spacing w:val="-1"/>
                <w:sz w:val="20"/>
                <w:szCs w:val="20"/>
              </w:rPr>
              <w:t>t/a</w:t>
            </w:r>
          </w:p>
        </w:tc>
        <w:tc>
          <w:tcPr>
            <w:tcW w:w="1222" w:type="dxa"/>
            <w:vAlign w:val="top"/>
          </w:tcPr>
          <w:p w14:paraId="51F54324">
            <w:pPr>
              <w:spacing w:before="137" w:line="195" w:lineRule="auto"/>
              <w:ind w:left="4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350</w:t>
            </w:r>
          </w:p>
        </w:tc>
        <w:tc>
          <w:tcPr>
            <w:tcW w:w="1396" w:type="dxa"/>
            <w:vAlign w:val="top"/>
          </w:tcPr>
          <w:p w14:paraId="66DF5606">
            <w:pPr>
              <w:spacing w:before="137" w:line="195" w:lineRule="auto"/>
              <w:ind w:left="5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350</w:t>
            </w:r>
          </w:p>
        </w:tc>
        <w:tc>
          <w:tcPr>
            <w:tcW w:w="1344" w:type="dxa"/>
            <w:vAlign w:val="top"/>
          </w:tcPr>
          <w:p w14:paraId="636CF37D">
            <w:pPr>
              <w:pStyle w:val="6"/>
              <w:spacing w:before="101" w:line="231" w:lineRule="auto"/>
              <w:ind w:left="377"/>
              <w:rPr>
                <w:sz w:val="20"/>
                <w:szCs w:val="20"/>
              </w:rPr>
            </w:pPr>
            <w:r>
              <w:rPr>
                <w:spacing w:val="4"/>
                <w:sz w:val="20"/>
                <w:szCs w:val="20"/>
              </w:rPr>
              <w:t>无变化</w:t>
            </w:r>
          </w:p>
        </w:tc>
        <w:tc>
          <w:tcPr>
            <w:tcW w:w="1192" w:type="dxa"/>
            <w:vMerge w:val="restart"/>
            <w:tcBorders>
              <w:bottom w:val="nil"/>
              <w:right w:val="single" w:color="000000" w:sz="10" w:space="0"/>
            </w:tcBorders>
            <w:vAlign w:val="top"/>
          </w:tcPr>
          <w:p w14:paraId="29920F7E">
            <w:pPr>
              <w:pStyle w:val="6"/>
              <w:spacing w:before="276" w:line="229" w:lineRule="auto"/>
              <w:ind w:left="297"/>
              <w:rPr>
                <w:sz w:val="20"/>
                <w:szCs w:val="20"/>
              </w:rPr>
            </w:pPr>
            <w:r>
              <w:rPr>
                <w:spacing w:val="4"/>
                <w:sz w:val="20"/>
                <w:szCs w:val="20"/>
              </w:rPr>
              <w:t>约束性</w:t>
            </w:r>
          </w:p>
        </w:tc>
      </w:tr>
      <w:tr w14:paraId="5169CA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715" w:type="dxa"/>
            <w:vMerge w:val="continue"/>
            <w:tcBorders>
              <w:top w:val="nil"/>
              <w:left w:val="single" w:color="000000" w:sz="10" w:space="0"/>
              <w:bottom w:val="nil"/>
            </w:tcBorders>
            <w:vAlign w:val="top"/>
          </w:tcPr>
          <w:p w14:paraId="6C607A7A">
            <w:pPr>
              <w:rPr>
                <w:rFonts w:ascii="Arial"/>
                <w:sz w:val="21"/>
              </w:rPr>
            </w:pPr>
          </w:p>
        </w:tc>
        <w:tc>
          <w:tcPr>
            <w:tcW w:w="1960" w:type="dxa"/>
            <w:vAlign w:val="top"/>
          </w:tcPr>
          <w:p w14:paraId="67E1C3C4">
            <w:pPr>
              <w:pStyle w:val="6"/>
              <w:spacing w:before="86" w:line="229" w:lineRule="auto"/>
              <w:ind w:left="247"/>
              <w:rPr>
                <w:sz w:val="20"/>
                <w:szCs w:val="20"/>
              </w:rPr>
            </w:pPr>
            <w:r>
              <w:rPr>
                <w:spacing w:val="7"/>
                <w:sz w:val="20"/>
                <w:szCs w:val="20"/>
              </w:rPr>
              <w:t>建筑石料用灰岩</w:t>
            </w:r>
          </w:p>
        </w:tc>
        <w:tc>
          <w:tcPr>
            <w:tcW w:w="1671" w:type="dxa"/>
            <w:vAlign w:val="top"/>
          </w:tcPr>
          <w:p w14:paraId="79F5F414">
            <w:pPr>
              <w:pStyle w:val="6"/>
              <w:spacing w:before="84" w:line="233" w:lineRule="auto"/>
              <w:ind w:left="607"/>
              <w:rPr>
                <w:rFonts w:ascii="Times New Roman" w:hAnsi="Times New Roman" w:eastAsia="Times New Roman" w:cs="Times New Roman"/>
                <w:sz w:val="20"/>
                <w:szCs w:val="20"/>
              </w:rPr>
            </w:pPr>
            <w:r>
              <w:rPr>
                <w:spacing w:val="-1"/>
                <w:sz w:val="20"/>
                <w:szCs w:val="20"/>
              </w:rPr>
              <w:t>万</w:t>
            </w:r>
            <w:r>
              <w:rPr>
                <w:spacing w:val="-41"/>
                <w:sz w:val="20"/>
                <w:szCs w:val="20"/>
              </w:rPr>
              <w:t xml:space="preserve"> </w:t>
            </w:r>
            <w:r>
              <w:rPr>
                <w:rFonts w:ascii="Times New Roman" w:hAnsi="Times New Roman" w:eastAsia="Times New Roman" w:cs="Times New Roman"/>
                <w:spacing w:val="-1"/>
                <w:sz w:val="20"/>
                <w:szCs w:val="20"/>
              </w:rPr>
              <w:t>t/a</w:t>
            </w:r>
          </w:p>
        </w:tc>
        <w:tc>
          <w:tcPr>
            <w:tcW w:w="1222" w:type="dxa"/>
            <w:vAlign w:val="top"/>
          </w:tcPr>
          <w:p w14:paraId="013A3C37">
            <w:pPr>
              <w:spacing w:before="122" w:line="195" w:lineRule="auto"/>
              <w:ind w:left="4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700</w:t>
            </w:r>
          </w:p>
        </w:tc>
        <w:tc>
          <w:tcPr>
            <w:tcW w:w="1396" w:type="dxa"/>
            <w:vAlign w:val="top"/>
          </w:tcPr>
          <w:p w14:paraId="7FF9488F">
            <w:pPr>
              <w:spacing w:before="122" w:line="195" w:lineRule="auto"/>
              <w:ind w:left="5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700</w:t>
            </w:r>
          </w:p>
        </w:tc>
        <w:tc>
          <w:tcPr>
            <w:tcW w:w="1344" w:type="dxa"/>
            <w:vAlign w:val="top"/>
          </w:tcPr>
          <w:p w14:paraId="312F8D42">
            <w:pPr>
              <w:pStyle w:val="6"/>
              <w:spacing w:before="86" w:line="231" w:lineRule="auto"/>
              <w:ind w:left="377"/>
              <w:rPr>
                <w:sz w:val="20"/>
                <w:szCs w:val="20"/>
              </w:rPr>
            </w:pPr>
            <w:r>
              <w:rPr>
                <w:spacing w:val="4"/>
                <w:sz w:val="20"/>
                <w:szCs w:val="20"/>
              </w:rPr>
              <w:t>无变化</w:t>
            </w:r>
          </w:p>
        </w:tc>
        <w:tc>
          <w:tcPr>
            <w:tcW w:w="1192" w:type="dxa"/>
            <w:vMerge w:val="continue"/>
            <w:tcBorders>
              <w:top w:val="nil"/>
              <w:right w:val="single" w:color="000000" w:sz="10" w:space="0"/>
            </w:tcBorders>
            <w:vAlign w:val="top"/>
          </w:tcPr>
          <w:p w14:paraId="5490F6FB">
            <w:pPr>
              <w:rPr>
                <w:rFonts w:ascii="Arial"/>
                <w:sz w:val="21"/>
              </w:rPr>
            </w:pPr>
          </w:p>
        </w:tc>
      </w:tr>
      <w:tr w14:paraId="4A8D61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715" w:type="dxa"/>
            <w:vMerge w:val="continue"/>
            <w:tcBorders>
              <w:top w:val="nil"/>
              <w:left w:val="single" w:color="000000" w:sz="10" w:space="0"/>
              <w:bottom w:val="nil"/>
            </w:tcBorders>
            <w:vAlign w:val="top"/>
          </w:tcPr>
          <w:p w14:paraId="0C383B83">
            <w:pPr>
              <w:rPr>
                <w:rFonts w:ascii="Arial"/>
                <w:sz w:val="21"/>
              </w:rPr>
            </w:pPr>
          </w:p>
        </w:tc>
        <w:tc>
          <w:tcPr>
            <w:tcW w:w="1960" w:type="dxa"/>
            <w:vAlign w:val="top"/>
          </w:tcPr>
          <w:p w14:paraId="7399EBE1">
            <w:pPr>
              <w:pStyle w:val="6"/>
              <w:spacing w:before="152" w:line="232" w:lineRule="auto"/>
              <w:ind w:left="459"/>
              <w:rPr>
                <w:sz w:val="20"/>
                <w:szCs w:val="20"/>
              </w:rPr>
            </w:pPr>
            <w:r>
              <w:rPr>
                <w:spacing w:val="6"/>
                <w:sz w:val="20"/>
                <w:szCs w:val="20"/>
              </w:rPr>
              <w:t>饰面用灰岩</w:t>
            </w:r>
          </w:p>
        </w:tc>
        <w:tc>
          <w:tcPr>
            <w:tcW w:w="1671" w:type="dxa"/>
            <w:vAlign w:val="top"/>
          </w:tcPr>
          <w:p w14:paraId="192FEC54">
            <w:pPr>
              <w:pStyle w:val="6"/>
              <w:spacing w:before="150" w:line="234" w:lineRule="auto"/>
              <w:ind w:left="523"/>
              <w:rPr>
                <w:rFonts w:ascii="Times New Roman" w:hAnsi="Times New Roman" w:eastAsia="Times New Roman" w:cs="Times New Roman"/>
                <w:sz w:val="20"/>
                <w:szCs w:val="20"/>
              </w:rPr>
            </w:pPr>
            <w:r>
              <w:rPr>
                <w:spacing w:val="1"/>
                <w:sz w:val="20"/>
                <w:szCs w:val="20"/>
              </w:rPr>
              <w:t>万</w:t>
            </w:r>
            <w:r>
              <w:rPr>
                <w:spacing w:val="-42"/>
                <w:sz w:val="20"/>
                <w:szCs w:val="20"/>
              </w:rPr>
              <w:t xml:space="preserve"> </w:t>
            </w:r>
            <w:r>
              <w:rPr>
                <w:rFonts w:ascii="Times New Roman" w:hAnsi="Times New Roman" w:eastAsia="Times New Roman" w:cs="Times New Roman"/>
                <w:spacing w:val="1"/>
                <w:sz w:val="20"/>
                <w:szCs w:val="20"/>
              </w:rPr>
              <w:t>m</w:t>
            </w:r>
            <w:r>
              <w:rPr>
                <w:rFonts w:ascii="Times New Roman" w:hAnsi="Times New Roman" w:eastAsia="Times New Roman" w:cs="Times New Roman"/>
                <w:spacing w:val="1"/>
                <w:position w:val="6"/>
                <w:sz w:val="13"/>
                <w:szCs w:val="13"/>
              </w:rPr>
              <w:t>3</w:t>
            </w:r>
            <w:r>
              <w:rPr>
                <w:rFonts w:ascii="Times New Roman" w:hAnsi="Times New Roman" w:eastAsia="Times New Roman" w:cs="Times New Roman"/>
                <w:spacing w:val="1"/>
                <w:sz w:val="20"/>
                <w:szCs w:val="20"/>
              </w:rPr>
              <w:t>/a</w:t>
            </w:r>
          </w:p>
        </w:tc>
        <w:tc>
          <w:tcPr>
            <w:tcW w:w="1222" w:type="dxa"/>
            <w:vAlign w:val="top"/>
          </w:tcPr>
          <w:p w14:paraId="5C523D0C">
            <w:pPr>
              <w:spacing w:before="188" w:line="195" w:lineRule="auto"/>
              <w:ind w:left="55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396" w:type="dxa"/>
            <w:vAlign w:val="top"/>
          </w:tcPr>
          <w:p w14:paraId="04FA7AF4">
            <w:pPr>
              <w:spacing w:before="188" w:line="195" w:lineRule="auto"/>
              <w:ind w:left="64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344" w:type="dxa"/>
            <w:vAlign w:val="top"/>
          </w:tcPr>
          <w:p w14:paraId="3A259470">
            <w:pPr>
              <w:pStyle w:val="6"/>
              <w:spacing w:before="151" w:line="231" w:lineRule="auto"/>
              <w:ind w:left="377"/>
              <w:rPr>
                <w:sz w:val="20"/>
                <w:szCs w:val="20"/>
              </w:rPr>
            </w:pPr>
            <w:r>
              <w:rPr>
                <w:spacing w:val="4"/>
                <w:sz w:val="20"/>
                <w:szCs w:val="20"/>
              </w:rPr>
              <w:t>无变化</w:t>
            </w:r>
          </w:p>
        </w:tc>
        <w:tc>
          <w:tcPr>
            <w:tcW w:w="1192" w:type="dxa"/>
            <w:vMerge w:val="restart"/>
            <w:tcBorders>
              <w:bottom w:val="nil"/>
              <w:right w:val="single" w:color="000000" w:sz="10" w:space="0"/>
            </w:tcBorders>
            <w:vAlign w:val="top"/>
          </w:tcPr>
          <w:p w14:paraId="5E820BC2">
            <w:pPr>
              <w:spacing w:line="256" w:lineRule="auto"/>
              <w:rPr>
                <w:rFonts w:ascii="Arial"/>
                <w:sz w:val="21"/>
              </w:rPr>
            </w:pPr>
          </w:p>
          <w:p w14:paraId="4FFCCFFC">
            <w:pPr>
              <w:spacing w:line="257" w:lineRule="auto"/>
              <w:rPr>
                <w:rFonts w:ascii="Arial"/>
                <w:sz w:val="21"/>
              </w:rPr>
            </w:pPr>
          </w:p>
          <w:p w14:paraId="420207AB">
            <w:pPr>
              <w:pStyle w:val="6"/>
              <w:spacing w:before="65" w:line="229" w:lineRule="auto"/>
              <w:ind w:left="297"/>
              <w:rPr>
                <w:sz w:val="20"/>
                <w:szCs w:val="20"/>
              </w:rPr>
            </w:pPr>
            <w:r>
              <w:rPr>
                <w:spacing w:val="4"/>
                <w:sz w:val="20"/>
                <w:szCs w:val="20"/>
              </w:rPr>
              <w:t>预期性</w:t>
            </w:r>
          </w:p>
        </w:tc>
      </w:tr>
      <w:tr w14:paraId="6CFC4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715" w:type="dxa"/>
            <w:vMerge w:val="continue"/>
            <w:tcBorders>
              <w:top w:val="nil"/>
              <w:left w:val="single" w:color="000000" w:sz="10" w:space="0"/>
              <w:bottom w:val="nil"/>
            </w:tcBorders>
            <w:vAlign w:val="top"/>
          </w:tcPr>
          <w:p w14:paraId="72320A45">
            <w:pPr>
              <w:rPr>
                <w:rFonts w:ascii="Arial"/>
                <w:sz w:val="21"/>
              </w:rPr>
            </w:pPr>
          </w:p>
        </w:tc>
        <w:tc>
          <w:tcPr>
            <w:tcW w:w="1960" w:type="dxa"/>
            <w:vAlign w:val="top"/>
          </w:tcPr>
          <w:p w14:paraId="15F5AE79">
            <w:pPr>
              <w:pStyle w:val="6"/>
              <w:spacing w:before="101" w:line="232" w:lineRule="auto"/>
              <w:ind w:left="458"/>
              <w:rPr>
                <w:sz w:val="20"/>
                <w:szCs w:val="20"/>
              </w:rPr>
            </w:pPr>
            <w:r>
              <w:rPr>
                <w:spacing w:val="7"/>
                <w:sz w:val="20"/>
                <w:szCs w:val="20"/>
              </w:rPr>
              <w:t>铸型用砂岩</w:t>
            </w:r>
          </w:p>
        </w:tc>
        <w:tc>
          <w:tcPr>
            <w:tcW w:w="1671" w:type="dxa"/>
            <w:vAlign w:val="top"/>
          </w:tcPr>
          <w:p w14:paraId="6DAFA1AD">
            <w:pPr>
              <w:pStyle w:val="6"/>
              <w:spacing w:before="99" w:line="234" w:lineRule="auto"/>
              <w:ind w:left="607"/>
              <w:rPr>
                <w:rFonts w:ascii="Times New Roman" w:hAnsi="Times New Roman" w:eastAsia="Times New Roman" w:cs="Times New Roman"/>
                <w:sz w:val="20"/>
                <w:szCs w:val="20"/>
              </w:rPr>
            </w:pPr>
            <w:r>
              <w:rPr>
                <w:spacing w:val="-1"/>
                <w:sz w:val="20"/>
                <w:szCs w:val="20"/>
              </w:rPr>
              <w:t>万</w:t>
            </w:r>
            <w:r>
              <w:rPr>
                <w:spacing w:val="-41"/>
                <w:sz w:val="20"/>
                <w:szCs w:val="20"/>
              </w:rPr>
              <w:t xml:space="preserve"> </w:t>
            </w:r>
            <w:r>
              <w:rPr>
                <w:rFonts w:ascii="Times New Roman" w:hAnsi="Times New Roman" w:eastAsia="Times New Roman" w:cs="Times New Roman"/>
                <w:spacing w:val="-1"/>
                <w:sz w:val="20"/>
                <w:szCs w:val="20"/>
              </w:rPr>
              <w:t>t/a</w:t>
            </w:r>
          </w:p>
        </w:tc>
        <w:tc>
          <w:tcPr>
            <w:tcW w:w="1222" w:type="dxa"/>
            <w:vAlign w:val="top"/>
          </w:tcPr>
          <w:p w14:paraId="59AD5AC4">
            <w:pPr>
              <w:spacing w:before="137" w:line="195" w:lineRule="auto"/>
              <w:ind w:left="52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396" w:type="dxa"/>
            <w:vAlign w:val="top"/>
          </w:tcPr>
          <w:p w14:paraId="524F09D1">
            <w:pPr>
              <w:spacing w:before="137" w:line="195" w:lineRule="auto"/>
              <w:ind w:left="61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344" w:type="dxa"/>
            <w:vAlign w:val="top"/>
          </w:tcPr>
          <w:p w14:paraId="51FE47C2">
            <w:pPr>
              <w:pStyle w:val="6"/>
              <w:spacing w:before="101" w:line="231" w:lineRule="auto"/>
              <w:ind w:left="377"/>
              <w:rPr>
                <w:sz w:val="20"/>
                <w:szCs w:val="20"/>
              </w:rPr>
            </w:pPr>
            <w:r>
              <w:rPr>
                <w:spacing w:val="4"/>
                <w:sz w:val="20"/>
                <w:szCs w:val="20"/>
              </w:rPr>
              <w:t>无变化</w:t>
            </w:r>
          </w:p>
        </w:tc>
        <w:tc>
          <w:tcPr>
            <w:tcW w:w="1192" w:type="dxa"/>
            <w:vMerge w:val="continue"/>
            <w:tcBorders>
              <w:top w:val="nil"/>
              <w:bottom w:val="nil"/>
              <w:right w:val="single" w:color="000000" w:sz="10" w:space="0"/>
            </w:tcBorders>
            <w:vAlign w:val="top"/>
          </w:tcPr>
          <w:p w14:paraId="12450D8D">
            <w:pPr>
              <w:rPr>
                <w:rFonts w:ascii="Arial"/>
                <w:sz w:val="21"/>
              </w:rPr>
            </w:pPr>
          </w:p>
        </w:tc>
      </w:tr>
      <w:tr w14:paraId="7CF65E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715" w:type="dxa"/>
            <w:vMerge w:val="continue"/>
            <w:tcBorders>
              <w:top w:val="nil"/>
              <w:left w:val="single" w:color="000000" w:sz="10" w:space="0"/>
              <w:bottom w:val="single" w:color="000000" w:sz="10" w:space="0"/>
            </w:tcBorders>
            <w:vAlign w:val="top"/>
          </w:tcPr>
          <w:p w14:paraId="34923DC0">
            <w:pPr>
              <w:rPr>
                <w:rFonts w:ascii="Arial"/>
                <w:sz w:val="21"/>
              </w:rPr>
            </w:pPr>
          </w:p>
        </w:tc>
        <w:tc>
          <w:tcPr>
            <w:tcW w:w="1960" w:type="dxa"/>
            <w:tcBorders>
              <w:bottom w:val="single" w:color="000000" w:sz="10" w:space="0"/>
            </w:tcBorders>
            <w:vAlign w:val="top"/>
          </w:tcPr>
          <w:p w14:paraId="5767F5EE">
            <w:pPr>
              <w:pStyle w:val="6"/>
              <w:spacing w:before="155" w:line="232" w:lineRule="auto"/>
              <w:ind w:left="458"/>
              <w:rPr>
                <w:sz w:val="20"/>
                <w:szCs w:val="20"/>
              </w:rPr>
            </w:pPr>
            <w:r>
              <w:rPr>
                <w:spacing w:val="7"/>
                <w:sz w:val="20"/>
                <w:szCs w:val="20"/>
              </w:rPr>
              <w:t>建筑用砂岩</w:t>
            </w:r>
          </w:p>
        </w:tc>
        <w:tc>
          <w:tcPr>
            <w:tcW w:w="1671" w:type="dxa"/>
            <w:tcBorders>
              <w:bottom w:val="single" w:color="000000" w:sz="10" w:space="0"/>
            </w:tcBorders>
            <w:vAlign w:val="top"/>
          </w:tcPr>
          <w:p w14:paraId="762D7350">
            <w:pPr>
              <w:pStyle w:val="6"/>
              <w:spacing w:before="153" w:line="234" w:lineRule="auto"/>
              <w:ind w:left="607"/>
              <w:rPr>
                <w:rFonts w:ascii="Times New Roman" w:hAnsi="Times New Roman" w:eastAsia="Times New Roman" w:cs="Times New Roman"/>
                <w:sz w:val="20"/>
                <w:szCs w:val="20"/>
              </w:rPr>
            </w:pPr>
            <w:r>
              <w:rPr>
                <w:spacing w:val="-1"/>
                <w:sz w:val="20"/>
                <w:szCs w:val="20"/>
              </w:rPr>
              <w:t>万</w:t>
            </w:r>
            <w:r>
              <w:rPr>
                <w:spacing w:val="-41"/>
                <w:sz w:val="20"/>
                <w:szCs w:val="20"/>
              </w:rPr>
              <w:t xml:space="preserve"> </w:t>
            </w:r>
            <w:r>
              <w:rPr>
                <w:rFonts w:ascii="Times New Roman" w:hAnsi="Times New Roman" w:eastAsia="Times New Roman" w:cs="Times New Roman"/>
                <w:spacing w:val="-1"/>
                <w:sz w:val="20"/>
                <w:szCs w:val="20"/>
              </w:rPr>
              <w:t>t/a</w:t>
            </w:r>
          </w:p>
        </w:tc>
        <w:tc>
          <w:tcPr>
            <w:tcW w:w="1222" w:type="dxa"/>
            <w:tcBorders>
              <w:bottom w:val="single" w:color="000000" w:sz="10" w:space="0"/>
            </w:tcBorders>
            <w:vAlign w:val="top"/>
          </w:tcPr>
          <w:p w14:paraId="719CF884">
            <w:pPr>
              <w:spacing w:before="191" w:line="195" w:lineRule="auto"/>
              <w:ind w:left="52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396" w:type="dxa"/>
            <w:tcBorders>
              <w:bottom w:val="single" w:color="000000" w:sz="10" w:space="0"/>
            </w:tcBorders>
            <w:vAlign w:val="top"/>
          </w:tcPr>
          <w:p w14:paraId="056F3B25">
            <w:pPr>
              <w:spacing w:before="191" w:line="195" w:lineRule="auto"/>
              <w:ind w:left="61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344" w:type="dxa"/>
            <w:tcBorders>
              <w:bottom w:val="single" w:color="000000" w:sz="10" w:space="0"/>
            </w:tcBorders>
            <w:vAlign w:val="top"/>
          </w:tcPr>
          <w:p w14:paraId="40C90C00">
            <w:pPr>
              <w:pStyle w:val="6"/>
              <w:spacing w:before="155" w:line="231" w:lineRule="auto"/>
              <w:ind w:left="377"/>
              <w:rPr>
                <w:sz w:val="20"/>
                <w:szCs w:val="20"/>
              </w:rPr>
            </w:pPr>
            <w:r>
              <w:rPr>
                <w:spacing w:val="4"/>
                <w:sz w:val="20"/>
                <w:szCs w:val="20"/>
              </w:rPr>
              <w:t>无变化</w:t>
            </w:r>
          </w:p>
        </w:tc>
        <w:tc>
          <w:tcPr>
            <w:tcW w:w="1192" w:type="dxa"/>
            <w:vMerge w:val="continue"/>
            <w:tcBorders>
              <w:top w:val="nil"/>
              <w:bottom w:val="single" w:color="000000" w:sz="10" w:space="0"/>
              <w:right w:val="single" w:color="000000" w:sz="10" w:space="0"/>
            </w:tcBorders>
            <w:vAlign w:val="top"/>
          </w:tcPr>
          <w:p w14:paraId="08D19A75">
            <w:pPr>
              <w:rPr>
                <w:rFonts w:ascii="Arial"/>
                <w:sz w:val="21"/>
              </w:rPr>
            </w:pPr>
          </w:p>
        </w:tc>
      </w:tr>
    </w:tbl>
    <w:p w14:paraId="41E4F3B6">
      <w:pPr>
        <w:pStyle w:val="2"/>
      </w:pPr>
    </w:p>
    <w:p w14:paraId="494F6327">
      <w:pPr>
        <w:sectPr>
          <w:headerReference r:id="rId57" w:type="default"/>
          <w:footerReference r:id="rId58" w:type="default"/>
          <w:pgSz w:w="11906" w:h="16839"/>
          <w:pgMar w:top="1116" w:right="1133" w:bottom="1480" w:left="1246" w:header="683" w:footer="1318" w:gutter="0"/>
          <w:cols w:space="720" w:num="1"/>
        </w:sectPr>
      </w:pPr>
    </w:p>
    <w:p w14:paraId="67CA2A2F">
      <w:pPr>
        <w:spacing w:before="82"/>
      </w:pPr>
    </w:p>
    <w:tbl>
      <w:tblPr>
        <w:tblStyle w:val="5"/>
        <w:tblW w:w="9500" w:type="dxa"/>
        <w:tblInd w:w="4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5"/>
        <w:gridCol w:w="1960"/>
        <w:gridCol w:w="1671"/>
        <w:gridCol w:w="1222"/>
        <w:gridCol w:w="1396"/>
        <w:gridCol w:w="1344"/>
        <w:gridCol w:w="1192"/>
      </w:tblGrid>
      <w:tr w14:paraId="7F4FD0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715" w:type="dxa"/>
            <w:tcBorders>
              <w:top w:val="single" w:color="000000" w:sz="10" w:space="0"/>
              <w:left w:val="single" w:color="000000" w:sz="10" w:space="0"/>
            </w:tcBorders>
            <w:vAlign w:val="top"/>
          </w:tcPr>
          <w:p w14:paraId="173CEDA6">
            <w:pPr>
              <w:pStyle w:val="6"/>
              <w:spacing w:before="36" w:line="232" w:lineRule="auto"/>
              <w:ind w:left="143"/>
              <w:rPr>
                <w:sz w:val="20"/>
                <w:szCs w:val="20"/>
              </w:rPr>
            </w:pPr>
            <w:r>
              <w:rPr>
                <w:spacing w:val="2"/>
                <w:sz w:val="20"/>
                <w:szCs w:val="20"/>
              </w:rPr>
              <w:t>矿山</w:t>
            </w:r>
          </w:p>
          <w:p w14:paraId="23F1D528">
            <w:pPr>
              <w:pStyle w:val="6"/>
              <w:spacing w:before="19" w:line="203" w:lineRule="auto"/>
              <w:ind w:left="152"/>
              <w:rPr>
                <w:sz w:val="20"/>
                <w:szCs w:val="20"/>
              </w:rPr>
            </w:pPr>
            <w:r>
              <w:rPr>
                <w:spacing w:val="-3"/>
                <w:sz w:val="20"/>
                <w:szCs w:val="20"/>
              </w:rPr>
              <w:t>总数</w:t>
            </w:r>
          </w:p>
        </w:tc>
        <w:tc>
          <w:tcPr>
            <w:tcW w:w="1960" w:type="dxa"/>
            <w:tcBorders>
              <w:top w:val="single" w:color="000000" w:sz="10" w:space="0"/>
            </w:tcBorders>
            <w:vAlign w:val="top"/>
          </w:tcPr>
          <w:p w14:paraId="7472E039">
            <w:pPr>
              <w:spacing w:before="298" w:line="96" w:lineRule="exact"/>
              <w:ind w:left="863"/>
              <w:rPr>
                <w:rFonts w:ascii="Times New Roman" w:hAnsi="Times New Roman" w:eastAsia="Times New Roman" w:cs="Times New Roman"/>
                <w:sz w:val="20"/>
                <w:szCs w:val="20"/>
              </w:rPr>
            </w:pPr>
            <w:r>
              <w:rPr>
                <w:rFonts w:ascii="Times New Roman" w:hAnsi="Times New Roman" w:eastAsia="Times New Roman" w:cs="Times New Roman"/>
                <w:spacing w:val="12"/>
                <w:position w:val="-2"/>
                <w:sz w:val="20"/>
                <w:szCs w:val="20"/>
              </w:rPr>
              <w:t>—</w:t>
            </w:r>
          </w:p>
        </w:tc>
        <w:tc>
          <w:tcPr>
            <w:tcW w:w="1671" w:type="dxa"/>
            <w:tcBorders>
              <w:top w:val="single" w:color="000000" w:sz="10" w:space="0"/>
            </w:tcBorders>
            <w:vAlign w:val="top"/>
          </w:tcPr>
          <w:p w14:paraId="575EE041">
            <w:pPr>
              <w:pStyle w:val="6"/>
              <w:spacing w:before="170" w:line="232" w:lineRule="auto"/>
              <w:ind w:left="738"/>
              <w:rPr>
                <w:sz w:val="20"/>
                <w:szCs w:val="20"/>
              </w:rPr>
            </w:pPr>
            <w:r>
              <w:rPr>
                <w:sz w:val="20"/>
                <w:szCs w:val="20"/>
              </w:rPr>
              <w:t>个</w:t>
            </w:r>
          </w:p>
        </w:tc>
        <w:tc>
          <w:tcPr>
            <w:tcW w:w="1222" w:type="dxa"/>
            <w:tcBorders>
              <w:top w:val="single" w:color="000000" w:sz="10" w:space="0"/>
            </w:tcBorders>
            <w:vAlign w:val="top"/>
          </w:tcPr>
          <w:p w14:paraId="5A7C7D97">
            <w:pPr>
              <w:spacing w:before="209" w:line="195" w:lineRule="auto"/>
              <w:ind w:left="50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1396" w:type="dxa"/>
            <w:tcBorders>
              <w:top w:val="single" w:color="000000" w:sz="10" w:space="0"/>
            </w:tcBorders>
            <w:vAlign w:val="top"/>
          </w:tcPr>
          <w:p w14:paraId="2EB6EAAE">
            <w:pPr>
              <w:spacing w:before="209" w:line="195" w:lineRule="auto"/>
              <w:ind w:left="5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1344" w:type="dxa"/>
            <w:tcBorders>
              <w:top w:val="single" w:color="000000" w:sz="10" w:space="0"/>
            </w:tcBorders>
            <w:vAlign w:val="top"/>
          </w:tcPr>
          <w:p w14:paraId="011E8537">
            <w:pPr>
              <w:pStyle w:val="6"/>
              <w:spacing w:before="170" w:line="231" w:lineRule="auto"/>
              <w:ind w:left="377"/>
              <w:rPr>
                <w:sz w:val="20"/>
                <w:szCs w:val="20"/>
              </w:rPr>
            </w:pPr>
            <w:r>
              <w:rPr>
                <w:spacing w:val="4"/>
                <w:sz w:val="20"/>
                <w:szCs w:val="20"/>
              </w:rPr>
              <w:t>无变化</w:t>
            </w:r>
          </w:p>
        </w:tc>
        <w:tc>
          <w:tcPr>
            <w:tcW w:w="1192" w:type="dxa"/>
            <w:vMerge w:val="restart"/>
            <w:tcBorders>
              <w:top w:val="single" w:color="000000" w:sz="10" w:space="0"/>
              <w:bottom w:val="nil"/>
              <w:right w:val="single" w:color="000000" w:sz="10" w:space="0"/>
            </w:tcBorders>
            <w:vAlign w:val="top"/>
          </w:tcPr>
          <w:p w14:paraId="3B2B0E9F">
            <w:pPr>
              <w:spacing w:line="245" w:lineRule="auto"/>
              <w:rPr>
                <w:rFonts w:ascii="Arial"/>
                <w:sz w:val="21"/>
              </w:rPr>
            </w:pPr>
          </w:p>
          <w:p w14:paraId="0E3B1CA5">
            <w:pPr>
              <w:pStyle w:val="6"/>
              <w:spacing w:before="65" w:line="229" w:lineRule="auto"/>
              <w:ind w:left="297"/>
              <w:rPr>
                <w:sz w:val="20"/>
                <w:szCs w:val="20"/>
              </w:rPr>
            </w:pPr>
            <w:r>
              <w:rPr>
                <w:spacing w:val="4"/>
                <w:sz w:val="20"/>
                <w:szCs w:val="20"/>
              </w:rPr>
              <w:t>约束性</w:t>
            </w:r>
          </w:p>
        </w:tc>
      </w:tr>
      <w:tr w14:paraId="5DBD5A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2675" w:type="dxa"/>
            <w:gridSpan w:val="2"/>
            <w:tcBorders>
              <w:left w:val="single" w:color="000000" w:sz="10" w:space="0"/>
              <w:bottom w:val="single" w:color="000000" w:sz="10" w:space="0"/>
            </w:tcBorders>
            <w:vAlign w:val="top"/>
          </w:tcPr>
          <w:p w14:paraId="6A8D4458">
            <w:pPr>
              <w:pStyle w:val="6"/>
              <w:spacing w:before="47" w:line="216" w:lineRule="auto"/>
              <w:ind w:left="604"/>
              <w:rPr>
                <w:sz w:val="20"/>
                <w:szCs w:val="20"/>
              </w:rPr>
            </w:pPr>
            <w:r>
              <w:rPr>
                <w:spacing w:val="7"/>
                <w:sz w:val="20"/>
                <w:szCs w:val="20"/>
              </w:rPr>
              <w:t>大中型矿山比例</w:t>
            </w:r>
          </w:p>
        </w:tc>
        <w:tc>
          <w:tcPr>
            <w:tcW w:w="1671" w:type="dxa"/>
            <w:tcBorders>
              <w:bottom w:val="single" w:color="000000" w:sz="10" w:space="0"/>
            </w:tcBorders>
            <w:vAlign w:val="top"/>
          </w:tcPr>
          <w:p w14:paraId="3EC99A6C">
            <w:pPr>
              <w:spacing w:before="83" w:line="195" w:lineRule="auto"/>
              <w:ind w:left="750"/>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222" w:type="dxa"/>
            <w:tcBorders>
              <w:bottom w:val="single" w:color="000000" w:sz="10" w:space="0"/>
            </w:tcBorders>
            <w:vAlign w:val="top"/>
          </w:tcPr>
          <w:p w14:paraId="6CC588DC">
            <w:pPr>
              <w:spacing w:before="83" w:line="195" w:lineRule="auto"/>
              <w:ind w:left="511"/>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396" w:type="dxa"/>
            <w:tcBorders>
              <w:bottom w:val="single" w:color="000000" w:sz="10" w:space="0"/>
            </w:tcBorders>
            <w:vAlign w:val="top"/>
          </w:tcPr>
          <w:p w14:paraId="1069F3BA">
            <w:pPr>
              <w:spacing w:before="83" w:line="195" w:lineRule="auto"/>
              <w:ind w:left="602"/>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344" w:type="dxa"/>
            <w:tcBorders>
              <w:bottom w:val="single" w:color="000000" w:sz="10" w:space="0"/>
            </w:tcBorders>
            <w:vAlign w:val="top"/>
          </w:tcPr>
          <w:p w14:paraId="77132934">
            <w:pPr>
              <w:pStyle w:val="6"/>
              <w:spacing w:before="47" w:line="216" w:lineRule="auto"/>
              <w:ind w:left="377"/>
              <w:rPr>
                <w:sz w:val="20"/>
                <w:szCs w:val="20"/>
              </w:rPr>
            </w:pPr>
            <w:r>
              <w:rPr>
                <w:spacing w:val="4"/>
                <w:sz w:val="20"/>
                <w:szCs w:val="20"/>
              </w:rPr>
              <w:t>无变化</w:t>
            </w:r>
          </w:p>
        </w:tc>
        <w:tc>
          <w:tcPr>
            <w:tcW w:w="1192" w:type="dxa"/>
            <w:vMerge w:val="continue"/>
            <w:tcBorders>
              <w:top w:val="nil"/>
              <w:bottom w:val="single" w:color="000000" w:sz="10" w:space="0"/>
              <w:right w:val="single" w:color="000000" w:sz="10" w:space="0"/>
            </w:tcBorders>
            <w:vAlign w:val="top"/>
          </w:tcPr>
          <w:p w14:paraId="623FDFA3">
            <w:pPr>
              <w:rPr>
                <w:rFonts w:ascii="Arial"/>
                <w:sz w:val="21"/>
              </w:rPr>
            </w:pPr>
          </w:p>
        </w:tc>
      </w:tr>
    </w:tbl>
    <w:p w14:paraId="090631EF">
      <w:pPr>
        <w:spacing w:before="264" w:line="231" w:lineRule="auto"/>
        <w:ind w:left="738"/>
        <w:outlineLvl w:val="3"/>
        <w:rPr>
          <w:rFonts w:ascii="仿宋" w:hAnsi="仿宋" w:eastAsia="仿宋" w:cs="仿宋"/>
          <w:sz w:val="25"/>
          <w:szCs w:val="25"/>
        </w:rPr>
      </w:pPr>
      <w:r>
        <w:rPr>
          <w:rFonts w:ascii="Times New Roman" w:hAnsi="Times New Roman" w:eastAsia="Times New Roman" w:cs="Times New Roman"/>
          <w:b/>
          <w:bCs/>
          <w:spacing w:val="3"/>
          <w:sz w:val="25"/>
          <w:szCs w:val="25"/>
        </w:rPr>
        <w:t>2.2.4.2</w:t>
      </w:r>
      <w:r>
        <w:rPr>
          <w:rFonts w:ascii="Times New Roman" w:hAnsi="Times New Roman" w:eastAsia="Times New Roman" w:cs="Times New Roman"/>
          <w:b/>
          <w:bCs/>
          <w:spacing w:val="20"/>
          <w:w w:val="101"/>
          <w:sz w:val="25"/>
          <w:szCs w:val="25"/>
        </w:rPr>
        <w:t xml:space="preserve"> </w:t>
      </w:r>
      <w:r>
        <w:rPr>
          <w:rFonts w:ascii="仿宋" w:hAnsi="仿宋" w:eastAsia="仿宋" w:cs="仿宋"/>
          <w:b/>
          <w:bCs/>
          <w:spacing w:val="3"/>
          <w:sz w:val="25"/>
          <w:szCs w:val="25"/>
        </w:rPr>
        <w:t>规划分区</w:t>
      </w:r>
    </w:p>
    <w:p w14:paraId="2A7D3B17">
      <w:pPr>
        <w:spacing w:before="267" w:line="340" w:lineRule="auto"/>
        <w:ind w:left="753" w:right="643" w:firstLine="476"/>
        <w:rPr>
          <w:rFonts w:ascii="仿宋" w:hAnsi="仿宋" w:eastAsia="仿宋" w:cs="仿宋"/>
          <w:sz w:val="25"/>
          <w:szCs w:val="25"/>
        </w:rPr>
      </w:pPr>
      <w:r>
        <w:rPr>
          <w:rFonts w:ascii="仿宋" w:hAnsi="仿宋" w:eastAsia="仿宋" w:cs="仿宋"/>
          <w:spacing w:val="9"/>
          <w:sz w:val="25"/>
          <w:szCs w:val="25"/>
        </w:rPr>
        <w:t>本次规划调整，黔江区无新增、优化能源资源基地、</w:t>
      </w:r>
      <w:r>
        <w:rPr>
          <w:rFonts w:ascii="仿宋" w:hAnsi="仿宋" w:eastAsia="仿宋" w:cs="仿宋"/>
          <w:spacing w:val="-67"/>
          <w:sz w:val="25"/>
          <w:szCs w:val="25"/>
        </w:rPr>
        <w:t xml:space="preserve"> </w:t>
      </w:r>
      <w:r>
        <w:rPr>
          <w:rFonts w:ascii="仿宋" w:hAnsi="仿宋" w:eastAsia="仿宋" w:cs="仿宋"/>
          <w:spacing w:val="9"/>
          <w:sz w:val="25"/>
          <w:szCs w:val="25"/>
        </w:rPr>
        <w:t>国家规划矿区、战略</w:t>
      </w:r>
      <w:r>
        <w:rPr>
          <w:rFonts w:ascii="仿宋" w:hAnsi="仿宋" w:eastAsia="仿宋" w:cs="仿宋"/>
          <w:sz w:val="25"/>
          <w:szCs w:val="25"/>
        </w:rPr>
        <w:t xml:space="preserve"> </w:t>
      </w:r>
      <w:r>
        <w:rPr>
          <w:rFonts w:ascii="仿宋" w:hAnsi="仿宋" w:eastAsia="仿宋" w:cs="仿宋"/>
          <w:spacing w:val="5"/>
          <w:sz w:val="25"/>
          <w:szCs w:val="25"/>
        </w:rPr>
        <w:t>性矿产资源保护区、重点勘查区、重点开采区、集</w:t>
      </w:r>
      <w:r>
        <w:rPr>
          <w:rFonts w:ascii="仿宋" w:hAnsi="仿宋" w:eastAsia="仿宋" w:cs="仿宋"/>
          <w:spacing w:val="4"/>
          <w:sz w:val="25"/>
          <w:szCs w:val="25"/>
        </w:rPr>
        <w:t>中开采区等规划内容的调整。</w:t>
      </w:r>
    </w:p>
    <w:p w14:paraId="659A6437">
      <w:pPr>
        <w:spacing w:before="119" w:line="229" w:lineRule="auto"/>
        <w:ind w:left="738"/>
        <w:outlineLvl w:val="3"/>
        <w:rPr>
          <w:rFonts w:ascii="仿宋" w:hAnsi="仿宋" w:eastAsia="仿宋" w:cs="仿宋"/>
          <w:sz w:val="25"/>
          <w:szCs w:val="25"/>
        </w:rPr>
      </w:pPr>
      <w:r>
        <w:rPr>
          <w:rFonts w:ascii="Times New Roman" w:hAnsi="Times New Roman" w:eastAsia="Times New Roman" w:cs="Times New Roman"/>
          <w:b/>
          <w:bCs/>
          <w:spacing w:val="3"/>
          <w:sz w:val="25"/>
          <w:szCs w:val="25"/>
        </w:rPr>
        <w:t>2.2.4.3</w:t>
      </w:r>
      <w:r>
        <w:rPr>
          <w:rFonts w:ascii="Times New Roman" w:hAnsi="Times New Roman" w:eastAsia="Times New Roman" w:cs="Times New Roman"/>
          <w:b/>
          <w:bCs/>
          <w:spacing w:val="32"/>
          <w:sz w:val="25"/>
          <w:szCs w:val="25"/>
        </w:rPr>
        <w:t xml:space="preserve"> </w:t>
      </w:r>
      <w:r>
        <w:rPr>
          <w:rFonts w:ascii="仿宋" w:hAnsi="仿宋" w:eastAsia="仿宋" w:cs="仿宋"/>
          <w:b/>
          <w:bCs/>
          <w:spacing w:val="3"/>
          <w:sz w:val="25"/>
          <w:szCs w:val="25"/>
        </w:rPr>
        <w:t>最低开采规模</w:t>
      </w:r>
    </w:p>
    <w:p w14:paraId="6BF90456">
      <w:pPr>
        <w:spacing w:before="270" w:line="228" w:lineRule="auto"/>
        <w:ind w:left="1229"/>
        <w:rPr>
          <w:rFonts w:ascii="仿宋" w:hAnsi="仿宋" w:eastAsia="仿宋" w:cs="仿宋"/>
          <w:sz w:val="25"/>
          <w:szCs w:val="25"/>
        </w:rPr>
      </w:pPr>
      <w:r>
        <w:rPr>
          <w:rFonts w:ascii="仿宋" w:hAnsi="仿宋" w:eastAsia="仿宋" w:cs="仿宋"/>
          <w:spacing w:val="8"/>
          <w:sz w:val="25"/>
          <w:szCs w:val="25"/>
        </w:rPr>
        <w:t>本次规划调整后各类矿种（或亚矿种）最低开采规模见表</w:t>
      </w:r>
      <w:r>
        <w:rPr>
          <w:rFonts w:ascii="仿宋" w:hAnsi="仿宋" w:eastAsia="仿宋" w:cs="仿宋"/>
          <w:spacing w:val="-52"/>
          <w:sz w:val="25"/>
          <w:szCs w:val="25"/>
        </w:rPr>
        <w:t xml:space="preserve"> </w:t>
      </w:r>
      <w:r>
        <w:rPr>
          <w:rFonts w:ascii="Times New Roman" w:hAnsi="Times New Roman" w:eastAsia="Times New Roman" w:cs="Times New Roman"/>
          <w:spacing w:val="8"/>
          <w:sz w:val="25"/>
          <w:szCs w:val="25"/>
        </w:rPr>
        <w:t>2</w:t>
      </w:r>
      <w:r>
        <w:rPr>
          <w:rFonts w:ascii="Times New Roman" w:hAnsi="Times New Roman" w:eastAsia="Times New Roman" w:cs="Times New Roman"/>
          <w:spacing w:val="7"/>
          <w:sz w:val="25"/>
          <w:szCs w:val="25"/>
        </w:rPr>
        <w:t>.2-3</w:t>
      </w:r>
      <w:r>
        <w:rPr>
          <w:rFonts w:ascii="仿宋" w:hAnsi="仿宋" w:eastAsia="仿宋" w:cs="仿宋"/>
          <w:spacing w:val="7"/>
          <w:sz w:val="25"/>
          <w:szCs w:val="25"/>
        </w:rPr>
        <w:t>。</w:t>
      </w:r>
    </w:p>
    <w:p w14:paraId="7A31F2A8">
      <w:pPr>
        <w:spacing w:before="195" w:line="231" w:lineRule="auto"/>
        <w:ind w:left="3924"/>
        <w:rPr>
          <w:rFonts w:ascii="仿宋" w:hAnsi="仿宋" w:eastAsia="仿宋" w:cs="仿宋"/>
          <w:sz w:val="20"/>
          <w:szCs w:val="20"/>
        </w:rPr>
      </w:pPr>
      <w:r>
        <w:rPr>
          <w:rFonts w:ascii="仿宋" w:hAnsi="仿宋" w:eastAsia="仿宋" w:cs="仿宋"/>
          <w:b/>
          <w:bCs/>
          <w:spacing w:val="5"/>
          <w:sz w:val="20"/>
          <w:szCs w:val="20"/>
        </w:rPr>
        <w:t>表</w:t>
      </w:r>
      <w:r>
        <w:rPr>
          <w:rFonts w:ascii="仿宋" w:hAnsi="仿宋" w:eastAsia="仿宋" w:cs="仿宋"/>
          <w:spacing w:val="-43"/>
          <w:sz w:val="20"/>
          <w:szCs w:val="20"/>
        </w:rPr>
        <w:t xml:space="preserve"> </w:t>
      </w:r>
      <w:r>
        <w:rPr>
          <w:rFonts w:ascii="Times New Roman" w:hAnsi="Times New Roman" w:eastAsia="Times New Roman" w:cs="Times New Roman"/>
          <w:b/>
          <w:bCs/>
          <w:spacing w:val="5"/>
          <w:sz w:val="20"/>
          <w:szCs w:val="20"/>
        </w:rPr>
        <w:t xml:space="preserve">2.2-3  </w:t>
      </w:r>
      <w:r>
        <w:rPr>
          <w:rFonts w:ascii="仿宋" w:hAnsi="仿宋" w:eastAsia="仿宋" w:cs="仿宋"/>
          <w:b/>
          <w:bCs/>
          <w:spacing w:val="5"/>
          <w:sz w:val="20"/>
          <w:szCs w:val="20"/>
        </w:rPr>
        <w:t>矿山开采最低规模</w:t>
      </w:r>
    </w:p>
    <w:p w14:paraId="1EED8032">
      <w:pPr>
        <w:spacing w:line="21" w:lineRule="exact"/>
      </w:pPr>
    </w:p>
    <w:tbl>
      <w:tblPr>
        <w:tblStyle w:val="5"/>
        <w:tblW w:w="9060" w:type="dxa"/>
        <w:tblInd w:w="6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0"/>
        <w:gridCol w:w="1180"/>
        <w:gridCol w:w="1306"/>
        <w:gridCol w:w="736"/>
        <w:gridCol w:w="716"/>
        <w:gridCol w:w="849"/>
        <w:gridCol w:w="3763"/>
      </w:tblGrid>
      <w:tr w14:paraId="4F96C1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10" w:type="dxa"/>
            <w:vMerge w:val="restart"/>
            <w:tcBorders>
              <w:bottom w:val="nil"/>
            </w:tcBorders>
            <w:vAlign w:val="top"/>
          </w:tcPr>
          <w:p w14:paraId="333A6E29">
            <w:pPr>
              <w:pStyle w:val="6"/>
              <w:spacing w:before="253" w:line="231" w:lineRule="auto"/>
              <w:ind w:left="65"/>
              <w:rPr>
                <w:sz w:val="19"/>
                <w:szCs w:val="19"/>
              </w:rPr>
            </w:pPr>
            <w:r>
              <w:rPr>
                <w:spacing w:val="2"/>
                <w:sz w:val="19"/>
                <w:szCs w:val="19"/>
              </w:rPr>
              <w:t>序号</w:t>
            </w:r>
          </w:p>
        </w:tc>
        <w:tc>
          <w:tcPr>
            <w:tcW w:w="1180" w:type="dxa"/>
            <w:vMerge w:val="restart"/>
            <w:tcBorders>
              <w:bottom w:val="nil"/>
            </w:tcBorders>
            <w:vAlign w:val="top"/>
          </w:tcPr>
          <w:p w14:paraId="7E64EE90">
            <w:pPr>
              <w:pStyle w:val="6"/>
              <w:spacing w:before="253" w:line="230" w:lineRule="auto"/>
              <w:ind w:left="198"/>
              <w:rPr>
                <w:sz w:val="19"/>
                <w:szCs w:val="19"/>
              </w:rPr>
            </w:pPr>
            <w:r>
              <w:rPr>
                <w:spacing w:val="6"/>
                <w:sz w:val="19"/>
                <w:szCs w:val="19"/>
              </w:rPr>
              <w:t>矿种名称</w:t>
            </w:r>
          </w:p>
        </w:tc>
        <w:tc>
          <w:tcPr>
            <w:tcW w:w="1306" w:type="dxa"/>
            <w:vMerge w:val="restart"/>
            <w:tcBorders>
              <w:bottom w:val="nil"/>
            </w:tcBorders>
            <w:vAlign w:val="top"/>
          </w:tcPr>
          <w:p w14:paraId="1F234C72">
            <w:pPr>
              <w:pStyle w:val="6"/>
              <w:spacing w:before="253" w:line="230" w:lineRule="auto"/>
              <w:ind w:left="62"/>
              <w:rPr>
                <w:sz w:val="19"/>
                <w:szCs w:val="19"/>
              </w:rPr>
            </w:pPr>
            <w:r>
              <w:rPr>
                <w:spacing w:val="7"/>
                <w:sz w:val="19"/>
                <w:szCs w:val="19"/>
              </w:rPr>
              <w:t>开采规模单位</w:t>
            </w:r>
          </w:p>
        </w:tc>
        <w:tc>
          <w:tcPr>
            <w:tcW w:w="2301" w:type="dxa"/>
            <w:gridSpan w:val="3"/>
            <w:vAlign w:val="top"/>
          </w:tcPr>
          <w:p w14:paraId="45278D76">
            <w:pPr>
              <w:pStyle w:val="6"/>
              <w:spacing w:before="83" w:line="231" w:lineRule="auto"/>
              <w:ind w:left="361"/>
              <w:rPr>
                <w:sz w:val="19"/>
                <w:szCs w:val="19"/>
              </w:rPr>
            </w:pPr>
            <w:r>
              <w:rPr>
                <w:spacing w:val="8"/>
                <w:sz w:val="19"/>
                <w:szCs w:val="19"/>
              </w:rPr>
              <w:t>矿山最低开采规模</w:t>
            </w:r>
          </w:p>
        </w:tc>
        <w:tc>
          <w:tcPr>
            <w:tcW w:w="3763" w:type="dxa"/>
            <w:vMerge w:val="restart"/>
            <w:tcBorders>
              <w:bottom w:val="nil"/>
            </w:tcBorders>
            <w:vAlign w:val="top"/>
          </w:tcPr>
          <w:p w14:paraId="16C9BEF1">
            <w:pPr>
              <w:pStyle w:val="6"/>
              <w:spacing w:before="253" w:line="233" w:lineRule="auto"/>
              <w:ind w:left="1693"/>
              <w:rPr>
                <w:sz w:val="19"/>
                <w:szCs w:val="19"/>
              </w:rPr>
            </w:pPr>
            <w:r>
              <w:rPr>
                <w:spacing w:val="1"/>
                <w:sz w:val="19"/>
                <w:szCs w:val="19"/>
              </w:rPr>
              <w:t>备注</w:t>
            </w:r>
          </w:p>
        </w:tc>
      </w:tr>
      <w:tr w14:paraId="36CFED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510" w:type="dxa"/>
            <w:vMerge w:val="continue"/>
            <w:tcBorders>
              <w:top w:val="nil"/>
            </w:tcBorders>
            <w:vAlign w:val="top"/>
          </w:tcPr>
          <w:p w14:paraId="0E29A282">
            <w:pPr>
              <w:rPr>
                <w:rFonts w:ascii="Arial"/>
                <w:sz w:val="21"/>
              </w:rPr>
            </w:pPr>
          </w:p>
        </w:tc>
        <w:tc>
          <w:tcPr>
            <w:tcW w:w="1180" w:type="dxa"/>
            <w:vMerge w:val="continue"/>
            <w:tcBorders>
              <w:top w:val="nil"/>
            </w:tcBorders>
            <w:vAlign w:val="top"/>
          </w:tcPr>
          <w:p w14:paraId="27E6774F">
            <w:pPr>
              <w:rPr>
                <w:rFonts w:ascii="Arial"/>
                <w:sz w:val="21"/>
              </w:rPr>
            </w:pPr>
          </w:p>
        </w:tc>
        <w:tc>
          <w:tcPr>
            <w:tcW w:w="1306" w:type="dxa"/>
            <w:vMerge w:val="continue"/>
            <w:tcBorders>
              <w:top w:val="nil"/>
            </w:tcBorders>
            <w:vAlign w:val="top"/>
          </w:tcPr>
          <w:p w14:paraId="7AEF7337">
            <w:pPr>
              <w:rPr>
                <w:rFonts w:ascii="Arial"/>
                <w:sz w:val="21"/>
              </w:rPr>
            </w:pPr>
          </w:p>
        </w:tc>
        <w:tc>
          <w:tcPr>
            <w:tcW w:w="736" w:type="dxa"/>
            <w:vAlign w:val="top"/>
          </w:tcPr>
          <w:p w14:paraId="23C065BC">
            <w:pPr>
              <w:pStyle w:val="6"/>
              <w:spacing w:before="67" w:line="233" w:lineRule="auto"/>
              <w:ind w:left="181"/>
              <w:rPr>
                <w:sz w:val="19"/>
                <w:szCs w:val="19"/>
              </w:rPr>
            </w:pPr>
            <w:r>
              <w:rPr>
                <w:spacing w:val="1"/>
                <w:sz w:val="19"/>
                <w:szCs w:val="19"/>
              </w:rPr>
              <w:t>大型</w:t>
            </w:r>
          </w:p>
        </w:tc>
        <w:tc>
          <w:tcPr>
            <w:tcW w:w="716" w:type="dxa"/>
            <w:vAlign w:val="top"/>
          </w:tcPr>
          <w:p w14:paraId="35A5014F">
            <w:pPr>
              <w:pStyle w:val="6"/>
              <w:spacing w:before="68" w:line="231" w:lineRule="auto"/>
              <w:ind w:left="194"/>
              <w:rPr>
                <w:sz w:val="19"/>
                <w:szCs w:val="19"/>
              </w:rPr>
            </w:pPr>
            <w:r>
              <w:rPr>
                <w:spacing w:val="-11"/>
                <w:sz w:val="19"/>
                <w:szCs w:val="19"/>
              </w:rPr>
              <w:t>中型</w:t>
            </w:r>
          </w:p>
        </w:tc>
        <w:tc>
          <w:tcPr>
            <w:tcW w:w="849" w:type="dxa"/>
            <w:vAlign w:val="top"/>
          </w:tcPr>
          <w:p w14:paraId="724CBB38">
            <w:pPr>
              <w:pStyle w:val="6"/>
              <w:spacing w:before="68" w:line="234" w:lineRule="auto"/>
              <w:ind w:left="234"/>
              <w:rPr>
                <w:sz w:val="19"/>
                <w:szCs w:val="19"/>
              </w:rPr>
            </w:pPr>
            <w:r>
              <w:rPr>
                <w:spacing w:val="2"/>
                <w:sz w:val="19"/>
                <w:szCs w:val="19"/>
              </w:rPr>
              <w:t>小型</w:t>
            </w:r>
          </w:p>
        </w:tc>
        <w:tc>
          <w:tcPr>
            <w:tcW w:w="3763" w:type="dxa"/>
            <w:vMerge w:val="continue"/>
            <w:tcBorders>
              <w:top w:val="nil"/>
            </w:tcBorders>
            <w:vAlign w:val="top"/>
          </w:tcPr>
          <w:p w14:paraId="1964135D">
            <w:pPr>
              <w:rPr>
                <w:rFonts w:ascii="Arial"/>
                <w:sz w:val="21"/>
              </w:rPr>
            </w:pPr>
          </w:p>
        </w:tc>
      </w:tr>
      <w:tr w14:paraId="540F13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510" w:type="dxa"/>
            <w:vAlign w:val="top"/>
          </w:tcPr>
          <w:p w14:paraId="1EB83EAF">
            <w:pPr>
              <w:spacing w:before="67" w:line="195" w:lineRule="auto"/>
              <w:ind w:left="226"/>
              <w:rPr>
                <w:rFonts w:ascii="Times New Roman" w:hAnsi="Times New Roman" w:eastAsia="Times New Roman" w:cs="Times New Roman"/>
                <w:sz w:val="19"/>
                <w:szCs w:val="19"/>
              </w:rPr>
            </w:pPr>
            <w:r>
              <w:rPr>
                <w:rFonts w:ascii="Times New Roman" w:hAnsi="Times New Roman" w:eastAsia="Times New Roman" w:cs="Times New Roman"/>
                <w:sz w:val="19"/>
                <w:szCs w:val="19"/>
              </w:rPr>
              <w:t>1</w:t>
            </w:r>
          </w:p>
        </w:tc>
        <w:tc>
          <w:tcPr>
            <w:tcW w:w="1180" w:type="dxa"/>
            <w:vAlign w:val="top"/>
          </w:tcPr>
          <w:p w14:paraId="65CAE3E8">
            <w:pPr>
              <w:pStyle w:val="6"/>
              <w:spacing w:before="33" w:line="213" w:lineRule="auto"/>
              <w:ind w:left="100"/>
              <w:rPr>
                <w:sz w:val="19"/>
                <w:szCs w:val="19"/>
              </w:rPr>
            </w:pPr>
            <w:r>
              <w:rPr>
                <w:spacing w:val="6"/>
                <w:sz w:val="19"/>
                <w:szCs w:val="19"/>
              </w:rPr>
              <w:t>饰面用灰岩</w:t>
            </w:r>
          </w:p>
        </w:tc>
        <w:tc>
          <w:tcPr>
            <w:tcW w:w="1306" w:type="dxa"/>
            <w:vAlign w:val="top"/>
          </w:tcPr>
          <w:p w14:paraId="14DFEE0B">
            <w:pPr>
              <w:pStyle w:val="6"/>
              <w:spacing w:before="33" w:line="213" w:lineRule="auto"/>
              <w:ind w:left="135"/>
              <w:rPr>
                <w:sz w:val="19"/>
                <w:szCs w:val="19"/>
              </w:rPr>
            </w:pPr>
            <w:r>
              <w:rPr>
                <w:spacing w:val="5"/>
                <w:sz w:val="19"/>
                <w:szCs w:val="19"/>
              </w:rPr>
              <w:t>万立方米</w:t>
            </w:r>
            <w:r>
              <w:rPr>
                <w:rFonts w:ascii="Times New Roman" w:hAnsi="Times New Roman" w:eastAsia="Times New Roman" w:cs="Times New Roman"/>
                <w:spacing w:val="5"/>
                <w:sz w:val="19"/>
                <w:szCs w:val="19"/>
              </w:rPr>
              <w:t>/</w:t>
            </w:r>
            <w:r>
              <w:rPr>
                <w:spacing w:val="5"/>
                <w:sz w:val="19"/>
                <w:szCs w:val="19"/>
              </w:rPr>
              <w:t>年</w:t>
            </w:r>
          </w:p>
        </w:tc>
        <w:tc>
          <w:tcPr>
            <w:tcW w:w="736" w:type="dxa"/>
            <w:vAlign w:val="top"/>
          </w:tcPr>
          <w:p w14:paraId="3E1686D9">
            <w:pPr>
              <w:spacing w:before="67" w:line="195" w:lineRule="auto"/>
              <w:ind w:left="338"/>
              <w:rPr>
                <w:rFonts w:ascii="Times New Roman" w:hAnsi="Times New Roman" w:eastAsia="Times New Roman" w:cs="Times New Roman"/>
                <w:sz w:val="19"/>
                <w:szCs w:val="19"/>
              </w:rPr>
            </w:pPr>
            <w:r>
              <w:rPr>
                <w:rFonts w:ascii="Times New Roman" w:hAnsi="Times New Roman" w:eastAsia="Times New Roman" w:cs="Times New Roman"/>
                <w:sz w:val="19"/>
                <w:szCs w:val="19"/>
              </w:rPr>
              <w:t>1</w:t>
            </w:r>
          </w:p>
        </w:tc>
        <w:tc>
          <w:tcPr>
            <w:tcW w:w="716" w:type="dxa"/>
            <w:vAlign w:val="top"/>
          </w:tcPr>
          <w:p w14:paraId="2A6C4EFE">
            <w:pPr>
              <w:spacing w:before="67" w:line="195" w:lineRule="auto"/>
              <w:ind w:left="236"/>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0.5</w:t>
            </w:r>
          </w:p>
        </w:tc>
        <w:tc>
          <w:tcPr>
            <w:tcW w:w="849" w:type="dxa"/>
            <w:vAlign w:val="top"/>
          </w:tcPr>
          <w:p w14:paraId="78C2B94D">
            <w:pPr>
              <w:spacing w:before="67" w:line="195" w:lineRule="auto"/>
              <w:ind w:left="30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0.3</w:t>
            </w:r>
          </w:p>
        </w:tc>
        <w:tc>
          <w:tcPr>
            <w:tcW w:w="3763" w:type="dxa"/>
            <w:vAlign w:val="top"/>
          </w:tcPr>
          <w:p w14:paraId="2676955E">
            <w:pPr>
              <w:pStyle w:val="6"/>
              <w:spacing w:before="33" w:line="213" w:lineRule="auto"/>
              <w:ind w:left="96"/>
              <w:rPr>
                <w:sz w:val="19"/>
                <w:szCs w:val="19"/>
              </w:rPr>
            </w:pPr>
            <w:r>
              <w:rPr>
                <w:spacing w:val="6"/>
                <w:sz w:val="19"/>
                <w:szCs w:val="19"/>
              </w:rPr>
              <w:t>不再新建年产</w:t>
            </w:r>
            <w:r>
              <w:rPr>
                <w:spacing w:val="-14"/>
                <w:sz w:val="19"/>
                <w:szCs w:val="19"/>
              </w:rPr>
              <w:t xml:space="preserve"> </w:t>
            </w:r>
            <w:r>
              <w:rPr>
                <w:rFonts w:ascii="Times New Roman" w:hAnsi="Times New Roman" w:eastAsia="Times New Roman" w:cs="Times New Roman"/>
                <w:spacing w:val="6"/>
                <w:sz w:val="19"/>
                <w:szCs w:val="19"/>
              </w:rPr>
              <w:t>1</w:t>
            </w:r>
            <w:r>
              <w:rPr>
                <w:rFonts w:ascii="Times New Roman" w:hAnsi="Times New Roman" w:eastAsia="Times New Roman" w:cs="Times New Roman"/>
                <w:spacing w:val="19"/>
                <w:sz w:val="19"/>
                <w:szCs w:val="19"/>
              </w:rPr>
              <w:t xml:space="preserve"> </w:t>
            </w:r>
            <w:r>
              <w:rPr>
                <w:spacing w:val="6"/>
                <w:sz w:val="19"/>
                <w:szCs w:val="19"/>
              </w:rPr>
              <w:t>万立方米以下饰面用石材</w:t>
            </w:r>
          </w:p>
        </w:tc>
      </w:tr>
      <w:tr w14:paraId="139527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10" w:type="dxa"/>
            <w:vAlign w:val="top"/>
          </w:tcPr>
          <w:p w14:paraId="5480651D">
            <w:pPr>
              <w:spacing w:before="119" w:line="195" w:lineRule="auto"/>
              <w:ind w:left="207"/>
              <w:rPr>
                <w:rFonts w:ascii="Times New Roman" w:hAnsi="Times New Roman" w:eastAsia="Times New Roman" w:cs="Times New Roman"/>
                <w:sz w:val="19"/>
                <w:szCs w:val="19"/>
              </w:rPr>
            </w:pPr>
            <w:r>
              <w:rPr>
                <w:rFonts w:ascii="Times New Roman" w:hAnsi="Times New Roman" w:eastAsia="Times New Roman" w:cs="Times New Roman"/>
                <w:sz w:val="19"/>
                <w:szCs w:val="19"/>
              </w:rPr>
              <w:t>2</w:t>
            </w:r>
          </w:p>
        </w:tc>
        <w:tc>
          <w:tcPr>
            <w:tcW w:w="1180" w:type="dxa"/>
            <w:vAlign w:val="top"/>
          </w:tcPr>
          <w:p w14:paraId="649C7F0B">
            <w:pPr>
              <w:pStyle w:val="6"/>
              <w:spacing w:before="84" w:line="232" w:lineRule="auto"/>
              <w:ind w:left="99"/>
              <w:rPr>
                <w:sz w:val="19"/>
                <w:szCs w:val="19"/>
              </w:rPr>
            </w:pPr>
            <w:r>
              <w:rPr>
                <w:spacing w:val="7"/>
                <w:sz w:val="19"/>
                <w:szCs w:val="19"/>
              </w:rPr>
              <w:t>铸型用砂岩</w:t>
            </w:r>
          </w:p>
        </w:tc>
        <w:tc>
          <w:tcPr>
            <w:tcW w:w="1306" w:type="dxa"/>
            <w:vAlign w:val="top"/>
          </w:tcPr>
          <w:p w14:paraId="0C18D3AA">
            <w:pPr>
              <w:pStyle w:val="6"/>
              <w:spacing w:before="84" w:line="231" w:lineRule="auto"/>
              <w:ind w:left="83"/>
              <w:rPr>
                <w:sz w:val="19"/>
                <w:szCs w:val="19"/>
              </w:rPr>
            </w:pPr>
            <w:r>
              <w:rPr>
                <w:spacing w:val="3"/>
                <w:sz w:val="19"/>
                <w:szCs w:val="19"/>
              </w:rPr>
              <w:t>矿石</w:t>
            </w:r>
            <w:r>
              <w:rPr>
                <w:spacing w:val="24"/>
                <w:sz w:val="19"/>
                <w:szCs w:val="19"/>
              </w:rPr>
              <w:t xml:space="preserve"> </w:t>
            </w:r>
            <w:r>
              <w:rPr>
                <w:spacing w:val="3"/>
                <w:sz w:val="19"/>
                <w:szCs w:val="19"/>
              </w:rPr>
              <w:t>万吨</w:t>
            </w:r>
            <w:r>
              <w:rPr>
                <w:rFonts w:ascii="Times New Roman" w:hAnsi="Times New Roman" w:eastAsia="Times New Roman" w:cs="Times New Roman"/>
                <w:spacing w:val="3"/>
                <w:sz w:val="19"/>
                <w:szCs w:val="19"/>
              </w:rPr>
              <w:t>/</w:t>
            </w:r>
            <w:r>
              <w:rPr>
                <w:spacing w:val="3"/>
                <w:sz w:val="19"/>
                <w:szCs w:val="19"/>
              </w:rPr>
              <w:t>年</w:t>
            </w:r>
          </w:p>
        </w:tc>
        <w:tc>
          <w:tcPr>
            <w:tcW w:w="736" w:type="dxa"/>
            <w:vAlign w:val="top"/>
          </w:tcPr>
          <w:p w14:paraId="056989F4">
            <w:pPr>
              <w:spacing w:before="119" w:line="195" w:lineRule="auto"/>
              <w:ind w:left="272"/>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30</w:t>
            </w:r>
          </w:p>
        </w:tc>
        <w:tc>
          <w:tcPr>
            <w:tcW w:w="716" w:type="dxa"/>
            <w:vAlign w:val="top"/>
          </w:tcPr>
          <w:p w14:paraId="4EE052C6">
            <w:pPr>
              <w:spacing w:before="119" w:line="195" w:lineRule="auto"/>
              <w:ind w:left="279"/>
              <w:rPr>
                <w:rFonts w:ascii="Times New Roman" w:hAnsi="Times New Roman" w:eastAsia="Times New Roman" w:cs="Times New Roman"/>
                <w:sz w:val="19"/>
                <w:szCs w:val="19"/>
              </w:rPr>
            </w:pPr>
            <w:r>
              <w:rPr>
                <w:rFonts w:ascii="Times New Roman" w:hAnsi="Times New Roman" w:eastAsia="Times New Roman" w:cs="Times New Roman"/>
                <w:spacing w:val="-7"/>
                <w:sz w:val="19"/>
                <w:szCs w:val="19"/>
              </w:rPr>
              <w:t>10</w:t>
            </w:r>
          </w:p>
        </w:tc>
        <w:tc>
          <w:tcPr>
            <w:tcW w:w="849" w:type="dxa"/>
            <w:vAlign w:val="top"/>
          </w:tcPr>
          <w:p w14:paraId="16873C54">
            <w:pPr>
              <w:spacing w:before="121" w:line="192" w:lineRule="auto"/>
              <w:ind w:left="382"/>
              <w:rPr>
                <w:rFonts w:ascii="Times New Roman" w:hAnsi="Times New Roman" w:eastAsia="Times New Roman" w:cs="Times New Roman"/>
                <w:sz w:val="19"/>
                <w:szCs w:val="19"/>
              </w:rPr>
            </w:pPr>
            <w:r>
              <w:rPr>
                <w:rFonts w:ascii="Times New Roman" w:hAnsi="Times New Roman" w:eastAsia="Times New Roman" w:cs="Times New Roman"/>
                <w:sz w:val="19"/>
                <w:szCs w:val="19"/>
              </w:rPr>
              <w:t>5</w:t>
            </w:r>
          </w:p>
        </w:tc>
        <w:tc>
          <w:tcPr>
            <w:tcW w:w="3763" w:type="dxa"/>
            <w:vAlign w:val="top"/>
          </w:tcPr>
          <w:p w14:paraId="301351E3">
            <w:pPr>
              <w:pStyle w:val="6"/>
              <w:spacing w:before="78" w:line="231" w:lineRule="auto"/>
              <w:ind w:left="655"/>
              <w:rPr>
                <w:sz w:val="20"/>
                <w:szCs w:val="20"/>
              </w:rPr>
            </w:pPr>
            <w:r>
              <w:rPr>
                <w:spacing w:val="4"/>
                <w:sz w:val="20"/>
                <w:szCs w:val="20"/>
              </w:rPr>
              <w:t>新建矿山不低于</w:t>
            </w:r>
            <w:r>
              <w:rPr>
                <w:spacing w:val="-19"/>
                <w:sz w:val="20"/>
                <w:szCs w:val="20"/>
              </w:rPr>
              <w:t xml:space="preserve"> </w:t>
            </w:r>
            <w:r>
              <w:rPr>
                <w:rFonts w:ascii="Times New Roman" w:hAnsi="Times New Roman" w:eastAsia="Times New Roman" w:cs="Times New Roman"/>
                <w:spacing w:val="4"/>
                <w:sz w:val="20"/>
                <w:szCs w:val="20"/>
              </w:rPr>
              <w:t>10</w:t>
            </w:r>
            <w:r>
              <w:rPr>
                <w:rFonts w:ascii="Times New Roman" w:hAnsi="Times New Roman" w:eastAsia="Times New Roman" w:cs="Times New Roman"/>
                <w:spacing w:val="19"/>
                <w:sz w:val="20"/>
                <w:szCs w:val="20"/>
              </w:rPr>
              <w:t xml:space="preserve"> </w:t>
            </w:r>
            <w:r>
              <w:rPr>
                <w:spacing w:val="4"/>
                <w:sz w:val="20"/>
                <w:szCs w:val="20"/>
              </w:rPr>
              <w:t>万吨</w:t>
            </w:r>
            <w:r>
              <w:rPr>
                <w:rFonts w:ascii="Times New Roman" w:hAnsi="Times New Roman" w:eastAsia="Times New Roman" w:cs="Times New Roman"/>
                <w:spacing w:val="4"/>
                <w:sz w:val="20"/>
                <w:szCs w:val="20"/>
              </w:rPr>
              <w:t>/</w:t>
            </w:r>
            <w:r>
              <w:rPr>
                <w:spacing w:val="4"/>
                <w:sz w:val="20"/>
                <w:szCs w:val="20"/>
              </w:rPr>
              <w:t>年</w:t>
            </w:r>
          </w:p>
        </w:tc>
      </w:tr>
      <w:tr w14:paraId="6A2AB4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510" w:type="dxa"/>
            <w:vAlign w:val="top"/>
          </w:tcPr>
          <w:p w14:paraId="7817DB3C">
            <w:pPr>
              <w:spacing w:before="112" w:line="195" w:lineRule="auto"/>
              <w:ind w:left="211"/>
              <w:rPr>
                <w:rFonts w:ascii="Times New Roman" w:hAnsi="Times New Roman" w:eastAsia="Times New Roman" w:cs="Times New Roman"/>
                <w:sz w:val="19"/>
                <w:szCs w:val="19"/>
              </w:rPr>
            </w:pPr>
            <w:r>
              <w:rPr>
                <w:rFonts w:ascii="Times New Roman" w:hAnsi="Times New Roman" w:eastAsia="Times New Roman" w:cs="Times New Roman"/>
                <w:sz w:val="19"/>
                <w:szCs w:val="19"/>
              </w:rPr>
              <w:t>3</w:t>
            </w:r>
          </w:p>
        </w:tc>
        <w:tc>
          <w:tcPr>
            <w:tcW w:w="1180" w:type="dxa"/>
            <w:vAlign w:val="top"/>
          </w:tcPr>
          <w:p w14:paraId="4FA2CFBE">
            <w:pPr>
              <w:pStyle w:val="6"/>
              <w:spacing w:before="77" w:line="233" w:lineRule="auto"/>
              <w:ind w:left="299"/>
              <w:rPr>
                <w:sz w:val="19"/>
                <w:szCs w:val="19"/>
              </w:rPr>
            </w:pPr>
            <w:r>
              <w:rPr>
                <w:spacing w:val="5"/>
                <w:sz w:val="19"/>
                <w:szCs w:val="19"/>
              </w:rPr>
              <w:t>铝土矿</w:t>
            </w:r>
          </w:p>
        </w:tc>
        <w:tc>
          <w:tcPr>
            <w:tcW w:w="1306" w:type="dxa"/>
            <w:vAlign w:val="top"/>
          </w:tcPr>
          <w:p w14:paraId="08B8FE58">
            <w:pPr>
              <w:pStyle w:val="6"/>
              <w:spacing w:before="78" w:line="231" w:lineRule="auto"/>
              <w:ind w:left="83"/>
              <w:rPr>
                <w:sz w:val="19"/>
                <w:szCs w:val="19"/>
              </w:rPr>
            </w:pPr>
            <w:r>
              <w:rPr>
                <w:spacing w:val="3"/>
                <w:sz w:val="19"/>
                <w:szCs w:val="19"/>
              </w:rPr>
              <w:t>矿石</w:t>
            </w:r>
            <w:r>
              <w:rPr>
                <w:spacing w:val="24"/>
                <w:sz w:val="19"/>
                <w:szCs w:val="19"/>
              </w:rPr>
              <w:t xml:space="preserve"> </w:t>
            </w:r>
            <w:r>
              <w:rPr>
                <w:spacing w:val="3"/>
                <w:sz w:val="19"/>
                <w:szCs w:val="19"/>
              </w:rPr>
              <w:t>万吨</w:t>
            </w:r>
            <w:r>
              <w:rPr>
                <w:rFonts w:ascii="Times New Roman" w:hAnsi="Times New Roman" w:eastAsia="Times New Roman" w:cs="Times New Roman"/>
                <w:spacing w:val="3"/>
                <w:sz w:val="19"/>
                <w:szCs w:val="19"/>
              </w:rPr>
              <w:t>/</w:t>
            </w:r>
            <w:r>
              <w:rPr>
                <w:spacing w:val="3"/>
                <w:sz w:val="19"/>
                <w:szCs w:val="19"/>
              </w:rPr>
              <w:t>年</w:t>
            </w:r>
          </w:p>
        </w:tc>
        <w:tc>
          <w:tcPr>
            <w:tcW w:w="736" w:type="dxa"/>
            <w:vAlign w:val="top"/>
          </w:tcPr>
          <w:p w14:paraId="5B13ACA3">
            <w:pPr>
              <w:spacing w:before="112" w:line="195" w:lineRule="auto"/>
              <w:ind w:left="273"/>
              <w:rPr>
                <w:rFonts w:ascii="Times New Roman" w:hAnsi="Times New Roman" w:eastAsia="Times New Roman" w:cs="Times New Roman"/>
                <w:sz w:val="19"/>
                <w:szCs w:val="19"/>
              </w:rPr>
            </w:pPr>
            <w:r>
              <w:rPr>
                <w:rFonts w:ascii="Times New Roman" w:hAnsi="Times New Roman" w:eastAsia="Times New Roman" w:cs="Times New Roman"/>
                <w:sz w:val="19"/>
                <w:szCs w:val="19"/>
              </w:rPr>
              <w:t>60</w:t>
            </w:r>
          </w:p>
        </w:tc>
        <w:tc>
          <w:tcPr>
            <w:tcW w:w="716" w:type="dxa"/>
            <w:vAlign w:val="top"/>
          </w:tcPr>
          <w:p w14:paraId="69B60B71">
            <w:pPr>
              <w:spacing w:before="112" w:line="195" w:lineRule="auto"/>
              <w:ind w:left="260"/>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20</w:t>
            </w:r>
          </w:p>
        </w:tc>
        <w:tc>
          <w:tcPr>
            <w:tcW w:w="849" w:type="dxa"/>
            <w:vAlign w:val="top"/>
          </w:tcPr>
          <w:p w14:paraId="2CDF4EEA">
            <w:pPr>
              <w:spacing w:before="112" w:line="195" w:lineRule="auto"/>
              <w:ind w:left="345"/>
              <w:rPr>
                <w:rFonts w:ascii="Times New Roman" w:hAnsi="Times New Roman" w:eastAsia="Times New Roman" w:cs="Times New Roman"/>
                <w:sz w:val="19"/>
                <w:szCs w:val="19"/>
              </w:rPr>
            </w:pPr>
            <w:r>
              <w:rPr>
                <w:rFonts w:ascii="Times New Roman" w:hAnsi="Times New Roman" w:eastAsia="Times New Roman" w:cs="Times New Roman"/>
                <w:spacing w:val="-7"/>
                <w:sz w:val="19"/>
                <w:szCs w:val="19"/>
              </w:rPr>
              <w:t>10</w:t>
            </w:r>
          </w:p>
        </w:tc>
        <w:tc>
          <w:tcPr>
            <w:tcW w:w="3763" w:type="dxa"/>
            <w:vAlign w:val="top"/>
          </w:tcPr>
          <w:p w14:paraId="4AC3E938">
            <w:pPr>
              <w:spacing w:before="108" w:line="199" w:lineRule="auto"/>
              <w:ind w:left="1851"/>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r>
    </w:tbl>
    <w:p w14:paraId="672076C7">
      <w:pPr>
        <w:spacing w:before="265" w:line="230" w:lineRule="auto"/>
        <w:ind w:left="738"/>
        <w:outlineLvl w:val="3"/>
        <w:rPr>
          <w:rFonts w:ascii="仿宋" w:hAnsi="仿宋" w:eastAsia="仿宋" w:cs="仿宋"/>
          <w:sz w:val="25"/>
          <w:szCs w:val="25"/>
        </w:rPr>
      </w:pPr>
      <w:r>
        <w:rPr>
          <w:rFonts w:ascii="Times New Roman" w:hAnsi="Times New Roman" w:eastAsia="Times New Roman" w:cs="Times New Roman"/>
          <w:b/>
          <w:bCs/>
          <w:spacing w:val="3"/>
          <w:sz w:val="25"/>
          <w:szCs w:val="25"/>
        </w:rPr>
        <w:t>2.2.4.4</w:t>
      </w:r>
      <w:r>
        <w:rPr>
          <w:rFonts w:ascii="Times New Roman" w:hAnsi="Times New Roman" w:eastAsia="Times New Roman" w:cs="Times New Roman"/>
          <w:b/>
          <w:bCs/>
          <w:spacing w:val="20"/>
          <w:w w:val="101"/>
          <w:sz w:val="25"/>
          <w:szCs w:val="25"/>
        </w:rPr>
        <w:t xml:space="preserve"> </w:t>
      </w:r>
      <w:r>
        <w:rPr>
          <w:rFonts w:ascii="仿宋" w:hAnsi="仿宋" w:eastAsia="仿宋" w:cs="仿宋"/>
          <w:b/>
          <w:bCs/>
          <w:spacing w:val="3"/>
          <w:sz w:val="25"/>
          <w:szCs w:val="25"/>
        </w:rPr>
        <w:t>规划区块</w:t>
      </w:r>
    </w:p>
    <w:p w14:paraId="48116F7E">
      <w:pPr>
        <w:spacing w:before="269" w:line="230" w:lineRule="auto"/>
        <w:ind w:left="1233"/>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1</w:t>
      </w:r>
      <w:r>
        <w:rPr>
          <w:rFonts w:ascii="仿宋" w:hAnsi="仿宋" w:eastAsia="仿宋" w:cs="仿宋"/>
          <w:spacing w:val="7"/>
          <w:sz w:val="25"/>
          <w:szCs w:val="25"/>
        </w:rPr>
        <w:t>）勘查规划区块</w:t>
      </w:r>
    </w:p>
    <w:p w14:paraId="1A46B936">
      <w:pPr>
        <w:spacing w:before="148" w:line="337" w:lineRule="auto"/>
        <w:ind w:left="748" w:right="662" w:firstLine="481"/>
        <w:rPr>
          <w:rFonts w:ascii="仿宋" w:hAnsi="仿宋" w:eastAsia="仿宋" w:cs="仿宋"/>
          <w:sz w:val="25"/>
          <w:szCs w:val="25"/>
        </w:rPr>
      </w:pPr>
      <w:r>
        <w:rPr>
          <w:rFonts w:ascii="仿宋" w:hAnsi="仿宋" w:eastAsia="仿宋" w:cs="仿宋"/>
          <w:spacing w:val="3"/>
          <w:sz w:val="25"/>
          <w:szCs w:val="25"/>
        </w:rPr>
        <w:t>本次《规划调整》，涉及勘查规划区块</w:t>
      </w:r>
      <w:r>
        <w:rPr>
          <w:rFonts w:ascii="仿宋" w:hAnsi="仿宋" w:eastAsia="仿宋" w:cs="仿宋"/>
          <w:spacing w:val="-54"/>
          <w:sz w:val="25"/>
          <w:szCs w:val="25"/>
        </w:rPr>
        <w:t xml:space="preserve"> </w:t>
      </w:r>
      <w:r>
        <w:rPr>
          <w:rFonts w:ascii="Times New Roman" w:hAnsi="Times New Roman" w:eastAsia="Times New Roman" w:cs="Times New Roman"/>
          <w:spacing w:val="3"/>
          <w:sz w:val="25"/>
          <w:szCs w:val="25"/>
        </w:rPr>
        <w:t>2</w:t>
      </w:r>
      <w:r>
        <w:rPr>
          <w:rFonts w:ascii="Times New Roman" w:hAnsi="Times New Roman" w:eastAsia="Times New Roman" w:cs="Times New Roman"/>
          <w:spacing w:val="23"/>
          <w:sz w:val="25"/>
          <w:szCs w:val="25"/>
        </w:rPr>
        <w:t xml:space="preserve"> </w:t>
      </w:r>
      <w:r>
        <w:rPr>
          <w:rFonts w:ascii="仿宋" w:hAnsi="仿宋" w:eastAsia="仿宋" w:cs="仿宋"/>
          <w:spacing w:val="3"/>
          <w:sz w:val="25"/>
          <w:szCs w:val="25"/>
        </w:rPr>
        <w:t>个：调整</w:t>
      </w:r>
      <w:r>
        <w:rPr>
          <w:rFonts w:ascii="仿宋" w:hAnsi="仿宋" w:eastAsia="仿宋" w:cs="仿宋"/>
          <w:spacing w:val="-28"/>
          <w:sz w:val="25"/>
          <w:szCs w:val="25"/>
        </w:rPr>
        <w:t xml:space="preserve"> </w:t>
      </w:r>
      <w:r>
        <w:rPr>
          <w:rFonts w:ascii="Times New Roman" w:hAnsi="Times New Roman" w:eastAsia="Times New Roman" w:cs="Times New Roman"/>
          <w:spacing w:val="3"/>
          <w:sz w:val="25"/>
          <w:szCs w:val="25"/>
        </w:rPr>
        <w:t>1</w:t>
      </w:r>
      <w:r>
        <w:rPr>
          <w:rFonts w:ascii="Times New Roman" w:hAnsi="Times New Roman" w:eastAsia="Times New Roman" w:cs="Times New Roman"/>
          <w:spacing w:val="21"/>
          <w:sz w:val="25"/>
          <w:szCs w:val="25"/>
        </w:rPr>
        <w:t xml:space="preserve"> </w:t>
      </w:r>
      <w:r>
        <w:rPr>
          <w:rFonts w:ascii="仿宋" w:hAnsi="仿宋" w:eastAsia="仿宋" w:cs="仿宋"/>
          <w:spacing w:val="3"/>
          <w:sz w:val="25"/>
          <w:szCs w:val="25"/>
        </w:rPr>
        <w:t>个</w:t>
      </w:r>
      <w:r>
        <w:rPr>
          <w:rFonts w:ascii="仿宋" w:hAnsi="仿宋" w:eastAsia="仿宋" w:cs="仿宋"/>
          <w:spacing w:val="-53"/>
          <w:sz w:val="25"/>
          <w:szCs w:val="25"/>
        </w:rPr>
        <w:t xml:space="preserve"> </w:t>
      </w:r>
      <w:r>
        <w:rPr>
          <w:rFonts w:ascii="Times New Roman" w:hAnsi="Times New Roman" w:eastAsia="Times New Roman" w:cs="Times New Roman"/>
          <w:sz w:val="25"/>
          <w:szCs w:val="25"/>
        </w:rPr>
        <w:t>KQ</w:t>
      </w:r>
      <w:r>
        <w:rPr>
          <w:rFonts w:ascii="Times New Roman" w:hAnsi="Times New Roman" w:eastAsia="Times New Roman" w:cs="Times New Roman"/>
          <w:spacing w:val="3"/>
          <w:sz w:val="25"/>
          <w:szCs w:val="25"/>
        </w:rPr>
        <w:t>0</w:t>
      </w:r>
      <w:r>
        <w:rPr>
          <w:rFonts w:ascii="Times New Roman" w:hAnsi="Times New Roman" w:eastAsia="Times New Roman" w:cs="Times New Roman"/>
          <w:spacing w:val="2"/>
          <w:sz w:val="25"/>
          <w:szCs w:val="25"/>
        </w:rPr>
        <w:t>04</w:t>
      </w:r>
      <w:r>
        <w:rPr>
          <w:rFonts w:ascii="仿宋" w:hAnsi="仿宋" w:eastAsia="仿宋" w:cs="仿宋"/>
          <w:spacing w:val="2"/>
          <w:sz w:val="25"/>
          <w:szCs w:val="25"/>
        </w:rPr>
        <w:t>（铝土矿</w:t>
      </w:r>
      <w:r>
        <w:rPr>
          <w:rFonts w:ascii="仿宋" w:hAnsi="仿宋" w:eastAsia="仿宋" w:cs="仿宋"/>
          <w:spacing w:val="-33"/>
          <w:sz w:val="25"/>
          <w:szCs w:val="25"/>
        </w:rPr>
        <w:t>），</w:t>
      </w:r>
      <w:r>
        <w:rPr>
          <w:rFonts w:ascii="仿宋" w:hAnsi="仿宋" w:eastAsia="仿宋" w:cs="仿宋"/>
          <w:sz w:val="25"/>
          <w:szCs w:val="25"/>
        </w:rPr>
        <w:t xml:space="preserve"> </w:t>
      </w:r>
      <w:r>
        <w:rPr>
          <w:rFonts w:ascii="仿宋" w:hAnsi="仿宋" w:eastAsia="仿宋" w:cs="仿宋"/>
          <w:spacing w:val="1"/>
          <w:sz w:val="25"/>
          <w:szCs w:val="25"/>
        </w:rPr>
        <w:t>新增</w:t>
      </w:r>
      <w:r>
        <w:rPr>
          <w:rFonts w:ascii="仿宋" w:hAnsi="仿宋" w:eastAsia="仿宋" w:cs="仿宋"/>
          <w:spacing w:val="-27"/>
          <w:sz w:val="25"/>
          <w:szCs w:val="25"/>
        </w:rPr>
        <w:t xml:space="preserve"> </w:t>
      </w:r>
      <w:r>
        <w:rPr>
          <w:rFonts w:ascii="Times New Roman" w:hAnsi="Times New Roman" w:eastAsia="Times New Roman" w:cs="Times New Roman"/>
          <w:spacing w:val="1"/>
          <w:sz w:val="25"/>
          <w:szCs w:val="25"/>
        </w:rPr>
        <w:t>1</w:t>
      </w:r>
      <w:r>
        <w:rPr>
          <w:rFonts w:ascii="Times New Roman" w:hAnsi="Times New Roman" w:eastAsia="Times New Roman" w:cs="Times New Roman"/>
          <w:spacing w:val="20"/>
          <w:w w:val="101"/>
          <w:sz w:val="25"/>
          <w:szCs w:val="25"/>
        </w:rPr>
        <w:t xml:space="preserve"> </w:t>
      </w:r>
      <w:r>
        <w:rPr>
          <w:rFonts w:ascii="仿宋" w:hAnsi="仿宋" w:eastAsia="仿宋" w:cs="仿宋"/>
          <w:spacing w:val="1"/>
          <w:sz w:val="25"/>
          <w:szCs w:val="25"/>
        </w:rPr>
        <w:t>个（</w:t>
      </w:r>
      <w:r>
        <w:rPr>
          <w:rFonts w:ascii="Times New Roman" w:hAnsi="Times New Roman" w:eastAsia="Times New Roman" w:cs="Times New Roman"/>
          <w:sz w:val="25"/>
          <w:szCs w:val="25"/>
        </w:rPr>
        <w:t>KQ</w:t>
      </w:r>
      <w:r>
        <w:rPr>
          <w:rFonts w:ascii="Times New Roman" w:hAnsi="Times New Roman" w:eastAsia="Times New Roman" w:cs="Times New Roman"/>
          <w:spacing w:val="1"/>
          <w:sz w:val="25"/>
          <w:szCs w:val="25"/>
        </w:rPr>
        <w:t>009</w:t>
      </w:r>
      <w:r>
        <w:rPr>
          <w:rFonts w:ascii="仿宋" w:hAnsi="仿宋" w:eastAsia="仿宋" w:cs="仿宋"/>
          <w:spacing w:val="1"/>
          <w:sz w:val="25"/>
          <w:szCs w:val="25"/>
        </w:rPr>
        <w:t>（铸型用砂岩）。调整后，勘查区块个数从</w:t>
      </w:r>
      <w:r>
        <w:rPr>
          <w:rFonts w:ascii="仿宋" w:hAnsi="仿宋" w:eastAsia="仿宋" w:cs="仿宋"/>
          <w:spacing w:val="-45"/>
          <w:sz w:val="25"/>
          <w:szCs w:val="25"/>
        </w:rPr>
        <w:t xml:space="preserve"> </w:t>
      </w:r>
      <w:r>
        <w:rPr>
          <w:rFonts w:ascii="Times New Roman" w:hAnsi="Times New Roman" w:eastAsia="Times New Roman" w:cs="Times New Roman"/>
          <w:spacing w:val="1"/>
          <w:sz w:val="25"/>
          <w:szCs w:val="25"/>
        </w:rPr>
        <w:t>8</w:t>
      </w:r>
      <w:r>
        <w:rPr>
          <w:rFonts w:ascii="Times New Roman" w:hAnsi="Times New Roman" w:eastAsia="Times New Roman" w:cs="Times New Roman"/>
          <w:spacing w:val="21"/>
          <w:sz w:val="25"/>
          <w:szCs w:val="25"/>
        </w:rPr>
        <w:t xml:space="preserve"> </w:t>
      </w:r>
      <w:r>
        <w:rPr>
          <w:rFonts w:ascii="仿宋" w:hAnsi="仿宋" w:eastAsia="仿宋" w:cs="仿宋"/>
          <w:spacing w:val="1"/>
          <w:sz w:val="25"/>
          <w:szCs w:val="25"/>
        </w:rPr>
        <w:t>个调整</w:t>
      </w:r>
      <w:r>
        <w:rPr>
          <w:rFonts w:ascii="仿宋" w:hAnsi="仿宋" w:eastAsia="仿宋" w:cs="仿宋"/>
          <w:sz w:val="25"/>
          <w:szCs w:val="25"/>
        </w:rPr>
        <w:t>为</w:t>
      </w:r>
      <w:r>
        <w:rPr>
          <w:rFonts w:ascii="仿宋" w:hAnsi="仿宋" w:eastAsia="仿宋" w:cs="仿宋"/>
          <w:spacing w:val="-47"/>
          <w:sz w:val="25"/>
          <w:szCs w:val="25"/>
        </w:rPr>
        <w:t xml:space="preserve"> </w:t>
      </w:r>
      <w:r>
        <w:rPr>
          <w:rFonts w:ascii="Times New Roman" w:hAnsi="Times New Roman" w:eastAsia="Times New Roman" w:cs="Times New Roman"/>
          <w:sz w:val="25"/>
          <w:szCs w:val="25"/>
        </w:rPr>
        <w:t>9</w:t>
      </w:r>
      <w:r>
        <w:rPr>
          <w:rFonts w:ascii="Times New Roman" w:hAnsi="Times New Roman" w:eastAsia="Times New Roman" w:cs="Times New Roman"/>
          <w:spacing w:val="20"/>
          <w:w w:val="101"/>
          <w:sz w:val="25"/>
          <w:szCs w:val="25"/>
        </w:rPr>
        <w:t xml:space="preserve"> </w:t>
      </w:r>
      <w:r>
        <w:rPr>
          <w:rFonts w:ascii="仿宋" w:hAnsi="仿宋" w:eastAsia="仿宋" w:cs="仿宋"/>
          <w:sz w:val="25"/>
          <w:szCs w:val="25"/>
        </w:rPr>
        <w:t xml:space="preserve">个， </w:t>
      </w:r>
      <w:r>
        <w:rPr>
          <w:rFonts w:ascii="仿宋" w:hAnsi="仿宋" w:eastAsia="仿宋" w:cs="仿宋"/>
          <w:spacing w:val="3"/>
          <w:sz w:val="25"/>
          <w:szCs w:val="25"/>
        </w:rPr>
        <w:t>区块面积从</w:t>
      </w:r>
      <w:r>
        <w:rPr>
          <w:rFonts w:ascii="仿宋" w:hAnsi="仿宋" w:eastAsia="仿宋" w:cs="仿宋"/>
          <w:spacing w:val="-30"/>
          <w:sz w:val="25"/>
          <w:szCs w:val="25"/>
        </w:rPr>
        <w:t xml:space="preserve"> </w:t>
      </w:r>
      <w:r>
        <w:rPr>
          <w:rFonts w:ascii="Times New Roman" w:hAnsi="Times New Roman" w:eastAsia="Times New Roman" w:cs="Times New Roman"/>
          <w:spacing w:val="3"/>
          <w:sz w:val="25"/>
          <w:szCs w:val="25"/>
        </w:rPr>
        <w:t>37.605</w:t>
      </w:r>
      <w:r>
        <w:rPr>
          <w:rFonts w:ascii="Times New Roman" w:hAnsi="Times New Roman" w:eastAsia="Times New Roman" w:cs="Times New Roman"/>
          <w:sz w:val="25"/>
          <w:szCs w:val="25"/>
        </w:rPr>
        <w:t>km</w:t>
      </w:r>
      <w:r>
        <w:rPr>
          <w:rFonts w:ascii="Times New Roman" w:hAnsi="Times New Roman" w:eastAsia="Times New Roman" w:cs="Times New Roman"/>
          <w:spacing w:val="3"/>
          <w:position w:val="8"/>
          <w:sz w:val="16"/>
          <w:szCs w:val="16"/>
        </w:rPr>
        <w:t>2</w:t>
      </w:r>
      <w:r>
        <w:rPr>
          <w:rFonts w:ascii="Times New Roman" w:hAnsi="Times New Roman" w:eastAsia="Times New Roman" w:cs="Times New Roman"/>
          <w:spacing w:val="21"/>
          <w:position w:val="8"/>
          <w:sz w:val="16"/>
          <w:szCs w:val="16"/>
        </w:rPr>
        <w:t xml:space="preserve"> </w:t>
      </w:r>
      <w:r>
        <w:rPr>
          <w:rFonts w:ascii="仿宋" w:hAnsi="仿宋" w:eastAsia="仿宋" w:cs="仿宋"/>
          <w:spacing w:val="3"/>
          <w:sz w:val="25"/>
          <w:szCs w:val="25"/>
        </w:rPr>
        <w:t>增加至</w:t>
      </w:r>
      <w:r>
        <w:rPr>
          <w:rFonts w:ascii="仿宋" w:hAnsi="仿宋" w:eastAsia="仿宋" w:cs="仿宋"/>
          <w:spacing w:val="-48"/>
          <w:sz w:val="25"/>
          <w:szCs w:val="25"/>
        </w:rPr>
        <w:t xml:space="preserve"> </w:t>
      </w:r>
      <w:r>
        <w:rPr>
          <w:rFonts w:ascii="Times New Roman" w:hAnsi="Times New Roman" w:eastAsia="Times New Roman" w:cs="Times New Roman"/>
          <w:spacing w:val="3"/>
          <w:sz w:val="25"/>
          <w:szCs w:val="25"/>
        </w:rPr>
        <w:t>51.2776</w:t>
      </w:r>
      <w:r>
        <w:rPr>
          <w:rFonts w:ascii="Times New Roman" w:hAnsi="Times New Roman" w:eastAsia="Times New Roman" w:cs="Times New Roman"/>
          <w:sz w:val="25"/>
          <w:szCs w:val="25"/>
        </w:rPr>
        <w:t>km</w:t>
      </w:r>
      <w:r>
        <w:rPr>
          <w:rFonts w:ascii="Times New Roman" w:hAnsi="Times New Roman" w:eastAsia="Times New Roman" w:cs="Times New Roman"/>
          <w:spacing w:val="3"/>
          <w:position w:val="8"/>
          <w:sz w:val="16"/>
          <w:szCs w:val="16"/>
        </w:rPr>
        <w:t xml:space="preserve">2 </w:t>
      </w:r>
      <w:r>
        <w:rPr>
          <w:rFonts w:ascii="仿宋" w:hAnsi="仿宋" w:eastAsia="仿宋" w:cs="仿宋"/>
          <w:spacing w:val="3"/>
          <w:sz w:val="25"/>
          <w:szCs w:val="25"/>
        </w:rPr>
        <w:t>，增加了</w:t>
      </w:r>
      <w:r>
        <w:rPr>
          <w:rFonts w:ascii="仿宋" w:hAnsi="仿宋" w:eastAsia="仿宋" w:cs="仿宋"/>
          <w:spacing w:val="-27"/>
          <w:sz w:val="25"/>
          <w:szCs w:val="25"/>
        </w:rPr>
        <w:t xml:space="preserve"> </w:t>
      </w:r>
      <w:r>
        <w:rPr>
          <w:rFonts w:ascii="Times New Roman" w:hAnsi="Times New Roman" w:eastAsia="Times New Roman" w:cs="Times New Roman"/>
          <w:spacing w:val="3"/>
          <w:sz w:val="25"/>
          <w:szCs w:val="25"/>
        </w:rPr>
        <w:t>13.6726</w:t>
      </w:r>
      <w:r>
        <w:rPr>
          <w:rFonts w:ascii="Times New Roman" w:hAnsi="Times New Roman" w:eastAsia="Times New Roman" w:cs="Times New Roman"/>
          <w:sz w:val="25"/>
          <w:szCs w:val="25"/>
        </w:rPr>
        <w:t>km</w:t>
      </w:r>
      <w:r>
        <w:rPr>
          <w:rFonts w:ascii="Times New Roman" w:hAnsi="Times New Roman" w:eastAsia="Times New Roman" w:cs="Times New Roman"/>
          <w:spacing w:val="3"/>
          <w:position w:val="8"/>
          <w:sz w:val="16"/>
          <w:szCs w:val="16"/>
        </w:rPr>
        <w:t>2</w:t>
      </w:r>
      <w:r>
        <w:rPr>
          <w:rFonts w:ascii="仿宋" w:hAnsi="仿宋" w:eastAsia="仿宋" w:cs="仿宋"/>
          <w:spacing w:val="3"/>
          <w:sz w:val="25"/>
          <w:szCs w:val="25"/>
        </w:rPr>
        <w:t>。</w:t>
      </w:r>
    </w:p>
    <w:p w14:paraId="2F925E45">
      <w:pPr>
        <w:spacing w:before="13" w:line="229" w:lineRule="auto"/>
        <w:ind w:left="1233"/>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2</w:t>
      </w:r>
      <w:r>
        <w:rPr>
          <w:rFonts w:ascii="仿宋" w:hAnsi="仿宋" w:eastAsia="仿宋" w:cs="仿宋"/>
          <w:spacing w:val="7"/>
          <w:sz w:val="25"/>
          <w:szCs w:val="25"/>
        </w:rPr>
        <w:t>）开采规划区块</w:t>
      </w:r>
    </w:p>
    <w:p w14:paraId="77563B87">
      <w:pPr>
        <w:spacing w:before="147" w:line="336" w:lineRule="auto"/>
        <w:ind w:left="748" w:right="792" w:firstLine="481"/>
        <w:rPr>
          <w:rFonts w:ascii="仿宋" w:hAnsi="仿宋" w:eastAsia="仿宋" w:cs="仿宋"/>
          <w:sz w:val="25"/>
          <w:szCs w:val="25"/>
        </w:rPr>
      </w:pPr>
      <w:r>
        <w:rPr>
          <w:rFonts w:ascii="仿宋" w:hAnsi="仿宋" w:eastAsia="仿宋" w:cs="仿宋"/>
          <w:spacing w:val="5"/>
          <w:sz w:val="25"/>
          <w:szCs w:val="25"/>
        </w:rPr>
        <w:t>本次《规划调整》，取消</w:t>
      </w:r>
      <w:r>
        <w:rPr>
          <w:rFonts w:ascii="仿宋" w:hAnsi="仿宋" w:eastAsia="仿宋" w:cs="仿宋"/>
          <w:spacing w:val="-27"/>
          <w:sz w:val="25"/>
          <w:szCs w:val="25"/>
        </w:rPr>
        <w:t xml:space="preserve"> </w:t>
      </w:r>
      <w:r>
        <w:rPr>
          <w:rFonts w:ascii="Times New Roman" w:hAnsi="Times New Roman" w:eastAsia="Times New Roman" w:cs="Times New Roman"/>
          <w:spacing w:val="5"/>
          <w:sz w:val="25"/>
          <w:szCs w:val="25"/>
        </w:rPr>
        <w:t>1</w:t>
      </w:r>
      <w:r>
        <w:rPr>
          <w:rFonts w:ascii="Times New Roman" w:hAnsi="Times New Roman" w:eastAsia="Times New Roman" w:cs="Times New Roman"/>
          <w:spacing w:val="20"/>
          <w:w w:val="101"/>
          <w:sz w:val="25"/>
          <w:szCs w:val="25"/>
        </w:rPr>
        <w:t xml:space="preserve"> </w:t>
      </w:r>
      <w:r>
        <w:rPr>
          <w:rFonts w:ascii="仿宋" w:hAnsi="仿宋" w:eastAsia="仿宋" w:cs="仿宋"/>
          <w:spacing w:val="5"/>
          <w:sz w:val="25"/>
          <w:szCs w:val="25"/>
        </w:rPr>
        <w:t>个开采规划区块</w:t>
      </w:r>
      <w:r>
        <w:rPr>
          <w:rFonts w:ascii="仿宋" w:hAnsi="仿宋" w:eastAsia="仿宋" w:cs="仿宋"/>
          <w:spacing w:val="-48"/>
          <w:sz w:val="25"/>
          <w:szCs w:val="25"/>
        </w:rPr>
        <w:t xml:space="preserve"> </w:t>
      </w:r>
      <w:r>
        <w:rPr>
          <w:rFonts w:ascii="Times New Roman" w:hAnsi="Times New Roman" w:eastAsia="Times New Roman" w:cs="Times New Roman"/>
          <w:sz w:val="25"/>
          <w:szCs w:val="25"/>
        </w:rPr>
        <w:t>CQ</w:t>
      </w:r>
      <w:r>
        <w:rPr>
          <w:rFonts w:ascii="Times New Roman" w:hAnsi="Times New Roman" w:eastAsia="Times New Roman" w:cs="Times New Roman"/>
          <w:spacing w:val="5"/>
          <w:sz w:val="25"/>
          <w:szCs w:val="25"/>
        </w:rPr>
        <w:t>032</w:t>
      </w:r>
      <w:r>
        <w:rPr>
          <w:rFonts w:ascii="仿宋" w:hAnsi="仿宋" w:eastAsia="仿宋" w:cs="仿宋"/>
          <w:spacing w:val="5"/>
          <w:sz w:val="25"/>
          <w:szCs w:val="25"/>
        </w:rPr>
        <w:t>（</w:t>
      </w:r>
      <w:r>
        <w:rPr>
          <w:rFonts w:ascii="仿宋" w:hAnsi="仿宋" w:eastAsia="仿宋" w:cs="仿宋"/>
          <w:spacing w:val="4"/>
          <w:sz w:val="25"/>
          <w:szCs w:val="25"/>
        </w:rPr>
        <w:t>铝土矿</w:t>
      </w:r>
      <w:r>
        <w:rPr>
          <w:rFonts w:ascii="仿宋" w:hAnsi="仿宋" w:eastAsia="仿宋" w:cs="仿宋"/>
          <w:spacing w:val="19"/>
          <w:sz w:val="25"/>
          <w:szCs w:val="25"/>
        </w:rPr>
        <w:t>），</w:t>
      </w:r>
      <w:r>
        <w:rPr>
          <w:rFonts w:ascii="仿宋" w:hAnsi="仿宋" w:eastAsia="仿宋" w:cs="仿宋"/>
          <w:spacing w:val="4"/>
          <w:sz w:val="25"/>
          <w:szCs w:val="25"/>
        </w:rPr>
        <w:t>调整后，</w:t>
      </w:r>
      <w:r>
        <w:rPr>
          <w:rFonts w:ascii="仿宋" w:hAnsi="仿宋" w:eastAsia="仿宋" w:cs="仿宋"/>
          <w:sz w:val="25"/>
          <w:szCs w:val="25"/>
        </w:rPr>
        <w:t xml:space="preserve"> </w:t>
      </w:r>
      <w:r>
        <w:rPr>
          <w:rFonts w:ascii="仿宋" w:hAnsi="仿宋" w:eastAsia="仿宋" w:cs="仿宋"/>
          <w:spacing w:val="5"/>
          <w:sz w:val="25"/>
          <w:szCs w:val="25"/>
        </w:rPr>
        <w:t>开采区块由</w:t>
      </w:r>
      <w:r>
        <w:rPr>
          <w:rFonts w:ascii="仿宋" w:hAnsi="仿宋" w:eastAsia="仿宋" w:cs="仿宋"/>
          <w:spacing w:val="-49"/>
          <w:sz w:val="25"/>
          <w:szCs w:val="25"/>
        </w:rPr>
        <w:t xml:space="preserve"> </w:t>
      </w:r>
      <w:r>
        <w:rPr>
          <w:rFonts w:ascii="Times New Roman" w:hAnsi="Times New Roman" w:eastAsia="Times New Roman" w:cs="Times New Roman"/>
          <w:spacing w:val="5"/>
          <w:sz w:val="25"/>
          <w:szCs w:val="25"/>
        </w:rPr>
        <w:t>32</w:t>
      </w:r>
      <w:r>
        <w:rPr>
          <w:rFonts w:ascii="Times New Roman" w:hAnsi="Times New Roman" w:eastAsia="Times New Roman" w:cs="Times New Roman"/>
          <w:spacing w:val="20"/>
          <w:sz w:val="25"/>
          <w:szCs w:val="25"/>
        </w:rPr>
        <w:t xml:space="preserve"> </w:t>
      </w:r>
      <w:r>
        <w:rPr>
          <w:rFonts w:ascii="仿宋" w:hAnsi="仿宋" w:eastAsia="仿宋" w:cs="仿宋"/>
          <w:spacing w:val="5"/>
          <w:sz w:val="25"/>
          <w:szCs w:val="25"/>
        </w:rPr>
        <w:t>个减少为</w:t>
      </w:r>
      <w:r>
        <w:rPr>
          <w:rFonts w:ascii="仿宋" w:hAnsi="仿宋" w:eastAsia="仿宋" w:cs="仿宋"/>
          <w:spacing w:val="-47"/>
          <w:sz w:val="25"/>
          <w:szCs w:val="25"/>
        </w:rPr>
        <w:t xml:space="preserve"> </w:t>
      </w:r>
      <w:r>
        <w:rPr>
          <w:rFonts w:ascii="Times New Roman" w:hAnsi="Times New Roman" w:eastAsia="Times New Roman" w:cs="Times New Roman"/>
          <w:spacing w:val="5"/>
          <w:sz w:val="25"/>
          <w:szCs w:val="25"/>
        </w:rPr>
        <w:t>31</w:t>
      </w:r>
      <w:r>
        <w:rPr>
          <w:rFonts w:ascii="Times New Roman" w:hAnsi="Times New Roman" w:eastAsia="Times New Roman" w:cs="Times New Roman"/>
          <w:spacing w:val="21"/>
          <w:sz w:val="25"/>
          <w:szCs w:val="25"/>
        </w:rPr>
        <w:t xml:space="preserve"> </w:t>
      </w:r>
      <w:r>
        <w:rPr>
          <w:rFonts w:ascii="仿宋" w:hAnsi="仿宋" w:eastAsia="仿宋" w:cs="仿宋"/>
          <w:spacing w:val="5"/>
          <w:sz w:val="25"/>
          <w:szCs w:val="25"/>
        </w:rPr>
        <w:t>个，面积由</w:t>
      </w:r>
      <w:r>
        <w:rPr>
          <w:rFonts w:ascii="仿宋" w:hAnsi="仿宋" w:eastAsia="仿宋" w:cs="仿宋"/>
          <w:spacing w:val="-50"/>
          <w:sz w:val="25"/>
          <w:szCs w:val="25"/>
        </w:rPr>
        <w:t xml:space="preserve"> </w:t>
      </w:r>
      <w:r>
        <w:rPr>
          <w:rFonts w:ascii="Times New Roman" w:hAnsi="Times New Roman" w:eastAsia="Times New Roman" w:cs="Times New Roman"/>
          <w:spacing w:val="5"/>
          <w:sz w:val="25"/>
          <w:szCs w:val="25"/>
        </w:rPr>
        <w:t>32.</w:t>
      </w:r>
      <w:r>
        <w:rPr>
          <w:rFonts w:ascii="Times New Roman" w:hAnsi="Times New Roman" w:eastAsia="Times New Roman" w:cs="Times New Roman"/>
          <w:spacing w:val="4"/>
          <w:sz w:val="25"/>
          <w:szCs w:val="25"/>
        </w:rPr>
        <w:t>9957</w:t>
      </w:r>
      <w:r>
        <w:rPr>
          <w:rFonts w:ascii="Times New Roman" w:hAnsi="Times New Roman" w:eastAsia="Times New Roman" w:cs="Times New Roman"/>
          <w:sz w:val="25"/>
          <w:szCs w:val="25"/>
        </w:rPr>
        <w:t>km</w:t>
      </w:r>
      <w:r>
        <w:rPr>
          <w:rFonts w:ascii="Times New Roman" w:hAnsi="Times New Roman" w:eastAsia="Times New Roman" w:cs="Times New Roman"/>
          <w:spacing w:val="4"/>
          <w:position w:val="8"/>
          <w:sz w:val="16"/>
          <w:szCs w:val="16"/>
        </w:rPr>
        <w:t>2</w:t>
      </w:r>
      <w:r>
        <w:rPr>
          <w:rFonts w:ascii="Times New Roman" w:hAnsi="Times New Roman" w:eastAsia="Times New Roman" w:cs="Times New Roman"/>
          <w:spacing w:val="23"/>
          <w:position w:val="8"/>
          <w:sz w:val="16"/>
          <w:szCs w:val="16"/>
        </w:rPr>
        <w:t xml:space="preserve"> </w:t>
      </w:r>
      <w:r>
        <w:rPr>
          <w:rFonts w:ascii="仿宋" w:hAnsi="仿宋" w:eastAsia="仿宋" w:cs="仿宋"/>
          <w:spacing w:val="4"/>
          <w:sz w:val="25"/>
          <w:szCs w:val="25"/>
        </w:rPr>
        <w:t>减少为</w:t>
      </w:r>
      <w:r>
        <w:rPr>
          <w:rFonts w:ascii="仿宋" w:hAnsi="仿宋" w:eastAsia="仿宋" w:cs="仿宋"/>
          <w:spacing w:val="-55"/>
          <w:sz w:val="25"/>
          <w:szCs w:val="25"/>
        </w:rPr>
        <w:t xml:space="preserve"> </w:t>
      </w:r>
      <w:r>
        <w:rPr>
          <w:rFonts w:ascii="Times New Roman" w:hAnsi="Times New Roman" w:eastAsia="Times New Roman" w:cs="Times New Roman"/>
          <w:spacing w:val="4"/>
          <w:sz w:val="25"/>
          <w:szCs w:val="25"/>
        </w:rPr>
        <w:t>29.5437</w:t>
      </w:r>
      <w:r>
        <w:rPr>
          <w:rFonts w:ascii="Times New Roman" w:hAnsi="Times New Roman" w:eastAsia="Times New Roman" w:cs="Times New Roman"/>
          <w:sz w:val="25"/>
          <w:szCs w:val="25"/>
        </w:rPr>
        <w:t>km</w:t>
      </w:r>
      <w:r>
        <w:rPr>
          <w:rFonts w:ascii="Times New Roman" w:hAnsi="Times New Roman" w:eastAsia="Times New Roman" w:cs="Times New Roman"/>
          <w:spacing w:val="4"/>
          <w:position w:val="8"/>
          <w:sz w:val="16"/>
          <w:szCs w:val="16"/>
        </w:rPr>
        <w:t>2</w:t>
      </w:r>
      <w:r>
        <w:rPr>
          <w:rFonts w:ascii="仿宋" w:hAnsi="仿宋" w:eastAsia="仿宋" w:cs="仿宋"/>
          <w:spacing w:val="4"/>
          <w:sz w:val="25"/>
          <w:szCs w:val="25"/>
        </w:rPr>
        <w:t>。</w:t>
      </w:r>
    </w:p>
    <w:p w14:paraId="0E278DBA">
      <w:pPr>
        <w:spacing w:before="12" w:line="340" w:lineRule="auto"/>
        <w:ind w:left="748" w:right="734" w:firstLine="479"/>
        <w:jc w:val="both"/>
        <w:rPr>
          <w:rFonts w:ascii="仿宋" w:hAnsi="仿宋" w:eastAsia="仿宋" w:cs="仿宋"/>
          <w:sz w:val="25"/>
          <w:szCs w:val="25"/>
        </w:rPr>
      </w:pPr>
      <w:r>
        <w:rPr>
          <w:rFonts w:ascii="仿宋" w:hAnsi="仿宋" w:eastAsia="仿宋" w:cs="仿宋"/>
          <w:spacing w:val="4"/>
          <w:sz w:val="25"/>
          <w:szCs w:val="25"/>
        </w:rPr>
        <w:t>规划勘查区块变化情况见表</w:t>
      </w:r>
      <w:r>
        <w:rPr>
          <w:rFonts w:ascii="仿宋" w:hAnsi="仿宋" w:eastAsia="仿宋" w:cs="仿宋"/>
          <w:spacing w:val="-43"/>
          <w:sz w:val="25"/>
          <w:szCs w:val="25"/>
        </w:rPr>
        <w:t xml:space="preserve"> </w:t>
      </w:r>
      <w:r>
        <w:rPr>
          <w:rFonts w:ascii="Times New Roman" w:hAnsi="Times New Roman" w:eastAsia="Times New Roman" w:cs="Times New Roman"/>
          <w:spacing w:val="4"/>
          <w:sz w:val="25"/>
          <w:szCs w:val="25"/>
        </w:rPr>
        <w:t>2.2-4</w:t>
      </w:r>
      <w:r>
        <w:rPr>
          <w:rFonts w:ascii="仿宋" w:hAnsi="仿宋" w:eastAsia="仿宋" w:cs="仿宋"/>
          <w:spacing w:val="4"/>
          <w:sz w:val="25"/>
          <w:szCs w:val="25"/>
        </w:rPr>
        <w:t>，规划区块调整前后对比见表</w:t>
      </w:r>
      <w:r>
        <w:rPr>
          <w:rFonts w:ascii="仿宋" w:hAnsi="仿宋" w:eastAsia="仿宋" w:cs="仿宋"/>
          <w:spacing w:val="-55"/>
          <w:sz w:val="25"/>
          <w:szCs w:val="25"/>
        </w:rPr>
        <w:t xml:space="preserve"> </w:t>
      </w:r>
      <w:r>
        <w:rPr>
          <w:rFonts w:ascii="Times New Roman" w:hAnsi="Times New Roman" w:eastAsia="Times New Roman" w:cs="Times New Roman"/>
          <w:spacing w:val="4"/>
          <w:sz w:val="25"/>
          <w:szCs w:val="25"/>
        </w:rPr>
        <w:t>2.2-5</w:t>
      </w:r>
      <w:r>
        <w:rPr>
          <w:rFonts w:ascii="仿宋" w:hAnsi="仿宋" w:eastAsia="仿宋" w:cs="仿宋"/>
          <w:spacing w:val="4"/>
          <w:sz w:val="25"/>
          <w:szCs w:val="25"/>
        </w:rPr>
        <w:t>，规划</w:t>
      </w:r>
      <w:r>
        <w:rPr>
          <w:rFonts w:ascii="仿宋" w:hAnsi="仿宋" w:eastAsia="仿宋" w:cs="仿宋"/>
          <w:sz w:val="25"/>
          <w:szCs w:val="25"/>
        </w:rPr>
        <w:t xml:space="preserve"> </w:t>
      </w:r>
      <w:r>
        <w:rPr>
          <w:rFonts w:ascii="仿宋" w:hAnsi="仿宋" w:eastAsia="仿宋" w:cs="仿宋"/>
          <w:spacing w:val="11"/>
          <w:sz w:val="25"/>
          <w:szCs w:val="25"/>
        </w:rPr>
        <w:t>调整中的勘查区块和开采区块图见附图</w:t>
      </w:r>
      <w:r>
        <w:rPr>
          <w:rFonts w:ascii="仿宋" w:hAnsi="仿宋" w:eastAsia="仿宋" w:cs="仿宋"/>
          <w:spacing w:val="-49"/>
          <w:sz w:val="25"/>
          <w:szCs w:val="25"/>
        </w:rPr>
        <w:t xml:space="preserve"> </w:t>
      </w:r>
      <w:r>
        <w:rPr>
          <w:rFonts w:ascii="Times New Roman" w:hAnsi="Times New Roman" w:eastAsia="Times New Roman" w:cs="Times New Roman"/>
          <w:spacing w:val="11"/>
          <w:sz w:val="25"/>
          <w:szCs w:val="25"/>
        </w:rPr>
        <w:t>2-1</w:t>
      </w:r>
      <w:r>
        <w:rPr>
          <w:rFonts w:ascii="Times New Roman" w:hAnsi="Times New Roman" w:eastAsia="Times New Roman" w:cs="Times New Roman"/>
          <w:spacing w:val="-23"/>
          <w:sz w:val="25"/>
          <w:szCs w:val="25"/>
        </w:rPr>
        <w:t xml:space="preserve"> </w:t>
      </w:r>
      <w:r>
        <w:rPr>
          <w:rFonts w:ascii="仿宋" w:hAnsi="仿宋" w:eastAsia="仿宋" w:cs="仿宋"/>
          <w:spacing w:val="11"/>
          <w:sz w:val="25"/>
          <w:szCs w:val="25"/>
        </w:rPr>
        <w:t>，黔江区矿产</w:t>
      </w:r>
      <w:r>
        <w:rPr>
          <w:rFonts w:ascii="仿宋" w:hAnsi="仿宋" w:eastAsia="仿宋" w:cs="仿宋"/>
          <w:spacing w:val="10"/>
          <w:sz w:val="25"/>
          <w:szCs w:val="25"/>
        </w:rPr>
        <w:t>资源勘查开采规划图</w:t>
      </w:r>
      <w:r>
        <w:rPr>
          <w:rFonts w:ascii="仿宋" w:hAnsi="仿宋" w:eastAsia="仿宋" w:cs="仿宋"/>
          <w:sz w:val="25"/>
          <w:szCs w:val="25"/>
        </w:rPr>
        <w:t xml:space="preserve"> </w:t>
      </w:r>
      <w:r>
        <w:rPr>
          <w:rFonts w:ascii="仿宋" w:hAnsi="仿宋" w:eastAsia="仿宋" w:cs="仿宋"/>
          <w:spacing w:val="2"/>
          <w:sz w:val="25"/>
          <w:szCs w:val="25"/>
        </w:rPr>
        <w:t>见附图</w:t>
      </w:r>
      <w:r>
        <w:rPr>
          <w:rFonts w:ascii="仿宋" w:hAnsi="仿宋" w:eastAsia="仿宋" w:cs="仿宋"/>
          <w:spacing w:val="-51"/>
          <w:sz w:val="25"/>
          <w:szCs w:val="25"/>
        </w:rPr>
        <w:t xml:space="preserve"> </w:t>
      </w:r>
      <w:r>
        <w:rPr>
          <w:rFonts w:ascii="Times New Roman" w:hAnsi="Times New Roman" w:eastAsia="Times New Roman" w:cs="Times New Roman"/>
          <w:spacing w:val="2"/>
          <w:sz w:val="25"/>
          <w:szCs w:val="25"/>
        </w:rPr>
        <w:t>2-2</w:t>
      </w:r>
      <w:r>
        <w:rPr>
          <w:rFonts w:ascii="仿宋" w:hAnsi="仿宋" w:eastAsia="仿宋" w:cs="仿宋"/>
          <w:spacing w:val="2"/>
          <w:sz w:val="25"/>
          <w:szCs w:val="25"/>
        </w:rPr>
        <w:t>。</w:t>
      </w:r>
    </w:p>
    <w:p w14:paraId="05D1BBBD">
      <w:pPr>
        <w:spacing w:before="42" w:line="231" w:lineRule="auto"/>
        <w:ind w:left="2470"/>
        <w:rPr>
          <w:rFonts w:ascii="仿宋" w:hAnsi="仿宋" w:eastAsia="仿宋" w:cs="仿宋"/>
          <w:sz w:val="20"/>
          <w:szCs w:val="20"/>
        </w:rPr>
      </w:pPr>
      <w:r>
        <w:rPr>
          <w:rFonts w:ascii="仿宋" w:hAnsi="仿宋" w:eastAsia="仿宋" w:cs="仿宋"/>
          <w:b/>
          <w:bCs/>
          <w:spacing w:val="7"/>
          <w:sz w:val="20"/>
          <w:szCs w:val="20"/>
        </w:rPr>
        <w:t>表</w:t>
      </w:r>
      <w:r>
        <w:rPr>
          <w:rFonts w:ascii="仿宋" w:hAnsi="仿宋" w:eastAsia="仿宋" w:cs="仿宋"/>
          <w:spacing w:val="-37"/>
          <w:sz w:val="20"/>
          <w:szCs w:val="20"/>
        </w:rPr>
        <w:t xml:space="preserve"> </w:t>
      </w:r>
      <w:r>
        <w:rPr>
          <w:rFonts w:ascii="Times New Roman" w:hAnsi="Times New Roman" w:eastAsia="Times New Roman" w:cs="Times New Roman"/>
          <w:b/>
          <w:bCs/>
          <w:spacing w:val="7"/>
          <w:sz w:val="20"/>
          <w:szCs w:val="20"/>
        </w:rPr>
        <w:t>2.2-4</w:t>
      </w:r>
      <w:r>
        <w:rPr>
          <w:rFonts w:ascii="仿宋" w:hAnsi="仿宋" w:eastAsia="仿宋" w:cs="仿宋"/>
          <w:b/>
          <w:bCs/>
          <w:spacing w:val="7"/>
          <w:sz w:val="20"/>
          <w:szCs w:val="20"/>
        </w:rPr>
        <w:t>《规划调整》勘查区块与《规划》勘查区块变化对比一览表</w:t>
      </w:r>
    </w:p>
    <w:p w14:paraId="4BAF9CE6">
      <w:pPr>
        <w:spacing w:line="21" w:lineRule="exact"/>
      </w:pPr>
    </w:p>
    <w:tbl>
      <w:tblPr>
        <w:tblStyle w:val="5"/>
        <w:tblW w:w="10284"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2"/>
        <w:gridCol w:w="2469"/>
        <w:gridCol w:w="939"/>
        <w:gridCol w:w="763"/>
        <w:gridCol w:w="2363"/>
        <w:gridCol w:w="905"/>
        <w:gridCol w:w="1973"/>
      </w:tblGrid>
      <w:tr w14:paraId="28049A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 w:hRule="atLeast"/>
        </w:trPr>
        <w:tc>
          <w:tcPr>
            <w:tcW w:w="4280" w:type="dxa"/>
            <w:gridSpan w:val="3"/>
            <w:tcBorders>
              <w:top w:val="single" w:color="000000" w:sz="10" w:space="0"/>
              <w:left w:val="single" w:color="000000" w:sz="10" w:space="0"/>
            </w:tcBorders>
            <w:vAlign w:val="top"/>
          </w:tcPr>
          <w:p w14:paraId="604385DE">
            <w:pPr>
              <w:pStyle w:val="6"/>
              <w:spacing w:before="36" w:line="213" w:lineRule="auto"/>
              <w:ind w:left="1341"/>
              <w:rPr>
                <w:sz w:val="19"/>
                <w:szCs w:val="19"/>
              </w:rPr>
            </w:pPr>
            <w:r>
              <w:rPr>
                <w:spacing w:val="8"/>
                <w:sz w:val="19"/>
                <w:szCs w:val="19"/>
              </w:rPr>
              <w:t>《规划》勘查区块</w:t>
            </w:r>
          </w:p>
        </w:tc>
        <w:tc>
          <w:tcPr>
            <w:tcW w:w="4031" w:type="dxa"/>
            <w:gridSpan w:val="3"/>
            <w:tcBorders>
              <w:top w:val="single" w:color="000000" w:sz="10" w:space="0"/>
            </w:tcBorders>
            <w:vAlign w:val="top"/>
          </w:tcPr>
          <w:p w14:paraId="1788BA18">
            <w:pPr>
              <w:pStyle w:val="6"/>
              <w:spacing w:before="36" w:line="213" w:lineRule="auto"/>
              <w:ind w:left="1029"/>
              <w:rPr>
                <w:sz w:val="19"/>
                <w:szCs w:val="19"/>
              </w:rPr>
            </w:pPr>
            <w:r>
              <w:rPr>
                <w:spacing w:val="8"/>
                <w:sz w:val="19"/>
                <w:szCs w:val="19"/>
              </w:rPr>
              <w:t>《规划调整》勘查区块</w:t>
            </w:r>
          </w:p>
        </w:tc>
        <w:tc>
          <w:tcPr>
            <w:tcW w:w="1973" w:type="dxa"/>
            <w:vMerge w:val="restart"/>
            <w:tcBorders>
              <w:top w:val="single" w:color="000000" w:sz="10" w:space="0"/>
              <w:bottom w:val="nil"/>
              <w:right w:val="single" w:color="000000" w:sz="10" w:space="0"/>
            </w:tcBorders>
            <w:vAlign w:val="top"/>
          </w:tcPr>
          <w:p w14:paraId="14032650">
            <w:pPr>
              <w:pStyle w:val="6"/>
              <w:spacing w:before="171" w:line="231" w:lineRule="auto"/>
              <w:ind w:left="606"/>
              <w:rPr>
                <w:sz w:val="19"/>
                <w:szCs w:val="19"/>
              </w:rPr>
            </w:pPr>
            <w:r>
              <w:rPr>
                <w:spacing w:val="4"/>
                <w:sz w:val="19"/>
                <w:szCs w:val="19"/>
              </w:rPr>
              <w:t>变化情况</w:t>
            </w:r>
          </w:p>
        </w:tc>
      </w:tr>
      <w:tr w14:paraId="4FC4B4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trPr>
        <w:tc>
          <w:tcPr>
            <w:tcW w:w="872" w:type="dxa"/>
            <w:tcBorders>
              <w:left w:val="single" w:color="000000" w:sz="10" w:space="0"/>
            </w:tcBorders>
            <w:vAlign w:val="top"/>
          </w:tcPr>
          <w:p w14:paraId="3E28C40E">
            <w:pPr>
              <w:pStyle w:val="6"/>
              <w:spacing w:before="34" w:line="210" w:lineRule="auto"/>
              <w:ind w:left="234"/>
              <w:rPr>
                <w:sz w:val="19"/>
                <w:szCs w:val="19"/>
              </w:rPr>
            </w:pPr>
            <w:r>
              <w:rPr>
                <w:spacing w:val="1"/>
                <w:sz w:val="19"/>
                <w:szCs w:val="19"/>
              </w:rPr>
              <w:t>编号</w:t>
            </w:r>
          </w:p>
        </w:tc>
        <w:tc>
          <w:tcPr>
            <w:tcW w:w="2469" w:type="dxa"/>
            <w:vAlign w:val="top"/>
          </w:tcPr>
          <w:p w14:paraId="79E4B2EC">
            <w:pPr>
              <w:pStyle w:val="6"/>
              <w:spacing w:before="34" w:line="210" w:lineRule="auto"/>
              <w:ind w:left="854"/>
              <w:rPr>
                <w:sz w:val="19"/>
                <w:szCs w:val="19"/>
              </w:rPr>
            </w:pPr>
            <w:r>
              <w:rPr>
                <w:spacing w:val="2"/>
                <w:sz w:val="19"/>
                <w:szCs w:val="19"/>
              </w:rPr>
              <w:t>区块名称</w:t>
            </w:r>
          </w:p>
        </w:tc>
        <w:tc>
          <w:tcPr>
            <w:tcW w:w="939" w:type="dxa"/>
            <w:vAlign w:val="top"/>
          </w:tcPr>
          <w:p w14:paraId="50E461E4">
            <w:pPr>
              <w:pStyle w:val="6"/>
              <w:spacing w:before="34" w:line="210" w:lineRule="auto"/>
              <w:ind w:left="95"/>
              <w:rPr>
                <w:rFonts w:ascii="Times New Roman" w:hAnsi="Times New Roman" w:eastAsia="Times New Roman" w:cs="Times New Roman"/>
                <w:sz w:val="12"/>
                <w:szCs w:val="12"/>
              </w:rPr>
            </w:pPr>
            <w:r>
              <w:rPr>
                <w:spacing w:val="5"/>
                <w:sz w:val="19"/>
                <w:szCs w:val="19"/>
              </w:rPr>
              <w:t>面积</w:t>
            </w:r>
            <w:r>
              <w:rPr>
                <w:spacing w:val="-41"/>
                <w:sz w:val="19"/>
                <w:szCs w:val="19"/>
              </w:rPr>
              <w:t xml:space="preserve"> </w:t>
            </w:r>
            <w:r>
              <w:rPr>
                <w:rFonts w:ascii="Times New Roman" w:hAnsi="Times New Roman" w:eastAsia="Times New Roman" w:cs="Times New Roman"/>
                <w:sz w:val="19"/>
                <w:szCs w:val="19"/>
              </w:rPr>
              <w:t>km</w:t>
            </w:r>
            <w:r>
              <w:rPr>
                <w:rFonts w:ascii="Times New Roman" w:hAnsi="Times New Roman" w:eastAsia="Times New Roman" w:cs="Times New Roman"/>
                <w:spacing w:val="5"/>
                <w:position w:val="6"/>
                <w:sz w:val="12"/>
                <w:szCs w:val="12"/>
              </w:rPr>
              <w:t>2</w:t>
            </w:r>
          </w:p>
        </w:tc>
        <w:tc>
          <w:tcPr>
            <w:tcW w:w="763" w:type="dxa"/>
            <w:vAlign w:val="top"/>
          </w:tcPr>
          <w:p w14:paraId="6E7D94F3">
            <w:pPr>
              <w:pStyle w:val="6"/>
              <w:spacing w:before="34" w:line="210" w:lineRule="auto"/>
              <w:ind w:left="193"/>
              <w:rPr>
                <w:sz w:val="19"/>
                <w:szCs w:val="19"/>
              </w:rPr>
            </w:pPr>
            <w:r>
              <w:rPr>
                <w:spacing w:val="1"/>
                <w:sz w:val="19"/>
                <w:szCs w:val="19"/>
              </w:rPr>
              <w:t>编号</w:t>
            </w:r>
          </w:p>
        </w:tc>
        <w:tc>
          <w:tcPr>
            <w:tcW w:w="2363" w:type="dxa"/>
            <w:vAlign w:val="top"/>
          </w:tcPr>
          <w:p w14:paraId="57E3D4FC">
            <w:pPr>
              <w:pStyle w:val="6"/>
              <w:spacing w:before="34" w:line="210" w:lineRule="auto"/>
              <w:ind w:left="811"/>
              <w:rPr>
                <w:sz w:val="19"/>
                <w:szCs w:val="19"/>
              </w:rPr>
            </w:pPr>
            <w:r>
              <w:rPr>
                <w:spacing w:val="2"/>
                <w:sz w:val="19"/>
                <w:szCs w:val="19"/>
              </w:rPr>
              <w:t>区块名称</w:t>
            </w:r>
          </w:p>
        </w:tc>
        <w:tc>
          <w:tcPr>
            <w:tcW w:w="905" w:type="dxa"/>
            <w:vAlign w:val="top"/>
          </w:tcPr>
          <w:p w14:paraId="3E2436D0">
            <w:pPr>
              <w:pStyle w:val="6"/>
              <w:spacing w:before="34" w:line="210" w:lineRule="auto"/>
              <w:ind w:left="88"/>
              <w:rPr>
                <w:rFonts w:ascii="Times New Roman" w:hAnsi="Times New Roman" w:eastAsia="Times New Roman" w:cs="Times New Roman"/>
                <w:sz w:val="12"/>
                <w:szCs w:val="12"/>
              </w:rPr>
            </w:pPr>
            <w:r>
              <w:rPr>
                <w:spacing w:val="6"/>
                <w:sz w:val="19"/>
                <w:szCs w:val="19"/>
              </w:rPr>
              <w:t>面积</w:t>
            </w:r>
            <w:r>
              <w:rPr>
                <w:spacing w:val="-43"/>
                <w:sz w:val="19"/>
                <w:szCs w:val="19"/>
              </w:rPr>
              <w:t xml:space="preserve"> </w:t>
            </w:r>
            <w:r>
              <w:rPr>
                <w:rFonts w:ascii="Times New Roman" w:hAnsi="Times New Roman" w:eastAsia="Times New Roman" w:cs="Times New Roman"/>
                <w:sz w:val="19"/>
                <w:szCs w:val="19"/>
              </w:rPr>
              <w:t>km</w:t>
            </w:r>
            <w:r>
              <w:rPr>
                <w:rFonts w:ascii="Times New Roman" w:hAnsi="Times New Roman" w:eastAsia="Times New Roman" w:cs="Times New Roman"/>
                <w:spacing w:val="6"/>
                <w:position w:val="6"/>
                <w:sz w:val="12"/>
                <w:szCs w:val="12"/>
              </w:rPr>
              <w:t>2</w:t>
            </w:r>
          </w:p>
        </w:tc>
        <w:tc>
          <w:tcPr>
            <w:tcW w:w="1973" w:type="dxa"/>
            <w:vMerge w:val="continue"/>
            <w:tcBorders>
              <w:top w:val="nil"/>
              <w:right w:val="single" w:color="000000" w:sz="10" w:space="0"/>
            </w:tcBorders>
            <w:vAlign w:val="top"/>
          </w:tcPr>
          <w:p w14:paraId="46A1DB3D">
            <w:pPr>
              <w:rPr>
                <w:rFonts w:ascii="Arial"/>
                <w:sz w:val="21"/>
              </w:rPr>
            </w:pPr>
          </w:p>
        </w:tc>
      </w:tr>
      <w:tr w14:paraId="7BEABB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0" w:hRule="atLeast"/>
        </w:trPr>
        <w:tc>
          <w:tcPr>
            <w:tcW w:w="872" w:type="dxa"/>
            <w:tcBorders>
              <w:left w:val="single" w:color="000000" w:sz="10" w:space="0"/>
            </w:tcBorders>
            <w:vAlign w:val="top"/>
          </w:tcPr>
          <w:p w14:paraId="4A6BDC38">
            <w:pPr>
              <w:spacing w:line="393" w:lineRule="auto"/>
              <w:rPr>
                <w:rFonts w:ascii="Arial"/>
                <w:sz w:val="21"/>
              </w:rPr>
            </w:pPr>
          </w:p>
          <w:p w14:paraId="53476480">
            <w:pPr>
              <w:spacing w:before="55" w:line="197" w:lineRule="auto"/>
              <w:ind w:left="126"/>
              <w:rPr>
                <w:rFonts w:ascii="Times New Roman" w:hAnsi="Times New Roman" w:eastAsia="Times New Roman" w:cs="Times New Roman"/>
                <w:sz w:val="19"/>
                <w:szCs w:val="19"/>
              </w:rPr>
            </w:pPr>
            <w:r>
              <w:rPr>
                <w:rFonts w:ascii="Times New Roman" w:hAnsi="Times New Roman" w:eastAsia="Times New Roman" w:cs="Times New Roman"/>
                <w:sz w:val="19"/>
                <w:szCs w:val="19"/>
              </w:rPr>
              <w:t>KQ</w:t>
            </w:r>
            <w:r>
              <w:rPr>
                <w:rFonts w:ascii="Times New Roman" w:hAnsi="Times New Roman" w:eastAsia="Times New Roman" w:cs="Times New Roman"/>
                <w:spacing w:val="8"/>
                <w:sz w:val="19"/>
                <w:szCs w:val="19"/>
              </w:rPr>
              <w:t>001</w:t>
            </w:r>
          </w:p>
        </w:tc>
        <w:tc>
          <w:tcPr>
            <w:tcW w:w="2469" w:type="dxa"/>
            <w:vAlign w:val="top"/>
          </w:tcPr>
          <w:p w14:paraId="21D90622">
            <w:pPr>
              <w:pStyle w:val="6"/>
              <w:spacing w:before="286" w:line="252" w:lineRule="auto"/>
              <w:ind w:left="235" w:right="142" w:hanging="93"/>
              <w:rPr>
                <w:sz w:val="19"/>
                <w:szCs w:val="19"/>
              </w:rPr>
            </w:pPr>
            <w:r>
              <w:rPr>
                <w:spacing w:val="8"/>
                <w:sz w:val="19"/>
                <w:szCs w:val="19"/>
              </w:rPr>
              <w:t>重庆市黔江区水田乡石郎</w:t>
            </w:r>
            <w:r>
              <w:rPr>
                <w:sz w:val="19"/>
                <w:szCs w:val="19"/>
              </w:rPr>
              <w:t xml:space="preserve"> </w:t>
            </w:r>
            <w:r>
              <w:rPr>
                <w:spacing w:val="8"/>
                <w:sz w:val="19"/>
                <w:szCs w:val="19"/>
              </w:rPr>
              <w:t>村桃子坡水泥用灰岩矿</w:t>
            </w:r>
          </w:p>
        </w:tc>
        <w:tc>
          <w:tcPr>
            <w:tcW w:w="939" w:type="dxa"/>
            <w:vAlign w:val="top"/>
          </w:tcPr>
          <w:p w14:paraId="46E941FE">
            <w:pPr>
              <w:spacing w:line="393" w:lineRule="auto"/>
              <w:rPr>
                <w:rFonts w:ascii="Arial"/>
                <w:sz w:val="21"/>
              </w:rPr>
            </w:pPr>
          </w:p>
          <w:p w14:paraId="1685C757">
            <w:pPr>
              <w:spacing w:before="55" w:line="195" w:lineRule="auto"/>
              <w:ind w:left="195"/>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0.9702</w:t>
            </w:r>
          </w:p>
        </w:tc>
        <w:tc>
          <w:tcPr>
            <w:tcW w:w="763" w:type="dxa"/>
            <w:vAlign w:val="top"/>
          </w:tcPr>
          <w:p w14:paraId="00ACF599">
            <w:pPr>
              <w:spacing w:line="393" w:lineRule="auto"/>
              <w:rPr>
                <w:rFonts w:ascii="Arial"/>
                <w:sz w:val="21"/>
              </w:rPr>
            </w:pPr>
          </w:p>
          <w:p w14:paraId="21A34D0F">
            <w:pPr>
              <w:spacing w:before="55" w:line="197" w:lineRule="auto"/>
              <w:ind w:left="85"/>
              <w:rPr>
                <w:rFonts w:ascii="Times New Roman" w:hAnsi="Times New Roman" w:eastAsia="Times New Roman" w:cs="Times New Roman"/>
                <w:sz w:val="19"/>
                <w:szCs w:val="19"/>
              </w:rPr>
            </w:pPr>
            <w:r>
              <w:rPr>
                <w:rFonts w:ascii="Times New Roman" w:hAnsi="Times New Roman" w:eastAsia="Times New Roman" w:cs="Times New Roman"/>
                <w:sz w:val="19"/>
                <w:szCs w:val="19"/>
              </w:rPr>
              <w:t>KQ</w:t>
            </w:r>
            <w:r>
              <w:rPr>
                <w:rFonts w:ascii="Times New Roman" w:hAnsi="Times New Roman" w:eastAsia="Times New Roman" w:cs="Times New Roman"/>
                <w:spacing w:val="8"/>
                <w:sz w:val="19"/>
                <w:szCs w:val="19"/>
              </w:rPr>
              <w:t>001</w:t>
            </w:r>
          </w:p>
        </w:tc>
        <w:tc>
          <w:tcPr>
            <w:tcW w:w="2363" w:type="dxa"/>
            <w:vAlign w:val="top"/>
          </w:tcPr>
          <w:p w14:paraId="03F651D7">
            <w:pPr>
              <w:pStyle w:val="6"/>
              <w:spacing w:before="157" w:line="231" w:lineRule="auto"/>
              <w:ind w:left="200"/>
              <w:rPr>
                <w:sz w:val="19"/>
                <w:szCs w:val="19"/>
              </w:rPr>
            </w:pPr>
            <w:r>
              <w:rPr>
                <w:spacing w:val="7"/>
                <w:sz w:val="19"/>
                <w:szCs w:val="19"/>
              </w:rPr>
              <w:t>重庆市黔江区水田乡石</w:t>
            </w:r>
          </w:p>
          <w:p w14:paraId="6564C894">
            <w:pPr>
              <w:pStyle w:val="6"/>
              <w:spacing w:before="20" w:line="231" w:lineRule="auto"/>
              <w:ind w:left="210"/>
              <w:rPr>
                <w:sz w:val="19"/>
                <w:szCs w:val="19"/>
              </w:rPr>
            </w:pPr>
            <w:r>
              <w:rPr>
                <w:spacing w:val="6"/>
                <w:sz w:val="19"/>
                <w:szCs w:val="19"/>
              </w:rPr>
              <w:t>郎村桃子坡水泥用灰岩</w:t>
            </w:r>
          </w:p>
          <w:p w14:paraId="2022DC2C">
            <w:pPr>
              <w:pStyle w:val="6"/>
              <w:spacing w:before="21" w:line="233" w:lineRule="auto"/>
              <w:ind w:left="1094"/>
              <w:rPr>
                <w:sz w:val="19"/>
                <w:szCs w:val="19"/>
              </w:rPr>
            </w:pPr>
            <w:r>
              <w:rPr>
                <w:sz w:val="19"/>
                <w:szCs w:val="19"/>
              </w:rPr>
              <w:t>矿</w:t>
            </w:r>
          </w:p>
        </w:tc>
        <w:tc>
          <w:tcPr>
            <w:tcW w:w="905" w:type="dxa"/>
            <w:vAlign w:val="top"/>
          </w:tcPr>
          <w:p w14:paraId="51CC36EE">
            <w:pPr>
              <w:spacing w:line="393" w:lineRule="auto"/>
              <w:rPr>
                <w:rFonts w:ascii="Arial"/>
                <w:sz w:val="21"/>
              </w:rPr>
            </w:pPr>
          </w:p>
          <w:p w14:paraId="6E3CA46F">
            <w:pPr>
              <w:spacing w:before="55" w:line="195" w:lineRule="auto"/>
              <w:ind w:left="189"/>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0.9702</w:t>
            </w:r>
          </w:p>
        </w:tc>
        <w:tc>
          <w:tcPr>
            <w:tcW w:w="1973" w:type="dxa"/>
            <w:tcBorders>
              <w:right w:val="single" w:color="000000" w:sz="10" w:space="0"/>
            </w:tcBorders>
            <w:vAlign w:val="top"/>
          </w:tcPr>
          <w:p w14:paraId="2422916C">
            <w:pPr>
              <w:spacing w:line="352" w:lineRule="auto"/>
              <w:rPr>
                <w:rFonts w:ascii="Arial"/>
                <w:sz w:val="21"/>
              </w:rPr>
            </w:pPr>
          </w:p>
          <w:p w14:paraId="621BB198">
            <w:pPr>
              <w:pStyle w:val="6"/>
              <w:spacing w:before="62" w:line="231" w:lineRule="auto"/>
              <w:ind w:left="703"/>
              <w:rPr>
                <w:sz w:val="19"/>
                <w:szCs w:val="19"/>
              </w:rPr>
            </w:pPr>
            <w:r>
              <w:rPr>
                <w:spacing w:val="4"/>
                <w:sz w:val="19"/>
                <w:szCs w:val="19"/>
              </w:rPr>
              <w:t>无变化</w:t>
            </w:r>
          </w:p>
        </w:tc>
      </w:tr>
      <w:tr w14:paraId="296096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trPr>
        <w:tc>
          <w:tcPr>
            <w:tcW w:w="872" w:type="dxa"/>
            <w:tcBorders>
              <w:left w:val="single" w:color="000000" w:sz="10" w:space="0"/>
              <w:bottom w:val="single" w:color="000000" w:sz="10" w:space="0"/>
            </w:tcBorders>
            <w:vAlign w:val="top"/>
          </w:tcPr>
          <w:p w14:paraId="44815D9D">
            <w:pPr>
              <w:spacing w:before="189" w:line="197" w:lineRule="auto"/>
              <w:ind w:left="126"/>
              <w:rPr>
                <w:rFonts w:ascii="Times New Roman" w:hAnsi="Times New Roman" w:eastAsia="Times New Roman" w:cs="Times New Roman"/>
                <w:sz w:val="19"/>
                <w:szCs w:val="19"/>
              </w:rPr>
            </w:pPr>
            <w:r>
              <w:rPr>
                <w:rFonts w:ascii="Times New Roman" w:hAnsi="Times New Roman" w:eastAsia="Times New Roman" w:cs="Times New Roman"/>
                <w:sz w:val="19"/>
                <w:szCs w:val="19"/>
              </w:rPr>
              <w:t>KQ</w:t>
            </w:r>
            <w:r>
              <w:rPr>
                <w:rFonts w:ascii="Times New Roman" w:hAnsi="Times New Roman" w:eastAsia="Times New Roman" w:cs="Times New Roman"/>
                <w:spacing w:val="8"/>
                <w:sz w:val="19"/>
                <w:szCs w:val="19"/>
              </w:rPr>
              <w:t>002</w:t>
            </w:r>
          </w:p>
        </w:tc>
        <w:tc>
          <w:tcPr>
            <w:tcW w:w="2469" w:type="dxa"/>
            <w:tcBorders>
              <w:bottom w:val="single" w:color="000000" w:sz="10" w:space="0"/>
            </w:tcBorders>
            <w:vAlign w:val="top"/>
          </w:tcPr>
          <w:p w14:paraId="2554C82E">
            <w:pPr>
              <w:pStyle w:val="6"/>
              <w:spacing w:before="215" w:line="231" w:lineRule="auto"/>
              <w:ind w:left="142"/>
              <w:rPr>
                <w:sz w:val="19"/>
                <w:szCs w:val="19"/>
              </w:rPr>
            </w:pPr>
            <w:r>
              <w:rPr>
                <w:spacing w:val="8"/>
                <w:sz w:val="19"/>
                <w:szCs w:val="19"/>
              </w:rPr>
              <w:t>重庆市黔江区邻鄂镇殷家</w:t>
            </w:r>
          </w:p>
        </w:tc>
        <w:tc>
          <w:tcPr>
            <w:tcW w:w="939" w:type="dxa"/>
            <w:tcBorders>
              <w:bottom w:val="single" w:color="000000" w:sz="10" w:space="0"/>
            </w:tcBorders>
            <w:vAlign w:val="top"/>
          </w:tcPr>
          <w:p w14:paraId="248A458B">
            <w:pPr>
              <w:spacing w:before="189" w:line="195" w:lineRule="auto"/>
              <w:ind w:left="195"/>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0.2418</w:t>
            </w:r>
          </w:p>
        </w:tc>
        <w:tc>
          <w:tcPr>
            <w:tcW w:w="763" w:type="dxa"/>
            <w:tcBorders>
              <w:bottom w:val="single" w:color="000000" w:sz="10" w:space="0"/>
            </w:tcBorders>
            <w:vAlign w:val="top"/>
          </w:tcPr>
          <w:p w14:paraId="54B3AB56">
            <w:pPr>
              <w:spacing w:before="189" w:line="197" w:lineRule="auto"/>
              <w:ind w:left="85"/>
              <w:rPr>
                <w:rFonts w:ascii="Times New Roman" w:hAnsi="Times New Roman" w:eastAsia="Times New Roman" w:cs="Times New Roman"/>
                <w:sz w:val="19"/>
                <w:szCs w:val="19"/>
              </w:rPr>
            </w:pPr>
            <w:r>
              <w:rPr>
                <w:rFonts w:ascii="Times New Roman" w:hAnsi="Times New Roman" w:eastAsia="Times New Roman" w:cs="Times New Roman"/>
                <w:sz w:val="19"/>
                <w:szCs w:val="19"/>
              </w:rPr>
              <w:t>KQ</w:t>
            </w:r>
            <w:r>
              <w:rPr>
                <w:rFonts w:ascii="Times New Roman" w:hAnsi="Times New Roman" w:eastAsia="Times New Roman" w:cs="Times New Roman"/>
                <w:spacing w:val="8"/>
                <w:sz w:val="19"/>
                <w:szCs w:val="19"/>
              </w:rPr>
              <w:t>002</w:t>
            </w:r>
          </w:p>
        </w:tc>
        <w:tc>
          <w:tcPr>
            <w:tcW w:w="2363" w:type="dxa"/>
            <w:tcBorders>
              <w:bottom w:val="single" w:color="000000" w:sz="10" w:space="0"/>
            </w:tcBorders>
            <w:vAlign w:val="top"/>
          </w:tcPr>
          <w:p w14:paraId="6BAFDA92">
            <w:pPr>
              <w:pStyle w:val="6"/>
              <w:spacing w:before="215" w:line="231" w:lineRule="auto"/>
              <w:ind w:left="200"/>
              <w:rPr>
                <w:sz w:val="19"/>
                <w:szCs w:val="19"/>
              </w:rPr>
            </w:pPr>
            <w:r>
              <w:rPr>
                <w:spacing w:val="7"/>
                <w:sz w:val="19"/>
                <w:szCs w:val="19"/>
              </w:rPr>
              <w:t>重庆市黔江区邻鄂镇殷</w:t>
            </w:r>
          </w:p>
        </w:tc>
        <w:tc>
          <w:tcPr>
            <w:tcW w:w="905" w:type="dxa"/>
            <w:tcBorders>
              <w:bottom w:val="single" w:color="000000" w:sz="10" w:space="0"/>
            </w:tcBorders>
            <w:vAlign w:val="top"/>
          </w:tcPr>
          <w:p w14:paraId="3D301B11">
            <w:pPr>
              <w:spacing w:before="189" w:line="195" w:lineRule="auto"/>
              <w:ind w:left="189"/>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0.2418</w:t>
            </w:r>
          </w:p>
        </w:tc>
        <w:tc>
          <w:tcPr>
            <w:tcW w:w="1973" w:type="dxa"/>
            <w:tcBorders>
              <w:bottom w:val="single" w:color="000000" w:sz="10" w:space="0"/>
              <w:right w:val="single" w:color="000000" w:sz="10" w:space="0"/>
            </w:tcBorders>
            <w:vAlign w:val="top"/>
          </w:tcPr>
          <w:p w14:paraId="5182DA9B">
            <w:pPr>
              <w:pStyle w:val="6"/>
              <w:spacing w:before="155" w:line="231" w:lineRule="auto"/>
              <w:ind w:left="703"/>
              <w:rPr>
                <w:sz w:val="19"/>
                <w:szCs w:val="19"/>
              </w:rPr>
            </w:pPr>
            <w:r>
              <w:rPr>
                <w:spacing w:val="4"/>
                <w:sz w:val="19"/>
                <w:szCs w:val="19"/>
              </w:rPr>
              <w:t>无变化</w:t>
            </w:r>
          </w:p>
        </w:tc>
      </w:tr>
    </w:tbl>
    <w:p w14:paraId="5A8311D6">
      <w:pPr>
        <w:pStyle w:val="2"/>
        <w:spacing w:line="216" w:lineRule="exact"/>
        <w:rPr>
          <w:sz w:val="18"/>
        </w:rPr>
      </w:pPr>
    </w:p>
    <w:p w14:paraId="089B3904">
      <w:pPr>
        <w:spacing w:line="216" w:lineRule="exact"/>
        <w:rPr>
          <w:sz w:val="18"/>
          <w:szCs w:val="18"/>
        </w:rPr>
        <w:sectPr>
          <w:headerReference r:id="rId59" w:type="default"/>
          <w:footerReference r:id="rId60" w:type="default"/>
          <w:pgSz w:w="11906" w:h="16839"/>
          <w:pgMar w:top="1116" w:right="741" w:bottom="1480" w:left="854" w:header="683" w:footer="1318" w:gutter="0"/>
          <w:cols w:space="720" w:num="1"/>
        </w:sectPr>
      </w:pPr>
    </w:p>
    <w:p w14:paraId="12CECEAD">
      <w:pPr>
        <w:spacing w:before="82"/>
      </w:pPr>
    </w:p>
    <w:tbl>
      <w:tblPr>
        <w:tblStyle w:val="5"/>
        <w:tblW w:w="10284"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2"/>
        <w:gridCol w:w="2469"/>
        <w:gridCol w:w="939"/>
        <w:gridCol w:w="763"/>
        <w:gridCol w:w="2363"/>
        <w:gridCol w:w="905"/>
        <w:gridCol w:w="1973"/>
      </w:tblGrid>
      <w:tr w14:paraId="5C5128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872" w:type="dxa"/>
            <w:tcBorders>
              <w:top w:val="single" w:color="000000" w:sz="10" w:space="0"/>
              <w:left w:val="single" w:color="000000" w:sz="10" w:space="0"/>
            </w:tcBorders>
            <w:vAlign w:val="top"/>
          </w:tcPr>
          <w:p w14:paraId="1B0F6F3A">
            <w:pPr>
              <w:rPr>
                <w:rFonts w:ascii="Arial"/>
                <w:sz w:val="21"/>
              </w:rPr>
            </w:pPr>
          </w:p>
        </w:tc>
        <w:tc>
          <w:tcPr>
            <w:tcW w:w="2469" w:type="dxa"/>
            <w:tcBorders>
              <w:top w:val="single" w:color="000000" w:sz="10" w:space="0"/>
            </w:tcBorders>
            <w:vAlign w:val="top"/>
          </w:tcPr>
          <w:p w14:paraId="3A676986">
            <w:pPr>
              <w:pStyle w:val="6"/>
              <w:spacing w:before="16" w:line="232" w:lineRule="auto"/>
              <w:ind w:left="339"/>
              <w:rPr>
                <w:sz w:val="19"/>
                <w:szCs w:val="19"/>
              </w:rPr>
            </w:pPr>
            <w:r>
              <w:rPr>
                <w:spacing w:val="8"/>
                <w:sz w:val="19"/>
                <w:szCs w:val="19"/>
              </w:rPr>
              <w:t>坨饰面石材用灰岩矿</w:t>
            </w:r>
          </w:p>
        </w:tc>
        <w:tc>
          <w:tcPr>
            <w:tcW w:w="939" w:type="dxa"/>
            <w:tcBorders>
              <w:top w:val="single" w:color="000000" w:sz="10" w:space="0"/>
            </w:tcBorders>
            <w:vAlign w:val="top"/>
          </w:tcPr>
          <w:p w14:paraId="68FA7527">
            <w:pPr>
              <w:rPr>
                <w:rFonts w:ascii="Arial"/>
                <w:sz w:val="21"/>
              </w:rPr>
            </w:pPr>
          </w:p>
        </w:tc>
        <w:tc>
          <w:tcPr>
            <w:tcW w:w="763" w:type="dxa"/>
            <w:tcBorders>
              <w:top w:val="single" w:color="000000" w:sz="10" w:space="0"/>
            </w:tcBorders>
            <w:vAlign w:val="top"/>
          </w:tcPr>
          <w:p w14:paraId="54A9D7D9">
            <w:pPr>
              <w:rPr>
                <w:rFonts w:ascii="Arial"/>
                <w:sz w:val="21"/>
              </w:rPr>
            </w:pPr>
          </w:p>
        </w:tc>
        <w:tc>
          <w:tcPr>
            <w:tcW w:w="2363" w:type="dxa"/>
            <w:tcBorders>
              <w:top w:val="single" w:color="000000" w:sz="10" w:space="0"/>
            </w:tcBorders>
            <w:vAlign w:val="top"/>
          </w:tcPr>
          <w:p w14:paraId="06E9E158">
            <w:pPr>
              <w:pStyle w:val="6"/>
              <w:spacing w:before="16" w:line="232" w:lineRule="auto"/>
              <w:ind w:left="196"/>
              <w:rPr>
                <w:sz w:val="19"/>
                <w:szCs w:val="19"/>
              </w:rPr>
            </w:pPr>
            <w:r>
              <w:rPr>
                <w:spacing w:val="8"/>
                <w:sz w:val="19"/>
                <w:szCs w:val="19"/>
              </w:rPr>
              <w:t>家坨饰面石材用灰岩矿</w:t>
            </w:r>
          </w:p>
        </w:tc>
        <w:tc>
          <w:tcPr>
            <w:tcW w:w="905" w:type="dxa"/>
            <w:tcBorders>
              <w:top w:val="single" w:color="000000" w:sz="10" w:space="0"/>
            </w:tcBorders>
            <w:vAlign w:val="top"/>
          </w:tcPr>
          <w:p w14:paraId="0F98CD40">
            <w:pPr>
              <w:rPr>
                <w:rFonts w:ascii="Arial"/>
                <w:sz w:val="21"/>
              </w:rPr>
            </w:pPr>
          </w:p>
        </w:tc>
        <w:tc>
          <w:tcPr>
            <w:tcW w:w="1973" w:type="dxa"/>
            <w:tcBorders>
              <w:top w:val="single" w:color="000000" w:sz="10" w:space="0"/>
              <w:right w:val="single" w:color="000000" w:sz="10" w:space="0"/>
            </w:tcBorders>
            <w:vAlign w:val="top"/>
          </w:tcPr>
          <w:p w14:paraId="08806954">
            <w:pPr>
              <w:rPr>
                <w:rFonts w:ascii="Arial"/>
                <w:sz w:val="21"/>
              </w:rPr>
            </w:pPr>
          </w:p>
        </w:tc>
      </w:tr>
      <w:tr w14:paraId="3D5EB0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9" w:hRule="atLeast"/>
        </w:trPr>
        <w:tc>
          <w:tcPr>
            <w:tcW w:w="872" w:type="dxa"/>
            <w:tcBorders>
              <w:left w:val="single" w:color="000000" w:sz="10" w:space="0"/>
            </w:tcBorders>
            <w:vAlign w:val="top"/>
          </w:tcPr>
          <w:p w14:paraId="4F0AB304">
            <w:pPr>
              <w:spacing w:line="389" w:lineRule="auto"/>
              <w:rPr>
                <w:rFonts w:ascii="Arial"/>
                <w:sz w:val="21"/>
              </w:rPr>
            </w:pPr>
          </w:p>
          <w:p w14:paraId="75DA90A0">
            <w:pPr>
              <w:spacing w:before="55" w:line="197" w:lineRule="auto"/>
              <w:ind w:left="126"/>
              <w:rPr>
                <w:rFonts w:ascii="Times New Roman" w:hAnsi="Times New Roman" w:eastAsia="Times New Roman" w:cs="Times New Roman"/>
                <w:sz w:val="19"/>
                <w:szCs w:val="19"/>
              </w:rPr>
            </w:pPr>
            <w:r>
              <w:rPr>
                <w:rFonts w:ascii="Times New Roman" w:hAnsi="Times New Roman" w:eastAsia="Times New Roman" w:cs="Times New Roman"/>
                <w:sz w:val="19"/>
                <w:szCs w:val="19"/>
              </w:rPr>
              <w:t>KQ</w:t>
            </w:r>
            <w:r>
              <w:rPr>
                <w:rFonts w:ascii="Times New Roman" w:hAnsi="Times New Roman" w:eastAsia="Times New Roman" w:cs="Times New Roman"/>
                <w:spacing w:val="8"/>
                <w:sz w:val="19"/>
                <w:szCs w:val="19"/>
              </w:rPr>
              <w:t>003</w:t>
            </w:r>
          </w:p>
        </w:tc>
        <w:tc>
          <w:tcPr>
            <w:tcW w:w="2469" w:type="dxa"/>
            <w:vAlign w:val="top"/>
          </w:tcPr>
          <w:p w14:paraId="0A3A7AF3">
            <w:pPr>
              <w:pStyle w:val="6"/>
              <w:spacing w:before="282" w:line="252" w:lineRule="auto"/>
              <w:ind w:left="136" w:right="140" w:firstLine="6"/>
              <w:rPr>
                <w:sz w:val="19"/>
                <w:szCs w:val="19"/>
              </w:rPr>
            </w:pPr>
            <w:r>
              <w:rPr>
                <w:spacing w:val="8"/>
                <w:sz w:val="19"/>
                <w:szCs w:val="19"/>
              </w:rPr>
              <w:t>重庆市黔江区沙坝镇脉东</w:t>
            </w:r>
            <w:r>
              <w:rPr>
                <w:sz w:val="19"/>
                <w:szCs w:val="19"/>
              </w:rPr>
              <w:t xml:space="preserve"> </w:t>
            </w:r>
            <w:r>
              <w:rPr>
                <w:spacing w:val="8"/>
                <w:sz w:val="19"/>
                <w:szCs w:val="19"/>
              </w:rPr>
              <w:t>社区石筒槽饰面用灰岩矿</w:t>
            </w:r>
          </w:p>
        </w:tc>
        <w:tc>
          <w:tcPr>
            <w:tcW w:w="939" w:type="dxa"/>
            <w:vAlign w:val="top"/>
          </w:tcPr>
          <w:p w14:paraId="124D2ECE">
            <w:pPr>
              <w:spacing w:line="382" w:lineRule="auto"/>
              <w:rPr>
                <w:rFonts w:ascii="Arial"/>
                <w:sz w:val="21"/>
              </w:rPr>
            </w:pPr>
          </w:p>
          <w:p w14:paraId="6DF23198">
            <w:pPr>
              <w:spacing w:before="57"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0.0297</w:t>
            </w:r>
          </w:p>
        </w:tc>
        <w:tc>
          <w:tcPr>
            <w:tcW w:w="763" w:type="dxa"/>
            <w:vAlign w:val="top"/>
          </w:tcPr>
          <w:p w14:paraId="46435FEC">
            <w:pPr>
              <w:spacing w:line="389" w:lineRule="auto"/>
              <w:rPr>
                <w:rFonts w:ascii="Arial"/>
                <w:sz w:val="21"/>
              </w:rPr>
            </w:pPr>
          </w:p>
          <w:p w14:paraId="059E1A41">
            <w:pPr>
              <w:spacing w:before="55" w:line="197" w:lineRule="auto"/>
              <w:ind w:left="85"/>
              <w:rPr>
                <w:rFonts w:ascii="Times New Roman" w:hAnsi="Times New Roman" w:eastAsia="Times New Roman" w:cs="Times New Roman"/>
                <w:sz w:val="19"/>
                <w:szCs w:val="19"/>
              </w:rPr>
            </w:pPr>
            <w:r>
              <w:rPr>
                <w:rFonts w:ascii="Times New Roman" w:hAnsi="Times New Roman" w:eastAsia="Times New Roman" w:cs="Times New Roman"/>
                <w:sz w:val="19"/>
                <w:szCs w:val="19"/>
              </w:rPr>
              <w:t>KQ</w:t>
            </w:r>
            <w:r>
              <w:rPr>
                <w:rFonts w:ascii="Times New Roman" w:hAnsi="Times New Roman" w:eastAsia="Times New Roman" w:cs="Times New Roman"/>
                <w:spacing w:val="8"/>
                <w:sz w:val="19"/>
                <w:szCs w:val="19"/>
              </w:rPr>
              <w:t>003</w:t>
            </w:r>
          </w:p>
        </w:tc>
        <w:tc>
          <w:tcPr>
            <w:tcW w:w="2363" w:type="dxa"/>
            <w:vAlign w:val="top"/>
          </w:tcPr>
          <w:p w14:paraId="2FDAB433">
            <w:pPr>
              <w:pStyle w:val="6"/>
              <w:spacing w:before="153" w:line="231" w:lineRule="auto"/>
              <w:ind w:left="200"/>
              <w:rPr>
                <w:sz w:val="19"/>
                <w:szCs w:val="19"/>
              </w:rPr>
            </w:pPr>
            <w:r>
              <w:rPr>
                <w:spacing w:val="7"/>
                <w:sz w:val="19"/>
                <w:szCs w:val="19"/>
              </w:rPr>
              <w:t>重庆市黔江区沙坝镇脉</w:t>
            </w:r>
          </w:p>
          <w:p w14:paraId="1F8C43F6">
            <w:pPr>
              <w:pStyle w:val="6"/>
              <w:spacing w:before="21" w:line="231" w:lineRule="auto"/>
              <w:ind w:left="198"/>
              <w:rPr>
                <w:sz w:val="19"/>
                <w:szCs w:val="19"/>
              </w:rPr>
            </w:pPr>
            <w:r>
              <w:rPr>
                <w:spacing w:val="8"/>
                <w:sz w:val="19"/>
                <w:szCs w:val="19"/>
              </w:rPr>
              <w:t>东社区石筒槽饰面用灰</w:t>
            </w:r>
          </w:p>
          <w:p w14:paraId="3493C93F">
            <w:pPr>
              <w:pStyle w:val="6"/>
              <w:spacing w:before="20" w:line="233" w:lineRule="auto"/>
              <w:ind w:left="991"/>
              <w:rPr>
                <w:sz w:val="19"/>
                <w:szCs w:val="19"/>
              </w:rPr>
            </w:pPr>
            <w:r>
              <w:rPr>
                <w:spacing w:val="3"/>
                <w:sz w:val="19"/>
                <w:szCs w:val="19"/>
              </w:rPr>
              <w:t>岩矿</w:t>
            </w:r>
          </w:p>
        </w:tc>
        <w:tc>
          <w:tcPr>
            <w:tcW w:w="905" w:type="dxa"/>
            <w:vAlign w:val="top"/>
          </w:tcPr>
          <w:p w14:paraId="66A00C24">
            <w:pPr>
              <w:spacing w:line="382" w:lineRule="auto"/>
              <w:rPr>
                <w:rFonts w:ascii="Arial"/>
                <w:sz w:val="21"/>
              </w:rPr>
            </w:pPr>
          </w:p>
          <w:p w14:paraId="2EED9CFE">
            <w:pPr>
              <w:spacing w:before="57"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0.0297</w:t>
            </w:r>
          </w:p>
        </w:tc>
        <w:tc>
          <w:tcPr>
            <w:tcW w:w="1973" w:type="dxa"/>
            <w:tcBorders>
              <w:right w:val="single" w:color="000000" w:sz="10" w:space="0"/>
            </w:tcBorders>
            <w:vAlign w:val="top"/>
          </w:tcPr>
          <w:p w14:paraId="5395F0C9">
            <w:pPr>
              <w:spacing w:line="347" w:lineRule="auto"/>
              <w:rPr>
                <w:rFonts w:ascii="Arial"/>
                <w:sz w:val="21"/>
              </w:rPr>
            </w:pPr>
          </w:p>
          <w:p w14:paraId="7B2CAAF3">
            <w:pPr>
              <w:pStyle w:val="6"/>
              <w:spacing w:before="62" w:line="231" w:lineRule="auto"/>
              <w:ind w:left="200"/>
              <w:rPr>
                <w:sz w:val="19"/>
                <w:szCs w:val="19"/>
              </w:rPr>
            </w:pPr>
            <w:r>
              <w:rPr>
                <w:spacing w:val="8"/>
                <w:sz w:val="19"/>
                <w:szCs w:val="19"/>
              </w:rPr>
              <w:t>本次补充评价区块</w:t>
            </w:r>
          </w:p>
        </w:tc>
      </w:tr>
      <w:tr w14:paraId="53CB67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872" w:type="dxa"/>
            <w:tcBorders>
              <w:left w:val="single" w:color="000000" w:sz="10" w:space="0"/>
            </w:tcBorders>
            <w:vAlign w:val="top"/>
          </w:tcPr>
          <w:p w14:paraId="636493CD">
            <w:pPr>
              <w:spacing w:line="263" w:lineRule="auto"/>
              <w:rPr>
                <w:rFonts w:ascii="Arial"/>
                <w:sz w:val="21"/>
              </w:rPr>
            </w:pPr>
          </w:p>
          <w:p w14:paraId="7CE6F5FD">
            <w:pPr>
              <w:spacing w:before="55" w:line="197" w:lineRule="auto"/>
              <w:ind w:left="126"/>
              <w:rPr>
                <w:rFonts w:ascii="Times New Roman" w:hAnsi="Times New Roman" w:eastAsia="Times New Roman" w:cs="Times New Roman"/>
                <w:sz w:val="19"/>
                <w:szCs w:val="19"/>
              </w:rPr>
            </w:pPr>
            <w:r>
              <w:rPr>
                <w:rFonts w:ascii="Times New Roman" w:hAnsi="Times New Roman" w:eastAsia="Times New Roman" w:cs="Times New Roman"/>
                <w:sz w:val="19"/>
                <w:szCs w:val="19"/>
              </w:rPr>
              <w:t>KQ</w:t>
            </w:r>
            <w:r>
              <w:rPr>
                <w:rFonts w:ascii="Times New Roman" w:hAnsi="Times New Roman" w:eastAsia="Times New Roman" w:cs="Times New Roman"/>
                <w:spacing w:val="8"/>
                <w:sz w:val="19"/>
                <w:szCs w:val="19"/>
              </w:rPr>
              <w:t>004</w:t>
            </w:r>
          </w:p>
        </w:tc>
        <w:tc>
          <w:tcPr>
            <w:tcW w:w="2469" w:type="dxa"/>
            <w:vAlign w:val="top"/>
          </w:tcPr>
          <w:p w14:paraId="072C9036">
            <w:pPr>
              <w:pStyle w:val="6"/>
              <w:spacing w:before="155" w:line="253" w:lineRule="auto"/>
              <w:ind w:left="736" w:right="142" w:hanging="594"/>
              <w:rPr>
                <w:sz w:val="19"/>
                <w:szCs w:val="19"/>
              </w:rPr>
            </w:pPr>
            <w:r>
              <w:rPr>
                <w:spacing w:val="8"/>
                <w:sz w:val="19"/>
                <w:szCs w:val="19"/>
              </w:rPr>
              <w:t>重庆市黔江区中塘乡二坪</w:t>
            </w:r>
            <w:r>
              <w:rPr>
                <w:sz w:val="19"/>
                <w:szCs w:val="19"/>
              </w:rPr>
              <w:t xml:space="preserve"> </w:t>
            </w:r>
            <w:r>
              <w:rPr>
                <w:spacing w:val="6"/>
                <w:sz w:val="19"/>
                <w:szCs w:val="19"/>
              </w:rPr>
              <w:t>铝土矿普查</w:t>
            </w:r>
          </w:p>
        </w:tc>
        <w:tc>
          <w:tcPr>
            <w:tcW w:w="939" w:type="dxa"/>
            <w:vAlign w:val="top"/>
          </w:tcPr>
          <w:p w14:paraId="2426CDF8">
            <w:pPr>
              <w:spacing w:line="264" w:lineRule="auto"/>
              <w:rPr>
                <w:rFonts w:ascii="Arial"/>
                <w:sz w:val="21"/>
              </w:rPr>
            </w:pPr>
          </w:p>
          <w:p w14:paraId="40F1EA76">
            <w:pPr>
              <w:spacing w:before="54" w:line="195" w:lineRule="auto"/>
              <w:ind w:left="196"/>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3.9566</w:t>
            </w:r>
          </w:p>
        </w:tc>
        <w:tc>
          <w:tcPr>
            <w:tcW w:w="763" w:type="dxa"/>
            <w:vAlign w:val="top"/>
          </w:tcPr>
          <w:p w14:paraId="2D583308">
            <w:pPr>
              <w:spacing w:line="263" w:lineRule="auto"/>
              <w:rPr>
                <w:rFonts w:ascii="Arial"/>
                <w:sz w:val="21"/>
              </w:rPr>
            </w:pPr>
          </w:p>
          <w:p w14:paraId="41E31454">
            <w:pPr>
              <w:spacing w:before="55" w:line="197" w:lineRule="auto"/>
              <w:ind w:left="85"/>
              <w:rPr>
                <w:rFonts w:ascii="Times New Roman" w:hAnsi="Times New Roman" w:eastAsia="Times New Roman" w:cs="Times New Roman"/>
                <w:sz w:val="19"/>
                <w:szCs w:val="19"/>
              </w:rPr>
            </w:pPr>
            <w:r>
              <w:rPr>
                <w:rFonts w:ascii="Times New Roman" w:hAnsi="Times New Roman" w:eastAsia="Times New Roman" w:cs="Times New Roman"/>
                <w:sz w:val="19"/>
                <w:szCs w:val="19"/>
              </w:rPr>
              <w:t>KQ</w:t>
            </w:r>
            <w:r>
              <w:rPr>
                <w:rFonts w:ascii="Times New Roman" w:hAnsi="Times New Roman" w:eastAsia="Times New Roman" w:cs="Times New Roman"/>
                <w:spacing w:val="8"/>
                <w:sz w:val="19"/>
                <w:szCs w:val="19"/>
              </w:rPr>
              <w:t>004</w:t>
            </w:r>
          </w:p>
        </w:tc>
        <w:tc>
          <w:tcPr>
            <w:tcW w:w="2363" w:type="dxa"/>
            <w:vAlign w:val="top"/>
          </w:tcPr>
          <w:p w14:paraId="16D5163D">
            <w:pPr>
              <w:pStyle w:val="6"/>
              <w:spacing w:before="157" w:line="252" w:lineRule="auto"/>
              <w:ind w:left="594" w:right="178" w:hanging="394"/>
              <w:rPr>
                <w:sz w:val="19"/>
                <w:szCs w:val="19"/>
              </w:rPr>
            </w:pPr>
            <w:r>
              <w:rPr>
                <w:spacing w:val="7"/>
                <w:sz w:val="19"/>
                <w:szCs w:val="19"/>
              </w:rPr>
              <w:t>重庆市黔江区中塘乡二</w:t>
            </w:r>
            <w:r>
              <w:rPr>
                <w:spacing w:val="8"/>
                <w:sz w:val="19"/>
                <w:szCs w:val="19"/>
              </w:rPr>
              <w:t xml:space="preserve"> </w:t>
            </w:r>
            <w:r>
              <w:rPr>
                <w:spacing w:val="7"/>
                <w:sz w:val="19"/>
                <w:szCs w:val="19"/>
              </w:rPr>
              <w:t>坪铝土矿普查</w:t>
            </w:r>
          </w:p>
        </w:tc>
        <w:tc>
          <w:tcPr>
            <w:tcW w:w="905" w:type="dxa"/>
            <w:vAlign w:val="top"/>
          </w:tcPr>
          <w:p w14:paraId="25F062E8">
            <w:pPr>
              <w:spacing w:line="264" w:lineRule="auto"/>
              <w:rPr>
                <w:rFonts w:ascii="Arial"/>
                <w:sz w:val="21"/>
              </w:rPr>
            </w:pPr>
          </w:p>
          <w:p w14:paraId="2D5F054E">
            <w:pPr>
              <w:spacing w:before="54" w:line="195" w:lineRule="auto"/>
              <w:ind w:left="154"/>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17.2590</w:t>
            </w:r>
          </w:p>
        </w:tc>
        <w:tc>
          <w:tcPr>
            <w:tcW w:w="1973" w:type="dxa"/>
            <w:tcBorders>
              <w:right w:val="single" w:color="000000" w:sz="10" w:space="0"/>
            </w:tcBorders>
            <w:vAlign w:val="top"/>
          </w:tcPr>
          <w:p w14:paraId="6C6268D2">
            <w:pPr>
              <w:pStyle w:val="6"/>
              <w:spacing w:before="286" w:line="231" w:lineRule="auto"/>
              <w:ind w:left="402"/>
              <w:rPr>
                <w:sz w:val="19"/>
                <w:szCs w:val="19"/>
              </w:rPr>
            </w:pPr>
            <w:r>
              <w:rPr>
                <w:spacing w:val="7"/>
                <w:sz w:val="19"/>
                <w:szCs w:val="19"/>
              </w:rPr>
              <w:t>本次调整区块</w:t>
            </w:r>
          </w:p>
        </w:tc>
      </w:tr>
      <w:tr w14:paraId="780E6B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1" w:hRule="atLeast"/>
        </w:trPr>
        <w:tc>
          <w:tcPr>
            <w:tcW w:w="872" w:type="dxa"/>
            <w:tcBorders>
              <w:left w:val="single" w:color="000000" w:sz="10" w:space="0"/>
            </w:tcBorders>
            <w:vAlign w:val="top"/>
          </w:tcPr>
          <w:p w14:paraId="0A749088">
            <w:pPr>
              <w:spacing w:line="266" w:lineRule="auto"/>
              <w:rPr>
                <w:rFonts w:ascii="Arial"/>
                <w:sz w:val="21"/>
              </w:rPr>
            </w:pPr>
          </w:p>
          <w:p w14:paraId="0E370AD7">
            <w:pPr>
              <w:spacing w:before="55" w:line="197" w:lineRule="auto"/>
              <w:ind w:left="126"/>
              <w:rPr>
                <w:rFonts w:ascii="Times New Roman" w:hAnsi="Times New Roman" w:eastAsia="Times New Roman" w:cs="Times New Roman"/>
                <w:sz w:val="19"/>
                <w:szCs w:val="19"/>
              </w:rPr>
            </w:pPr>
            <w:r>
              <w:rPr>
                <w:rFonts w:ascii="Times New Roman" w:hAnsi="Times New Roman" w:eastAsia="Times New Roman" w:cs="Times New Roman"/>
                <w:sz w:val="19"/>
                <w:szCs w:val="19"/>
              </w:rPr>
              <w:t>KQ</w:t>
            </w:r>
            <w:r>
              <w:rPr>
                <w:rFonts w:ascii="Times New Roman" w:hAnsi="Times New Roman" w:eastAsia="Times New Roman" w:cs="Times New Roman"/>
                <w:spacing w:val="8"/>
                <w:sz w:val="19"/>
                <w:szCs w:val="19"/>
              </w:rPr>
              <w:t>005</w:t>
            </w:r>
          </w:p>
        </w:tc>
        <w:tc>
          <w:tcPr>
            <w:tcW w:w="2469" w:type="dxa"/>
            <w:vAlign w:val="top"/>
          </w:tcPr>
          <w:p w14:paraId="4422A8DA">
            <w:pPr>
              <w:pStyle w:val="6"/>
              <w:spacing w:before="161" w:line="252" w:lineRule="auto"/>
              <w:ind w:left="336" w:right="142" w:hanging="194"/>
              <w:rPr>
                <w:sz w:val="19"/>
                <w:szCs w:val="19"/>
              </w:rPr>
            </w:pPr>
            <w:r>
              <w:rPr>
                <w:spacing w:val="8"/>
                <w:sz w:val="19"/>
                <w:szCs w:val="19"/>
              </w:rPr>
              <w:t>重庆市黔江区石家镇清塘</w:t>
            </w:r>
            <w:r>
              <w:rPr>
                <w:sz w:val="19"/>
                <w:szCs w:val="19"/>
              </w:rPr>
              <w:t xml:space="preserve"> </w:t>
            </w:r>
            <w:r>
              <w:rPr>
                <w:spacing w:val="8"/>
                <w:sz w:val="19"/>
                <w:szCs w:val="19"/>
              </w:rPr>
              <w:t>村风岩坡萤石矿普查</w:t>
            </w:r>
          </w:p>
        </w:tc>
        <w:tc>
          <w:tcPr>
            <w:tcW w:w="939" w:type="dxa"/>
            <w:vAlign w:val="top"/>
          </w:tcPr>
          <w:p w14:paraId="3591AB02">
            <w:pPr>
              <w:spacing w:line="267" w:lineRule="auto"/>
              <w:rPr>
                <w:rFonts w:ascii="Arial"/>
                <w:sz w:val="21"/>
              </w:rPr>
            </w:pPr>
          </w:p>
          <w:p w14:paraId="641187EC">
            <w:pPr>
              <w:spacing w:before="54" w:line="195" w:lineRule="auto"/>
              <w:ind w:left="246"/>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0.262</w:t>
            </w:r>
          </w:p>
        </w:tc>
        <w:tc>
          <w:tcPr>
            <w:tcW w:w="763" w:type="dxa"/>
            <w:vAlign w:val="top"/>
          </w:tcPr>
          <w:p w14:paraId="60ADCAED">
            <w:pPr>
              <w:spacing w:line="266" w:lineRule="auto"/>
              <w:rPr>
                <w:rFonts w:ascii="Arial"/>
                <w:sz w:val="21"/>
              </w:rPr>
            </w:pPr>
          </w:p>
          <w:p w14:paraId="4F8DC5A8">
            <w:pPr>
              <w:spacing w:before="55" w:line="197" w:lineRule="auto"/>
              <w:ind w:left="85"/>
              <w:rPr>
                <w:rFonts w:ascii="Times New Roman" w:hAnsi="Times New Roman" w:eastAsia="Times New Roman" w:cs="Times New Roman"/>
                <w:sz w:val="19"/>
                <w:szCs w:val="19"/>
              </w:rPr>
            </w:pPr>
            <w:r>
              <w:rPr>
                <w:rFonts w:ascii="Times New Roman" w:hAnsi="Times New Roman" w:eastAsia="Times New Roman" w:cs="Times New Roman"/>
                <w:sz w:val="19"/>
                <w:szCs w:val="19"/>
              </w:rPr>
              <w:t>KQ</w:t>
            </w:r>
            <w:r>
              <w:rPr>
                <w:rFonts w:ascii="Times New Roman" w:hAnsi="Times New Roman" w:eastAsia="Times New Roman" w:cs="Times New Roman"/>
                <w:spacing w:val="8"/>
                <w:sz w:val="19"/>
                <w:szCs w:val="19"/>
              </w:rPr>
              <w:t>005</w:t>
            </w:r>
          </w:p>
        </w:tc>
        <w:tc>
          <w:tcPr>
            <w:tcW w:w="2363" w:type="dxa"/>
            <w:vAlign w:val="top"/>
          </w:tcPr>
          <w:p w14:paraId="16F0FB24">
            <w:pPr>
              <w:pStyle w:val="6"/>
              <w:spacing w:before="161" w:line="252" w:lineRule="auto"/>
              <w:ind w:left="194" w:right="178" w:firstLine="6"/>
              <w:rPr>
                <w:sz w:val="19"/>
                <w:szCs w:val="19"/>
              </w:rPr>
            </w:pPr>
            <w:r>
              <w:rPr>
                <w:spacing w:val="7"/>
                <w:sz w:val="19"/>
                <w:szCs w:val="19"/>
              </w:rPr>
              <w:t>重庆市黔江区石家镇清</w:t>
            </w:r>
            <w:r>
              <w:rPr>
                <w:spacing w:val="8"/>
                <w:sz w:val="19"/>
                <w:szCs w:val="19"/>
              </w:rPr>
              <w:t xml:space="preserve"> 塘村风岩坡萤石矿普查</w:t>
            </w:r>
          </w:p>
        </w:tc>
        <w:tc>
          <w:tcPr>
            <w:tcW w:w="905" w:type="dxa"/>
            <w:vAlign w:val="top"/>
          </w:tcPr>
          <w:p w14:paraId="59AA1D07">
            <w:pPr>
              <w:spacing w:line="267" w:lineRule="auto"/>
              <w:rPr>
                <w:rFonts w:ascii="Arial"/>
                <w:sz w:val="21"/>
              </w:rPr>
            </w:pPr>
          </w:p>
          <w:p w14:paraId="66DC1630">
            <w:pPr>
              <w:spacing w:before="54" w:line="195" w:lineRule="auto"/>
              <w:ind w:left="239"/>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0.262</w:t>
            </w:r>
          </w:p>
        </w:tc>
        <w:tc>
          <w:tcPr>
            <w:tcW w:w="1973" w:type="dxa"/>
            <w:tcBorders>
              <w:right w:val="single" w:color="000000" w:sz="10" w:space="0"/>
            </w:tcBorders>
            <w:vAlign w:val="top"/>
          </w:tcPr>
          <w:p w14:paraId="6700B804">
            <w:pPr>
              <w:pStyle w:val="6"/>
              <w:spacing w:before="289" w:line="231" w:lineRule="auto"/>
              <w:ind w:left="703"/>
              <w:rPr>
                <w:sz w:val="19"/>
                <w:szCs w:val="19"/>
              </w:rPr>
            </w:pPr>
            <w:r>
              <w:rPr>
                <w:spacing w:val="4"/>
                <w:sz w:val="19"/>
                <w:szCs w:val="19"/>
              </w:rPr>
              <w:t>无变化</w:t>
            </w:r>
          </w:p>
        </w:tc>
      </w:tr>
      <w:tr w14:paraId="3FF680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1" w:hRule="atLeast"/>
        </w:trPr>
        <w:tc>
          <w:tcPr>
            <w:tcW w:w="872" w:type="dxa"/>
            <w:tcBorders>
              <w:left w:val="single" w:color="000000" w:sz="10" w:space="0"/>
            </w:tcBorders>
            <w:vAlign w:val="top"/>
          </w:tcPr>
          <w:p w14:paraId="63C3B048">
            <w:pPr>
              <w:spacing w:line="271" w:lineRule="auto"/>
              <w:rPr>
                <w:rFonts w:ascii="Arial"/>
                <w:sz w:val="21"/>
              </w:rPr>
            </w:pPr>
          </w:p>
          <w:p w14:paraId="2D1F07E4">
            <w:pPr>
              <w:spacing w:before="54" w:line="197" w:lineRule="auto"/>
              <w:ind w:left="126"/>
              <w:rPr>
                <w:rFonts w:ascii="Times New Roman" w:hAnsi="Times New Roman" w:eastAsia="Times New Roman" w:cs="Times New Roman"/>
                <w:sz w:val="19"/>
                <w:szCs w:val="19"/>
              </w:rPr>
            </w:pPr>
            <w:r>
              <w:rPr>
                <w:rFonts w:ascii="Times New Roman" w:hAnsi="Times New Roman" w:eastAsia="Times New Roman" w:cs="Times New Roman"/>
                <w:sz w:val="19"/>
                <w:szCs w:val="19"/>
              </w:rPr>
              <w:t>KQ</w:t>
            </w:r>
            <w:r>
              <w:rPr>
                <w:rFonts w:ascii="Times New Roman" w:hAnsi="Times New Roman" w:eastAsia="Times New Roman" w:cs="Times New Roman"/>
                <w:spacing w:val="8"/>
                <w:sz w:val="19"/>
                <w:szCs w:val="19"/>
              </w:rPr>
              <w:t>006</w:t>
            </w:r>
          </w:p>
        </w:tc>
        <w:tc>
          <w:tcPr>
            <w:tcW w:w="2469" w:type="dxa"/>
            <w:vAlign w:val="top"/>
          </w:tcPr>
          <w:p w14:paraId="1BD6F627">
            <w:pPr>
              <w:pStyle w:val="6"/>
              <w:spacing w:before="163" w:line="252" w:lineRule="auto"/>
              <w:ind w:left="535" w:right="142" w:hanging="393"/>
              <w:rPr>
                <w:sz w:val="19"/>
                <w:szCs w:val="19"/>
              </w:rPr>
            </w:pPr>
            <w:r>
              <w:rPr>
                <w:spacing w:val="8"/>
                <w:sz w:val="19"/>
                <w:szCs w:val="19"/>
              </w:rPr>
              <w:t>重庆市黔江区新华乡大田</w:t>
            </w:r>
            <w:r>
              <w:rPr>
                <w:sz w:val="19"/>
                <w:szCs w:val="19"/>
              </w:rPr>
              <w:t xml:space="preserve"> </w:t>
            </w:r>
            <w:r>
              <w:rPr>
                <w:spacing w:val="8"/>
                <w:sz w:val="19"/>
                <w:szCs w:val="19"/>
              </w:rPr>
              <w:t>村长湾重晶石矿</w:t>
            </w:r>
          </w:p>
        </w:tc>
        <w:tc>
          <w:tcPr>
            <w:tcW w:w="939" w:type="dxa"/>
            <w:vAlign w:val="top"/>
          </w:tcPr>
          <w:p w14:paraId="0DC5A7CF">
            <w:pPr>
              <w:spacing w:line="271" w:lineRule="auto"/>
              <w:rPr>
                <w:rFonts w:ascii="Arial"/>
                <w:sz w:val="21"/>
              </w:rPr>
            </w:pPr>
          </w:p>
          <w:p w14:paraId="607B5551">
            <w:pPr>
              <w:spacing w:before="55" w:line="195" w:lineRule="auto"/>
              <w:ind w:left="142"/>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22.1643</w:t>
            </w:r>
          </w:p>
        </w:tc>
        <w:tc>
          <w:tcPr>
            <w:tcW w:w="763" w:type="dxa"/>
            <w:vAlign w:val="top"/>
          </w:tcPr>
          <w:p w14:paraId="73CF107F">
            <w:pPr>
              <w:spacing w:line="271" w:lineRule="auto"/>
              <w:rPr>
                <w:rFonts w:ascii="Arial"/>
                <w:sz w:val="21"/>
              </w:rPr>
            </w:pPr>
          </w:p>
          <w:p w14:paraId="5D841D59">
            <w:pPr>
              <w:spacing w:before="54" w:line="197" w:lineRule="auto"/>
              <w:ind w:left="85"/>
              <w:rPr>
                <w:rFonts w:ascii="Times New Roman" w:hAnsi="Times New Roman" w:eastAsia="Times New Roman" w:cs="Times New Roman"/>
                <w:sz w:val="19"/>
                <w:szCs w:val="19"/>
              </w:rPr>
            </w:pPr>
            <w:r>
              <w:rPr>
                <w:rFonts w:ascii="Times New Roman" w:hAnsi="Times New Roman" w:eastAsia="Times New Roman" w:cs="Times New Roman"/>
                <w:sz w:val="19"/>
                <w:szCs w:val="19"/>
              </w:rPr>
              <w:t>KQ</w:t>
            </w:r>
            <w:r>
              <w:rPr>
                <w:rFonts w:ascii="Times New Roman" w:hAnsi="Times New Roman" w:eastAsia="Times New Roman" w:cs="Times New Roman"/>
                <w:spacing w:val="8"/>
                <w:sz w:val="19"/>
                <w:szCs w:val="19"/>
              </w:rPr>
              <w:t>006</w:t>
            </w:r>
          </w:p>
        </w:tc>
        <w:tc>
          <w:tcPr>
            <w:tcW w:w="2363" w:type="dxa"/>
            <w:vAlign w:val="top"/>
          </w:tcPr>
          <w:p w14:paraId="64786D7D">
            <w:pPr>
              <w:pStyle w:val="6"/>
              <w:spacing w:before="163" w:line="252" w:lineRule="auto"/>
              <w:ind w:left="420" w:right="178" w:hanging="220"/>
              <w:rPr>
                <w:sz w:val="19"/>
                <w:szCs w:val="19"/>
              </w:rPr>
            </w:pPr>
            <w:r>
              <w:rPr>
                <w:spacing w:val="7"/>
                <w:sz w:val="19"/>
                <w:szCs w:val="19"/>
              </w:rPr>
              <w:t>重庆市黔江区新华乡大</w:t>
            </w:r>
            <w:r>
              <w:rPr>
                <w:spacing w:val="8"/>
                <w:sz w:val="19"/>
                <w:szCs w:val="19"/>
              </w:rPr>
              <w:t xml:space="preserve"> </w:t>
            </w:r>
            <w:r>
              <w:rPr>
                <w:spacing w:val="4"/>
                <w:sz w:val="19"/>
                <w:szCs w:val="19"/>
              </w:rPr>
              <w:t>田村长湾重晶石矿</w:t>
            </w:r>
          </w:p>
        </w:tc>
        <w:tc>
          <w:tcPr>
            <w:tcW w:w="905" w:type="dxa"/>
            <w:vAlign w:val="top"/>
          </w:tcPr>
          <w:p w14:paraId="1FB43A73">
            <w:pPr>
              <w:spacing w:line="271" w:lineRule="auto"/>
              <w:rPr>
                <w:rFonts w:ascii="Arial"/>
                <w:sz w:val="21"/>
              </w:rPr>
            </w:pPr>
          </w:p>
          <w:p w14:paraId="19D99488">
            <w:pPr>
              <w:spacing w:before="55" w:line="195" w:lineRule="auto"/>
              <w:ind w:left="135"/>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22.1643</w:t>
            </w:r>
          </w:p>
        </w:tc>
        <w:tc>
          <w:tcPr>
            <w:tcW w:w="1973" w:type="dxa"/>
            <w:tcBorders>
              <w:right w:val="single" w:color="000000" w:sz="10" w:space="0"/>
            </w:tcBorders>
            <w:vAlign w:val="top"/>
          </w:tcPr>
          <w:p w14:paraId="7D288C0D">
            <w:pPr>
              <w:pStyle w:val="6"/>
              <w:spacing w:before="293" w:line="231" w:lineRule="auto"/>
              <w:ind w:left="703"/>
              <w:rPr>
                <w:sz w:val="19"/>
                <w:szCs w:val="19"/>
              </w:rPr>
            </w:pPr>
            <w:r>
              <w:rPr>
                <w:spacing w:val="4"/>
                <w:sz w:val="19"/>
                <w:szCs w:val="19"/>
              </w:rPr>
              <w:t>无变化</w:t>
            </w:r>
          </w:p>
        </w:tc>
      </w:tr>
      <w:tr w14:paraId="720F00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1" w:hRule="atLeast"/>
        </w:trPr>
        <w:tc>
          <w:tcPr>
            <w:tcW w:w="872" w:type="dxa"/>
            <w:tcBorders>
              <w:left w:val="single" w:color="000000" w:sz="10" w:space="0"/>
            </w:tcBorders>
            <w:vAlign w:val="top"/>
          </w:tcPr>
          <w:p w14:paraId="7BD3C217">
            <w:pPr>
              <w:spacing w:line="273" w:lineRule="auto"/>
              <w:rPr>
                <w:rFonts w:ascii="Arial"/>
                <w:sz w:val="21"/>
              </w:rPr>
            </w:pPr>
          </w:p>
          <w:p w14:paraId="6BC34460">
            <w:pPr>
              <w:spacing w:before="54" w:line="197" w:lineRule="auto"/>
              <w:ind w:left="126"/>
              <w:rPr>
                <w:rFonts w:ascii="Times New Roman" w:hAnsi="Times New Roman" w:eastAsia="Times New Roman" w:cs="Times New Roman"/>
                <w:sz w:val="19"/>
                <w:szCs w:val="19"/>
              </w:rPr>
            </w:pPr>
            <w:r>
              <w:rPr>
                <w:rFonts w:ascii="Times New Roman" w:hAnsi="Times New Roman" w:eastAsia="Times New Roman" w:cs="Times New Roman"/>
                <w:sz w:val="19"/>
                <w:szCs w:val="19"/>
              </w:rPr>
              <w:t>KQ</w:t>
            </w:r>
            <w:r>
              <w:rPr>
                <w:rFonts w:ascii="Times New Roman" w:hAnsi="Times New Roman" w:eastAsia="Times New Roman" w:cs="Times New Roman"/>
                <w:spacing w:val="8"/>
                <w:sz w:val="19"/>
                <w:szCs w:val="19"/>
              </w:rPr>
              <w:t>007</w:t>
            </w:r>
          </w:p>
        </w:tc>
        <w:tc>
          <w:tcPr>
            <w:tcW w:w="2469" w:type="dxa"/>
            <w:vAlign w:val="top"/>
          </w:tcPr>
          <w:p w14:paraId="312BDE4B">
            <w:pPr>
              <w:pStyle w:val="6"/>
              <w:spacing w:before="165" w:line="252" w:lineRule="auto"/>
              <w:ind w:left="535" w:right="142" w:hanging="393"/>
              <w:rPr>
                <w:sz w:val="19"/>
                <w:szCs w:val="19"/>
              </w:rPr>
            </w:pPr>
            <w:r>
              <w:rPr>
                <w:spacing w:val="8"/>
                <w:sz w:val="19"/>
                <w:szCs w:val="19"/>
              </w:rPr>
              <w:t>重庆市黔江区金溪镇望岭</w:t>
            </w:r>
            <w:r>
              <w:rPr>
                <w:sz w:val="19"/>
                <w:szCs w:val="19"/>
              </w:rPr>
              <w:t xml:space="preserve"> </w:t>
            </w:r>
            <w:r>
              <w:rPr>
                <w:spacing w:val="8"/>
                <w:sz w:val="19"/>
                <w:szCs w:val="19"/>
              </w:rPr>
              <w:t>村彭家湾萤石矿</w:t>
            </w:r>
          </w:p>
        </w:tc>
        <w:tc>
          <w:tcPr>
            <w:tcW w:w="939" w:type="dxa"/>
            <w:vAlign w:val="top"/>
          </w:tcPr>
          <w:p w14:paraId="03E1BB7C">
            <w:pPr>
              <w:spacing w:line="273" w:lineRule="auto"/>
              <w:rPr>
                <w:rFonts w:ascii="Arial"/>
                <w:sz w:val="21"/>
              </w:rPr>
            </w:pPr>
          </w:p>
          <w:p w14:paraId="7285F1A5">
            <w:pPr>
              <w:spacing w:before="55" w:line="195" w:lineRule="auto"/>
              <w:ind w:left="191"/>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4.7182</w:t>
            </w:r>
          </w:p>
        </w:tc>
        <w:tc>
          <w:tcPr>
            <w:tcW w:w="763" w:type="dxa"/>
            <w:vAlign w:val="top"/>
          </w:tcPr>
          <w:p w14:paraId="2F92DF41">
            <w:pPr>
              <w:spacing w:line="273" w:lineRule="auto"/>
              <w:rPr>
                <w:rFonts w:ascii="Arial"/>
                <w:sz w:val="21"/>
              </w:rPr>
            </w:pPr>
          </w:p>
          <w:p w14:paraId="2F29FADC">
            <w:pPr>
              <w:spacing w:before="54" w:line="197" w:lineRule="auto"/>
              <w:ind w:left="85"/>
              <w:rPr>
                <w:rFonts w:ascii="Times New Roman" w:hAnsi="Times New Roman" w:eastAsia="Times New Roman" w:cs="Times New Roman"/>
                <w:sz w:val="19"/>
                <w:szCs w:val="19"/>
              </w:rPr>
            </w:pPr>
            <w:r>
              <w:rPr>
                <w:rFonts w:ascii="Times New Roman" w:hAnsi="Times New Roman" w:eastAsia="Times New Roman" w:cs="Times New Roman"/>
                <w:sz w:val="19"/>
                <w:szCs w:val="19"/>
              </w:rPr>
              <w:t>KQ</w:t>
            </w:r>
            <w:r>
              <w:rPr>
                <w:rFonts w:ascii="Times New Roman" w:hAnsi="Times New Roman" w:eastAsia="Times New Roman" w:cs="Times New Roman"/>
                <w:spacing w:val="8"/>
                <w:sz w:val="19"/>
                <w:szCs w:val="19"/>
              </w:rPr>
              <w:t>007</w:t>
            </w:r>
          </w:p>
        </w:tc>
        <w:tc>
          <w:tcPr>
            <w:tcW w:w="2363" w:type="dxa"/>
            <w:vAlign w:val="top"/>
          </w:tcPr>
          <w:p w14:paraId="71B7B2AB">
            <w:pPr>
              <w:pStyle w:val="6"/>
              <w:spacing w:before="165" w:line="252" w:lineRule="auto"/>
              <w:ind w:left="397" w:right="178" w:hanging="197"/>
              <w:rPr>
                <w:sz w:val="19"/>
                <w:szCs w:val="19"/>
              </w:rPr>
            </w:pPr>
            <w:r>
              <w:rPr>
                <w:spacing w:val="7"/>
                <w:sz w:val="19"/>
                <w:szCs w:val="19"/>
              </w:rPr>
              <w:t>重庆市黔江区金溪镇望</w:t>
            </w:r>
            <w:r>
              <w:rPr>
                <w:spacing w:val="8"/>
                <w:sz w:val="19"/>
                <w:szCs w:val="19"/>
              </w:rPr>
              <w:t xml:space="preserve"> </w:t>
            </w:r>
            <w:r>
              <w:rPr>
                <w:spacing w:val="7"/>
                <w:sz w:val="19"/>
                <w:szCs w:val="19"/>
              </w:rPr>
              <w:t>岭村彭家湾萤石矿</w:t>
            </w:r>
          </w:p>
        </w:tc>
        <w:tc>
          <w:tcPr>
            <w:tcW w:w="905" w:type="dxa"/>
            <w:vAlign w:val="top"/>
          </w:tcPr>
          <w:p w14:paraId="0DEE8134">
            <w:pPr>
              <w:spacing w:line="273" w:lineRule="auto"/>
              <w:rPr>
                <w:rFonts w:ascii="Arial"/>
                <w:sz w:val="21"/>
              </w:rPr>
            </w:pPr>
          </w:p>
          <w:p w14:paraId="1F7E49CE">
            <w:pPr>
              <w:spacing w:before="55" w:line="195" w:lineRule="auto"/>
              <w:ind w:left="185"/>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4.7182</w:t>
            </w:r>
          </w:p>
        </w:tc>
        <w:tc>
          <w:tcPr>
            <w:tcW w:w="1973" w:type="dxa"/>
            <w:tcBorders>
              <w:right w:val="single" w:color="000000" w:sz="10" w:space="0"/>
            </w:tcBorders>
            <w:vAlign w:val="top"/>
          </w:tcPr>
          <w:p w14:paraId="20C6B5C6">
            <w:pPr>
              <w:pStyle w:val="6"/>
              <w:spacing w:before="295" w:line="231" w:lineRule="auto"/>
              <w:ind w:left="703"/>
              <w:rPr>
                <w:sz w:val="19"/>
                <w:szCs w:val="19"/>
              </w:rPr>
            </w:pPr>
            <w:r>
              <w:rPr>
                <w:spacing w:val="4"/>
                <w:sz w:val="19"/>
                <w:szCs w:val="19"/>
              </w:rPr>
              <w:t>无变化</w:t>
            </w:r>
          </w:p>
        </w:tc>
      </w:tr>
      <w:tr w14:paraId="48D331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872" w:type="dxa"/>
            <w:tcBorders>
              <w:left w:val="single" w:color="000000" w:sz="10" w:space="0"/>
            </w:tcBorders>
            <w:vAlign w:val="top"/>
          </w:tcPr>
          <w:p w14:paraId="14293CA9">
            <w:pPr>
              <w:spacing w:line="275" w:lineRule="auto"/>
              <w:rPr>
                <w:rFonts w:ascii="Arial"/>
                <w:sz w:val="21"/>
              </w:rPr>
            </w:pPr>
          </w:p>
          <w:p w14:paraId="2AC818FE">
            <w:pPr>
              <w:spacing w:before="54" w:line="197" w:lineRule="auto"/>
              <w:ind w:left="126"/>
              <w:rPr>
                <w:rFonts w:ascii="Times New Roman" w:hAnsi="Times New Roman" w:eastAsia="Times New Roman" w:cs="Times New Roman"/>
                <w:sz w:val="19"/>
                <w:szCs w:val="19"/>
              </w:rPr>
            </w:pPr>
            <w:r>
              <w:rPr>
                <w:rFonts w:ascii="Times New Roman" w:hAnsi="Times New Roman" w:eastAsia="Times New Roman" w:cs="Times New Roman"/>
                <w:sz w:val="19"/>
                <w:szCs w:val="19"/>
              </w:rPr>
              <w:t>KQ</w:t>
            </w:r>
            <w:r>
              <w:rPr>
                <w:rFonts w:ascii="Times New Roman" w:hAnsi="Times New Roman" w:eastAsia="Times New Roman" w:cs="Times New Roman"/>
                <w:spacing w:val="8"/>
                <w:sz w:val="19"/>
                <w:szCs w:val="19"/>
              </w:rPr>
              <w:t>008</w:t>
            </w:r>
          </w:p>
        </w:tc>
        <w:tc>
          <w:tcPr>
            <w:tcW w:w="2469" w:type="dxa"/>
            <w:vAlign w:val="top"/>
          </w:tcPr>
          <w:p w14:paraId="15C1CAD1">
            <w:pPr>
              <w:pStyle w:val="6"/>
              <w:spacing w:before="170" w:line="249" w:lineRule="auto"/>
              <w:ind w:left="435" w:right="142" w:hanging="293"/>
              <w:rPr>
                <w:sz w:val="19"/>
                <w:szCs w:val="19"/>
              </w:rPr>
            </w:pPr>
            <w:r>
              <w:rPr>
                <w:spacing w:val="8"/>
                <w:sz w:val="19"/>
                <w:szCs w:val="19"/>
              </w:rPr>
              <w:t>重庆市黔江区石会镇会西</w:t>
            </w:r>
            <w:r>
              <w:rPr>
                <w:sz w:val="19"/>
                <w:szCs w:val="19"/>
              </w:rPr>
              <w:t xml:space="preserve"> </w:t>
            </w:r>
            <w:r>
              <w:rPr>
                <w:spacing w:val="8"/>
                <w:sz w:val="19"/>
                <w:szCs w:val="19"/>
              </w:rPr>
              <w:t>村周家坡重晶石矿</w:t>
            </w:r>
          </w:p>
        </w:tc>
        <w:tc>
          <w:tcPr>
            <w:tcW w:w="939" w:type="dxa"/>
            <w:vAlign w:val="top"/>
          </w:tcPr>
          <w:p w14:paraId="2CA93A60">
            <w:pPr>
              <w:spacing w:line="275" w:lineRule="auto"/>
              <w:rPr>
                <w:rFonts w:ascii="Arial"/>
                <w:sz w:val="21"/>
              </w:rPr>
            </w:pPr>
          </w:p>
          <w:p w14:paraId="4DEBDF9B">
            <w:pPr>
              <w:spacing w:before="55" w:line="195" w:lineRule="auto"/>
              <w:ind w:left="198"/>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5.2622</w:t>
            </w:r>
          </w:p>
        </w:tc>
        <w:tc>
          <w:tcPr>
            <w:tcW w:w="763" w:type="dxa"/>
            <w:vAlign w:val="top"/>
          </w:tcPr>
          <w:p w14:paraId="5532543F">
            <w:pPr>
              <w:spacing w:line="275" w:lineRule="auto"/>
              <w:rPr>
                <w:rFonts w:ascii="Arial"/>
                <w:sz w:val="21"/>
              </w:rPr>
            </w:pPr>
          </w:p>
          <w:p w14:paraId="40472306">
            <w:pPr>
              <w:spacing w:before="54" w:line="197" w:lineRule="auto"/>
              <w:ind w:left="85"/>
              <w:rPr>
                <w:rFonts w:ascii="Times New Roman" w:hAnsi="Times New Roman" w:eastAsia="Times New Roman" w:cs="Times New Roman"/>
                <w:sz w:val="19"/>
                <w:szCs w:val="19"/>
              </w:rPr>
            </w:pPr>
            <w:r>
              <w:rPr>
                <w:rFonts w:ascii="Times New Roman" w:hAnsi="Times New Roman" w:eastAsia="Times New Roman" w:cs="Times New Roman"/>
                <w:sz w:val="19"/>
                <w:szCs w:val="19"/>
              </w:rPr>
              <w:t>KQ</w:t>
            </w:r>
            <w:r>
              <w:rPr>
                <w:rFonts w:ascii="Times New Roman" w:hAnsi="Times New Roman" w:eastAsia="Times New Roman" w:cs="Times New Roman"/>
                <w:spacing w:val="8"/>
                <w:sz w:val="19"/>
                <w:szCs w:val="19"/>
              </w:rPr>
              <w:t>008</w:t>
            </w:r>
          </w:p>
        </w:tc>
        <w:tc>
          <w:tcPr>
            <w:tcW w:w="2363" w:type="dxa"/>
            <w:vAlign w:val="top"/>
          </w:tcPr>
          <w:p w14:paraId="29E3D15C">
            <w:pPr>
              <w:pStyle w:val="6"/>
              <w:spacing w:before="170" w:line="249" w:lineRule="auto"/>
              <w:ind w:left="296" w:right="178" w:hanging="96"/>
              <w:rPr>
                <w:sz w:val="19"/>
                <w:szCs w:val="19"/>
              </w:rPr>
            </w:pPr>
            <w:r>
              <w:rPr>
                <w:spacing w:val="7"/>
                <w:sz w:val="19"/>
                <w:szCs w:val="19"/>
              </w:rPr>
              <w:t>重庆市黔江区石会镇会</w:t>
            </w:r>
            <w:r>
              <w:rPr>
                <w:spacing w:val="8"/>
                <w:sz w:val="19"/>
                <w:szCs w:val="19"/>
              </w:rPr>
              <w:t xml:space="preserve"> 西村周家坡重晶石矿</w:t>
            </w:r>
          </w:p>
        </w:tc>
        <w:tc>
          <w:tcPr>
            <w:tcW w:w="905" w:type="dxa"/>
            <w:vAlign w:val="top"/>
          </w:tcPr>
          <w:p w14:paraId="56DC97E2">
            <w:pPr>
              <w:spacing w:line="275" w:lineRule="auto"/>
              <w:rPr>
                <w:rFonts w:ascii="Arial"/>
                <w:sz w:val="21"/>
              </w:rPr>
            </w:pPr>
          </w:p>
          <w:p w14:paraId="2A669218">
            <w:pPr>
              <w:spacing w:before="55" w:line="195" w:lineRule="auto"/>
              <w:ind w:left="191"/>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5.2622</w:t>
            </w:r>
          </w:p>
        </w:tc>
        <w:tc>
          <w:tcPr>
            <w:tcW w:w="1973" w:type="dxa"/>
            <w:tcBorders>
              <w:right w:val="single" w:color="000000" w:sz="10" w:space="0"/>
            </w:tcBorders>
            <w:vAlign w:val="top"/>
          </w:tcPr>
          <w:p w14:paraId="285F8104">
            <w:pPr>
              <w:pStyle w:val="6"/>
              <w:spacing w:before="297" w:line="231" w:lineRule="auto"/>
              <w:ind w:left="703"/>
              <w:rPr>
                <w:sz w:val="19"/>
                <w:szCs w:val="19"/>
              </w:rPr>
            </w:pPr>
            <w:r>
              <w:rPr>
                <w:spacing w:val="4"/>
                <w:sz w:val="19"/>
                <w:szCs w:val="19"/>
              </w:rPr>
              <w:t>无变化</w:t>
            </w:r>
          </w:p>
        </w:tc>
      </w:tr>
      <w:tr w14:paraId="4470E5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3" w:hRule="atLeast"/>
        </w:trPr>
        <w:tc>
          <w:tcPr>
            <w:tcW w:w="872" w:type="dxa"/>
            <w:tcBorders>
              <w:left w:val="single" w:color="000000" w:sz="10" w:space="0"/>
              <w:bottom w:val="single" w:color="000000" w:sz="10" w:space="0"/>
            </w:tcBorders>
            <w:vAlign w:val="top"/>
          </w:tcPr>
          <w:p w14:paraId="75605028">
            <w:pPr>
              <w:rPr>
                <w:rFonts w:ascii="Arial"/>
                <w:sz w:val="21"/>
              </w:rPr>
            </w:pPr>
          </w:p>
        </w:tc>
        <w:tc>
          <w:tcPr>
            <w:tcW w:w="2469" w:type="dxa"/>
            <w:tcBorders>
              <w:bottom w:val="single" w:color="000000" w:sz="10" w:space="0"/>
            </w:tcBorders>
            <w:vAlign w:val="top"/>
          </w:tcPr>
          <w:p w14:paraId="30DEAFDB">
            <w:pPr>
              <w:rPr>
                <w:rFonts w:ascii="Arial"/>
                <w:sz w:val="21"/>
              </w:rPr>
            </w:pPr>
          </w:p>
        </w:tc>
        <w:tc>
          <w:tcPr>
            <w:tcW w:w="939" w:type="dxa"/>
            <w:tcBorders>
              <w:bottom w:val="single" w:color="000000" w:sz="10" w:space="0"/>
            </w:tcBorders>
            <w:vAlign w:val="top"/>
          </w:tcPr>
          <w:p w14:paraId="68E6CEE0">
            <w:pPr>
              <w:rPr>
                <w:rFonts w:ascii="Arial"/>
                <w:sz w:val="21"/>
              </w:rPr>
            </w:pPr>
          </w:p>
        </w:tc>
        <w:tc>
          <w:tcPr>
            <w:tcW w:w="763" w:type="dxa"/>
            <w:tcBorders>
              <w:bottom w:val="single" w:color="000000" w:sz="10" w:space="0"/>
            </w:tcBorders>
            <w:vAlign w:val="top"/>
          </w:tcPr>
          <w:p w14:paraId="3C1D2BDC">
            <w:pPr>
              <w:spacing w:line="290" w:lineRule="auto"/>
              <w:rPr>
                <w:rFonts w:ascii="Arial"/>
                <w:sz w:val="21"/>
              </w:rPr>
            </w:pPr>
          </w:p>
          <w:p w14:paraId="43EF735D">
            <w:pPr>
              <w:spacing w:before="54" w:line="197" w:lineRule="auto"/>
              <w:ind w:left="85"/>
              <w:rPr>
                <w:rFonts w:ascii="Times New Roman" w:hAnsi="Times New Roman" w:eastAsia="Times New Roman" w:cs="Times New Roman"/>
                <w:sz w:val="19"/>
                <w:szCs w:val="19"/>
              </w:rPr>
            </w:pPr>
            <w:r>
              <w:rPr>
                <w:rFonts w:ascii="Times New Roman" w:hAnsi="Times New Roman" w:eastAsia="Times New Roman" w:cs="Times New Roman"/>
                <w:sz w:val="19"/>
                <w:szCs w:val="19"/>
              </w:rPr>
              <w:t>KQ</w:t>
            </w:r>
            <w:r>
              <w:rPr>
                <w:rFonts w:ascii="Times New Roman" w:hAnsi="Times New Roman" w:eastAsia="Times New Roman" w:cs="Times New Roman"/>
                <w:spacing w:val="8"/>
                <w:sz w:val="19"/>
                <w:szCs w:val="19"/>
              </w:rPr>
              <w:t>009</w:t>
            </w:r>
          </w:p>
        </w:tc>
        <w:tc>
          <w:tcPr>
            <w:tcW w:w="2363" w:type="dxa"/>
            <w:tcBorders>
              <w:bottom w:val="single" w:color="000000" w:sz="10" w:space="0"/>
            </w:tcBorders>
            <w:vAlign w:val="top"/>
          </w:tcPr>
          <w:p w14:paraId="5547E483">
            <w:pPr>
              <w:pStyle w:val="6"/>
              <w:spacing w:before="53" w:line="231" w:lineRule="auto"/>
              <w:ind w:left="99"/>
              <w:rPr>
                <w:sz w:val="19"/>
                <w:szCs w:val="19"/>
              </w:rPr>
            </w:pPr>
            <w:r>
              <w:rPr>
                <w:spacing w:val="8"/>
                <w:sz w:val="19"/>
                <w:szCs w:val="19"/>
              </w:rPr>
              <w:t>重庆市黔江区黑溪镇光明</w:t>
            </w:r>
          </w:p>
          <w:p w14:paraId="20EF5FFA">
            <w:pPr>
              <w:pStyle w:val="6"/>
              <w:spacing w:before="20" w:line="231" w:lineRule="auto"/>
              <w:ind w:left="92"/>
              <w:rPr>
                <w:sz w:val="19"/>
                <w:szCs w:val="19"/>
              </w:rPr>
            </w:pPr>
            <w:r>
              <w:rPr>
                <w:spacing w:val="8"/>
                <w:sz w:val="19"/>
                <w:szCs w:val="19"/>
              </w:rPr>
              <w:t>村和尚坪铸型用砂岩勘查</w:t>
            </w:r>
          </w:p>
          <w:p w14:paraId="30AA7972">
            <w:pPr>
              <w:pStyle w:val="6"/>
              <w:spacing w:before="22" w:line="215" w:lineRule="auto"/>
              <w:ind w:left="1010"/>
              <w:rPr>
                <w:sz w:val="19"/>
                <w:szCs w:val="19"/>
              </w:rPr>
            </w:pPr>
            <w:r>
              <w:rPr>
                <w:spacing w:val="-7"/>
                <w:sz w:val="19"/>
                <w:szCs w:val="19"/>
              </w:rPr>
              <w:t>区块</w:t>
            </w:r>
          </w:p>
        </w:tc>
        <w:tc>
          <w:tcPr>
            <w:tcW w:w="905" w:type="dxa"/>
            <w:tcBorders>
              <w:bottom w:val="single" w:color="000000" w:sz="10" w:space="0"/>
            </w:tcBorders>
            <w:vAlign w:val="top"/>
          </w:tcPr>
          <w:p w14:paraId="0D8656EA">
            <w:pPr>
              <w:spacing w:line="290" w:lineRule="auto"/>
              <w:rPr>
                <w:rFonts w:ascii="Arial"/>
                <w:sz w:val="21"/>
              </w:rPr>
            </w:pPr>
          </w:p>
          <w:p w14:paraId="56135013">
            <w:pPr>
              <w:spacing w:before="54" w:line="195" w:lineRule="auto"/>
              <w:ind w:left="189"/>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0.3702</w:t>
            </w:r>
          </w:p>
        </w:tc>
        <w:tc>
          <w:tcPr>
            <w:tcW w:w="1973" w:type="dxa"/>
            <w:tcBorders>
              <w:bottom w:val="single" w:color="000000" w:sz="10" w:space="0"/>
              <w:right w:val="single" w:color="000000" w:sz="10" w:space="0"/>
            </w:tcBorders>
            <w:vAlign w:val="top"/>
          </w:tcPr>
          <w:p w14:paraId="3666FA4E">
            <w:pPr>
              <w:spacing w:line="249" w:lineRule="auto"/>
              <w:rPr>
                <w:rFonts w:ascii="Arial"/>
                <w:sz w:val="21"/>
              </w:rPr>
            </w:pPr>
          </w:p>
          <w:p w14:paraId="4FDBE600">
            <w:pPr>
              <w:pStyle w:val="6"/>
              <w:spacing w:before="61" w:line="231" w:lineRule="auto"/>
              <w:ind w:left="402"/>
              <w:rPr>
                <w:sz w:val="19"/>
                <w:szCs w:val="19"/>
              </w:rPr>
            </w:pPr>
            <w:r>
              <w:rPr>
                <w:spacing w:val="7"/>
                <w:sz w:val="19"/>
                <w:szCs w:val="19"/>
              </w:rPr>
              <w:t>本次新增区块</w:t>
            </w:r>
          </w:p>
        </w:tc>
      </w:tr>
    </w:tbl>
    <w:p w14:paraId="55FDF8A9">
      <w:pPr>
        <w:pStyle w:val="2"/>
      </w:pPr>
    </w:p>
    <w:p w14:paraId="6E5C5344">
      <w:pPr>
        <w:sectPr>
          <w:footerReference r:id="rId61" w:type="default"/>
          <w:pgSz w:w="11906" w:h="16839"/>
          <w:pgMar w:top="1116" w:right="741" w:bottom="1480" w:left="854" w:header="683" w:footer="1318" w:gutter="0"/>
          <w:cols w:space="720" w:num="1"/>
        </w:sectPr>
      </w:pPr>
    </w:p>
    <w:p w14:paraId="37BDA710">
      <w:pPr>
        <w:pStyle w:val="2"/>
        <w:spacing w:line="294" w:lineRule="auto"/>
      </w:pPr>
    </w:p>
    <w:p w14:paraId="0A23A346">
      <w:pPr>
        <w:pStyle w:val="2"/>
        <w:spacing w:line="295" w:lineRule="auto"/>
      </w:pPr>
    </w:p>
    <w:p w14:paraId="7794DF51">
      <w:pPr>
        <w:spacing w:before="65" w:line="231" w:lineRule="auto"/>
        <w:ind w:left="4364"/>
        <w:rPr>
          <w:rFonts w:ascii="仿宋" w:hAnsi="仿宋" w:eastAsia="仿宋" w:cs="仿宋"/>
          <w:sz w:val="20"/>
          <w:szCs w:val="20"/>
        </w:rPr>
      </w:pPr>
      <w:r>
        <w:rPr>
          <w:rFonts w:ascii="仿宋" w:hAnsi="仿宋" w:eastAsia="仿宋" w:cs="仿宋"/>
          <w:b/>
          <w:bCs/>
          <w:spacing w:val="7"/>
          <w:sz w:val="20"/>
          <w:szCs w:val="20"/>
        </w:rPr>
        <w:t>表</w:t>
      </w:r>
      <w:r>
        <w:rPr>
          <w:rFonts w:ascii="仿宋" w:hAnsi="仿宋" w:eastAsia="仿宋" w:cs="仿宋"/>
          <w:spacing w:val="-42"/>
          <w:sz w:val="20"/>
          <w:szCs w:val="20"/>
        </w:rPr>
        <w:t xml:space="preserve"> </w:t>
      </w:r>
      <w:r>
        <w:rPr>
          <w:rFonts w:ascii="Times New Roman" w:hAnsi="Times New Roman" w:eastAsia="Times New Roman" w:cs="Times New Roman"/>
          <w:b/>
          <w:bCs/>
          <w:spacing w:val="7"/>
          <w:sz w:val="20"/>
          <w:szCs w:val="20"/>
        </w:rPr>
        <w:t xml:space="preserve">2.2-5  </w:t>
      </w:r>
      <w:r>
        <w:rPr>
          <w:rFonts w:ascii="仿宋" w:hAnsi="仿宋" w:eastAsia="仿宋" w:cs="仿宋"/>
          <w:b/>
          <w:bCs/>
          <w:spacing w:val="7"/>
          <w:sz w:val="20"/>
          <w:szCs w:val="20"/>
        </w:rPr>
        <w:t>《规划调整》开采区块与《规划》开采区块变化对比</w:t>
      </w:r>
      <w:r>
        <w:rPr>
          <w:rFonts w:ascii="仿宋" w:hAnsi="仿宋" w:eastAsia="仿宋" w:cs="仿宋"/>
          <w:b/>
          <w:bCs/>
          <w:spacing w:val="6"/>
          <w:sz w:val="20"/>
          <w:szCs w:val="20"/>
        </w:rPr>
        <w:t>一览表</w:t>
      </w:r>
    </w:p>
    <w:p w14:paraId="1FBBB386">
      <w:pPr>
        <w:spacing w:line="21" w:lineRule="exact"/>
      </w:pPr>
    </w:p>
    <w:tbl>
      <w:tblPr>
        <w:tblStyle w:val="5"/>
        <w:tblW w:w="1466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1"/>
        <w:gridCol w:w="874"/>
        <w:gridCol w:w="1480"/>
        <w:gridCol w:w="964"/>
        <w:gridCol w:w="1029"/>
        <w:gridCol w:w="1152"/>
        <w:gridCol w:w="2164"/>
        <w:gridCol w:w="948"/>
        <w:gridCol w:w="2170"/>
        <w:gridCol w:w="1077"/>
        <w:gridCol w:w="1036"/>
        <w:gridCol w:w="1260"/>
      </w:tblGrid>
      <w:tr w14:paraId="66970F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511" w:type="dxa"/>
            <w:vMerge w:val="restart"/>
            <w:tcBorders>
              <w:top w:val="single" w:color="000000" w:sz="10" w:space="0"/>
              <w:left w:val="single" w:color="000000" w:sz="10" w:space="0"/>
              <w:bottom w:val="nil"/>
            </w:tcBorders>
            <w:textDirection w:val="tbRlV"/>
            <w:vAlign w:val="top"/>
          </w:tcPr>
          <w:p w14:paraId="60E8CBD8">
            <w:pPr>
              <w:pStyle w:val="6"/>
              <w:spacing w:before="149" w:line="202" w:lineRule="auto"/>
              <w:ind w:left="287"/>
            </w:pPr>
            <w:r>
              <w:rPr>
                <w:b/>
                <w:bCs/>
                <w:spacing w:val="33"/>
              </w:rPr>
              <w:t>序号</w:t>
            </w:r>
          </w:p>
        </w:tc>
        <w:tc>
          <w:tcPr>
            <w:tcW w:w="5499" w:type="dxa"/>
            <w:gridSpan w:val="5"/>
            <w:tcBorders>
              <w:top w:val="single" w:color="000000" w:sz="10" w:space="0"/>
            </w:tcBorders>
            <w:vAlign w:val="top"/>
          </w:tcPr>
          <w:p w14:paraId="483B4606">
            <w:pPr>
              <w:pStyle w:val="6"/>
              <w:spacing w:before="141" w:line="223" w:lineRule="auto"/>
              <w:ind w:left="1321"/>
            </w:pPr>
            <w:r>
              <w:rPr>
                <w:b/>
                <w:bCs/>
                <w:spacing w:val="-3"/>
              </w:rPr>
              <w:t>原《规划》开采区块设置情况</w:t>
            </w:r>
          </w:p>
        </w:tc>
        <w:tc>
          <w:tcPr>
            <w:tcW w:w="2164" w:type="dxa"/>
            <w:vMerge w:val="restart"/>
            <w:tcBorders>
              <w:top w:val="single" w:color="000000" w:sz="10" w:space="0"/>
              <w:bottom w:val="nil"/>
            </w:tcBorders>
            <w:vAlign w:val="top"/>
          </w:tcPr>
          <w:p w14:paraId="375AB5CC">
            <w:pPr>
              <w:spacing w:line="358" w:lineRule="auto"/>
              <w:rPr>
                <w:rFonts w:ascii="Arial"/>
                <w:sz w:val="21"/>
              </w:rPr>
            </w:pPr>
          </w:p>
          <w:p w14:paraId="0A89B0D1">
            <w:pPr>
              <w:pStyle w:val="6"/>
              <w:spacing w:before="71" w:line="223" w:lineRule="auto"/>
              <w:ind w:left="208"/>
            </w:pPr>
            <w:r>
              <w:rPr>
                <w:b/>
                <w:bCs/>
                <w:spacing w:val="-4"/>
              </w:rPr>
              <w:t>本次调整变化情况</w:t>
            </w:r>
          </w:p>
        </w:tc>
        <w:tc>
          <w:tcPr>
            <w:tcW w:w="6491" w:type="dxa"/>
            <w:gridSpan w:val="5"/>
            <w:tcBorders>
              <w:top w:val="single" w:color="000000" w:sz="10" w:space="0"/>
              <w:right w:val="single" w:color="000000" w:sz="10" w:space="0"/>
            </w:tcBorders>
            <w:vAlign w:val="top"/>
          </w:tcPr>
          <w:p w14:paraId="0A951CC3">
            <w:pPr>
              <w:pStyle w:val="6"/>
              <w:spacing w:before="141" w:line="223" w:lineRule="auto"/>
              <w:ind w:left="1738"/>
            </w:pPr>
            <w:r>
              <w:rPr>
                <w:b/>
                <w:bCs/>
                <w:spacing w:val="1"/>
                <w:sz w:val="20"/>
                <w:szCs w:val="20"/>
              </w:rPr>
              <w:t>《规划调整》</w:t>
            </w:r>
            <w:r>
              <w:rPr>
                <w:b/>
                <w:bCs/>
                <w:spacing w:val="1"/>
              </w:rPr>
              <w:t>规划区块设置情况</w:t>
            </w:r>
          </w:p>
        </w:tc>
      </w:tr>
      <w:tr w14:paraId="171218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511" w:type="dxa"/>
            <w:vMerge w:val="continue"/>
            <w:tcBorders>
              <w:top w:val="nil"/>
              <w:left w:val="single" w:color="000000" w:sz="10" w:space="0"/>
            </w:tcBorders>
            <w:textDirection w:val="tbRlV"/>
            <w:vAlign w:val="top"/>
          </w:tcPr>
          <w:p w14:paraId="17CF3EA7">
            <w:pPr>
              <w:rPr>
                <w:rFonts w:ascii="Arial"/>
                <w:sz w:val="21"/>
              </w:rPr>
            </w:pPr>
          </w:p>
        </w:tc>
        <w:tc>
          <w:tcPr>
            <w:tcW w:w="874" w:type="dxa"/>
            <w:vAlign w:val="top"/>
          </w:tcPr>
          <w:p w14:paraId="521655DD">
            <w:pPr>
              <w:pStyle w:val="6"/>
              <w:spacing w:before="34" w:line="224" w:lineRule="auto"/>
              <w:ind w:left="234"/>
            </w:pPr>
            <w:r>
              <w:rPr>
                <w:b/>
                <w:bCs/>
                <w:spacing w:val="-19"/>
              </w:rPr>
              <w:t>区块</w:t>
            </w:r>
          </w:p>
          <w:p w14:paraId="55C63FB0">
            <w:pPr>
              <w:pStyle w:val="6"/>
              <w:spacing w:before="18" w:line="205" w:lineRule="auto"/>
              <w:ind w:left="217"/>
            </w:pPr>
            <w:r>
              <w:rPr>
                <w:b/>
                <w:bCs/>
                <w:spacing w:val="-10"/>
              </w:rPr>
              <w:t>编号</w:t>
            </w:r>
          </w:p>
        </w:tc>
        <w:tc>
          <w:tcPr>
            <w:tcW w:w="1480" w:type="dxa"/>
            <w:vAlign w:val="top"/>
          </w:tcPr>
          <w:p w14:paraId="5E0FC5D3">
            <w:pPr>
              <w:pStyle w:val="6"/>
              <w:spacing w:before="175" w:line="222" w:lineRule="auto"/>
              <w:ind w:left="318"/>
            </w:pPr>
            <w:r>
              <w:rPr>
                <w:b/>
                <w:bCs/>
                <w:spacing w:val="-10"/>
              </w:rPr>
              <w:t>区块名称</w:t>
            </w:r>
          </w:p>
        </w:tc>
        <w:tc>
          <w:tcPr>
            <w:tcW w:w="964" w:type="dxa"/>
            <w:vAlign w:val="top"/>
          </w:tcPr>
          <w:p w14:paraId="73042BD8">
            <w:pPr>
              <w:pStyle w:val="6"/>
              <w:spacing w:before="34" w:line="222" w:lineRule="auto"/>
              <w:ind w:left="375" w:right="157" w:hanging="222"/>
            </w:pPr>
            <w:r>
              <w:rPr>
                <w:b/>
                <w:bCs/>
                <w:spacing w:val="-7"/>
              </w:rPr>
              <w:t>开采矿</w:t>
            </w:r>
            <w:r>
              <w:rPr>
                <w:spacing w:val="1"/>
              </w:rPr>
              <w:t xml:space="preserve"> </w:t>
            </w:r>
            <w:r>
              <w:rPr>
                <w:b/>
                <w:bCs/>
                <w:spacing w:val="-3"/>
              </w:rPr>
              <w:t>种</w:t>
            </w:r>
          </w:p>
        </w:tc>
        <w:tc>
          <w:tcPr>
            <w:tcW w:w="1029" w:type="dxa"/>
            <w:vAlign w:val="top"/>
          </w:tcPr>
          <w:p w14:paraId="5135380B">
            <w:pPr>
              <w:pStyle w:val="6"/>
              <w:spacing w:before="34" w:line="224" w:lineRule="auto"/>
              <w:ind w:left="303"/>
            </w:pPr>
            <w:r>
              <w:rPr>
                <w:b/>
                <w:bCs/>
                <w:spacing w:val="-11"/>
              </w:rPr>
              <w:t>面积</w:t>
            </w:r>
          </w:p>
          <w:p w14:paraId="3CE378E4">
            <w:pPr>
              <w:pStyle w:val="6"/>
              <w:spacing w:before="18" w:line="205" w:lineRule="auto"/>
              <w:ind w:left="114"/>
            </w:pPr>
            <w:r>
              <w:rPr>
                <w:b/>
                <w:bCs/>
                <w:spacing w:val="-4"/>
              </w:rPr>
              <w:t>（</w:t>
            </w:r>
            <w:r>
              <w:rPr>
                <w:rFonts w:ascii="Times New Roman" w:hAnsi="Times New Roman" w:eastAsia="Times New Roman" w:cs="Times New Roman"/>
                <w:b/>
                <w:bCs/>
                <w:spacing w:val="-4"/>
              </w:rPr>
              <w:t>km</w:t>
            </w:r>
            <w:r>
              <w:rPr>
                <w:rFonts w:ascii="Times New Roman" w:hAnsi="Times New Roman" w:eastAsia="Times New Roman" w:cs="Times New Roman"/>
                <w:b/>
                <w:bCs/>
                <w:spacing w:val="-4"/>
                <w:position w:val="6"/>
                <w:sz w:val="14"/>
                <w:szCs w:val="14"/>
              </w:rPr>
              <w:t>2</w:t>
            </w:r>
            <w:r>
              <w:rPr>
                <w:b/>
                <w:bCs/>
                <w:spacing w:val="-4"/>
              </w:rPr>
              <w:t>）</w:t>
            </w:r>
          </w:p>
        </w:tc>
        <w:tc>
          <w:tcPr>
            <w:tcW w:w="1152" w:type="dxa"/>
            <w:vAlign w:val="top"/>
          </w:tcPr>
          <w:p w14:paraId="1E3FB140">
            <w:pPr>
              <w:pStyle w:val="6"/>
              <w:spacing w:before="33" w:line="225" w:lineRule="auto"/>
              <w:ind w:left="32"/>
            </w:pPr>
            <w:r>
              <w:rPr>
                <w:b/>
                <w:bCs/>
                <w:spacing w:val="-5"/>
              </w:rPr>
              <w:t>规划设置类</w:t>
            </w:r>
          </w:p>
          <w:p w14:paraId="1D4D7169">
            <w:pPr>
              <w:pStyle w:val="6"/>
              <w:spacing w:before="17" w:line="205" w:lineRule="auto"/>
              <w:ind w:left="482"/>
            </w:pPr>
            <w:r>
              <w:rPr>
                <w:b/>
                <w:bCs/>
                <w:spacing w:val="-3"/>
              </w:rPr>
              <w:t>型</w:t>
            </w:r>
          </w:p>
        </w:tc>
        <w:tc>
          <w:tcPr>
            <w:tcW w:w="2164" w:type="dxa"/>
            <w:vMerge w:val="continue"/>
            <w:tcBorders>
              <w:top w:val="nil"/>
            </w:tcBorders>
            <w:vAlign w:val="top"/>
          </w:tcPr>
          <w:p w14:paraId="5BC180A3">
            <w:pPr>
              <w:rPr>
                <w:rFonts w:ascii="Arial"/>
                <w:sz w:val="21"/>
              </w:rPr>
            </w:pPr>
          </w:p>
        </w:tc>
        <w:tc>
          <w:tcPr>
            <w:tcW w:w="948" w:type="dxa"/>
            <w:vAlign w:val="top"/>
          </w:tcPr>
          <w:p w14:paraId="0A4EBB35">
            <w:pPr>
              <w:pStyle w:val="6"/>
              <w:spacing w:before="34" w:line="224" w:lineRule="auto"/>
              <w:ind w:left="285"/>
            </w:pPr>
            <w:r>
              <w:rPr>
                <w:b/>
                <w:bCs/>
                <w:spacing w:val="-19"/>
              </w:rPr>
              <w:t>区块</w:t>
            </w:r>
          </w:p>
          <w:p w14:paraId="1146566F">
            <w:pPr>
              <w:pStyle w:val="6"/>
              <w:spacing w:before="18" w:line="205" w:lineRule="auto"/>
              <w:ind w:left="268"/>
            </w:pPr>
            <w:r>
              <w:rPr>
                <w:b/>
                <w:bCs/>
                <w:spacing w:val="-10"/>
              </w:rPr>
              <w:t>编号</w:t>
            </w:r>
          </w:p>
        </w:tc>
        <w:tc>
          <w:tcPr>
            <w:tcW w:w="2170" w:type="dxa"/>
            <w:vAlign w:val="top"/>
          </w:tcPr>
          <w:p w14:paraId="135C0D1E">
            <w:pPr>
              <w:pStyle w:val="6"/>
              <w:spacing w:before="175" w:line="222" w:lineRule="auto"/>
              <w:ind w:left="678"/>
            </w:pPr>
            <w:r>
              <w:rPr>
                <w:b/>
                <w:bCs/>
                <w:spacing w:val="-10"/>
              </w:rPr>
              <w:t>区块名称</w:t>
            </w:r>
          </w:p>
        </w:tc>
        <w:tc>
          <w:tcPr>
            <w:tcW w:w="1077" w:type="dxa"/>
            <w:vAlign w:val="top"/>
          </w:tcPr>
          <w:p w14:paraId="114D4BDF">
            <w:pPr>
              <w:pStyle w:val="6"/>
              <w:spacing w:before="34" w:line="222" w:lineRule="auto"/>
              <w:ind w:left="449" w:right="196" w:hanging="222"/>
            </w:pPr>
            <w:r>
              <w:rPr>
                <w:b/>
                <w:bCs/>
                <w:spacing w:val="-7"/>
              </w:rPr>
              <w:t>开采矿</w:t>
            </w:r>
            <w:r>
              <w:rPr>
                <w:spacing w:val="1"/>
              </w:rPr>
              <w:t xml:space="preserve"> </w:t>
            </w:r>
            <w:r>
              <w:rPr>
                <w:b/>
                <w:bCs/>
                <w:spacing w:val="-3"/>
              </w:rPr>
              <w:t>种</w:t>
            </w:r>
          </w:p>
        </w:tc>
        <w:tc>
          <w:tcPr>
            <w:tcW w:w="1036" w:type="dxa"/>
            <w:vAlign w:val="top"/>
          </w:tcPr>
          <w:p w14:paraId="19E5AFB3">
            <w:pPr>
              <w:pStyle w:val="6"/>
              <w:spacing w:before="34" w:line="224" w:lineRule="auto"/>
              <w:ind w:left="323"/>
            </w:pPr>
            <w:r>
              <w:rPr>
                <w:b/>
                <w:bCs/>
                <w:spacing w:val="-11"/>
              </w:rPr>
              <w:t>面积</w:t>
            </w:r>
          </w:p>
          <w:p w14:paraId="2CBA14B1">
            <w:pPr>
              <w:pStyle w:val="6"/>
              <w:spacing w:before="18" w:line="205" w:lineRule="auto"/>
              <w:ind w:left="130"/>
            </w:pPr>
            <w:r>
              <w:rPr>
                <w:b/>
                <w:bCs/>
                <w:spacing w:val="-4"/>
              </w:rPr>
              <w:t>（</w:t>
            </w:r>
            <w:r>
              <w:rPr>
                <w:rFonts w:ascii="Times New Roman" w:hAnsi="Times New Roman" w:eastAsia="Times New Roman" w:cs="Times New Roman"/>
                <w:b/>
                <w:bCs/>
                <w:spacing w:val="-4"/>
              </w:rPr>
              <w:t>km</w:t>
            </w:r>
            <w:r>
              <w:rPr>
                <w:rFonts w:ascii="Times New Roman" w:hAnsi="Times New Roman" w:eastAsia="Times New Roman" w:cs="Times New Roman"/>
                <w:b/>
                <w:bCs/>
                <w:spacing w:val="-4"/>
                <w:position w:val="6"/>
                <w:sz w:val="14"/>
                <w:szCs w:val="14"/>
              </w:rPr>
              <w:t>2</w:t>
            </w:r>
            <w:r>
              <w:rPr>
                <w:b/>
                <w:bCs/>
                <w:spacing w:val="-4"/>
              </w:rPr>
              <w:t>）</w:t>
            </w:r>
          </w:p>
        </w:tc>
        <w:tc>
          <w:tcPr>
            <w:tcW w:w="1260" w:type="dxa"/>
            <w:tcBorders>
              <w:right w:val="single" w:color="000000" w:sz="10" w:space="0"/>
            </w:tcBorders>
            <w:vAlign w:val="top"/>
          </w:tcPr>
          <w:p w14:paraId="1E855BF5">
            <w:pPr>
              <w:pStyle w:val="6"/>
              <w:spacing w:before="33" w:line="225" w:lineRule="auto"/>
              <w:ind w:left="93"/>
            </w:pPr>
            <w:r>
              <w:rPr>
                <w:b/>
                <w:bCs/>
                <w:spacing w:val="-5"/>
              </w:rPr>
              <w:t>规划设置类</w:t>
            </w:r>
          </w:p>
          <w:p w14:paraId="354C64C3">
            <w:pPr>
              <w:pStyle w:val="6"/>
              <w:spacing w:before="17" w:line="205" w:lineRule="auto"/>
              <w:ind w:left="546"/>
            </w:pPr>
            <w:r>
              <w:rPr>
                <w:b/>
                <w:bCs/>
                <w:spacing w:val="-3"/>
              </w:rPr>
              <w:t>型</w:t>
            </w:r>
          </w:p>
        </w:tc>
      </w:tr>
      <w:tr w14:paraId="7DEA9A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511" w:type="dxa"/>
            <w:tcBorders>
              <w:left w:val="single" w:color="000000" w:sz="10" w:space="0"/>
            </w:tcBorders>
            <w:vAlign w:val="top"/>
          </w:tcPr>
          <w:p w14:paraId="0782FA0F">
            <w:pPr>
              <w:spacing w:line="349" w:lineRule="auto"/>
              <w:rPr>
                <w:rFonts w:ascii="Arial"/>
                <w:sz w:val="21"/>
              </w:rPr>
            </w:pPr>
          </w:p>
          <w:p w14:paraId="4215A16B">
            <w:pPr>
              <w:spacing w:before="55" w:line="195" w:lineRule="auto"/>
              <w:ind w:left="209"/>
              <w:rPr>
                <w:rFonts w:ascii="Times New Roman" w:hAnsi="Times New Roman" w:eastAsia="Times New Roman" w:cs="Times New Roman"/>
                <w:sz w:val="19"/>
                <w:szCs w:val="19"/>
              </w:rPr>
            </w:pPr>
            <w:r>
              <w:rPr>
                <w:rFonts w:ascii="Times New Roman" w:hAnsi="Times New Roman" w:eastAsia="Times New Roman" w:cs="Times New Roman"/>
                <w:sz w:val="19"/>
                <w:szCs w:val="19"/>
              </w:rPr>
              <w:t>1</w:t>
            </w:r>
          </w:p>
        </w:tc>
        <w:tc>
          <w:tcPr>
            <w:tcW w:w="874" w:type="dxa"/>
            <w:vAlign w:val="top"/>
          </w:tcPr>
          <w:p w14:paraId="7E922CA7">
            <w:pPr>
              <w:spacing w:line="349" w:lineRule="auto"/>
              <w:rPr>
                <w:rFonts w:ascii="Arial"/>
                <w:sz w:val="21"/>
              </w:rPr>
            </w:pPr>
          </w:p>
          <w:p w14:paraId="16A5B581">
            <w:pPr>
              <w:spacing w:before="55" w:line="197" w:lineRule="auto"/>
              <w:ind w:left="141"/>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001</w:t>
            </w:r>
          </w:p>
        </w:tc>
        <w:tc>
          <w:tcPr>
            <w:tcW w:w="1480" w:type="dxa"/>
            <w:vAlign w:val="top"/>
          </w:tcPr>
          <w:p w14:paraId="63A98162">
            <w:pPr>
              <w:pStyle w:val="6"/>
              <w:spacing w:before="94" w:line="231" w:lineRule="auto"/>
              <w:ind w:left="118"/>
              <w:rPr>
                <w:sz w:val="20"/>
                <w:szCs w:val="20"/>
              </w:rPr>
            </w:pPr>
            <w:r>
              <w:rPr>
                <w:spacing w:val="6"/>
                <w:sz w:val="20"/>
                <w:szCs w:val="20"/>
              </w:rPr>
              <w:t>重庆市黔江区</w:t>
            </w:r>
          </w:p>
          <w:p w14:paraId="5BBB895F">
            <w:pPr>
              <w:pStyle w:val="6"/>
              <w:spacing w:before="20" w:line="231" w:lineRule="auto"/>
              <w:ind w:left="113"/>
              <w:rPr>
                <w:sz w:val="20"/>
                <w:szCs w:val="20"/>
              </w:rPr>
            </w:pPr>
            <w:r>
              <w:rPr>
                <w:spacing w:val="6"/>
                <w:sz w:val="20"/>
                <w:szCs w:val="20"/>
              </w:rPr>
              <w:t>舟白街道丛山</w:t>
            </w:r>
          </w:p>
          <w:p w14:paraId="73D01C9D">
            <w:pPr>
              <w:pStyle w:val="6"/>
              <w:spacing w:before="23" w:line="232" w:lineRule="auto"/>
              <w:ind w:left="112"/>
              <w:rPr>
                <w:sz w:val="20"/>
                <w:szCs w:val="20"/>
              </w:rPr>
            </w:pPr>
            <w:r>
              <w:rPr>
                <w:spacing w:val="7"/>
                <w:sz w:val="20"/>
                <w:szCs w:val="20"/>
              </w:rPr>
              <w:t>饰面用灰岩矿</w:t>
            </w:r>
          </w:p>
        </w:tc>
        <w:tc>
          <w:tcPr>
            <w:tcW w:w="964" w:type="dxa"/>
            <w:vAlign w:val="top"/>
          </w:tcPr>
          <w:p w14:paraId="57FC3C26">
            <w:pPr>
              <w:pStyle w:val="6"/>
              <w:spacing w:before="230" w:line="252" w:lineRule="auto"/>
              <w:ind w:left="276" w:right="174" w:hanging="106"/>
              <w:rPr>
                <w:sz w:val="20"/>
                <w:szCs w:val="20"/>
              </w:rPr>
            </w:pPr>
            <w:r>
              <w:rPr>
                <w:spacing w:val="4"/>
                <w:sz w:val="20"/>
                <w:szCs w:val="20"/>
              </w:rPr>
              <w:t>饰面用</w:t>
            </w:r>
            <w:r>
              <w:rPr>
                <w:spacing w:val="1"/>
                <w:sz w:val="20"/>
                <w:szCs w:val="20"/>
              </w:rPr>
              <w:t xml:space="preserve"> 灰岩</w:t>
            </w:r>
          </w:p>
        </w:tc>
        <w:tc>
          <w:tcPr>
            <w:tcW w:w="1029" w:type="dxa"/>
            <w:vAlign w:val="top"/>
          </w:tcPr>
          <w:p w14:paraId="5A08F08A">
            <w:pPr>
              <w:spacing w:line="341" w:lineRule="auto"/>
              <w:rPr>
                <w:rFonts w:ascii="Arial"/>
                <w:sz w:val="21"/>
              </w:rPr>
            </w:pPr>
          </w:p>
          <w:p w14:paraId="7E157FB0">
            <w:pPr>
              <w:spacing w:before="58"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0.2181</w:t>
            </w:r>
          </w:p>
        </w:tc>
        <w:tc>
          <w:tcPr>
            <w:tcW w:w="1152" w:type="dxa"/>
            <w:vAlign w:val="top"/>
          </w:tcPr>
          <w:p w14:paraId="488150E3">
            <w:pPr>
              <w:pStyle w:val="6"/>
              <w:spacing w:before="242" w:line="230" w:lineRule="auto"/>
              <w:ind w:left="382"/>
              <w:rPr>
                <w:sz w:val="19"/>
                <w:szCs w:val="19"/>
              </w:rPr>
            </w:pPr>
            <w:r>
              <w:rPr>
                <w:spacing w:val="2"/>
                <w:sz w:val="19"/>
                <w:szCs w:val="19"/>
              </w:rPr>
              <w:t>保留</w:t>
            </w:r>
          </w:p>
          <w:p w14:paraId="4DF10230">
            <w:pPr>
              <w:pStyle w:val="6"/>
              <w:spacing w:before="22" w:line="231" w:lineRule="auto"/>
              <w:ind w:left="188"/>
              <w:rPr>
                <w:sz w:val="19"/>
                <w:szCs w:val="19"/>
              </w:rPr>
            </w:pPr>
            <w:r>
              <w:rPr>
                <w:spacing w:val="5"/>
                <w:sz w:val="19"/>
                <w:szCs w:val="19"/>
              </w:rPr>
              <w:t>露天开采</w:t>
            </w:r>
          </w:p>
        </w:tc>
        <w:tc>
          <w:tcPr>
            <w:tcW w:w="2164" w:type="dxa"/>
            <w:vAlign w:val="top"/>
          </w:tcPr>
          <w:p w14:paraId="3BE6852F">
            <w:pPr>
              <w:spacing w:line="308" w:lineRule="auto"/>
              <w:rPr>
                <w:rFonts w:ascii="Arial"/>
                <w:sz w:val="21"/>
              </w:rPr>
            </w:pPr>
          </w:p>
          <w:p w14:paraId="7B83321E">
            <w:pPr>
              <w:pStyle w:val="6"/>
              <w:spacing w:before="62" w:line="231" w:lineRule="auto"/>
              <w:ind w:left="794"/>
              <w:rPr>
                <w:sz w:val="19"/>
                <w:szCs w:val="19"/>
              </w:rPr>
            </w:pPr>
            <w:r>
              <w:rPr>
                <w:spacing w:val="4"/>
                <w:sz w:val="19"/>
                <w:szCs w:val="19"/>
              </w:rPr>
              <w:t>无变化</w:t>
            </w:r>
          </w:p>
        </w:tc>
        <w:tc>
          <w:tcPr>
            <w:tcW w:w="948" w:type="dxa"/>
            <w:vAlign w:val="top"/>
          </w:tcPr>
          <w:p w14:paraId="1B9A43EB">
            <w:pPr>
              <w:spacing w:line="349" w:lineRule="auto"/>
              <w:rPr>
                <w:rFonts w:ascii="Arial"/>
                <w:sz w:val="21"/>
              </w:rPr>
            </w:pPr>
          </w:p>
          <w:p w14:paraId="72F46D2C">
            <w:pPr>
              <w:spacing w:before="55" w:line="197" w:lineRule="auto"/>
              <w:ind w:left="191"/>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001</w:t>
            </w:r>
          </w:p>
        </w:tc>
        <w:tc>
          <w:tcPr>
            <w:tcW w:w="2170" w:type="dxa"/>
            <w:vAlign w:val="top"/>
          </w:tcPr>
          <w:p w14:paraId="164FBCD0">
            <w:pPr>
              <w:pStyle w:val="6"/>
              <w:spacing w:before="232" w:line="251" w:lineRule="auto"/>
              <w:ind w:left="156" w:right="134" w:firstLine="5"/>
              <w:rPr>
                <w:sz w:val="20"/>
                <w:szCs w:val="20"/>
              </w:rPr>
            </w:pPr>
            <w:r>
              <w:rPr>
                <w:spacing w:val="7"/>
                <w:sz w:val="20"/>
                <w:szCs w:val="20"/>
              </w:rPr>
              <w:t>重庆市黔江区舟白街</w:t>
            </w:r>
            <w:r>
              <w:rPr>
                <w:spacing w:val="4"/>
                <w:sz w:val="20"/>
                <w:szCs w:val="20"/>
              </w:rPr>
              <w:t xml:space="preserve"> </w:t>
            </w:r>
            <w:r>
              <w:rPr>
                <w:spacing w:val="8"/>
                <w:sz w:val="20"/>
                <w:szCs w:val="20"/>
              </w:rPr>
              <w:t>道丛山饰面用灰岩矿</w:t>
            </w:r>
          </w:p>
        </w:tc>
        <w:tc>
          <w:tcPr>
            <w:tcW w:w="1077" w:type="dxa"/>
            <w:vAlign w:val="top"/>
          </w:tcPr>
          <w:p w14:paraId="6BA2F54D">
            <w:pPr>
              <w:pStyle w:val="6"/>
              <w:spacing w:before="231" w:line="232" w:lineRule="auto"/>
              <w:ind w:left="138"/>
              <w:rPr>
                <w:sz w:val="20"/>
                <w:szCs w:val="20"/>
              </w:rPr>
            </w:pPr>
            <w:r>
              <w:rPr>
                <w:spacing w:val="5"/>
                <w:sz w:val="20"/>
                <w:szCs w:val="20"/>
              </w:rPr>
              <w:t>饰面用灰</w:t>
            </w:r>
          </w:p>
          <w:p w14:paraId="4290D99F">
            <w:pPr>
              <w:pStyle w:val="6"/>
              <w:spacing w:before="20" w:line="234" w:lineRule="auto"/>
              <w:ind w:left="450"/>
              <w:rPr>
                <w:sz w:val="20"/>
                <w:szCs w:val="20"/>
              </w:rPr>
            </w:pPr>
            <w:r>
              <w:rPr>
                <w:sz w:val="20"/>
                <w:szCs w:val="20"/>
              </w:rPr>
              <w:t>岩</w:t>
            </w:r>
          </w:p>
        </w:tc>
        <w:tc>
          <w:tcPr>
            <w:tcW w:w="1036" w:type="dxa"/>
            <w:vAlign w:val="top"/>
          </w:tcPr>
          <w:p w14:paraId="74ADA3F9">
            <w:pPr>
              <w:spacing w:line="341" w:lineRule="auto"/>
              <w:rPr>
                <w:rFonts w:ascii="Arial"/>
                <w:sz w:val="21"/>
              </w:rPr>
            </w:pPr>
          </w:p>
          <w:p w14:paraId="2E77D778">
            <w:pPr>
              <w:spacing w:before="58"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0.2181</w:t>
            </w:r>
          </w:p>
        </w:tc>
        <w:tc>
          <w:tcPr>
            <w:tcW w:w="1260" w:type="dxa"/>
            <w:tcBorders>
              <w:right w:val="single" w:color="000000" w:sz="10" w:space="0"/>
            </w:tcBorders>
            <w:vAlign w:val="top"/>
          </w:tcPr>
          <w:p w14:paraId="66A4B143">
            <w:pPr>
              <w:pStyle w:val="6"/>
              <w:spacing w:before="242" w:line="230" w:lineRule="auto"/>
              <w:ind w:left="446"/>
              <w:rPr>
                <w:sz w:val="19"/>
                <w:szCs w:val="19"/>
              </w:rPr>
            </w:pPr>
            <w:r>
              <w:rPr>
                <w:spacing w:val="2"/>
                <w:sz w:val="19"/>
                <w:szCs w:val="19"/>
              </w:rPr>
              <w:t>保留</w:t>
            </w:r>
          </w:p>
          <w:p w14:paraId="2934DEDF">
            <w:pPr>
              <w:pStyle w:val="6"/>
              <w:spacing w:before="22" w:line="231" w:lineRule="auto"/>
              <w:ind w:left="249"/>
              <w:rPr>
                <w:sz w:val="19"/>
                <w:szCs w:val="19"/>
              </w:rPr>
            </w:pPr>
            <w:r>
              <w:rPr>
                <w:spacing w:val="5"/>
                <w:sz w:val="19"/>
                <w:szCs w:val="19"/>
              </w:rPr>
              <w:t>露天开采</w:t>
            </w:r>
          </w:p>
        </w:tc>
      </w:tr>
      <w:tr w14:paraId="23ACDD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0" w:hRule="atLeast"/>
        </w:trPr>
        <w:tc>
          <w:tcPr>
            <w:tcW w:w="511" w:type="dxa"/>
            <w:tcBorders>
              <w:left w:val="single" w:color="000000" w:sz="10" w:space="0"/>
            </w:tcBorders>
            <w:vAlign w:val="top"/>
          </w:tcPr>
          <w:p w14:paraId="23A60BA0">
            <w:pPr>
              <w:spacing w:line="243" w:lineRule="auto"/>
              <w:rPr>
                <w:rFonts w:ascii="Arial"/>
                <w:sz w:val="21"/>
              </w:rPr>
            </w:pPr>
          </w:p>
          <w:p w14:paraId="44ADA14B">
            <w:pPr>
              <w:spacing w:line="244" w:lineRule="auto"/>
              <w:rPr>
                <w:rFonts w:ascii="Arial"/>
                <w:sz w:val="21"/>
              </w:rPr>
            </w:pPr>
          </w:p>
          <w:p w14:paraId="26FF8623">
            <w:pPr>
              <w:spacing w:before="54" w:line="195" w:lineRule="auto"/>
              <w:ind w:left="190"/>
              <w:rPr>
                <w:rFonts w:ascii="Times New Roman" w:hAnsi="Times New Roman" w:eastAsia="Times New Roman" w:cs="Times New Roman"/>
                <w:sz w:val="19"/>
                <w:szCs w:val="19"/>
              </w:rPr>
            </w:pPr>
            <w:r>
              <w:rPr>
                <w:rFonts w:ascii="Times New Roman" w:hAnsi="Times New Roman" w:eastAsia="Times New Roman" w:cs="Times New Roman"/>
                <w:sz w:val="19"/>
                <w:szCs w:val="19"/>
              </w:rPr>
              <w:t>2</w:t>
            </w:r>
          </w:p>
        </w:tc>
        <w:tc>
          <w:tcPr>
            <w:tcW w:w="874" w:type="dxa"/>
            <w:vAlign w:val="top"/>
          </w:tcPr>
          <w:p w14:paraId="11622517">
            <w:pPr>
              <w:spacing w:line="243" w:lineRule="auto"/>
              <w:rPr>
                <w:rFonts w:ascii="Arial"/>
                <w:sz w:val="21"/>
              </w:rPr>
            </w:pPr>
          </w:p>
          <w:p w14:paraId="74AA3EDF">
            <w:pPr>
              <w:spacing w:line="243" w:lineRule="auto"/>
              <w:rPr>
                <w:rFonts w:ascii="Arial"/>
                <w:sz w:val="21"/>
              </w:rPr>
            </w:pPr>
          </w:p>
          <w:p w14:paraId="7D05F785">
            <w:pPr>
              <w:spacing w:before="55" w:line="197" w:lineRule="auto"/>
              <w:ind w:left="141"/>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002</w:t>
            </w:r>
          </w:p>
        </w:tc>
        <w:tc>
          <w:tcPr>
            <w:tcW w:w="1480" w:type="dxa"/>
            <w:vAlign w:val="top"/>
          </w:tcPr>
          <w:p w14:paraId="32AC7965">
            <w:pPr>
              <w:pStyle w:val="6"/>
              <w:spacing w:before="98" w:line="231" w:lineRule="auto"/>
              <w:ind w:left="118"/>
              <w:rPr>
                <w:sz w:val="20"/>
                <w:szCs w:val="20"/>
              </w:rPr>
            </w:pPr>
            <w:r>
              <w:rPr>
                <w:spacing w:val="6"/>
                <w:sz w:val="20"/>
                <w:szCs w:val="20"/>
              </w:rPr>
              <w:t>重庆市黔江区</w:t>
            </w:r>
          </w:p>
          <w:p w14:paraId="0E304DAC">
            <w:pPr>
              <w:pStyle w:val="6"/>
              <w:spacing w:before="21" w:line="229" w:lineRule="auto"/>
              <w:ind w:left="124"/>
              <w:rPr>
                <w:sz w:val="20"/>
                <w:szCs w:val="20"/>
              </w:rPr>
            </w:pPr>
            <w:r>
              <w:rPr>
                <w:spacing w:val="5"/>
                <w:sz w:val="20"/>
                <w:szCs w:val="20"/>
              </w:rPr>
              <w:t>阿蓬江镇石合</w:t>
            </w:r>
          </w:p>
          <w:p w14:paraId="06535D82">
            <w:pPr>
              <w:pStyle w:val="6"/>
              <w:spacing w:before="22" w:line="230" w:lineRule="auto"/>
              <w:ind w:left="110"/>
              <w:rPr>
                <w:sz w:val="20"/>
                <w:szCs w:val="20"/>
              </w:rPr>
            </w:pPr>
            <w:r>
              <w:rPr>
                <w:spacing w:val="7"/>
                <w:sz w:val="20"/>
                <w:szCs w:val="20"/>
              </w:rPr>
              <w:t>村狮子口建筑</w:t>
            </w:r>
          </w:p>
          <w:p w14:paraId="7EDE36F4">
            <w:pPr>
              <w:pStyle w:val="6"/>
              <w:spacing w:before="23" w:line="229" w:lineRule="auto"/>
              <w:ind w:left="111"/>
              <w:rPr>
                <w:sz w:val="20"/>
                <w:szCs w:val="20"/>
              </w:rPr>
            </w:pPr>
            <w:r>
              <w:rPr>
                <w:spacing w:val="7"/>
                <w:sz w:val="20"/>
                <w:szCs w:val="20"/>
              </w:rPr>
              <w:t>石料用灰岩矿</w:t>
            </w:r>
          </w:p>
        </w:tc>
        <w:tc>
          <w:tcPr>
            <w:tcW w:w="964" w:type="dxa"/>
            <w:vAlign w:val="top"/>
          </w:tcPr>
          <w:p w14:paraId="67A4CCDB">
            <w:pPr>
              <w:pStyle w:val="6"/>
              <w:spacing w:before="233" w:line="232" w:lineRule="auto"/>
              <w:ind w:left="169"/>
              <w:rPr>
                <w:sz w:val="20"/>
                <w:szCs w:val="20"/>
              </w:rPr>
            </w:pPr>
            <w:r>
              <w:rPr>
                <w:spacing w:val="5"/>
                <w:sz w:val="20"/>
                <w:szCs w:val="20"/>
              </w:rPr>
              <w:t>建筑石</w:t>
            </w:r>
          </w:p>
          <w:p w14:paraId="4A3B3C95">
            <w:pPr>
              <w:pStyle w:val="6"/>
              <w:spacing w:before="20" w:line="252" w:lineRule="auto"/>
              <w:ind w:left="378" w:right="174" w:hanging="209"/>
              <w:rPr>
                <w:sz w:val="20"/>
                <w:szCs w:val="20"/>
              </w:rPr>
            </w:pPr>
            <w:r>
              <w:rPr>
                <w:spacing w:val="5"/>
                <w:sz w:val="20"/>
                <w:szCs w:val="20"/>
              </w:rPr>
              <w:t>料用灰</w:t>
            </w:r>
            <w:r>
              <w:rPr>
                <w:sz w:val="20"/>
                <w:szCs w:val="20"/>
              </w:rPr>
              <w:t xml:space="preserve"> 岩</w:t>
            </w:r>
          </w:p>
        </w:tc>
        <w:tc>
          <w:tcPr>
            <w:tcW w:w="1029" w:type="dxa"/>
            <w:vAlign w:val="top"/>
          </w:tcPr>
          <w:p w14:paraId="41394519">
            <w:pPr>
              <w:rPr>
                <w:rFonts w:ascii="Arial"/>
                <w:sz w:val="21"/>
              </w:rPr>
            </w:pPr>
          </w:p>
          <w:p w14:paraId="7FE3A028">
            <w:pPr>
              <w:spacing w:line="241" w:lineRule="auto"/>
              <w:rPr>
                <w:rFonts w:ascii="Arial"/>
                <w:sz w:val="21"/>
              </w:rPr>
            </w:pPr>
          </w:p>
          <w:p w14:paraId="4692307B">
            <w:pPr>
              <w:spacing w:before="58"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0.0325</w:t>
            </w:r>
          </w:p>
        </w:tc>
        <w:tc>
          <w:tcPr>
            <w:tcW w:w="1152" w:type="dxa"/>
            <w:vAlign w:val="top"/>
          </w:tcPr>
          <w:p w14:paraId="281FBEF7">
            <w:pPr>
              <w:spacing w:line="319" w:lineRule="auto"/>
              <w:rPr>
                <w:rFonts w:ascii="Arial"/>
                <w:sz w:val="21"/>
              </w:rPr>
            </w:pPr>
          </w:p>
          <w:p w14:paraId="116CC4BA">
            <w:pPr>
              <w:pStyle w:val="6"/>
              <w:spacing w:before="61" w:line="230" w:lineRule="auto"/>
              <w:ind w:left="382"/>
              <w:rPr>
                <w:sz w:val="19"/>
                <w:szCs w:val="19"/>
              </w:rPr>
            </w:pPr>
            <w:r>
              <w:rPr>
                <w:spacing w:val="2"/>
                <w:sz w:val="19"/>
                <w:szCs w:val="19"/>
              </w:rPr>
              <w:t>保留</w:t>
            </w:r>
          </w:p>
          <w:p w14:paraId="5F5692F6">
            <w:pPr>
              <w:pStyle w:val="6"/>
              <w:spacing w:before="20" w:line="231" w:lineRule="auto"/>
              <w:ind w:left="188"/>
              <w:rPr>
                <w:sz w:val="19"/>
                <w:szCs w:val="19"/>
              </w:rPr>
            </w:pPr>
            <w:r>
              <w:rPr>
                <w:spacing w:val="5"/>
                <w:sz w:val="19"/>
                <w:szCs w:val="19"/>
              </w:rPr>
              <w:t>露天开采</w:t>
            </w:r>
          </w:p>
        </w:tc>
        <w:tc>
          <w:tcPr>
            <w:tcW w:w="2164" w:type="dxa"/>
            <w:vAlign w:val="top"/>
          </w:tcPr>
          <w:p w14:paraId="16403BC5">
            <w:pPr>
              <w:spacing w:line="446" w:lineRule="auto"/>
              <w:rPr>
                <w:rFonts w:ascii="Arial"/>
                <w:sz w:val="21"/>
              </w:rPr>
            </w:pPr>
          </w:p>
          <w:p w14:paraId="7BAD9D8F">
            <w:pPr>
              <w:pStyle w:val="6"/>
              <w:spacing w:before="61" w:line="231" w:lineRule="auto"/>
              <w:ind w:left="794"/>
              <w:rPr>
                <w:sz w:val="19"/>
                <w:szCs w:val="19"/>
              </w:rPr>
            </w:pPr>
            <w:r>
              <w:rPr>
                <w:spacing w:val="4"/>
                <w:sz w:val="19"/>
                <w:szCs w:val="19"/>
              </w:rPr>
              <w:t>无变化</w:t>
            </w:r>
          </w:p>
        </w:tc>
        <w:tc>
          <w:tcPr>
            <w:tcW w:w="948" w:type="dxa"/>
            <w:vAlign w:val="top"/>
          </w:tcPr>
          <w:p w14:paraId="697F84DB">
            <w:pPr>
              <w:spacing w:line="243" w:lineRule="auto"/>
              <w:rPr>
                <w:rFonts w:ascii="Arial"/>
                <w:sz w:val="21"/>
              </w:rPr>
            </w:pPr>
          </w:p>
          <w:p w14:paraId="57E94E9E">
            <w:pPr>
              <w:spacing w:line="243" w:lineRule="auto"/>
              <w:rPr>
                <w:rFonts w:ascii="Arial"/>
                <w:sz w:val="21"/>
              </w:rPr>
            </w:pPr>
          </w:p>
          <w:p w14:paraId="40714681">
            <w:pPr>
              <w:spacing w:before="55" w:line="197" w:lineRule="auto"/>
              <w:ind w:left="191"/>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002</w:t>
            </w:r>
          </w:p>
        </w:tc>
        <w:tc>
          <w:tcPr>
            <w:tcW w:w="2170" w:type="dxa"/>
            <w:vAlign w:val="top"/>
          </w:tcPr>
          <w:p w14:paraId="1B80615B">
            <w:pPr>
              <w:pStyle w:val="6"/>
              <w:spacing w:before="233" w:line="229" w:lineRule="auto"/>
              <w:ind w:left="161"/>
              <w:rPr>
                <w:sz w:val="20"/>
                <w:szCs w:val="20"/>
              </w:rPr>
            </w:pPr>
            <w:r>
              <w:rPr>
                <w:spacing w:val="7"/>
                <w:sz w:val="20"/>
                <w:szCs w:val="20"/>
              </w:rPr>
              <w:t>重庆市黔江区阿蓬江</w:t>
            </w:r>
          </w:p>
          <w:p w14:paraId="20B28BF6">
            <w:pPr>
              <w:pStyle w:val="6"/>
              <w:spacing w:before="22" w:line="230" w:lineRule="auto"/>
              <w:ind w:left="154"/>
              <w:rPr>
                <w:sz w:val="20"/>
                <w:szCs w:val="20"/>
              </w:rPr>
            </w:pPr>
            <w:r>
              <w:rPr>
                <w:spacing w:val="8"/>
                <w:sz w:val="20"/>
                <w:szCs w:val="20"/>
              </w:rPr>
              <w:t>镇石合村狮子口建筑</w:t>
            </w:r>
          </w:p>
          <w:p w14:paraId="154D4EB8">
            <w:pPr>
              <w:pStyle w:val="6"/>
              <w:spacing w:before="21" w:line="229" w:lineRule="auto"/>
              <w:ind w:left="471"/>
              <w:rPr>
                <w:sz w:val="20"/>
                <w:szCs w:val="20"/>
              </w:rPr>
            </w:pPr>
            <w:r>
              <w:rPr>
                <w:spacing w:val="7"/>
                <w:sz w:val="20"/>
                <w:szCs w:val="20"/>
              </w:rPr>
              <w:t>石料用灰岩矿</w:t>
            </w:r>
          </w:p>
        </w:tc>
        <w:tc>
          <w:tcPr>
            <w:tcW w:w="1077" w:type="dxa"/>
            <w:vAlign w:val="top"/>
          </w:tcPr>
          <w:p w14:paraId="72B529CD">
            <w:pPr>
              <w:spacing w:line="303" w:lineRule="auto"/>
              <w:rPr>
                <w:rFonts w:ascii="Arial"/>
                <w:sz w:val="21"/>
              </w:rPr>
            </w:pPr>
          </w:p>
          <w:p w14:paraId="549ADD97">
            <w:pPr>
              <w:pStyle w:val="6"/>
              <w:spacing w:before="65" w:line="251" w:lineRule="auto"/>
              <w:ind w:left="240" w:right="110" w:hanging="103"/>
              <w:rPr>
                <w:sz w:val="20"/>
                <w:szCs w:val="20"/>
              </w:rPr>
            </w:pPr>
            <w:r>
              <w:rPr>
                <w:spacing w:val="5"/>
                <w:sz w:val="20"/>
                <w:szCs w:val="20"/>
              </w:rPr>
              <w:t>建筑石料</w:t>
            </w:r>
            <w:r>
              <w:rPr>
                <w:spacing w:val="2"/>
                <w:sz w:val="20"/>
                <w:szCs w:val="20"/>
              </w:rPr>
              <w:t xml:space="preserve"> </w:t>
            </w:r>
            <w:r>
              <w:rPr>
                <w:spacing w:val="5"/>
                <w:sz w:val="20"/>
                <w:szCs w:val="20"/>
              </w:rPr>
              <w:t>用灰岩</w:t>
            </w:r>
          </w:p>
        </w:tc>
        <w:tc>
          <w:tcPr>
            <w:tcW w:w="1036" w:type="dxa"/>
            <w:vAlign w:val="top"/>
          </w:tcPr>
          <w:p w14:paraId="371C6D76">
            <w:pPr>
              <w:rPr>
                <w:rFonts w:ascii="Arial"/>
                <w:sz w:val="21"/>
              </w:rPr>
            </w:pPr>
          </w:p>
          <w:p w14:paraId="15AC88D3">
            <w:pPr>
              <w:spacing w:line="241" w:lineRule="auto"/>
              <w:rPr>
                <w:rFonts w:ascii="Arial"/>
                <w:sz w:val="21"/>
              </w:rPr>
            </w:pPr>
          </w:p>
          <w:p w14:paraId="6E494668">
            <w:pPr>
              <w:spacing w:before="58"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0.0325</w:t>
            </w:r>
          </w:p>
        </w:tc>
        <w:tc>
          <w:tcPr>
            <w:tcW w:w="1260" w:type="dxa"/>
            <w:tcBorders>
              <w:right w:val="single" w:color="000000" w:sz="10" w:space="0"/>
            </w:tcBorders>
            <w:vAlign w:val="top"/>
          </w:tcPr>
          <w:p w14:paraId="731FA1BC">
            <w:pPr>
              <w:spacing w:line="319" w:lineRule="auto"/>
              <w:rPr>
                <w:rFonts w:ascii="Arial"/>
                <w:sz w:val="21"/>
              </w:rPr>
            </w:pPr>
          </w:p>
          <w:p w14:paraId="6B147AF8">
            <w:pPr>
              <w:pStyle w:val="6"/>
              <w:spacing w:before="61" w:line="230" w:lineRule="auto"/>
              <w:ind w:left="446"/>
              <w:rPr>
                <w:sz w:val="19"/>
                <w:szCs w:val="19"/>
              </w:rPr>
            </w:pPr>
            <w:r>
              <w:rPr>
                <w:spacing w:val="2"/>
                <w:sz w:val="19"/>
                <w:szCs w:val="19"/>
              </w:rPr>
              <w:t>保留</w:t>
            </w:r>
          </w:p>
          <w:p w14:paraId="3B0D1F1E">
            <w:pPr>
              <w:pStyle w:val="6"/>
              <w:spacing w:before="20" w:line="231" w:lineRule="auto"/>
              <w:ind w:left="249"/>
              <w:rPr>
                <w:sz w:val="19"/>
                <w:szCs w:val="19"/>
              </w:rPr>
            </w:pPr>
            <w:r>
              <w:rPr>
                <w:spacing w:val="5"/>
                <w:sz w:val="19"/>
                <w:szCs w:val="19"/>
              </w:rPr>
              <w:t>露天开采</w:t>
            </w:r>
          </w:p>
        </w:tc>
      </w:tr>
      <w:tr w14:paraId="1FB0DE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1" w:hRule="atLeast"/>
        </w:trPr>
        <w:tc>
          <w:tcPr>
            <w:tcW w:w="511" w:type="dxa"/>
            <w:tcBorders>
              <w:left w:val="single" w:color="000000" w:sz="10" w:space="0"/>
            </w:tcBorders>
            <w:vAlign w:val="top"/>
          </w:tcPr>
          <w:p w14:paraId="28E0F4CA">
            <w:pPr>
              <w:spacing w:line="246" w:lineRule="auto"/>
              <w:rPr>
                <w:rFonts w:ascii="Arial"/>
                <w:sz w:val="21"/>
              </w:rPr>
            </w:pPr>
          </w:p>
          <w:p w14:paraId="3ECEB0A7">
            <w:pPr>
              <w:spacing w:line="247" w:lineRule="auto"/>
              <w:rPr>
                <w:rFonts w:ascii="Arial"/>
                <w:sz w:val="21"/>
              </w:rPr>
            </w:pPr>
          </w:p>
          <w:p w14:paraId="0BBD5DD4">
            <w:pPr>
              <w:spacing w:before="55" w:line="195" w:lineRule="auto"/>
              <w:ind w:left="194"/>
              <w:rPr>
                <w:rFonts w:ascii="Times New Roman" w:hAnsi="Times New Roman" w:eastAsia="Times New Roman" w:cs="Times New Roman"/>
                <w:sz w:val="19"/>
                <w:szCs w:val="19"/>
              </w:rPr>
            </w:pPr>
            <w:r>
              <w:rPr>
                <w:rFonts w:ascii="Times New Roman" w:hAnsi="Times New Roman" w:eastAsia="Times New Roman" w:cs="Times New Roman"/>
                <w:sz w:val="19"/>
                <w:szCs w:val="19"/>
              </w:rPr>
              <w:t>3</w:t>
            </w:r>
          </w:p>
        </w:tc>
        <w:tc>
          <w:tcPr>
            <w:tcW w:w="874" w:type="dxa"/>
            <w:vAlign w:val="top"/>
          </w:tcPr>
          <w:p w14:paraId="28FFAEAE">
            <w:pPr>
              <w:spacing w:line="246" w:lineRule="auto"/>
              <w:rPr>
                <w:rFonts w:ascii="Arial"/>
                <w:sz w:val="21"/>
              </w:rPr>
            </w:pPr>
          </w:p>
          <w:p w14:paraId="6BF9B6DB">
            <w:pPr>
              <w:spacing w:line="247" w:lineRule="auto"/>
              <w:rPr>
                <w:rFonts w:ascii="Arial"/>
                <w:sz w:val="21"/>
              </w:rPr>
            </w:pPr>
          </w:p>
          <w:p w14:paraId="0D139419">
            <w:pPr>
              <w:spacing w:before="55" w:line="197" w:lineRule="auto"/>
              <w:ind w:left="141"/>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003</w:t>
            </w:r>
          </w:p>
        </w:tc>
        <w:tc>
          <w:tcPr>
            <w:tcW w:w="1480" w:type="dxa"/>
            <w:vAlign w:val="top"/>
          </w:tcPr>
          <w:p w14:paraId="73F1B16C">
            <w:pPr>
              <w:pStyle w:val="6"/>
              <w:spacing w:before="102" w:line="231" w:lineRule="auto"/>
              <w:ind w:left="118"/>
              <w:rPr>
                <w:sz w:val="20"/>
                <w:szCs w:val="20"/>
              </w:rPr>
            </w:pPr>
            <w:r>
              <w:rPr>
                <w:spacing w:val="6"/>
                <w:sz w:val="20"/>
                <w:szCs w:val="20"/>
              </w:rPr>
              <w:t>重庆市黔江区</w:t>
            </w:r>
          </w:p>
          <w:p w14:paraId="40F5522C">
            <w:pPr>
              <w:pStyle w:val="6"/>
              <w:spacing w:before="20" w:line="232" w:lineRule="auto"/>
              <w:ind w:left="110"/>
              <w:rPr>
                <w:sz w:val="20"/>
                <w:szCs w:val="20"/>
              </w:rPr>
            </w:pPr>
            <w:r>
              <w:rPr>
                <w:spacing w:val="7"/>
                <w:sz w:val="20"/>
                <w:szCs w:val="20"/>
              </w:rPr>
              <w:t>水田乡大堡建</w:t>
            </w:r>
          </w:p>
          <w:p w14:paraId="6FD46207">
            <w:pPr>
              <w:pStyle w:val="6"/>
              <w:spacing w:before="22" w:line="229" w:lineRule="auto"/>
              <w:ind w:left="113"/>
              <w:rPr>
                <w:sz w:val="20"/>
                <w:szCs w:val="20"/>
              </w:rPr>
            </w:pPr>
            <w:r>
              <w:rPr>
                <w:spacing w:val="6"/>
                <w:sz w:val="20"/>
                <w:szCs w:val="20"/>
              </w:rPr>
              <w:t>筑石料用灰岩</w:t>
            </w:r>
          </w:p>
          <w:p w14:paraId="651CFDC7">
            <w:pPr>
              <w:pStyle w:val="6"/>
              <w:spacing w:before="23" w:line="232" w:lineRule="auto"/>
              <w:ind w:left="636"/>
              <w:rPr>
                <w:sz w:val="20"/>
                <w:szCs w:val="20"/>
              </w:rPr>
            </w:pPr>
            <w:r>
              <w:rPr>
                <w:sz w:val="20"/>
                <w:szCs w:val="20"/>
              </w:rPr>
              <w:t>矿</w:t>
            </w:r>
          </w:p>
        </w:tc>
        <w:tc>
          <w:tcPr>
            <w:tcW w:w="964" w:type="dxa"/>
            <w:vAlign w:val="top"/>
          </w:tcPr>
          <w:p w14:paraId="7B06C64C">
            <w:pPr>
              <w:pStyle w:val="6"/>
              <w:spacing w:before="237" w:line="232" w:lineRule="auto"/>
              <w:ind w:left="169"/>
              <w:rPr>
                <w:sz w:val="20"/>
                <w:szCs w:val="20"/>
              </w:rPr>
            </w:pPr>
            <w:r>
              <w:rPr>
                <w:spacing w:val="5"/>
                <w:sz w:val="20"/>
                <w:szCs w:val="20"/>
              </w:rPr>
              <w:t>建筑石</w:t>
            </w:r>
          </w:p>
          <w:p w14:paraId="36D265D6">
            <w:pPr>
              <w:pStyle w:val="6"/>
              <w:spacing w:before="18" w:line="255" w:lineRule="auto"/>
              <w:ind w:left="378" w:right="174" w:hanging="209"/>
              <w:rPr>
                <w:sz w:val="20"/>
                <w:szCs w:val="20"/>
              </w:rPr>
            </w:pPr>
            <w:r>
              <w:rPr>
                <w:spacing w:val="5"/>
                <w:sz w:val="20"/>
                <w:szCs w:val="20"/>
              </w:rPr>
              <w:t>料用灰</w:t>
            </w:r>
            <w:r>
              <w:rPr>
                <w:sz w:val="20"/>
                <w:szCs w:val="20"/>
              </w:rPr>
              <w:t xml:space="preserve"> 岩</w:t>
            </w:r>
          </w:p>
        </w:tc>
        <w:tc>
          <w:tcPr>
            <w:tcW w:w="1029" w:type="dxa"/>
            <w:vAlign w:val="top"/>
          </w:tcPr>
          <w:p w14:paraId="1251E26A">
            <w:pPr>
              <w:spacing w:line="243" w:lineRule="auto"/>
              <w:rPr>
                <w:rFonts w:ascii="Arial"/>
                <w:sz w:val="21"/>
              </w:rPr>
            </w:pPr>
          </w:p>
          <w:p w14:paraId="03558157">
            <w:pPr>
              <w:spacing w:line="243" w:lineRule="auto"/>
              <w:rPr>
                <w:rFonts w:ascii="Arial"/>
                <w:sz w:val="21"/>
              </w:rPr>
            </w:pPr>
          </w:p>
          <w:p w14:paraId="4044AB61">
            <w:pPr>
              <w:spacing w:before="57"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0.166</w:t>
            </w:r>
          </w:p>
        </w:tc>
        <w:tc>
          <w:tcPr>
            <w:tcW w:w="1152" w:type="dxa"/>
            <w:vAlign w:val="top"/>
          </w:tcPr>
          <w:p w14:paraId="07FE47D9">
            <w:pPr>
              <w:spacing w:line="323" w:lineRule="auto"/>
              <w:rPr>
                <w:rFonts w:ascii="Arial"/>
                <w:sz w:val="21"/>
              </w:rPr>
            </w:pPr>
          </w:p>
          <w:p w14:paraId="0047E9EE">
            <w:pPr>
              <w:pStyle w:val="6"/>
              <w:spacing w:before="62" w:line="230" w:lineRule="auto"/>
              <w:ind w:left="382"/>
              <w:rPr>
                <w:sz w:val="19"/>
                <w:szCs w:val="19"/>
              </w:rPr>
            </w:pPr>
            <w:r>
              <w:rPr>
                <w:spacing w:val="2"/>
                <w:sz w:val="19"/>
                <w:szCs w:val="19"/>
              </w:rPr>
              <w:t>保留</w:t>
            </w:r>
          </w:p>
          <w:p w14:paraId="1868F8F9">
            <w:pPr>
              <w:pStyle w:val="6"/>
              <w:spacing w:before="22" w:line="231" w:lineRule="auto"/>
              <w:ind w:left="188"/>
              <w:rPr>
                <w:sz w:val="19"/>
                <w:szCs w:val="19"/>
              </w:rPr>
            </w:pPr>
            <w:r>
              <w:rPr>
                <w:spacing w:val="5"/>
                <w:sz w:val="19"/>
                <w:szCs w:val="19"/>
              </w:rPr>
              <w:t>露天开采</w:t>
            </w:r>
          </w:p>
        </w:tc>
        <w:tc>
          <w:tcPr>
            <w:tcW w:w="2164" w:type="dxa"/>
            <w:vAlign w:val="top"/>
          </w:tcPr>
          <w:p w14:paraId="1D6154F0">
            <w:pPr>
              <w:spacing w:line="452" w:lineRule="auto"/>
              <w:rPr>
                <w:rFonts w:ascii="Arial"/>
                <w:sz w:val="21"/>
              </w:rPr>
            </w:pPr>
          </w:p>
          <w:p w14:paraId="3FF73847">
            <w:pPr>
              <w:pStyle w:val="6"/>
              <w:spacing w:before="62" w:line="231" w:lineRule="auto"/>
              <w:ind w:left="794"/>
              <w:rPr>
                <w:sz w:val="19"/>
                <w:szCs w:val="19"/>
              </w:rPr>
            </w:pPr>
            <w:r>
              <w:rPr>
                <w:spacing w:val="4"/>
                <w:sz w:val="19"/>
                <w:szCs w:val="19"/>
              </w:rPr>
              <w:t>无变化</w:t>
            </w:r>
          </w:p>
        </w:tc>
        <w:tc>
          <w:tcPr>
            <w:tcW w:w="948" w:type="dxa"/>
            <w:vAlign w:val="top"/>
          </w:tcPr>
          <w:p w14:paraId="12B81CDD">
            <w:pPr>
              <w:spacing w:line="246" w:lineRule="auto"/>
              <w:rPr>
                <w:rFonts w:ascii="Arial"/>
                <w:sz w:val="21"/>
              </w:rPr>
            </w:pPr>
          </w:p>
          <w:p w14:paraId="5232D8A3">
            <w:pPr>
              <w:spacing w:line="247" w:lineRule="auto"/>
              <w:rPr>
                <w:rFonts w:ascii="Arial"/>
                <w:sz w:val="21"/>
              </w:rPr>
            </w:pPr>
          </w:p>
          <w:p w14:paraId="72EF3D92">
            <w:pPr>
              <w:spacing w:before="55" w:line="197" w:lineRule="auto"/>
              <w:ind w:left="191"/>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003</w:t>
            </w:r>
          </w:p>
        </w:tc>
        <w:tc>
          <w:tcPr>
            <w:tcW w:w="2170" w:type="dxa"/>
            <w:vAlign w:val="top"/>
          </w:tcPr>
          <w:p w14:paraId="490024ED">
            <w:pPr>
              <w:pStyle w:val="6"/>
              <w:spacing w:before="236" w:line="231" w:lineRule="auto"/>
              <w:ind w:left="161"/>
              <w:rPr>
                <w:sz w:val="20"/>
                <w:szCs w:val="20"/>
              </w:rPr>
            </w:pPr>
            <w:r>
              <w:rPr>
                <w:spacing w:val="7"/>
                <w:sz w:val="20"/>
                <w:szCs w:val="20"/>
              </w:rPr>
              <w:t>重庆市黔江区水田乡</w:t>
            </w:r>
          </w:p>
          <w:p w14:paraId="73DC9C85">
            <w:pPr>
              <w:pStyle w:val="6"/>
              <w:spacing w:before="20" w:line="229" w:lineRule="auto"/>
              <w:ind w:left="157"/>
              <w:rPr>
                <w:sz w:val="20"/>
                <w:szCs w:val="20"/>
              </w:rPr>
            </w:pPr>
            <w:r>
              <w:rPr>
                <w:spacing w:val="8"/>
                <w:sz w:val="20"/>
                <w:szCs w:val="20"/>
              </w:rPr>
              <w:t>大堡建筑石料用灰岩</w:t>
            </w:r>
          </w:p>
          <w:p w14:paraId="7B9B5A05">
            <w:pPr>
              <w:pStyle w:val="6"/>
              <w:spacing w:before="26" w:line="232" w:lineRule="auto"/>
              <w:ind w:left="995"/>
              <w:rPr>
                <w:sz w:val="20"/>
                <w:szCs w:val="20"/>
              </w:rPr>
            </w:pPr>
            <w:r>
              <w:rPr>
                <w:sz w:val="20"/>
                <w:szCs w:val="20"/>
              </w:rPr>
              <w:t>矿</w:t>
            </w:r>
          </w:p>
        </w:tc>
        <w:tc>
          <w:tcPr>
            <w:tcW w:w="1077" w:type="dxa"/>
            <w:vAlign w:val="top"/>
          </w:tcPr>
          <w:p w14:paraId="632CF81E">
            <w:pPr>
              <w:spacing w:line="306" w:lineRule="auto"/>
              <w:rPr>
                <w:rFonts w:ascii="Arial"/>
                <w:sz w:val="21"/>
              </w:rPr>
            </w:pPr>
          </w:p>
          <w:p w14:paraId="40C15215">
            <w:pPr>
              <w:pStyle w:val="6"/>
              <w:spacing w:before="65" w:line="254" w:lineRule="auto"/>
              <w:ind w:left="240" w:right="110" w:hanging="103"/>
              <w:rPr>
                <w:sz w:val="20"/>
                <w:szCs w:val="20"/>
              </w:rPr>
            </w:pPr>
            <w:r>
              <w:rPr>
                <w:spacing w:val="5"/>
                <w:sz w:val="20"/>
                <w:szCs w:val="20"/>
              </w:rPr>
              <w:t>建筑石料</w:t>
            </w:r>
            <w:r>
              <w:rPr>
                <w:spacing w:val="2"/>
                <w:sz w:val="20"/>
                <w:szCs w:val="20"/>
              </w:rPr>
              <w:t xml:space="preserve"> </w:t>
            </w:r>
            <w:r>
              <w:rPr>
                <w:spacing w:val="5"/>
                <w:sz w:val="20"/>
                <w:szCs w:val="20"/>
              </w:rPr>
              <w:t>用灰岩</w:t>
            </w:r>
          </w:p>
        </w:tc>
        <w:tc>
          <w:tcPr>
            <w:tcW w:w="1036" w:type="dxa"/>
            <w:vAlign w:val="top"/>
          </w:tcPr>
          <w:p w14:paraId="6D493A6C">
            <w:pPr>
              <w:spacing w:line="243" w:lineRule="auto"/>
              <w:rPr>
                <w:rFonts w:ascii="Arial"/>
                <w:sz w:val="21"/>
              </w:rPr>
            </w:pPr>
          </w:p>
          <w:p w14:paraId="70BD7550">
            <w:pPr>
              <w:spacing w:line="243" w:lineRule="auto"/>
              <w:rPr>
                <w:rFonts w:ascii="Arial"/>
                <w:sz w:val="21"/>
              </w:rPr>
            </w:pPr>
          </w:p>
          <w:p w14:paraId="21F720E9">
            <w:pPr>
              <w:spacing w:before="57" w:line="195" w:lineRule="auto"/>
              <w:ind w:left="2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0.166</w:t>
            </w:r>
          </w:p>
        </w:tc>
        <w:tc>
          <w:tcPr>
            <w:tcW w:w="1260" w:type="dxa"/>
            <w:tcBorders>
              <w:right w:val="single" w:color="000000" w:sz="10" w:space="0"/>
            </w:tcBorders>
            <w:vAlign w:val="top"/>
          </w:tcPr>
          <w:p w14:paraId="3E153A3A">
            <w:pPr>
              <w:spacing w:line="323" w:lineRule="auto"/>
              <w:rPr>
                <w:rFonts w:ascii="Arial"/>
                <w:sz w:val="21"/>
              </w:rPr>
            </w:pPr>
          </w:p>
          <w:p w14:paraId="4761B72A">
            <w:pPr>
              <w:pStyle w:val="6"/>
              <w:spacing w:before="62" w:line="230" w:lineRule="auto"/>
              <w:ind w:left="446"/>
              <w:rPr>
                <w:sz w:val="19"/>
                <w:szCs w:val="19"/>
              </w:rPr>
            </w:pPr>
            <w:r>
              <w:rPr>
                <w:spacing w:val="2"/>
                <w:sz w:val="19"/>
                <w:szCs w:val="19"/>
              </w:rPr>
              <w:t>保留</w:t>
            </w:r>
          </w:p>
          <w:p w14:paraId="6E3F4EC7">
            <w:pPr>
              <w:pStyle w:val="6"/>
              <w:spacing w:before="22" w:line="231" w:lineRule="auto"/>
              <w:ind w:left="249"/>
              <w:rPr>
                <w:sz w:val="19"/>
                <w:szCs w:val="19"/>
              </w:rPr>
            </w:pPr>
            <w:r>
              <w:rPr>
                <w:spacing w:val="5"/>
                <w:sz w:val="19"/>
                <w:szCs w:val="19"/>
              </w:rPr>
              <w:t>露天开采</w:t>
            </w:r>
          </w:p>
        </w:tc>
      </w:tr>
      <w:tr w14:paraId="7DB35F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1" w:hRule="atLeast"/>
        </w:trPr>
        <w:tc>
          <w:tcPr>
            <w:tcW w:w="511" w:type="dxa"/>
            <w:tcBorders>
              <w:left w:val="single" w:color="000000" w:sz="10" w:space="0"/>
            </w:tcBorders>
            <w:vAlign w:val="top"/>
          </w:tcPr>
          <w:p w14:paraId="3D580642">
            <w:pPr>
              <w:spacing w:line="248" w:lineRule="auto"/>
              <w:rPr>
                <w:rFonts w:ascii="Arial"/>
                <w:sz w:val="21"/>
              </w:rPr>
            </w:pPr>
          </w:p>
          <w:p w14:paraId="37B18196">
            <w:pPr>
              <w:spacing w:line="248" w:lineRule="auto"/>
              <w:rPr>
                <w:rFonts w:ascii="Arial"/>
                <w:sz w:val="21"/>
              </w:rPr>
            </w:pPr>
          </w:p>
          <w:p w14:paraId="1AD4F7AE">
            <w:pPr>
              <w:spacing w:before="55" w:line="195" w:lineRule="auto"/>
              <w:ind w:left="189"/>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4</w:t>
            </w:r>
          </w:p>
        </w:tc>
        <w:tc>
          <w:tcPr>
            <w:tcW w:w="874" w:type="dxa"/>
            <w:vAlign w:val="top"/>
          </w:tcPr>
          <w:p w14:paraId="5E4541AB">
            <w:pPr>
              <w:spacing w:line="248" w:lineRule="auto"/>
              <w:rPr>
                <w:rFonts w:ascii="Arial"/>
                <w:sz w:val="21"/>
              </w:rPr>
            </w:pPr>
          </w:p>
          <w:p w14:paraId="77AB6957">
            <w:pPr>
              <w:spacing w:line="248" w:lineRule="auto"/>
              <w:rPr>
                <w:rFonts w:ascii="Arial"/>
                <w:sz w:val="21"/>
              </w:rPr>
            </w:pPr>
          </w:p>
          <w:p w14:paraId="68429596">
            <w:pPr>
              <w:spacing w:before="55" w:line="197" w:lineRule="auto"/>
              <w:ind w:left="141"/>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004</w:t>
            </w:r>
          </w:p>
        </w:tc>
        <w:tc>
          <w:tcPr>
            <w:tcW w:w="1480" w:type="dxa"/>
            <w:vAlign w:val="top"/>
          </w:tcPr>
          <w:p w14:paraId="599EBC8C">
            <w:pPr>
              <w:pStyle w:val="6"/>
              <w:spacing w:before="105" w:line="231" w:lineRule="auto"/>
              <w:ind w:left="118"/>
              <w:rPr>
                <w:sz w:val="20"/>
                <w:szCs w:val="20"/>
              </w:rPr>
            </w:pPr>
            <w:r>
              <w:rPr>
                <w:spacing w:val="6"/>
                <w:sz w:val="20"/>
                <w:szCs w:val="20"/>
              </w:rPr>
              <w:t>重庆市黔江区</w:t>
            </w:r>
          </w:p>
          <w:p w14:paraId="62C6E7FC">
            <w:pPr>
              <w:pStyle w:val="6"/>
              <w:spacing w:before="20" w:line="232" w:lineRule="auto"/>
              <w:ind w:left="111"/>
              <w:rPr>
                <w:sz w:val="20"/>
                <w:szCs w:val="20"/>
              </w:rPr>
            </w:pPr>
            <w:r>
              <w:rPr>
                <w:spacing w:val="7"/>
                <w:sz w:val="20"/>
                <w:szCs w:val="20"/>
              </w:rPr>
              <w:t>石家镇火石垭</w:t>
            </w:r>
          </w:p>
          <w:p w14:paraId="10A4CD33">
            <w:pPr>
              <w:pStyle w:val="6"/>
              <w:spacing w:before="19" w:line="229" w:lineRule="auto"/>
              <w:ind w:left="111"/>
              <w:rPr>
                <w:sz w:val="20"/>
                <w:szCs w:val="20"/>
              </w:rPr>
            </w:pPr>
            <w:r>
              <w:rPr>
                <w:spacing w:val="7"/>
                <w:sz w:val="20"/>
                <w:szCs w:val="20"/>
              </w:rPr>
              <w:t>建筑石料用灰</w:t>
            </w:r>
          </w:p>
          <w:p w14:paraId="107E7550">
            <w:pPr>
              <w:pStyle w:val="6"/>
              <w:spacing w:before="26" w:line="232" w:lineRule="auto"/>
              <w:ind w:left="529"/>
              <w:rPr>
                <w:sz w:val="20"/>
                <w:szCs w:val="20"/>
              </w:rPr>
            </w:pPr>
            <w:r>
              <w:rPr>
                <w:spacing w:val="3"/>
                <w:sz w:val="20"/>
                <w:szCs w:val="20"/>
              </w:rPr>
              <w:t>岩矿</w:t>
            </w:r>
          </w:p>
        </w:tc>
        <w:tc>
          <w:tcPr>
            <w:tcW w:w="964" w:type="dxa"/>
            <w:vAlign w:val="top"/>
          </w:tcPr>
          <w:p w14:paraId="6DE06B5C">
            <w:pPr>
              <w:pStyle w:val="6"/>
              <w:spacing w:before="240" w:line="232" w:lineRule="auto"/>
              <w:ind w:left="169"/>
              <w:rPr>
                <w:sz w:val="20"/>
                <w:szCs w:val="20"/>
              </w:rPr>
            </w:pPr>
            <w:r>
              <w:rPr>
                <w:spacing w:val="5"/>
                <w:sz w:val="20"/>
                <w:szCs w:val="20"/>
              </w:rPr>
              <w:t>建筑石</w:t>
            </w:r>
          </w:p>
          <w:p w14:paraId="774DEC76">
            <w:pPr>
              <w:pStyle w:val="6"/>
              <w:spacing w:before="18" w:line="255" w:lineRule="auto"/>
              <w:ind w:left="378" w:right="174" w:hanging="209"/>
              <w:rPr>
                <w:sz w:val="20"/>
                <w:szCs w:val="20"/>
              </w:rPr>
            </w:pPr>
            <w:r>
              <w:rPr>
                <w:spacing w:val="5"/>
                <w:sz w:val="20"/>
                <w:szCs w:val="20"/>
              </w:rPr>
              <w:t>料用灰</w:t>
            </w:r>
            <w:r>
              <w:rPr>
                <w:sz w:val="20"/>
                <w:szCs w:val="20"/>
              </w:rPr>
              <w:t xml:space="preserve"> 岩</w:t>
            </w:r>
          </w:p>
        </w:tc>
        <w:tc>
          <w:tcPr>
            <w:tcW w:w="1029" w:type="dxa"/>
            <w:vAlign w:val="top"/>
          </w:tcPr>
          <w:p w14:paraId="04DECDF5">
            <w:pPr>
              <w:spacing w:line="244" w:lineRule="auto"/>
              <w:rPr>
                <w:rFonts w:ascii="Arial"/>
                <w:sz w:val="21"/>
              </w:rPr>
            </w:pPr>
          </w:p>
          <w:p w14:paraId="1F2E96EC">
            <w:pPr>
              <w:spacing w:line="245" w:lineRule="auto"/>
              <w:rPr>
                <w:rFonts w:ascii="Arial"/>
                <w:sz w:val="21"/>
              </w:rPr>
            </w:pPr>
          </w:p>
          <w:p w14:paraId="405B7F32">
            <w:pPr>
              <w:spacing w:before="57"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0.0769</w:t>
            </w:r>
          </w:p>
        </w:tc>
        <w:tc>
          <w:tcPr>
            <w:tcW w:w="1152" w:type="dxa"/>
            <w:vAlign w:val="top"/>
          </w:tcPr>
          <w:p w14:paraId="1D7B4131">
            <w:pPr>
              <w:spacing w:line="326" w:lineRule="auto"/>
              <w:rPr>
                <w:rFonts w:ascii="Arial"/>
                <w:sz w:val="21"/>
              </w:rPr>
            </w:pPr>
          </w:p>
          <w:p w14:paraId="0DE6BCA3">
            <w:pPr>
              <w:pStyle w:val="6"/>
              <w:spacing w:before="62" w:line="230" w:lineRule="auto"/>
              <w:ind w:left="382"/>
              <w:rPr>
                <w:sz w:val="19"/>
                <w:szCs w:val="19"/>
              </w:rPr>
            </w:pPr>
            <w:r>
              <w:rPr>
                <w:spacing w:val="2"/>
                <w:sz w:val="19"/>
                <w:szCs w:val="19"/>
              </w:rPr>
              <w:t>保留</w:t>
            </w:r>
          </w:p>
          <w:p w14:paraId="021EB122">
            <w:pPr>
              <w:pStyle w:val="6"/>
              <w:spacing w:before="22" w:line="231" w:lineRule="auto"/>
              <w:ind w:left="183"/>
              <w:rPr>
                <w:sz w:val="19"/>
                <w:szCs w:val="19"/>
              </w:rPr>
            </w:pPr>
            <w:r>
              <w:rPr>
                <w:spacing w:val="6"/>
                <w:sz w:val="19"/>
                <w:szCs w:val="19"/>
              </w:rPr>
              <w:t>地下开采</w:t>
            </w:r>
          </w:p>
        </w:tc>
        <w:tc>
          <w:tcPr>
            <w:tcW w:w="2164" w:type="dxa"/>
            <w:vAlign w:val="top"/>
          </w:tcPr>
          <w:p w14:paraId="264A09F3">
            <w:pPr>
              <w:spacing w:line="455" w:lineRule="auto"/>
              <w:rPr>
                <w:rFonts w:ascii="Arial"/>
                <w:sz w:val="21"/>
              </w:rPr>
            </w:pPr>
          </w:p>
          <w:p w14:paraId="470026CB">
            <w:pPr>
              <w:pStyle w:val="6"/>
              <w:spacing w:before="62" w:line="231" w:lineRule="auto"/>
              <w:ind w:left="794"/>
              <w:rPr>
                <w:sz w:val="19"/>
                <w:szCs w:val="19"/>
              </w:rPr>
            </w:pPr>
            <w:r>
              <w:rPr>
                <w:spacing w:val="4"/>
                <w:sz w:val="19"/>
                <w:szCs w:val="19"/>
              </w:rPr>
              <w:t>无变化</w:t>
            </w:r>
          </w:p>
        </w:tc>
        <w:tc>
          <w:tcPr>
            <w:tcW w:w="948" w:type="dxa"/>
            <w:vAlign w:val="top"/>
          </w:tcPr>
          <w:p w14:paraId="1BE2D872">
            <w:pPr>
              <w:spacing w:line="248" w:lineRule="auto"/>
              <w:rPr>
                <w:rFonts w:ascii="Arial"/>
                <w:sz w:val="21"/>
              </w:rPr>
            </w:pPr>
          </w:p>
          <w:p w14:paraId="1219B414">
            <w:pPr>
              <w:spacing w:line="248" w:lineRule="auto"/>
              <w:rPr>
                <w:rFonts w:ascii="Arial"/>
                <w:sz w:val="21"/>
              </w:rPr>
            </w:pPr>
          </w:p>
          <w:p w14:paraId="66D8AB54">
            <w:pPr>
              <w:spacing w:before="55" w:line="197" w:lineRule="auto"/>
              <w:ind w:left="191"/>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004</w:t>
            </w:r>
          </w:p>
        </w:tc>
        <w:tc>
          <w:tcPr>
            <w:tcW w:w="2170" w:type="dxa"/>
            <w:vAlign w:val="top"/>
          </w:tcPr>
          <w:p w14:paraId="79D2813A">
            <w:pPr>
              <w:pStyle w:val="6"/>
              <w:spacing w:before="240" w:line="231" w:lineRule="auto"/>
              <w:ind w:left="161"/>
              <w:rPr>
                <w:sz w:val="20"/>
                <w:szCs w:val="20"/>
              </w:rPr>
            </w:pPr>
            <w:r>
              <w:rPr>
                <w:spacing w:val="7"/>
                <w:sz w:val="20"/>
                <w:szCs w:val="20"/>
              </w:rPr>
              <w:t>重庆市黔江区石家镇</w:t>
            </w:r>
          </w:p>
          <w:p w14:paraId="439DC1E1">
            <w:pPr>
              <w:pStyle w:val="6"/>
              <w:spacing w:before="20" w:line="229" w:lineRule="auto"/>
              <w:ind w:left="161"/>
              <w:rPr>
                <w:sz w:val="20"/>
                <w:szCs w:val="20"/>
              </w:rPr>
            </w:pPr>
            <w:r>
              <w:rPr>
                <w:spacing w:val="7"/>
                <w:sz w:val="20"/>
                <w:szCs w:val="20"/>
              </w:rPr>
              <w:t>火石垭建筑石料用灰</w:t>
            </w:r>
          </w:p>
          <w:p w14:paraId="7005A885">
            <w:pPr>
              <w:pStyle w:val="6"/>
              <w:spacing w:before="26" w:line="232" w:lineRule="auto"/>
              <w:ind w:left="889"/>
              <w:rPr>
                <w:sz w:val="20"/>
                <w:szCs w:val="20"/>
              </w:rPr>
            </w:pPr>
            <w:r>
              <w:rPr>
                <w:spacing w:val="3"/>
                <w:sz w:val="20"/>
                <w:szCs w:val="20"/>
              </w:rPr>
              <w:t>岩矿</w:t>
            </w:r>
          </w:p>
        </w:tc>
        <w:tc>
          <w:tcPr>
            <w:tcW w:w="1077" w:type="dxa"/>
            <w:vAlign w:val="top"/>
          </w:tcPr>
          <w:p w14:paraId="3587E3E7">
            <w:pPr>
              <w:spacing w:line="310" w:lineRule="auto"/>
              <w:rPr>
                <w:rFonts w:ascii="Arial"/>
                <w:sz w:val="21"/>
              </w:rPr>
            </w:pPr>
          </w:p>
          <w:p w14:paraId="582916B1">
            <w:pPr>
              <w:pStyle w:val="6"/>
              <w:spacing w:before="65" w:line="251" w:lineRule="auto"/>
              <w:ind w:left="240" w:right="110" w:hanging="103"/>
              <w:rPr>
                <w:sz w:val="20"/>
                <w:szCs w:val="20"/>
              </w:rPr>
            </w:pPr>
            <w:r>
              <w:rPr>
                <w:spacing w:val="5"/>
                <w:sz w:val="20"/>
                <w:szCs w:val="20"/>
              </w:rPr>
              <w:t>建筑石料</w:t>
            </w:r>
            <w:r>
              <w:rPr>
                <w:spacing w:val="2"/>
                <w:sz w:val="20"/>
                <w:szCs w:val="20"/>
              </w:rPr>
              <w:t xml:space="preserve"> </w:t>
            </w:r>
            <w:r>
              <w:rPr>
                <w:spacing w:val="5"/>
                <w:sz w:val="20"/>
                <w:szCs w:val="20"/>
              </w:rPr>
              <w:t>用灰岩</w:t>
            </w:r>
          </w:p>
        </w:tc>
        <w:tc>
          <w:tcPr>
            <w:tcW w:w="1036" w:type="dxa"/>
            <w:vAlign w:val="top"/>
          </w:tcPr>
          <w:p w14:paraId="6F65CAB3">
            <w:pPr>
              <w:spacing w:line="244" w:lineRule="auto"/>
              <w:rPr>
                <w:rFonts w:ascii="Arial"/>
                <w:sz w:val="21"/>
              </w:rPr>
            </w:pPr>
          </w:p>
          <w:p w14:paraId="7C313396">
            <w:pPr>
              <w:spacing w:line="245" w:lineRule="auto"/>
              <w:rPr>
                <w:rFonts w:ascii="Arial"/>
                <w:sz w:val="21"/>
              </w:rPr>
            </w:pPr>
          </w:p>
          <w:p w14:paraId="7CB7A24F">
            <w:pPr>
              <w:spacing w:before="57"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0.0769</w:t>
            </w:r>
          </w:p>
        </w:tc>
        <w:tc>
          <w:tcPr>
            <w:tcW w:w="1260" w:type="dxa"/>
            <w:tcBorders>
              <w:right w:val="single" w:color="000000" w:sz="10" w:space="0"/>
            </w:tcBorders>
            <w:vAlign w:val="top"/>
          </w:tcPr>
          <w:p w14:paraId="6928BE96">
            <w:pPr>
              <w:spacing w:line="326" w:lineRule="auto"/>
              <w:rPr>
                <w:rFonts w:ascii="Arial"/>
                <w:sz w:val="21"/>
              </w:rPr>
            </w:pPr>
          </w:p>
          <w:p w14:paraId="1B306052">
            <w:pPr>
              <w:pStyle w:val="6"/>
              <w:spacing w:before="62" w:line="230" w:lineRule="auto"/>
              <w:ind w:left="446"/>
              <w:rPr>
                <w:sz w:val="19"/>
                <w:szCs w:val="19"/>
              </w:rPr>
            </w:pPr>
            <w:r>
              <w:rPr>
                <w:spacing w:val="2"/>
                <w:sz w:val="19"/>
                <w:szCs w:val="19"/>
              </w:rPr>
              <w:t>保留</w:t>
            </w:r>
          </w:p>
          <w:p w14:paraId="639F7A3C">
            <w:pPr>
              <w:pStyle w:val="6"/>
              <w:spacing w:before="22" w:line="231" w:lineRule="auto"/>
              <w:ind w:left="245"/>
              <w:rPr>
                <w:sz w:val="19"/>
                <w:szCs w:val="19"/>
              </w:rPr>
            </w:pPr>
            <w:r>
              <w:rPr>
                <w:spacing w:val="6"/>
                <w:sz w:val="19"/>
                <w:szCs w:val="19"/>
              </w:rPr>
              <w:t>地下开采</w:t>
            </w:r>
          </w:p>
        </w:tc>
      </w:tr>
      <w:tr w14:paraId="1F522A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0" w:hRule="atLeast"/>
        </w:trPr>
        <w:tc>
          <w:tcPr>
            <w:tcW w:w="511" w:type="dxa"/>
            <w:tcBorders>
              <w:left w:val="single" w:color="000000" w:sz="10" w:space="0"/>
            </w:tcBorders>
            <w:vAlign w:val="top"/>
          </w:tcPr>
          <w:p w14:paraId="4459370F">
            <w:pPr>
              <w:spacing w:line="250" w:lineRule="auto"/>
              <w:rPr>
                <w:rFonts w:ascii="Arial"/>
                <w:sz w:val="21"/>
              </w:rPr>
            </w:pPr>
          </w:p>
          <w:p w14:paraId="7B8629BA">
            <w:pPr>
              <w:spacing w:line="250" w:lineRule="auto"/>
              <w:rPr>
                <w:rFonts w:ascii="Arial"/>
                <w:sz w:val="21"/>
              </w:rPr>
            </w:pPr>
          </w:p>
          <w:p w14:paraId="1D5D85CB">
            <w:pPr>
              <w:spacing w:before="54" w:line="192" w:lineRule="auto"/>
              <w:ind w:left="195"/>
              <w:rPr>
                <w:rFonts w:ascii="Times New Roman" w:hAnsi="Times New Roman" w:eastAsia="Times New Roman" w:cs="Times New Roman"/>
                <w:sz w:val="19"/>
                <w:szCs w:val="19"/>
              </w:rPr>
            </w:pPr>
            <w:r>
              <w:rPr>
                <w:rFonts w:ascii="Times New Roman" w:hAnsi="Times New Roman" w:eastAsia="Times New Roman" w:cs="Times New Roman"/>
                <w:sz w:val="19"/>
                <w:szCs w:val="19"/>
              </w:rPr>
              <w:t>5</w:t>
            </w:r>
          </w:p>
        </w:tc>
        <w:tc>
          <w:tcPr>
            <w:tcW w:w="874" w:type="dxa"/>
            <w:vAlign w:val="top"/>
          </w:tcPr>
          <w:p w14:paraId="6E865506">
            <w:pPr>
              <w:spacing w:line="248" w:lineRule="auto"/>
              <w:rPr>
                <w:rFonts w:ascii="Arial"/>
                <w:sz w:val="21"/>
              </w:rPr>
            </w:pPr>
          </w:p>
          <w:p w14:paraId="2EB9CCDC">
            <w:pPr>
              <w:spacing w:line="249" w:lineRule="auto"/>
              <w:rPr>
                <w:rFonts w:ascii="Arial"/>
                <w:sz w:val="21"/>
              </w:rPr>
            </w:pPr>
          </w:p>
          <w:p w14:paraId="7ADEF900">
            <w:pPr>
              <w:spacing w:before="55" w:line="197" w:lineRule="auto"/>
              <w:ind w:left="141"/>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005</w:t>
            </w:r>
          </w:p>
        </w:tc>
        <w:tc>
          <w:tcPr>
            <w:tcW w:w="1480" w:type="dxa"/>
            <w:vAlign w:val="top"/>
          </w:tcPr>
          <w:p w14:paraId="0162F0A0">
            <w:pPr>
              <w:pStyle w:val="6"/>
              <w:spacing w:before="108" w:line="231" w:lineRule="auto"/>
              <w:ind w:left="118"/>
              <w:rPr>
                <w:sz w:val="20"/>
                <w:szCs w:val="20"/>
              </w:rPr>
            </w:pPr>
            <w:r>
              <w:rPr>
                <w:spacing w:val="6"/>
                <w:sz w:val="20"/>
                <w:szCs w:val="20"/>
              </w:rPr>
              <w:t>重庆市黔江区</w:t>
            </w:r>
          </w:p>
          <w:p w14:paraId="7CC6CE99">
            <w:pPr>
              <w:pStyle w:val="6"/>
              <w:spacing w:before="21" w:line="230" w:lineRule="auto"/>
              <w:ind w:left="110"/>
              <w:rPr>
                <w:sz w:val="20"/>
                <w:szCs w:val="20"/>
              </w:rPr>
            </w:pPr>
            <w:r>
              <w:rPr>
                <w:spacing w:val="7"/>
                <w:sz w:val="20"/>
                <w:szCs w:val="20"/>
              </w:rPr>
              <w:t>水市乡水市村</w:t>
            </w:r>
          </w:p>
          <w:p w14:paraId="76DA8827">
            <w:pPr>
              <w:pStyle w:val="6"/>
              <w:spacing w:before="21" w:line="229" w:lineRule="auto"/>
              <w:ind w:left="111"/>
              <w:rPr>
                <w:sz w:val="20"/>
                <w:szCs w:val="20"/>
              </w:rPr>
            </w:pPr>
            <w:r>
              <w:rPr>
                <w:spacing w:val="7"/>
                <w:sz w:val="20"/>
                <w:szCs w:val="20"/>
              </w:rPr>
              <w:t>建筑石料用灰</w:t>
            </w:r>
          </w:p>
          <w:p w14:paraId="549B8134">
            <w:pPr>
              <w:pStyle w:val="6"/>
              <w:spacing w:before="26" w:line="232" w:lineRule="auto"/>
              <w:ind w:left="529"/>
              <w:rPr>
                <w:sz w:val="20"/>
                <w:szCs w:val="20"/>
              </w:rPr>
            </w:pPr>
            <w:r>
              <w:rPr>
                <w:spacing w:val="3"/>
                <w:sz w:val="20"/>
                <w:szCs w:val="20"/>
              </w:rPr>
              <w:t>岩矿</w:t>
            </w:r>
          </w:p>
        </w:tc>
        <w:tc>
          <w:tcPr>
            <w:tcW w:w="964" w:type="dxa"/>
            <w:vAlign w:val="top"/>
          </w:tcPr>
          <w:p w14:paraId="331F7D74">
            <w:pPr>
              <w:pStyle w:val="6"/>
              <w:spacing w:before="243" w:line="232" w:lineRule="auto"/>
              <w:ind w:left="169"/>
              <w:rPr>
                <w:sz w:val="20"/>
                <w:szCs w:val="20"/>
              </w:rPr>
            </w:pPr>
            <w:r>
              <w:rPr>
                <w:spacing w:val="5"/>
                <w:sz w:val="20"/>
                <w:szCs w:val="20"/>
              </w:rPr>
              <w:t>建筑石</w:t>
            </w:r>
          </w:p>
          <w:p w14:paraId="468DFD13">
            <w:pPr>
              <w:pStyle w:val="6"/>
              <w:spacing w:before="18" w:line="255" w:lineRule="auto"/>
              <w:ind w:left="378" w:right="174" w:hanging="209"/>
              <w:rPr>
                <w:sz w:val="20"/>
                <w:szCs w:val="20"/>
              </w:rPr>
            </w:pPr>
            <w:r>
              <w:rPr>
                <w:spacing w:val="5"/>
                <w:sz w:val="20"/>
                <w:szCs w:val="20"/>
              </w:rPr>
              <w:t>料用灰</w:t>
            </w:r>
            <w:r>
              <w:rPr>
                <w:sz w:val="20"/>
                <w:szCs w:val="20"/>
              </w:rPr>
              <w:t xml:space="preserve"> 岩</w:t>
            </w:r>
          </w:p>
        </w:tc>
        <w:tc>
          <w:tcPr>
            <w:tcW w:w="1029" w:type="dxa"/>
            <w:vAlign w:val="top"/>
          </w:tcPr>
          <w:p w14:paraId="1F4B0569">
            <w:pPr>
              <w:spacing w:line="246" w:lineRule="auto"/>
              <w:rPr>
                <w:rFonts w:ascii="Arial"/>
                <w:sz w:val="21"/>
              </w:rPr>
            </w:pPr>
          </w:p>
          <w:p w14:paraId="5C1CC110">
            <w:pPr>
              <w:spacing w:line="246" w:lineRule="auto"/>
              <w:rPr>
                <w:rFonts w:ascii="Arial"/>
                <w:sz w:val="21"/>
              </w:rPr>
            </w:pPr>
          </w:p>
          <w:p w14:paraId="263E7CE7">
            <w:pPr>
              <w:spacing w:before="57"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0.0419</w:t>
            </w:r>
          </w:p>
        </w:tc>
        <w:tc>
          <w:tcPr>
            <w:tcW w:w="1152" w:type="dxa"/>
            <w:vAlign w:val="top"/>
          </w:tcPr>
          <w:p w14:paraId="6381AE90">
            <w:pPr>
              <w:spacing w:line="329" w:lineRule="auto"/>
              <w:rPr>
                <w:rFonts w:ascii="Arial"/>
                <w:sz w:val="21"/>
              </w:rPr>
            </w:pPr>
          </w:p>
          <w:p w14:paraId="475F3E60">
            <w:pPr>
              <w:pStyle w:val="6"/>
              <w:spacing w:before="62" w:line="230" w:lineRule="auto"/>
              <w:ind w:left="382"/>
              <w:rPr>
                <w:sz w:val="19"/>
                <w:szCs w:val="19"/>
              </w:rPr>
            </w:pPr>
            <w:r>
              <w:rPr>
                <w:spacing w:val="2"/>
                <w:sz w:val="19"/>
                <w:szCs w:val="19"/>
              </w:rPr>
              <w:t>保留</w:t>
            </w:r>
          </w:p>
          <w:p w14:paraId="45CA23A3">
            <w:pPr>
              <w:pStyle w:val="6"/>
              <w:spacing w:before="22" w:line="231" w:lineRule="auto"/>
              <w:ind w:left="188"/>
              <w:rPr>
                <w:sz w:val="19"/>
                <w:szCs w:val="19"/>
              </w:rPr>
            </w:pPr>
            <w:r>
              <w:rPr>
                <w:spacing w:val="5"/>
                <w:sz w:val="19"/>
                <w:szCs w:val="19"/>
              </w:rPr>
              <w:t>露天开采</w:t>
            </w:r>
          </w:p>
        </w:tc>
        <w:tc>
          <w:tcPr>
            <w:tcW w:w="2164" w:type="dxa"/>
            <w:vAlign w:val="top"/>
          </w:tcPr>
          <w:p w14:paraId="6BD2F8A2">
            <w:pPr>
              <w:spacing w:line="456" w:lineRule="auto"/>
              <w:rPr>
                <w:rFonts w:ascii="Arial"/>
                <w:sz w:val="21"/>
              </w:rPr>
            </w:pPr>
          </w:p>
          <w:p w14:paraId="0BCE781B">
            <w:pPr>
              <w:pStyle w:val="6"/>
              <w:spacing w:before="62" w:line="231" w:lineRule="auto"/>
              <w:ind w:left="794"/>
              <w:rPr>
                <w:sz w:val="19"/>
                <w:szCs w:val="19"/>
              </w:rPr>
            </w:pPr>
            <w:r>
              <w:rPr>
                <w:spacing w:val="4"/>
                <w:sz w:val="19"/>
                <w:szCs w:val="19"/>
              </w:rPr>
              <w:t>无变化</w:t>
            </w:r>
          </w:p>
        </w:tc>
        <w:tc>
          <w:tcPr>
            <w:tcW w:w="948" w:type="dxa"/>
            <w:vAlign w:val="top"/>
          </w:tcPr>
          <w:p w14:paraId="1A67DE3D">
            <w:pPr>
              <w:spacing w:line="248" w:lineRule="auto"/>
              <w:rPr>
                <w:rFonts w:ascii="Arial"/>
                <w:sz w:val="21"/>
              </w:rPr>
            </w:pPr>
          </w:p>
          <w:p w14:paraId="7264E555">
            <w:pPr>
              <w:spacing w:line="249" w:lineRule="auto"/>
              <w:rPr>
                <w:rFonts w:ascii="Arial"/>
                <w:sz w:val="21"/>
              </w:rPr>
            </w:pPr>
          </w:p>
          <w:p w14:paraId="5D9686B4">
            <w:pPr>
              <w:spacing w:before="55" w:line="197" w:lineRule="auto"/>
              <w:ind w:left="191"/>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005</w:t>
            </w:r>
          </w:p>
        </w:tc>
        <w:tc>
          <w:tcPr>
            <w:tcW w:w="2170" w:type="dxa"/>
            <w:vAlign w:val="top"/>
          </w:tcPr>
          <w:p w14:paraId="39DFF0D6">
            <w:pPr>
              <w:pStyle w:val="6"/>
              <w:spacing w:before="243" w:line="231" w:lineRule="auto"/>
              <w:ind w:left="161"/>
              <w:rPr>
                <w:sz w:val="20"/>
                <w:szCs w:val="20"/>
              </w:rPr>
            </w:pPr>
            <w:r>
              <w:rPr>
                <w:spacing w:val="7"/>
                <w:sz w:val="20"/>
                <w:szCs w:val="20"/>
              </w:rPr>
              <w:t>重庆市黔江区水市乡</w:t>
            </w:r>
          </w:p>
          <w:p w14:paraId="1C4089A5">
            <w:pPr>
              <w:pStyle w:val="6"/>
              <w:spacing w:before="20" w:line="229" w:lineRule="auto"/>
              <w:ind w:left="154"/>
              <w:rPr>
                <w:sz w:val="20"/>
                <w:szCs w:val="20"/>
              </w:rPr>
            </w:pPr>
            <w:r>
              <w:rPr>
                <w:spacing w:val="8"/>
                <w:sz w:val="20"/>
                <w:szCs w:val="20"/>
              </w:rPr>
              <w:t>水市村建筑石料用灰</w:t>
            </w:r>
          </w:p>
          <w:p w14:paraId="18CC0437">
            <w:pPr>
              <w:pStyle w:val="6"/>
              <w:spacing w:before="26" w:line="232" w:lineRule="auto"/>
              <w:ind w:left="889"/>
              <w:rPr>
                <w:sz w:val="20"/>
                <w:szCs w:val="20"/>
              </w:rPr>
            </w:pPr>
            <w:r>
              <w:rPr>
                <w:spacing w:val="3"/>
                <w:sz w:val="20"/>
                <w:szCs w:val="20"/>
              </w:rPr>
              <w:t>岩矿</w:t>
            </w:r>
          </w:p>
        </w:tc>
        <w:tc>
          <w:tcPr>
            <w:tcW w:w="1077" w:type="dxa"/>
            <w:vAlign w:val="top"/>
          </w:tcPr>
          <w:p w14:paraId="2FBDA44A">
            <w:pPr>
              <w:spacing w:line="314" w:lineRule="auto"/>
              <w:rPr>
                <w:rFonts w:ascii="Arial"/>
                <w:sz w:val="21"/>
              </w:rPr>
            </w:pPr>
          </w:p>
          <w:p w14:paraId="773970B8">
            <w:pPr>
              <w:pStyle w:val="6"/>
              <w:spacing w:before="65" w:line="251" w:lineRule="auto"/>
              <w:ind w:left="240" w:right="110" w:hanging="103"/>
              <w:rPr>
                <w:sz w:val="20"/>
                <w:szCs w:val="20"/>
              </w:rPr>
            </w:pPr>
            <w:r>
              <w:rPr>
                <w:spacing w:val="5"/>
                <w:sz w:val="20"/>
                <w:szCs w:val="20"/>
              </w:rPr>
              <w:t>建筑石料</w:t>
            </w:r>
            <w:r>
              <w:rPr>
                <w:spacing w:val="2"/>
                <w:sz w:val="20"/>
                <w:szCs w:val="20"/>
              </w:rPr>
              <w:t xml:space="preserve"> </w:t>
            </w:r>
            <w:r>
              <w:rPr>
                <w:spacing w:val="5"/>
                <w:sz w:val="20"/>
                <w:szCs w:val="20"/>
              </w:rPr>
              <w:t>用灰岩</w:t>
            </w:r>
          </w:p>
        </w:tc>
        <w:tc>
          <w:tcPr>
            <w:tcW w:w="1036" w:type="dxa"/>
            <w:vAlign w:val="top"/>
          </w:tcPr>
          <w:p w14:paraId="6EF70DAF">
            <w:pPr>
              <w:spacing w:line="246" w:lineRule="auto"/>
              <w:rPr>
                <w:rFonts w:ascii="Arial"/>
                <w:sz w:val="21"/>
              </w:rPr>
            </w:pPr>
          </w:p>
          <w:p w14:paraId="13281888">
            <w:pPr>
              <w:spacing w:line="246" w:lineRule="auto"/>
              <w:rPr>
                <w:rFonts w:ascii="Arial"/>
                <w:sz w:val="21"/>
              </w:rPr>
            </w:pPr>
          </w:p>
          <w:p w14:paraId="7FDD3196">
            <w:pPr>
              <w:spacing w:before="57"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0.0419</w:t>
            </w:r>
          </w:p>
        </w:tc>
        <w:tc>
          <w:tcPr>
            <w:tcW w:w="1260" w:type="dxa"/>
            <w:tcBorders>
              <w:right w:val="single" w:color="000000" w:sz="10" w:space="0"/>
            </w:tcBorders>
            <w:vAlign w:val="top"/>
          </w:tcPr>
          <w:p w14:paraId="524449CC">
            <w:pPr>
              <w:spacing w:line="329" w:lineRule="auto"/>
              <w:rPr>
                <w:rFonts w:ascii="Arial"/>
                <w:sz w:val="21"/>
              </w:rPr>
            </w:pPr>
          </w:p>
          <w:p w14:paraId="2F19BE74">
            <w:pPr>
              <w:pStyle w:val="6"/>
              <w:spacing w:before="62" w:line="230" w:lineRule="auto"/>
              <w:ind w:left="446"/>
              <w:rPr>
                <w:sz w:val="19"/>
                <w:szCs w:val="19"/>
              </w:rPr>
            </w:pPr>
            <w:r>
              <w:rPr>
                <w:spacing w:val="2"/>
                <w:sz w:val="19"/>
                <w:szCs w:val="19"/>
              </w:rPr>
              <w:t>保留</w:t>
            </w:r>
          </w:p>
          <w:p w14:paraId="416F0871">
            <w:pPr>
              <w:pStyle w:val="6"/>
              <w:spacing w:before="22" w:line="231" w:lineRule="auto"/>
              <w:ind w:left="249"/>
              <w:rPr>
                <w:sz w:val="19"/>
                <w:szCs w:val="19"/>
              </w:rPr>
            </w:pPr>
            <w:r>
              <w:rPr>
                <w:spacing w:val="5"/>
                <w:sz w:val="19"/>
                <w:szCs w:val="19"/>
              </w:rPr>
              <w:t>露天开采</w:t>
            </w:r>
          </w:p>
        </w:tc>
      </w:tr>
      <w:tr w14:paraId="7034F1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3" w:hRule="atLeast"/>
        </w:trPr>
        <w:tc>
          <w:tcPr>
            <w:tcW w:w="511" w:type="dxa"/>
            <w:tcBorders>
              <w:left w:val="single" w:color="000000" w:sz="10" w:space="0"/>
              <w:bottom w:val="single" w:color="000000" w:sz="10" w:space="0"/>
            </w:tcBorders>
            <w:vAlign w:val="top"/>
          </w:tcPr>
          <w:p w14:paraId="0933C25C">
            <w:pPr>
              <w:spacing w:line="252" w:lineRule="auto"/>
              <w:rPr>
                <w:rFonts w:ascii="Arial"/>
                <w:sz w:val="21"/>
              </w:rPr>
            </w:pPr>
          </w:p>
          <w:p w14:paraId="4D6C7FD3">
            <w:pPr>
              <w:spacing w:line="252" w:lineRule="auto"/>
              <w:rPr>
                <w:rFonts w:ascii="Arial"/>
                <w:sz w:val="21"/>
              </w:rPr>
            </w:pPr>
          </w:p>
          <w:p w14:paraId="66D60FCD">
            <w:pPr>
              <w:spacing w:before="54" w:line="195" w:lineRule="auto"/>
              <w:ind w:left="194"/>
              <w:rPr>
                <w:rFonts w:ascii="Times New Roman" w:hAnsi="Times New Roman" w:eastAsia="Times New Roman" w:cs="Times New Roman"/>
                <w:sz w:val="19"/>
                <w:szCs w:val="19"/>
              </w:rPr>
            </w:pPr>
            <w:r>
              <w:rPr>
                <w:rFonts w:ascii="Times New Roman" w:hAnsi="Times New Roman" w:eastAsia="Times New Roman" w:cs="Times New Roman"/>
                <w:sz w:val="19"/>
                <w:szCs w:val="19"/>
              </w:rPr>
              <w:t>6</w:t>
            </w:r>
          </w:p>
        </w:tc>
        <w:tc>
          <w:tcPr>
            <w:tcW w:w="874" w:type="dxa"/>
            <w:tcBorders>
              <w:bottom w:val="single" w:color="000000" w:sz="10" w:space="0"/>
            </w:tcBorders>
            <w:vAlign w:val="top"/>
          </w:tcPr>
          <w:p w14:paraId="7A1EDD30">
            <w:pPr>
              <w:spacing w:line="252" w:lineRule="auto"/>
              <w:rPr>
                <w:rFonts w:ascii="Arial"/>
                <w:sz w:val="21"/>
              </w:rPr>
            </w:pPr>
          </w:p>
          <w:p w14:paraId="7F2C39B3">
            <w:pPr>
              <w:spacing w:line="252" w:lineRule="auto"/>
              <w:rPr>
                <w:rFonts w:ascii="Arial"/>
                <w:sz w:val="21"/>
              </w:rPr>
            </w:pPr>
          </w:p>
          <w:p w14:paraId="1F2F5609">
            <w:pPr>
              <w:spacing w:before="54" w:line="197" w:lineRule="auto"/>
              <w:ind w:left="141"/>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006</w:t>
            </w:r>
          </w:p>
        </w:tc>
        <w:tc>
          <w:tcPr>
            <w:tcW w:w="1480" w:type="dxa"/>
            <w:tcBorders>
              <w:bottom w:val="single" w:color="000000" w:sz="10" w:space="0"/>
            </w:tcBorders>
            <w:vAlign w:val="top"/>
          </w:tcPr>
          <w:p w14:paraId="1E253A7C">
            <w:pPr>
              <w:pStyle w:val="6"/>
              <w:spacing w:before="113" w:line="231" w:lineRule="auto"/>
              <w:ind w:left="118"/>
              <w:rPr>
                <w:sz w:val="20"/>
                <w:szCs w:val="20"/>
              </w:rPr>
            </w:pPr>
            <w:r>
              <w:rPr>
                <w:spacing w:val="6"/>
                <w:sz w:val="20"/>
                <w:szCs w:val="20"/>
              </w:rPr>
              <w:t>重庆市黔江区</w:t>
            </w:r>
          </w:p>
          <w:p w14:paraId="220F8F23">
            <w:pPr>
              <w:pStyle w:val="6"/>
              <w:spacing w:before="20" w:line="231" w:lineRule="auto"/>
              <w:ind w:left="112"/>
              <w:rPr>
                <w:sz w:val="20"/>
                <w:szCs w:val="20"/>
              </w:rPr>
            </w:pPr>
            <w:r>
              <w:rPr>
                <w:spacing w:val="7"/>
                <w:sz w:val="20"/>
                <w:szCs w:val="20"/>
              </w:rPr>
              <w:t>蓬东乡棕树坪</w:t>
            </w:r>
          </w:p>
          <w:p w14:paraId="23B0D4A2">
            <w:pPr>
              <w:pStyle w:val="6"/>
              <w:spacing w:before="23" w:line="229" w:lineRule="auto"/>
              <w:ind w:left="111"/>
              <w:rPr>
                <w:sz w:val="20"/>
                <w:szCs w:val="20"/>
              </w:rPr>
            </w:pPr>
            <w:r>
              <w:rPr>
                <w:spacing w:val="7"/>
                <w:sz w:val="20"/>
                <w:szCs w:val="20"/>
              </w:rPr>
              <w:t>建筑石料用灰</w:t>
            </w:r>
          </w:p>
          <w:p w14:paraId="1B2BFFB0">
            <w:pPr>
              <w:pStyle w:val="6"/>
              <w:spacing w:before="23" w:line="232" w:lineRule="auto"/>
              <w:ind w:left="529"/>
              <w:rPr>
                <w:sz w:val="20"/>
                <w:szCs w:val="20"/>
              </w:rPr>
            </w:pPr>
            <w:r>
              <w:rPr>
                <w:spacing w:val="3"/>
                <w:sz w:val="20"/>
                <w:szCs w:val="20"/>
              </w:rPr>
              <w:t>岩矿</w:t>
            </w:r>
          </w:p>
        </w:tc>
        <w:tc>
          <w:tcPr>
            <w:tcW w:w="964" w:type="dxa"/>
            <w:tcBorders>
              <w:bottom w:val="single" w:color="000000" w:sz="10" w:space="0"/>
            </w:tcBorders>
            <w:vAlign w:val="top"/>
          </w:tcPr>
          <w:p w14:paraId="39775F45">
            <w:pPr>
              <w:pStyle w:val="6"/>
              <w:spacing w:before="247" w:line="232" w:lineRule="auto"/>
              <w:ind w:left="169"/>
              <w:rPr>
                <w:sz w:val="20"/>
                <w:szCs w:val="20"/>
              </w:rPr>
            </w:pPr>
            <w:r>
              <w:rPr>
                <w:spacing w:val="5"/>
                <w:sz w:val="20"/>
                <w:szCs w:val="20"/>
              </w:rPr>
              <w:t>建筑石</w:t>
            </w:r>
          </w:p>
          <w:p w14:paraId="64A50EDD">
            <w:pPr>
              <w:pStyle w:val="6"/>
              <w:spacing w:before="22" w:line="252" w:lineRule="auto"/>
              <w:ind w:left="378" w:right="174" w:hanging="209"/>
              <w:rPr>
                <w:sz w:val="20"/>
                <w:szCs w:val="20"/>
              </w:rPr>
            </w:pPr>
            <w:r>
              <w:rPr>
                <w:spacing w:val="5"/>
                <w:sz w:val="20"/>
                <w:szCs w:val="20"/>
              </w:rPr>
              <w:t>料用灰</w:t>
            </w:r>
            <w:r>
              <w:rPr>
                <w:sz w:val="20"/>
                <w:szCs w:val="20"/>
              </w:rPr>
              <w:t xml:space="preserve"> 岩</w:t>
            </w:r>
          </w:p>
        </w:tc>
        <w:tc>
          <w:tcPr>
            <w:tcW w:w="1029" w:type="dxa"/>
            <w:tcBorders>
              <w:bottom w:val="single" w:color="000000" w:sz="10" w:space="0"/>
            </w:tcBorders>
            <w:vAlign w:val="top"/>
          </w:tcPr>
          <w:p w14:paraId="449870BF">
            <w:pPr>
              <w:spacing w:line="248" w:lineRule="auto"/>
              <w:rPr>
                <w:rFonts w:ascii="Arial"/>
                <w:sz w:val="21"/>
              </w:rPr>
            </w:pPr>
          </w:p>
          <w:p w14:paraId="6367D09B">
            <w:pPr>
              <w:spacing w:line="248" w:lineRule="auto"/>
              <w:rPr>
                <w:rFonts w:ascii="Arial"/>
                <w:sz w:val="21"/>
              </w:rPr>
            </w:pPr>
          </w:p>
          <w:p w14:paraId="7C53444D">
            <w:pPr>
              <w:spacing w:before="58"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0.1059</w:t>
            </w:r>
          </w:p>
        </w:tc>
        <w:tc>
          <w:tcPr>
            <w:tcW w:w="1152" w:type="dxa"/>
            <w:tcBorders>
              <w:bottom w:val="single" w:color="000000" w:sz="10" w:space="0"/>
            </w:tcBorders>
            <w:vAlign w:val="top"/>
          </w:tcPr>
          <w:p w14:paraId="0F5C1B61">
            <w:pPr>
              <w:spacing w:line="333" w:lineRule="auto"/>
              <w:rPr>
                <w:rFonts w:ascii="Arial"/>
                <w:sz w:val="21"/>
              </w:rPr>
            </w:pPr>
          </w:p>
          <w:p w14:paraId="75B15A04">
            <w:pPr>
              <w:pStyle w:val="6"/>
              <w:spacing w:before="62" w:line="230" w:lineRule="auto"/>
              <w:ind w:left="382"/>
              <w:rPr>
                <w:sz w:val="19"/>
                <w:szCs w:val="19"/>
              </w:rPr>
            </w:pPr>
            <w:r>
              <w:rPr>
                <w:spacing w:val="2"/>
                <w:sz w:val="19"/>
                <w:szCs w:val="19"/>
              </w:rPr>
              <w:t>保留</w:t>
            </w:r>
          </w:p>
          <w:p w14:paraId="00B681FC">
            <w:pPr>
              <w:pStyle w:val="6"/>
              <w:spacing w:before="22" w:line="231" w:lineRule="auto"/>
              <w:ind w:left="188"/>
              <w:rPr>
                <w:sz w:val="19"/>
                <w:szCs w:val="19"/>
              </w:rPr>
            </w:pPr>
            <w:r>
              <w:rPr>
                <w:spacing w:val="5"/>
                <w:sz w:val="19"/>
                <w:szCs w:val="19"/>
              </w:rPr>
              <w:t>露天开采</w:t>
            </w:r>
          </w:p>
        </w:tc>
        <w:tc>
          <w:tcPr>
            <w:tcW w:w="2164" w:type="dxa"/>
            <w:tcBorders>
              <w:bottom w:val="single" w:color="000000" w:sz="10" w:space="0"/>
            </w:tcBorders>
            <w:vAlign w:val="top"/>
          </w:tcPr>
          <w:p w14:paraId="20E6356D">
            <w:pPr>
              <w:spacing w:line="463" w:lineRule="auto"/>
              <w:rPr>
                <w:rFonts w:ascii="Arial"/>
                <w:sz w:val="21"/>
              </w:rPr>
            </w:pPr>
          </w:p>
          <w:p w14:paraId="3F3B555B">
            <w:pPr>
              <w:pStyle w:val="6"/>
              <w:spacing w:before="61" w:line="231" w:lineRule="auto"/>
              <w:ind w:left="794"/>
              <w:rPr>
                <w:sz w:val="19"/>
                <w:szCs w:val="19"/>
              </w:rPr>
            </w:pPr>
            <w:r>
              <w:rPr>
                <w:spacing w:val="4"/>
                <w:sz w:val="19"/>
                <w:szCs w:val="19"/>
              </w:rPr>
              <w:t>无变化</w:t>
            </w:r>
          </w:p>
        </w:tc>
        <w:tc>
          <w:tcPr>
            <w:tcW w:w="948" w:type="dxa"/>
            <w:tcBorders>
              <w:bottom w:val="single" w:color="000000" w:sz="10" w:space="0"/>
            </w:tcBorders>
            <w:vAlign w:val="top"/>
          </w:tcPr>
          <w:p w14:paraId="542E3C42">
            <w:pPr>
              <w:spacing w:line="252" w:lineRule="auto"/>
              <w:rPr>
                <w:rFonts w:ascii="Arial"/>
                <w:sz w:val="21"/>
              </w:rPr>
            </w:pPr>
          </w:p>
          <w:p w14:paraId="1936C711">
            <w:pPr>
              <w:spacing w:line="252" w:lineRule="auto"/>
              <w:rPr>
                <w:rFonts w:ascii="Arial"/>
                <w:sz w:val="21"/>
              </w:rPr>
            </w:pPr>
          </w:p>
          <w:p w14:paraId="2EC342CE">
            <w:pPr>
              <w:spacing w:before="54" w:line="197" w:lineRule="auto"/>
              <w:ind w:left="191"/>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006</w:t>
            </w:r>
          </w:p>
        </w:tc>
        <w:tc>
          <w:tcPr>
            <w:tcW w:w="2170" w:type="dxa"/>
            <w:tcBorders>
              <w:bottom w:val="single" w:color="000000" w:sz="10" w:space="0"/>
            </w:tcBorders>
            <w:vAlign w:val="top"/>
          </w:tcPr>
          <w:p w14:paraId="7D77CAF4">
            <w:pPr>
              <w:pStyle w:val="6"/>
              <w:spacing w:before="247" w:line="231" w:lineRule="auto"/>
              <w:ind w:left="161"/>
              <w:rPr>
                <w:sz w:val="20"/>
                <w:szCs w:val="20"/>
              </w:rPr>
            </w:pPr>
            <w:r>
              <w:rPr>
                <w:spacing w:val="7"/>
                <w:sz w:val="20"/>
                <w:szCs w:val="20"/>
              </w:rPr>
              <w:t>重庆市黔江区蓬东乡</w:t>
            </w:r>
          </w:p>
          <w:p w14:paraId="408DC152">
            <w:pPr>
              <w:pStyle w:val="6"/>
              <w:spacing w:before="23" w:line="229" w:lineRule="auto"/>
              <w:ind w:left="154"/>
              <w:rPr>
                <w:sz w:val="20"/>
                <w:szCs w:val="20"/>
              </w:rPr>
            </w:pPr>
            <w:r>
              <w:rPr>
                <w:spacing w:val="8"/>
                <w:sz w:val="20"/>
                <w:szCs w:val="20"/>
              </w:rPr>
              <w:t>棕树坪建筑石料用灰</w:t>
            </w:r>
          </w:p>
          <w:p w14:paraId="4062D6BE">
            <w:pPr>
              <w:pStyle w:val="6"/>
              <w:spacing w:before="23" w:line="232" w:lineRule="auto"/>
              <w:ind w:left="889"/>
              <w:rPr>
                <w:sz w:val="20"/>
                <w:szCs w:val="20"/>
              </w:rPr>
            </w:pPr>
            <w:r>
              <w:rPr>
                <w:spacing w:val="3"/>
                <w:sz w:val="20"/>
                <w:szCs w:val="20"/>
              </w:rPr>
              <w:t>岩矿</w:t>
            </w:r>
          </w:p>
        </w:tc>
        <w:tc>
          <w:tcPr>
            <w:tcW w:w="1077" w:type="dxa"/>
            <w:tcBorders>
              <w:bottom w:val="single" w:color="000000" w:sz="10" w:space="0"/>
            </w:tcBorders>
            <w:vAlign w:val="top"/>
          </w:tcPr>
          <w:p w14:paraId="0111FCEC">
            <w:pPr>
              <w:spacing w:line="316" w:lineRule="auto"/>
              <w:rPr>
                <w:rFonts w:ascii="Arial"/>
                <w:sz w:val="21"/>
              </w:rPr>
            </w:pPr>
          </w:p>
          <w:p w14:paraId="44B9978D">
            <w:pPr>
              <w:pStyle w:val="6"/>
              <w:spacing w:before="65" w:line="254" w:lineRule="auto"/>
              <w:ind w:left="240" w:right="110" w:hanging="103"/>
              <w:rPr>
                <w:sz w:val="20"/>
                <w:szCs w:val="20"/>
              </w:rPr>
            </w:pPr>
            <w:r>
              <w:rPr>
                <w:spacing w:val="5"/>
                <w:sz w:val="20"/>
                <w:szCs w:val="20"/>
              </w:rPr>
              <w:t>建筑石料</w:t>
            </w:r>
            <w:r>
              <w:rPr>
                <w:spacing w:val="2"/>
                <w:sz w:val="20"/>
                <w:szCs w:val="20"/>
              </w:rPr>
              <w:t xml:space="preserve"> </w:t>
            </w:r>
            <w:r>
              <w:rPr>
                <w:spacing w:val="5"/>
                <w:sz w:val="20"/>
                <w:szCs w:val="20"/>
              </w:rPr>
              <w:t>用灰岩</w:t>
            </w:r>
          </w:p>
        </w:tc>
        <w:tc>
          <w:tcPr>
            <w:tcW w:w="1036" w:type="dxa"/>
            <w:tcBorders>
              <w:bottom w:val="single" w:color="000000" w:sz="10" w:space="0"/>
            </w:tcBorders>
            <w:vAlign w:val="top"/>
          </w:tcPr>
          <w:p w14:paraId="6D264EBD">
            <w:pPr>
              <w:spacing w:line="248" w:lineRule="auto"/>
              <w:rPr>
                <w:rFonts w:ascii="Arial"/>
                <w:sz w:val="21"/>
              </w:rPr>
            </w:pPr>
          </w:p>
          <w:p w14:paraId="0515ED06">
            <w:pPr>
              <w:spacing w:line="248" w:lineRule="auto"/>
              <w:rPr>
                <w:rFonts w:ascii="Arial"/>
                <w:sz w:val="21"/>
              </w:rPr>
            </w:pPr>
          </w:p>
          <w:p w14:paraId="4A22AE6C">
            <w:pPr>
              <w:spacing w:before="58"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0.1059</w:t>
            </w:r>
          </w:p>
        </w:tc>
        <w:tc>
          <w:tcPr>
            <w:tcW w:w="1260" w:type="dxa"/>
            <w:tcBorders>
              <w:bottom w:val="single" w:color="000000" w:sz="10" w:space="0"/>
              <w:right w:val="single" w:color="000000" w:sz="10" w:space="0"/>
            </w:tcBorders>
            <w:vAlign w:val="top"/>
          </w:tcPr>
          <w:p w14:paraId="2656A7A9">
            <w:pPr>
              <w:spacing w:line="333" w:lineRule="auto"/>
              <w:rPr>
                <w:rFonts w:ascii="Arial"/>
                <w:sz w:val="21"/>
              </w:rPr>
            </w:pPr>
          </w:p>
          <w:p w14:paraId="58FAD718">
            <w:pPr>
              <w:pStyle w:val="6"/>
              <w:spacing w:before="62" w:line="230" w:lineRule="auto"/>
              <w:ind w:left="446"/>
              <w:rPr>
                <w:sz w:val="19"/>
                <w:szCs w:val="19"/>
              </w:rPr>
            </w:pPr>
            <w:r>
              <w:rPr>
                <w:spacing w:val="2"/>
                <w:sz w:val="19"/>
                <w:szCs w:val="19"/>
              </w:rPr>
              <w:t>保留</w:t>
            </w:r>
          </w:p>
          <w:p w14:paraId="39CF54E7">
            <w:pPr>
              <w:pStyle w:val="6"/>
              <w:spacing w:before="22" w:line="231" w:lineRule="auto"/>
              <w:ind w:left="249"/>
              <w:rPr>
                <w:sz w:val="19"/>
                <w:szCs w:val="19"/>
              </w:rPr>
            </w:pPr>
            <w:r>
              <w:rPr>
                <w:spacing w:val="5"/>
                <w:sz w:val="19"/>
                <w:szCs w:val="19"/>
              </w:rPr>
              <w:t>露天开采</w:t>
            </w:r>
          </w:p>
        </w:tc>
      </w:tr>
    </w:tbl>
    <w:p w14:paraId="46C447AA">
      <w:pPr>
        <w:pStyle w:val="2"/>
        <w:spacing w:line="191" w:lineRule="exact"/>
        <w:rPr>
          <w:sz w:val="16"/>
        </w:rPr>
      </w:pPr>
    </w:p>
    <w:p w14:paraId="5DD7607E">
      <w:pPr>
        <w:spacing w:line="191" w:lineRule="exact"/>
        <w:rPr>
          <w:sz w:val="16"/>
          <w:szCs w:val="16"/>
        </w:rPr>
        <w:sectPr>
          <w:headerReference r:id="rId62" w:type="default"/>
          <w:footerReference r:id="rId63" w:type="default"/>
          <w:pgSz w:w="16839" w:h="11906"/>
          <w:pgMar w:top="1116" w:right="829" w:bottom="1480" w:left="1317" w:header="683" w:footer="1318" w:gutter="0"/>
          <w:cols w:space="720" w:num="1"/>
        </w:sectPr>
      </w:pPr>
    </w:p>
    <w:p w14:paraId="15E344B2">
      <w:pPr>
        <w:spacing w:before="229"/>
      </w:pPr>
    </w:p>
    <w:tbl>
      <w:tblPr>
        <w:tblStyle w:val="5"/>
        <w:tblW w:w="1466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1"/>
        <w:gridCol w:w="874"/>
        <w:gridCol w:w="1480"/>
        <w:gridCol w:w="964"/>
        <w:gridCol w:w="1029"/>
        <w:gridCol w:w="1152"/>
        <w:gridCol w:w="2164"/>
        <w:gridCol w:w="948"/>
        <w:gridCol w:w="2170"/>
        <w:gridCol w:w="1077"/>
        <w:gridCol w:w="1036"/>
        <w:gridCol w:w="1260"/>
      </w:tblGrid>
      <w:tr w14:paraId="43CB75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511" w:type="dxa"/>
            <w:vMerge w:val="restart"/>
            <w:tcBorders>
              <w:top w:val="single" w:color="000000" w:sz="10" w:space="0"/>
              <w:left w:val="single" w:color="000000" w:sz="10" w:space="0"/>
              <w:bottom w:val="nil"/>
            </w:tcBorders>
            <w:textDirection w:val="tbRlV"/>
            <w:vAlign w:val="top"/>
          </w:tcPr>
          <w:p w14:paraId="4678CCD9">
            <w:pPr>
              <w:pStyle w:val="6"/>
              <w:spacing w:before="149" w:line="202" w:lineRule="auto"/>
              <w:ind w:left="289"/>
            </w:pPr>
            <w:r>
              <w:rPr>
                <w:b/>
                <w:bCs/>
                <w:spacing w:val="33"/>
              </w:rPr>
              <w:t>序号</w:t>
            </w:r>
          </w:p>
        </w:tc>
        <w:tc>
          <w:tcPr>
            <w:tcW w:w="5499" w:type="dxa"/>
            <w:gridSpan w:val="5"/>
            <w:tcBorders>
              <w:top w:val="single" w:color="000000" w:sz="10" w:space="0"/>
            </w:tcBorders>
            <w:vAlign w:val="top"/>
          </w:tcPr>
          <w:p w14:paraId="658BC5D7">
            <w:pPr>
              <w:pStyle w:val="6"/>
              <w:spacing w:before="140" w:line="223" w:lineRule="auto"/>
              <w:ind w:left="1321"/>
            </w:pPr>
            <w:r>
              <w:rPr>
                <w:b/>
                <w:bCs/>
                <w:spacing w:val="-3"/>
              </w:rPr>
              <w:t>原《规划》开采区块设置情况</w:t>
            </w:r>
          </w:p>
        </w:tc>
        <w:tc>
          <w:tcPr>
            <w:tcW w:w="2164" w:type="dxa"/>
            <w:vMerge w:val="restart"/>
            <w:tcBorders>
              <w:top w:val="single" w:color="000000" w:sz="10" w:space="0"/>
              <w:bottom w:val="nil"/>
            </w:tcBorders>
            <w:vAlign w:val="top"/>
          </w:tcPr>
          <w:p w14:paraId="77124689">
            <w:pPr>
              <w:spacing w:line="357" w:lineRule="auto"/>
              <w:rPr>
                <w:rFonts w:ascii="Arial"/>
                <w:sz w:val="21"/>
              </w:rPr>
            </w:pPr>
          </w:p>
          <w:p w14:paraId="6D64A08F">
            <w:pPr>
              <w:pStyle w:val="6"/>
              <w:spacing w:before="72" w:line="223" w:lineRule="auto"/>
              <w:ind w:left="208"/>
            </w:pPr>
            <w:r>
              <w:rPr>
                <w:b/>
                <w:bCs/>
                <w:spacing w:val="-4"/>
              </w:rPr>
              <w:t>本次调整变化情况</w:t>
            </w:r>
          </w:p>
        </w:tc>
        <w:tc>
          <w:tcPr>
            <w:tcW w:w="6491" w:type="dxa"/>
            <w:gridSpan w:val="5"/>
            <w:tcBorders>
              <w:top w:val="single" w:color="000000" w:sz="10" w:space="0"/>
              <w:right w:val="single" w:color="000000" w:sz="10" w:space="0"/>
            </w:tcBorders>
            <w:vAlign w:val="top"/>
          </w:tcPr>
          <w:p w14:paraId="52400CC8">
            <w:pPr>
              <w:pStyle w:val="6"/>
              <w:spacing w:before="140" w:line="223" w:lineRule="auto"/>
              <w:ind w:left="1738"/>
            </w:pPr>
            <w:r>
              <w:rPr>
                <w:b/>
                <w:bCs/>
                <w:spacing w:val="1"/>
                <w:sz w:val="20"/>
                <w:szCs w:val="20"/>
              </w:rPr>
              <w:t>《规划调整》</w:t>
            </w:r>
            <w:r>
              <w:rPr>
                <w:b/>
                <w:bCs/>
                <w:spacing w:val="1"/>
              </w:rPr>
              <w:t>规划区块设置情况</w:t>
            </w:r>
          </w:p>
        </w:tc>
      </w:tr>
      <w:tr w14:paraId="10BBDC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511" w:type="dxa"/>
            <w:vMerge w:val="continue"/>
            <w:tcBorders>
              <w:top w:val="nil"/>
              <w:left w:val="single" w:color="000000" w:sz="10" w:space="0"/>
            </w:tcBorders>
            <w:textDirection w:val="tbRlV"/>
            <w:vAlign w:val="top"/>
          </w:tcPr>
          <w:p w14:paraId="688D8970">
            <w:pPr>
              <w:rPr>
                <w:rFonts w:ascii="Arial"/>
                <w:sz w:val="21"/>
              </w:rPr>
            </w:pPr>
          </w:p>
        </w:tc>
        <w:tc>
          <w:tcPr>
            <w:tcW w:w="874" w:type="dxa"/>
            <w:vAlign w:val="top"/>
          </w:tcPr>
          <w:p w14:paraId="4DFB5FB0">
            <w:pPr>
              <w:pStyle w:val="6"/>
              <w:spacing w:before="33" w:line="224" w:lineRule="auto"/>
              <w:ind w:left="234"/>
            </w:pPr>
            <w:r>
              <w:rPr>
                <w:b/>
                <w:bCs/>
                <w:spacing w:val="-19"/>
              </w:rPr>
              <w:t>区块</w:t>
            </w:r>
          </w:p>
          <w:p w14:paraId="3E22712D">
            <w:pPr>
              <w:pStyle w:val="6"/>
              <w:spacing w:before="19" w:line="205" w:lineRule="auto"/>
              <w:ind w:left="217"/>
            </w:pPr>
            <w:r>
              <w:rPr>
                <w:b/>
                <w:bCs/>
                <w:spacing w:val="-10"/>
              </w:rPr>
              <w:t>编号</w:t>
            </w:r>
          </w:p>
        </w:tc>
        <w:tc>
          <w:tcPr>
            <w:tcW w:w="1480" w:type="dxa"/>
            <w:vAlign w:val="top"/>
          </w:tcPr>
          <w:p w14:paraId="4504EF18">
            <w:pPr>
              <w:pStyle w:val="6"/>
              <w:spacing w:before="174" w:line="222" w:lineRule="auto"/>
              <w:ind w:left="318"/>
            </w:pPr>
            <w:r>
              <w:rPr>
                <w:b/>
                <w:bCs/>
                <w:spacing w:val="-10"/>
              </w:rPr>
              <w:t>区块名称</w:t>
            </w:r>
          </w:p>
        </w:tc>
        <w:tc>
          <w:tcPr>
            <w:tcW w:w="964" w:type="dxa"/>
            <w:vAlign w:val="top"/>
          </w:tcPr>
          <w:p w14:paraId="26750975">
            <w:pPr>
              <w:pStyle w:val="6"/>
              <w:spacing w:before="32" w:line="223" w:lineRule="auto"/>
              <w:ind w:left="375" w:right="157" w:hanging="222"/>
            </w:pPr>
            <w:r>
              <w:rPr>
                <w:b/>
                <w:bCs/>
                <w:spacing w:val="-7"/>
              </w:rPr>
              <w:t>开采矿</w:t>
            </w:r>
            <w:r>
              <w:rPr>
                <w:spacing w:val="1"/>
              </w:rPr>
              <w:t xml:space="preserve"> </w:t>
            </w:r>
            <w:r>
              <w:rPr>
                <w:b/>
                <w:bCs/>
                <w:spacing w:val="-3"/>
              </w:rPr>
              <w:t>种</w:t>
            </w:r>
          </w:p>
        </w:tc>
        <w:tc>
          <w:tcPr>
            <w:tcW w:w="1029" w:type="dxa"/>
            <w:vAlign w:val="top"/>
          </w:tcPr>
          <w:p w14:paraId="18B10293">
            <w:pPr>
              <w:pStyle w:val="6"/>
              <w:spacing w:before="33" w:line="224" w:lineRule="auto"/>
              <w:ind w:left="303"/>
            </w:pPr>
            <w:r>
              <w:rPr>
                <w:b/>
                <w:bCs/>
                <w:spacing w:val="-11"/>
              </w:rPr>
              <w:t>面积</w:t>
            </w:r>
          </w:p>
          <w:p w14:paraId="3C531A56">
            <w:pPr>
              <w:pStyle w:val="6"/>
              <w:spacing w:before="19" w:line="205" w:lineRule="auto"/>
              <w:ind w:left="114"/>
            </w:pPr>
            <w:r>
              <w:rPr>
                <w:b/>
                <w:bCs/>
                <w:spacing w:val="-4"/>
              </w:rPr>
              <w:t>（</w:t>
            </w:r>
            <w:r>
              <w:rPr>
                <w:rFonts w:ascii="Times New Roman" w:hAnsi="Times New Roman" w:eastAsia="Times New Roman" w:cs="Times New Roman"/>
                <w:b/>
                <w:bCs/>
                <w:spacing w:val="-4"/>
              </w:rPr>
              <w:t>km</w:t>
            </w:r>
            <w:r>
              <w:rPr>
                <w:rFonts w:ascii="Times New Roman" w:hAnsi="Times New Roman" w:eastAsia="Times New Roman" w:cs="Times New Roman"/>
                <w:b/>
                <w:bCs/>
                <w:spacing w:val="-4"/>
                <w:position w:val="6"/>
                <w:sz w:val="14"/>
                <w:szCs w:val="14"/>
              </w:rPr>
              <w:t>2</w:t>
            </w:r>
            <w:r>
              <w:rPr>
                <w:b/>
                <w:bCs/>
                <w:spacing w:val="-4"/>
              </w:rPr>
              <w:t>）</w:t>
            </w:r>
          </w:p>
        </w:tc>
        <w:tc>
          <w:tcPr>
            <w:tcW w:w="1152" w:type="dxa"/>
            <w:vAlign w:val="top"/>
          </w:tcPr>
          <w:p w14:paraId="1A51FF24">
            <w:pPr>
              <w:pStyle w:val="6"/>
              <w:spacing w:before="33" w:line="225" w:lineRule="auto"/>
              <w:ind w:left="32"/>
            </w:pPr>
            <w:r>
              <w:rPr>
                <w:b/>
                <w:bCs/>
                <w:spacing w:val="-5"/>
              </w:rPr>
              <w:t>规划设置类</w:t>
            </w:r>
          </w:p>
          <w:p w14:paraId="161F4AA3">
            <w:pPr>
              <w:pStyle w:val="6"/>
              <w:spacing w:before="18" w:line="205" w:lineRule="auto"/>
              <w:ind w:left="482"/>
            </w:pPr>
            <w:r>
              <w:rPr>
                <w:b/>
                <w:bCs/>
                <w:spacing w:val="-3"/>
              </w:rPr>
              <w:t>型</w:t>
            </w:r>
          </w:p>
        </w:tc>
        <w:tc>
          <w:tcPr>
            <w:tcW w:w="2164" w:type="dxa"/>
            <w:vMerge w:val="continue"/>
            <w:tcBorders>
              <w:top w:val="nil"/>
            </w:tcBorders>
            <w:vAlign w:val="top"/>
          </w:tcPr>
          <w:p w14:paraId="23FC7C37">
            <w:pPr>
              <w:rPr>
                <w:rFonts w:ascii="Arial"/>
                <w:sz w:val="21"/>
              </w:rPr>
            </w:pPr>
          </w:p>
        </w:tc>
        <w:tc>
          <w:tcPr>
            <w:tcW w:w="948" w:type="dxa"/>
            <w:vAlign w:val="top"/>
          </w:tcPr>
          <w:p w14:paraId="2706BE1E">
            <w:pPr>
              <w:pStyle w:val="6"/>
              <w:spacing w:before="33" w:line="224" w:lineRule="auto"/>
              <w:ind w:left="285"/>
            </w:pPr>
            <w:r>
              <w:rPr>
                <w:b/>
                <w:bCs/>
                <w:spacing w:val="-19"/>
              </w:rPr>
              <w:t>区块</w:t>
            </w:r>
          </w:p>
          <w:p w14:paraId="76FCE63D">
            <w:pPr>
              <w:pStyle w:val="6"/>
              <w:spacing w:before="19" w:line="205" w:lineRule="auto"/>
              <w:ind w:left="268"/>
            </w:pPr>
            <w:r>
              <w:rPr>
                <w:b/>
                <w:bCs/>
                <w:spacing w:val="-10"/>
              </w:rPr>
              <w:t>编号</w:t>
            </w:r>
          </w:p>
        </w:tc>
        <w:tc>
          <w:tcPr>
            <w:tcW w:w="2170" w:type="dxa"/>
            <w:vAlign w:val="top"/>
          </w:tcPr>
          <w:p w14:paraId="32606E97">
            <w:pPr>
              <w:pStyle w:val="6"/>
              <w:spacing w:before="174" w:line="222" w:lineRule="auto"/>
              <w:ind w:left="678"/>
            </w:pPr>
            <w:r>
              <w:rPr>
                <w:b/>
                <w:bCs/>
                <w:spacing w:val="-10"/>
              </w:rPr>
              <w:t>区块名称</w:t>
            </w:r>
          </w:p>
        </w:tc>
        <w:tc>
          <w:tcPr>
            <w:tcW w:w="1077" w:type="dxa"/>
            <w:vAlign w:val="top"/>
          </w:tcPr>
          <w:p w14:paraId="6D730B4C">
            <w:pPr>
              <w:pStyle w:val="6"/>
              <w:spacing w:before="32" w:line="223" w:lineRule="auto"/>
              <w:ind w:left="449" w:right="196" w:hanging="222"/>
            </w:pPr>
            <w:r>
              <w:rPr>
                <w:b/>
                <w:bCs/>
                <w:spacing w:val="-7"/>
              </w:rPr>
              <w:t>开采矿</w:t>
            </w:r>
            <w:r>
              <w:rPr>
                <w:spacing w:val="1"/>
              </w:rPr>
              <w:t xml:space="preserve"> </w:t>
            </w:r>
            <w:r>
              <w:rPr>
                <w:b/>
                <w:bCs/>
                <w:spacing w:val="-3"/>
              </w:rPr>
              <w:t>种</w:t>
            </w:r>
          </w:p>
        </w:tc>
        <w:tc>
          <w:tcPr>
            <w:tcW w:w="1036" w:type="dxa"/>
            <w:vAlign w:val="top"/>
          </w:tcPr>
          <w:p w14:paraId="4739779E">
            <w:pPr>
              <w:pStyle w:val="6"/>
              <w:spacing w:before="33" w:line="224" w:lineRule="auto"/>
              <w:ind w:left="323"/>
            </w:pPr>
            <w:r>
              <w:rPr>
                <w:b/>
                <w:bCs/>
                <w:spacing w:val="-11"/>
              </w:rPr>
              <w:t>面积</w:t>
            </w:r>
          </w:p>
          <w:p w14:paraId="4C1967A7">
            <w:pPr>
              <w:pStyle w:val="6"/>
              <w:spacing w:before="19" w:line="205" w:lineRule="auto"/>
              <w:ind w:left="130"/>
            </w:pPr>
            <w:r>
              <w:rPr>
                <w:b/>
                <w:bCs/>
                <w:spacing w:val="-4"/>
              </w:rPr>
              <w:t>（</w:t>
            </w:r>
            <w:r>
              <w:rPr>
                <w:rFonts w:ascii="Times New Roman" w:hAnsi="Times New Roman" w:eastAsia="Times New Roman" w:cs="Times New Roman"/>
                <w:b/>
                <w:bCs/>
                <w:spacing w:val="-4"/>
              </w:rPr>
              <w:t>km</w:t>
            </w:r>
            <w:r>
              <w:rPr>
                <w:rFonts w:ascii="Times New Roman" w:hAnsi="Times New Roman" w:eastAsia="Times New Roman" w:cs="Times New Roman"/>
                <w:b/>
                <w:bCs/>
                <w:spacing w:val="-4"/>
                <w:position w:val="6"/>
                <w:sz w:val="14"/>
                <w:szCs w:val="14"/>
              </w:rPr>
              <w:t>2</w:t>
            </w:r>
            <w:r>
              <w:rPr>
                <w:b/>
                <w:bCs/>
                <w:spacing w:val="-4"/>
              </w:rPr>
              <w:t>）</w:t>
            </w:r>
          </w:p>
        </w:tc>
        <w:tc>
          <w:tcPr>
            <w:tcW w:w="1260" w:type="dxa"/>
            <w:tcBorders>
              <w:right w:val="single" w:color="000000" w:sz="10" w:space="0"/>
            </w:tcBorders>
            <w:vAlign w:val="top"/>
          </w:tcPr>
          <w:p w14:paraId="734F7E36">
            <w:pPr>
              <w:pStyle w:val="6"/>
              <w:spacing w:before="33" w:line="225" w:lineRule="auto"/>
              <w:ind w:left="93"/>
            </w:pPr>
            <w:r>
              <w:rPr>
                <w:b/>
                <w:bCs/>
                <w:spacing w:val="-5"/>
              </w:rPr>
              <w:t>规划设置类</w:t>
            </w:r>
          </w:p>
          <w:p w14:paraId="4CBAA291">
            <w:pPr>
              <w:pStyle w:val="6"/>
              <w:spacing w:before="18" w:line="205" w:lineRule="auto"/>
              <w:ind w:left="546"/>
            </w:pPr>
            <w:r>
              <w:rPr>
                <w:b/>
                <w:bCs/>
                <w:spacing w:val="-3"/>
              </w:rPr>
              <w:t>型</w:t>
            </w:r>
          </w:p>
        </w:tc>
      </w:tr>
      <w:tr w14:paraId="2998B5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0" w:hRule="atLeast"/>
        </w:trPr>
        <w:tc>
          <w:tcPr>
            <w:tcW w:w="511" w:type="dxa"/>
            <w:tcBorders>
              <w:left w:val="single" w:color="000000" w:sz="10" w:space="0"/>
            </w:tcBorders>
            <w:vAlign w:val="top"/>
          </w:tcPr>
          <w:p w14:paraId="6CD344B9">
            <w:pPr>
              <w:spacing w:line="243" w:lineRule="auto"/>
              <w:rPr>
                <w:rFonts w:ascii="Arial"/>
                <w:sz w:val="21"/>
              </w:rPr>
            </w:pPr>
          </w:p>
          <w:p w14:paraId="4BE0951D">
            <w:pPr>
              <w:spacing w:line="244" w:lineRule="auto"/>
              <w:rPr>
                <w:rFonts w:ascii="Arial"/>
                <w:sz w:val="21"/>
              </w:rPr>
            </w:pPr>
          </w:p>
          <w:p w14:paraId="606AA589">
            <w:pPr>
              <w:spacing w:before="55" w:line="192" w:lineRule="auto"/>
              <w:ind w:left="193"/>
              <w:rPr>
                <w:rFonts w:ascii="Times New Roman" w:hAnsi="Times New Roman" w:eastAsia="Times New Roman" w:cs="Times New Roman"/>
                <w:sz w:val="19"/>
                <w:szCs w:val="19"/>
              </w:rPr>
            </w:pPr>
            <w:r>
              <w:rPr>
                <w:rFonts w:ascii="Times New Roman" w:hAnsi="Times New Roman" w:eastAsia="Times New Roman" w:cs="Times New Roman"/>
                <w:sz w:val="19"/>
                <w:szCs w:val="19"/>
              </w:rPr>
              <w:t>7</w:t>
            </w:r>
          </w:p>
        </w:tc>
        <w:tc>
          <w:tcPr>
            <w:tcW w:w="874" w:type="dxa"/>
            <w:vAlign w:val="top"/>
          </w:tcPr>
          <w:p w14:paraId="608E73C4">
            <w:pPr>
              <w:spacing w:line="242" w:lineRule="auto"/>
              <w:rPr>
                <w:rFonts w:ascii="Arial"/>
                <w:sz w:val="21"/>
              </w:rPr>
            </w:pPr>
          </w:p>
          <w:p w14:paraId="2E872DB5">
            <w:pPr>
              <w:spacing w:line="242" w:lineRule="auto"/>
              <w:rPr>
                <w:rFonts w:ascii="Arial"/>
                <w:sz w:val="21"/>
              </w:rPr>
            </w:pPr>
          </w:p>
          <w:p w14:paraId="28D06351">
            <w:pPr>
              <w:spacing w:before="55" w:line="197" w:lineRule="auto"/>
              <w:ind w:left="141"/>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007</w:t>
            </w:r>
          </w:p>
        </w:tc>
        <w:tc>
          <w:tcPr>
            <w:tcW w:w="1480" w:type="dxa"/>
            <w:vAlign w:val="top"/>
          </w:tcPr>
          <w:p w14:paraId="3C1C1299">
            <w:pPr>
              <w:pStyle w:val="6"/>
              <w:spacing w:before="93" w:line="231" w:lineRule="auto"/>
              <w:ind w:left="118"/>
              <w:rPr>
                <w:sz w:val="20"/>
                <w:szCs w:val="20"/>
              </w:rPr>
            </w:pPr>
            <w:r>
              <w:rPr>
                <w:spacing w:val="6"/>
                <w:sz w:val="20"/>
                <w:szCs w:val="20"/>
              </w:rPr>
              <w:t>重庆市黔江区</w:t>
            </w:r>
          </w:p>
          <w:p w14:paraId="33277C2E">
            <w:pPr>
              <w:pStyle w:val="6"/>
              <w:spacing w:before="23" w:line="230" w:lineRule="auto"/>
              <w:ind w:left="138"/>
              <w:rPr>
                <w:sz w:val="20"/>
                <w:szCs w:val="20"/>
              </w:rPr>
            </w:pPr>
            <w:r>
              <w:rPr>
                <w:spacing w:val="2"/>
                <w:sz w:val="20"/>
                <w:szCs w:val="20"/>
              </w:rPr>
              <w:t>中塘镇兴权村</w:t>
            </w:r>
          </w:p>
          <w:p w14:paraId="0D7ABCAA">
            <w:pPr>
              <w:pStyle w:val="6"/>
              <w:spacing w:before="20" w:line="254" w:lineRule="auto"/>
              <w:ind w:left="319" w:right="119" w:hanging="181"/>
              <w:rPr>
                <w:sz w:val="20"/>
                <w:szCs w:val="20"/>
              </w:rPr>
            </w:pPr>
            <w:r>
              <w:rPr>
                <w:spacing w:val="2"/>
                <w:sz w:val="20"/>
                <w:szCs w:val="20"/>
              </w:rPr>
              <w:t>中波建筑石料</w:t>
            </w:r>
            <w:r>
              <w:rPr>
                <w:spacing w:val="4"/>
                <w:sz w:val="20"/>
                <w:szCs w:val="20"/>
              </w:rPr>
              <w:t xml:space="preserve"> </w:t>
            </w:r>
            <w:r>
              <w:rPr>
                <w:spacing w:val="5"/>
                <w:sz w:val="20"/>
                <w:szCs w:val="20"/>
              </w:rPr>
              <w:t>用灰岩矿</w:t>
            </w:r>
          </w:p>
        </w:tc>
        <w:tc>
          <w:tcPr>
            <w:tcW w:w="964" w:type="dxa"/>
            <w:vAlign w:val="top"/>
          </w:tcPr>
          <w:p w14:paraId="6198150E">
            <w:pPr>
              <w:pStyle w:val="6"/>
              <w:spacing w:before="230" w:line="232" w:lineRule="auto"/>
              <w:ind w:left="169"/>
              <w:rPr>
                <w:sz w:val="20"/>
                <w:szCs w:val="20"/>
              </w:rPr>
            </w:pPr>
            <w:r>
              <w:rPr>
                <w:spacing w:val="5"/>
                <w:sz w:val="20"/>
                <w:szCs w:val="20"/>
              </w:rPr>
              <w:t>建筑石</w:t>
            </w:r>
          </w:p>
          <w:p w14:paraId="20004982">
            <w:pPr>
              <w:pStyle w:val="6"/>
              <w:spacing w:before="20" w:line="252" w:lineRule="auto"/>
              <w:ind w:left="378" w:right="174" w:hanging="209"/>
              <w:rPr>
                <w:sz w:val="20"/>
                <w:szCs w:val="20"/>
              </w:rPr>
            </w:pPr>
            <w:r>
              <w:rPr>
                <w:spacing w:val="5"/>
                <w:sz w:val="20"/>
                <w:szCs w:val="20"/>
              </w:rPr>
              <w:t>料用灰</w:t>
            </w:r>
            <w:r>
              <w:rPr>
                <w:sz w:val="20"/>
                <w:szCs w:val="20"/>
              </w:rPr>
              <w:t xml:space="preserve"> 岩</w:t>
            </w:r>
          </w:p>
        </w:tc>
        <w:tc>
          <w:tcPr>
            <w:tcW w:w="1029" w:type="dxa"/>
            <w:vAlign w:val="top"/>
          </w:tcPr>
          <w:p w14:paraId="08B7B0A2">
            <w:pPr>
              <w:spacing w:line="477" w:lineRule="auto"/>
              <w:rPr>
                <w:rFonts w:ascii="Arial"/>
                <w:sz w:val="21"/>
              </w:rPr>
            </w:pPr>
          </w:p>
          <w:p w14:paraId="6D6E838B">
            <w:pPr>
              <w:spacing w:before="57"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0.1235</w:t>
            </w:r>
          </w:p>
        </w:tc>
        <w:tc>
          <w:tcPr>
            <w:tcW w:w="1152" w:type="dxa"/>
            <w:vAlign w:val="top"/>
          </w:tcPr>
          <w:p w14:paraId="491351A0">
            <w:pPr>
              <w:spacing w:line="314" w:lineRule="auto"/>
              <w:rPr>
                <w:rFonts w:ascii="Arial"/>
                <w:sz w:val="21"/>
              </w:rPr>
            </w:pPr>
          </w:p>
          <w:p w14:paraId="6957879A">
            <w:pPr>
              <w:pStyle w:val="6"/>
              <w:spacing w:before="62" w:line="230" w:lineRule="auto"/>
              <w:ind w:left="382"/>
              <w:rPr>
                <w:sz w:val="19"/>
                <w:szCs w:val="19"/>
              </w:rPr>
            </w:pPr>
            <w:r>
              <w:rPr>
                <w:spacing w:val="2"/>
                <w:sz w:val="19"/>
                <w:szCs w:val="19"/>
              </w:rPr>
              <w:t>保留</w:t>
            </w:r>
          </w:p>
          <w:p w14:paraId="77C03A6A">
            <w:pPr>
              <w:pStyle w:val="6"/>
              <w:spacing w:before="22" w:line="231" w:lineRule="auto"/>
              <w:ind w:left="188"/>
              <w:rPr>
                <w:sz w:val="19"/>
                <w:szCs w:val="19"/>
              </w:rPr>
            </w:pPr>
            <w:r>
              <w:rPr>
                <w:spacing w:val="5"/>
                <w:sz w:val="19"/>
                <w:szCs w:val="19"/>
              </w:rPr>
              <w:t>露天开采</w:t>
            </w:r>
          </w:p>
        </w:tc>
        <w:tc>
          <w:tcPr>
            <w:tcW w:w="2164" w:type="dxa"/>
            <w:vAlign w:val="top"/>
          </w:tcPr>
          <w:p w14:paraId="6103710F">
            <w:pPr>
              <w:spacing w:line="443" w:lineRule="auto"/>
              <w:rPr>
                <w:rFonts w:ascii="Arial"/>
                <w:sz w:val="21"/>
              </w:rPr>
            </w:pPr>
          </w:p>
          <w:p w14:paraId="156AA27B">
            <w:pPr>
              <w:pStyle w:val="6"/>
              <w:spacing w:before="62" w:line="231" w:lineRule="auto"/>
              <w:ind w:left="794"/>
              <w:rPr>
                <w:sz w:val="19"/>
                <w:szCs w:val="19"/>
              </w:rPr>
            </w:pPr>
            <w:r>
              <w:rPr>
                <w:spacing w:val="4"/>
                <w:sz w:val="19"/>
                <w:szCs w:val="19"/>
              </w:rPr>
              <w:t>无变化</w:t>
            </w:r>
          </w:p>
        </w:tc>
        <w:tc>
          <w:tcPr>
            <w:tcW w:w="948" w:type="dxa"/>
            <w:vAlign w:val="top"/>
          </w:tcPr>
          <w:p w14:paraId="4E35BE0E">
            <w:pPr>
              <w:spacing w:line="242" w:lineRule="auto"/>
              <w:rPr>
                <w:rFonts w:ascii="Arial"/>
                <w:sz w:val="21"/>
              </w:rPr>
            </w:pPr>
          </w:p>
          <w:p w14:paraId="2305EFF3">
            <w:pPr>
              <w:spacing w:line="242" w:lineRule="auto"/>
              <w:rPr>
                <w:rFonts w:ascii="Arial"/>
                <w:sz w:val="21"/>
              </w:rPr>
            </w:pPr>
          </w:p>
          <w:p w14:paraId="3C73FD41">
            <w:pPr>
              <w:spacing w:before="55" w:line="197" w:lineRule="auto"/>
              <w:ind w:left="191"/>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007</w:t>
            </w:r>
          </w:p>
        </w:tc>
        <w:tc>
          <w:tcPr>
            <w:tcW w:w="2170" w:type="dxa"/>
            <w:vAlign w:val="top"/>
          </w:tcPr>
          <w:p w14:paraId="27F1B6DF">
            <w:pPr>
              <w:pStyle w:val="6"/>
              <w:spacing w:before="230" w:line="231" w:lineRule="auto"/>
              <w:ind w:left="161"/>
              <w:rPr>
                <w:sz w:val="20"/>
                <w:szCs w:val="20"/>
              </w:rPr>
            </w:pPr>
            <w:r>
              <w:rPr>
                <w:spacing w:val="7"/>
                <w:sz w:val="20"/>
                <w:szCs w:val="20"/>
              </w:rPr>
              <w:t>重庆市黔江区中塘镇</w:t>
            </w:r>
          </w:p>
          <w:p w14:paraId="0D6AC41C">
            <w:pPr>
              <w:pStyle w:val="6"/>
              <w:spacing w:before="20" w:line="229" w:lineRule="auto"/>
              <w:ind w:left="160"/>
              <w:rPr>
                <w:sz w:val="20"/>
                <w:szCs w:val="20"/>
              </w:rPr>
            </w:pPr>
            <w:r>
              <w:rPr>
                <w:spacing w:val="7"/>
                <w:sz w:val="20"/>
                <w:szCs w:val="20"/>
              </w:rPr>
              <w:t>兴权村中波建筑石料</w:t>
            </w:r>
          </w:p>
          <w:p w14:paraId="413A820F">
            <w:pPr>
              <w:pStyle w:val="6"/>
              <w:spacing w:before="23" w:line="232" w:lineRule="auto"/>
              <w:ind w:left="680"/>
              <w:rPr>
                <w:sz w:val="20"/>
                <w:szCs w:val="20"/>
              </w:rPr>
            </w:pPr>
            <w:r>
              <w:rPr>
                <w:spacing w:val="5"/>
                <w:sz w:val="20"/>
                <w:szCs w:val="20"/>
              </w:rPr>
              <w:t>用灰岩矿</w:t>
            </w:r>
          </w:p>
        </w:tc>
        <w:tc>
          <w:tcPr>
            <w:tcW w:w="1077" w:type="dxa"/>
            <w:vAlign w:val="top"/>
          </w:tcPr>
          <w:p w14:paraId="2929FE9C">
            <w:pPr>
              <w:spacing w:line="301" w:lineRule="auto"/>
              <w:rPr>
                <w:rFonts w:ascii="Arial"/>
                <w:sz w:val="21"/>
              </w:rPr>
            </w:pPr>
          </w:p>
          <w:p w14:paraId="480DE907">
            <w:pPr>
              <w:pStyle w:val="6"/>
              <w:spacing w:before="65" w:line="251" w:lineRule="auto"/>
              <w:ind w:left="240" w:right="110" w:hanging="103"/>
              <w:rPr>
                <w:sz w:val="20"/>
                <w:szCs w:val="20"/>
              </w:rPr>
            </w:pPr>
            <w:r>
              <w:rPr>
                <w:spacing w:val="5"/>
                <w:sz w:val="20"/>
                <w:szCs w:val="20"/>
              </w:rPr>
              <w:t>建筑石料</w:t>
            </w:r>
            <w:r>
              <w:rPr>
                <w:spacing w:val="2"/>
                <w:sz w:val="20"/>
                <w:szCs w:val="20"/>
              </w:rPr>
              <w:t xml:space="preserve"> </w:t>
            </w:r>
            <w:r>
              <w:rPr>
                <w:spacing w:val="5"/>
                <w:sz w:val="20"/>
                <w:szCs w:val="20"/>
              </w:rPr>
              <w:t>用灰岩</w:t>
            </w:r>
          </w:p>
        </w:tc>
        <w:tc>
          <w:tcPr>
            <w:tcW w:w="1036" w:type="dxa"/>
            <w:vAlign w:val="top"/>
          </w:tcPr>
          <w:p w14:paraId="5FC80655">
            <w:pPr>
              <w:spacing w:line="477" w:lineRule="auto"/>
              <w:rPr>
                <w:rFonts w:ascii="Arial"/>
                <w:sz w:val="21"/>
              </w:rPr>
            </w:pPr>
          </w:p>
          <w:p w14:paraId="1392DD95">
            <w:pPr>
              <w:spacing w:before="57"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0.1235</w:t>
            </w:r>
          </w:p>
        </w:tc>
        <w:tc>
          <w:tcPr>
            <w:tcW w:w="1260" w:type="dxa"/>
            <w:tcBorders>
              <w:right w:val="single" w:color="000000" w:sz="10" w:space="0"/>
            </w:tcBorders>
            <w:vAlign w:val="top"/>
          </w:tcPr>
          <w:p w14:paraId="18404412">
            <w:pPr>
              <w:spacing w:line="314" w:lineRule="auto"/>
              <w:rPr>
                <w:rFonts w:ascii="Arial"/>
                <w:sz w:val="21"/>
              </w:rPr>
            </w:pPr>
          </w:p>
          <w:p w14:paraId="7804D880">
            <w:pPr>
              <w:pStyle w:val="6"/>
              <w:spacing w:before="62" w:line="230" w:lineRule="auto"/>
              <w:ind w:left="446"/>
              <w:rPr>
                <w:sz w:val="19"/>
                <w:szCs w:val="19"/>
              </w:rPr>
            </w:pPr>
            <w:r>
              <w:rPr>
                <w:spacing w:val="2"/>
                <w:sz w:val="19"/>
                <w:szCs w:val="19"/>
              </w:rPr>
              <w:t>保留</w:t>
            </w:r>
          </w:p>
          <w:p w14:paraId="53F8FB3C">
            <w:pPr>
              <w:pStyle w:val="6"/>
              <w:spacing w:before="22" w:line="231" w:lineRule="auto"/>
              <w:ind w:left="249"/>
              <w:rPr>
                <w:sz w:val="19"/>
                <w:szCs w:val="19"/>
              </w:rPr>
            </w:pPr>
            <w:r>
              <w:rPr>
                <w:spacing w:val="5"/>
                <w:sz w:val="19"/>
                <w:szCs w:val="19"/>
              </w:rPr>
              <w:t>露天开采</w:t>
            </w:r>
          </w:p>
        </w:tc>
      </w:tr>
      <w:tr w14:paraId="156DF6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1" w:hRule="atLeast"/>
        </w:trPr>
        <w:tc>
          <w:tcPr>
            <w:tcW w:w="511" w:type="dxa"/>
            <w:tcBorders>
              <w:left w:val="single" w:color="000000" w:sz="10" w:space="0"/>
            </w:tcBorders>
            <w:vAlign w:val="top"/>
          </w:tcPr>
          <w:p w14:paraId="6EE391C7">
            <w:pPr>
              <w:spacing w:line="244" w:lineRule="auto"/>
              <w:rPr>
                <w:rFonts w:ascii="Arial"/>
                <w:sz w:val="21"/>
              </w:rPr>
            </w:pPr>
          </w:p>
          <w:p w14:paraId="5FD6D34B">
            <w:pPr>
              <w:spacing w:line="244" w:lineRule="auto"/>
              <w:rPr>
                <w:rFonts w:ascii="Arial"/>
                <w:sz w:val="21"/>
              </w:rPr>
            </w:pPr>
          </w:p>
          <w:p w14:paraId="3FD634E7">
            <w:pPr>
              <w:spacing w:before="55" w:line="195" w:lineRule="auto"/>
              <w:ind w:left="198"/>
              <w:rPr>
                <w:rFonts w:ascii="Times New Roman" w:hAnsi="Times New Roman" w:eastAsia="Times New Roman" w:cs="Times New Roman"/>
                <w:sz w:val="19"/>
                <w:szCs w:val="19"/>
              </w:rPr>
            </w:pPr>
            <w:r>
              <w:rPr>
                <w:rFonts w:ascii="Times New Roman" w:hAnsi="Times New Roman" w:eastAsia="Times New Roman" w:cs="Times New Roman"/>
                <w:sz w:val="19"/>
                <w:szCs w:val="19"/>
              </w:rPr>
              <w:t>8</w:t>
            </w:r>
          </w:p>
        </w:tc>
        <w:tc>
          <w:tcPr>
            <w:tcW w:w="874" w:type="dxa"/>
            <w:vAlign w:val="top"/>
          </w:tcPr>
          <w:p w14:paraId="185855A5">
            <w:pPr>
              <w:spacing w:line="244" w:lineRule="auto"/>
              <w:rPr>
                <w:rFonts w:ascii="Arial"/>
                <w:sz w:val="21"/>
              </w:rPr>
            </w:pPr>
          </w:p>
          <w:p w14:paraId="77D7DB01">
            <w:pPr>
              <w:spacing w:line="244" w:lineRule="auto"/>
              <w:rPr>
                <w:rFonts w:ascii="Arial"/>
                <w:sz w:val="21"/>
              </w:rPr>
            </w:pPr>
          </w:p>
          <w:p w14:paraId="7E7D7931">
            <w:pPr>
              <w:spacing w:before="55" w:line="197" w:lineRule="auto"/>
              <w:ind w:left="141"/>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008</w:t>
            </w:r>
          </w:p>
        </w:tc>
        <w:tc>
          <w:tcPr>
            <w:tcW w:w="1480" w:type="dxa"/>
            <w:vAlign w:val="top"/>
          </w:tcPr>
          <w:p w14:paraId="5D3D32F5">
            <w:pPr>
              <w:pStyle w:val="6"/>
              <w:spacing w:before="100" w:line="231" w:lineRule="auto"/>
              <w:ind w:left="118"/>
              <w:rPr>
                <w:sz w:val="20"/>
                <w:szCs w:val="20"/>
              </w:rPr>
            </w:pPr>
            <w:r>
              <w:rPr>
                <w:spacing w:val="6"/>
                <w:sz w:val="20"/>
                <w:szCs w:val="20"/>
              </w:rPr>
              <w:t>重庆市黔江区</w:t>
            </w:r>
          </w:p>
          <w:p w14:paraId="0F63D3D7">
            <w:pPr>
              <w:pStyle w:val="6"/>
              <w:spacing w:before="21" w:line="227" w:lineRule="auto"/>
              <w:ind w:left="118"/>
              <w:rPr>
                <w:sz w:val="20"/>
                <w:szCs w:val="20"/>
              </w:rPr>
            </w:pPr>
            <w:r>
              <w:rPr>
                <w:spacing w:val="6"/>
                <w:sz w:val="20"/>
                <w:szCs w:val="20"/>
              </w:rPr>
              <w:t>黑溪镇转堡建</w:t>
            </w:r>
          </w:p>
          <w:p w14:paraId="67D41A13">
            <w:pPr>
              <w:pStyle w:val="6"/>
              <w:spacing w:before="24" w:line="229" w:lineRule="auto"/>
              <w:ind w:left="113"/>
              <w:rPr>
                <w:sz w:val="20"/>
                <w:szCs w:val="20"/>
              </w:rPr>
            </w:pPr>
            <w:r>
              <w:rPr>
                <w:spacing w:val="6"/>
                <w:sz w:val="20"/>
                <w:szCs w:val="20"/>
              </w:rPr>
              <w:t>筑石料用灰岩</w:t>
            </w:r>
          </w:p>
          <w:p w14:paraId="4BB4043D">
            <w:pPr>
              <w:pStyle w:val="6"/>
              <w:spacing w:before="26" w:line="232" w:lineRule="auto"/>
              <w:ind w:left="636"/>
              <w:rPr>
                <w:sz w:val="20"/>
                <w:szCs w:val="20"/>
              </w:rPr>
            </w:pPr>
            <w:r>
              <w:rPr>
                <w:sz w:val="20"/>
                <w:szCs w:val="20"/>
              </w:rPr>
              <w:t>矿</w:t>
            </w:r>
          </w:p>
        </w:tc>
        <w:tc>
          <w:tcPr>
            <w:tcW w:w="964" w:type="dxa"/>
            <w:vAlign w:val="top"/>
          </w:tcPr>
          <w:p w14:paraId="5FAA2083">
            <w:pPr>
              <w:pStyle w:val="6"/>
              <w:spacing w:before="234" w:line="232" w:lineRule="auto"/>
              <w:ind w:left="169"/>
              <w:rPr>
                <w:sz w:val="20"/>
                <w:szCs w:val="20"/>
              </w:rPr>
            </w:pPr>
            <w:r>
              <w:rPr>
                <w:spacing w:val="5"/>
                <w:sz w:val="20"/>
                <w:szCs w:val="20"/>
              </w:rPr>
              <w:t>建筑石</w:t>
            </w:r>
          </w:p>
          <w:p w14:paraId="0B9B7BAB">
            <w:pPr>
              <w:pStyle w:val="6"/>
              <w:spacing w:before="18" w:line="255" w:lineRule="auto"/>
              <w:ind w:left="378" w:right="174" w:hanging="209"/>
              <w:rPr>
                <w:sz w:val="20"/>
                <w:szCs w:val="20"/>
              </w:rPr>
            </w:pPr>
            <w:r>
              <w:rPr>
                <w:spacing w:val="5"/>
                <w:sz w:val="20"/>
                <w:szCs w:val="20"/>
              </w:rPr>
              <w:t>料用灰</w:t>
            </w:r>
            <w:r>
              <w:rPr>
                <w:sz w:val="20"/>
                <w:szCs w:val="20"/>
              </w:rPr>
              <w:t xml:space="preserve"> 岩</w:t>
            </w:r>
          </w:p>
        </w:tc>
        <w:tc>
          <w:tcPr>
            <w:tcW w:w="1029" w:type="dxa"/>
            <w:vAlign w:val="top"/>
          </w:tcPr>
          <w:p w14:paraId="651E7C53">
            <w:pPr>
              <w:spacing w:line="241" w:lineRule="auto"/>
              <w:rPr>
                <w:rFonts w:ascii="Arial"/>
                <w:sz w:val="21"/>
              </w:rPr>
            </w:pPr>
          </w:p>
          <w:p w14:paraId="6EF53128">
            <w:pPr>
              <w:spacing w:line="242" w:lineRule="auto"/>
              <w:rPr>
                <w:rFonts w:ascii="Arial"/>
                <w:sz w:val="21"/>
              </w:rPr>
            </w:pPr>
          </w:p>
          <w:p w14:paraId="300A3D37">
            <w:pPr>
              <w:spacing w:before="58" w:line="195" w:lineRule="auto"/>
              <w:ind w:left="3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0.06</w:t>
            </w:r>
          </w:p>
        </w:tc>
        <w:tc>
          <w:tcPr>
            <w:tcW w:w="1152" w:type="dxa"/>
            <w:vAlign w:val="top"/>
          </w:tcPr>
          <w:p w14:paraId="06BE1669">
            <w:pPr>
              <w:spacing w:line="320" w:lineRule="auto"/>
              <w:rPr>
                <w:rFonts w:ascii="Arial"/>
                <w:sz w:val="21"/>
              </w:rPr>
            </w:pPr>
          </w:p>
          <w:p w14:paraId="3300E408">
            <w:pPr>
              <w:pStyle w:val="6"/>
              <w:spacing w:before="62" w:line="230" w:lineRule="auto"/>
              <w:ind w:left="382"/>
              <w:rPr>
                <w:sz w:val="19"/>
                <w:szCs w:val="19"/>
              </w:rPr>
            </w:pPr>
            <w:r>
              <w:rPr>
                <w:spacing w:val="2"/>
                <w:sz w:val="19"/>
                <w:szCs w:val="19"/>
              </w:rPr>
              <w:t>保留</w:t>
            </w:r>
          </w:p>
          <w:p w14:paraId="172065F2">
            <w:pPr>
              <w:pStyle w:val="6"/>
              <w:spacing w:before="22" w:line="231" w:lineRule="auto"/>
              <w:ind w:left="188"/>
              <w:rPr>
                <w:sz w:val="19"/>
                <w:szCs w:val="19"/>
              </w:rPr>
            </w:pPr>
            <w:r>
              <w:rPr>
                <w:spacing w:val="5"/>
                <w:sz w:val="19"/>
                <w:szCs w:val="19"/>
              </w:rPr>
              <w:t>露天开采</w:t>
            </w:r>
          </w:p>
        </w:tc>
        <w:tc>
          <w:tcPr>
            <w:tcW w:w="2164" w:type="dxa"/>
            <w:vAlign w:val="top"/>
          </w:tcPr>
          <w:p w14:paraId="10CA6C11">
            <w:pPr>
              <w:spacing w:line="447" w:lineRule="auto"/>
              <w:rPr>
                <w:rFonts w:ascii="Arial"/>
                <w:sz w:val="21"/>
              </w:rPr>
            </w:pPr>
          </w:p>
          <w:p w14:paraId="705F50C7">
            <w:pPr>
              <w:pStyle w:val="6"/>
              <w:spacing w:before="62" w:line="231" w:lineRule="auto"/>
              <w:ind w:left="794"/>
              <w:rPr>
                <w:sz w:val="19"/>
                <w:szCs w:val="19"/>
              </w:rPr>
            </w:pPr>
            <w:r>
              <w:rPr>
                <w:spacing w:val="4"/>
                <w:sz w:val="19"/>
                <w:szCs w:val="19"/>
              </w:rPr>
              <w:t>无变化</w:t>
            </w:r>
          </w:p>
        </w:tc>
        <w:tc>
          <w:tcPr>
            <w:tcW w:w="948" w:type="dxa"/>
            <w:vAlign w:val="top"/>
          </w:tcPr>
          <w:p w14:paraId="76FA313E">
            <w:pPr>
              <w:spacing w:line="244" w:lineRule="auto"/>
              <w:rPr>
                <w:rFonts w:ascii="Arial"/>
                <w:sz w:val="21"/>
              </w:rPr>
            </w:pPr>
          </w:p>
          <w:p w14:paraId="7864E417">
            <w:pPr>
              <w:spacing w:line="244" w:lineRule="auto"/>
              <w:rPr>
                <w:rFonts w:ascii="Arial"/>
                <w:sz w:val="21"/>
              </w:rPr>
            </w:pPr>
          </w:p>
          <w:p w14:paraId="228C4CD4">
            <w:pPr>
              <w:spacing w:before="55" w:line="197" w:lineRule="auto"/>
              <w:ind w:left="191"/>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008</w:t>
            </w:r>
          </w:p>
        </w:tc>
        <w:tc>
          <w:tcPr>
            <w:tcW w:w="2170" w:type="dxa"/>
            <w:vAlign w:val="top"/>
          </w:tcPr>
          <w:p w14:paraId="250BDE12">
            <w:pPr>
              <w:pStyle w:val="6"/>
              <w:spacing w:before="234" w:line="231" w:lineRule="auto"/>
              <w:ind w:left="161"/>
              <w:rPr>
                <w:sz w:val="20"/>
                <w:szCs w:val="20"/>
              </w:rPr>
            </w:pPr>
            <w:r>
              <w:rPr>
                <w:spacing w:val="7"/>
                <w:sz w:val="20"/>
                <w:szCs w:val="20"/>
              </w:rPr>
              <w:t>重庆市黔江区黑溪镇</w:t>
            </w:r>
          </w:p>
          <w:p w14:paraId="730CECF6">
            <w:pPr>
              <w:pStyle w:val="6"/>
              <w:spacing w:before="21" w:line="227" w:lineRule="auto"/>
              <w:ind w:left="157"/>
              <w:rPr>
                <w:sz w:val="20"/>
                <w:szCs w:val="20"/>
              </w:rPr>
            </w:pPr>
            <w:r>
              <w:rPr>
                <w:spacing w:val="8"/>
                <w:sz w:val="20"/>
                <w:szCs w:val="20"/>
              </w:rPr>
              <w:t>转堡建筑石料用灰岩</w:t>
            </w:r>
          </w:p>
          <w:p w14:paraId="628A618A">
            <w:pPr>
              <w:pStyle w:val="6"/>
              <w:spacing w:before="27" w:line="232" w:lineRule="auto"/>
              <w:ind w:left="995"/>
              <w:rPr>
                <w:sz w:val="20"/>
                <w:szCs w:val="20"/>
              </w:rPr>
            </w:pPr>
            <w:r>
              <w:rPr>
                <w:sz w:val="20"/>
                <w:szCs w:val="20"/>
              </w:rPr>
              <w:t>矿</w:t>
            </w:r>
          </w:p>
        </w:tc>
        <w:tc>
          <w:tcPr>
            <w:tcW w:w="1077" w:type="dxa"/>
            <w:vAlign w:val="top"/>
          </w:tcPr>
          <w:p w14:paraId="7C94BD74">
            <w:pPr>
              <w:spacing w:line="305" w:lineRule="auto"/>
              <w:rPr>
                <w:rFonts w:ascii="Arial"/>
                <w:sz w:val="21"/>
              </w:rPr>
            </w:pPr>
          </w:p>
          <w:p w14:paraId="5310873D">
            <w:pPr>
              <w:pStyle w:val="6"/>
              <w:spacing w:before="65" w:line="251" w:lineRule="auto"/>
              <w:ind w:left="240" w:right="110" w:hanging="103"/>
              <w:rPr>
                <w:sz w:val="20"/>
                <w:szCs w:val="20"/>
              </w:rPr>
            </w:pPr>
            <w:r>
              <w:rPr>
                <w:spacing w:val="5"/>
                <w:sz w:val="20"/>
                <w:szCs w:val="20"/>
              </w:rPr>
              <w:t>建筑石料</w:t>
            </w:r>
            <w:r>
              <w:rPr>
                <w:spacing w:val="2"/>
                <w:sz w:val="20"/>
                <w:szCs w:val="20"/>
              </w:rPr>
              <w:t xml:space="preserve"> </w:t>
            </w:r>
            <w:r>
              <w:rPr>
                <w:spacing w:val="5"/>
                <w:sz w:val="20"/>
                <w:szCs w:val="20"/>
              </w:rPr>
              <w:t>用灰岩</w:t>
            </w:r>
          </w:p>
        </w:tc>
        <w:tc>
          <w:tcPr>
            <w:tcW w:w="1036" w:type="dxa"/>
            <w:vAlign w:val="top"/>
          </w:tcPr>
          <w:p w14:paraId="13B76A6F">
            <w:pPr>
              <w:spacing w:line="241" w:lineRule="auto"/>
              <w:rPr>
                <w:rFonts w:ascii="Arial"/>
                <w:sz w:val="21"/>
              </w:rPr>
            </w:pPr>
          </w:p>
          <w:p w14:paraId="42FA9F2D">
            <w:pPr>
              <w:spacing w:line="242" w:lineRule="auto"/>
              <w:rPr>
                <w:rFonts w:ascii="Arial"/>
                <w:sz w:val="21"/>
              </w:rPr>
            </w:pPr>
          </w:p>
          <w:p w14:paraId="5D46A07E">
            <w:pPr>
              <w:spacing w:before="58" w:line="195" w:lineRule="auto"/>
              <w:ind w:left="3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0.06</w:t>
            </w:r>
          </w:p>
        </w:tc>
        <w:tc>
          <w:tcPr>
            <w:tcW w:w="1260" w:type="dxa"/>
            <w:tcBorders>
              <w:right w:val="single" w:color="000000" w:sz="10" w:space="0"/>
            </w:tcBorders>
            <w:vAlign w:val="top"/>
          </w:tcPr>
          <w:p w14:paraId="582696AB">
            <w:pPr>
              <w:spacing w:line="320" w:lineRule="auto"/>
              <w:rPr>
                <w:rFonts w:ascii="Arial"/>
                <w:sz w:val="21"/>
              </w:rPr>
            </w:pPr>
          </w:p>
          <w:p w14:paraId="25A0F7C5">
            <w:pPr>
              <w:pStyle w:val="6"/>
              <w:spacing w:before="62" w:line="230" w:lineRule="auto"/>
              <w:ind w:left="446"/>
              <w:rPr>
                <w:sz w:val="19"/>
                <w:szCs w:val="19"/>
              </w:rPr>
            </w:pPr>
            <w:r>
              <w:rPr>
                <w:spacing w:val="2"/>
                <w:sz w:val="19"/>
                <w:szCs w:val="19"/>
              </w:rPr>
              <w:t>保留</w:t>
            </w:r>
          </w:p>
          <w:p w14:paraId="62C9D41F">
            <w:pPr>
              <w:pStyle w:val="6"/>
              <w:spacing w:before="22" w:line="231" w:lineRule="auto"/>
              <w:ind w:left="249"/>
              <w:rPr>
                <w:sz w:val="19"/>
                <w:szCs w:val="19"/>
              </w:rPr>
            </w:pPr>
            <w:r>
              <w:rPr>
                <w:spacing w:val="5"/>
                <w:sz w:val="19"/>
                <w:szCs w:val="19"/>
              </w:rPr>
              <w:t>露天开采</w:t>
            </w:r>
          </w:p>
        </w:tc>
      </w:tr>
      <w:tr w14:paraId="643424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1" w:hRule="atLeast"/>
        </w:trPr>
        <w:tc>
          <w:tcPr>
            <w:tcW w:w="511" w:type="dxa"/>
            <w:tcBorders>
              <w:left w:val="single" w:color="000000" w:sz="10" w:space="0"/>
            </w:tcBorders>
            <w:vAlign w:val="top"/>
          </w:tcPr>
          <w:p w14:paraId="292452C8">
            <w:pPr>
              <w:spacing w:line="246" w:lineRule="auto"/>
              <w:rPr>
                <w:rFonts w:ascii="Arial"/>
                <w:sz w:val="21"/>
              </w:rPr>
            </w:pPr>
          </w:p>
          <w:p w14:paraId="7C3887E2">
            <w:pPr>
              <w:spacing w:line="246" w:lineRule="auto"/>
              <w:rPr>
                <w:rFonts w:ascii="Arial"/>
                <w:sz w:val="21"/>
              </w:rPr>
            </w:pPr>
          </w:p>
          <w:p w14:paraId="208A68D8">
            <w:pPr>
              <w:spacing w:before="54" w:line="195" w:lineRule="auto"/>
              <w:ind w:left="194"/>
              <w:rPr>
                <w:rFonts w:ascii="Times New Roman" w:hAnsi="Times New Roman" w:eastAsia="Times New Roman" w:cs="Times New Roman"/>
                <w:sz w:val="19"/>
                <w:szCs w:val="19"/>
              </w:rPr>
            </w:pPr>
            <w:r>
              <w:rPr>
                <w:rFonts w:ascii="Times New Roman" w:hAnsi="Times New Roman" w:eastAsia="Times New Roman" w:cs="Times New Roman"/>
                <w:sz w:val="19"/>
                <w:szCs w:val="19"/>
              </w:rPr>
              <w:t>9</w:t>
            </w:r>
          </w:p>
        </w:tc>
        <w:tc>
          <w:tcPr>
            <w:tcW w:w="874" w:type="dxa"/>
            <w:vAlign w:val="top"/>
          </w:tcPr>
          <w:p w14:paraId="02B485C1">
            <w:pPr>
              <w:spacing w:line="245" w:lineRule="auto"/>
              <w:rPr>
                <w:rFonts w:ascii="Arial"/>
                <w:sz w:val="21"/>
              </w:rPr>
            </w:pPr>
          </w:p>
          <w:p w14:paraId="1047668B">
            <w:pPr>
              <w:spacing w:line="246" w:lineRule="auto"/>
              <w:rPr>
                <w:rFonts w:ascii="Arial"/>
                <w:sz w:val="21"/>
              </w:rPr>
            </w:pPr>
          </w:p>
          <w:p w14:paraId="51A70CCC">
            <w:pPr>
              <w:spacing w:before="55" w:line="197" w:lineRule="auto"/>
              <w:ind w:left="141"/>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009</w:t>
            </w:r>
          </w:p>
        </w:tc>
        <w:tc>
          <w:tcPr>
            <w:tcW w:w="1480" w:type="dxa"/>
            <w:vAlign w:val="top"/>
          </w:tcPr>
          <w:p w14:paraId="7ACBBDD0">
            <w:pPr>
              <w:pStyle w:val="6"/>
              <w:spacing w:before="103" w:line="231" w:lineRule="auto"/>
              <w:ind w:left="118"/>
              <w:rPr>
                <w:sz w:val="20"/>
                <w:szCs w:val="20"/>
              </w:rPr>
            </w:pPr>
            <w:r>
              <w:rPr>
                <w:spacing w:val="6"/>
                <w:sz w:val="20"/>
                <w:szCs w:val="20"/>
              </w:rPr>
              <w:t>重庆市黔江区</w:t>
            </w:r>
          </w:p>
          <w:p w14:paraId="7FE45EC1">
            <w:pPr>
              <w:pStyle w:val="6"/>
              <w:spacing w:before="21" w:line="229" w:lineRule="auto"/>
              <w:ind w:left="124"/>
              <w:rPr>
                <w:sz w:val="20"/>
                <w:szCs w:val="20"/>
              </w:rPr>
            </w:pPr>
            <w:r>
              <w:rPr>
                <w:spacing w:val="5"/>
                <w:sz w:val="20"/>
                <w:szCs w:val="20"/>
              </w:rPr>
              <w:t>阿蓬江镇昌立</w:t>
            </w:r>
          </w:p>
          <w:p w14:paraId="03C545CC">
            <w:pPr>
              <w:pStyle w:val="6"/>
              <w:spacing w:before="22" w:line="229" w:lineRule="auto"/>
              <w:ind w:left="111"/>
              <w:rPr>
                <w:sz w:val="20"/>
                <w:szCs w:val="20"/>
              </w:rPr>
            </w:pPr>
            <w:r>
              <w:rPr>
                <w:spacing w:val="7"/>
                <w:sz w:val="20"/>
                <w:szCs w:val="20"/>
              </w:rPr>
              <w:t>建筑石料用灰</w:t>
            </w:r>
          </w:p>
          <w:p w14:paraId="5C9EC359">
            <w:pPr>
              <w:pStyle w:val="6"/>
              <w:spacing w:before="26" w:line="232" w:lineRule="auto"/>
              <w:ind w:left="529"/>
              <w:rPr>
                <w:sz w:val="20"/>
                <w:szCs w:val="20"/>
              </w:rPr>
            </w:pPr>
            <w:r>
              <w:rPr>
                <w:spacing w:val="3"/>
                <w:sz w:val="20"/>
                <w:szCs w:val="20"/>
              </w:rPr>
              <w:t>岩矿</w:t>
            </w:r>
          </w:p>
        </w:tc>
        <w:tc>
          <w:tcPr>
            <w:tcW w:w="964" w:type="dxa"/>
            <w:vAlign w:val="top"/>
          </w:tcPr>
          <w:p w14:paraId="4DCFDCE8">
            <w:pPr>
              <w:pStyle w:val="6"/>
              <w:spacing w:before="238" w:line="232" w:lineRule="auto"/>
              <w:ind w:left="169"/>
              <w:rPr>
                <w:sz w:val="20"/>
                <w:szCs w:val="20"/>
              </w:rPr>
            </w:pPr>
            <w:r>
              <w:rPr>
                <w:spacing w:val="5"/>
                <w:sz w:val="20"/>
                <w:szCs w:val="20"/>
              </w:rPr>
              <w:t>建筑石</w:t>
            </w:r>
          </w:p>
          <w:p w14:paraId="68D39C5F">
            <w:pPr>
              <w:pStyle w:val="6"/>
              <w:spacing w:before="20" w:line="252" w:lineRule="auto"/>
              <w:ind w:left="378" w:right="174" w:hanging="209"/>
              <w:rPr>
                <w:sz w:val="20"/>
                <w:szCs w:val="20"/>
              </w:rPr>
            </w:pPr>
            <w:r>
              <w:rPr>
                <w:spacing w:val="5"/>
                <w:sz w:val="20"/>
                <w:szCs w:val="20"/>
              </w:rPr>
              <w:t>料用灰</w:t>
            </w:r>
            <w:r>
              <w:rPr>
                <w:sz w:val="20"/>
                <w:szCs w:val="20"/>
              </w:rPr>
              <w:t xml:space="preserve"> 岩</w:t>
            </w:r>
          </w:p>
        </w:tc>
        <w:tc>
          <w:tcPr>
            <w:tcW w:w="1029" w:type="dxa"/>
            <w:vAlign w:val="top"/>
          </w:tcPr>
          <w:p w14:paraId="0B83196D">
            <w:pPr>
              <w:spacing w:line="243" w:lineRule="auto"/>
              <w:rPr>
                <w:rFonts w:ascii="Arial"/>
                <w:sz w:val="21"/>
              </w:rPr>
            </w:pPr>
          </w:p>
          <w:p w14:paraId="669BFF47">
            <w:pPr>
              <w:spacing w:line="243" w:lineRule="auto"/>
              <w:rPr>
                <w:rFonts w:ascii="Arial"/>
                <w:sz w:val="21"/>
              </w:rPr>
            </w:pPr>
          </w:p>
          <w:p w14:paraId="009D607C">
            <w:pPr>
              <w:spacing w:before="58"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0.0808</w:t>
            </w:r>
          </w:p>
        </w:tc>
        <w:tc>
          <w:tcPr>
            <w:tcW w:w="1152" w:type="dxa"/>
            <w:vAlign w:val="top"/>
          </w:tcPr>
          <w:p w14:paraId="1B337DEA">
            <w:pPr>
              <w:spacing w:line="324" w:lineRule="auto"/>
              <w:rPr>
                <w:rFonts w:ascii="Arial"/>
                <w:sz w:val="21"/>
              </w:rPr>
            </w:pPr>
          </w:p>
          <w:p w14:paraId="281A9350">
            <w:pPr>
              <w:pStyle w:val="6"/>
              <w:spacing w:before="61" w:line="230" w:lineRule="auto"/>
              <w:ind w:left="382"/>
              <w:rPr>
                <w:sz w:val="19"/>
                <w:szCs w:val="19"/>
              </w:rPr>
            </w:pPr>
            <w:r>
              <w:rPr>
                <w:spacing w:val="2"/>
                <w:sz w:val="19"/>
                <w:szCs w:val="19"/>
              </w:rPr>
              <w:t>保留</w:t>
            </w:r>
          </w:p>
          <w:p w14:paraId="46AC7559">
            <w:pPr>
              <w:pStyle w:val="6"/>
              <w:spacing w:before="20" w:line="231" w:lineRule="auto"/>
              <w:ind w:left="188"/>
              <w:rPr>
                <w:sz w:val="19"/>
                <w:szCs w:val="19"/>
              </w:rPr>
            </w:pPr>
            <w:r>
              <w:rPr>
                <w:spacing w:val="5"/>
                <w:sz w:val="19"/>
                <w:szCs w:val="19"/>
              </w:rPr>
              <w:t>露天开采</w:t>
            </w:r>
          </w:p>
        </w:tc>
        <w:tc>
          <w:tcPr>
            <w:tcW w:w="2164" w:type="dxa"/>
            <w:vAlign w:val="top"/>
          </w:tcPr>
          <w:p w14:paraId="337ECD42">
            <w:pPr>
              <w:spacing w:line="450" w:lineRule="auto"/>
              <w:rPr>
                <w:rFonts w:ascii="Arial"/>
                <w:sz w:val="21"/>
              </w:rPr>
            </w:pPr>
          </w:p>
          <w:p w14:paraId="5C1E2278">
            <w:pPr>
              <w:pStyle w:val="6"/>
              <w:spacing w:before="62" w:line="231" w:lineRule="auto"/>
              <w:ind w:left="794"/>
              <w:rPr>
                <w:sz w:val="19"/>
                <w:szCs w:val="19"/>
              </w:rPr>
            </w:pPr>
            <w:r>
              <w:rPr>
                <w:spacing w:val="4"/>
                <w:sz w:val="19"/>
                <w:szCs w:val="19"/>
              </w:rPr>
              <w:t>无变化</w:t>
            </w:r>
          </w:p>
        </w:tc>
        <w:tc>
          <w:tcPr>
            <w:tcW w:w="948" w:type="dxa"/>
            <w:vAlign w:val="top"/>
          </w:tcPr>
          <w:p w14:paraId="53C481B6">
            <w:pPr>
              <w:spacing w:line="245" w:lineRule="auto"/>
              <w:rPr>
                <w:rFonts w:ascii="Arial"/>
                <w:sz w:val="21"/>
              </w:rPr>
            </w:pPr>
          </w:p>
          <w:p w14:paraId="160A9627">
            <w:pPr>
              <w:spacing w:line="246" w:lineRule="auto"/>
              <w:rPr>
                <w:rFonts w:ascii="Arial"/>
                <w:sz w:val="21"/>
              </w:rPr>
            </w:pPr>
          </w:p>
          <w:p w14:paraId="28BFEFDD">
            <w:pPr>
              <w:spacing w:before="55" w:line="197" w:lineRule="auto"/>
              <w:ind w:left="191"/>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009</w:t>
            </w:r>
          </w:p>
        </w:tc>
        <w:tc>
          <w:tcPr>
            <w:tcW w:w="2170" w:type="dxa"/>
            <w:vAlign w:val="top"/>
          </w:tcPr>
          <w:p w14:paraId="34318E30">
            <w:pPr>
              <w:pStyle w:val="6"/>
              <w:spacing w:before="238" w:line="229" w:lineRule="auto"/>
              <w:ind w:left="161"/>
              <w:rPr>
                <w:sz w:val="20"/>
                <w:szCs w:val="20"/>
              </w:rPr>
            </w:pPr>
            <w:r>
              <w:rPr>
                <w:spacing w:val="7"/>
                <w:sz w:val="20"/>
                <w:szCs w:val="20"/>
              </w:rPr>
              <w:t>重庆市黔江区阿蓬江</w:t>
            </w:r>
          </w:p>
          <w:p w14:paraId="1BF4C70C">
            <w:pPr>
              <w:pStyle w:val="6"/>
              <w:spacing w:before="22" w:line="229" w:lineRule="auto"/>
              <w:ind w:left="154"/>
              <w:rPr>
                <w:sz w:val="20"/>
                <w:szCs w:val="20"/>
              </w:rPr>
            </w:pPr>
            <w:r>
              <w:rPr>
                <w:spacing w:val="8"/>
                <w:sz w:val="20"/>
                <w:szCs w:val="20"/>
              </w:rPr>
              <w:t>镇昌立建筑石料用灰</w:t>
            </w:r>
          </w:p>
          <w:p w14:paraId="635124FB">
            <w:pPr>
              <w:pStyle w:val="6"/>
              <w:spacing w:before="23" w:line="232" w:lineRule="auto"/>
              <w:ind w:left="889"/>
              <w:rPr>
                <w:sz w:val="20"/>
                <w:szCs w:val="20"/>
              </w:rPr>
            </w:pPr>
            <w:r>
              <w:rPr>
                <w:spacing w:val="3"/>
                <w:sz w:val="20"/>
                <w:szCs w:val="20"/>
              </w:rPr>
              <w:t>岩矿</w:t>
            </w:r>
          </w:p>
        </w:tc>
        <w:tc>
          <w:tcPr>
            <w:tcW w:w="1077" w:type="dxa"/>
            <w:vAlign w:val="top"/>
          </w:tcPr>
          <w:p w14:paraId="0B48AE74">
            <w:pPr>
              <w:spacing w:line="308" w:lineRule="auto"/>
              <w:rPr>
                <w:rFonts w:ascii="Arial"/>
                <w:sz w:val="21"/>
              </w:rPr>
            </w:pPr>
          </w:p>
          <w:p w14:paraId="423F775E">
            <w:pPr>
              <w:pStyle w:val="6"/>
              <w:spacing w:before="65" w:line="251" w:lineRule="auto"/>
              <w:ind w:left="240" w:right="110" w:hanging="103"/>
              <w:rPr>
                <w:sz w:val="20"/>
                <w:szCs w:val="20"/>
              </w:rPr>
            </w:pPr>
            <w:r>
              <w:rPr>
                <w:spacing w:val="5"/>
                <w:sz w:val="20"/>
                <w:szCs w:val="20"/>
              </w:rPr>
              <w:t>建筑石料</w:t>
            </w:r>
            <w:r>
              <w:rPr>
                <w:spacing w:val="2"/>
                <w:sz w:val="20"/>
                <w:szCs w:val="20"/>
              </w:rPr>
              <w:t xml:space="preserve"> </w:t>
            </w:r>
            <w:r>
              <w:rPr>
                <w:spacing w:val="5"/>
                <w:sz w:val="20"/>
                <w:szCs w:val="20"/>
              </w:rPr>
              <w:t>用灰岩</w:t>
            </w:r>
          </w:p>
        </w:tc>
        <w:tc>
          <w:tcPr>
            <w:tcW w:w="1036" w:type="dxa"/>
            <w:vAlign w:val="top"/>
          </w:tcPr>
          <w:p w14:paraId="445BAA07">
            <w:pPr>
              <w:spacing w:line="243" w:lineRule="auto"/>
              <w:rPr>
                <w:rFonts w:ascii="Arial"/>
                <w:sz w:val="21"/>
              </w:rPr>
            </w:pPr>
          </w:p>
          <w:p w14:paraId="1A5B93E6">
            <w:pPr>
              <w:spacing w:line="243" w:lineRule="auto"/>
              <w:rPr>
                <w:rFonts w:ascii="Arial"/>
                <w:sz w:val="21"/>
              </w:rPr>
            </w:pPr>
          </w:p>
          <w:p w14:paraId="65DC1305">
            <w:pPr>
              <w:spacing w:before="58"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0.0808</w:t>
            </w:r>
          </w:p>
        </w:tc>
        <w:tc>
          <w:tcPr>
            <w:tcW w:w="1260" w:type="dxa"/>
            <w:tcBorders>
              <w:right w:val="single" w:color="000000" w:sz="10" w:space="0"/>
            </w:tcBorders>
            <w:vAlign w:val="top"/>
          </w:tcPr>
          <w:p w14:paraId="510AAF08">
            <w:pPr>
              <w:spacing w:line="324" w:lineRule="auto"/>
              <w:rPr>
                <w:rFonts w:ascii="Arial"/>
                <w:sz w:val="21"/>
              </w:rPr>
            </w:pPr>
          </w:p>
          <w:p w14:paraId="06DBB41E">
            <w:pPr>
              <w:pStyle w:val="6"/>
              <w:spacing w:before="61" w:line="230" w:lineRule="auto"/>
              <w:ind w:left="446"/>
              <w:rPr>
                <w:sz w:val="19"/>
                <w:szCs w:val="19"/>
              </w:rPr>
            </w:pPr>
            <w:r>
              <w:rPr>
                <w:spacing w:val="2"/>
                <w:sz w:val="19"/>
                <w:szCs w:val="19"/>
              </w:rPr>
              <w:t>保留</w:t>
            </w:r>
          </w:p>
          <w:p w14:paraId="5FFCA3EE">
            <w:pPr>
              <w:pStyle w:val="6"/>
              <w:spacing w:before="20" w:line="231" w:lineRule="auto"/>
              <w:ind w:left="249"/>
              <w:rPr>
                <w:sz w:val="19"/>
                <w:szCs w:val="19"/>
              </w:rPr>
            </w:pPr>
            <w:r>
              <w:rPr>
                <w:spacing w:val="5"/>
                <w:sz w:val="19"/>
                <w:szCs w:val="19"/>
              </w:rPr>
              <w:t>露天开采</w:t>
            </w:r>
          </w:p>
        </w:tc>
      </w:tr>
      <w:tr w14:paraId="668D3E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511" w:type="dxa"/>
            <w:tcBorders>
              <w:left w:val="single" w:color="000000" w:sz="10" w:space="0"/>
            </w:tcBorders>
            <w:vAlign w:val="top"/>
          </w:tcPr>
          <w:p w14:paraId="4407CEB0">
            <w:pPr>
              <w:spacing w:line="361" w:lineRule="auto"/>
              <w:rPr>
                <w:rFonts w:ascii="Arial"/>
                <w:sz w:val="21"/>
              </w:rPr>
            </w:pPr>
          </w:p>
          <w:p w14:paraId="2B2FEA18">
            <w:pPr>
              <w:spacing w:before="55" w:line="195" w:lineRule="auto"/>
              <w:ind w:left="161"/>
              <w:rPr>
                <w:rFonts w:ascii="Times New Roman" w:hAnsi="Times New Roman" w:eastAsia="Times New Roman" w:cs="Times New Roman"/>
                <w:sz w:val="19"/>
                <w:szCs w:val="19"/>
              </w:rPr>
            </w:pPr>
            <w:r>
              <w:rPr>
                <w:rFonts w:ascii="Times New Roman" w:hAnsi="Times New Roman" w:eastAsia="Times New Roman" w:cs="Times New Roman"/>
                <w:spacing w:val="-7"/>
                <w:sz w:val="19"/>
                <w:szCs w:val="19"/>
              </w:rPr>
              <w:t>10</w:t>
            </w:r>
          </w:p>
        </w:tc>
        <w:tc>
          <w:tcPr>
            <w:tcW w:w="874" w:type="dxa"/>
            <w:vAlign w:val="top"/>
          </w:tcPr>
          <w:p w14:paraId="1EE8D28C">
            <w:pPr>
              <w:spacing w:line="361" w:lineRule="auto"/>
              <w:rPr>
                <w:rFonts w:ascii="Arial"/>
                <w:sz w:val="21"/>
              </w:rPr>
            </w:pPr>
          </w:p>
          <w:p w14:paraId="32F98F43">
            <w:pPr>
              <w:spacing w:before="55" w:line="197" w:lineRule="auto"/>
              <w:ind w:left="141"/>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010</w:t>
            </w:r>
          </w:p>
        </w:tc>
        <w:tc>
          <w:tcPr>
            <w:tcW w:w="1480" w:type="dxa"/>
            <w:vAlign w:val="top"/>
          </w:tcPr>
          <w:p w14:paraId="038B3760">
            <w:pPr>
              <w:pStyle w:val="6"/>
              <w:spacing w:before="104" w:line="231" w:lineRule="auto"/>
              <w:ind w:left="118"/>
              <w:rPr>
                <w:sz w:val="20"/>
                <w:szCs w:val="20"/>
              </w:rPr>
            </w:pPr>
            <w:r>
              <w:rPr>
                <w:spacing w:val="6"/>
                <w:sz w:val="20"/>
                <w:szCs w:val="20"/>
              </w:rPr>
              <w:t>重庆市黔江区</w:t>
            </w:r>
          </w:p>
          <w:p w14:paraId="621954C8">
            <w:pPr>
              <w:pStyle w:val="6"/>
              <w:spacing w:before="23" w:line="232" w:lineRule="auto"/>
              <w:ind w:left="110"/>
              <w:rPr>
                <w:sz w:val="20"/>
                <w:szCs w:val="20"/>
              </w:rPr>
            </w:pPr>
            <w:r>
              <w:rPr>
                <w:spacing w:val="7"/>
                <w:sz w:val="20"/>
                <w:szCs w:val="20"/>
              </w:rPr>
              <w:t>水田河坝建筑</w:t>
            </w:r>
          </w:p>
          <w:p w14:paraId="1720EA4C">
            <w:pPr>
              <w:pStyle w:val="6"/>
              <w:spacing w:before="20" w:line="229" w:lineRule="auto"/>
              <w:ind w:left="111"/>
              <w:rPr>
                <w:sz w:val="20"/>
                <w:szCs w:val="20"/>
              </w:rPr>
            </w:pPr>
            <w:r>
              <w:rPr>
                <w:spacing w:val="7"/>
                <w:sz w:val="20"/>
                <w:szCs w:val="20"/>
              </w:rPr>
              <w:t>石料用灰岩矿</w:t>
            </w:r>
          </w:p>
        </w:tc>
        <w:tc>
          <w:tcPr>
            <w:tcW w:w="964" w:type="dxa"/>
            <w:vAlign w:val="top"/>
          </w:tcPr>
          <w:p w14:paraId="31C3FD0A">
            <w:pPr>
              <w:pStyle w:val="6"/>
              <w:spacing w:before="104" w:line="232" w:lineRule="auto"/>
              <w:ind w:left="169"/>
              <w:rPr>
                <w:sz w:val="20"/>
                <w:szCs w:val="20"/>
              </w:rPr>
            </w:pPr>
            <w:r>
              <w:rPr>
                <w:spacing w:val="5"/>
                <w:sz w:val="20"/>
                <w:szCs w:val="20"/>
              </w:rPr>
              <w:t>建筑石</w:t>
            </w:r>
          </w:p>
          <w:p w14:paraId="0EC0A4FE">
            <w:pPr>
              <w:pStyle w:val="6"/>
              <w:spacing w:before="22" w:line="252" w:lineRule="auto"/>
              <w:ind w:left="378" w:right="174" w:hanging="209"/>
              <w:rPr>
                <w:sz w:val="20"/>
                <w:szCs w:val="20"/>
              </w:rPr>
            </w:pPr>
            <w:r>
              <w:rPr>
                <w:spacing w:val="5"/>
                <w:sz w:val="20"/>
                <w:szCs w:val="20"/>
              </w:rPr>
              <w:t>料用灰</w:t>
            </w:r>
            <w:r>
              <w:rPr>
                <w:sz w:val="20"/>
                <w:szCs w:val="20"/>
              </w:rPr>
              <w:t xml:space="preserve"> 岩</w:t>
            </w:r>
          </w:p>
        </w:tc>
        <w:tc>
          <w:tcPr>
            <w:tcW w:w="1029" w:type="dxa"/>
            <w:vAlign w:val="top"/>
          </w:tcPr>
          <w:p w14:paraId="70A49F2B">
            <w:pPr>
              <w:spacing w:line="354" w:lineRule="auto"/>
              <w:rPr>
                <w:rFonts w:ascii="Arial"/>
                <w:sz w:val="21"/>
              </w:rPr>
            </w:pPr>
          </w:p>
          <w:p w14:paraId="01166730">
            <w:pPr>
              <w:spacing w:before="57"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0.0393</w:t>
            </w:r>
          </w:p>
        </w:tc>
        <w:tc>
          <w:tcPr>
            <w:tcW w:w="1152" w:type="dxa"/>
            <w:vAlign w:val="top"/>
          </w:tcPr>
          <w:p w14:paraId="190B1F8A">
            <w:pPr>
              <w:pStyle w:val="6"/>
              <w:spacing w:before="254" w:line="230" w:lineRule="auto"/>
              <w:ind w:left="382"/>
              <w:rPr>
                <w:sz w:val="19"/>
                <w:szCs w:val="19"/>
              </w:rPr>
            </w:pPr>
            <w:r>
              <w:rPr>
                <w:spacing w:val="2"/>
                <w:sz w:val="19"/>
                <w:szCs w:val="19"/>
              </w:rPr>
              <w:t>保留</w:t>
            </w:r>
          </w:p>
          <w:p w14:paraId="435279BD">
            <w:pPr>
              <w:pStyle w:val="6"/>
              <w:spacing w:before="22" w:line="231" w:lineRule="auto"/>
              <w:ind w:left="188"/>
              <w:rPr>
                <w:sz w:val="19"/>
                <w:szCs w:val="19"/>
              </w:rPr>
            </w:pPr>
            <w:r>
              <w:rPr>
                <w:spacing w:val="5"/>
                <w:sz w:val="19"/>
                <w:szCs w:val="19"/>
              </w:rPr>
              <w:t>露天开采</w:t>
            </w:r>
          </w:p>
        </w:tc>
        <w:tc>
          <w:tcPr>
            <w:tcW w:w="2164" w:type="dxa"/>
            <w:vAlign w:val="top"/>
          </w:tcPr>
          <w:p w14:paraId="3F03D03B">
            <w:pPr>
              <w:spacing w:line="320" w:lineRule="auto"/>
              <w:rPr>
                <w:rFonts w:ascii="Arial"/>
                <w:sz w:val="21"/>
              </w:rPr>
            </w:pPr>
          </w:p>
          <w:p w14:paraId="222A4D5C">
            <w:pPr>
              <w:pStyle w:val="6"/>
              <w:spacing w:before="62" w:line="231" w:lineRule="auto"/>
              <w:ind w:left="794"/>
              <w:rPr>
                <w:sz w:val="19"/>
                <w:szCs w:val="19"/>
              </w:rPr>
            </w:pPr>
            <w:r>
              <w:rPr>
                <w:spacing w:val="4"/>
                <w:sz w:val="19"/>
                <w:szCs w:val="19"/>
              </w:rPr>
              <w:t>无变化</w:t>
            </w:r>
          </w:p>
        </w:tc>
        <w:tc>
          <w:tcPr>
            <w:tcW w:w="948" w:type="dxa"/>
            <w:vAlign w:val="top"/>
          </w:tcPr>
          <w:p w14:paraId="6F7E4EA7">
            <w:pPr>
              <w:spacing w:line="361" w:lineRule="auto"/>
              <w:rPr>
                <w:rFonts w:ascii="Arial"/>
                <w:sz w:val="21"/>
              </w:rPr>
            </w:pPr>
          </w:p>
          <w:p w14:paraId="28C403C6">
            <w:pPr>
              <w:spacing w:before="55" w:line="197" w:lineRule="auto"/>
              <w:ind w:left="191"/>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010</w:t>
            </w:r>
          </w:p>
        </w:tc>
        <w:tc>
          <w:tcPr>
            <w:tcW w:w="2170" w:type="dxa"/>
            <w:vAlign w:val="top"/>
          </w:tcPr>
          <w:p w14:paraId="1EBD593F">
            <w:pPr>
              <w:pStyle w:val="6"/>
              <w:spacing w:before="240" w:line="250" w:lineRule="auto"/>
              <w:ind w:left="160" w:right="134" w:firstLine="1"/>
              <w:rPr>
                <w:sz w:val="20"/>
                <w:szCs w:val="20"/>
              </w:rPr>
            </w:pPr>
            <w:r>
              <w:rPr>
                <w:spacing w:val="7"/>
                <w:sz w:val="20"/>
                <w:szCs w:val="20"/>
              </w:rPr>
              <w:t>重庆市黔江区水田河</w:t>
            </w:r>
            <w:r>
              <w:rPr>
                <w:spacing w:val="4"/>
                <w:sz w:val="20"/>
                <w:szCs w:val="20"/>
              </w:rPr>
              <w:t xml:space="preserve"> </w:t>
            </w:r>
            <w:r>
              <w:rPr>
                <w:spacing w:val="7"/>
                <w:sz w:val="20"/>
                <w:szCs w:val="20"/>
              </w:rPr>
              <w:t>坝建筑石料用灰岩矿</w:t>
            </w:r>
          </w:p>
        </w:tc>
        <w:tc>
          <w:tcPr>
            <w:tcW w:w="1077" w:type="dxa"/>
            <w:vAlign w:val="top"/>
          </w:tcPr>
          <w:p w14:paraId="1AEC41AB">
            <w:pPr>
              <w:pStyle w:val="6"/>
              <w:spacing w:before="241" w:line="251" w:lineRule="auto"/>
              <w:ind w:left="240" w:right="110" w:hanging="103"/>
              <w:rPr>
                <w:sz w:val="20"/>
                <w:szCs w:val="20"/>
              </w:rPr>
            </w:pPr>
            <w:r>
              <w:rPr>
                <w:spacing w:val="5"/>
                <w:sz w:val="20"/>
                <w:szCs w:val="20"/>
              </w:rPr>
              <w:t>建筑石料</w:t>
            </w:r>
            <w:r>
              <w:rPr>
                <w:spacing w:val="2"/>
                <w:sz w:val="20"/>
                <w:szCs w:val="20"/>
              </w:rPr>
              <w:t xml:space="preserve"> </w:t>
            </w:r>
            <w:r>
              <w:rPr>
                <w:spacing w:val="5"/>
                <w:sz w:val="20"/>
                <w:szCs w:val="20"/>
              </w:rPr>
              <w:t>用灰岩</w:t>
            </w:r>
          </w:p>
        </w:tc>
        <w:tc>
          <w:tcPr>
            <w:tcW w:w="1036" w:type="dxa"/>
            <w:vAlign w:val="top"/>
          </w:tcPr>
          <w:p w14:paraId="22C818C6">
            <w:pPr>
              <w:spacing w:line="354" w:lineRule="auto"/>
              <w:rPr>
                <w:rFonts w:ascii="Arial"/>
                <w:sz w:val="21"/>
              </w:rPr>
            </w:pPr>
          </w:p>
          <w:p w14:paraId="518BAD30">
            <w:pPr>
              <w:spacing w:before="57"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0.0393</w:t>
            </w:r>
          </w:p>
        </w:tc>
        <w:tc>
          <w:tcPr>
            <w:tcW w:w="1260" w:type="dxa"/>
            <w:tcBorders>
              <w:right w:val="single" w:color="000000" w:sz="10" w:space="0"/>
            </w:tcBorders>
            <w:vAlign w:val="top"/>
          </w:tcPr>
          <w:p w14:paraId="203BDF0C">
            <w:pPr>
              <w:pStyle w:val="6"/>
              <w:spacing w:before="254" w:line="230" w:lineRule="auto"/>
              <w:ind w:left="446"/>
              <w:rPr>
                <w:sz w:val="19"/>
                <w:szCs w:val="19"/>
              </w:rPr>
            </w:pPr>
            <w:r>
              <w:rPr>
                <w:spacing w:val="2"/>
                <w:sz w:val="19"/>
                <w:szCs w:val="19"/>
              </w:rPr>
              <w:t>保留</w:t>
            </w:r>
          </w:p>
          <w:p w14:paraId="4DC8D650">
            <w:pPr>
              <w:pStyle w:val="6"/>
              <w:spacing w:before="22" w:line="231" w:lineRule="auto"/>
              <w:ind w:left="249"/>
              <w:rPr>
                <w:sz w:val="19"/>
                <w:szCs w:val="19"/>
              </w:rPr>
            </w:pPr>
            <w:r>
              <w:rPr>
                <w:spacing w:val="5"/>
                <w:sz w:val="19"/>
                <w:szCs w:val="19"/>
              </w:rPr>
              <w:t>露天开采</w:t>
            </w:r>
          </w:p>
        </w:tc>
      </w:tr>
      <w:tr w14:paraId="671251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0" w:hRule="atLeast"/>
        </w:trPr>
        <w:tc>
          <w:tcPr>
            <w:tcW w:w="511" w:type="dxa"/>
            <w:tcBorders>
              <w:left w:val="single" w:color="000000" w:sz="10" w:space="0"/>
            </w:tcBorders>
            <w:vAlign w:val="top"/>
          </w:tcPr>
          <w:p w14:paraId="5B6036FF">
            <w:pPr>
              <w:spacing w:line="249" w:lineRule="auto"/>
              <w:rPr>
                <w:rFonts w:ascii="Arial"/>
                <w:sz w:val="21"/>
              </w:rPr>
            </w:pPr>
          </w:p>
          <w:p w14:paraId="29A81FB3">
            <w:pPr>
              <w:spacing w:line="250" w:lineRule="auto"/>
              <w:rPr>
                <w:rFonts w:ascii="Arial"/>
                <w:sz w:val="21"/>
              </w:rPr>
            </w:pPr>
          </w:p>
          <w:p w14:paraId="2691C078">
            <w:pPr>
              <w:spacing w:before="54" w:line="195" w:lineRule="auto"/>
              <w:ind w:left="161"/>
              <w:rPr>
                <w:rFonts w:ascii="Times New Roman" w:hAnsi="Times New Roman" w:eastAsia="Times New Roman" w:cs="Times New Roman"/>
                <w:sz w:val="19"/>
                <w:szCs w:val="19"/>
              </w:rPr>
            </w:pPr>
            <w:r>
              <w:rPr>
                <w:rFonts w:ascii="Times New Roman" w:hAnsi="Times New Roman" w:eastAsia="Times New Roman" w:cs="Times New Roman"/>
                <w:spacing w:val="-7"/>
                <w:sz w:val="19"/>
                <w:szCs w:val="19"/>
              </w:rPr>
              <w:t>11</w:t>
            </w:r>
          </w:p>
        </w:tc>
        <w:tc>
          <w:tcPr>
            <w:tcW w:w="874" w:type="dxa"/>
            <w:vAlign w:val="top"/>
          </w:tcPr>
          <w:p w14:paraId="3858FA67">
            <w:pPr>
              <w:spacing w:line="249" w:lineRule="auto"/>
              <w:rPr>
                <w:rFonts w:ascii="Arial"/>
                <w:sz w:val="21"/>
              </w:rPr>
            </w:pPr>
          </w:p>
          <w:p w14:paraId="3E21F09C">
            <w:pPr>
              <w:spacing w:line="250" w:lineRule="auto"/>
              <w:rPr>
                <w:rFonts w:ascii="Arial"/>
                <w:sz w:val="21"/>
              </w:rPr>
            </w:pPr>
          </w:p>
          <w:p w14:paraId="043F84C2">
            <w:pPr>
              <w:spacing w:before="54" w:line="197" w:lineRule="auto"/>
              <w:ind w:left="143"/>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011</w:t>
            </w:r>
          </w:p>
        </w:tc>
        <w:tc>
          <w:tcPr>
            <w:tcW w:w="1480" w:type="dxa"/>
            <w:vAlign w:val="top"/>
          </w:tcPr>
          <w:p w14:paraId="2C0ED98C">
            <w:pPr>
              <w:pStyle w:val="6"/>
              <w:spacing w:before="108" w:line="231" w:lineRule="auto"/>
              <w:ind w:left="118"/>
              <w:rPr>
                <w:sz w:val="20"/>
                <w:szCs w:val="20"/>
              </w:rPr>
            </w:pPr>
            <w:r>
              <w:rPr>
                <w:spacing w:val="6"/>
                <w:sz w:val="20"/>
                <w:szCs w:val="20"/>
              </w:rPr>
              <w:t>重庆市黔江区</w:t>
            </w:r>
          </w:p>
          <w:p w14:paraId="376AE30C">
            <w:pPr>
              <w:pStyle w:val="6"/>
              <w:spacing w:before="20" w:line="232" w:lineRule="auto"/>
              <w:ind w:left="110"/>
              <w:rPr>
                <w:sz w:val="20"/>
                <w:szCs w:val="20"/>
              </w:rPr>
            </w:pPr>
            <w:r>
              <w:rPr>
                <w:spacing w:val="7"/>
                <w:sz w:val="20"/>
                <w:szCs w:val="20"/>
              </w:rPr>
              <w:t>水田乡刚建建</w:t>
            </w:r>
          </w:p>
          <w:p w14:paraId="0041BB7C">
            <w:pPr>
              <w:pStyle w:val="6"/>
              <w:spacing w:before="22" w:line="229" w:lineRule="auto"/>
              <w:ind w:left="113"/>
              <w:rPr>
                <w:sz w:val="20"/>
                <w:szCs w:val="20"/>
              </w:rPr>
            </w:pPr>
            <w:r>
              <w:rPr>
                <w:spacing w:val="6"/>
                <w:sz w:val="20"/>
                <w:szCs w:val="20"/>
              </w:rPr>
              <w:t>筑石料用灰岩</w:t>
            </w:r>
          </w:p>
          <w:p w14:paraId="3B82A73D">
            <w:pPr>
              <w:pStyle w:val="6"/>
              <w:spacing w:before="23" w:line="232" w:lineRule="auto"/>
              <w:ind w:left="636"/>
              <w:rPr>
                <w:sz w:val="20"/>
                <w:szCs w:val="20"/>
              </w:rPr>
            </w:pPr>
            <w:r>
              <w:rPr>
                <w:sz w:val="20"/>
                <w:szCs w:val="20"/>
              </w:rPr>
              <w:t>矿</w:t>
            </w:r>
          </w:p>
        </w:tc>
        <w:tc>
          <w:tcPr>
            <w:tcW w:w="964" w:type="dxa"/>
            <w:vAlign w:val="top"/>
          </w:tcPr>
          <w:p w14:paraId="7A2E009F">
            <w:pPr>
              <w:pStyle w:val="6"/>
              <w:spacing w:before="242" w:line="232" w:lineRule="auto"/>
              <w:ind w:left="169"/>
              <w:rPr>
                <w:sz w:val="20"/>
                <w:szCs w:val="20"/>
              </w:rPr>
            </w:pPr>
            <w:r>
              <w:rPr>
                <w:spacing w:val="5"/>
                <w:sz w:val="20"/>
                <w:szCs w:val="20"/>
              </w:rPr>
              <w:t>建筑石</w:t>
            </w:r>
          </w:p>
          <w:p w14:paraId="058E60CA">
            <w:pPr>
              <w:pStyle w:val="6"/>
              <w:spacing w:before="22" w:line="252" w:lineRule="auto"/>
              <w:ind w:left="378" w:right="174" w:hanging="209"/>
              <w:rPr>
                <w:sz w:val="20"/>
                <w:szCs w:val="20"/>
              </w:rPr>
            </w:pPr>
            <w:r>
              <w:rPr>
                <w:spacing w:val="5"/>
                <w:sz w:val="20"/>
                <w:szCs w:val="20"/>
              </w:rPr>
              <w:t>料用灰</w:t>
            </w:r>
            <w:r>
              <w:rPr>
                <w:sz w:val="20"/>
                <w:szCs w:val="20"/>
              </w:rPr>
              <w:t xml:space="preserve"> 岩</w:t>
            </w:r>
          </w:p>
        </w:tc>
        <w:tc>
          <w:tcPr>
            <w:tcW w:w="1029" w:type="dxa"/>
            <w:vAlign w:val="top"/>
          </w:tcPr>
          <w:p w14:paraId="5169DBB1">
            <w:pPr>
              <w:spacing w:line="245" w:lineRule="auto"/>
              <w:rPr>
                <w:rFonts w:ascii="Arial"/>
                <w:sz w:val="21"/>
              </w:rPr>
            </w:pPr>
          </w:p>
          <w:p w14:paraId="75DECD6F">
            <w:pPr>
              <w:spacing w:line="246" w:lineRule="auto"/>
              <w:rPr>
                <w:rFonts w:ascii="Arial"/>
                <w:sz w:val="21"/>
              </w:rPr>
            </w:pPr>
          </w:p>
          <w:p w14:paraId="0606C36C">
            <w:pPr>
              <w:spacing w:before="58"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0.1098</w:t>
            </w:r>
          </w:p>
        </w:tc>
        <w:tc>
          <w:tcPr>
            <w:tcW w:w="1152" w:type="dxa"/>
            <w:vAlign w:val="top"/>
          </w:tcPr>
          <w:p w14:paraId="35E4BAE8">
            <w:pPr>
              <w:spacing w:line="328" w:lineRule="auto"/>
              <w:rPr>
                <w:rFonts w:ascii="Arial"/>
                <w:sz w:val="21"/>
              </w:rPr>
            </w:pPr>
          </w:p>
          <w:p w14:paraId="77BB68FF">
            <w:pPr>
              <w:pStyle w:val="6"/>
              <w:spacing w:before="62" w:line="230" w:lineRule="auto"/>
              <w:ind w:left="382"/>
              <w:rPr>
                <w:sz w:val="19"/>
                <w:szCs w:val="19"/>
              </w:rPr>
            </w:pPr>
            <w:r>
              <w:rPr>
                <w:spacing w:val="2"/>
                <w:sz w:val="19"/>
                <w:szCs w:val="19"/>
              </w:rPr>
              <w:t>保留</w:t>
            </w:r>
          </w:p>
          <w:p w14:paraId="5BE22CD4">
            <w:pPr>
              <w:pStyle w:val="6"/>
              <w:spacing w:before="22" w:line="231" w:lineRule="auto"/>
              <w:ind w:left="183"/>
              <w:rPr>
                <w:sz w:val="19"/>
                <w:szCs w:val="19"/>
              </w:rPr>
            </w:pPr>
            <w:r>
              <w:rPr>
                <w:spacing w:val="6"/>
                <w:sz w:val="19"/>
                <w:szCs w:val="19"/>
              </w:rPr>
              <w:t>地下开采</w:t>
            </w:r>
          </w:p>
        </w:tc>
        <w:tc>
          <w:tcPr>
            <w:tcW w:w="2164" w:type="dxa"/>
            <w:vAlign w:val="top"/>
          </w:tcPr>
          <w:p w14:paraId="010E084E">
            <w:pPr>
              <w:spacing w:line="458" w:lineRule="auto"/>
              <w:rPr>
                <w:rFonts w:ascii="Arial"/>
                <w:sz w:val="21"/>
              </w:rPr>
            </w:pPr>
          </w:p>
          <w:p w14:paraId="13837CC3">
            <w:pPr>
              <w:pStyle w:val="6"/>
              <w:spacing w:before="61" w:line="231" w:lineRule="auto"/>
              <w:ind w:left="794"/>
              <w:rPr>
                <w:sz w:val="19"/>
                <w:szCs w:val="19"/>
              </w:rPr>
            </w:pPr>
            <w:r>
              <w:rPr>
                <w:spacing w:val="4"/>
                <w:sz w:val="19"/>
                <w:szCs w:val="19"/>
              </w:rPr>
              <w:t>无变化</w:t>
            </w:r>
          </w:p>
        </w:tc>
        <w:tc>
          <w:tcPr>
            <w:tcW w:w="948" w:type="dxa"/>
            <w:vAlign w:val="top"/>
          </w:tcPr>
          <w:p w14:paraId="5DF7C4A8">
            <w:pPr>
              <w:spacing w:line="249" w:lineRule="auto"/>
              <w:rPr>
                <w:rFonts w:ascii="Arial"/>
                <w:sz w:val="21"/>
              </w:rPr>
            </w:pPr>
          </w:p>
          <w:p w14:paraId="0026D7BE">
            <w:pPr>
              <w:spacing w:line="250" w:lineRule="auto"/>
              <w:rPr>
                <w:rFonts w:ascii="Arial"/>
                <w:sz w:val="21"/>
              </w:rPr>
            </w:pPr>
          </w:p>
          <w:p w14:paraId="76CA4FE8">
            <w:pPr>
              <w:spacing w:before="54" w:line="197" w:lineRule="auto"/>
              <w:ind w:left="196"/>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5"/>
                <w:sz w:val="19"/>
                <w:szCs w:val="19"/>
              </w:rPr>
              <w:t>011</w:t>
            </w:r>
          </w:p>
        </w:tc>
        <w:tc>
          <w:tcPr>
            <w:tcW w:w="2170" w:type="dxa"/>
            <w:vAlign w:val="top"/>
          </w:tcPr>
          <w:p w14:paraId="206E5445">
            <w:pPr>
              <w:pStyle w:val="6"/>
              <w:spacing w:before="242" w:line="231" w:lineRule="auto"/>
              <w:ind w:left="161"/>
              <w:rPr>
                <w:sz w:val="20"/>
                <w:szCs w:val="20"/>
              </w:rPr>
            </w:pPr>
            <w:r>
              <w:rPr>
                <w:spacing w:val="7"/>
                <w:sz w:val="20"/>
                <w:szCs w:val="20"/>
              </w:rPr>
              <w:t>重庆市黔江区水田乡</w:t>
            </w:r>
          </w:p>
          <w:p w14:paraId="119D7665">
            <w:pPr>
              <w:pStyle w:val="6"/>
              <w:spacing w:before="23" w:line="229" w:lineRule="auto"/>
              <w:ind w:left="165"/>
              <w:rPr>
                <w:sz w:val="20"/>
                <w:szCs w:val="20"/>
              </w:rPr>
            </w:pPr>
            <w:r>
              <w:rPr>
                <w:spacing w:val="7"/>
                <w:sz w:val="20"/>
                <w:szCs w:val="20"/>
              </w:rPr>
              <w:t>刚建建筑石料用灰岩</w:t>
            </w:r>
          </w:p>
          <w:p w14:paraId="704560C2">
            <w:pPr>
              <w:pStyle w:val="6"/>
              <w:spacing w:before="23" w:line="232" w:lineRule="auto"/>
              <w:ind w:left="995"/>
              <w:rPr>
                <w:sz w:val="20"/>
                <w:szCs w:val="20"/>
              </w:rPr>
            </w:pPr>
            <w:r>
              <w:rPr>
                <w:sz w:val="20"/>
                <w:szCs w:val="20"/>
              </w:rPr>
              <w:t>矿</w:t>
            </w:r>
          </w:p>
        </w:tc>
        <w:tc>
          <w:tcPr>
            <w:tcW w:w="1077" w:type="dxa"/>
            <w:vAlign w:val="top"/>
          </w:tcPr>
          <w:p w14:paraId="0EF53186">
            <w:pPr>
              <w:spacing w:line="311" w:lineRule="auto"/>
              <w:rPr>
                <w:rFonts w:ascii="Arial"/>
                <w:sz w:val="21"/>
              </w:rPr>
            </w:pPr>
          </w:p>
          <w:p w14:paraId="48C61B0C">
            <w:pPr>
              <w:pStyle w:val="6"/>
              <w:spacing w:before="65" w:line="254" w:lineRule="auto"/>
              <w:ind w:left="240" w:right="110" w:hanging="103"/>
              <w:rPr>
                <w:sz w:val="20"/>
                <w:szCs w:val="20"/>
              </w:rPr>
            </w:pPr>
            <w:r>
              <w:rPr>
                <w:spacing w:val="5"/>
                <w:sz w:val="20"/>
                <w:szCs w:val="20"/>
              </w:rPr>
              <w:t>建筑石料</w:t>
            </w:r>
            <w:r>
              <w:rPr>
                <w:spacing w:val="2"/>
                <w:sz w:val="20"/>
                <w:szCs w:val="20"/>
              </w:rPr>
              <w:t xml:space="preserve"> </w:t>
            </w:r>
            <w:r>
              <w:rPr>
                <w:spacing w:val="5"/>
                <w:sz w:val="20"/>
                <w:szCs w:val="20"/>
              </w:rPr>
              <w:t>用灰岩</w:t>
            </w:r>
          </w:p>
        </w:tc>
        <w:tc>
          <w:tcPr>
            <w:tcW w:w="1036" w:type="dxa"/>
            <w:vAlign w:val="top"/>
          </w:tcPr>
          <w:p w14:paraId="58049F35">
            <w:pPr>
              <w:spacing w:line="245" w:lineRule="auto"/>
              <w:rPr>
                <w:rFonts w:ascii="Arial"/>
                <w:sz w:val="21"/>
              </w:rPr>
            </w:pPr>
          </w:p>
          <w:p w14:paraId="11AE3012">
            <w:pPr>
              <w:spacing w:line="246" w:lineRule="auto"/>
              <w:rPr>
                <w:rFonts w:ascii="Arial"/>
                <w:sz w:val="21"/>
              </w:rPr>
            </w:pPr>
          </w:p>
          <w:p w14:paraId="3E9B0C33">
            <w:pPr>
              <w:spacing w:before="58"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0.1098</w:t>
            </w:r>
          </w:p>
        </w:tc>
        <w:tc>
          <w:tcPr>
            <w:tcW w:w="1260" w:type="dxa"/>
            <w:tcBorders>
              <w:right w:val="single" w:color="000000" w:sz="10" w:space="0"/>
            </w:tcBorders>
            <w:vAlign w:val="top"/>
          </w:tcPr>
          <w:p w14:paraId="11228797">
            <w:pPr>
              <w:spacing w:line="328" w:lineRule="auto"/>
              <w:rPr>
                <w:rFonts w:ascii="Arial"/>
                <w:sz w:val="21"/>
              </w:rPr>
            </w:pPr>
          </w:p>
          <w:p w14:paraId="3F995EEB">
            <w:pPr>
              <w:pStyle w:val="6"/>
              <w:spacing w:before="62" w:line="230" w:lineRule="auto"/>
              <w:ind w:left="446"/>
              <w:rPr>
                <w:sz w:val="19"/>
                <w:szCs w:val="19"/>
              </w:rPr>
            </w:pPr>
            <w:r>
              <w:rPr>
                <w:spacing w:val="2"/>
                <w:sz w:val="19"/>
                <w:szCs w:val="19"/>
              </w:rPr>
              <w:t>保留</w:t>
            </w:r>
          </w:p>
          <w:p w14:paraId="617CCCD4">
            <w:pPr>
              <w:pStyle w:val="6"/>
              <w:spacing w:before="22" w:line="231" w:lineRule="auto"/>
              <w:ind w:left="245"/>
              <w:rPr>
                <w:sz w:val="19"/>
                <w:szCs w:val="19"/>
              </w:rPr>
            </w:pPr>
            <w:r>
              <w:rPr>
                <w:spacing w:val="6"/>
                <w:sz w:val="19"/>
                <w:szCs w:val="19"/>
              </w:rPr>
              <w:t>地下开采</w:t>
            </w:r>
          </w:p>
        </w:tc>
      </w:tr>
      <w:tr w14:paraId="5882F5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3" w:hRule="atLeast"/>
        </w:trPr>
        <w:tc>
          <w:tcPr>
            <w:tcW w:w="511" w:type="dxa"/>
            <w:tcBorders>
              <w:left w:val="single" w:color="000000" w:sz="10" w:space="0"/>
              <w:bottom w:val="single" w:color="000000" w:sz="10" w:space="0"/>
            </w:tcBorders>
            <w:vAlign w:val="top"/>
          </w:tcPr>
          <w:p w14:paraId="570FF67B">
            <w:pPr>
              <w:spacing w:line="251" w:lineRule="auto"/>
              <w:rPr>
                <w:rFonts w:ascii="Arial"/>
                <w:sz w:val="21"/>
              </w:rPr>
            </w:pPr>
          </w:p>
          <w:p w14:paraId="187E59B0">
            <w:pPr>
              <w:spacing w:line="252" w:lineRule="auto"/>
              <w:rPr>
                <w:rFonts w:ascii="Arial"/>
                <w:sz w:val="21"/>
              </w:rPr>
            </w:pPr>
          </w:p>
          <w:p w14:paraId="02B69A8D">
            <w:pPr>
              <w:spacing w:before="55" w:line="195" w:lineRule="auto"/>
              <w:ind w:left="161"/>
              <w:rPr>
                <w:rFonts w:ascii="Times New Roman" w:hAnsi="Times New Roman" w:eastAsia="Times New Roman" w:cs="Times New Roman"/>
                <w:sz w:val="19"/>
                <w:szCs w:val="19"/>
              </w:rPr>
            </w:pPr>
            <w:r>
              <w:rPr>
                <w:rFonts w:ascii="Times New Roman" w:hAnsi="Times New Roman" w:eastAsia="Times New Roman" w:cs="Times New Roman"/>
                <w:spacing w:val="-7"/>
                <w:sz w:val="19"/>
                <w:szCs w:val="19"/>
              </w:rPr>
              <w:t>12</w:t>
            </w:r>
          </w:p>
        </w:tc>
        <w:tc>
          <w:tcPr>
            <w:tcW w:w="874" w:type="dxa"/>
            <w:tcBorders>
              <w:bottom w:val="single" w:color="000000" w:sz="10" w:space="0"/>
            </w:tcBorders>
            <w:vAlign w:val="top"/>
          </w:tcPr>
          <w:p w14:paraId="1F1A30A4">
            <w:pPr>
              <w:spacing w:line="251" w:lineRule="auto"/>
              <w:rPr>
                <w:rFonts w:ascii="Arial"/>
                <w:sz w:val="21"/>
              </w:rPr>
            </w:pPr>
          </w:p>
          <w:p w14:paraId="17AFBD88">
            <w:pPr>
              <w:spacing w:line="252" w:lineRule="auto"/>
              <w:rPr>
                <w:rFonts w:ascii="Arial"/>
                <w:sz w:val="21"/>
              </w:rPr>
            </w:pPr>
          </w:p>
          <w:p w14:paraId="1020AC5B">
            <w:pPr>
              <w:spacing w:before="54" w:line="197" w:lineRule="auto"/>
              <w:ind w:left="141"/>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012</w:t>
            </w:r>
          </w:p>
        </w:tc>
        <w:tc>
          <w:tcPr>
            <w:tcW w:w="1480" w:type="dxa"/>
            <w:tcBorders>
              <w:bottom w:val="single" w:color="000000" w:sz="10" w:space="0"/>
            </w:tcBorders>
            <w:vAlign w:val="top"/>
          </w:tcPr>
          <w:p w14:paraId="58158A6B">
            <w:pPr>
              <w:pStyle w:val="6"/>
              <w:spacing w:before="112" w:line="231" w:lineRule="auto"/>
              <w:ind w:left="118"/>
              <w:rPr>
                <w:sz w:val="20"/>
                <w:szCs w:val="20"/>
              </w:rPr>
            </w:pPr>
            <w:r>
              <w:rPr>
                <w:spacing w:val="6"/>
                <w:sz w:val="20"/>
                <w:szCs w:val="20"/>
              </w:rPr>
              <w:t>重庆市黔江区</w:t>
            </w:r>
          </w:p>
          <w:p w14:paraId="2297EAC3">
            <w:pPr>
              <w:pStyle w:val="6"/>
              <w:spacing w:before="23" w:line="231" w:lineRule="auto"/>
              <w:ind w:left="112"/>
              <w:rPr>
                <w:sz w:val="20"/>
                <w:szCs w:val="20"/>
              </w:rPr>
            </w:pPr>
            <w:r>
              <w:rPr>
                <w:spacing w:val="7"/>
                <w:sz w:val="20"/>
                <w:szCs w:val="20"/>
              </w:rPr>
              <w:t>蓬东乡永赢建</w:t>
            </w:r>
          </w:p>
          <w:p w14:paraId="3BC6D0AC">
            <w:pPr>
              <w:pStyle w:val="6"/>
              <w:spacing w:before="20" w:line="229" w:lineRule="auto"/>
              <w:ind w:left="113"/>
              <w:rPr>
                <w:sz w:val="20"/>
                <w:szCs w:val="20"/>
              </w:rPr>
            </w:pPr>
            <w:r>
              <w:rPr>
                <w:spacing w:val="6"/>
                <w:sz w:val="20"/>
                <w:szCs w:val="20"/>
              </w:rPr>
              <w:t>筑石料用灰岩</w:t>
            </w:r>
          </w:p>
          <w:p w14:paraId="519498C1">
            <w:pPr>
              <w:pStyle w:val="6"/>
              <w:spacing w:before="26" w:line="232" w:lineRule="auto"/>
              <w:ind w:left="636"/>
              <w:rPr>
                <w:sz w:val="20"/>
                <w:szCs w:val="20"/>
              </w:rPr>
            </w:pPr>
            <w:r>
              <w:rPr>
                <w:sz w:val="20"/>
                <w:szCs w:val="20"/>
              </w:rPr>
              <w:t>矿</w:t>
            </w:r>
          </w:p>
        </w:tc>
        <w:tc>
          <w:tcPr>
            <w:tcW w:w="964" w:type="dxa"/>
            <w:tcBorders>
              <w:bottom w:val="single" w:color="000000" w:sz="10" w:space="0"/>
            </w:tcBorders>
            <w:vAlign w:val="top"/>
          </w:tcPr>
          <w:p w14:paraId="01647F13">
            <w:pPr>
              <w:pStyle w:val="6"/>
              <w:spacing w:before="249" w:line="232" w:lineRule="auto"/>
              <w:ind w:left="169"/>
              <w:rPr>
                <w:sz w:val="20"/>
                <w:szCs w:val="20"/>
              </w:rPr>
            </w:pPr>
            <w:r>
              <w:rPr>
                <w:spacing w:val="5"/>
                <w:sz w:val="20"/>
                <w:szCs w:val="20"/>
              </w:rPr>
              <w:t>建筑石</w:t>
            </w:r>
          </w:p>
          <w:p w14:paraId="6CDE2126">
            <w:pPr>
              <w:pStyle w:val="6"/>
              <w:spacing w:before="20" w:line="252" w:lineRule="auto"/>
              <w:ind w:left="378" w:right="174" w:hanging="209"/>
              <w:rPr>
                <w:sz w:val="20"/>
                <w:szCs w:val="20"/>
              </w:rPr>
            </w:pPr>
            <w:r>
              <w:rPr>
                <w:spacing w:val="5"/>
                <w:sz w:val="20"/>
                <w:szCs w:val="20"/>
              </w:rPr>
              <w:t>料用灰</w:t>
            </w:r>
            <w:r>
              <w:rPr>
                <w:sz w:val="20"/>
                <w:szCs w:val="20"/>
              </w:rPr>
              <w:t xml:space="preserve"> 岩</w:t>
            </w:r>
          </w:p>
        </w:tc>
        <w:tc>
          <w:tcPr>
            <w:tcW w:w="1029" w:type="dxa"/>
            <w:tcBorders>
              <w:bottom w:val="single" w:color="000000" w:sz="10" w:space="0"/>
            </w:tcBorders>
            <w:vAlign w:val="top"/>
          </w:tcPr>
          <w:p w14:paraId="6E703486">
            <w:pPr>
              <w:spacing w:line="247" w:lineRule="auto"/>
              <w:rPr>
                <w:rFonts w:ascii="Arial"/>
                <w:sz w:val="21"/>
              </w:rPr>
            </w:pPr>
          </w:p>
          <w:p w14:paraId="1625637A">
            <w:pPr>
              <w:spacing w:line="248" w:lineRule="auto"/>
              <w:rPr>
                <w:rFonts w:ascii="Arial"/>
                <w:sz w:val="21"/>
              </w:rPr>
            </w:pPr>
          </w:p>
          <w:p w14:paraId="2486B5D8">
            <w:pPr>
              <w:spacing w:before="58"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0.1183</w:t>
            </w:r>
          </w:p>
        </w:tc>
        <w:tc>
          <w:tcPr>
            <w:tcW w:w="1152" w:type="dxa"/>
            <w:tcBorders>
              <w:bottom w:val="single" w:color="000000" w:sz="10" w:space="0"/>
            </w:tcBorders>
            <w:vAlign w:val="top"/>
          </w:tcPr>
          <w:p w14:paraId="393F7100">
            <w:pPr>
              <w:spacing w:line="333" w:lineRule="auto"/>
              <w:rPr>
                <w:rFonts w:ascii="Arial"/>
                <w:sz w:val="21"/>
              </w:rPr>
            </w:pPr>
          </w:p>
          <w:p w14:paraId="25D555BD">
            <w:pPr>
              <w:pStyle w:val="6"/>
              <w:spacing w:before="61" w:line="230" w:lineRule="auto"/>
              <w:ind w:left="382"/>
              <w:rPr>
                <w:sz w:val="19"/>
                <w:szCs w:val="19"/>
              </w:rPr>
            </w:pPr>
            <w:r>
              <w:rPr>
                <w:spacing w:val="2"/>
                <w:sz w:val="19"/>
                <w:szCs w:val="19"/>
              </w:rPr>
              <w:t>保留</w:t>
            </w:r>
          </w:p>
          <w:p w14:paraId="050D03C7">
            <w:pPr>
              <w:pStyle w:val="6"/>
              <w:spacing w:before="22" w:line="231" w:lineRule="auto"/>
              <w:ind w:left="183"/>
              <w:rPr>
                <w:sz w:val="19"/>
                <w:szCs w:val="19"/>
              </w:rPr>
            </w:pPr>
            <w:r>
              <w:rPr>
                <w:spacing w:val="6"/>
                <w:sz w:val="19"/>
                <w:szCs w:val="19"/>
              </w:rPr>
              <w:t>地下开采</w:t>
            </w:r>
          </w:p>
        </w:tc>
        <w:tc>
          <w:tcPr>
            <w:tcW w:w="2164" w:type="dxa"/>
            <w:tcBorders>
              <w:bottom w:val="single" w:color="000000" w:sz="10" w:space="0"/>
            </w:tcBorders>
            <w:vAlign w:val="top"/>
          </w:tcPr>
          <w:p w14:paraId="5E0D40DC">
            <w:pPr>
              <w:spacing w:line="462" w:lineRule="auto"/>
              <w:rPr>
                <w:rFonts w:ascii="Arial"/>
                <w:sz w:val="21"/>
              </w:rPr>
            </w:pPr>
          </w:p>
          <w:p w14:paraId="55F87A34">
            <w:pPr>
              <w:pStyle w:val="6"/>
              <w:spacing w:before="62" w:line="231" w:lineRule="auto"/>
              <w:ind w:left="794"/>
              <w:rPr>
                <w:sz w:val="19"/>
                <w:szCs w:val="19"/>
              </w:rPr>
            </w:pPr>
            <w:r>
              <w:rPr>
                <w:spacing w:val="4"/>
                <w:sz w:val="19"/>
                <w:szCs w:val="19"/>
              </w:rPr>
              <w:t>无变化</w:t>
            </w:r>
          </w:p>
        </w:tc>
        <w:tc>
          <w:tcPr>
            <w:tcW w:w="948" w:type="dxa"/>
            <w:tcBorders>
              <w:bottom w:val="single" w:color="000000" w:sz="10" w:space="0"/>
            </w:tcBorders>
            <w:vAlign w:val="top"/>
          </w:tcPr>
          <w:p w14:paraId="45690FDE">
            <w:pPr>
              <w:spacing w:line="251" w:lineRule="auto"/>
              <w:rPr>
                <w:rFonts w:ascii="Arial"/>
                <w:sz w:val="21"/>
              </w:rPr>
            </w:pPr>
          </w:p>
          <w:p w14:paraId="2B8FDCEC">
            <w:pPr>
              <w:spacing w:line="252" w:lineRule="auto"/>
              <w:rPr>
                <w:rFonts w:ascii="Arial"/>
                <w:sz w:val="21"/>
              </w:rPr>
            </w:pPr>
          </w:p>
          <w:p w14:paraId="27A39702">
            <w:pPr>
              <w:spacing w:before="54" w:line="197" w:lineRule="auto"/>
              <w:ind w:left="191"/>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012</w:t>
            </w:r>
          </w:p>
        </w:tc>
        <w:tc>
          <w:tcPr>
            <w:tcW w:w="2170" w:type="dxa"/>
            <w:tcBorders>
              <w:bottom w:val="single" w:color="000000" w:sz="10" w:space="0"/>
            </w:tcBorders>
            <w:vAlign w:val="top"/>
          </w:tcPr>
          <w:p w14:paraId="6A2DB3B2">
            <w:pPr>
              <w:pStyle w:val="6"/>
              <w:spacing w:before="249" w:line="231" w:lineRule="auto"/>
              <w:ind w:left="161"/>
              <w:rPr>
                <w:sz w:val="20"/>
                <w:szCs w:val="20"/>
              </w:rPr>
            </w:pPr>
            <w:r>
              <w:rPr>
                <w:spacing w:val="7"/>
                <w:sz w:val="20"/>
                <w:szCs w:val="20"/>
              </w:rPr>
              <w:t>重庆市黔江区蓬东乡</w:t>
            </w:r>
          </w:p>
          <w:p w14:paraId="043F9AAE">
            <w:pPr>
              <w:pStyle w:val="6"/>
              <w:spacing w:before="20" w:line="229" w:lineRule="auto"/>
              <w:ind w:left="158"/>
              <w:rPr>
                <w:sz w:val="20"/>
                <w:szCs w:val="20"/>
              </w:rPr>
            </w:pPr>
            <w:r>
              <w:rPr>
                <w:spacing w:val="7"/>
                <w:sz w:val="20"/>
                <w:szCs w:val="20"/>
              </w:rPr>
              <w:t>永赢建筑石料用灰岩</w:t>
            </w:r>
          </w:p>
          <w:p w14:paraId="1668FBD6">
            <w:pPr>
              <w:pStyle w:val="6"/>
              <w:spacing w:before="23" w:line="232" w:lineRule="auto"/>
              <w:ind w:left="995"/>
              <w:rPr>
                <w:sz w:val="20"/>
                <w:szCs w:val="20"/>
              </w:rPr>
            </w:pPr>
            <w:r>
              <w:rPr>
                <w:sz w:val="20"/>
                <w:szCs w:val="20"/>
              </w:rPr>
              <w:t>矿</w:t>
            </w:r>
          </w:p>
        </w:tc>
        <w:tc>
          <w:tcPr>
            <w:tcW w:w="1077" w:type="dxa"/>
            <w:tcBorders>
              <w:bottom w:val="single" w:color="000000" w:sz="10" w:space="0"/>
            </w:tcBorders>
            <w:vAlign w:val="top"/>
          </w:tcPr>
          <w:p w14:paraId="62D10387">
            <w:pPr>
              <w:spacing w:line="319" w:lineRule="auto"/>
              <w:rPr>
                <w:rFonts w:ascii="Arial"/>
                <w:sz w:val="21"/>
              </w:rPr>
            </w:pPr>
          </w:p>
          <w:p w14:paraId="58F94DE0">
            <w:pPr>
              <w:pStyle w:val="6"/>
              <w:spacing w:before="65" w:line="251" w:lineRule="auto"/>
              <w:ind w:left="240" w:right="110" w:hanging="103"/>
              <w:rPr>
                <w:sz w:val="20"/>
                <w:szCs w:val="20"/>
              </w:rPr>
            </w:pPr>
            <w:r>
              <w:rPr>
                <w:spacing w:val="5"/>
                <w:sz w:val="20"/>
                <w:szCs w:val="20"/>
              </w:rPr>
              <w:t>建筑石料</w:t>
            </w:r>
            <w:r>
              <w:rPr>
                <w:spacing w:val="2"/>
                <w:sz w:val="20"/>
                <w:szCs w:val="20"/>
              </w:rPr>
              <w:t xml:space="preserve"> </w:t>
            </w:r>
            <w:r>
              <w:rPr>
                <w:spacing w:val="5"/>
                <w:sz w:val="20"/>
                <w:szCs w:val="20"/>
              </w:rPr>
              <w:t>用灰岩</w:t>
            </w:r>
          </w:p>
        </w:tc>
        <w:tc>
          <w:tcPr>
            <w:tcW w:w="1036" w:type="dxa"/>
            <w:tcBorders>
              <w:bottom w:val="single" w:color="000000" w:sz="10" w:space="0"/>
            </w:tcBorders>
            <w:vAlign w:val="top"/>
          </w:tcPr>
          <w:p w14:paraId="7382EC77">
            <w:pPr>
              <w:spacing w:line="247" w:lineRule="auto"/>
              <w:rPr>
                <w:rFonts w:ascii="Arial"/>
                <w:sz w:val="21"/>
              </w:rPr>
            </w:pPr>
          </w:p>
          <w:p w14:paraId="5CBAE313">
            <w:pPr>
              <w:spacing w:line="248" w:lineRule="auto"/>
              <w:rPr>
                <w:rFonts w:ascii="Arial"/>
                <w:sz w:val="21"/>
              </w:rPr>
            </w:pPr>
          </w:p>
          <w:p w14:paraId="0F5C837A">
            <w:pPr>
              <w:spacing w:before="58"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0.1183</w:t>
            </w:r>
          </w:p>
        </w:tc>
        <w:tc>
          <w:tcPr>
            <w:tcW w:w="1260" w:type="dxa"/>
            <w:tcBorders>
              <w:bottom w:val="single" w:color="000000" w:sz="10" w:space="0"/>
              <w:right w:val="single" w:color="000000" w:sz="10" w:space="0"/>
            </w:tcBorders>
            <w:vAlign w:val="top"/>
          </w:tcPr>
          <w:p w14:paraId="326341CE">
            <w:pPr>
              <w:spacing w:line="333" w:lineRule="auto"/>
              <w:rPr>
                <w:rFonts w:ascii="Arial"/>
                <w:sz w:val="21"/>
              </w:rPr>
            </w:pPr>
          </w:p>
          <w:p w14:paraId="39976774">
            <w:pPr>
              <w:pStyle w:val="6"/>
              <w:spacing w:before="61" w:line="230" w:lineRule="auto"/>
              <w:ind w:left="446"/>
              <w:rPr>
                <w:sz w:val="19"/>
                <w:szCs w:val="19"/>
              </w:rPr>
            </w:pPr>
            <w:r>
              <w:rPr>
                <w:spacing w:val="2"/>
                <w:sz w:val="19"/>
                <w:szCs w:val="19"/>
              </w:rPr>
              <w:t>保留</w:t>
            </w:r>
          </w:p>
          <w:p w14:paraId="0ACA2659">
            <w:pPr>
              <w:pStyle w:val="6"/>
              <w:spacing w:before="22" w:line="231" w:lineRule="auto"/>
              <w:ind w:left="245"/>
              <w:rPr>
                <w:sz w:val="19"/>
                <w:szCs w:val="19"/>
              </w:rPr>
            </w:pPr>
            <w:r>
              <w:rPr>
                <w:spacing w:val="6"/>
                <w:sz w:val="19"/>
                <w:szCs w:val="19"/>
              </w:rPr>
              <w:t>地下开采</w:t>
            </w:r>
          </w:p>
        </w:tc>
      </w:tr>
    </w:tbl>
    <w:p w14:paraId="1384E6BB">
      <w:pPr>
        <w:pStyle w:val="2"/>
      </w:pPr>
    </w:p>
    <w:p w14:paraId="09851D93">
      <w:pPr>
        <w:sectPr>
          <w:footerReference r:id="rId64" w:type="default"/>
          <w:pgSz w:w="16839" w:h="11906"/>
          <w:pgMar w:top="1116" w:right="829" w:bottom="1480" w:left="1317" w:header="683" w:footer="1318" w:gutter="0"/>
          <w:cols w:space="720" w:num="1"/>
        </w:sectPr>
      </w:pPr>
    </w:p>
    <w:p w14:paraId="261229D8">
      <w:pPr>
        <w:spacing w:before="229"/>
      </w:pPr>
    </w:p>
    <w:tbl>
      <w:tblPr>
        <w:tblStyle w:val="5"/>
        <w:tblW w:w="1466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1"/>
        <w:gridCol w:w="874"/>
        <w:gridCol w:w="1480"/>
        <w:gridCol w:w="964"/>
        <w:gridCol w:w="1029"/>
        <w:gridCol w:w="1152"/>
        <w:gridCol w:w="2164"/>
        <w:gridCol w:w="948"/>
        <w:gridCol w:w="2170"/>
        <w:gridCol w:w="1077"/>
        <w:gridCol w:w="1036"/>
        <w:gridCol w:w="1260"/>
      </w:tblGrid>
      <w:tr w14:paraId="47426F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3" w:hRule="atLeast"/>
        </w:trPr>
        <w:tc>
          <w:tcPr>
            <w:tcW w:w="511" w:type="dxa"/>
            <w:vMerge w:val="restart"/>
            <w:tcBorders>
              <w:top w:val="single" w:color="000000" w:sz="10" w:space="0"/>
              <w:left w:val="single" w:color="000000" w:sz="10" w:space="0"/>
              <w:bottom w:val="nil"/>
            </w:tcBorders>
            <w:textDirection w:val="tbRlV"/>
            <w:vAlign w:val="top"/>
          </w:tcPr>
          <w:p w14:paraId="33EC96FE">
            <w:pPr>
              <w:pStyle w:val="6"/>
              <w:spacing w:before="149" w:line="202" w:lineRule="auto"/>
              <w:ind w:left="289"/>
            </w:pPr>
            <w:r>
              <w:rPr>
                <w:b/>
                <w:bCs/>
                <w:spacing w:val="33"/>
              </w:rPr>
              <w:t>序号</w:t>
            </w:r>
          </w:p>
        </w:tc>
        <w:tc>
          <w:tcPr>
            <w:tcW w:w="5499" w:type="dxa"/>
            <w:gridSpan w:val="5"/>
            <w:tcBorders>
              <w:top w:val="single" w:color="000000" w:sz="10" w:space="0"/>
            </w:tcBorders>
            <w:vAlign w:val="top"/>
          </w:tcPr>
          <w:p w14:paraId="5EFDDE42">
            <w:pPr>
              <w:pStyle w:val="6"/>
              <w:spacing w:before="140" w:line="223" w:lineRule="auto"/>
              <w:ind w:left="1321"/>
            </w:pPr>
            <w:r>
              <w:rPr>
                <w:b/>
                <w:bCs/>
                <w:spacing w:val="-3"/>
              </w:rPr>
              <w:t>原《规划》开采区块设置情况</w:t>
            </w:r>
          </w:p>
        </w:tc>
        <w:tc>
          <w:tcPr>
            <w:tcW w:w="2164" w:type="dxa"/>
            <w:vMerge w:val="restart"/>
            <w:tcBorders>
              <w:top w:val="single" w:color="000000" w:sz="10" w:space="0"/>
              <w:bottom w:val="nil"/>
            </w:tcBorders>
            <w:vAlign w:val="top"/>
          </w:tcPr>
          <w:p w14:paraId="30CD087F">
            <w:pPr>
              <w:spacing w:line="357" w:lineRule="auto"/>
              <w:rPr>
                <w:rFonts w:ascii="Arial"/>
                <w:sz w:val="21"/>
              </w:rPr>
            </w:pPr>
          </w:p>
          <w:p w14:paraId="503A5926">
            <w:pPr>
              <w:pStyle w:val="6"/>
              <w:spacing w:before="72" w:line="223" w:lineRule="auto"/>
              <w:ind w:left="208"/>
            </w:pPr>
            <w:r>
              <w:rPr>
                <w:b/>
                <w:bCs/>
                <w:spacing w:val="-4"/>
              </w:rPr>
              <w:t>本次调整变化情况</w:t>
            </w:r>
          </w:p>
        </w:tc>
        <w:tc>
          <w:tcPr>
            <w:tcW w:w="6491" w:type="dxa"/>
            <w:gridSpan w:val="5"/>
            <w:tcBorders>
              <w:top w:val="single" w:color="000000" w:sz="10" w:space="0"/>
              <w:right w:val="single" w:color="000000" w:sz="10" w:space="0"/>
            </w:tcBorders>
            <w:vAlign w:val="top"/>
          </w:tcPr>
          <w:p w14:paraId="44895C1A">
            <w:pPr>
              <w:pStyle w:val="6"/>
              <w:spacing w:before="140" w:line="223" w:lineRule="auto"/>
              <w:ind w:left="1738"/>
            </w:pPr>
            <w:r>
              <w:rPr>
                <w:b/>
                <w:bCs/>
                <w:spacing w:val="1"/>
                <w:sz w:val="20"/>
                <w:szCs w:val="20"/>
              </w:rPr>
              <w:t>《规划调整》</w:t>
            </w:r>
            <w:r>
              <w:rPr>
                <w:b/>
                <w:bCs/>
                <w:spacing w:val="1"/>
              </w:rPr>
              <w:t>规划区块设置情况</w:t>
            </w:r>
          </w:p>
        </w:tc>
      </w:tr>
      <w:tr w14:paraId="0F0C87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511" w:type="dxa"/>
            <w:vMerge w:val="continue"/>
            <w:tcBorders>
              <w:top w:val="nil"/>
              <w:left w:val="single" w:color="000000" w:sz="10" w:space="0"/>
            </w:tcBorders>
            <w:textDirection w:val="tbRlV"/>
            <w:vAlign w:val="top"/>
          </w:tcPr>
          <w:p w14:paraId="6DC6CBC8">
            <w:pPr>
              <w:rPr>
                <w:rFonts w:ascii="Arial"/>
                <w:sz w:val="21"/>
              </w:rPr>
            </w:pPr>
          </w:p>
        </w:tc>
        <w:tc>
          <w:tcPr>
            <w:tcW w:w="874" w:type="dxa"/>
            <w:vAlign w:val="top"/>
          </w:tcPr>
          <w:p w14:paraId="5058AFD2">
            <w:pPr>
              <w:pStyle w:val="6"/>
              <w:spacing w:before="33" w:line="224" w:lineRule="auto"/>
              <w:ind w:left="234"/>
            </w:pPr>
            <w:r>
              <w:rPr>
                <w:b/>
                <w:bCs/>
                <w:spacing w:val="-19"/>
              </w:rPr>
              <w:t>区块</w:t>
            </w:r>
          </w:p>
          <w:p w14:paraId="0F05268A">
            <w:pPr>
              <w:pStyle w:val="6"/>
              <w:spacing w:before="19" w:line="205" w:lineRule="auto"/>
              <w:ind w:left="217"/>
            </w:pPr>
            <w:r>
              <w:rPr>
                <w:b/>
                <w:bCs/>
                <w:spacing w:val="-10"/>
              </w:rPr>
              <w:t>编号</w:t>
            </w:r>
          </w:p>
        </w:tc>
        <w:tc>
          <w:tcPr>
            <w:tcW w:w="1480" w:type="dxa"/>
            <w:vAlign w:val="top"/>
          </w:tcPr>
          <w:p w14:paraId="25AAE80D">
            <w:pPr>
              <w:pStyle w:val="6"/>
              <w:spacing w:before="174" w:line="222" w:lineRule="auto"/>
              <w:ind w:left="318"/>
            </w:pPr>
            <w:r>
              <w:rPr>
                <w:b/>
                <w:bCs/>
                <w:spacing w:val="-10"/>
              </w:rPr>
              <w:t>区块名称</w:t>
            </w:r>
          </w:p>
        </w:tc>
        <w:tc>
          <w:tcPr>
            <w:tcW w:w="964" w:type="dxa"/>
            <w:vAlign w:val="top"/>
          </w:tcPr>
          <w:p w14:paraId="1A0FAFEC">
            <w:pPr>
              <w:pStyle w:val="6"/>
              <w:spacing w:before="32" w:line="223" w:lineRule="auto"/>
              <w:ind w:left="375" w:right="157" w:hanging="222"/>
            </w:pPr>
            <w:r>
              <w:rPr>
                <w:b/>
                <w:bCs/>
                <w:spacing w:val="-7"/>
              </w:rPr>
              <w:t>开采矿</w:t>
            </w:r>
            <w:r>
              <w:rPr>
                <w:spacing w:val="1"/>
              </w:rPr>
              <w:t xml:space="preserve"> </w:t>
            </w:r>
            <w:r>
              <w:rPr>
                <w:b/>
                <w:bCs/>
                <w:spacing w:val="-3"/>
              </w:rPr>
              <w:t>种</w:t>
            </w:r>
          </w:p>
        </w:tc>
        <w:tc>
          <w:tcPr>
            <w:tcW w:w="1029" w:type="dxa"/>
            <w:vAlign w:val="top"/>
          </w:tcPr>
          <w:p w14:paraId="1742E7DB">
            <w:pPr>
              <w:pStyle w:val="6"/>
              <w:spacing w:before="33" w:line="224" w:lineRule="auto"/>
              <w:ind w:left="303"/>
            </w:pPr>
            <w:r>
              <w:rPr>
                <w:b/>
                <w:bCs/>
                <w:spacing w:val="-11"/>
              </w:rPr>
              <w:t>面积</w:t>
            </w:r>
          </w:p>
          <w:p w14:paraId="5D24F6F7">
            <w:pPr>
              <w:pStyle w:val="6"/>
              <w:spacing w:before="19" w:line="205" w:lineRule="auto"/>
              <w:ind w:left="114"/>
            </w:pPr>
            <w:r>
              <w:rPr>
                <w:b/>
                <w:bCs/>
                <w:spacing w:val="-4"/>
              </w:rPr>
              <w:t>（</w:t>
            </w:r>
            <w:r>
              <w:rPr>
                <w:rFonts w:ascii="Times New Roman" w:hAnsi="Times New Roman" w:eastAsia="Times New Roman" w:cs="Times New Roman"/>
                <w:b/>
                <w:bCs/>
                <w:spacing w:val="-4"/>
              </w:rPr>
              <w:t>km</w:t>
            </w:r>
            <w:r>
              <w:rPr>
                <w:rFonts w:ascii="Times New Roman" w:hAnsi="Times New Roman" w:eastAsia="Times New Roman" w:cs="Times New Roman"/>
                <w:b/>
                <w:bCs/>
                <w:spacing w:val="-4"/>
                <w:position w:val="6"/>
                <w:sz w:val="14"/>
                <w:szCs w:val="14"/>
              </w:rPr>
              <w:t>2</w:t>
            </w:r>
            <w:r>
              <w:rPr>
                <w:b/>
                <w:bCs/>
                <w:spacing w:val="-4"/>
              </w:rPr>
              <w:t>）</w:t>
            </w:r>
          </w:p>
        </w:tc>
        <w:tc>
          <w:tcPr>
            <w:tcW w:w="1152" w:type="dxa"/>
            <w:vAlign w:val="top"/>
          </w:tcPr>
          <w:p w14:paraId="5181F2AB">
            <w:pPr>
              <w:pStyle w:val="6"/>
              <w:spacing w:before="33" w:line="225" w:lineRule="auto"/>
              <w:ind w:left="32"/>
            </w:pPr>
            <w:r>
              <w:rPr>
                <w:b/>
                <w:bCs/>
                <w:spacing w:val="-5"/>
              </w:rPr>
              <w:t>规划设置类</w:t>
            </w:r>
          </w:p>
          <w:p w14:paraId="5D2E853D">
            <w:pPr>
              <w:pStyle w:val="6"/>
              <w:spacing w:before="18" w:line="205" w:lineRule="auto"/>
              <w:ind w:left="482"/>
            </w:pPr>
            <w:r>
              <w:rPr>
                <w:b/>
                <w:bCs/>
                <w:spacing w:val="-3"/>
              </w:rPr>
              <w:t>型</w:t>
            </w:r>
          </w:p>
        </w:tc>
        <w:tc>
          <w:tcPr>
            <w:tcW w:w="2164" w:type="dxa"/>
            <w:vMerge w:val="continue"/>
            <w:tcBorders>
              <w:top w:val="nil"/>
            </w:tcBorders>
            <w:vAlign w:val="top"/>
          </w:tcPr>
          <w:p w14:paraId="2D68D137">
            <w:pPr>
              <w:rPr>
                <w:rFonts w:ascii="Arial"/>
                <w:sz w:val="21"/>
              </w:rPr>
            </w:pPr>
          </w:p>
        </w:tc>
        <w:tc>
          <w:tcPr>
            <w:tcW w:w="948" w:type="dxa"/>
            <w:vAlign w:val="top"/>
          </w:tcPr>
          <w:p w14:paraId="0D9B92B8">
            <w:pPr>
              <w:pStyle w:val="6"/>
              <w:spacing w:before="33" w:line="224" w:lineRule="auto"/>
              <w:ind w:left="285"/>
            </w:pPr>
            <w:r>
              <w:rPr>
                <w:b/>
                <w:bCs/>
                <w:spacing w:val="-19"/>
              </w:rPr>
              <w:t>区块</w:t>
            </w:r>
          </w:p>
          <w:p w14:paraId="7D75580F">
            <w:pPr>
              <w:pStyle w:val="6"/>
              <w:spacing w:before="19" w:line="205" w:lineRule="auto"/>
              <w:ind w:left="268"/>
            </w:pPr>
            <w:r>
              <w:rPr>
                <w:b/>
                <w:bCs/>
                <w:spacing w:val="-10"/>
              </w:rPr>
              <w:t>编号</w:t>
            </w:r>
          </w:p>
        </w:tc>
        <w:tc>
          <w:tcPr>
            <w:tcW w:w="2170" w:type="dxa"/>
            <w:vAlign w:val="top"/>
          </w:tcPr>
          <w:p w14:paraId="19FCBD9B">
            <w:pPr>
              <w:pStyle w:val="6"/>
              <w:spacing w:before="174" w:line="222" w:lineRule="auto"/>
              <w:ind w:left="678"/>
            </w:pPr>
            <w:r>
              <w:rPr>
                <w:b/>
                <w:bCs/>
                <w:spacing w:val="-10"/>
              </w:rPr>
              <w:t>区块名称</w:t>
            </w:r>
          </w:p>
        </w:tc>
        <w:tc>
          <w:tcPr>
            <w:tcW w:w="1077" w:type="dxa"/>
            <w:vAlign w:val="top"/>
          </w:tcPr>
          <w:p w14:paraId="40853CE2">
            <w:pPr>
              <w:pStyle w:val="6"/>
              <w:spacing w:before="32" w:line="223" w:lineRule="auto"/>
              <w:ind w:left="449" w:right="196" w:hanging="222"/>
            </w:pPr>
            <w:r>
              <w:rPr>
                <w:b/>
                <w:bCs/>
                <w:spacing w:val="-7"/>
              </w:rPr>
              <w:t>开采矿</w:t>
            </w:r>
            <w:r>
              <w:rPr>
                <w:spacing w:val="1"/>
              </w:rPr>
              <w:t xml:space="preserve"> </w:t>
            </w:r>
            <w:r>
              <w:rPr>
                <w:b/>
                <w:bCs/>
                <w:spacing w:val="-3"/>
              </w:rPr>
              <w:t>种</w:t>
            </w:r>
          </w:p>
        </w:tc>
        <w:tc>
          <w:tcPr>
            <w:tcW w:w="1036" w:type="dxa"/>
            <w:vAlign w:val="top"/>
          </w:tcPr>
          <w:p w14:paraId="1D1438A6">
            <w:pPr>
              <w:pStyle w:val="6"/>
              <w:spacing w:before="33" w:line="224" w:lineRule="auto"/>
              <w:ind w:left="323"/>
            </w:pPr>
            <w:r>
              <w:rPr>
                <w:b/>
                <w:bCs/>
                <w:spacing w:val="-11"/>
              </w:rPr>
              <w:t>面积</w:t>
            </w:r>
          </w:p>
          <w:p w14:paraId="05A7D87F">
            <w:pPr>
              <w:pStyle w:val="6"/>
              <w:spacing w:before="19" w:line="205" w:lineRule="auto"/>
              <w:ind w:left="130"/>
            </w:pPr>
            <w:r>
              <w:rPr>
                <w:b/>
                <w:bCs/>
                <w:spacing w:val="-4"/>
              </w:rPr>
              <w:t>（</w:t>
            </w:r>
            <w:r>
              <w:rPr>
                <w:rFonts w:ascii="Times New Roman" w:hAnsi="Times New Roman" w:eastAsia="Times New Roman" w:cs="Times New Roman"/>
                <w:b/>
                <w:bCs/>
                <w:spacing w:val="-4"/>
              </w:rPr>
              <w:t>km</w:t>
            </w:r>
            <w:r>
              <w:rPr>
                <w:rFonts w:ascii="Times New Roman" w:hAnsi="Times New Roman" w:eastAsia="Times New Roman" w:cs="Times New Roman"/>
                <w:b/>
                <w:bCs/>
                <w:spacing w:val="-4"/>
                <w:position w:val="6"/>
                <w:sz w:val="14"/>
                <w:szCs w:val="14"/>
              </w:rPr>
              <w:t>2</w:t>
            </w:r>
            <w:r>
              <w:rPr>
                <w:b/>
                <w:bCs/>
                <w:spacing w:val="-4"/>
              </w:rPr>
              <w:t>）</w:t>
            </w:r>
          </w:p>
        </w:tc>
        <w:tc>
          <w:tcPr>
            <w:tcW w:w="1260" w:type="dxa"/>
            <w:tcBorders>
              <w:right w:val="single" w:color="000000" w:sz="10" w:space="0"/>
            </w:tcBorders>
            <w:vAlign w:val="top"/>
          </w:tcPr>
          <w:p w14:paraId="60D24AE3">
            <w:pPr>
              <w:pStyle w:val="6"/>
              <w:spacing w:before="33" w:line="225" w:lineRule="auto"/>
              <w:ind w:left="93"/>
            </w:pPr>
            <w:r>
              <w:rPr>
                <w:b/>
                <w:bCs/>
                <w:spacing w:val="-5"/>
              </w:rPr>
              <w:t>规划设置类</w:t>
            </w:r>
          </w:p>
          <w:p w14:paraId="7F221765">
            <w:pPr>
              <w:pStyle w:val="6"/>
              <w:spacing w:before="18" w:line="205" w:lineRule="auto"/>
              <w:ind w:left="546"/>
            </w:pPr>
            <w:r>
              <w:rPr>
                <w:b/>
                <w:bCs/>
                <w:spacing w:val="-3"/>
              </w:rPr>
              <w:t>型</w:t>
            </w:r>
          </w:p>
        </w:tc>
      </w:tr>
      <w:tr w14:paraId="4AC1EC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511" w:type="dxa"/>
            <w:tcBorders>
              <w:left w:val="single" w:color="000000" w:sz="10" w:space="0"/>
            </w:tcBorders>
            <w:vAlign w:val="top"/>
          </w:tcPr>
          <w:p w14:paraId="06F44E80">
            <w:pPr>
              <w:spacing w:line="348" w:lineRule="auto"/>
              <w:rPr>
                <w:rFonts w:ascii="Arial"/>
                <w:sz w:val="21"/>
              </w:rPr>
            </w:pPr>
          </w:p>
          <w:p w14:paraId="4FFB33FA">
            <w:pPr>
              <w:spacing w:before="55" w:line="195" w:lineRule="auto"/>
              <w:ind w:left="161"/>
              <w:rPr>
                <w:rFonts w:ascii="Times New Roman" w:hAnsi="Times New Roman" w:eastAsia="Times New Roman" w:cs="Times New Roman"/>
                <w:sz w:val="19"/>
                <w:szCs w:val="19"/>
              </w:rPr>
            </w:pPr>
            <w:r>
              <w:rPr>
                <w:rFonts w:ascii="Times New Roman" w:hAnsi="Times New Roman" w:eastAsia="Times New Roman" w:cs="Times New Roman"/>
                <w:spacing w:val="-7"/>
                <w:sz w:val="19"/>
                <w:szCs w:val="19"/>
              </w:rPr>
              <w:t>13</w:t>
            </w:r>
          </w:p>
        </w:tc>
        <w:tc>
          <w:tcPr>
            <w:tcW w:w="874" w:type="dxa"/>
            <w:vAlign w:val="top"/>
          </w:tcPr>
          <w:p w14:paraId="64D3D6D8">
            <w:pPr>
              <w:spacing w:line="348" w:lineRule="auto"/>
              <w:rPr>
                <w:rFonts w:ascii="Arial"/>
                <w:sz w:val="21"/>
              </w:rPr>
            </w:pPr>
          </w:p>
          <w:p w14:paraId="5AD394E4">
            <w:pPr>
              <w:spacing w:before="55" w:line="197" w:lineRule="auto"/>
              <w:ind w:left="141"/>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013</w:t>
            </w:r>
          </w:p>
        </w:tc>
        <w:tc>
          <w:tcPr>
            <w:tcW w:w="1480" w:type="dxa"/>
            <w:vAlign w:val="top"/>
          </w:tcPr>
          <w:p w14:paraId="0357A879">
            <w:pPr>
              <w:pStyle w:val="6"/>
              <w:spacing w:before="93" w:line="231" w:lineRule="auto"/>
              <w:ind w:left="118"/>
              <w:rPr>
                <w:sz w:val="20"/>
                <w:szCs w:val="20"/>
              </w:rPr>
            </w:pPr>
            <w:r>
              <w:rPr>
                <w:spacing w:val="6"/>
                <w:sz w:val="20"/>
                <w:szCs w:val="20"/>
              </w:rPr>
              <w:t>重庆市黔江区</w:t>
            </w:r>
          </w:p>
          <w:p w14:paraId="54A89133">
            <w:pPr>
              <w:pStyle w:val="6"/>
              <w:spacing w:before="24" w:line="251" w:lineRule="auto"/>
              <w:ind w:left="225" w:right="119" w:hanging="107"/>
              <w:rPr>
                <w:sz w:val="20"/>
                <w:szCs w:val="20"/>
              </w:rPr>
            </w:pPr>
            <w:r>
              <w:rPr>
                <w:spacing w:val="6"/>
                <w:sz w:val="20"/>
                <w:szCs w:val="20"/>
              </w:rPr>
              <w:t>黑溪镇泰峰铸</w:t>
            </w:r>
            <w:r>
              <w:rPr>
                <w:sz w:val="20"/>
                <w:szCs w:val="20"/>
              </w:rPr>
              <w:t xml:space="preserve"> </w:t>
            </w:r>
            <w:r>
              <w:rPr>
                <w:spacing w:val="5"/>
                <w:sz w:val="20"/>
                <w:szCs w:val="20"/>
              </w:rPr>
              <w:t>型用砂岩矿</w:t>
            </w:r>
          </w:p>
        </w:tc>
        <w:tc>
          <w:tcPr>
            <w:tcW w:w="964" w:type="dxa"/>
            <w:vAlign w:val="top"/>
          </w:tcPr>
          <w:p w14:paraId="33043F45">
            <w:pPr>
              <w:pStyle w:val="6"/>
              <w:spacing w:before="231" w:line="251" w:lineRule="auto"/>
              <w:ind w:left="273" w:right="174" w:hanging="104"/>
              <w:rPr>
                <w:sz w:val="20"/>
                <w:szCs w:val="20"/>
              </w:rPr>
            </w:pPr>
            <w:r>
              <w:rPr>
                <w:spacing w:val="5"/>
                <w:sz w:val="20"/>
                <w:szCs w:val="20"/>
              </w:rPr>
              <w:t>铸型用</w:t>
            </w:r>
            <w:r>
              <w:rPr>
                <w:sz w:val="20"/>
                <w:szCs w:val="20"/>
              </w:rPr>
              <w:t xml:space="preserve"> </w:t>
            </w:r>
            <w:r>
              <w:rPr>
                <w:spacing w:val="2"/>
                <w:sz w:val="20"/>
                <w:szCs w:val="20"/>
              </w:rPr>
              <w:t>砂岩</w:t>
            </w:r>
          </w:p>
        </w:tc>
        <w:tc>
          <w:tcPr>
            <w:tcW w:w="1029" w:type="dxa"/>
            <w:vAlign w:val="top"/>
          </w:tcPr>
          <w:p w14:paraId="11346395">
            <w:pPr>
              <w:spacing w:line="343" w:lineRule="auto"/>
              <w:rPr>
                <w:rFonts w:ascii="Arial"/>
                <w:sz w:val="21"/>
              </w:rPr>
            </w:pPr>
          </w:p>
          <w:p w14:paraId="6EBA5827">
            <w:pPr>
              <w:spacing w:before="58"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0.2045</w:t>
            </w:r>
          </w:p>
        </w:tc>
        <w:tc>
          <w:tcPr>
            <w:tcW w:w="1152" w:type="dxa"/>
            <w:vAlign w:val="top"/>
          </w:tcPr>
          <w:p w14:paraId="04F43A16">
            <w:pPr>
              <w:pStyle w:val="6"/>
              <w:spacing w:before="243" w:line="230" w:lineRule="auto"/>
              <w:ind w:left="382"/>
              <w:rPr>
                <w:sz w:val="19"/>
                <w:szCs w:val="19"/>
              </w:rPr>
            </w:pPr>
            <w:r>
              <w:rPr>
                <w:spacing w:val="2"/>
                <w:sz w:val="19"/>
                <w:szCs w:val="19"/>
              </w:rPr>
              <w:t>保留</w:t>
            </w:r>
          </w:p>
          <w:p w14:paraId="2C0B9579">
            <w:pPr>
              <w:pStyle w:val="6"/>
              <w:spacing w:before="22" w:line="231" w:lineRule="auto"/>
              <w:ind w:left="183"/>
              <w:rPr>
                <w:sz w:val="19"/>
                <w:szCs w:val="19"/>
              </w:rPr>
            </w:pPr>
            <w:r>
              <w:rPr>
                <w:spacing w:val="6"/>
                <w:sz w:val="19"/>
                <w:szCs w:val="19"/>
              </w:rPr>
              <w:t>地下开采</w:t>
            </w:r>
          </w:p>
        </w:tc>
        <w:tc>
          <w:tcPr>
            <w:tcW w:w="2164" w:type="dxa"/>
            <w:vAlign w:val="top"/>
          </w:tcPr>
          <w:p w14:paraId="562F8574">
            <w:pPr>
              <w:spacing w:line="307" w:lineRule="auto"/>
              <w:rPr>
                <w:rFonts w:ascii="Arial"/>
                <w:sz w:val="21"/>
              </w:rPr>
            </w:pPr>
          </w:p>
          <w:p w14:paraId="477452A5">
            <w:pPr>
              <w:pStyle w:val="6"/>
              <w:spacing w:before="62" w:line="231" w:lineRule="auto"/>
              <w:ind w:left="794"/>
              <w:rPr>
                <w:sz w:val="19"/>
                <w:szCs w:val="19"/>
              </w:rPr>
            </w:pPr>
            <w:r>
              <w:rPr>
                <w:spacing w:val="4"/>
                <w:sz w:val="19"/>
                <w:szCs w:val="19"/>
              </w:rPr>
              <w:t>无变化</w:t>
            </w:r>
          </w:p>
        </w:tc>
        <w:tc>
          <w:tcPr>
            <w:tcW w:w="948" w:type="dxa"/>
            <w:vAlign w:val="top"/>
          </w:tcPr>
          <w:p w14:paraId="51980B5D">
            <w:pPr>
              <w:spacing w:line="348" w:lineRule="auto"/>
              <w:rPr>
                <w:rFonts w:ascii="Arial"/>
                <w:sz w:val="21"/>
              </w:rPr>
            </w:pPr>
          </w:p>
          <w:p w14:paraId="0D1999A7">
            <w:pPr>
              <w:spacing w:before="55" w:line="197" w:lineRule="auto"/>
              <w:ind w:left="191"/>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013</w:t>
            </w:r>
          </w:p>
        </w:tc>
        <w:tc>
          <w:tcPr>
            <w:tcW w:w="2170" w:type="dxa"/>
            <w:vAlign w:val="top"/>
          </w:tcPr>
          <w:p w14:paraId="38D42815">
            <w:pPr>
              <w:pStyle w:val="6"/>
              <w:spacing w:before="229" w:line="251" w:lineRule="auto"/>
              <w:ind w:left="260" w:right="134" w:hanging="99"/>
              <w:rPr>
                <w:sz w:val="20"/>
                <w:szCs w:val="20"/>
              </w:rPr>
            </w:pPr>
            <w:r>
              <w:rPr>
                <w:spacing w:val="7"/>
                <w:sz w:val="20"/>
                <w:szCs w:val="20"/>
              </w:rPr>
              <w:t>重庆市黔江区黑溪镇</w:t>
            </w:r>
            <w:r>
              <w:rPr>
                <w:spacing w:val="4"/>
                <w:sz w:val="20"/>
                <w:szCs w:val="20"/>
              </w:rPr>
              <w:t xml:space="preserve"> </w:t>
            </w:r>
            <w:r>
              <w:rPr>
                <w:spacing w:val="7"/>
                <w:sz w:val="20"/>
                <w:szCs w:val="20"/>
              </w:rPr>
              <w:t>泰峰铸型用砂岩矿</w:t>
            </w:r>
          </w:p>
        </w:tc>
        <w:tc>
          <w:tcPr>
            <w:tcW w:w="1077" w:type="dxa"/>
            <w:vAlign w:val="top"/>
          </w:tcPr>
          <w:p w14:paraId="2DD5740C">
            <w:pPr>
              <w:pStyle w:val="6"/>
              <w:spacing w:before="229" w:line="232" w:lineRule="auto"/>
              <w:ind w:left="137"/>
              <w:rPr>
                <w:sz w:val="20"/>
                <w:szCs w:val="20"/>
              </w:rPr>
            </w:pPr>
            <w:r>
              <w:rPr>
                <w:spacing w:val="5"/>
                <w:sz w:val="20"/>
                <w:szCs w:val="20"/>
              </w:rPr>
              <w:t>铸型用砂</w:t>
            </w:r>
          </w:p>
          <w:p w14:paraId="3297113A">
            <w:pPr>
              <w:pStyle w:val="6"/>
              <w:spacing w:before="20" w:line="234" w:lineRule="auto"/>
              <w:ind w:left="450"/>
              <w:rPr>
                <w:sz w:val="20"/>
                <w:szCs w:val="20"/>
              </w:rPr>
            </w:pPr>
            <w:r>
              <w:rPr>
                <w:sz w:val="20"/>
                <w:szCs w:val="20"/>
              </w:rPr>
              <w:t>岩</w:t>
            </w:r>
          </w:p>
        </w:tc>
        <w:tc>
          <w:tcPr>
            <w:tcW w:w="1036" w:type="dxa"/>
            <w:vAlign w:val="top"/>
          </w:tcPr>
          <w:p w14:paraId="0F52C44B">
            <w:pPr>
              <w:spacing w:line="343" w:lineRule="auto"/>
              <w:rPr>
                <w:rFonts w:ascii="Arial"/>
                <w:sz w:val="21"/>
              </w:rPr>
            </w:pPr>
          </w:p>
          <w:p w14:paraId="6F8EE903">
            <w:pPr>
              <w:spacing w:before="58"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0.2045</w:t>
            </w:r>
          </w:p>
        </w:tc>
        <w:tc>
          <w:tcPr>
            <w:tcW w:w="1260" w:type="dxa"/>
            <w:tcBorders>
              <w:right w:val="single" w:color="000000" w:sz="10" w:space="0"/>
            </w:tcBorders>
            <w:vAlign w:val="top"/>
          </w:tcPr>
          <w:p w14:paraId="16C7D1FE">
            <w:pPr>
              <w:pStyle w:val="6"/>
              <w:spacing w:before="243" w:line="230" w:lineRule="auto"/>
              <w:ind w:left="446"/>
              <w:rPr>
                <w:sz w:val="19"/>
                <w:szCs w:val="19"/>
              </w:rPr>
            </w:pPr>
            <w:r>
              <w:rPr>
                <w:spacing w:val="2"/>
                <w:sz w:val="19"/>
                <w:szCs w:val="19"/>
              </w:rPr>
              <w:t>保留</w:t>
            </w:r>
          </w:p>
          <w:p w14:paraId="04AFBA27">
            <w:pPr>
              <w:pStyle w:val="6"/>
              <w:spacing w:before="22" w:line="231" w:lineRule="auto"/>
              <w:ind w:left="245"/>
              <w:rPr>
                <w:sz w:val="19"/>
                <w:szCs w:val="19"/>
              </w:rPr>
            </w:pPr>
            <w:r>
              <w:rPr>
                <w:spacing w:val="6"/>
                <w:sz w:val="19"/>
                <w:szCs w:val="19"/>
              </w:rPr>
              <w:t>地下开采</w:t>
            </w:r>
          </w:p>
        </w:tc>
      </w:tr>
      <w:tr w14:paraId="1BA590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511" w:type="dxa"/>
            <w:tcBorders>
              <w:left w:val="single" w:color="000000" w:sz="10" w:space="0"/>
            </w:tcBorders>
            <w:vAlign w:val="top"/>
          </w:tcPr>
          <w:p w14:paraId="77995C58">
            <w:pPr>
              <w:spacing w:line="352" w:lineRule="auto"/>
              <w:rPr>
                <w:rFonts w:ascii="Arial"/>
                <w:sz w:val="21"/>
              </w:rPr>
            </w:pPr>
          </w:p>
          <w:p w14:paraId="015E7217">
            <w:pPr>
              <w:spacing w:before="55" w:line="195" w:lineRule="auto"/>
              <w:ind w:left="161"/>
              <w:rPr>
                <w:rFonts w:ascii="Times New Roman" w:hAnsi="Times New Roman" w:eastAsia="Times New Roman" w:cs="Times New Roman"/>
                <w:sz w:val="19"/>
                <w:szCs w:val="19"/>
              </w:rPr>
            </w:pPr>
            <w:r>
              <w:rPr>
                <w:rFonts w:ascii="Times New Roman" w:hAnsi="Times New Roman" w:eastAsia="Times New Roman" w:cs="Times New Roman"/>
                <w:spacing w:val="-7"/>
                <w:sz w:val="19"/>
                <w:szCs w:val="19"/>
              </w:rPr>
              <w:t>14</w:t>
            </w:r>
          </w:p>
        </w:tc>
        <w:tc>
          <w:tcPr>
            <w:tcW w:w="874" w:type="dxa"/>
            <w:vAlign w:val="top"/>
          </w:tcPr>
          <w:p w14:paraId="780BC49B">
            <w:pPr>
              <w:spacing w:line="352" w:lineRule="auto"/>
              <w:rPr>
                <w:rFonts w:ascii="Arial"/>
                <w:sz w:val="21"/>
              </w:rPr>
            </w:pPr>
          </w:p>
          <w:p w14:paraId="62735C26">
            <w:pPr>
              <w:spacing w:before="55" w:line="197" w:lineRule="auto"/>
              <w:ind w:left="141"/>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014</w:t>
            </w:r>
          </w:p>
        </w:tc>
        <w:tc>
          <w:tcPr>
            <w:tcW w:w="1480" w:type="dxa"/>
            <w:vAlign w:val="top"/>
          </w:tcPr>
          <w:p w14:paraId="0716C839">
            <w:pPr>
              <w:pStyle w:val="6"/>
              <w:spacing w:before="97" w:line="231" w:lineRule="auto"/>
              <w:ind w:left="118"/>
              <w:rPr>
                <w:sz w:val="20"/>
                <w:szCs w:val="20"/>
              </w:rPr>
            </w:pPr>
            <w:r>
              <w:rPr>
                <w:spacing w:val="6"/>
                <w:sz w:val="20"/>
                <w:szCs w:val="20"/>
              </w:rPr>
              <w:t>重庆市黔江区</w:t>
            </w:r>
          </w:p>
          <w:p w14:paraId="3BA1497A">
            <w:pPr>
              <w:pStyle w:val="6"/>
              <w:spacing w:before="20" w:line="232" w:lineRule="auto"/>
              <w:ind w:left="111"/>
              <w:rPr>
                <w:sz w:val="20"/>
                <w:szCs w:val="20"/>
              </w:rPr>
            </w:pPr>
            <w:r>
              <w:rPr>
                <w:spacing w:val="7"/>
                <w:sz w:val="20"/>
                <w:szCs w:val="20"/>
              </w:rPr>
              <w:t>金溪镇金竹坪</w:t>
            </w:r>
          </w:p>
          <w:p w14:paraId="0B867B18">
            <w:pPr>
              <w:pStyle w:val="6"/>
              <w:spacing w:before="22" w:line="232" w:lineRule="auto"/>
              <w:ind w:left="118"/>
              <w:rPr>
                <w:sz w:val="20"/>
                <w:szCs w:val="20"/>
              </w:rPr>
            </w:pPr>
            <w:r>
              <w:rPr>
                <w:spacing w:val="6"/>
                <w:sz w:val="20"/>
                <w:szCs w:val="20"/>
              </w:rPr>
              <w:t>萤石重晶石矿</w:t>
            </w:r>
          </w:p>
        </w:tc>
        <w:tc>
          <w:tcPr>
            <w:tcW w:w="964" w:type="dxa"/>
            <w:vAlign w:val="top"/>
          </w:tcPr>
          <w:p w14:paraId="651D4E89">
            <w:pPr>
              <w:pStyle w:val="6"/>
              <w:spacing w:before="234" w:line="255" w:lineRule="auto"/>
              <w:ind w:left="279" w:right="113" w:hanging="163"/>
              <w:rPr>
                <w:sz w:val="20"/>
                <w:szCs w:val="20"/>
              </w:rPr>
            </w:pPr>
            <w:r>
              <w:rPr>
                <w:spacing w:val="-18"/>
                <w:sz w:val="20"/>
                <w:szCs w:val="20"/>
              </w:rPr>
              <w:t>萤石（普</w:t>
            </w:r>
            <w:r>
              <w:rPr>
                <w:sz w:val="20"/>
                <w:szCs w:val="20"/>
              </w:rPr>
              <w:t xml:space="preserve"> </w:t>
            </w:r>
            <w:r>
              <w:rPr>
                <w:spacing w:val="-5"/>
                <w:sz w:val="20"/>
                <w:szCs w:val="20"/>
              </w:rPr>
              <w:t>通）</w:t>
            </w:r>
          </w:p>
        </w:tc>
        <w:tc>
          <w:tcPr>
            <w:tcW w:w="1029" w:type="dxa"/>
            <w:vAlign w:val="top"/>
          </w:tcPr>
          <w:p w14:paraId="057FD4BF">
            <w:pPr>
              <w:spacing w:line="345" w:lineRule="auto"/>
              <w:rPr>
                <w:rFonts w:ascii="Arial"/>
                <w:sz w:val="21"/>
              </w:rPr>
            </w:pPr>
          </w:p>
          <w:p w14:paraId="448CB792">
            <w:pPr>
              <w:spacing w:before="57"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0.147</w:t>
            </w:r>
          </w:p>
        </w:tc>
        <w:tc>
          <w:tcPr>
            <w:tcW w:w="1152" w:type="dxa"/>
            <w:vAlign w:val="top"/>
          </w:tcPr>
          <w:p w14:paraId="0DB1F64A">
            <w:pPr>
              <w:pStyle w:val="6"/>
              <w:spacing w:before="245" w:line="230" w:lineRule="auto"/>
              <w:ind w:left="382"/>
              <w:rPr>
                <w:sz w:val="19"/>
                <w:szCs w:val="19"/>
              </w:rPr>
            </w:pPr>
            <w:r>
              <w:rPr>
                <w:spacing w:val="2"/>
                <w:sz w:val="19"/>
                <w:szCs w:val="19"/>
              </w:rPr>
              <w:t>保留</w:t>
            </w:r>
          </w:p>
          <w:p w14:paraId="3BEF765E">
            <w:pPr>
              <w:pStyle w:val="6"/>
              <w:spacing w:before="22" w:line="231" w:lineRule="auto"/>
              <w:ind w:left="188"/>
              <w:rPr>
                <w:sz w:val="19"/>
                <w:szCs w:val="19"/>
              </w:rPr>
            </w:pPr>
            <w:r>
              <w:rPr>
                <w:spacing w:val="5"/>
                <w:sz w:val="19"/>
                <w:szCs w:val="19"/>
              </w:rPr>
              <w:t>露天开采</w:t>
            </w:r>
          </w:p>
        </w:tc>
        <w:tc>
          <w:tcPr>
            <w:tcW w:w="2164" w:type="dxa"/>
            <w:vAlign w:val="top"/>
          </w:tcPr>
          <w:p w14:paraId="77911A53">
            <w:pPr>
              <w:spacing w:line="311" w:lineRule="auto"/>
              <w:rPr>
                <w:rFonts w:ascii="Arial"/>
                <w:sz w:val="21"/>
              </w:rPr>
            </w:pPr>
          </w:p>
          <w:p w14:paraId="44F6C67B">
            <w:pPr>
              <w:pStyle w:val="6"/>
              <w:spacing w:before="62" w:line="231" w:lineRule="auto"/>
              <w:ind w:left="794"/>
              <w:rPr>
                <w:sz w:val="19"/>
                <w:szCs w:val="19"/>
              </w:rPr>
            </w:pPr>
            <w:r>
              <w:rPr>
                <w:spacing w:val="4"/>
                <w:sz w:val="19"/>
                <w:szCs w:val="19"/>
              </w:rPr>
              <w:t>无变化</w:t>
            </w:r>
          </w:p>
        </w:tc>
        <w:tc>
          <w:tcPr>
            <w:tcW w:w="948" w:type="dxa"/>
            <w:vAlign w:val="top"/>
          </w:tcPr>
          <w:p w14:paraId="36262A44">
            <w:pPr>
              <w:spacing w:line="352" w:lineRule="auto"/>
              <w:rPr>
                <w:rFonts w:ascii="Arial"/>
                <w:sz w:val="21"/>
              </w:rPr>
            </w:pPr>
          </w:p>
          <w:p w14:paraId="67BF323E">
            <w:pPr>
              <w:spacing w:before="55" w:line="197" w:lineRule="auto"/>
              <w:ind w:left="191"/>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014</w:t>
            </w:r>
          </w:p>
        </w:tc>
        <w:tc>
          <w:tcPr>
            <w:tcW w:w="2170" w:type="dxa"/>
            <w:vAlign w:val="top"/>
          </w:tcPr>
          <w:p w14:paraId="48C267CE">
            <w:pPr>
              <w:pStyle w:val="6"/>
              <w:spacing w:before="234" w:line="251" w:lineRule="auto"/>
              <w:ind w:left="155" w:right="134" w:firstLine="6"/>
              <w:rPr>
                <w:sz w:val="20"/>
                <w:szCs w:val="20"/>
              </w:rPr>
            </w:pPr>
            <w:r>
              <w:rPr>
                <w:spacing w:val="7"/>
                <w:sz w:val="20"/>
                <w:szCs w:val="20"/>
              </w:rPr>
              <w:t>重庆市黔江区金溪镇</w:t>
            </w:r>
            <w:r>
              <w:rPr>
                <w:spacing w:val="4"/>
                <w:sz w:val="20"/>
                <w:szCs w:val="20"/>
              </w:rPr>
              <w:t xml:space="preserve"> </w:t>
            </w:r>
            <w:r>
              <w:rPr>
                <w:spacing w:val="8"/>
                <w:sz w:val="20"/>
                <w:szCs w:val="20"/>
              </w:rPr>
              <w:t>金竹坪萤石重晶石矿</w:t>
            </w:r>
          </w:p>
        </w:tc>
        <w:tc>
          <w:tcPr>
            <w:tcW w:w="1077" w:type="dxa"/>
            <w:vAlign w:val="top"/>
          </w:tcPr>
          <w:p w14:paraId="186263F7">
            <w:pPr>
              <w:pStyle w:val="6"/>
              <w:spacing w:before="234" w:line="255" w:lineRule="auto"/>
              <w:ind w:left="350" w:right="110" w:hanging="206"/>
              <w:rPr>
                <w:sz w:val="20"/>
                <w:szCs w:val="20"/>
              </w:rPr>
            </w:pPr>
            <w:r>
              <w:rPr>
                <w:spacing w:val="4"/>
                <w:sz w:val="20"/>
                <w:szCs w:val="20"/>
              </w:rPr>
              <w:t>萤石（普</w:t>
            </w:r>
            <w:r>
              <w:rPr>
                <w:sz w:val="20"/>
                <w:szCs w:val="20"/>
              </w:rPr>
              <w:t xml:space="preserve"> </w:t>
            </w:r>
            <w:r>
              <w:rPr>
                <w:spacing w:val="-5"/>
                <w:sz w:val="20"/>
                <w:szCs w:val="20"/>
              </w:rPr>
              <w:t>通）</w:t>
            </w:r>
          </w:p>
        </w:tc>
        <w:tc>
          <w:tcPr>
            <w:tcW w:w="1036" w:type="dxa"/>
            <w:vAlign w:val="top"/>
          </w:tcPr>
          <w:p w14:paraId="2692F5E4">
            <w:pPr>
              <w:spacing w:line="345" w:lineRule="auto"/>
              <w:rPr>
                <w:rFonts w:ascii="Arial"/>
                <w:sz w:val="21"/>
              </w:rPr>
            </w:pPr>
          </w:p>
          <w:p w14:paraId="55232CE4">
            <w:pPr>
              <w:spacing w:before="57" w:line="195" w:lineRule="auto"/>
              <w:ind w:left="2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0.147</w:t>
            </w:r>
          </w:p>
        </w:tc>
        <w:tc>
          <w:tcPr>
            <w:tcW w:w="1260" w:type="dxa"/>
            <w:tcBorders>
              <w:right w:val="single" w:color="000000" w:sz="10" w:space="0"/>
            </w:tcBorders>
            <w:vAlign w:val="top"/>
          </w:tcPr>
          <w:p w14:paraId="3FE578FF">
            <w:pPr>
              <w:pStyle w:val="6"/>
              <w:spacing w:before="245" w:line="230" w:lineRule="auto"/>
              <w:ind w:left="446"/>
              <w:rPr>
                <w:sz w:val="19"/>
                <w:szCs w:val="19"/>
              </w:rPr>
            </w:pPr>
            <w:r>
              <w:rPr>
                <w:spacing w:val="2"/>
                <w:sz w:val="19"/>
                <w:szCs w:val="19"/>
              </w:rPr>
              <w:t>保留</w:t>
            </w:r>
          </w:p>
          <w:p w14:paraId="68978853">
            <w:pPr>
              <w:pStyle w:val="6"/>
              <w:spacing w:before="22" w:line="231" w:lineRule="auto"/>
              <w:ind w:left="249"/>
              <w:rPr>
                <w:sz w:val="19"/>
                <w:szCs w:val="19"/>
              </w:rPr>
            </w:pPr>
            <w:r>
              <w:rPr>
                <w:spacing w:val="5"/>
                <w:sz w:val="19"/>
                <w:szCs w:val="19"/>
              </w:rPr>
              <w:t>露天开采</w:t>
            </w:r>
          </w:p>
        </w:tc>
      </w:tr>
      <w:tr w14:paraId="66F6B8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0" w:hRule="atLeast"/>
        </w:trPr>
        <w:tc>
          <w:tcPr>
            <w:tcW w:w="511" w:type="dxa"/>
            <w:tcBorders>
              <w:left w:val="single" w:color="000000" w:sz="10" w:space="0"/>
            </w:tcBorders>
            <w:vAlign w:val="top"/>
          </w:tcPr>
          <w:p w14:paraId="72D55017">
            <w:pPr>
              <w:spacing w:line="245" w:lineRule="auto"/>
              <w:rPr>
                <w:rFonts w:ascii="Arial"/>
                <w:sz w:val="21"/>
              </w:rPr>
            </w:pPr>
          </w:p>
          <w:p w14:paraId="6C90C830">
            <w:pPr>
              <w:spacing w:line="245" w:lineRule="auto"/>
              <w:rPr>
                <w:rFonts w:ascii="Arial"/>
                <w:sz w:val="21"/>
              </w:rPr>
            </w:pPr>
          </w:p>
          <w:p w14:paraId="48682E4F">
            <w:pPr>
              <w:spacing w:before="54" w:line="195" w:lineRule="auto"/>
              <w:ind w:left="161"/>
              <w:rPr>
                <w:rFonts w:ascii="Times New Roman" w:hAnsi="Times New Roman" w:eastAsia="Times New Roman" w:cs="Times New Roman"/>
                <w:sz w:val="19"/>
                <w:szCs w:val="19"/>
              </w:rPr>
            </w:pPr>
            <w:r>
              <w:rPr>
                <w:rFonts w:ascii="Times New Roman" w:hAnsi="Times New Roman" w:eastAsia="Times New Roman" w:cs="Times New Roman"/>
                <w:spacing w:val="-7"/>
                <w:sz w:val="19"/>
                <w:szCs w:val="19"/>
              </w:rPr>
              <w:t>15</w:t>
            </w:r>
          </w:p>
        </w:tc>
        <w:tc>
          <w:tcPr>
            <w:tcW w:w="874" w:type="dxa"/>
            <w:vAlign w:val="top"/>
          </w:tcPr>
          <w:p w14:paraId="49C2B083">
            <w:pPr>
              <w:spacing w:line="245" w:lineRule="auto"/>
              <w:rPr>
                <w:rFonts w:ascii="Arial"/>
                <w:sz w:val="21"/>
              </w:rPr>
            </w:pPr>
          </w:p>
          <w:p w14:paraId="2F5FAD62">
            <w:pPr>
              <w:spacing w:line="245" w:lineRule="auto"/>
              <w:rPr>
                <w:rFonts w:ascii="Arial"/>
                <w:sz w:val="21"/>
              </w:rPr>
            </w:pPr>
          </w:p>
          <w:p w14:paraId="1AEC11E5">
            <w:pPr>
              <w:spacing w:before="54" w:line="197" w:lineRule="auto"/>
              <w:ind w:left="141"/>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015</w:t>
            </w:r>
          </w:p>
        </w:tc>
        <w:tc>
          <w:tcPr>
            <w:tcW w:w="1480" w:type="dxa"/>
            <w:vAlign w:val="top"/>
          </w:tcPr>
          <w:p w14:paraId="1B62723C">
            <w:pPr>
              <w:pStyle w:val="6"/>
              <w:spacing w:before="98" w:line="252" w:lineRule="auto"/>
              <w:ind w:left="115" w:right="119" w:firstLine="2"/>
              <w:jc w:val="both"/>
              <w:rPr>
                <w:sz w:val="20"/>
                <w:szCs w:val="20"/>
              </w:rPr>
            </w:pPr>
            <w:r>
              <w:rPr>
                <w:spacing w:val="6"/>
                <w:sz w:val="20"/>
                <w:szCs w:val="20"/>
              </w:rPr>
              <w:t>重庆市黔江区</w:t>
            </w:r>
            <w:r>
              <w:rPr>
                <w:sz w:val="20"/>
                <w:szCs w:val="20"/>
              </w:rPr>
              <w:t xml:space="preserve"> </w:t>
            </w:r>
            <w:r>
              <w:rPr>
                <w:spacing w:val="27"/>
                <w:sz w:val="20"/>
                <w:szCs w:val="20"/>
              </w:rPr>
              <w:t>太极乡萤石</w:t>
            </w:r>
            <w:r>
              <w:rPr>
                <w:sz w:val="20"/>
                <w:szCs w:val="20"/>
              </w:rPr>
              <w:t xml:space="preserve">  </w:t>
            </w:r>
            <w:r>
              <w:rPr>
                <w:spacing w:val="-1"/>
                <w:sz w:val="20"/>
                <w:szCs w:val="20"/>
              </w:rPr>
              <w:t>（普通）</w:t>
            </w:r>
            <w:r>
              <w:rPr>
                <w:spacing w:val="-56"/>
                <w:sz w:val="20"/>
                <w:szCs w:val="20"/>
              </w:rPr>
              <w:t xml:space="preserve"> </w:t>
            </w:r>
            <w:r>
              <w:rPr>
                <w:spacing w:val="-1"/>
                <w:sz w:val="20"/>
                <w:szCs w:val="20"/>
              </w:rPr>
              <w:t>、重</w:t>
            </w:r>
          </w:p>
          <w:p w14:paraId="3222E86A">
            <w:pPr>
              <w:pStyle w:val="6"/>
              <w:spacing w:line="231" w:lineRule="auto"/>
              <w:ind w:left="442"/>
              <w:rPr>
                <w:sz w:val="20"/>
                <w:szCs w:val="20"/>
              </w:rPr>
            </w:pPr>
            <w:r>
              <w:rPr>
                <w:spacing w:val="-1"/>
                <w:sz w:val="20"/>
                <w:szCs w:val="20"/>
              </w:rPr>
              <w:t>晶石矿</w:t>
            </w:r>
          </w:p>
        </w:tc>
        <w:tc>
          <w:tcPr>
            <w:tcW w:w="964" w:type="dxa"/>
            <w:vAlign w:val="top"/>
          </w:tcPr>
          <w:p w14:paraId="429E95F3">
            <w:pPr>
              <w:spacing w:line="305" w:lineRule="auto"/>
              <w:rPr>
                <w:rFonts w:ascii="Arial"/>
                <w:sz w:val="21"/>
              </w:rPr>
            </w:pPr>
          </w:p>
          <w:p w14:paraId="3157261E">
            <w:pPr>
              <w:pStyle w:val="6"/>
              <w:spacing w:before="65" w:line="255" w:lineRule="auto"/>
              <w:ind w:left="279" w:right="113" w:hanging="163"/>
              <w:rPr>
                <w:sz w:val="20"/>
                <w:szCs w:val="20"/>
              </w:rPr>
            </w:pPr>
            <w:r>
              <w:rPr>
                <w:spacing w:val="-18"/>
                <w:sz w:val="20"/>
                <w:szCs w:val="20"/>
              </w:rPr>
              <w:t>萤石（普</w:t>
            </w:r>
            <w:r>
              <w:rPr>
                <w:sz w:val="20"/>
                <w:szCs w:val="20"/>
              </w:rPr>
              <w:t xml:space="preserve"> </w:t>
            </w:r>
            <w:r>
              <w:rPr>
                <w:spacing w:val="-5"/>
                <w:sz w:val="20"/>
                <w:szCs w:val="20"/>
              </w:rPr>
              <w:t>通）</w:t>
            </w:r>
          </w:p>
        </w:tc>
        <w:tc>
          <w:tcPr>
            <w:tcW w:w="1029" w:type="dxa"/>
            <w:vAlign w:val="top"/>
          </w:tcPr>
          <w:p w14:paraId="529056C0">
            <w:pPr>
              <w:spacing w:line="241" w:lineRule="auto"/>
              <w:rPr>
                <w:rFonts w:ascii="Arial"/>
                <w:sz w:val="21"/>
              </w:rPr>
            </w:pPr>
          </w:p>
          <w:p w14:paraId="51D78F61">
            <w:pPr>
              <w:spacing w:line="241" w:lineRule="auto"/>
              <w:rPr>
                <w:rFonts w:ascii="Arial"/>
                <w:sz w:val="21"/>
              </w:rPr>
            </w:pPr>
          </w:p>
          <w:p w14:paraId="3A504C3A">
            <w:pPr>
              <w:spacing w:before="58"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0.4633</w:t>
            </w:r>
          </w:p>
        </w:tc>
        <w:tc>
          <w:tcPr>
            <w:tcW w:w="1152" w:type="dxa"/>
            <w:vAlign w:val="top"/>
          </w:tcPr>
          <w:p w14:paraId="083E8647">
            <w:pPr>
              <w:spacing w:line="319" w:lineRule="auto"/>
              <w:rPr>
                <w:rFonts w:ascii="Arial"/>
                <w:sz w:val="21"/>
              </w:rPr>
            </w:pPr>
          </w:p>
          <w:p w14:paraId="52C179DE">
            <w:pPr>
              <w:pStyle w:val="6"/>
              <w:spacing w:before="62" w:line="230" w:lineRule="auto"/>
              <w:ind w:left="382"/>
              <w:rPr>
                <w:sz w:val="19"/>
                <w:szCs w:val="19"/>
              </w:rPr>
            </w:pPr>
            <w:r>
              <w:rPr>
                <w:spacing w:val="2"/>
                <w:sz w:val="19"/>
                <w:szCs w:val="19"/>
              </w:rPr>
              <w:t>保留</w:t>
            </w:r>
          </w:p>
          <w:p w14:paraId="4880CC40">
            <w:pPr>
              <w:pStyle w:val="6"/>
              <w:spacing w:before="22" w:line="231" w:lineRule="auto"/>
              <w:ind w:left="183"/>
              <w:rPr>
                <w:sz w:val="19"/>
                <w:szCs w:val="19"/>
              </w:rPr>
            </w:pPr>
            <w:r>
              <w:rPr>
                <w:spacing w:val="6"/>
                <w:sz w:val="19"/>
                <w:szCs w:val="19"/>
              </w:rPr>
              <w:t>地下开采</w:t>
            </w:r>
          </w:p>
        </w:tc>
        <w:tc>
          <w:tcPr>
            <w:tcW w:w="2164" w:type="dxa"/>
            <w:vAlign w:val="top"/>
          </w:tcPr>
          <w:p w14:paraId="12DF7DCE">
            <w:pPr>
              <w:spacing w:line="449" w:lineRule="auto"/>
              <w:rPr>
                <w:rFonts w:ascii="Arial"/>
                <w:sz w:val="21"/>
              </w:rPr>
            </w:pPr>
          </w:p>
          <w:p w14:paraId="31D53C10">
            <w:pPr>
              <w:pStyle w:val="6"/>
              <w:spacing w:before="61" w:line="231" w:lineRule="auto"/>
              <w:ind w:left="794"/>
              <w:rPr>
                <w:sz w:val="19"/>
                <w:szCs w:val="19"/>
              </w:rPr>
            </w:pPr>
            <w:r>
              <w:rPr>
                <w:spacing w:val="4"/>
                <w:sz w:val="19"/>
                <w:szCs w:val="19"/>
              </w:rPr>
              <w:t>无变化</w:t>
            </w:r>
          </w:p>
        </w:tc>
        <w:tc>
          <w:tcPr>
            <w:tcW w:w="948" w:type="dxa"/>
            <w:vAlign w:val="top"/>
          </w:tcPr>
          <w:p w14:paraId="6C0B6FC8">
            <w:pPr>
              <w:spacing w:line="245" w:lineRule="auto"/>
              <w:rPr>
                <w:rFonts w:ascii="Arial"/>
                <w:sz w:val="21"/>
              </w:rPr>
            </w:pPr>
          </w:p>
          <w:p w14:paraId="754CB1AB">
            <w:pPr>
              <w:spacing w:line="245" w:lineRule="auto"/>
              <w:rPr>
                <w:rFonts w:ascii="Arial"/>
                <w:sz w:val="21"/>
              </w:rPr>
            </w:pPr>
          </w:p>
          <w:p w14:paraId="031B251F">
            <w:pPr>
              <w:spacing w:before="54" w:line="197" w:lineRule="auto"/>
              <w:ind w:left="191"/>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015</w:t>
            </w:r>
          </w:p>
        </w:tc>
        <w:tc>
          <w:tcPr>
            <w:tcW w:w="2170" w:type="dxa"/>
            <w:vAlign w:val="top"/>
          </w:tcPr>
          <w:p w14:paraId="682F0923">
            <w:pPr>
              <w:pStyle w:val="6"/>
              <w:spacing w:before="235" w:line="231" w:lineRule="auto"/>
              <w:ind w:left="161"/>
              <w:rPr>
                <w:sz w:val="20"/>
                <w:szCs w:val="20"/>
              </w:rPr>
            </w:pPr>
            <w:r>
              <w:rPr>
                <w:spacing w:val="7"/>
                <w:sz w:val="20"/>
                <w:szCs w:val="20"/>
              </w:rPr>
              <w:t>重庆市黔江区太极乡</w:t>
            </w:r>
          </w:p>
          <w:p w14:paraId="2DB425E2">
            <w:pPr>
              <w:pStyle w:val="6"/>
              <w:spacing w:before="20" w:line="232" w:lineRule="auto"/>
              <w:ind w:left="161"/>
              <w:rPr>
                <w:sz w:val="20"/>
                <w:szCs w:val="20"/>
              </w:rPr>
            </w:pPr>
            <w:r>
              <w:rPr>
                <w:spacing w:val="3"/>
                <w:sz w:val="20"/>
                <w:szCs w:val="20"/>
              </w:rPr>
              <w:t>萤石（普通）</w:t>
            </w:r>
            <w:r>
              <w:rPr>
                <w:spacing w:val="-60"/>
                <w:sz w:val="20"/>
                <w:szCs w:val="20"/>
              </w:rPr>
              <w:t xml:space="preserve"> </w:t>
            </w:r>
            <w:r>
              <w:rPr>
                <w:spacing w:val="3"/>
                <w:sz w:val="20"/>
                <w:szCs w:val="20"/>
              </w:rPr>
              <w:t>、重晶</w:t>
            </w:r>
          </w:p>
          <w:p w14:paraId="71B8C14A">
            <w:pPr>
              <w:pStyle w:val="6"/>
              <w:spacing w:before="20" w:line="232" w:lineRule="auto"/>
              <w:ind w:left="891"/>
              <w:rPr>
                <w:sz w:val="20"/>
                <w:szCs w:val="20"/>
              </w:rPr>
            </w:pPr>
            <w:r>
              <w:rPr>
                <w:spacing w:val="2"/>
                <w:sz w:val="20"/>
                <w:szCs w:val="20"/>
              </w:rPr>
              <w:t>石矿</w:t>
            </w:r>
          </w:p>
        </w:tc>
        <w:tc>
          <w:tcPr>
            <w:tcW w:w="1077" w:type="dxa"/>
            <w:vAlign w:val="top"/>
          </w:tcPr>
          <w:p w14:paraId="5A4DDA75">
            <w:pPr>
              <w:spacing w:line="305" w:lineRule="auto"/>
              <w:rPr>
                <w:rFonts w:ascii="Arial"/>
                <w:sz w:val="21"/>
              </w:rPr>
            </w:pPr>
          </w:p>
          <w:p w14:paraId="7C636522">
            <w:pPr>
              <w:pStyle w:val="6"/>
              <w:spacing w:before="65" w:line="255" w:lineRule="auto"/>
              <w:ind w:left="350" w:right="110" w:hanging="206"/>
              <w:rPr>
                <w:sz w:val="20"/>
                <w:szCs w:val="20"/>
              </w:rPr>
            </w:pPr>
            <w:r>
              <w:rPr>
                <w:spacing w:val="4"/>
                <w:sz w:val="20"/>
                <w:szCs w:val="20"/>
              </w:rPr>
              <w:t>萤石（普</w:t>
            </w:r>
            <w:r>
              <w:rPr>
                <w:sz w:val="20"/>
                <w:szCs w:val="20"/>
              </w:rPr>
              <w:t xml:space="preserve"> </w:t>
            </w:r>
            <w:r>
              <w:rPr>
                <w:spacing w:val="-5"/>
                <w:sz w:val="20"/>
                <w:szCs w:val="20"/>
              </w:rPr>
              <w:t>通）</w:t>
            </w:r>
          </w:p>
        </w:tc>
        <w:tc>
          <w:tcPr>
            <w:tcW w:w="1036" w:type="dxa"/>
            <w:vAlign w:val="top"/>
          </w:tcPr>
          <w:p w14:paraId="45A01611">
            <w:pPr>
              <w:spacing w:line="241" w:lineRule="auto"/>
              <w:rPr>
                <w:rFonts w:ascii="Arial"/>
                <w:sz w:val="21"/>
              </w:rPr>
            </w:pPr>
          </w:p>
          <w:p w14:paraId="7CC9E9B8">
            <w:pPr>
              <w:spacing w:line="241" w:lineRule="auto"/>
              <w:rPr>
                <w:rFonts w:ascii="Arial"/>
                <w:sz w:val="21"/>
              </w:rPr>
            </w:pPr>
          </w:p>
          <w:p w14:paraId="6745EB32">
            <w:pPr>
              <w:spacing w:before="58"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0.4633</w:t>
            </w:r>
          </w:p>
        </w:tc>
        <w:tc>
          <w:tcPr>
            <w:tcW w:w="1260" w:type="dxa"/>
            <w:tcBorders>
              <w:right w:val="single" w:color="000000" w:sz="10" w:space="0"/>
            </w:tcBorders>
            <w:vAlign w:val="top"/>
          </w:tcPr>
          <w:p w14:paraId="7E8F3F4C">
            <w:pPr>
              <w:spacing w:line="319" w:lineRule="auto"/>
              <w:rPr>
                <w:rFonts w:ascii="Arial"/>
                <w:sz w:val="21"/>
              </w:rPr>
            </w:pPr>
          </w:p>
          <w:p w14:paraId="6DF81FFA">
            <w:pPr>
              <w:pStyle w:val="6"/>
              <w:spacing w:before="62" w:line="230" w:lineRule="auto"/>
              <w:ind w:left="446"/>
              <w:rPr>
                <w:sz w:val="19"/>
                <w:szCs w:val="19"/>
              </w:rPr>
            </w:pPr>
            <w:r>
              <w:rPr>
                <w:spacing w:val="2"/>
                <w:sz w:val="19"/>
                <w:szCs w:val="19"/>
              </w:rPr>
              <w:t>保留</w:t>
            </w:r>
          </w:p>
          <w:p w14:paraId="559C9D11">
            <w:pPr>
              <w:pStyle w:val="6"/>
              <w:spacing w:before="22" w:line="231" w:lineRule="auto"/>
              <w:ind w:left="245"/>
              <w:rPr>
                <w:sz w:val="19"/>
                <w:szCs w:val="19"/>
              </w:rPr>
            </w:pPr>
            <w:r>
              <w:rPr>
                <w:spacing w:val="6"/>
                <w:sz w:val="19"/>
                <w:szCs w:val="19"/>
              </w:rPr>
              <w:t>地下开采</w:t>
            </w:r>
          </w:p>
        </w:tc>
      </w:tr>
      <w:tr w14:paraId="1D1D76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511" w:type="dxa"/>
            <w:tcBorders>
              <w:left w:val="single" w:color="000000" w:sz="10" w:space="0"/>
            </w:tcBorders>
            <w:vAlign w:val="top"/>
          </w:tcPr>
          <w:p w14:paraId="53FDB2C8">
            <w:pPr>
              <w:spacing w:line="360" w:lineRule="auto"/>
              <w:rPr>
                <w:rFonts w:ascii="Arial"/>
                <w:sz w:val="21"/>
              </w:rPr>
            </w:pPr>
          </w:p>
          <w:p w14:paraId="2F48C2D7">
            <w:pPr>
              <w:spacing w:before="55" w:line="195" w:lineRule="auto"/>
              <w:ind w:left="161"/>
              <w:rPr>
                <w:rFonts w:ascii="Times New Roman" w:hAnsi="Times New Roman" w:eastAsia="Times New Roman" w:cs="Times New Roman"/>
                <w:sz w:val="19"/>
                <w:szCs w:val="19"/>
              </w:rPr>
            </w:pPr>
            <w:r>
              <w:rPr>
                <w:rFonts w:ascii="Times New Roman" w:hAnsi="Times New Roman" w:eastAsia="Times New Roman" w:cs="Times New Roman"/>
                <w:spacing w:val="-7"/>
                <w:sz w:val="19"/>
                <w:szCs w:val="19"/>
              </w:rPr>
              <w:t>16</w:t>
            </w:r>
          </w:p>
        </w:tc>
        <w:tc>
          <w:tcPr>
            <w:tcW w:w="874" w:type="dxa"/>
            <w:vAlign w:val="top"/>
          </w:tcPr>
          <w:p w14:paraId="642E18A4">
            <w:pPr>
              <w:spacing w:line="360" w:lineRule="auto"/>
              <w:rPr>
                <w:rFonts w:ascii="Arial"/>
                <w:sz w:val="21"/>
              </w:rPr>
            </w:pPr>
          </w:p>
          <w:p w14:paraId="351765F6">
            <w:pPr>
              <w:spacing w:before="55" w:line="197" w:lineRule="auto"/>
              <w:ind w:left="141"/>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016</w:t>
            </w:r>
          </w:p>
        </w:tc>
        <w:tc>
          <w:tcPr>
            <w:tcW w:w="1480" w:type="dxa"/>
            <w:vAlign w:val="top"/>
          </w:tcPr>
          <w:p w14:paraId="19CC2440">
            <w:pPr>
              <w:pStyle w:val="6"/>
              <w:spacing w:before="105" w:line="231" w:lineRule="auto"/>
              <w:ind w:left="118"/>
              <w:rPr>
                <w:sz w:val="20"/>
                <w:szCs w:val="20"/>
              </w:rPr>
            </w:pPr>
            <w:r>
              <w:rPr>
                <w:spacing w:val="6"/>
                <w:sz w:val="20"/>
                <w:szCs w:val="20"/>
              </w:rPr>
              <w:t>重庆市黔江区</w:t>
            </w:r>
          </w:p>
          <w:p w14:paraId="04791B36">
            <w:pPr>
              <w:pStyle w:val="6"/>
              <w:spacing w:before="20" w:line="231" w:lineRule="auto"/>
              <w:ind w:left="113"/>
              <w:rPr>
                <w:sz w:val="20"/>
                <w:szCs w:val="20"/>
              </w:rPr>
            </w:pPr>
            <w:r>
              <w:rPr>
                <w:spacing w:val="7"/>
                <w:sz w:val="20"/>
                <w:szCs w:val="20"/>
              </w:rPr>
              <w:t>太极乡水槽萤</w:t>
            </w:r>
          </w:p>
          <w:p w14:paraId="2DC87ECF">
            <w:pPr>
              <w:pStyle w:val="6"/>
              <w:spacing w:before="21" w:line="234" w:lineRule="auto"/>
              <w:ind w:left="531"/>
              <w:rPr>
                <w:sz w:val="20"/>
                <w:szCs w:val="20"/>
              </w:rPr>
            </w:pPr>
            <w:r>
              <w:rPr>
                <w:spacing w:val="2"/>
                <w:sz w:val="20"/>
                <w:szCs w:val="20"/>
              </w:rPr>
              <w:t>石厂</w:t>
            </w:r>
          </w:p>
        </w:tc>
        <w:tc>
          <w:tcPr>
            <w:tcW w:w="964" w:type="dxa"/>
            <w:vAlign w:val="top"/>
          </w:tcPr>
          <w:p w14:paraId="385C4B11">
            <w:pPr>
              <w:pStyle w:val="6"/>
              <w:spacing w:before="240" w:line="257" w:lineRule="auto"/>
              <w:ind w:left="279" w:right="113" w:hanging="163"/>
              <w:rPr>
                <w:sz w:val="20"/>
                <w:szCs w:val="20"/>
              </w:rPr>
            </w:pPr>
            <w:r>
              <w:rPr>
                <w:spacing w:val="-18"/>
                <w:sz w:val="20"/>
                <w:szCs w:val="20"/>
              </w:rPr>
              <w:t>萤石（普</w:t>
            </w:r>
            <w:r>
              <w:rPr>
                <w:sz w:val="20"/>
                <w:szCs w:val="20"/>
              </w:rPr>
              <w:t xml:space="preserve"> </w:t>
            </w:r>
            <w:r>
              <w:rPr>
                <w:spacing w:val="-5"/>
                <w:sz w:val="20"/>
                <w:szCs w:val="20"/>
              </w:rPr>
              <w:t>通）</w:t>
            </w:r>
          </w:p>
        </w:tc>
        <w:tc>
          <w:tcPr>
            <w:tcW w:w="1029" w:type="dxa"/>
            <w:vAlign w:val="top"/>
          </w:tcPr>
          <w:p w14:paraId="2D6398F2">
            <w:pPr>
              <w:spacing w:line="353" w:lineRule="auto"/>
              <w:rPr>
                <w:rFonts w:ascii="Arial"/>
                <w:sz w:val="21"/>
              </w:rPr>
            </w:pPr>
          </w:p>
          <w:p w14:paraId="0DD3BBA8">
            <w:pPr>
              <w:spacing w:before="57"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0.0183</w:t>
            </w:r>
          </w:p>
        </w:tc>
        <w:tc>
          <w:tcPr>
            <w:tcW w:w="1152" w:type="dxa"/>
            <w:vAlign w:val="top"/>
          </w:tcPr>
          <w:p w14:paraId="7A5C0254">
            <w:pPr>
              <w:pStyle w:val="6"/>
              <w:spacing w:before="253" w:line="230" w:lineRule="auto"/>
              <w:ind w:left="382"/>
              <w:rPr>
                <w:sz w:val="19"/>
                <w:szCs w:val="19"/>
              </w:rPr>
            </w:pPr>
            <w:r>
              <w:rPr>
                <w:spacing w:val="2"/>
                <w:sz w:val="19"/>
                <w:szCs w:val="19"/>
              </w:rPr>
              <w:t>保留</w:t>
            </w:r>
          </w:p>
          <w:p w14:paraId="501213C1">
            <w:pPr>
              <w:pStyle w:val="6"/>
              <w:spacing w:before="22" w:line="231" w:lineRule="auto"/>
              <w:ind w:left="183"/>
              <w:rPr>
                <w:sz w:val="19"/>
                <w:szCs w:val="19"/>
              </w:rPr>
            </w:pPr>
            <w:r>
              <w:rPr>
                <w:spacing w:val="6"/>
                <w:sz w:val="19"/>
                <w:szCs w:val="19"/>
              </w:rPr>
              <w:t>地下开采</w:t>
            </w:r>
          </w:p>
        </w:tc>
        <w:tc>
          <w:tcPr>
            <w:tcW w:w="2164" w:type="dxa"/>
            <w:vAlign w:val="top"/>
          </w:tcPr>
          <w:p w14:paraId="09D0286F">
            <w:pPr>
              <w:spacing w:line="319" w:lineRule="auto"/>
              <w:rPr>
                <w:rFonts w:ascii="Arial"/>
                <w:sz w:val="21"/>
              </w:rPr>
            </w:pPr>
          </w:p>
          <w:p w14:paraId="67C1DAC6">
            <w:pPr>
              <w:pStyle w:val="6"/>
              <w:spacing w:before="62" w:line="231" w:lineRule="auto"/>
              <w:ind w:left="794"/>
              <w:rPr>
                <w:sz w:val="19"/>
                <w:szCs w:val="19"/>
              </w:rPr>
            </w:pPr>
            <w:r>
              <w:rPr>
                <w:spacing w:val="4"/>
                <w:sz w:val="19"/>
                <w:szCs w:val="19"/>
              </w:rPr>
              <w:t>无变化</w:t>
            </w:r>
          </w:p>
        </w:tc>
        <w:tc>
          <w:tcPr>
            <w:tcW w:w="948" w:type="dxa"/>
            <w:vAlign w:val="top"/>
          </w:tcPr>
          <w:p w14:paraId="7FB78DF1">
            <w:pPr>
              <w:spacing w:line="360" w:lineRule="auto"/>
              <w:rPr>
                <w:rFonts w:ascii="Arial"/>
                <w:sz w:val="21"/>
              </w:rPr>
            </w:pPr>
          </w:p>
          <w:p w14:paraId="7384A215">
            <w:pPr>
              <w:spacing w:before="55" w:line="197" w:lineRule="auto"/>
              <w:ind w:left="191"/>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016</w:t>
            </w:r>
          </w:p>
        </w:tc>
        <w:tc>
          <w:tcPr>
            <w:tcW w:w="2170" w:type="dxa"/>
            <w:vAlign w:val="top"/>
          </w:tcPr>
          <w:p w14:paraId="24BE0423">
            <w:pPr>
              <w:pStyle w:val="6"/>
              <w:spacing w:before="239" w:line="253" w:lineRule="auto"/>
              <w:ind w:left="573" w:right="134" w:hanging="412"/>
              <w:rPr>
                <w:sz w:val="20"/>
                <w:szCs w:val="20"/>
              </w:rPr>
            </w:pPr>
            <w:r>
              <w:rPr>
                <w:spacing w:val="7"/>
                <w:sz w:val="20"/>
                <w:szCs w:val="20"/>
              </w:rPr>
              <w:t>重庆市黔江区太极乡</w:t>
            </w:r>
            <w:r>
              <w:rPr>
                <w:spacing w:val="4"/>
                <w:sz w:val="20"/>
                <w:szCs w:val="20"/>
              </w:rPr>
              <w:t xml:space="preserve"> </w:t>
            </w:r>
            <w:r>
              <w:rPr>
                <w:spacing w:val="7"/>
                <w:sz w:val="20"/>
                <w:szCs w:val="20"/>
              </w:rPr>
              <w:t>水槽萤石厂</w:t>
            </w:r>
          </w:p>
        </w:tc>
        <w:tc>
          <w:tcPr>
            <w:tcW w:w="1077" w:type="dxa"/>
            <w:vAlign w:val="top"/>
          </w:tcPr>
          <w:p w14:paraId="2B1FE1B7">
            <w:pPr>
              <w:pStyle w:val="6"/>
              <w:spacing w:before="240" w:line="257" w:lineRule="auto"/>
              <w:ind w:left="350" w:right="110" w:hanging="206"/>
              <w:rPr>
                <w:sz w:val="20"/>
                <w:szCs w:val="20"/>
              </w:rPr>
            </w:pPr>
            <w:r>
              <w:rPr>
                <w:spacing w:val="4"/>
                <w:sz w:val="20"/>
                <w:szCs w:val="20"/>
              </w:rPr>
              <w:t>萤石（普</w:t>
            </w:r>
            <w:r>
              <w:rPr>
                <w:sz w:val="20"/>
                <w:szCs w:val="20"/>
              </w:rPr>
              <w:t xml:space="preserve"> </w:t>
            </w:r>
            <w:r>
              <w:rPr>
                <w:spacing w:val="-5"/>
                <w:sz w:val="20"/>
                <w:szCs w:val="20"/>
              </w:rPr>
              <w:t>通）</w:t>
            </w:r>
          </w:p>
        </w:tc>
        <w:tc>
          <w:tcPr>
            <w:tcW w:w="1036" w:type="dxa"/>
            <w:vAlign w:val="top"/>
          </w:tcPr>
          <w:p w14:paraId="1B305197">
            <w:pPr>
              <w:spacing w:line="353" w:lineRule="auto"/>
              <w:rPr>
                <w:rFonts w:ascii="Arial"/>
                <w:sz w:val="21"/>
              </w:rPr>
            </w:pPr>
          </w:p>
          <w:p w14:paraId="0AEB5EE1">
            <w:pPr>
              <w:spacing w:before="57"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0.0183</w:t>
            </w:r>
          </w:p>
        </w:tc>
        <w:tc>
          <w:tcPr>
            <w:tcW w:w="1260" w:type="dxa"/>
            <w:tcBorders>
              <w:right w:val="single" w:color="000000" w:sz="10" w:space="0"/>
            </w:tcBorders>
            <w:vAlign w:val="top"/>
          </w:tcPr>
          <w:p w14:paraId="690A18F3">
            <w:pPr>
              <w:pStyle w:val="6"/>
              <w:spacing w:before="253" w:line="230" w:lineRule="auto"/>
              <w:ind w:left="446"/>
              <w:rPr>
                <w:sz w:val="19"/>
                <w:szCs w:val="19"/>
              </w:rPr>
            </w:pPr>
            <w:r>
              <w:rPr>
                <w:spacing w:val="2"/>
                <w:sz w:val="19"/>
                <w:szCs w:val="19"/>
              </w:rPr>
              <w:t>保留</w:t>
            </w:r>
          </w:p>
          <w:p w14:paraId="7EFF004C">
            <w:pPr>
              <w:pStyle w:val="6"/>
              <w:spacing w:before="22" w:line="231" w:lineRule="auto"/>
              <w:ind w:left="245"/>
              <w:rPr>
                <w:sz w:val="19"/>
                <w:szCs w:val="19"/>
              </w:rPr>
            </w:pPr>
            <w:r>
              <w:rPr>
                <w:spacing w:val="6"/>
                <w:sz w:val="19"/>
                <w:szCs w:val="19"/>
              </w:rPr>
              <w:t>地下开采</w:t>
            </w:r>
          </w:p>
        </w:tc>
      </w:tr>
      <w:tr w14:paraId="4CF9CD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511" w:type="dxa"/>
            <w:tcBorders>
              <w:left w:val="single" w:color="000000" w:sz="10" w:space="0"/>
            </w:tcBorders>
            <w:vAlign w:val="top"/>
          </w:tcPr>
          <w:p w14:paraId="0829C4BE">
            <w:pPr>
              <w:spacing w:line="362" w:lineRule="auto"/>
              <w:rPr>
                <w:rFonts w:ascii="Arial"/>
                <w:sz w:val="21"/>
              </w:rPr>
            </w:pPr>
          </w:p>
          <w:p w14:paraId="46097A45">
            <w:pPr>
              <w:spacing w:before="55" w:line="195" w:lineRule="auto"/>
              <w:ind w:left="161"/>
              <w:rPr>
                <w:rFonts w:ascii="Times New Roman" w:hAnsi="Times New Roman" w:eastAsia="Times New Roman" w:cs="Times New Roman"/>
                <w:sz w:val="19"/>
                <w:szCs w:val="19"/>
              </w:rPr>
            </w:pPr>
            <w:r>
              <w:rPr>
                <w:rFonts w:ascii="Times New Roman" w:hAnsi="Times New Roman" w:eastAsia="Times New Roman" w:cs="Times New Roman"/>
                <w:spacing w:val="-7"/>
                <w:sz w:val="19"/>
                <w:szCs w:val="19"/>
              </w:rPr>
              <w:t>17</w:t>
            </w:r>
          </w:p>
        </w:tc>
        <w:tc>
          <w:tcPr>
            <w:tcW w:w="874" w:type="dxa"/>
            <w:vAlign w:val="top"/>
          </w:tcPr>
          <w:p w14:paraId="753CE4AF">
            <w:pPr>
              <w:spacing w:line="362" w:lineRule="auto"/>
              <w:rPr>
                <w:rFonts w:ascii="Arial"/>
                <w:sz w:val="21"/>
              </w:rPr>
            </w:pPr>
          </w:p>
          <w:p w14:paraId="2319E80A">
            <w:pPr>
              <w:spacing w:before="54" w:line="197" w:lineRule="auto"/>
              <w:ind w:left="141"/>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017</w:t>
            </w:r>
          </w:p>
        </w:tc>
        <w:tc>
          <w:tcPr>
            <w:tcW w:w="1480" w:type="dxa"/>
            <w:vAlign w:val="top"/>
          </w:tcPr>
          <w:p w14:paraId="25E8CC35">
            <w:pPr>
              <w:pStyle w:val="6"/>
              <w:spacing w:before="107" w:line="231" w:lineRule="auto"/>
              <w:ind w:left="118"/>
              <w:rPr>
                <w:sz w:val="20"/>
                <w:szCs w:val="20"/>
              </w:rPr>
            </w:pPr>
            <w:r>
              <w:rPr>
                <w:spacing w:val="6"/>
                <w:sz w:val="20"/>
                <w:szCs w:val="20"/>
              </w:rPr>
              <w:t>重庆市黔江区</w:t>
            </w:r>
          </w:p>
          <w:p w14:paraId="22B907DD">
            <w:pPr>
              <w:pStyle w:val="6"/>
              <w:spacing w:before="23" w:line="231" w:lineRule="auto"/>
              <w:ind w:left="110"/>
              <w:rPr>
                <w:sz w:val="20"/>
                <w:szCs w:val="20"/>
              </w:rPr>
            </w:pPr>
            <w:r>
              <w:rPr>
                <w:spacing w:val="7"/>
                <w:sz w:val="20"/>
                <w:szCs w:val="20"/>
              </w:rPr>
              <w:t>鹅池镇萤石开</w:t>
            </w:r>
          </w:p>
          <w:p w14:paraId="2B1AD8B8">
            <w:pPr>
              <w:pStyle w:val="6"/>
              <w:spacing w:before="20" w:line="231" w:lineRule="auto"/>
              <w:ind w:left="533"/>
              <w:rPr>
                <w:sz w:val="20"/>
                <w:szCs w:val="20"/>
              </w:rPr>
            </w:pPr>
            <w:r>
              <w:rPr>
                <w:spacing w:val="1"/>
                <w:sz w:val="20"/>
                <w:szCs w:val="20"/>
              </w:rPr>
              <w:t>采厂</w:t>
            </w:r>
          </w:p>
        </w:tc>
        <w:tc>
          <w:tcPr>
            <w:tcW w:w="964" w:type="dxa"/>
            <w:vAlign w:val="top"/>
          </w:tcPr>
          <w:p w14:paraId="662D12F6">
            <w:pPr>
              <w:pStyle w:val="6"/>
              <w:spacing w:before="244" w:line="255" w:lineRule="auto"/>
              <w:ind w:left="279" w:right="113" w:hanging="163"/>
              <w:rPr>
                <w:sz w:val="20"/>
                <w:szCs w:val="20"/>
              </w:rPr>
            </w:pPr>
            <w:r>
              <w:rPr>
                <w:spacing w:val="-18"/>
                <w:sz w:val="20"/>
                <w:szCs w:val="20"/>
              </w:rPr>
              <w:t>萤石（普</w:t>
            </w:r>
            <w:r>
              <w:rPr>
                <w:sz w:val="20"/>
                <w:szCs w:val="20"/>
              </w:rPr>
              <w:t xml:space="preserve"> </w:t>
            </w:r>
            <w:r>
              <w:rPr>
                <w:spacing w:val="-5"/>
                <w:sz w:val="20"/>
                <w:szCs w:val="20"/>
              </w:rPr>
              <w:t>通）</w:t>
            </w:r>
          </w:p>
        </w:tc>
        <w:tc>
          <w:tcPr>
            <w:tcW w:w="1029" w:type="dxa"/>
            <w:vAlign w:val="top"/>
          </w:tcPr>
          <w:p w14:paraId="59ACBDD3">
            <w:pPr>
              <w:spacing w:line="357" w:lineRule="auto"/>
              <w:rPr>
                <w:rFonts w:ascii="Arial"/>
                <w:sz w:val="21"/>
              </w:rPr>
            </w:pPr>
          </w:p>
          <w:p w14:paraId="17D60DDC">
            <w:pPr>
              <w:spacing w:before="57"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0.0113</w:t>
            </w:r>
          </w:p>
        </w:tc>
        <w:tc>
          <w:tcPr>
            <w:tcW w:w="1152" w:type="dxa"/>
            <w:vAlign w:val="top"/>
          </w:tcPr>
          <w:p w14:paraId="5F404061">
            <w:pPr>
              <w:pStyle w:val="6"/>
              <w:spacing w:before="257" w:line="230" w:lineRule="auto"/>
              <w:ind w:left="382"/>
              <w:rPr>
                <w:sz w:val="19"/>
                <w:szCs w:val="19"/>
              </w:rPr>
            </w:pPr>
            <w:r>
              <w:rPr>
                <w:spacing w:val="2"/>
                <w:sz w:val="19"/>
                <w:szCs w:val="19"/>
              </w:rPr>
              <w:t>保留</w:t>
            </w:r>
          </w:p>
          <w:p w14:paraId="16DEBDFD">
            <w:pPr>
              <w:pStyle w:val="6"/>
              <w:spacing w:before="22" w:line="231" w:lineRule="auto"/>
              <w:ind w:left="183"/>
              <w:rPr>
                <w:sz w:val="19"/>
                <w:szCs w:val="19"/>
              </w:rPr>
            </w:pPr>
            <w:r>
              <w:rPr>
                <w:spacing w:val="6"/>
                <w:sz w:val="19"/>
                <w:szCs w:val="19"/>
              </w:rPr>
              <w:t>地下开采</w:t>
            </w:r>
          </w:p>
        </w:tc>
        <w:tc>
          <w:tcPr>
            <w:tcW w:w="2164" w:type="dxa"/>
            <w:vAlign w:val="top"/>
          </w:tcPr>
          <w:p w14:paraId="048CFC05">
            <w:pPr>
              <w:spacing w:line="321" w:lineRule="auto"/>
              <w:rPr>
                <w:rFonts w:ascii="Arial"/>
                <w:sz w:val="21"/>
              </w:rPr>
            </w:pPr>
          </w:p>
          <w:p w14:paraId="78BEBFF6">
            <w:pPr>
              <w:pStyle w:val="6"/>
              <w:spacing w:before="62" w:line="231" w:lineRule="auto"/>
              <w:ind w:left="794"/>
              <w:rPr>
                <w:sz w:val="19"/>
                <w:szCs w:val="19"/>
              </w:rPr>
            </w:pPr>
            <w:r>
              <w:rPr>
                <w:spacing w:val="4"/>
                <w:sz w:val="19"/>
                <w:szCs w:val="19"/>
              </w:rPr>
              <w:t>无变化</w:t>
            </w:r>
          </w:p>
        </w:tc>
        <w:tc>
          <w:tcPr>
            <w:tcW w:w="948" w:type="dxa"/>
            <w:vAlign w:val="top"/>
          </w:tcPr>
          <w:p w14:paraId="5B75529C">
            <w:pPr>
              <w:spacing w:line="362" w:lineRule="auto"/>
              <w:rPr>
                <w:rFonts w:ascii="Arial"/>
                <w:sz w:val="21"/>
              </w:rPr>
            </w:pPr>
          </w:p>
          <w:p w14:paraId="5E13C29D">
            <w:pPr>
              <w:spacing w:before="54" w:line="197" w:lineRule="auto"/>
              <w:ind w:left="191"/>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017</w:t>
            </w:r>
          </w:p>
        </w:tc>
        <w:tc>
          <w:tcPr>
            <w:tcW w:w="2170" w:type="dxa"/>
            <w:vAlign w:val="top"/>
          </w:tcPr>
          <w:p w14:paraId="342579EF">
            <w:pPr>
              <w:pStyle w:val="6"/>
              <w:spacing w:before="243" w:line="251" w:lineRule="auto"/>
              <w:ind w:left="581" w:right="134" w:hanging="420"/>
              <w:rPr>
                <w:sz w:val="20"/>
                <w:szCs w:val="20"/>
              </w:rPr>
            </w:pPr>
            <w:r>
              <w:rPr>
                <w:spacing w:val="7"/>
                <w:sz w:val="20"/>
                <w:szCs w:val="20"/>
              </w:rPr>
              <w:t>重庆市黔江区鹅池镇</w:t>
            </w:r>
            <w:r>
              <w:rPr>
                <w:spacing w:val="4"/>
                <w:sz w:val="20"/>
                <w:szCs w:val="20"/>
              </w:rPr>
              <w:t xml:space="preserve"> </w:t>
            </w:r>
            <w:r>
              <w:rPr>
                <w:spacing w:val="5"/>
                <w:sz w:val="20"/>
                <w:szCs w:val="20"/>
              </w:rPr>
              <w:t>萤石开采厂</w:t>
            </w:r>
          </w:p>
        </w:tc>
        <w:tc>
          <w:tcPr>
            <w:tcW w:w="1077" w:type="dxa"/>
            <w:vAlign w:val="top"/>
          </w:tcPr>
          <w:p w14:paraId="5CBC21EA">
            <w:pPr>
              <w:pStyle w:val="6"/>
              <w:spacing w:before="244" w:line="255" w:lineRule="auto"/>
              <w:ind w:left="350" w:right="110" w:hanging="206"/>
              <w:rPr>
                <w:sz w:val="20"/>
                <w:szCs w:val="20"/>
              </w:rPr>
            </w:pPr>
            <w:r>
              <w:rPr>
                <w:spacing w:val="4"/>
                <w:sz w:val="20"/>
                <w:szCs w:val="20"/>
              </w:rPr>
              <w:t>萤石（普</w:t>
            </w:r>
            <w:r>
              <w:rPr>
                <w:sz w:val="20"/>
                <w:szCs w:val="20"/>
              </w:rPr>
              <w:t xml:space="preserve"> </w:t>
            </w:r>
            <w:r>
              <w:rPr>
                <w:spacing w:val="-5"/>
                <w:sz w:val="20"/>
                <w:szCs w:val="20"/>
              </w:rPr>
              <w:t>通）</w:t>
            </w:r>
          </w:p>
        </w:tc>
        <w:tc>
          <w:tcPr>
            <w:tcW w:w="1036" w:type="dxa"/>
            <w:vAlign w:val="top"/>
          </w:tcPr>
          <w:p w14:paraId="6E190658">
            <w:pPr>
              <w:spacing w:line="357" w:lineRule="auto"/>
              <w:rPr>
                <w:rFonts w:ascii="Arial"/>
                <w:sz w:val="21"/>
              </w:rPr>
            </w:pPr>
          </w:p>
          <w:p w14:paraId="365ABEA8">
            <w:pPr>
              <w:spacing w:before="57"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0.0113</w:t>
            </w:r>
          </w:p>
        </w:tc>
        <w:tc>
          <w:tcPr>
            <w:tcW w:w="1260" w:type="dxa"/>
            <w:tcBorders>
              <w:right w:val="single" w:color="000000" w:sz="10" w:space="0"/>
            </w:tcBorders>
            <w:vAlign w:val="top"/>
          </w:tcPr>
          <w:p w14:paraId="4D05176E">
            <w:pPr>
              <w:pStyle w:val="6"/>
              <w:spacing w:before="257" w:line="230" w:lineRule="auto"/>
              <w:ind w:left="446"/>
              <w:rPr>
                <w:sz w:val="19"/>
                <w:szCs w:val="19"/>
              </w:rPr>
            </w:pPr>
            <w:r>
              <w:rPr>
                <w:spacing w:val="2"/>
                <w:sz w:val="19"/>
                <w:szCs w:val="19"/>
              </w:rPr>
              <w:t>保留</w:t>
            </w:r>
          </w:p>
          <w:p w14:paraId="6986EE14">
            <w:pPr>
              <w:pStyle w:val="6"/>
              <w:spacing w:before="22" w:line="231" w:lineRule="auto"/>
              <w:ind w:left="245"/>
              <w:rPr>
                <w:sz w:val="19"/>
                <w:szCs w:val="19"/>
              </w:rPr>
            </w:pPr>
            <w:r>
              <w:rPr>
                <w:spacing w:val="6"/>
                <w:sz w:val="19"/>
                <w:szCs w:val="19"/>
              </w:rPr>
              <w:t>地下开采</w:t>
            </w:r>
          </w:p>
        </w:tc>
      </w:tr>
      <w:tr w14:paraId="0D1B6C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511" w:type="dxa"/>
            <w:tcBorders>
              <w:left w:val="single" w:color="000000" w:sz="10" w:space="0"/>
            </w:tcBorders>
            <w:vAlign w:val="top"/>
          </w:tcPr>
          <w:p w14:paraId="117E5837">
            <w:pPr>
              <w:spacing w:line="366" w:lineRule="auto"/>
              <w:rPr>
                <w:rFonts w:ascii="Arial"/>
                <w:sz w:val="21"/>
              </w:rPr>
            </w:pPr>
          </w:p>
          <w:p w14:paraId="0E02EB5D">
            <w:pPr>
              <w:spacing w:before="55" w:line="195" w:lineRule="auto"/>
              <w:ind w:left="161"/>
              <w:rPr>
                <w:rFonts w:ascii="Times New Roman" w:hAnsi="Times New Roman" w:eastAsia="Times New Roman" w:cs="Times New Roman"/>
                <w:sz w:val="19"/>
                <w:szCs w:val="19"/>
              </w:rPr>
            </w:pPr>
            <w:r>
              <w:rPr>
                <w:rFonts w:ascii="Times New Roman" w:hAnsi="Times New Roman" w:eastAsia="Times New Roman" w:cs="Times New Roman"/>
                <w:spacing w:val="-7"/>
                <w:sz w:val="19"/>
                <w:szCs w:val="19"/>
              </w:rPr>
              <w:t>18</w:t>
            </w:r>
          </w:p>
        </w:tc>
        <w:tc>
          <w:tcPr>
            <w:tcW w:w="874" w:type="dxa"/>
            <w:vAlign w:val="top"/>
          </w:tcPr>
          <w:p w14:paraId="3495D0A0">
            <w:pPr>
              <w:spacing w:line="366" w:lineRule="auto"/>
              <w:rPr>
                <w:rFonts w:ascii="Arial"/>
                <w:sz w:val="21"/>
              </w:rPr>
            </w:pPr>
          </w:p>
          <w:p w14:paraId="70ADC64C">
            <w:pPr>
              <w:spacing w:before="54" w:line="197" w:lineRule="auto"/>
              <w:ind w:left="141"/>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018</w:t>
            </w:r>
          </w:p>
        </w:tc>
        <w:tc>
          <w:tcPr>
            <w:tcW w:w="1480" w:type="dxa"/>
            <w:vAlign w:val="top"/>
          </w:tcPr>
          <w:p w14:paraId="3A498646">
            <w:pPr>
              <w:pStyle w:val="6"/>
              <w:spacing w:before="111" w:line="231" w:lineRule="auto"/>
              <w:ind w:left="118"/>
              <w:rPr>
                <w:sz w:val="20"/>
                <w:szCs w:val="20"/>
              </w:rPr>
            </w:pPr>
            <w:r>
              <w:rPr>
                <w:spacing w:val="6"/>
                <w:sz w:val="20"/>
                <w:szCs w:val="20"/>
              </w:rPr>
              <w:t>重庆市黔江区</w:t>
            </w:r>
          </w:p>
          <w:p w14:paraId="7EC0977B">
            <w:pPr>
              <w:pStyle w:val="6"/>
              <w:spacing w:before="20" w:line="231" w:lineRule="auto"/>
              <w:ind w:left="110"/>
              <w:rPr>
                <w:sz w:val="20"/>
                <w:szCs w:val="20"/>
              </w:rPr>
            </w:pPr>
            <w:r>
              <w:rPr>
                <w:spacing w:val="7"/>
                <w:sz w:val="20"/>
                <w:szCs w:val="20"/>
              </w:rPr>
              <w:t>鹅池镇四季采</w:t>
            </w:r>
          </w:p>
          <w:p w14:paraId="57BEF410">
            <w:pPr>
              <w:pStyle w:val="6"/>
              <w:spacing w:before="23" w:line="232" w:lineRule="auto"/>
              <w:ind w:left="531"/>
              <w:rPr>
                <w:sz w:val="20"/>
                <w:szCs w:val="20"/>
              </w:rPr>
            </w:pPr>
            <w:r>
              <w:rPr>
                <w:spacing w:val="2"/>
                <w:sz w:val="20"/>
                <w:szCs w:val="20"/>
              </w:rPr>
              <w:t>矿场</w:t>
            </w:r>
          </w:p>
        </w:tc>
        <w:tc>
          <w:tcPr>
            <w:tcW w:w="964" w:type="dxa"/>
            <w:vAlign w:val="top"/>
          </w:tcPr>
          <w:p w14:paraId="2A7AE8E6">
            <w:pPr>
              <w:pStyle w:val="6"/>
              <w:spacing w:before="248" w:line="255" w:lineRule="auto"/>
              <w:ind w:left="279" w:right="113" w:hanging="163"/>
              <w:rPr>
                <w:sz w:val="20"/>
                <w:szCs w:val="20"/>
              </w:rPr>
            </w:pPr>
            <w:r>
              <w:rPr>
                <w:spacing w:val="-18"/>
                <w:sz w:val="20"/>
                <w:szCs w:val="20"/>
              </w:rPr>
              <w:t>萤石（普</w:t>
            </w:r>
            <w:r>
              <w:rPr>
                <w:sz w:val="20"/>
                <w:szCs w:val="20"/>
              </w:rPr>
              <w:t xml:space="preserve"> </w:t>
            </w:r>
            <w:r>
              <w:rPr>
                <w:spacing w:val="-5"/>
                <w:sz w:val="20"/>
                <w:szCs w:val="20"/>
              </w:rPr>
              <w:t>通）</w:t>
            </w:r>
          </w:p>
        </w:tc>
        <w:tc>
          <w:tcPr>
            <w:tcW w:w="1029" w:type="dxa"/>
            <w:vAlign w:val="top"/>
          </w:tcPr>
          <w:p w14:paraId="7C80E61E">
            <w:pPr>
              <w:spacing w:line="358" w:lineRule="auto"/>
              <w:rPr>
                <w:rFonts w:ascii="Arial"/>
                <w:sz w:val="21"/>
              </w:rPr>
            </w:pPr>
          </w:p>
          <w:p w14:paraId="20E82A0B">
            <w:pPr>
              <w:spacing w:before="58"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0.0116</w:t>
            </w:r>
          </w:p>
        </w:tc>
        <w:tc>
          <w:tcPr>
            <w:tcW w:w="1152" w:type="dxa"/>
            <w:vAlign w:val="top"/>
          </w:tcPr>
          <w:p w14:paraId="6CA2E0CF">
            <w:pPr>
              <w:pStyle w:val="6"/>
              <w:spacing w:before="259" w:line="230" w:lineRule="auto"/>
              <w:ind w:left="382"/>
              <w:rPr>
                <w:sz w:val="19"/>
                <w:szCs w:val="19"/>
              </w:rPr>
            </w:pPr>
            <w:r>
              <w:rPr>
                <w:spacing w:val="2"/>
                <w:sz w:val="19"/>
                <w:szCs w:val="19"/>
              </w:rPr>
              <w:t>保留</w:t>
            </w:r>
          </w:p>
          <w:p w14:paraId="6FA15B27">
            <w:pPr>
              <w:pStyle w:val="6"/>
              <w:spacing w:before="22" w:line="231" w:lineRule="auto"/>
              <w:ind w:left="183"/>
              <w:rPr>
                <w:sz w:val="19"/>
                <w:szCs w:val="19"/>
              </w:rPr>
            </w:pPr>
            <w:r>
              <w:rPr>
                <w:spacing w:val="6"/>
                <w:sz w:val="19"/>
                <w:szCs w:val="19"/>
              </w:rPr>
              <w:t>地下开采</w:t>
            </w:r>
          </w:p>
        </w:tc>
        <w:tc>
          <w:tcPr>
            <w:tcW w:w="2164" w:type="dxa"/>
            <w:vAlign w:val="top"/>
          </w:tcPr>
          <w:p w14:paraId="495A10A9">
            <w:pPr>
              <w:spacing w:line="325" w:lineRule="auto"/>
              <w:rPr>
                <w:rFonts w:ascii="Arial"/>
                <w:sz w:val="21"/>
              </w:rPr>
            </w:pPr>
          </w:p>
          <w:p w14:paraId="0E3D102A">
            <w:pPr>
              <w:pStyle w:val="6"/>
              <w:spacing w:before="62" w:line="231" w:lineRule="auto"/>
              <w:ind w:left="794"/>
              <w:rPr>
                <w:sz w:val="19"/>
                <w:szCs w:val="19"/>
              </w:rPr>
            </w:pPr>
            <w:r>
              <w:rPr>
                <w:spacing w:val="4"/>
                <w:sz w:val="19"/>
                <w:szCs w:val="19"/>
              </w:rPr>
              <w:t>无变化</w:t>
            </w:r>
          </w:p>
        </w:tc>
        <w:tc>
          <w:tcPr>
            <w:tcW w:w="948" w:type="dxa"/>
            <w:vAlign w:val="top"/>
          </w:tcPr>
          <w:p w14:paraId="54DF0589">
            <w:pPr>
              <w:spacing w:line="366" w:lineRule="auto"/>
              <w:rPr>
                <w:rFonts w:ascii="Arial"/>
                <w:sz w:val="21"/>
              </w:rPr>
            </w:pPr>
          </w:p>
          <w:p w14:paraId="4776135D">
            <w:pPr>
              <w:spacing w:before="54" w:line="197" w:lineRule="auto"/>
              <w:ind w:left="191"/>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018</w:t>
            </w:r>
          </w:p>
        </w:tc>
        <w:tc>
          <w:tcPr>
            <w:tcW w:w="2170" w:type="dxa"/>
            <w:vAlign w:val="top"/>
          </w:tcPr>
          <w:p w14:paraId="4197DCE3">
            <w:pPr>
              <w:pStyle w:val="6"/>
              <w:spacing w:before="247" w:line="251" w:lineRule="auto"/>
              <w:ind w:left="598" w:right="134" w:hanging="437"/>
              <w:rPr>
                <w:sz w:val="20"/>
                <w:szCs w:val="20"/>
              </w:rPr>
            </w:pPr>
            <w:r>
              <w:rPr>
                <w:spacing w:val="7"/>
                <w:sz w:val="20"/>
                <w:szCs w:val="20"/>
              </w:rPr>
              <w:t>重庆市黔江区鹅池镇</w:t>
            </w:r>
            <w:r>
              <w:rPr>
                <w:spacing w:val="4"/>
                <w:sz w:val="20"/>
                <w:szCs w:val="20"/>
              </w:rPr>
              <w:t xml:space="preserve"> </w:t>
            </w:r>
            <w:r>
              <w:rPr>
                <w:spacing w:val="2"/>
                <w:sz w:val="20"/>
                <w:szCs w:val="20"/>
              </w:rPr>
              <w:t>四季采矿场</w:t>
            </w:r>
          </w:p>
        </w:tc>
        <w:tc>
          <w:tcPr>
            <w:tcW w:w="1077" w:type="dxa"/>
            <w:vAlign w:val="top"/>
          </w:tcPr>
          <w:p w14:paraId="4243FFC6">
            <w:pPr>
              <w:pStyle w:val="6"/>
              <w:spacing w:before="248" w:line="255" w:lineRule="auto"/>
              <w:ind w:left="350" w:right="110" w:hanging="206"/>
              <w:rPr>
                <w:sz w:val="20"/>
                <w:szCs w:val="20"/>
              </w:rPr>
            </w:pPr>
            <w:r>
              <w:rPr>
                <w:spacing w:val="4"/>
                <w:sz w:val="20"/>
                <w:szCs w:val="20"/>
              </w:rPr>
              <w:t>萤石（普</w:t>
            </w:r>
            <w:r>
              <w:rPr>
                <w:sz w:val="20"/>
                <w:szCs w:val="20"/>
              </w:rPr>
              <w:t xml:space="preserve"> </w:t>
            </w:r>
            <w:r>
              <w:rPr>
                <w:spacing w:val="-5"/>
                <w:sz w:val="20"/>
                <w:szCs w:val="20"/>
              </w:rPr>
              <w:t>通）</w:t>
            </w:r>
          </w:p>
        </w:tc>
        <w:tc>
          <w:tcPr>
            <w:tcW w:w="1036" w:type="dxa"/>
            <w:vAlign w:val="top"/>
          </w:tcPr>
          <w:p w14:paraId="71807924">
            <w:pPr>
              <w:spacing w:line="358" w:lineRule="auto"/>
              <w:rPr>
                <w:rFonts w:ascii="Arial"/>
                <w:sz w:val="21"/>
              </w:rPr>
            </w:pPr>
          </w:p>
          <w:p w14:paraId="62448A97">
            <w:pPr>
              <w:spacing w:before="58"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0.0116</w:t>
            </w:r>
          </w:p>
        </w:tc>
        <w:tc>
          <w:tcPr>
            <w:tcW w:w="1260" w:type="dxa"/>
            <w:tcBorders>
              <w:right w:val="single" w:color="000000" w:sz="10" w:space="0"/>
            </w:tcBorders>
            <w:vAlign w:val="top"/>
          </w:tcPr>
          <w:p w14:paraId="15BAC3F5">
            <w:pPr>
              <w:pStyle w:val="6"/>
              <w:spacing w:before="259" w:line="230" w:lineRule="auto"/>
              <w:ind w:left="446"/>
              <w:rPr>
                <w:sz w:val="19"/>
                <w:szCs w:val="19"/>
              </w:rPr>
            </w:pPr>
            <w:r>
              <w:rPr>
                <w:spacing w:val="2"/>
                <w:sz w:val="19"/>
                <w:szCs w:val="19"/>
              </w:rPr>
              <w:t>保留</w:t>
            </w:r>
          </w:p>
          <w:p w14:paraId="6EAFF8C6">
            <w:pPr>
              <w:pStyle w:val="6"/>
              <w:spacing w:before="22" w:line="231" w:lineRule="auto"/>
              <w:ind w:left="245"/>
              <w:rPr>
                <w:sz w:val="19"/>
                <w:szCs w:val="19"/>
              </w:rPr>
            </w:pPr>
            <w:r>
              <w:rPr>
                <w:spacing w:val="6"/>
                <w:sz w:val="19"/>
                <w:szCs w:val="19"/>
              </w:rPr>
              <w:t>地下开采</w:t>
            </w:r>
          </w:p>
        </w:tc>
      </w:tr>
      <w:tr w14:paraId="0567F0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1" w:hRule="atLeast"/>
        </w:trPr>
        <w:tc>
          <w:tcPr>
            <w:tcW w:w="511" w:type="dxa"/>
            <w:tcBorders>
              <w:left w:val="single" w:color="000000" w:sz="10" w:space="0"/>
              <w:bottom w:val="single" w:color="000000" w:sz="10" w:space="0"/>
            </w:tcBorders>
            <w:vAlign w:val="top"/>
          </w:tcPr>
          <w:p w14:paraId="0AC33ED7">
            <w:pPr>
              <w:spacing w:line="370" w:lineRule="auto"/>
              <w:rPr>
                <w:rFonts w:ascii="Arial"/>
                <w:sz w:val="21"/>
              </w:rPr>
            </w:pPr>
          </w:p>
          <w:p w14:paraId="4E954039">
            <w:pPr>
              <w:spacing w:before="55" w:line="195" w:lineRule="auto"/>
              <w:ind w:left="161"/>
              <w:rPr>
                <w:rFonts w:ascii="Times New Roman" w:hAnsi="Times New Roman" w:eastAsia="Times New Roman" w:cs="Times New Roman"/>
                <w:sz w:val="19"/>
                <w:szCs w:val="19"/>
              </w:rPr>
            </w:pPr>
            <w:r>
              <w:rPr>
                <w:rFonts w:ascii="Times New Roman" w:hAnsi="Times New Roman" w:eastAsia="Times New Roman" w:cs="Times New Roman"/>
                <w:spacing w:val="-7"/>
                <w:sz w:val="19"/>
                <w:szCs w:val="19"/>
              </w:rPr>
              <w:t>19</w:t>
            </w:r>
          </w:p>
        </w:tc>
        <w:tc>
          <w:tcPr>
            <w:tcW w:w="874" w:type="dxa"/>
            <w:tcBorders>
              <w:bottom w:val="single" w:color="000000" w:sz="10" w:space="0"/>
            </w:tcBorders>
            <w:vAlign w:val="top"/>
          </w:tcPr>
          <w:p w14:paraId="00948A68">
            <w:pPr>
              <w:spacing w:line="370" w:lineRule="auto"/>
              <w:rPr>
                <w:rFonts w:ascii="Arial"/>
                <w:sz w:val="21"/>
              </w:rPr>
            </w:pPr>
          </w:p>
          <w:p w14:paraId="739B8171">
            <w:pPr>
              <w:spacing w:before="54" w:line="197" w:lineRule="auto"/>
              <w:ind w:left="141"/>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019</w:t>
            </w:r>
          </w:p>
        </w:tc>
        <w:tc>
          <w:tcPr>
            <w:tcW w:w="1480" w:type="dxa"/>
            <w:tcBorders>
              <w:bottom w:val="single" w:color="000000" w:sz="10" w:space="0"/>
            </w:tcBorders>
            <w:vAlign w:val="top"/>
          </w:tcPr>
          <w:p w14:paraId="62E62AB4">
            <w:pPr>
              <w:pStyle w:val="6"/>
              <w:spacing w:before="115" w:line="231" w:lineRule="auto"/>
              <w:ind w:left="118"/>
              <w:rPr>
                <w:sz w:val="20"/>
                <w:szCs w:val="20"/>
              </w:rPr>
            </w:pPr>
            <w:r>
              <w:rPr>
                <w:spacing w:val="6"/>
                <w:sz w:val="20"/>
                <w:szCs w:val="20"/>
              </w:rPr>
              <w:t>重庆市黔江区</w:t>
            </w:r>
          </w:p>
          <w:p w14:paraId="49634A31">
            <w:pPr>
              <w:pStyle w:val="6"/>
              <w:spacing w:before="20" w:line="232" w:lineRule="auto"/>
              <w:ind w:left="110"/>
              <w:rPr>
                <w:sz w:val="20"/>
                <w:szCs w:val="20"/>
              </w:rPr>
            </w:pPr>
            <w:r>
              <w:rPr>
                <w:spacing w:val="7"/>
                <w:sz w:val="20"/>
                <w:szCs w:val="20"/>
              </w:rPr>
              <w:t>鹅池镇铁厂坝</w:t>
            </w:r>
          </w:p>
          <w:p w14:paraId="4661DDC6">
            <w:pPr>
              <w:pStyle w:val="6"/>
              <w:spacing w:before="19" w:line="232" w:lineRule="auto"/>
              <w:ind w:left="118"/>
              <w:rPr>
                <w:sz w:val="20"/>
                <w:szCs w:val="20"/>
              </w:rPr>
            </w:pPr>
            <w:r>
              <w:rPr>
                <w:spacing w:val="6"/>
                <w:sz w:val="20"/>
                <w:szCs w:val="20"/>
              </w:rPr>
              <w:t>萤石重晶石矿</w:t>
            </w:r>
          </w:p>
        </w:tc>
        <w:tc>
          <w:tcPr>
            <w:tcW w:w="964" w:type="dxa"/>
            <w:tcBorders>
              <w:bottom w:val="single" w:color="000000" w:sz="10" w:space="0"/>
            </w:tcBorders>
            <w:vAlign w:val="top"/>
          </w:tcPr>
          <w:p w14:paraId="4AEC2F33">
            <w:pPr>
              <w:pStyle w:val="6"/>
              <w:spacing w:before="250" w:line="257" w:lineRule="auto"/>
              <w:ind w:left="279" w:right="113" w:hanging="163"/>
              <w:rPr>
                <w:sz w:val="20"/>
                <w:szCs w:val="20"/>
              </w:rPr>
            </w:pPr>
            <w:r>
              <w:rPr>
                <w:spacing w:val="-18"/>
                <w:sz w:val="20"/>
                <w:szCs w:val="20"/>
              </w:rPr>
              <w:t>萤石（普</w:t>
            </w:r>
            <w:r>
              <w:rPr>
                <w:sz w:val="20"/>
                <w:szCs w:val="20"/>
              </w:rPr>
              <w:t xml:space="preserve"> </w:t>
            </w:r>
            <w:r>
              <w:rPr>
                <w:spacing w:val="-5"/>
                <w:sz w:val="20"/>
                <w:szCs w:val="20"/>
              </w:rPr>
              <w:t>通）</w:t>
            </w:r>
          </w:p>
        </w:tc>
        <w:tc>
          <w:tcPr>
            <w:tcW w:w="1029" w:type="dxa"/>
            <w:tcBorders>
              <w:bottom w:val="single" w:color="000000" w:sz="10" w:space="0"/>
            </w:tcBorders>
            <w:vAlign w:val="top"/>
          </w:tcPr>
          <w:p w14:paraId="11E48BEC">
            <w:pPr>
              <w:spacing w:line="362" w:lineRule="auto"/>
              <w:rPr>
                <w:rFonts w:ascii="Arial"/>
                <w:sz w:val="21"/>
              </w:rPr>
            </w:pPr>
          </w:p>
          <w:p w14:paraId="258F984A">
            <w:pPr>
              <w:spacing w:before="58"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0.2194</w:t>
            </w:r>
          </w:p>
        </w:tc>
        <w:tc>
          <w:tcPr>
            <w:tcW w:w="1152" w:type="dxa"/>
            <w:tcBorders>
              <w:bottom w:val="single" w:color="000000" w:sz="10" w:space="0"/>
            </w:tcBorders>
            <w:vAlign w:val="top"/>
          </w:tcPr>
          <w:p w14:paraId="599FF62E">
            <w:pPr>
              <w:pStyle w:val="6"/>
              <w:spacing w:before="263" w:line="230" w:lineRule="auto"/>
              <w:ind w:left="382"/>
              <w:rPr>
                <w:sz w:val="19"/>
                <w:szCs w:val="19"/>
              </w:rPr>
            </w:pPr>
            <w:r>
              <w:rPr>
                <w:spacing w:val="2"/>
                <w:sz w:val="19"/>
                <w:szCs w:val="19"/>
              </w:rPr>
              <w:t>保留</w:t>
            </w:r>
          </w:p>
          <w:p w14:paraId="042118F2">
            <w:pPr>
              <w:pStyle w:val="6"/>
              <w:spacing w:before="22" w:line="231" w:lineRule="auto"/>
              <w:ind w:left="183"/>
              <w:rPr>
                <w:sz w:val="19"/>
                <w:szCs w:val="19"/>
              </w:rPr>
            </w:pPr>
            <w:r>
              <w:rPr>
                <w:spacing w:val="6"/>
                <w:sz w:val="19"/>
                <w:szCs w:val="19"/>
              </w:rPr>
              <w:t>地下开采</w:t>
            </w:r>
          </w:p>
        </w:tc>
        <w:tc>
          <w:tcPr>
            <w:tcW w:w="2164" w:type="dxa"/>
            <w:tcBorders>
              <w:bottom w:val="single" w:color="000000" w:sz="10" w:space="0"/>
            </w:tcBorders>
            <w:vAlign w:val="top"/>
          </w:tcPr>
          <w:p w14:paraId="0569579A">
            <w:pPr>
              <w:spacing w:line="329" w:lineRule="auto"/>
              <w:rPr>
                <w:rFonts w:ascii="Arial"/>
                <w:sz w:val="21"/>
              </w:rPr>
            </w:pPr>
          </w:p>
          <w:p w14:paraId="1E429895">
            <w:pPr>
              <w:pStyle w:val="6"/>
              <w:spacing w:before="62" w:line="231" w:lineRule="auto"/>
              <w:ind w:left="794"/>
              <w:rPr>
                <w:sz w:val="19"/>
                <w:szCs w:val="19"/>
              </w:rPr>
            </w:pPr>
            <w:r>
              <w:rPr>
                <w:spacing w:val="4"/>
                <w:sz w:val="19"/>
                <w:szCs w:val="19"/>
              </w:rPr>
              <w:t>无变化</w:t>
            </w:r>
          </w:p>
        </w:tc>
        <w:tc>
          <w:tcPr>
            <w:tcW w:w="948" w:type="dxa"/>
            <w:tcBorders>
              <w:bottom w:val="single" w:color="000000" w:sz="10" w:space="0"/>
            </w:tcBorders>
            <w:vAlign w:val="top"/>
          </w:tcPr>
          <w:p w14:paraId="7E82F19D">
            <w:pPr>
              <w:spacing w:line="370" w:lineRule="auto"/>
              <w:rPr>
                <w:rFonts w:ascii="Arial"/>
                <w:sz w:val="21"/>
              </w:rPr>
            </w:pPr>
          </w:p>
          <w:p w14:paraId="42C58D8A">
            <w:pPr>
              <w:spacing w:before="54" w:line="197" w:lineRule="auto"/>
              <w:ind w:left="191"/>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019</w:t>
            </w:r>
          </w:p>
        </w:tc>
        <w:tc>
          <w:tcPr>
            <w:tcW w:w="2170" w:type="dxa"/>
            <w:tcBorders>
              <w:bottom w:val="single" w:color="000000" w:sz="10" w:space="0"/>
            </w:tcBorders>
            <w:vAlign w:val="top"/>
          </w:tcPr>
          <w:p w14:paraId="52FEB968">
            <w:pPr>
              <w:pStyle w:val="6"/>
              <w:spacing w:before="250" w:line="253" w:lineRule="auto"/>
              <w:ind w:left="157" w:right="134" w:firstLine="4"/>
              <w:rPr>
                <w:sz w:val="20"/>
                <w:szCs w:val="20"/>
              </w:rPr>
            </w:pPr>
            <w:r>
              <w:rPr>
                <w:spacing w:val="7"/>
                <w:sz w:val="20"/>
                <w:szCs w:val="20"/>
              </w:rPr>
              <w:t>重庆市黔江区鹅池镇</w:t>
            </w:r>
            <w:r>
              <w:rPr>
                <w:spacing w:val="4"/>
                <w:sz w:val="20"/>
                <w:szCs w:val="20"/>
              </w:rPr>
              <w:t xml:space="preserve"> </w:t>
            </w:r>
            <w:r>
              <w:rPr>
                <w:spacing w:val="8"/>
                <w:sz w:val="20"/>
                <w:szCs w:val="20"/>
              </w:rPr>
              <w:t>铁厂坝萤石重晶石矿</w:t>
            </w:r>
          </w:p>
        </w:tc>
        <w:tc>
          <w:tcPr>
            <w:tcW w:w="1077" w:type="dxa"/>
            <w:tcBorders>
              <w:bottom w:val="single" w:color="000000" w:sz="10" w:space="0"/>
            </w:tcBorders>
            <w:vAlign w:val="top"/>
          </w:tcPr>
          <w:p w14:paraId="00266961">
            <w:pPr>
              <w:pStyle w:val="6"/>
              <w:spacing w:before="250" w:line="257" w:lineRule="auto"/>
              <w:ind w:left="350" w:right="110" w:hanging="206"/>
              <w:rPr>
                <w:sz w:val="20"/>
                <w:szCs w:val="20"/>
              </w:rPr>
            </w:pPr>
            <w:r>
              <w:rPr>
                <w:spacing w:val="4"/>
                <w:sz w:val="20"/>
                <w:szCs w:val="20"/>
              </w:rPr>
              <w:t>萤石（普</w:t>
            </w:r>
            <w:r>
              <w:rPr>
                <w:sz w:val="20"/>
                <w:szCs w:val="20"/>
              </w:rPr>
              <w:t xml:space="preserve"> </w:t>
            </w:r>
            <w:r>
              <w:rPr>
                <w:spacing w:val="-5"/>
                <w:sz w:val="20"/>
                <w:szCs w:val="20"/>
              </w:rPr>
              <w:t>通）</w:t>
            </w:r>
          </w:p>
        </w:tc>
        <w:tc>
          <w:tcPr>
            <w:tcW w:w="1036" w:type="dxa"/>
            <w:tcBorders>
              <w:bottom w:val="single" w:color="000000" w:sz="10" w:space="0"/>
            </w:tcBorders>
            <w:vAlign w:val="top"/>
          </w:tcPr>
          <w:p w14:paraId="3459116A">
            <w:pPr>
              <w:spacing w:line="362" w:lineRule="auto"/>
              <w:rPr>
                <w:rFonts w:ascii="Arial"/>
                <w:sz w:val="21"/>
              </w:rPr>
            </w:pPr>
          </w:p>
          <w:p w14:paraId="1CA25726">
            <w:pPr>
              <w:spacing w:before="58"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0.2194</w:t>
            </w:r>
          </w:p>
        </w:tc>
        <w:tc>
          <w:tcPr>
            <w:tcW w:w="1260" w:type="dxa"/>
            <w:tcBorders>
              <w:bottom w:val="single" w:color="000000" w:sz="10" w:space="0"/>
              <w:right w:val="single" w:color="000000" w:sz="10" w:space="0"/>
            </w:tcBorders>
            <w:vAlign w:val="top"/>
          </w:tcPr>
          <w:p w14:paraId="0EDE0DCA">
            <w:pPr>
              <w:pStyle w:val="6"/>
              <w:spacing w:before="263" w:line="230" w:lineRule="auto"/>
              <w:ind w:left="446"/>
              <w:rPr>
                <w:sz w:val="19"/>
                <w:szCs w:val="19"/>
              </w:rPr>
            </w:pPr>
            <w:r>
              <w:rPr>
                <w:spacing w:val="2"/>
                <w:sz w:val="19"/>
                <w:szCs w:val="19"/>
              </w:rPr>
              <w:t>保留</w:t>
            </w:r>
          </w:p>
          <w:p w14:paraId="369924CE">
            <w:pPr>
              <w:pStyle w:val="6"/>
              <w:spacing w:before="22" w:line="231" w:lineRule="auto"/>
              <w:ind w:left="245"/>
              <w:rPr>
                <w:sz w:val="19"/>
                <w:szCs w:val="19"/>
              </w:rPr>
            </w:pPr>
            <w:r>
              <w:rPr>
                <w:spacing w:val="6"/>
                <w:sz w:val="19"/>
                <w:szCs w:val="19"/>
              </w:rPr>
              <w:t>地下开采</w:t>
            </w:r>
          </w:p>
        </w:tc>
      </w:tr>
    </w:tbl>
    <w:p w14:paraId="424253DD">
      <w:pPr>
        <w:pStyle w:val="2"/>
      </w:pPr>
    </w:p>
    <w:p w14:paraId="6C908BAD">
      <w:pPr>
        <w:sectPr>
          <w:footerReference r:id="rId65" w:type="default"/>
          <w:pgSz w:w="16839" w:h="11906"/>
          <w:pgMar w:top="1116" w:right="829" w:bottom="1480" w:left="1317" w:header="683" w:footer="1318" w:gutter="0"/>
          <w:cols w:space="720" w:num="1"/>
        </w:sectPr>
      </w:pPr>
    </w:p>
    <w:p w14:paraId="6621ED62">
      <w:pPr>
        <w:spacing w:before="229"/>
      </w:pPr>
    </w:p>
    <w:tbl>
      <w:tblPr>
        <w:tblStyle w:val="5"/>
        <w:tblW w:w="1466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1"/>
        <w:gridCol w:w="874"/>
        <w:gridCol w:w="1480"/>
        <w:gridCol w:w="964"/>
        <w:gridCol w:w="1029"/>
        <w:gridCol w:w="1152"/>
        <w:gridCol w:w="2164"/>
        <w:gridCol w:w="948"/>
        <w:gridCol w:w="2170"/>
        <w:gridCol w:w="1077"/>
        <w:gridCol w:w="1036"/>
        <w:gridCol w:w="1260"/>
      </w:tblGrid>
      <w:tr w14:paraId="10E081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511" w:type="dxa"/>
            <w:vMerge w:val="restart"/>
            <w:tcBorders>
              <w:top w:val="single" w:color="000000" w:sz="10" w:space="0"/>
              <w:left w:val="single" w:color="000000" w:sz="10" w:space="0"/>
              <w:bottom w:val="nil"/>
            </w:tcBorders>
            <w:textDirection w:val="tbRlV"/>
            <w:vAlign w:val="top"/>
          </w:tcPr>
          <w:p w14:paraId="49D4CAEF">
            <w:pPr>
              <w:pStyle w:val="6"/>
              <w:spacing w:before="149" w:line="202" w:lineRule="auto"/>
              <w:ind w:left="289"/>
            </w:pPr>
            <w:r>
              <w:rPr>
                <w:b/>
                <w:bCs/>
                <w:spacing w:val="33"/>
              </w:rPr>
              <w:t>序号</w:t>
            </w:r>
          </w:p>
        </w:tc>
        <w:tc>
          <w:tcPr>
            <w:tcW w:w="5499" w:type="dxa"/>
            <w:gridSpan w:val="5"/>
            <w:tcBorders>
              <w:top w:val="single" w:color="000000" w:sz="10" w:space="0"/>
            </w:tcBorders>
            <w:vAlign w:val="top"/>
          </w:tcPr>
          <w:p w14:paraId="1BE7F173">
            <w:pPr>
              <w:pStyle w:val="6"/>
              <w:spacing w:before="140" w:line="223" w:lineRule="auto"/>
              <w:ind w:left="1321"/>
            </w:pPr>
            <w:r>
              <w:rPr>
                <w:b/>
                <w:bCs/>
                <w:spacing w:val="-3"/>
              </w:rPr>
              <w:t>原《规划》开采区块设置情况</w:t>
            </w:r>
          </w:p>
        </w:tc>
        <w:tc>
          <w:tcPr>
            <w:tcW w:w="2164" w:type="dxa"/>
            <w:vMerge w:val="restart"/>
            <w:tcBorders>
              <w:top w:val="single" w:color="000000" w:sz="10" w:space="0"/>
              <w:bottom w:val="nil"/>
            </w:tcBorders>
            <w:vAlign w:val="top"/>
          </w:tcPr>
          <w:p w14:paraId="11FE321F">
            <w:pPr>
              <w:spacing w:line="357" w:lineRule="auto"/>
              <w:rPr>
                <w:rFonts w:ascii="Arial"/>
                <w:sz w:val="21"/>
              </w:rPr>
            </w:pPr>
          </w:p>
          <w:p w14:paraId="21C2DA66">
            <w:pPr>
              <w:pStyle w:val="6"/>
              <w:spacing w:before="72" w:line="223" w:lineRule="auto"/>
              <w:ind w:left="208"/>
            </w:pPr>
            <w:r>
              <w:rPr>
                <w:b/>
                <w:bCs/>
                <w:spacing w:val="-4"/>
              </w:rPr>
              <w:t>本次调整变化情况</w:t>
            </w:r>
          </w:p>
        </w:tc>
        <w:tc>
          <w:tcPr>
            <w:tcW w:w="6491" w:type="dxa"/>
            <w:gridSpan w:val="5"/>
            <w:tcBorders>
              <w:top w:val="single" w:color="000000" w:sz="10" w:space="0"/>
              <w:right w:val="single" w:color="000000" w:sz="10" w:space="0"/>
            </w:tcBorders>
            <w:vAlign w:val="top"/>
          </w:tcPr>
          <w:p w14:paraId="58095839">
            <w:pPr>
              <w:pStyle w:val="6"/>
              <w:spacing w:before="140" w:line="223" w:lineRule="auto"/>
              <w:ind w:left="1738"/>
            </w:pPr>
            <w:r>
              <w:rPr>
                <w:b/>
                <w:bCs/>
                <w:spacing w:val="1"/>
                <w:sz w:val="20"/>
                <w:szCs w:val="20"/>
              </w:rPr>
              <w:t>《规划调整》</w:t>
            </w:r>
            <w:r>
              <w:rPr>
                <w:b/>
                <w:bCs/>
                <w:spacing w:val="1"/>
              </w:rPr>
              <w:t>规划区块设置情况</w:t>
            </w:r>
          </w:p>
        </w:tc>
      </w:tr>
      <w:tr w14:paraId="30853A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511" w:type="dxa"/>
            <w:vMerge w:val="continue"/>
            <w:tcBorders>
              <w:top w:val="nil"/>
              <w:left w:val="single" w:color="000000" w:sz="10" w:space="0"/>
            </w:tcBorders>
            <w:textDirection w:val="tbRlV"/>
            <w:vAlign w:val="top"/>
          </w:tcPr>
          <w:p w14:paraId="58AD6E00">
            <w:pPr>
              <w:rPr>
                <w:rFonts w:ascii="Arial"/>
                <w:sz w:val="21"/>
              </w:rPr>
            </w:pPr>
          </w:p>
        </w:tc>
        <w:tc>
          <w:tcPr>
            <w:tcW w:w="874" w:type="dxa"/>
            <w:vAlign w:val="top"/>
          </w:tcPr>
          <w:p w14:paraId="19EEA870">
            <w:pPr>
              <w:pStyle w:val="6"/>
              <w:spacing w:before="33" w:line="224" w:lineRule="auto"/>
              <w:ind w:left="234"/>
            </w:pPr>
            <w:r>
              <w:rPr>
                <w:b/>
                <w:bCs/>
                <w:spacing w:val="-19"/>
              </w:rPr>
              <w:t>区块</w:t>
            </w:r>
          </w:p>
          <w:p w14:paraId="5C50FF44">
            <w:pPr>
              <w:pStyle w:val="6"/>
              <w:spacing w:before="19" w:line="205" w:lineRule="auto"/>
              <w:ind w:left="217"/>
            </w:pPr>
            <w:r>
              <w:rPr>
                <w:b/>
                <w:bCs/>
                <w:spacing w:val="-10"/>
              </w:rPr>
              <w:t>编号</w:t>
            </w:r>
          </w:p>
        </w:tc>
        <w:tc>
          <w:tcPr>
            <w:tcW w:w="1480" w:type="dxa"/>
            <w:vAlign w:val="top"/>
          </w:tcPr>
          <w:p w14:paraId="3EC6E44B">
            <w:pPr>
              <w:pStyle w:val="6"/>
              <w:spacing w:before="174" w:line="222" w:lineRule="auto"/>
              <w:ind w:left="318"/>
            </w:pPr>
            <w:r>
              <w:rPr>
                <w:b/>
                <w:bCs/>
                <w:spacing w:val="-10"/>
              </w:rPr>
              <w:t>区块名称</w:t>
            </w:r>
          </w:p>
        </w:tc>
        <w:tc>
          <w:tcPr>
            <w:tcW w:w="964" w:type="dxa"/>
            <w:vAlign w:val="top"/>
          </w:tcPr>
          <w:p w14:paraId="1F44BDB8">
            <w:pPr>
              <w:pStyle w:val="6"/>
              <w:spacing w:before="32" w:line="223" w:lineRule="auto"/>
              <w:ind w:left="375" w:right="157" w:hanging="222"/>
            </w:pPr>
            <w:r>
              <w:rPr>
                <w:b/>
                <w:bCs/>
                <w:spacing w:val="-7"/>
              </w:rPr>
              <w:t>开采矿</w:t>
            </w:r>
            <w:r>
              <w:rPr>
                <w:spacing w:val="1"/>
              </w:rPr>
              <w:t xml:space="preserve"> </w:t>
            </w:r>
            <w:r>
              <w:rPr>
                <w:b/>
                <w:bCs/>
                <w:spacing w:val="-3"/>
              </w:rPr>
              <w:t>种</w:t>
            </w:r>
          </w:p>
        </w:tc>
        <w:tc>
          <w:tcPr>
            <w:tcW w:w="1029" w:type="dxa"/>
            <w:vAlign w:val="top"/>
          </w:tcPr>
          <w:p w14:paraId="76CFEE32">
            <w:pPr>
              <w:pStyle w:val="6"/>
              <w:spacing w:before="33" w:line="224" w:lineRule="auto"/>
              <w:ind w:left="303"/>
            </w:pPr>
            <w:r>
              <w:rPr>
                <w:b/>
                <w:bCs/>
                <w:spacing w:val="-11"/>
              </w:rPr>
              <w:t>面积</w:t>
            </w:r>
          </w:p>
          <w:p w14:paraId="42EEC90D">
            <w:pPr>
              <w:pStyle w:val="6"/>
              <w:spacing w:before="19" w:line="205" w:lineRule="auto"/>
              <w:ind w:left="114"/>
            </w:pPr>
            <w:r>
              <w:rPr>
                <w:b/>
                <w:bCs/>
                <w:spacing w:val="-4"/>
              </w:rPr>
              <w:t>（</w:t>
            </w:r>
            <w:r>
              <w:rPr>
                <w:rFonts w:ascii="Times New Roman" w:hAnsi="Times New Roman" w:eastAsia="Times New Roman" w:cs="Times New Roman"/>
                <w:b/>
                <w:bCs/>
                <w:spacing w:val="-4"/>
              </w:rPr>
              <w:t>km</w:t>
            </w:r>
            <w:r>
              <w:rPr>
                <w:rFonts w:ascii="Times New Roman" w:hAnsi="Times New Roman" w:eastAsia="Times New Roman" w:cs="Times New Roman"/>
                <w:b/>
                <w:bCs/>
                <w:spacing w:val="-4"/>
                <w:position w:val="6"/>
                <w:sz w:val="14"/>
                <w:szCs w:val="14"/>
              </w:rPr>
              <w:t>2</w:t>
            </w:r>
            <w:r>
              <w:rPr>
                <w:b/>
                <w:bCs/>
                <w:spacing w:val="-4"/>
              </w:rPr>
              <w:t>）</w:t>
            </w:r>
          </w:p>
        </w:tc>
        <w:tc>
          <w:tcPr>
            <w:tcW w:w="1152" w:type="dxa"/>
            <w:vAlign w:val="top"/>
          </w:tcPr>
          <w:p w14:paraId="4CA366FC">
            <w:pPr>
              <w:pStyle w:val="6"/>
              <w:spacing w:before="33" w:line="225" w:lineRule="auto"/>
              <w:ind w:left="32"/>
            </w:pPr>
            <w:r>
              <w:rPr>
                <w:b/>
                <w:bCs/>
                <w:spacing w:val="-5"/>
              </w:rPr>
              <w:t>规划设置类</w:t>
            </w:r>
          </w:p>
          <w:p w14:paraId="1B761AD4">
            <w:pPr>
              <w:pStyle w:val="6"/>
              <w:spacing w:before="18" w:line="205" w:lineRule="auto"/>
              <w:ind w:left="482"/>
            </w:pPr>
            <w:r>
              <w:rPr>
                <w:b/>
                <w:bCs/>
                <w:spacing w:val="-3"/>
              </w:rPr>
              <w:t>型</w:t>
            </w:r>
          </w:p>
        </w:tc>
        <w:tc>
          <w:tcPr>
            <w:tcW w:w="2164" w:type="dxa"/>
            <w:vMerge w:val="continue"/>
            <w:tcBorders>
              <w:top w:val="nil"/>
            </w:tcBorders>
            <w:vAlign w:val="top"/>
          </w:tcPr>
          <w:p w14:paraId="616108F7">
            <w:pPr>
              <w:rPr>
                <w:rFonts w:ascii="Arial"/>
                <w:sz w:val="21"/>
              </w:rPr>
            </w:pPr>
          </w:p>
        </w:tc>
        <w:tc>
          <w:tcPr>
            <w:tcW w:w="948" w:type="dxa"/>
            <w:vAlign w:val="top"/>
          </w:tcPr>
          <w:p w14:paraId="307F28A4">
            <w:pPr>
              <w:pStyle w:val="6"/>
              <w:spacing w:before="33" w:line="224" w:lineRule="auto"/>
              <w:ind w:left="285"/>
            </w:pPr>
            <w:r>
              <w:rPr>
                <w:b/>
                <w:bCs/>
                <w:spacing w:val="-19"/>
              </w:rPr>
              <w:t>区块</w:t>
            </w:r>
          </w:p>
          <w:p w14:paraId="556D789E">
            <w:pPr>
              <w:pStyle w:val="6"/>
              <w:spacing w:before="19" w:line="205" w:lineRule="auto"/>
              <w:ind w:left="268"/>
            </w:pPr>
            <w:r>
              <w:rPr>
                <w:b/>
                <w:bCs/>
                <w:spacing w:val="-10"/>
              </w:rPr>
              <w:t>编号</w:t>
            </w:r>
          </w:p>
        </w:tc>
        <w:tc>
          <w:tcPr>
            <w:tcW w:w="2170" w:type="dxa"/>
            <w:vAlign w:val="top"/>
          </w:tcPr>
          <w:p w14:paraId="2115553B">
            <w:pPr>
              <w:pStyle w:val="6"/>
              <w:spacing w:before="174" w:line="222" w:lineRule="auto"/>
              <w:ind w:left="678"/>
            </w:pPr>
            <w:r>
              <w:rPr>
                <w:b/>
                <w:bCs/>
                <w:spacing w:val="-10"/>
              </w:rPr>
              <w:t>区块名称</w:t>
            </w:r>
          </w:p>
        </w:tc>
        <w:tc>
          <w:tcPr>
            <w:tcW w:w="1077" w:type="dxa"/>
            <w:vAlign w:val="top"/>
          </w:tcPr>
          <w:p w14:paraId="7487ECA9">
            <w:pPr>
              <w:pStyle w:val="6"/>
              <w:spacing w:before="32" w:line="223" w:lineRule="auto"/>
              <w:ind w:left="449" w:right="196" w:hanging="222"/>
            </w:pPr>
            <w:r>
              <w:rPr>
                <w:b/>
                <w:bCs/>
                <w:spacing w:val="-7"/>
              </w:rPr>
              <w:t>开采矿</w:t>
            </w:r>
            <w:r>
              <w:rPr>
                <w:spacing w:val="1"/>
              </w:rPr>
              <w:t xml:space="preserve"> </w:t>
            </w:r>
            <w:r>
              <w:rPr>
                <w:b/>
                <w:bCs/>
                <w:spacing w:val="-3"/>
              </w:rPr>
              <w:t>种</w:t>
            </w:r>
          </w:p>
        </w:tc>
        <w:tc>
          <w:tcPr>
            <w:tcW w:w="1036" w:type="dxa"/>
            <w:vAlign w:val="top"/>
          </w:tcPr>
          <w:p w14:paraId="7A3F81DC">
            <w:pPr>
              <w:pStyle w:val="6"/>
              <w:spacing w:before="33" w:line="224" w:lineRule="auto"/>
              <w:ind w:left="323"/>
            </w:pPr>
            <w:r>
              <w:rPr>
                <w:b/>
                <w:bCs/>
                <w:spacing w:val="-11"/>
              </w:rPr>
              <w:t>面积</w:t>
            </w:r>
          </w:p>
          <w:p w14:paraId="51E52965">
            <w:pPr>
              <w:pStyle w:val="6"/>
              <w:spacing w:before="19" w:line="205" w:lineRule="auto"/>
              <w:ind w:left="130"/>
            </w:pPr>
            <w:r>
              <w:rPr>
                <w:b/>
                <w:bCs/>
                <w:spacing w:val="-4"/>
              </w:rPr>
              <w:t>（</w:t>
            </w:r>
            <w:r>
              <w:rPr>
                <w:rFonts w:ascii="Times New Roman" w:hAnsi="Times New Roman" w:eastAsia="Times New Roman" w:cs="Times New Roman"/>
                <w:b/>
                <w:bCs/>
                <w:spacing w:val="-4"/>
              </w:rPr>
              <w:t>km</w:t>
            </w:r>
            <w:r>
              <w:rPr>
                <w:rFonts w:ascii="Times New Roman" w:hAnsi="Times New Roman" w:eastAsia="Times New Roman" w:cs="Times New Roman"/>
                <w:b/>
                <w:bCs/>
                <w:spacing w:val="-4"/>
                <w:position w:val="6"/>
                <w:sz w:val="14"/>
                <w:szCs w:val="14"/>
              </w:rPr>
              <w:t>2</w:t>
            </w:r>
            <w:r>
              <w:rPr>
                <w:b/>
                <w:bCs/>
                <w:spacing w:val="-4"/>
              </w:rPr>
              <w:t>）</w:t>
            </w:r>
          </w:p>
        </w:tc>
        <w:tc>
          <w:tcPr>
            <w:tcW w:w="1260" w:type="dxa"/>
            <w:tcBorders>
              <w:right w:val="single" w:color="000000" w:sz="10" w:space="0"/>
            </w:tcBorders>
            <w:vAlign w:val="top"/>
          </w:tcPr>
          <w:p w14:paraId="70447A57">
            <w:pPr>
              <w:pStyle w:val="6"/>
              <w:spacing w:before="33" w:line="225" w:lineRule="auto"/>
              <w:ind w:left="93"/>
            </w:pPr>
            <w:r>
              <w:rPr>
                <w:b/>
                <w:bCs/>
                <w:spacing w:val="-5"/>
              </w:rPr>
              <w:t>规划设置类</w:t>
            </w:r>
          </w:p>
          <w:p w14:paraId="219BEAD6">
            <w:pPr>
              <w:pStyle w:val="6"/>
              <w:spacing w:before="18" w:line="205" w:lineRule="auto"/>
              <w:ind w:left="546"/>
            </w:pPr>
            <w:r>
              <w:rPr>
                <w:b/>
                <w:bCs/>
                <w:spacing w:val="-3"/>
              </w:rPr>
              <w:t>型</w:t>
            </w:r>
          </w:p>
        </w:tc>
      </w:tr>
      <w:tr w14:paraId="3A72C4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511" w:type="dxa"/>
            <w:tcBorders>
              <w:left w:val="single" w:color="000000" w:sz="10" w:space="0"/>
            </w:tcBorders>
            <w:vAlign w:val="top"/>
          </w:tcPr>
          <w:p w14:paraId="0B530407">
            <w:pPr>
              <w:spacing w:line="348" w:lineRule="auto"/>
              <w:rPr>
                <w:rFonts w:ascii="Arial"/>
                <w:sz w:val="21"/>
              </w:rPr>
            </w:pPr>
          </w:p>
          <w:p w14:paraId="2DCD41A8">
            <w:pPr>
              <w:spacing w:before="55" w:line="195" w:lineRule="auto"/>
              <w:ind w:left="142"/>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20</w:t>
            </w:r>
          </w:p>
        </w:tc>
        <w:tc>
          <w:tcPr>
            <w:tcW w:w="874" w:type="dxa"/>
            <w:vAlign w:val="top"/>
          </w:tcPr>
          <w:p w14:paraId="0B4C1385">
            <w:pPr>
              <w:spacing w:line="348" w:lineRule="auto"/>
              <w:rPr>
                <w:rFonts w:ascii="Arial"/>
                <w:sz w:val="21"/>
              </w:rPr>
            </w:pPr>
          </w:p>
          <w:p w14:paraId="39B96E33">
            <w:pPr>
              <w:spacing w:before="55" w:line="197" w:lineRule="auto"/>
              <w:ind w:left="141"/>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020</w:t>
            </w:r>
          </w:p>
        </w:tc>
        <w:tc>
          <w:tcPr>
            <w:tcW w:w="1480" w:type="dxa"/>
            <w:vAlign w:val="top"/>
          </w:tcPr>
          <w:p w14:paraId="00D1B9F4">
            <w:pPr>
              <w:pStyle w:val="6"/>
              <w:spacing w:before="93" w:line="231" w:lineRule="auto"/>
              <w:ind w:left="118"/>
              <w:rPr>
                <w:sz w:val="20"/>
                <w:szCs w:val="20"/>
              </w:rPr>
            </w:pPr>
            <w:r>
              <w:rPr>
                <w:spacing w:val="6"/>
                <w:sz w:val="20"/>
                <w:szCs w:val="20"/>
              </w:rPr>
              <w:t>重庆市黔江区</w:t>
            </w:r>
          </w:p>
          <w:p w14:paraId="09BD7742">
            <w:pPr>
              <w:pStyle w:val="6"/>
              <w:spacing w:before="23" w:line="232" w:lineRule="auto"/>
              <w:ind w:left="112"/>
              <w:rPr>
                <w:sz w:val="20"/>
                <w:szCs w:val="20"/>
              </w:rPr>
            </w:pPr>
            <w:r>
              <w:rPr>
                <w:spacing w:val="7"/>
                <w:sz w:val="20"/>
                <w:szCs w:val="20"/>
              </w:rPr>
              <w:t>蓬东乡河坝坡</w:t>
            </w:r>
          </w:p>
          <w:p w14:paraId="559B23AB">
            <w:pPr>
              <w:pStyle w:val="6"/>
              <w:spacing w:before="19" w:line="232" w:lineRule="auto"/>
              <w:ind w:left="110"/>
              <w:rPr>
                <w:sz w:val="20"/>
                <w:szCs w:val="20"/>
              </w:rPr>
            </w:pPr>
            <w:r>
              <w:rPr>
                <w:spacing w:val="7"/>
                <w:sz w:val="20"/>
                <w:szCs w:val="20"/>
              </w:rPr>
              <w:t>水泥用灰岩矿</w:t>
            </w:r>
          </w:p>
        </w:tc>
        <w:tc>
          <w:tcPr>
            <w:tcW w:w="964" w:type="dxa"/>
            <w:vAlign w:val="top"/>
          </w:tcPr>
          <w:p w14:paraId="268CB7FA">
            <w:pPr>
              <w:pStyle w:val="6"/>
              <w:spacing w:before="229" w:line="232" w:lineRule="auto"/>
              <w:ind w:left="169"/>
              <w:rPr>
                <w:sz w:val="20"/>
                <w:szCs w:val="20"/>
              </w:rPr>
            </w:pPr>
            <w:r>
              <w:rPr>
                <w:spacing w:val="5"/>
                <w:sz w:val="20"/>
                <w:szCs w:val="20"/>
              </w:rPr>
              <w:t>水泥用</w:t>
            </w:r>
          </w:p>
          <w:p w14:paraId="1BCCC4D0">
            <w:pPr>
              <w:pStyle w:val="6"/>
              <w:spacing w:before="20" w:line="232" w:lineRule="auto"/>
              <w:ind w:left="171"/>
              <w:rPr>
                <w:sz w:val="20"/>
                <w:szCs w:val="20"/>
              </w:rPr>
            </w:pPr>
            <w:r>
              <w:rPr>
                <w:spacing w:val="4"/>
                <w:sz w:val="20"/>
                <w:szCs w:val="20"/>
              </w:rPr>
              <w:t>灰岩矿</w:t>
            </w:r>
          </w:p>
        </w:tc>
        <w:tc>
          <w:tcPr>
            <w:tcW w:w="1029" w:type="dxa"/>
            <w:vAlign w:val="top"/>
          </w:tcPr>
          <w:p w14:paraId="154FA240">
            <w:pPr>
              <w:spacing w:line="343" w:lineRule="auto"/>
              <w:rPr>
                <w:rFonts w:ascii="Arial"/>
                <w:sz w:val="21"/>
              </w:rPr>
            </w:pPr>
          </w:p>
          <w:p w14:paraId="31209522">
            <w:pPr>
              <w:spacing w:before="58"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0.404</w:t>
            </w:r>
          </w:p>
        </w:tc>
        <w:tc>
          <w:tcPr>
            <w:tcW w:w="1152" w:type="dxa"/>
            <w:vAlign w:val="top"/>
          </w:tcPr>
          <w:p w14:paraId="15EEDEF1">
            <w:pPr>
              <w:pStyle w:val="6"/>
              <w:spacing w:before="243" w:line="230" w:lineRule="auto"/>
              <w:ind w:left="382"/>
              <w:rPr>
                <w:sz w:val="19"/>
                <w:szCs w:val="19"/>
              </w:rPr>
            </w:pPr>
            <w:r>
              <w:rPr>
                <w:spacing w:val="2"/>
                <w:sz w:val="19"/>
                <w:szCs w:val="19"/>
              </w:rPr>
              <w:t>保留</w:t>
            </w:r>
          </w:p>
          <w:p w14:paraId="5BBB136D">
            <w:pPr>
              <w:pStyle w:val="6"/>
              <w:spacing w:before="22" w:line="231" w:lineRule="auto"/>
              <w:ind w:left="188"/>
              <w:rPr>
                <w:sz w:val="19"/>
                <w:szCs w:val="19"/>
              </w:rPr>
            </w:pPr>
            <w:r>
              <w:rPr>
                <w:spacing w:val="5"/>
                <w:sz w:val="19"/>
                <w:szCs w:val="19"/>
              </w:rPr>
              <w:t>露天开采</w:t>
            </w:r>
          </w:p>
        </w:tc>
        <w:tc>
          <w:tcPr>
            <w:tcW w:w="2164" w:type="dxa"/>
            <w:vAlign w:val="top"/>
          </w:tcPr>
          <w:p w14:paraId="29AED89B">
            <w:pPr>
              <w:spacing w:line="307" w:lineRule="auto"/>
              <w:rPr>
                <w:rFonts w:ascii="Arial"/>
                <w:sz w:val="21"/>
              </w:rPr>
            </w:pPr>
          </w:p>
          <w:p w14:paraId="27199EAF">
            <w:pPr>
              <w:pStyle w:val="6"/>
              <w:spacing w:before="62" w:line="231" w:lineRule="auto"/>
              <w:ind w:left="794"/>
              <w:rPr>
                <w:sz w:val="19"/>
                <w:szCs w:val="19"/>
              </w:rPr>
            </w:pPr>
            <w:r>
              <w:rPr>
                <w:spacing w:val="4"/>
                <w:sz w:val="19"/>
                <w:szCs w:val="19"/>
              </w:rPr>
              <w:t>无变化</w:t>
            </w:r>
          </w:p>
        </w:tc>
        <w:tc>
          <w:tcPr>
            <w:tcW w:w="948" w:type="dxa"/>
            <w:vAlign w:val="top"/>
          </w:tcPr>
          <w:p w14:paraId="59748B13">
            <w:pPr>
              <w:spacing w:line="348" w:lineRule="auto"/>
              <w:rPr>
                <w:rFonts w:ascii="Arial"/>
                <w:sz w:val="21"/>
              </w:rPr>
            </w:pPr>
          </w:p>
          <w:p w14:paraId="36E175BB">
            <w:pPr>
              <w:spacing w:before="55" w:line="197" w:lineRule="auto"/>
              <w:ind w:left="191"/>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020</w:t>
            </w:r>
          </w:p>
        </w:tc>
        <w:tc>
          <w:tcPr>
            <w:tcW w:w="2170" w:type="dxa"/>
            <w:vAlign w:val="top"/>
          </w:tcPr>
          <w:p w14:paraId="1F2685B1">
            <w:pPr>
              <w:pStyle w:val="6"/>
              <w:spacing w:before="230" w:line="251" w:lineRule="auto"/>
              <w:ind w:left="161" w:right="134"/>
              <w:rPr>
                <w:sz w:val="20"/>
                <w:szCs w:val="20"/>
              </w:rPr>
            </w:pPr>
            <w:r>
              <w:rPr>
                <w:spacing w:val="7"/>
                <w:sz w:val="20"/>
                <w:szCs w:val="20"/>
              </w:rPr>
              <w:t>重庆市黔江区蓬东乡</w:t>
            </w:r>
            <w:r>
              <w:rPr>
                <w:spacing w:val="4"/>
                <w:sz w:val="20"/>
                <w:szCs w:val="20"/>
              </w:rPr>
              <w:t xml:space="preserve"> </w:t>
            </w:r>
            <w:r>
              <w:rPr>
                <w:spacing w:val="7"/>
                <w:sz w:val="20"/>
                <w:szCs w:val="20"/>
              </w:rPr>
              <w:t>河坝坡水泥用灰岩矿</w:t>
            </w:r>
          </w:p>
        </w:tc>
        <w:tc>
          <w:tcPr>
            <w:tcW w:w="1077" w:type="dxa"/>
            <w:vAlign w:val="top"/>
          </w:tcPr>
          <w:p w14:paraId="38CF676F">
            <w:pPr>
              <w:pStyle w:val="6"/>
              <w:spacing w:before="229" w:line="232" w:lineRule="auto"/>
              <w:ind w:left="137"/>
              <w:rPr>
                <w:sz w:val="20"/>
                <w:szCs w:val="20"/>
              </w:rPr>
            </w:pPr>
            <w:r>
              <w:rPr>
                <w:spacing w:val="6"/>
                <w:sz w:val="20"/>
                <w:szCs w:val="20"/>
              </w:rPr>
              <w:t>水泥用灰</w:t>
            </w:r>
          </w:p>
          <w:p w14:paraId="623C7AD2">
            <w:pPr>
              <w:pStyle w:val="6"/>
              <w:spacing w:before="20" w:line="232" w:lineRule="auto"/>
              <w:ind w:left="344"/>
              <w:rPr>
                <w:sz w:val="20"/>
                <w:szCs w:val="20"/>
              </w:rPr>
            </w:pPr>
            <w:r>
              <w:rPr>
                <w:spacing w:val="3"/>
                <w:sz w:val="20"/>
                <w:szCs w:val="20"/>
              </w:rPr>
              <w:t>岩矿</w:t>
            </w:r>
          </w:p>
        </w:tc>
        <w:tc>
          <w:tcPr>
            <w:tcW w:w="1036" w:type="dxa"/>
            <w:vAlign w:val="top"/>
          </w:tcPr>
          <w:p w14:paraId="0D99A4F2">
            <w:pPr>
              <w:spacing w:line="343" w:lineRule="auto"/>
              <w:rPr>
                <w:rFonts w:ascii="Arial"/>
                <w:sz w:val="21"/>
              </w:rPr>
            </w:pPr>
          </w:p>
          <w:p w14:paraId="230E6DC3">
            <w:pPr>
              <w:spacing w:before="58" w:line="195" w:lineRule="auto"/>
              <w:ind w:left="2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0.404</w:t>
            </w:r>
          </w:p>
        </w:tc>
        <w:tc>
          <w:tcPr>
            <w:tcW w:w="1260" w:type="dxa"/>
            <w:tcBorders>
              <w:right w:val="single" w:color="000000" w:sz="10" w:space="0"/>
            </w:tcBorders>
            <w:vAlign w:val="top"/>
          </w:tcPr>
          <w:p w14:paraId="528BFF62">
            <w:pPr>
              <w:pStyle w:val="6"/>
              <w:spacing w:before="243" w:line="230" w:lineRule="auto"/>
              <w:ind w:left="446"/>
              <w:rPr>
                <w:sz w:val="19"/>
                <w:szCs w:val="19"/>
              </w:rPr>
            </w:pPr>
            <w:r>
              <w:rPr>
                <w:spacing w:val="2"/>
                <w:sz w:val="19"/>
                <w:szCs w:val="19"/>
              </w:rPr>
              <w:t>保留</w:t>
            </w:r>
          </w:p>
          <w:p w14:paraId="2FD03533">
            <w:pPr>
              <w:pStyle w:val="6"/>
              <w:spacing w:before="22" w:line="231" w:lineRule="auto"/>
              <w:ind w:left="249"/>
              <w:rPr>
                <w:sz w:val="19"/>
                <w:szCs w:val="19"/>
              </w:rPr>
            </w:pPr>
            <w:r>
              <w:rPr>
                <w:spacing w:val="5"/>
                <w:sz w:val="19"/>
                <w:szCs w:val="19"/>
              </w:rPr>
              <w:t>露天开采</w:t>
            </w:r>
          </w:p>
        </w:tc>
      </w:tr>
      <w:tr w14:paraId="2153CB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0" w:hRule="atLeast"/>
        </w:trPr>
        <w:tc>
          <w:tcPr>
            <w:tcW w:w="511" w:type="dxa"/>
            <w:tcBorders>
              <w:left w:val="single" w:color="000000" w:sz="10" w:space="0"/>
            </w:tcBorders>
            <w:vAlign w:val="top"/>
          </w:tcPr>
          <w:p w14:paraId="3861EE28">
            <w:pPr>
              <w:spacing w:line="244" w:lineRule="auto"/>
              <w:rPr>
                <w:rFonts w:ascii="Arial"/>
                <w:sz w:val="21"/>
              </w:rPr>
            </w:pPr>
          </w:p>
          <w:p w14:paraId="38430490">
            <w:pPr>
              <w:spacing w:line="244" w:lineRule="auto"/>
              <w:rPr>
                <w:rFonts w:ascii="Arial"/>
                <w:sz w:val="21"/>
              </w:rPr>
            </w:pPr>
          </w:p>
          <w:p w14:paraId="06364A9D">
            <w:pPr>
              <w:spacing w:before="55" w:line="195" w:lineRule="auto"/>
              <w:ind w:left="142"/>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21</w:t>
            </w:r>
          </w:p>
        </w:tc>
        <w:tc>
          <w:tcPr>
            <w:tcW w:w="874" w:type="dxa"/>
            <w:vAlign w:val="top"/>
          </w:tcPr>
          <w:p w14:paraId="5A1D78CF">
            <w:pPr>
              <w:spacing w:line="244" w:lineRule="auto"/>
              <w:rPr>
                <w:rFonts w:ascii="Arial"/>
                <w:sz w:val="21"/>
              </w:rPr>
            </w:pPr>
          </w:p>
          <w:p w14:paraId="35D2FF55">
            <w:pPr>
              <w:spacing w:line="244" w:lineRule="auto"/>
              <w:rPr>
                <w:rFonts w:ascii="Arial"/>
                <w:sz w:val="21"/>
              </w:rPr>
            </w:pPr>
          </w:p>
          <w:p w14:paraId="67B1B857">
            <w:pPr>
              <w:spacing w:before="55" w:line="197" w:lineRule="auto"/>
              <w:ind w:left="141"/>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021</w:t>
            </w:r>
          </w:p>
        </w:tc>
        <w:tc>
          <w:tcPr>
            <w:tcW w:w="1480" w:type="dxa"/>
            <w:vAlign w:val="top"/>
          </w:tcPr>
          <w:p w14:paraId="60A69CCB">
            <w:pPr>
              <w:pStyle w:val="6"/>
              <w:spacing w:before="97" w:line="231" w:lineRule="auto"/>
              <w:ind w:left="115"/>
              <w:rPr>
                <w:sz w:val="20"/>
                <w:szCs w:val="20"/>
              </w:rPr>
            </w:pPr>
            <w:r>
              <w:rPr>
                <w:spacing w:val="6"/>
                <w:sz w:val="20"/>
                <w:szCs w:val="20"/>
              </w:rPr>
              <w:t>黔江区杉岭乡</w:t>
            </w:r>
          </w:p>
          <w:p w14:paraId="7C38EE80">
            <w:pPr>
              <w:pStyle w:val="6"/>
              <w:spacing w:before="21" w:line="230" w:lineRule="auto"/>
              <w:ind w:left="116"/>
              <w:rPr>
                <w:sz w:val="20"/>
                <w:szCs w:val="20"/>
              </w:rPr>
            </w:pPr>
            <w:r>
              <w:rPr>
                <w:spacing w:val="6"/>
                <w:sz w:val="20"/>
                <w:szCs w:val="20"/>
              </w:rPr>
              <w:t>兴隆村后河建</w:t>
            </w:r>
          </w:p>
          <w:p w14:paraId="2F45FFBE">
            <w:pPr>
              <w:pStyle w:val="6"/>
              <w:spacing w:before="23" w:line="229" w:lineRule="auto"/>
              <w:ind w:left="113"/>
              <w:rPr>
                <w:sz w:val="20"/>
                <w:szCs w:val="20"/>
              </w:rPr>
            </w:pPr>
            <w:r>
              <w:rPr>
                <w:spacing w:val="6"/>
                <w:sz w:val="20"/>
                <w:szCs w:val="20"/>
              </w:rPr>
              <w:t>筑石料用灰岩</w:t>
            </w:r>
          </w:p>
          <w:p w14:paraId="0309D517">
            <w:pPr>
              <w:pStyle w:val="6"/>
              <w:spacing w:before="23" w:line="232" w:lineRule="auto"/>
              <w:ind w:left="636"/>
              <w:rPr>
                <w:sz w:val="20"/>
                <w:szCs w:val="20"/>
              </w:rPr>
            </w:pPr>
            <w:r>
              <w:rPr>
                <w:sz w:val="20"/>
                <w:szCs w:val="20"/>
              </w:rPr>
              <w:t>矿</w:t>
            </w:r>
          </w:p>
        </w:tc>
        <w:tc>
          <w:tcPr>
            <w:tcW w:w="964" w:type="dxa"/>
            <w:vAlign w:val="top"/>
          </w:tcPr>
          <w:p w14:paraId="7CA9BEF8">
            <w:pPr>
              <w:pStyle w:val="6"/>
              <w:spacing w:before="232" w:line="232" w:lineRule="auto"/>
              <w:ind w:left="169"/>
              <w:rPr>
                <w:sz w:val="20"/>
                <w:szCs w:val="20"/>
              </w:rPr>
            </w:pPr>
            <w:r>
              <w:rPr>
                <w:spacing w:val="5"/>
                <w:sz w:val="20"/>
                <w:szCs w:val="20"/>
              </w:rPr>
              <w:t>建筑石</w:t>
            </w:r>
          </w:p>
          <w:p w14:paraId="0677E968">
            <w:pPr>
              <w:pStyle w:val="6"/>
              <w:spacing w:before="18" w:line="255" w:lineRule="auto"/>
              <w:ind w:left="378" w:right="174" w:hanging="209"/>
              <w:rPr>
                <w:sz w:val="20"/>
                <w:szCs w:val="20"/>
              </w:rPr>
            </w:pPr>
            <w:r>
              <w:rPr>
                <w:spacing w:val="5"/>
                <w:sz w:val="20"/>
                <w:szCs w:val="20"/>
              </w:rPr>
              <w:t>料用灰</w:t>
            </w:r>
            <w:r>
              <w:rPr>
                <w:sz w:val="20"/>
                <w:szCs w:val="20"/>
              </w:rPr>
              <w:t xml:space="preserve"> 岩</w:t>
            </w:r>
          </w:p>
        </w:tc>
        <w:tc>
          <w:tcPr>
            <w:tcW w:w="1029" w:type="dxa"/>
            <w:vAlign w:val="top"/>
          </w:tcPr>
          <w:p w14:paraId="0D645B5D">
            <w:pPr>
              <w:rPr>
                <w:rFonts w:ascii="Arial"/>
                <w:sz w:val="21"/>
              </w:rPr>
            </w:pPr>
          </w:p>
          <w:p w14:paraId="7A597AE7">
            <w:pPr>
              <w:spacing w:line="241" w:lineRule="auto"/>
              <w:rPr>
                <w:rFonts w:ascii="Arial"/>
                <w:sz w:val="21"/>
              </w:rPr>
            </w:pPr>
          </w:p>
          <w:p w14:paraId="15CE2A04">
            <w:pPr>
              <w:spacing w:before="57"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0.0334</w:t>
            </w:r>
          </w:p>
        </w:tc>
        <w:tc>
          <w:tcPr>
            <w:tcW w:w="1152" w:type="dxa"/>
            <w:vAlign w:val="top"/>
          </w:tcPr>
          <w:p w14:paraId="67A4E13D">
            <w:pPr>
              <w:spacing w:line="318" w:lineRule="auto"/>
              <w:rPr>
                <w:rFonts w:ascii="Arial"/>
                <w:sz w:val="21"/>
              </w:rPr>
            </w:pPr>
          </w:p>
          <w:p w14:paraId="0175D402">
            <w:pPr>
              <w:pStyle w:val="6"/>
              <w:spacing w:before="62" w:line="231" w:lineRule="auto"/>
              <w:ind w:left="381"/>
              <w:rPr>
                <w:sz w:val="19"/>
                <w:szCs w:val="19"/>
              </w:rPr>
            </w:pPr>
            <w:r>
              <w:rPr>
                <w:spacing w:val="2"/>
                <w:sz w:val="19"/>
                <w:szCs w:val="19"/>
              </w:rPr>
              <w:t>新设</w:t>
            </w:r>
          </w:p>
          <w:p w14:paraId="5CFB5181">
            <w:pPr>
              <w:pStyle w:val="6"/>
              <w:spacing w:before="21" w:line="231" w:lineRule="auto"/>
              <w:ind w:left="188"/>
              <w:rPr>
                <w:sz w:val="19"/>
                <w:szCs w:val="19"/>
              </w:rPr>
            </w:pPr>
            <w:r>
              <w:rPr>
                <w:spacing w:val="5"/>
                <w:sz w:val="19"/>
                <w:szCs w:val="19"/>
              </w:rPr>
              <w:t>露天开采</w:t>
            </w:r>
          </w:p>
        </w:tc>
        <w:tc>
          <w:tcPr>
            <w:tcW w:w="2164" w:type="dxa"/>
            <w:vAlign w:val="top"/>
          </w:tcPr>
          <w:p w14:paraId="27C2394A">
            <w:pPr>
              <w:spacing w:line="447" w:lineRule="auto"/>
              <w:rPr>
                <w:rFonts w:ascii="Arial"/>
                <w:sz w:val="21"/>
              </w:rPr>
            </w:pPr>
          </w:p>
          <w:p w14:paraId="4905B085">
            <w:pPr>
              <w:pStyle w:val="6"/>
              <w:spacing w:before="62" w:line="231" w:lineRule="auto"/>
              <w:ind w:left="794"/>
              <w:rPr>
                <w:sz w:val="19"/>
                <w:szCs w:val="19"/>
              </w:rPr>
            </w:pPr>
            <w:r>
              <w:rPr>
                <w:spacing w:val="4"/>
                <w:sz w:val="19"/>
                <w:szCs w:val="19"/>
              </w:rPr>
              <w:t>无变化</w:t>
            </w:r>
          </w:p>
        </w:tc>
        <w:tc>
          <w:tcPr>
            <w:tcW w:w="948" w:type="dxa"/>
            <w:vAlign w:val="top"/>
          </w:tcPr>
          <w:p w14:paraId="234354D8">
            <w:pPr>
              <w:spacing w:line="244" w:lineRule="auto"/>
              <w:rPr>
                <w:rFonts w:ascii="Arial"/>
                <w:sz w:val="21"/>
              </w:rPr>
            </w:pPr>
          </w:p>
          <w:p w14:paraId="4B8BA3D9">
            <w:pPr>
              <w:spacing w:line="244" w:lineRule="auto"/>
              <w:rPr>
                <w:rFonts w:ascii="Arial"/>
                <w:sz w:val="21"/>
              </w:rPr>
            </w:pPr>
          </w:p>
          <w:p w14:paraId="529984A0">
            <w:pPr>
              <w:spacing w:before="55" w:line="197" w:lineRule="auto"/>
              <w:ind w:left="191"/>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021</w:t>
            </w:r>
          </w:p>
        </w:tc>
        <w:tc>
          <w:tcPr>
            <w:tcW w:w="2170" w:type="dxa"/>
            <w:vAlign w:val="top"/>
          </w:tcPr>
          <w:p w14:paraId="13E0F7F7">
            <w:pPr>
              <w:pStyle w:val="6"/>
              <w:spacing w:before="232" w:line="230" w:lineRule="auto"/>
              <w:ind w:left="159"/>
              <w:rPr>
                <w:sz w:val="20"/>
                <w:szCs w:val="20"/>
              </w:rPr>
            </w:pPr>
            <w:r>
              <w:rPr>
                <w:spacing w:val="7"/>
                <w:sz w:val="20"/>
                <w:szCs w:val="20"/>
              </w:rPr>
              <w:t>黔江区杉岭乡兴隆村</w:t>
            </w:r>
          </w:p>
          <w:p w14:paraId="49D1BC38">
            <w:pPr>
              <w:pStyle w:val="6"/>
              <w:spacing w:before="21" w:line="229" w:lineRule="auto"/>
              <w:ind w:left="156"/>
              <w:rPr>
                <w:sz w:val="20"/>
                <w:szCs w:val="20"/>
              </w:rPr>
            </w:pPr>
            <w:r>
              <w:rPr>
                <w:spacing w:val="8"/>
                <w:sz w:val="20"/>
                <w:szCs w:val="20"/>
              </w:rPr>
              <w:t>后河建筑石料用灰岩</w:t>
            </w:r>
          </w:p>
          <w:p w14:paraId="047106B3">
            <w:pPr>
              <w:pStyle w:val="6"/>
              <w:spacing w:before="26" w:line="232" w:lineRule="auto"/>
              <w:ind w:left="995"/>
              <w:rPr>
                <w:sz w:val="20"/>
                <w:szCs w:val="20"/>
              </w:rPr>
            </w:pPr>
            <w:r>
              <w:rPr>
                <w:sz w:val="20"/>
                <w:szCs w:val="20"/>
              </w:rPr>
              <w:t>矿</w:t>
            </w:r>
          </w:p>
        </w:tc>
        <w:tc>
          <w:tcPr>
            <w:tcW w:w="1077" w:type="dxa"/>
            <w:vAlign w:val="top"/>
          </w:tcPr>
          <w:p w14:paraId="54E8BFA5">
            <w:pPr>
              <w:spacing w:line="301" w:lineRule="auto"/>
              <w:rPr>
                <w:rFonts w:ascii="Arial"/>
                <w:sz w:val="21"/>
              </w:rPr>
            </w:pPr>
          </w:p>
          <w:p w14:paraId="3A143AAD">
            <w:pPr>
              <w:pStyle w:val="6"/>
              <w:spacing w:before="65" w:line="254" w:lineRule="auto"/>
              <w:ind w:left="240" w:right="110" w:hanging="103"/>
              <w:rPr>
                <w:sz w:val="20"/>
                <w:szCs w:val="20"/>
              </w:rPr>
            </w:pPr>
            <w:r>
              <w:rPr>
                <w:spacing w:val="5"/>
                <w:sz w:val="20"/>
                <w:szCs w:val="20"/>
              </w:rPr>
              <w:t>建筑石料</w:t>
            </w:r>
            <w:r>
              <w:rPr>
                <w:spacing w:val="2"/>
                <w:sz w:val="20"/>
                <w:szCs w:val="20"/>
              </w:rPr>
              <w:t xml:space="preserve"> </w:t>
            </w:r>
            <w:r>
              <w:rPr>
                <w:spacing w:val="5"/>
                <w:sz w:val="20"/>
                <w:szCs w:val="20"/>
              </w:rPr>
              <w:t>用灰岩</w:t>
            </w:r>
          </w:p>
        </w:tc>
        <w:tc>
          <w:tcPr>
            <w:tcW w:w="1036" w:type="dxa"/>
            <w:vAlign w:val="top"/>
          </w:tcPr>
          <w:p w14:paraId="465B7958">
            <w:pPr>
              <w:rPr>
                <w:rFonts w:ascii="Arial"/>
                <w:sz w:val="21"/>
              </w:rPr>
            </w:pPr>
          </w:p>
          <w:p w14:paraId="1621AEBC">
            <w:pPr>
              <w:spacing w:line="241" w:lineRule="auto"/>
              <w:rPr>
                <w:rFonts w:ascii="Arial"/>
                <w:sz w:val="21"/>
              </w:rPr>
            </w:pPr>
          </w:p>
          <w:p w14:paraId="6E93C032">
            <w:pPr>
              <w:spacing w:before="57"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0.0334</w:t>
            </w:r>
          </w:p>
        </w:tc>
        <w:tc>
          <w:tcPr>
            <w:tcW w:w="1260" w:type="dxa"/>
            <w:tcBorders>
              <w:right w:val="single" w:color="000000" w:sz="10" w:space="0"/>
            </w:tcBorders>
            <w:vAlign w:val="top"/>
          </w:tcPr>
          <w:p w14:paraId="4E149553">
            <w:pPr>
              <w:spacing w:line="318" w:lineRule="auto"/>
              <w:rPr>
                <w:rFonts w:ascii="Arial"/>
                <w:sz w:val="21"/>
              </w:rPr>
            </w:pPr>
          </w:p>
          <w:p w14:paraId="411FD337">
            <w:pPr>
              <w:pStyle w:val="6"/>
              <w:spacing w:before="62" w:line="231" w:lineRule="auto"/>
              <w:ind w:left="445"/>
              <w:rPr>
                <w:sz w:val="19"/>
                <w:szCs w:val="19"/>
              </w:rPr>
            </w:pPr>
            <w:r>
              <w:rPr>
                <w:spacing w:val="2"/>
                <w:sz w:val="19"/>
                <w:szCs w:val="19"/>
              </w:rPr>
              <w:t>新设</w:t>
            </w:r>
          </w:p>
          <w:p w14:paraId="60518EAC">
            <w:pPr>
              <w:pStyle w:val="6"/>
              <w:spacing w:before="21" w:line="231" w:lineRule="auto"/>
              <w:ind w:left="249"/>
              <w:rPr>
                <w:sz w:val="19"/>
                <w:szCs w:val="19"/>
              </w:rPr>
            </w:pPr>
            <w:r>
              <w:rPr>
                <w:spacing w:val="5"/>
                <w:sz w:val="19"/>
                <w:szCs w:val="19"/>
              </w:rPr>
              <w:t>露天开采</w:t>
            </w:r>
          </w:p>
        </w:tc>
      </w:tr>
      <w:tr w14:paraId="0503CE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1" w:hRule="atLeast"/>
        </w:trPr>
        <w:tc>
          <w:tcPr>
            <w:tcW w:w="511" w:type="dxa"/>
            <w:tcBorders>
              <w:left w:val="single" w:color="000000" w:sz="10" w:space="0"/>
            </w:tcBorders>
            <w:vAlign w:val="top"/>
          </w:tcPr>
          <w:p w14:paraId="1D3D1E70">
            <w:pPr>
              <w:spacing w:line="246" w:lineRule="auto"/>
              <w:rPr>
                <w:rFonts w:ascii="Arial"/>
                <w:sz w:val="21"/>
              </w:rPr>
            </w:pPr>
          </w:p>
          <w:p w14:paraId="5279C103">
            <w:pPr>
              <w:spacing w:line="246" w:lineRule="auto"/>
              <w:rPr>
                <w:rFonts w:ascii="Arial"/>
                <w:sz w:val="21"/>
              </w:rPr>
            </w:pPr>
          </w:p>
          <w:p w14:paraId="022ACD0E">
            <w:pPr>
              <w:spacing w:before="55" w:line="195" w:lineRule="auto"/>
              <w:ind w:left="142"/>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22</w:t>
            </w:r>
          </w:p>
        </w:tc>
        <w:tc>
          <w:tcPr>
            <w:tcW w:w="874" w:type="dxa"/>
            <w:vAlign w:val="top"/>
          </w:tcPr>
          <w:p w14:paraId="3FBCD460">
            <w:pPr>
              <w:spacing w:line="246" w:lineRule="auto"/>
              <w:rPr>
                <w:rFonts w:ascii="Arial"/>
                <w:sz w:val="21"/>
              </w:rPr>
            </w:pPr>
          </w:p>
          <w:p w14:paraId="72A7A7E8">
            <w:pPr>
              <w:spacing w:line="246" w:lineRule="auto"/>
              <w:rPr>
                <w:rFonts w:ascii="Arial"/>
                <w:sz w:val="21"/>
              </w:rPr>
            </w:pPr>
          </w:p>
          <w:p w14:paraId="7BE5F63B">
            <w:pPr>
              <w:spacing w:before="55" w:line="197" w:lineRule="auto"/>
              <w:ind w:left="141"/>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022</w:t>
            </w:r>
          </w:p>
        </w:tc>
        <w:tc>
          <w:tcPr>
            <w:tcW w:w="1480" w:type="dxa"/>
            <w:vAlign w:val="top"/>
          </w:tcPr>
          <w:p w14:paraId="117ADCB8">
            <w:pPr>
              <w:pStyle w:val="6"/>
              <w:spacing w:before="101" w:line="233" w:lineRule="auto"/>
              <w:ind w:left="115"/>
              <w:rPr>
                <w:sz w:val="20"/>
                <w:szCs w:val="20"/>
              </w:rPr>
            </w:pPr>
            <w:r>
              <w:rPr>
                <w:spacing w:val="6"/>
                <w:sz w:val="20"/>
                <w:szCs w:val="20"/>
              </w:rPr>
              <w:t>黔江区蓬东乡</w:t>
            </w:r>
          </w:p>
          <w:p w14:paraId="4B833E09">
            <w:pPr>
              <w:pStyle w:val="6"/>
              <w:spacing w:before="21" w:line="230" w:lineRule="auto"/>
              <w:ind w:left="112"/>
              <w:rPr>
                <w:sz w:val="20"/>
                <w:szCs w:val="20"/>
              </w:rPr>
            </w:pPr>
            <w:r>
              <w:rPr>
                <w:spacing w:val="7"/>
                <w:sz w:val="20"/>
                <w:szCs w:val="20"/>
              </w:rPr>
              <w:t>尖山村六组道</w:t>
            </w:r>
          </w:p>
          <w:p w14:paraId="37D70815">
            <w:pPr>
              <w:pStyle w:val="6"/>
              <w:spacing w:before="21" w:line="229" w:lineRule="auto"/>
              <w:ind w:left="111"/>
              <w:rPr>
                <w:sz w:val="20"/>
                <w:szCs w:val="20"/>
              </w:rPr>
            </w:pPr>
            <w:r>
              <w:rPr>
                <w:spacing w:val="7"/>
                <w:sz w:val="20"/>
                <w:szCs w:val="20"/>
              </w:rPr>
              <w:t>湾建筑石料用</w:t>
            </w:r>
          </w:p>
          <w:p w14:paraId="4D113D1D">
            <w:pPr>
              <w:pStyle w:val="6"/>
              <w:spacing w:before="26" w:line="232" w:lineRule="auto"/>
              <w:ind w:left="427"/>
              <w:rPr>
                <w:sz w:val="20"/>
                <w:szCs w:val="20"/>
              </w:rPr>
            </w:pPr>
            <w:r>
              <w:rPr>
                <w:spacing w:val="4"/>
                <w:sz w:val="20"/>
                <w:szCs w:val="20"/>
              </w:rPr>
              <w:t>灰岩矿</w:t>
            </w:r>
          </w:p>
        </w:tc>
        <w:tc>
          <w:tcPr>
            <w:tcW w:w="964" w:type="dxa"/>
            <w:vAlign w:val="top"/>
          </w:tcPr>
          <w:p w14:paraId="7FDC04E3">
            <w:pPr>
              <w:pStyle w:val="6"/>
              <w:spacing w:before="236" w:line="232" w:lineRule="auto"/>
              <w:ind w:left="169"/>
              <w:rPr>
                <w:sz w:val="20"/>
                <w:szCs w:val="20"/>
              </w:rPr>
            </w:pPr>
            <w:r>
              <w:rPr>
                <w:spacing w:val="5"/>
                <w:sz w:val="20"/>
                <w:szCs w:val="20"/>
              </w:rPr>
              <w:t>建筑石</w:t>
            </w:r>
          </w:p>
          <w:p w14:paraId="49A0952A">
            <w:pPr>
              <w:pStyle w:val="6"/>
              <w:spacing w:before="22" w:line="252" w:lineRule="auto"/>
              <w:ind w:left="378" w:right="174" w:hanging="209"/>
              <w:rPr>
                <w:sz w:val="20"/>
                <w:szCs w:val="20"/>
              </w:rPr>
            </w:pPr>
            <w:r>
              <w:rPr>
                <w:spacing w:val="5"/>
                <w:sz w:val="20"/>
                <w:szCs w:val="20"/>
              </w:rPr>
              <w:t>料用灰</w:t>
            </w:r>
            <w:r>
              <w:rPr>
                <w:sz w:val="20"/>
                <w:szCs w:val="20"/>
              </w:rPr>
              <w:t xml:space="preserve"> 岩</w:t>
            </w:r>
          </w:p>
        </w:tc>
        <w:tc>
          <w:tcPr>
            <w:tcW w:w="1029" w:type="dxa"/>
            <w:vAlign w:val="top"/>
          </w:tcPr>
          <w:p w14:paraId="090A284B">
            <w:pPr>
              <w:spacing w:line="242" w:lineRule="auto"/>
              <w:rPr>
                <w:rFonts w:ascii="Arial"/>
                <w:sz w:val="21"/>
              </w:rPr>
            </w:pPr>
          </w:p>
          <w:p w14:paraId="1B480615">
            <w:pPr>
              <w:spacing w:line="243" w:lineRule="auto"/>
              <w:rPr>
                <w:rFonts w:ascii="Arial"/>
                <w:sz w:val="21"/>
              </w:rPr>
            </w:pPr>
          </w:p>
          <w:p w14:paraId="7B29CE95">
            <w:pPr>
              <w:spacing w:before="57"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0.1676</w:t>
            </w:r>
          </w:p>
        </w:tc>
        <w:tc>
          <w:tcPr>
            <w:tcW w:w="1152" w:type="dxa"/>
            <w:vAlign w:val="top"/>
          </w:tcPr>
          <w:p w14:paraId="5E119E47">
            <w:pPr>
              <w:spacing w:line="322" w:lineRule="auto"/>
              <w:rPr>
                <w:rFonts w:ascii="Arial"/>
                <w:sz w:val="21"/>
              </w:rPr>
            </w:pPr>
          </w:p>
          <w:p w14:paraId="13F4C0D2">
            <w:pPr>
              <w:pStyle w:val="6"/>
              <w:spacing w:before="62" w:line="231" w:lineRule="auto"/>
              <w:ind w:left="381"/>
              <w:rPr>
                <w:sz w:val="19"/>
                <w:szCs w:val="19"/>
              </w:rPr>
            </w:pPr>
            <w:r>
              <w:rPr>
                <w:spacing w:val="2"/>
                <w:sz w:val="19"/>
                <w:szCs w:val="19"/>
              </w:rPr>
              <w:t>新设</w:t>
            </w:r>
          </w:p>
          <w:p w14:paraId="3594B3CD">
            <w:pPr>
              <w:pStyle w:val="6"/>
              <w:spacing w:before="21" w:line="231" w:lineRule="auto"/>
              <w:ind w:left="188"/>
              <w:rPr>
                <w:sz w:val="19"/>
                <w:szCs w:val="19"/>
              </w:rPr>
            </w:pPr>
            <w:r>
              <w:rPr>
                <w:spacing w:val="5"/>
                <w:sz w:val="19"/>
                <w:szCs w:val="19"/>
              </w:rPr>
              <w:t>露天开采</w:t>
            </w:r>
          </w:p>
        </w:tc>
        <w:tc>
          <w:tcPr>
            <w:tcW w:w="2164" w:type="dxa"/>
            <w:vAlign w:val="top"/>
          </w:tcPr>
          <w:p w14:paraId="29E59F85">
            <w:pPr>
              <w:spacing w:line="451" w:lineRule="auto"/>
              <w:rPr>
                <w:rFonts w:ascii="Arial"/>
                <w:sz w:val="21"/>
              </w:rPr>
            </w:pPr>
          </w:p>
          <w:p w14:paraId="653AF1CA">
            <w:pPr>
              <w:pStyle w:val="6"/>
              <w:spacing w:before="62" w:line="231" w:lineRule="auto"/>
              <w:ind w:left="794"/>
              <w:rPr>
                <w:sz w:val="19"/>
                <w:szCs w:val="19"/>
              </w:rPr>
            </w:pPr>
            <w:r>
              <w:rPr>
                <w:spacing w:val="4"/>
                <w:sz w:val="19"/>
                <w:szCs w:val="19"/>
              </w:rPr>
              <w:t>无变化</w:t>
            </w:r>
          </w:p>
        </w:tc>
        <w:tc>
          <w:tcPr>
            <w:tcW w:w="948" w:type="dxa"/>
            <w:vAlign w:val="top"/>
          </w:tcPr>
          <w:p w14:paraId="6274D75F">
            <w:pPr>
              <w:spacing w:line="246" w:lineRule="auto"/>
              <w:rPr>
                <w:rFonts w:ascii="Arial"/>
                <w:sz w:val="21"/>
              </w:rPr>
            </w:pPr>
          </w:p>
          <w:p w14:paraId="11D73313">
            <w:pPr>
              <w:spacing w:line="246" w:lineRule="auto"/>
              <w:rPr>
                <w:rFonts w:ascii="Arial"/>
                <w:sz w:val="21"/>
              </w:rPr>
            </w:pPr>
          </w:p>
          <w:p w14:paraId="675555AC">
            <w:pPr>
              <w:spacing w:before="55" w:line="197" w:lineRule="auto"/>
              <w:ind w:left="191"/>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022</w:t>
            </w:r>
          </w:p>
        </w:tc>
        <w:tc>
          <w:tcPr>
            <w:tcW w:w="2170" w:type="dxa"/>
            <w:vAlign w:val="top"/>
          </w:tcPr>
          <w:p w14:paraId="235CF979">
            <w:pPr>
              <w:pStyle w:val="6"/>
              <w:spacing w:before="236" w:line="230" w:lineRule="auto"/>
              <w:ind w:left="159"/>
              <w:rPr>
                <w:sz w:val="20"/>
                <w:szCs w:val="20"/>
              </w:rPr>
            </w:pPr>
            <w:r>
              <w:rPr>
                <w:spacing w:val="7"/>
                <w:sz w:val="20"/>
                <w:szCs w:val="20"/>
              </w:rPr>
              <w:t>黔江区蓬东乡尖山村</w:t>
            </w:r>
          </w:p>
          <w:p w14:paraId="30627D94">
            <w:pPr>
              <w:pStyle w:val="6"/>
              <w:spacing w:before="23" w:line="229" w:lineRule="auto"/>
              <w:ind w:left="156"/>
              <w:rPr>
                <w:sz w:val="20"/>
                <w:szCs w:val="20"/>
              </w:rPr>
            </w:pPr>
            <w:r>
              <w:rPr>
                <w:spacing w:val="8"/>
                <w:sz w:val="20"/>
                <w:szCs w:val="20"/>
              </w:rPr>
              <w:t>六组道湾建筑石料用</w:t>
            </w:r>
          </w:p>
          <w:p w14:paraId="03159548">
            <w:pPr>
              <w:pStyle w:val="6"/>
              <w:spacing w:before="23" w:line="232" w:lineRule="auto"/>
              <w:ind w:left="788"/>
              <w:rPr>
                <w:sz w:val="20"/>
                <w:szCs w:val="20"/>
              </w:rPr>
            </w:pPr>
            <w:r>
              <w:rPr>
                <w:spacing w:val="4"/>
                <w:sz w:val="20"/>
                <w:szCs w:val="20"/>
              </w:rPr>
              <w:t>灰岩矿</w:t>
            </w:r>
          </w:p>
        </w:tc>
        <w:tc>
          <w:tcPr>
            <w:tcW w:w="1077" w:type="dxa"/>
            <w:vAlign w:val="top"/>
          </w:tcPr>
          <w:p w14:paraId="5185AC79">
            <w:pPr>
              <w:spacing w:line="309" w:lineRule="auto"/>
              <w:rPr>
                <w:rFonts w:ascii="Arial"/>
                <w:sz w:val="21"/>
              </w:rPr>
            </w:pPr>
          </w:p>
          <w:p w14:paraId="0B89E56C">
            <w:pPr>
              <w:pStyle w:val="6"/>
              <w:spacing w:before="65" w:line="251" w:lineRule="auto"/>
              <w:ind w:left="240" w:right="110" w:hanging="103"/>
              <w:rPr>
                <w:sz w:val="20"/>
                <w:szCs w:val="20"/>
              </w:rPr>
            </w:pPr>
            <w:r>
              <w:rPr>
                <w:spacing w:val="5"/>
                <w:sz w:val="20"/>
                <w:szCs w:val="20"/>
              </w:rPr>
              <w:t>建筑石料</w:t>
            </w:r>
            <w:r>
              <w:rPr>
                <w:spacing w:val="2"/>
                <w:sz w:val="20"/>
                <w:szCs w:val="20"/>
              </w:rPr>
              <w:t xml:space="preserve"> </w:t>
            </w:r>
            <w:r>
              <w:rPr>
                <w:spacing w:val="5"/>
                <w:sz w:val="20"/>
                <w:szCs w:val="20"/>
              </w:rPr>
              <w:t>用灰岩</w:t>
            </w:r>
          </w:p>
        </w:tc>
        <w:tc>
          <w:tcPr>
            <w:tcW w:w="1036" w:type="dxa"/>
            <w:vAlign w:val="top"/>
          </w:tcPr>
          <w:p w14:paraId="34AD5B8B">
            <w:pPr>
              <w:spacing w:line="242" w:lineRule="auto"/>
              <w:rPr>
                <w:rFonts w:ascii="Arial"/>
                <w:sz w:val="21"/>
              </w:rPr>
            </w:pPr>
          </w:p>
          <w:p w14:paraId="328B9711">
            <w:pPr>
              <w:spacing w:line="243" w:lineRule="auto"/>
              <w:rPr>
                <w:rFonts w:ascii="Arial"/>
                <w:sz w:val="21"/>
              </w:rPr>
            </w:pPr>
          </w:p>
          <w:p w14:paraId="0805E86F">
            <w:pPr>
              <w:spacing w:before="57"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0.1676</w:t>
            </w:r>
          </w:p>
        </w:tc>
        <w:tc>
          <w:tcPr>
            <w:tcW w:w="1260" w:type="dxa"/>
            <w:tcBorders>
              <w:right w:val="single" w:color="000000" w:sz="10" w:space="0"/>
            </w:tcBorders>
            <w:vAlign w:val="top"/>
          </w:tcPr>
          <w:p w14:paraId="7B6C2D51">
            <w:pPr>
              <w:spacing w:line="322" w:lineRule="auto"/>
              <w:rPr>
                <w:rFonts w:ascii="Arial"/>
                <w:sz w:val="21"/>
              </w:rPr>
            </w:pPr>
          </w:p>
          <w:p w14:paraId="4DF663F9">
            <w:pPr>
              <w:pStyle w:val="6"/>
              <w:spacing w:before="62" w:line="231" w:lineRule="auto"/>
              <w:ind w:left="445"/>
              <w:rPr>
                <w:sz w:val="19"/>
                <w:szCs w:val="19"/>
              </w:rPr>
            </w:pPr>
            <w:r>
              <w:rPr>
                <w:spacing w:val="2"/>
                <w:sz w:val="19"/>
                <w:szCs w:val="19"/>
              </w:rPr>
              <w:t>新设</w:t>
            </w:r>
          </w:p>
          <w:p w14:paraId="267BA964">
            <w:pPr>
              <w:pStyle w:val="6"/>
              <w:spacing w:before="21" w:line="231" w:lineRule="auto"/>
              <w:ind w:left="249"/>
              <w:rPr>
                <w:sz w:val="19"/>
                <w:szCs w:val="19"/>
              </w:rPr>
            </w:pPr>
            <w:r>
              <w:rPr>
                <w:spacing w:val="5"/>
                <w:sz w:val="19"/>
                <w:szCs w:val="19"/>
              </w:rPr>
              <w:t>露天开采</w:t>
            </w:r>
          </w:p>
        </w:tc>
      </w:tr>
      <w:tr w14:paraId="10F6C3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1" w:hRule="atLeast"/>
        </w:trPr>
        <w:tc>
          <w:tcPr>
            <w:tcW w:w="511" w:type="dxa"/>
            <w:tcBorders>
              <w:left w:val="single" w:color="000000" w:sz="10" w:space="0"/>
            </w:tcBorders>
            <w:vAlign w:val="top"/>
          </w:tcPr>
          <w:p w14:paraId="3D3C1836">
            <w:pPr>
              <w:spacing w:line="248" w:lineRule="auto"/>
              <w:rPr>
                <w:rFonts w:ascii="Arial"/>
                <w:sz w:val="21"/>
              </w:rPr>
            </w:pPr>
          </w:p>
          <w:p w14:paraId="6C445365">
            <w:pPr>
              <w:spacing w:line="248" w:lineRule="auto"/>
              <w:rPr>
                <w:rFonts w:ascii="Arial"/>
                <w:sz w:val="21"/>
              </w:rPr>
            </w:pPr>
          </w:p>
          <w:p w14:paraId="1C53A4A7">
            <w:pPr>
              <w:spacing w:before="54" w:line="195" w:lineRule="auto"/>
              <w:ind w:left="142"/>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23</w:t>
            </w:r>
          </w:p>
        </w:tc>
        <w:tc>
          <w:tcPr>
            <w:tcW w:w="874" w:type="dxa"/>
            <w:vAlign w:val="top"/>
          </w:tcPr>
          <w:p w14:paraId="12035AE2">
            <w:pPr>
              <w:spacing w:line="247" w:lineRule="auto"/>
              <w:rPr>
                <w:rFonts w:ascii="Arial"/>
                <w:sz w:val="21"/>
              </w:rPr>
            </w:pPr>
          </w:p>
          <w:p w14:paraId="2CE71C2E">
            <w:pPr>
              <w:spacing w:line="248" w:lineRule="auto"/>
              <w:rPr>
                <w:rFonts w:ascii="Arial"/>
                <w:sz w:val="21"/>
              </w:rPr>
            </w:pPr>
          </w:p>
          <w:p w14:paraId="26C50AB9">
            <w:pPr>
              <w:spacing w:before="55" w:line="197" w:lineRule="auto"/>
              <w:ind w:left="141"/>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023</w:t>
            </w:r>
          </w:p>
        </w:tc>
        <w:tc>
          <w:tcPr>
            <w:tcW w:w="1480" w:type="dxa"/>
            <w:vAlign w:val="top"/>
          </w:tcPr>
          <w:p w14:paraId="0EBFCDF4">
            <w:pPr>
              <w:pStyle w:val="6"/>
              <w:spacing w:before="105" w:line="233" w:lineRule="auto"/>
              <w:ind w:left="115"/>
              <w:rPr>
                <w:sz w:val="20"/>
                <w:szCs w:val="20"/>
              </w:rPr>
            </w:pPr>
            <w:r>
              <w:rPr>
                <w:spacing w:val="6"/>
                <w:sz w:val="20"/>
                <w:szCs w:val="20"/>
              </w:rPr>
              <w:t>黔江区五里乡</w:t>
            </w:r>
          </w:p>
          <w:p w14:paraId="77A01272">
            <w:pPr>
              <w:pStyle w:val="6"/>
              <w:spacing w:before="18" w:line="230" w:lineRule="auto"/>
              <w:ind w:left="117"/>
              <w:rPr>
                <w:sz w:val="20"/>
                <w:szCs w:val="20"/>
              </w:rPr>
            </w:pPr>
            <w:r>
              <w:rPr>
                <w:spacing w:val="6"/>
                <w:sz w:val="20"/>
                <w:szCs w:val="20"/>
              </w:rPr>
              <w:t>河南村燕岩建</w:t>
            </w:r>
          </w:p>
          <w:p w14:paraId="60F5A9C4">
            <w:pPr>
              <w:pStyle w:val="6"/>
              <w:spacing w:before="23" w:line="229" w:lineRule="auto"/>
              <w:ind w:left="113"/>
              <w:rPr>
                <w:sz w:val="20"/>
                <w:szCs w:val="20"/>
              </w:rPr>
            </w:pPr>
            <w:r>
              <w:rPr>
                <w:spacing w:val="6"/>
                <w:sz w:val="20"/>
                <w:szCs w:val="20"/>
              </w:rPr>
              <w:t>筑石料用灰岩</w:t>
            </w:r>
          </w:p>
          <w:p w14:paraId="722F83A0">
            <w:pPr>
              <w:pStyle w:val="6"/>
              <w:spacing w:before="26" w:line="232" w:lineRule="auto"/>
              <w:ind w:left="636"/>
              <w:rPr>
                <w:sz w:val="20"/>
                <w:szCs w:val="20"/>
              </w:rPr>
            </w:pPr>
            <w:r>
              <w:rPr>
                <w:sz w:val="20"/>
                <w:szCs w:val="20"/>
              </w:rPr>
              <w:t>矿</w:t>
            </w:r>
          </w:p>
        </w:tc>
        <w:tc>
          <w:tcPr>
            <w:tcW w:w="964" w:type="dxa"/>
            <w:vAlign w:val="top"/>
          </w:tcPr>
          <w:p w14:paraId="7B842DBC">
            <w:pPr>
              <w:pStyle w:val="6"/>
              <w:spacing w:before="239" w:line="232" w:lineRule="auto"/>
              <w:ind w:left="169"/>
              <w:rPr>
                <w:sz w:val="20"/>
                <w:szCs w:val="20"/>
              </w:rPr>
            </w:pPr>
            <w:r>
              <w:rPr>
                <w:spacing w:val="5"/>
                <w:sz w:val="20"/>
                <w:szCs w:val="20"/>
              </w:rPr>
              <w:t>建筑石</w:t>
            </w:r>
          </w:p>
          <w:p w14:paraId="0A85202A">
            <w:pPr>
              <w:pStyle w:val="6"/>
              <w:spacing w:before="22" w:line="252" w:lineRule="auto"/>
              <w:ind w:left="378" w:right="174" w:hanging="209"/>
              <w:rPr>
                <w:sz w:val="20"/>
                <w:szCs w:val="20"/>
              </w:rPr>
            </w:pPr>
            <w:r>
              <w:rPr>
                <w:spacing w:val="5"/>
                <w:sz w:val="20"/>
                <w:szCs w:val="20"/>
              </w:rPr>
              <w:t>料用灰</w:t>
            </w:r>
            <w:r>
              <w:rPr>
                <w:sz w:val="20"/>
                <w:szCs w:val="20"/>
              </w:rPr>
              <w:t xml:space="preserve"> 岩</w:t>
            </w:r>
          </w:p>
        </w:tc>
        <w:tc>
          <w:tcPr>
            <w:tcW w:w="1029" w:type="dxa"/>
            <w:vAlign w:val="top"/>
          </w:tcPr>
          <w:p w14:paraId="52D02A5B">
            <w:pPr>
              <w:spacing w:line="244" w:lineRule="auto"/>
              <w:rPr>
                <w:rFonts w:ascii="Arial"/>
                <w:sz w:val="21"/>
              </w:rPr>
            </w:pPr>
          </w:p>
          <w:p w14:paraId="504005A7">
            <w:pPr>
              <w:spacing w:line="244" w:lineRule="auto"/>
              <w:rPr>
                <w:rFonts w:ascii="Arial"/>
                <w:sz w:val="21"/>
              </w:rPr>
            </w:pPr>
          </w:p>
          <w:p w14:paraId="70F6D8D8">
            <w:pPr>
              <w:spacing w:before="57"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0.3384</w:t>
            </w:r>
          </w:p>
        </w:tc>
        <w:tc>
          <w:tcPr>
            <w:tcW w:w="1152" w:type="dxa"/>
            <w:vAlign w:val="top"/>
          </w:tcPr>
          <w:p w14:paraId="786C38FE">
            <w:pPr>
              <w:spacing w:line="326" w:lineRule="auto"/>
              <w:rPr>
                <w:rFonts w:ascii="Arial"/>
                <w:sz w:val="21"/>
              </w:rPr>
            </w:pPr>
          </w:p>
          <w:p w14:paraId="6EE10149">
            <w:pPr>
              <w:pStyle w:val="6"/>
              <w:spacing w:before="61" w:line="231" w:lineRule="auto"/>
              <w:ind w:left="381"/>
              <w:rPr>
                <w:sz w:val="19"/>
                <w:szCs w:val="19"/>
              </w:rPr>
            </w:pPr>
            <w:r>
              <w:rPr>
                <w:spacing w:val="2"/>
                <w:sz w:val="19"/>
                <w:szCs w:val="19"/>
              </w:rPr>
              <w:t>新设</w:t>
            </w:r>
          </w:p>
          <w:p w14:paraId="39BA816C">
            <w:pPr>
              <w:pStyle w:val="6"/>
              <w:spacing w:before="21" w:line="231" w:lineRule="auto"/>
              <w:ind w:left="188"/>
              <w:rPr>
                <w:sz w:val="19"/>
                <w:szCs w:val="19"/>
              </w:rPr>
            </w:pPr>
            <w:r>
              <w:rPr>
                <w:spacing w:val="5"/>
                <w:sz w:val="19"/>
                <w:szCs w:val="19"/>
              </w:rPr>
              <w:t>露天开采</w:t>
            </w:r>
          </w:p>
        </w:tc>
        <w:tc>
          <w:tcPr>
            <w:tcW w:w="2164" w:type="dxa"/>
            <w:vAlign w:val="top"/>
          </w:tcPr>
          <w:p w14:paraId="3DE0464F">
            <w:pPr>
              <w:spacing w:line="454" w:lineRule="auto"/>
              <w:rPr>
                <w:rFonts w:ascii="Arial"/>
                <w:sz w:val="21"/>
              </w:rPr>
            </w:pPr>
          </w:p>
          <w:p w14:paraId="724D88BF">
            <w:pPr>
              <w:pStyle w:val="6"/>
              <w:spacing w:before="62" w:line="231" w:lineRule="auto"/>
              <w:ind w:left="794"/>
              <w:rPr>
                <w:sz w:val="19"/>
                <w:szCs w:val="19"/>
              </w:rPr>
            </w:pPr>
            <w:r>
              <w:rPr>
                <w:spacing w:val="4"/>
                <w:sz w:val="19"/>
                <w:szCs w:val="19"/>
              </w:rPr>
              <w:t>无变化</w:t>
            </w:r>
          </w:p>
        </w:tc>
        <w:tc>
          <w:tcPr>
            <w:tcW w:w="948" w:type="dxa"/>
            <w:vAlign w:val="top"/>
          </w:tcPr>
          <w:p w14:paraId="13902092">
            <w:pPr>
              <w:spacing w:line="247" w:lineRule="auto"/>
              <w:rPr>
                <w:rFonts w:ascii="Arial"/>
                <w:sz w:val="21"/>
              </w:rPr>
            </w:pPr>
          </w:p>
          <w:p w14:paraId="570E374D">
            <w:pPr>
              <w:spacing w:line="248" w:lineRule="auto"/>
              <w:rPr>
                <w:rFonts w:ascii="Arial"/>
                <w:sz w:val="21"/>
              </w:rPr>
            </w:pPr>
          </w:p>
          <w:p w14:paraId="1F48B982">
            <w:pPr>
              <w:spacing w:before="55" w:line="197" w:lineRule="auto"/>
              <w:ind w:left="191"/>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023</w:t>
            </w:r>
          </w:p>
        </w:tc>
        <w:tc>
          <w:tcPr>
            <w:tcW w:w="2170" w:type="dxa"/>
            <w:vAlign w:val="top"/>
          </w:tcPr>
          <w:p w14:paraId="6F36A793">
            <w:pPr>
              <w:pStyle w:val="6"/>
              <w:spacing w:before="239" w:line="230" w:lineRule="auto"/>
              <w:ind w:left="159"/>
              <w:rPr>
                <w:sz w:val="20"/>
                <w:szCs w:val="20"/>
              </w:rPr>
            </w:pPr>
            <w:r>
              <w:rPr>
                <w:spacing w:val="7"/>
                <w:sz w:val="20"/>
                <w:szCs w:val="20"/>
              </w:rPr>
              <w:t>黔江区五里乡河南村</w:t>
            </w:r>
          </w:p>
          <w:p w14:paraId="3147A920">
            <w:pPr>
              <w:pStyle w:val="6"/>
              <w:spacing w:before="23" w:line="229" w:lineRule="auto"/>
              <w:ind w:left="158"/>
              <w:rPr>
                <w:sz w:val="20"/>
                <w:szCs w:val="20"/>
              </w:rPr>
            </w:pPr>
            <w:r>
              <w:rPr>
                <w:spacing w:val="7"/>
                <w:sz w:val="20"/>
                <w:szCs w:val="20"/>
              </w:rPr>
              <w:t>燕岩建筑石料用灰岩</w:t>
            </w:r>
          </w:p>
          <w:p w14:paraId="7743CB6D">
            <w:pPr>
              <w:pStyle w:val="6"/>
              <w:spacing w:before="23" w:line="232" w:lineRule="auto"/>
              <w:ind w:left="995"/>
              <w:rPr>
                <w:sz w:val="20"/>
                <w:szCs w:val="20"/>
              </w:rPr>
            </w:pPr>
            <w:r>
              <w:rPr>
                <w:sz w:val="20"/>
                <w:szCs w:val="20"/>
              </w:rPr>
              <w:t>矿</w:t>
            </w:r>
          </w:p>
        </w:tc>
        <w:tc>
          <w:tcPr>
            <w:tcW w:w="1077" w:type="dxa"/>
            <w:vAlign w:val="top"/>
          </w:tcPr>
          <w:p w14:paraId="185E2688">
            <w:pPr>
              <w:spacing w:line="308" w:lineRule="auto"/>
              <w:rPr>
                <w:rFonts w:ascii="Arial"/>
                <w:sz w:val="21"/>
              </w:rPr>
            </w:pPr>
          </w:p>
          <w:p w14:paraId="159F91F9">
            <w:pPr>
              <w:pStyle w:val="6"/>
              <w:spacing w:before="65" w:line="254" w:lineRule="auto"/>
              <w:ind w:left="240" w:right="110" w:hanging="103"/>
              <w:rPr>
                <w:sz w:val="20"/>
                <w:szCs w:val="20"/>
              </w:rPr>
            </w:pPr>
            <w:r>
              <w:rPr>
                <w:spacing w:val="5"/>
                <w:sz w:val="20"/>
                <w:szCs w:val="20"/>
              </w:rPr>
              <w:t>建筑石料</w:t>
            </w:r>
            <w:r>
              <w:rPr>
                <w:spacing w:val="2"/>
                <w:sz w:val="20"/>
                <w:szCs w:val="20"/>
              </w:rPr>
              <w:t xml:space="preserve"> </w:t>
            </w:r>
            <w:r>
              <w:rPr>
                <w:spacing w:val="5"/>
                <w:sz w:val="20"/>
                <w:szCs w:val="20"/>
              </w:rPr>
              <w:t>用灰岩</w:t>
            </w:r>
          </w:p>
        </w:tc>
        <w:tc>
          <w:tcPr>
            <w:tcW w:w="1036" w:type="dxa"/>
            <w:vAlign w:val="top"/>
          </w:tcPr>
          <w:p w14:paraId="795445CE">
            <w:pPr>
              <w:spacing w:line="244" w:lineRule="auto"/>
              <w:rPr>
                <w:rFonts w:ascii="Arial"/>
                <w:sz w:val="21"/>
              </w:rPr>
            </w:pPr>
          </w:p>
          <w:p w14:paraId="58AC59DE">
            <w:pPr>
              <w:spacing w:line="244" w:lineRule="auto"/>
              <w:rPr>
                <w:rFonts w:ascii="Arial"/>
                <w:sz w:val="21"/>
              </w:rPr>
            </w:pPr>
          </w:p>
          <w:p w14:paraId="6758CA42">
            <w:pPr>
              <w:spacing w:before="57"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0.3384</w:t>
            </w:r>
          </w:p>
        </w:tc>
        <w:tc>
          <w:tcPr>
            <w:tcW w:w="1260" w:type="dxa"/>
            <w:tcBorders>
              <w:right w:val="single" w:color="000000" w:sz="10" w:space="0"/>
            </w:tcBorders>
            <w:vAlign w:val="top"/>
          </w:tcPr>
          <w:p w14:paraId="61641D92">
            <w:pPr>
              <w:spacing w:line="326" w:lineRule="auto"/>
              <w:rPr>
                <w:rFonts w:ascii="Arial"/>
                <w:sz w:val="21"/>
              </w:rPr>
            </w:pPr>
          </w:p>
          <w:p w14:paraId="76E4C786">
            <w:pPr>
              <w:pStyle w:val="6"/>
              <w:spacing w:before="61" w:line="231" w:lineRule="auto"/>
              <w:ind w:left="445"/>
              <w:rPr>
                <w:sz w:val="19"/>
                <w:szCs w:val="19"/>
              </w:rPr>
            </w:pPr>
            <w:r>
              <w:rPr>
                <w:spacing w:val="2"/>
                <w:sz w:val="19"/>
                <w:szCs w:val="19"/>
              </w:rPr>
              <w:t>新设</w:t>
            </w:r>
          </w:p>
          <w:p w14:paraId="78C11245">
            <w:pPr>
              <w:pStyle w:val="6"/>
              <w:spacing w:before="21" w:line="231" w:lineRule="auto"/>
              <w:ind w:left="249"/>
              <w:rPr>
                <w:sz w:val="19"/>
                <w:szCs w:val="19"/>
              </w:rPr>
            </w:pPr>
            <w:r>
              <w:rPr>
                <w:spacing w:val="5"/>
                <w:sz w:val="19"/>
                <w:szCs w:val="19"/>
              </w:rPr>
              <w:t>露天开采</w:t>
            </w:r>
          </w:p>
        </w:tc>
      </w:tr>
      <w:tr w14:paraId="270E24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0" w:hRule="atLeast"/>
        </w:trPr>
        <w:tc>
          <w:tcPr>
            <w:tcW w:w="511" w:type="dxa"/>
            <w:tcBorders>
              <w:left w:val="single" w:color="000000" w:sz="10" w:space="0"/>
            </w:tcBorders>
            <w:vAlign w:val="top"/>
          </w:tcPr>
          <w:p w14:paraId="3E2270CE">
            <w:pPr>
              <w:spacing w:line="249" w:lineRule="auto"/>
              <w:rPr>
                <w:rFonts w:ascii="Arial"/>
                <w:sz w:val="21"/>
              </w:rPr>
            </w:pPr>
          </w:p>
          <w:p w14:paraId="5AAC042D">
            <w:pPr>
              <w:spacing w:line="250" w:lineRule="auto"/>
              <w:rPr>
                <w:rFonts w:ascii="Arial"/>
                <w:sz w:val="21"/>
              </w:rPr>
            </w:pPr>
          </w:p>
          <w:p w14:paraId="21ECF275">
            <w:pPr>
              <w:spacing w:before="54" w:line="195" w:lineRule="auto"/>
              <w:ind w:left="142"/>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24</w:t>
            </w:r>
          </w:p>
        </w:tc>
        <w:tc>
          <w:tcPr>
            <w:tcW w:w="874" w:type="dxa"/>
            <w:vAlign w:val="top"/>
          </w:tcPr>
          <w:p w14:paraId="35713D07">
            <w:pPr>
              <w:spacing w:line="249" w:lineRule="auto"/>
              <w:rPr>
                <w:rFonts w:ascii="Arial"/>
                <w:sz w:val="21"/>
              </w:rPr>
            </w:pPr>
          </w:p>
          <w:p w14:paraId="344A0EB6">
            <w:pPr>
              <w:spacing w:line="250" w:lineRule="auto"/>
              <w:rPr>
                <w:rFonts w:ascii="Arial"/>
                <w:sz w:val="21"/>
              </w:rPr>
            </w:pPr>
          </w:p>
          <w:p w14:paraId="699C6B9E">
            <w:pPr>
              <w:spacing w:before="54" w:line="197" w:lineRule="auto"/>
              <w:ind w:left="141"/>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024</w:t>
            </w:r>
          </w:p>
        </w:tc>
        <w:tc>
          <w:tcPr>
            <w:tcW w:w="1480" w:type="dxa"/>
            <w:vAlign w:val="top"/>
          </w:tcPr>
          <w:p w14:paraId="6511BF9F">
            <w:pPr>
              <w:pStyle w:val="6"/>
              <w:spacing w:before="107" w:line="232" w:lineRule="auto"/>
              <w:ind w:left="115"/>
              <w:rPr>
                <w:sz w:val="20"/>
                <w:szCs w:val="20"/>
              </w:rPr>
            </w:pPr>
            <w:r>
              <w:rPr>
                <w:spacing w:val="6"/>
                <w:sz w:val="20"/>
                <w:szCs w:val="20"/>
              </w:rPr>
              <w:t>黔江区黎水镇</w:t>
            </w:r>
          </w:p>
          <w:p w14:paraId="497414AB">
            <w:pPr>
              <w:pStyle w:val="6"/>
              <w:spacing w:before="20" w:line="230" w:lineRule="auto"/>
              <w:ind w:left="113"/>
              <w:rPr>
                <w:sz w:val="20"/>
                <w:szCs w:val="20"/>
              </w:rPr>
            </w:pPr>
            <w:r>
              <w:rPr>
                <w:spacing w:val="7"/>
                <w:sz w:val="20"/>
                <w:szCs w:val="20"/>
              </w:rPr>
              <w:t>竹园村韩家湾</w:t>
            </w:r>
          </w:p>
          <w:p w14:paraId="1C05F7F2">
            <w:pPr>
              <w:pStyle w:val="6"/>
              <w:spacing w:before="23" w:line="229" w:lineRule="auto"/>
              <w:ind w:left="111"/>
              <w:rPr>
                <w:sz w:val="20"/>
                <w:szCs w:val="20"/>
              </w:rPr>
            </w:pPr>
            <w:r>
              <w:rPr>
                <w:spacing w:val="7"/>
                <w:sz w:val="20"/>
                <w:szCs w:val="20"/>
              </w:rPr>
              <w:t>建筑石料用灰</w:t>
            </w:r>
          </w:p>
          <w:p w14:paraId="75E56B08">
            <w:pPr>
              <w:pStyle w:val="6"/>
              <w:spacing w:before="23" w:line="232" w:lineRule="auto"/>
              <w:ind w:left="529"/>
              <w:rPr>
                <w:sz w:val="20"/>
                <w:szCs w:val="20"/>
              </w:rPr>
            </w:pPr>
            <w:r>
              <w:rPr>
                <w:spacing w:val="3"/>
                <w:sz w:val="20"/>
                <w:szCs w:val="20"/>
              </w:rPr>
              <w:t>岩矿</w:t>
            </w:r>
          </w:p>
        </w:tc>
        <w:tc>
          <w:tcPr>
            <w:tcW w:w="964" w:type="dxa"/>
            <w:vAlign w:val="top"/>
          </w:tcPr>
          <w:p w14:paraId="766C03BD">
            <w:pPr>
              <w:pStyle w:val="6"/>
              <w:spacing w:before="242" w:line="232" w:lineRule="auto"/>
              <w:ind w:left="169"/>
              <w:rPr>
                <w:sz w:val="20"/>
                <w:szCs w:val="20"/>
              </w:rPr>
            </w:pPr>
            <w:r>
              <w:rPr>
                <w:spacing w:val="5"/>
                <w:sz w:val="20"/>
                <w:szCs w:val="20"/>
              </w:rPr>
              <w:t>建筑石</w:t>
            </w:r>
          </w:p>
          <w:p w14:paraId="2B53C293">
            <w:pPr>
              <w:pStyle w:val="6"/>
              <w:spacing w:before="22" w:line="252" w:lineRule="auto"/>
              <w:ind w:left="378" w:right="174" w:hanging="209"/>
              <w:rPr>
                <w:sz w:val="20"/>
                <w:szCs w:val="20"/>
              </w:rPr>
            </w:pPr>
            <w:r>
              <w:rPr>
                <w:spacing w:val="5"/>
                <w:sz w:val="20"/>
                <w:szCs w:val="20"/>
              </w:rPr>
              <w:t>料用灰</w:t>
            </w:r>
            <w:r>
              <w:rPr>
                <w:sz w:val="20"/>
                <w:szCs w:val="20"/>
              </w:rPr>
              <w:t xml:space="preserve"> 岩</w:t>
            </w:r>
          </w:p>
        </w:tc>
        <w:tc>
          <w:tcPr>
            <w:tcW w:w="1029" w:type="dxa"/>
            <w:vAlign w:val="top"/>
          </w:tcPr>
          <w:p w14:paraId="2557BD1A">
            <w:pPr>
              <w:spacing w:line="245" w:lineRule="auto"/>
              <w:rPr>
                <w:rFonts w:ascii="Arial"/>
                <w:sz w:val="21"/>
              </w:rPr>
            </w:pPr>
          </w:p>
          <w:p w14:paraId="466B5358">
            <w:pPr>
              <w:spacing w:line="246" w:lineRule="auto"/>
              <w:rPr>
                <w:rFonts w:ascii="Arial"/>
                <w:sz w:val="21"/>
              </w:rPr>
            </w:pPr>
          </w:p>
          <w:p w14:paraId="4C4194B8">
            <w:pPr>
              <w:spacing w:before="58"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0.0493</w:t>
            </w:r>
          </w:p>
        </w:tc>
        <w:tc>
          <w:tcPr>
            <w:tcW w:w="1152" w:type="dxa"/>
            <w:vAlign w:val="top"/>
          </w:tcPr>
          <w:p w14:paraId="072976C6">
            <w:pPr>
              <w:spacing w:line="329" w:lineRule="auto"/>
              <w:rPr>
                <w:rFonts w:ascii="Arial"/>
                <w:sz w:val="21"/>
              </w:rPr>
            </w:pPr>
          </w:p>
          <w:p w14:paraId="3F16A130">
            <w:pPr>
              <w:pStyle w:val="6"/>
              <w:spacing w:before="62" w:line="231" w:lineRule="auto"/>
              <w:ind w:left="381"/>
              <w:rPr>
                <w:sz w:val="19"/>
                <w:szCs w:val="19"/>
              </w:rPr>
            </w:pPr>
            <w:r>
              <w:rPr>
                <w:spacing w:val="2"/>
                <w:sz w:val="19"/>
                <w:szCs w:val="19"/>
              </w:rPr>
              <w:t>新设</w:t>
            </w:r>
          </w:p>
          <w:p w14:paraId="0DA30F3E">
            <w:pPr>
              <w:pStyle w:val="6"/>
              <w:spacing w:before="21" w:line="231" w:lineRule="auto"/>
              <w:ind w:left="188"/>
              <w:rPr>
                <w:sz w:val="19"/>
                <w:szCs w:val="19"/>
              </w:rPr>
            </w:pPr>
            <w:r>
              <w:rPr>
                <w:spacing w:val="5"/>
                <w:sz w:val="19"/>
                <w:szCs w:val="19"/>
              </w:rPr>
              <w:t>露天开采</w:t>
            </w:r>
          </w:p>
        </w:tc>
        <w:tc>
          <w:tcPr>
            <w:tcW w:w="2164" w:type="dxa"/>
            <w:vAlign w:val="top"/>
          </w:tcPr>
          <w:p w14:paraId="5AAD5954">
            <w:pPr>
              <w:spacing w:line="458" w:lineRule="auto"/>
              <w:rPr>
                <w:rFonts w:ascii="Arial"/>
                <w:sz w:val="21"/>
              </w:rPr>
            </w:pPr>
          </w:p>
          <w:p w14:paraId="2A5A845C">
            <w:pPr>
              <w:pStyle w:val="6"/>
              <w:spacing w:before="61" w:line="231" w:lineRule="auto"/>
              <w:ind w:left="794"/>
              <w:rPr>
                <w:sz w:val="19"/>
                <w:szCs w:val="19"/>
              </w:rPr>
            </w:pPr>
            <w:r>
              <w:rPr>
                <w:spacing w:val="4"/>
                <w:sz w:val="19"/>
                <w:szCs w:val="19"/>
              </w:rPr>
              <w:t>无变化</w:t>
            </w:r>
          </w:p>
        </w:tc>
        <w:tc>
          <w:tcPr>
            <w:tcW w:w="948" w:type="dxa"/>
            <w:vAlign w:val="top"/>
          </w:tcPr>
          <w:p w14:paraId="4613BD4C">
            <w:pPr>
              <w:spacing w:line="249" w:lineRule="auto"/>
              <w:rPr>
                <w:rFonts w:ascii="Arial"/>
                <w:sz w:val="21"/>
              </w:rPr>
            </w:pPr>
          </w:p>
          <w:p w14:paraId="3EBFC061">
            <w:pPr>
              <w:spacing w:line="250" w:lineRule="auto"/>
              <w:rPr>
                <w:rFonts w:ascii="Arial"/>
                <w:sz w:val="21"/>
              </w:rPr>
            </w:pPr>
          </w:p>
          <w:p w14:paraId="44BB3387">
            <w:pPr>
              <w:spacing w:before="54" w:line="197" w:lineRule="auto"/>
              <w:ind w:left="191"/>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024</w:t>
            </w:r>
          </w:p>
        </w:tc>
        <w:tc>
          <w:tcPr>
            <w:tcW w:w="2170" w:type="dxa"/>
            <w:vAlign w:val="top"/>
          </w:tcPr>
          <w:p w14:paraId="5DCDCBA0">
            <w:pPr>
              <w:pStyle w:val="6"/>
              <w:spacing w:before="242" w:line="230" w:lineRule="auto"/>
              <w:ind w:left="159"/>
              <w:rPr>
                <w:sz w:val="20"/>
                <w:szCs w:val="20"/>
              </w:rPr>
            </w:pPr>
            <w:r>
              <w:rPr>
                <w:spacing w:val="7"/>
                <w:sz w:val="20"/>
                <w:szCs w:val="20"/>
              </w:rPr>
              <w:t>黔江区黎水镇竹园村</w:t>
            </w:r>
          </w:p>
          <w:p w14:paraId="2066010B">
            <w:pPr>
              <w:pStyle w:val="6"/>
              <w:spacing w:before="23" w:line="229" w:lineRule="auto"/>
              <w:ind w:left="156"/>
              <w:rPr>
                <w:sz w:val="20"/>
                <w:szCs w:val="20"/>
              </w:rPr>
            </w:pPr>
            <w:r>
              <w:rPr>
                <w:spacing w:val="8"/>
                <w:sz w:val="20"/>
                <w:szCs w:val="20"/>
              </w:rPr>
              <w:t>韩家湾建筑石料用灰</w:t>
            </w:r>
          </w:p>
          <w:p w14:paraId="54A5F807">
            <w:pPr>
              <w:pStyle w:val="6"/>
              <w:spacing w:before="23" w:line="232" w:lineRule="auto"/>
              <w:ind w:left="889"/>
              <w:rPr>
                <w:sz w:val="20"/>
                <w:szCs w:val="20"/>
              </w:rPr>
            </w:pPr>
            <w:r>
              <w:rPr>
                <w:spacing w:val="3"/>
                <w:sz w:val="20"/>
                <w:szCs w:val="20"/>
              </w:rPr>
              <w:t>岩矿</w:t>
            </w:r>
          </w:p>
        </w:tc>
        <w:tc>
          <w:tcPr>
            <w:tcW w:w="1077" w:type="dxa"/>
            <w:vAlign w:val="top"/>
          </w:tcPr>
          <w:p w14:paraId="6B08A694">
            <w:pPr>
              <w:spacing w:line="311" w:lineRule="auto"/>
              <w:rPr>
                <w:rFonts w:ascii="Arial"/>
                <w:sz w:val="21"/>
              </w:rPr>
            </w:pPr>
          </w:p>
          <w:p w14:paraId="245BCE76">
            <w:pPr>
              <w:pStyle w:val="6"/>
              <w:spacing w:before="65" w:line="254" w:lineRule="auto"/>
              <w:ind w:left="240" w:right="110" w:hanging="103"/>
              <w:rPr>
                <w:sz w:val="20"/>
                <w:szCs w:val="20"/>
              </w:rPr>
            </w:pPr>
            <w:r>
              <w:rPr>
                <w:spacing w:val="5"/>
                <w:sz w:val="20"/>
                <w:szCs w:val="20"/>
              </w:rPr>
              <w:t>建筑石料</w:t>
            </w:r>
            <w:r>
              <w:rPr>
                <w:spacing w:val="2"/>
                <w:sz w:val="20"/>
                <w:szCs w:val="20"/>
              </w:rPr>
              <w:t xml:space="preserve"> </w:t>
            </w:r>
            <w:r>
              <w:rPr>
                <w:spacing w:val="5"/>
                <w:sz w:val="20"/>
                <w:szCs w:val="20"/>
              </w:rPr>
              <w:t>用灰岩</w:t>
            </w:r>
          </w:p>
        </w:tc>
        <w:tc>
          <w:tcPr>
            <w:tcW w:w="1036" w:type="dxa"/>
            <w:vAlign w:val="top"/>
          </w:tcPr>
          <w:p w14:paraId="33493F7F">
            <w:pPr>
              <w:spacing w:line="245" w:lineRule="auto"/>
              <w:rPr>
                <w:rFonts w:ascii="Arial"/>
                <w:sz w:val="21"/>
              </w:rPr>
            </w:pPr>
          </w:p>
          <w:p w14:paraId="3717D868">
            <w:pPr>
              <w:spacing w:line="246" w:lineRule="auto"/>
              <w:rPr>
                <w:rFonts w:ascii="Arial"/>
                <w:sz w:val="21"/>
              </w:rPr>
            </w:pPr>
          </w:p>
          <w:p w14:paraId="62012F09">
            <w:pPr>
              <w:spacing w:before="58"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0.0493</w:t>
            </w:r>
          </w:p>
        </w:tc>
        <w:tc>
          <w:tcPr>
            <w:tcW w:w="1260" w:type="dxa"/>
            <w:tcBorders>
              <w:right w:val="single" w:color="000000" w:sz="10" w:space="0"/>
            </w:tcBorders>
            <w:vAlign w:val="top"/>
          </w:tcPr>
          <w:p w14:paraId="72DB7910">
            <w:pPr>
              <w:spacing w:line="329" w:lineRule="auto"/>
              <w:rPr>
                <w:rFonts w:ascii="Arial"/>
                <w:sz w:val="21"/>
              </w:rPr>
            </w:pPr>
          </w:p>
          <w:p w14:paraId="75D07BE2">
            <w:pPr>
              <w:pStyle w:val="6"/>
              <w:spacing w:before="62" w:line="231" w:lineRule="auto"/>
              <w:ind w:left="445"/>
              <w:rPr>
                <w:sz w:val="19"/>
                <w:szCs w:val="19"/>
              </w:rPr>
            </w:pPr>
            <w:r>
              <w:rPr>
                <w:spacing w:val="2"/>
                <w:sz w:val="19"/>
                <w:szCs w:val="19"/>
              </w:rPr>
              <w:t>新设</w:t>
            </w:r>
          </w:p>
          <w:p w14:paraId="0681D2D6">
            <w:pPr>
              <w:pStyle w:val="6"/>
              <w:spacing w:before="21" w:line="231" w:lineRule="auto"/>
              <w:ind w:left="249"/>
              <w:rPr>
                <w:sz w:val="19"/>
                <w:szCs w:val="19"/>
              </w:rPr>
            </w:pPr>
            <w:r>
              <w:rPr>
                <w:spacing w:val="5"/>
                <w:sz w:val="19"/>
                <w:szCs w:val="19"/>
              </w:rPr>
              <w:t>露天开采</w:t>
            </w:r>
          </w:p>
        </w:tc>
      </w:tr>
      <w:tr w14:paraId="1798AC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3" w:hRule="atLeast"/>
        </w:trPr>
        <w:tc>
          <w:tcPr>
            <w:tcW w:w="511" w:type="dxa"/>
            <w:tcBorders>
              <w:left w:val="single" w:color="000000" w:sz="10" w:space="0"/>
              <w:bottom w:val="single" w:color="000000" w:sz="10" w:space="0"/>
            </w:tcBorders>
            <w:vAlign w:val="top"/>
          </w:tcPr>
          <w:p w14:paraId="3786A0BE">
            <w:pPr>
              <w:spacing w:line="251" w:lineRule="auto"/>
              <w:rPr>
                <w:rFonts w:ascii="Arial"/>
                <w:sz w:val="21"/>
              </w:rPr>
            </w:pPr>
          </w:p>
          <w:p w14:paraId="165FC07D">
            <w:pPr>
              <w:spacing w:line="252" w:lineRule="auto"/>
              <w:rPr>
                <w:rFonts w:ascii="Arial"/>
                <w:sz w:val="21"/>
              </w:rPr>
            </w:pPr>
          </w:p>
          <w:p w14:paraId="1F03A698">
            <w:pPr>
              <w:spacing w:before="55" w:line="195" w:lineRule="auto"/>
              <w:ind w:left="142"/>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25</w:t>
            </w:r>
          </w:p>
        </w:tc>
        <w:tc>
          <w:tcPr>
            <w:tcW w:w="874" w:type="dxa"/>
            <w:tcBorders>
              <w:bottom w:val="single" w:color="000000" w:sz="10" w:space="0"/>
            </w:tcBorders>
            <w:vAlign w:val="top"/>
          </w:tcPr>
          <w:p w14:paraId="557907DE">
            <w:pPr>
              <w:spacing w:line="251" w:lineRule="auto"/>
              <w:rPr>
                <w:rFonts w:ascii="Arial"/>
                <w:sz w:val="21"/>
              </w:rPr>
            </w:pPr>
          </w:p>
          <w:p w14:paraId="080BC91B">
            <w:pPr>
              <w:spacing w:line="252" w:lineRule="auto"/>
              <w:rPr>
                <w:rFonts w:ascii="Arial"/>
                <w:sz w:val="21"/>
              </w:rPr>
            </w:pPr>
          </w:p>
          <w:p w14:paraId="4BC0429C">
            <w:pPr>
              <w:spacing w:before="54" w:line="197" w:lineRule="auto"/>
              <w:ind w:left="141"/>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025</w:t>
            </w:r>
          </w:p>
        </w:tc>
        <w:tc>
          <w:tcPr>
            <w:tcW w:w="1480" w:type="dxa"/>
            <w:tcBorders>
              <w:bottom w:val="single" w:color="000000" w:sz="10" w:space="0"/>
            </w:tcBorders>
            <w:vAlign w:val="top"/>
          </w:tcPr>
          <w:p w14:paraId="6DBAE6B1">
            <w:pPr>
              <w:pStyle w:val="6"/>
              <w:spacing w:before="111" w:line="232" w:lineRule="auto"/>
              <w:ind w:left="115"/>
              <w:rPr>
                <w:sz w:val="20"/>
                <w:szCs w:val="20"/>
              </w:rPr>
            </w:pPr>
            <w:r>
              <w:rPr>
                <w:spacing w:val="6"/>
                <w:sz w:val="20"/>
                <w:szCs w:val="20"/>
              </w:rPr>
              <w:t>黔江区马喇镇</w:t>
            </w:r>
          </w:p>
          <w:p w14:paraId="2A39F1D8">
            <w:pPr>
              <w:pStyle w:val="6"/>
              <w:spacing w:before="22" w:line="230" w:lineRule="auto"/>
              <w:ind w:left="115"/>
              <w:rPr>
                <w:sz w:val="20"/>
                <w:szCs w:val="20"/>
              </w:rPr>
            </w:pPr>
            <w:r>
              <w:rPr>
                <w:spacing w:val="1"/>
                <w:sz w:val="20"/>
                <w:szCs w:val="20"/>
              </w:rPr>
              <w:t>龙溪村</w:t>
            </w:r>
            <w:r>
              <w:rPr>
                <w:spacing w:val="-36"/>
                <w:sz w:val="20"/>
                <w:szCs w:val="20"/>
              </w:rPr>
              <w:t xml:space="preserve"> </w:t>
            </w:r>
            <w:r>
              <w:rPr>
                <w:rFonts w:ascii="Times New Roman" w:hAnsi="Times New Roman" w:eastAsia="Times New Roman" w:cs="Times New Roman"/>
                <w:spacing w:val="1"/>
                <w:sz w:val="20"/>
                <w:szCs w:val="20"/>
              </w:rPr>
              <w:t>3</w:t>
            </w:r>
            <w:r>
              <w:rPr>
                <w:rFonts w:ascii="Times New Roman" w:hAnsi="Times New Roman" w:eastAsia="Times New Roman" w:cs="Times New Roman"/>
                <w:spacing w:val="18"/>
                <w:w w:val="101"/>
                <w:sz w:val="20"/>
                <w:szCs w:val="20"/>
              </w:rPr>
              <w:t xml:space="preserve"> </w:t>
            </w:r>
            <w:r>
              <w:rPr>
                <w:spacing w:val="1"/>
                <w:sz w:val="20"/>
                <w:szCs w:val="20"/>
              </w:rPr>
              <w:t>组曾</w:t>
            </w:r>
          </w:p>
          <w:p w14:paraId="29ED7889">
            <w:pPr>
              <w:pStyle w:val="6"/>
              <w:spacing w:before="20" w:line="254" w:lineRule="auto"/>
              <w:ind w:left="319" w:right="119" w:hanging="206"/>
              <w:rPr>
                <w:sz w:val="20"/>
                <w:szCs w:val="20"/>
              </w:rPr>
            </w:pPr>
            <w:r>
              <w:rPr>
                <w:spacing w:val="6"/>
                <w:sz w:val="20"/>
                <w:szCs w:val="20"/>
              </w:rPr>
              <w:t>家坪建筑石料</w:t>
            </w:r>
            <w:r>
              <w:rPr>
                <w:spacing w:val="4"/>
                <w:sz w:val="20"/>
                <w:szCs w:val="20"/>
              </w:rPr>
              <w:t xml:space="preserve"> </w:t>
            </w:r>
            <w:r>
              <w:rPr>
                <w:spacing w:val="5"/>
                <w:sz w:val="20"/>
                <w:szCs w:val="20"/>
              </w:rPr>
              <w:t>用灰岩矿</w:t>
            </w:r>
          </w:p>
        </w:tc>
        <w:tc>
          <w:tcPr>
            <w:tcW w:w="964" w:type="dxa"/>
            <w:tcBorders>
              <w:bottom w:val="single" w:color="000000" w:sz="10" w:space="0"/>
            </w:tcBorders>
            <w:vAlign w:val="top"/>
          </w:tcPr>
          <w:p w14:paraId="3D7CDB47">
            <w:pPr>
              <w:pStyle w:val="6"/>
              <w:spacing w:before="249" w:line="232" w:lineRule="auto"/>
              <w:ind w:left="169"/>
              <w:rPr>
                <w:sz w:val="20"/>
                <w:szCs w:val="20"/>
              </w:rPr>
            </w:pPr>
            <w:r>
              <w:rPr>
                <w:spacing w:val="5"/>
                <w:sz w:val="20"/>
                <w:szCs w:val="20"/>
              </w:rPr>
              <w:t>建筑石</w:t>
            </w:r>
          </w:p>
          <w:p w14:paraId="5F58D987">
            <w:pPr>
              <w:pStyle w:val="6"/>
              <w:spacing w:before="20" w:line="252" w:lineRule="auto"/>
              <w:ind w:left="378" w:right="174" w:hanging="209"/>
              <w:rPr>
                <w:sz w:val="20"/>
                <w:szCs w:val="20"/>
              </w:rPr>
            </w:pPr>
            <w:r>
              <w:rPr>
                <w:spacing w:val="5"/>
                <w:sz w:val="20"/>
                <w:szCs w:val="20"/>
              </w:rPr>
              <w:t>料用灰</w:t>
            </w:r>
            <w:r>
              <w:rPr>
                <w:sz w:val="20"/>
                <w:szCs w:val="20"/>
              </w:rPr>
              <w:t xml:space="preserve"> 岩</w:t>
            </w:r>
          </w:p>
        </w:tc>
        <w:tc>
          <w:tcPr>
            <w:tcW w:w="1029" w:type="dxa"/>
            <w:tcBorders>
              <w:bottom w:val="single" w:color="000000" w:sz="10" w:space="0"/>
            </w:tcBorders>
            <w:vAlign w:val="top"/>
          </w:tcPr>
          <w:p w14:paraId="25B3843D">
            <w:pPr>
              <w:spacing w:line="247" w:lineRule="auto"/>
              <w:rPr>
                <w:rFonts w:ascii="Arial"/>
                <w:sz w:val="21"/>
              </w:rPr>
            </w:pPr>
          </w:p>
          <w:p w14:paraId="0A22BB32">
            <w:pPr>
              <w:spacing w:line="248" w:lineRule="auto"/>
              <w:rPr>
                <w:rFonts w:ascii="Arial"/>
                <w:sz w:val="21"/>
              </w:rPr>
            </w:pPr>
          </w:p>
          <w:p w14:paraId="37AE46DC">
            <w:pPr>
              <w:spacing w:before="58"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0.0296</w:t>
            </w:r>
          </w:p>
        </w:tc>
        <w:tc>
          <w:tcPr>
            <w:tcW w:w="1152" w:type="dxa"/>
            <w:tcBorders>
              <w:bottom w:val="single" w:color="000000" w:sz="10" w:space="0"/>
            </w:tcBorders>
            <w:vAlign w:val="top"/>
          </w:tcPr>
          <w:p w14:paraId="398BAEEA">
            <w:pPr>
              <w:spacing w:line="333" w:lineRule="auto"/>
              <w:rPr>
                <w:rFonts w:ascii="Arial"/>
                <w:sz w:val="21"/>
              </w:rPr>
            </w:pPr>
          </w:p>
          <w:p w14:paraId="1F11FF40">
            <w:pPr>
              <w:pStyle w:val="6"/>
              <w:spacing w:before="62" w:line="231" w:lineRule="auto"/>
              <w:ind w:left="381"/>
              <w:rPr>
                <w:sz w:val="19"/>
                <w:szCs w:val="19"/>
              </w:rPr>
            </w:pPr>
            <w:r>
              <w:rPr>
                <w:spacing w:val="2"/>
                <w:sz w:val="19"/>
                <w:szCs w:val="19"/>
              </w:rPr>
              <w:t>新设</w:t>
            </w:r>
          </w:p>
          <w:p w14:paraId="640BACA2">
            <w:pPr>
              <w:pStyle w:val="6"/>
              <w:spacing w:before="21" w:line="231" w:lineRule="auto"/>
              <w:ind w:left="188"/>
              <w:rPr>
                <w:sz w:val="19"/>
                <w:szCs w:val="19"/>
              </w:rPr>
            </w:pPr>
            <w:r>
              <w:rPr>
                <w:spacing w:val="5"/>
                <w:sz w:val="19"/>
                <w:szCs w:val="19"/>
              </w:rPr>
              <w:t>露天开采</w:t>
            </w:r>
          </w:p>
        </w:tc>
        <w:tc>
          <w:tcPr>
            <w:tcW w:w="2164" w:type="dxa"/>
            <w:tcBorders>
              <w:bottom w:val="single" w:color="000000" w:sz="10" w:space="0"/>
            </w:tcBorders>
            <w:vAlign w:val="top"/>
          </w:tcPr>
          <w:p w14:paraId="64086F64">
            <w:pPr>
              <w:spacing w:line="462" w:lineRule="auto"/>
              <w:rPr>
                <w:rFonts w:ascii="Arial"/>
                <w:sz w:val="21"/>
              </w:rPr>
            </w:pPr>
          </w:p>
          <w:p w14:paraId="5E09B998">
            <w:pPr>
              <w:pStyle w:val="6"/>
              <w:spacing w:before="62" w:line="231" w:lineRule="auto"/>
              <w:ind w:left="794"/>
              <w:rPr>
                <w:sz w:val="19"/>
                <w:szCs w:val="19"/>
              </w:rPr>
            </w:pPr>
            <w:r>
              <w:rPr>
                <w:spacing w:val="4"/>
                <w:sz w:val="19"/>
                <w:szCs w:val="19"/>
              </w:rPr>
              <w:t>无变化</w:t>
            </w:r>
          </w:p>
        </w:tc>
        <w:tc>
          <w:tcPr>
            <w:tcW w:w="948" w:type="dxa"/>
            <w:tcBorders>
              <w:bottom w:val="single" w:color="000000" w:sz="10" w:space="0"/>
            </w:tcBorders>
            <w:vAlign w:val="top"/>
          </w:tcPr>
          <w:p w14:paraId="4868E31A">
            <w:pPr>
              <w:spacing w:line="251" w:lineRule="auto"/>
              <w:rPr>
                <w:rFonts w:ascii="Arial"/>
                <w:sz w:val="21"/>
              </w:rPr>
            </w:pPr>
          </w:p>
          <w:p w14:paraId="3324E1B7">
            <w:pPr>
              <w:spacing w:line="252" w:lineRule="auto"/>
              <w:rPr>
                <w:rFonts w:ascii="Arial"/>
                <w:sz w:val="21"/>
              </w:rPr>
            </w:pPr>
          </w:p>
          <w:p w14:paraId="54C68EAC">
            <w:pPr>
              <w:spacing w:before="54" w:line="197" w:lineRule="auto"/>
              <w:ind w:left="191"/>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025</w:t>
            </w:r>
          </w:p>
        </w:tc>
        <w:tc>
          <w:tcPr>
            <w:tcW w:w="2170" w:type="dxa"/>
            <w:tcBorders>
              <w:bottom w:val="single" w:color="000000" w:sz="10" w:space="0"/>
            </w:tcBorders>
            <w:vAlign w:val="top"/>
          </w:tcPr>
          <w:p w14:paraId="1A17EC20">
            <w:pPr>
              <w:pStyle w:val="6"/>
              <w:spacing w:before="249" w:line="230" w:lineRule="auto"/>
              <w:ind w:left="159"/>
              <w:rPr>
                <w:sz w:val="20"/>
                <w:szCs w:val="20"/>
              </w:rPr>
            </w:pPr>
            <w:r>
              <w:rPr>
                <w:spacing w:val="7"/>
                <w:sz w:val="20"/>
                <w:szCs w:val="20"/>
              </w:rPr>
              <w:t>黔江区马喇镇龙溪村</w:t>
            </w:r>
          </w:p>
          <w:p w14:paraId="302B24F7">
            <w:pPr>
              <w:pStyle w:val="6"/>
              <w:spacing w:before="21" w:line="229" w:lineRule="auto"/>
              <w:ind w:left="176"/>
              <w:rPr>
                <w:sz w:val="20"/>
                <w:szCs w:val="20"/>
              </w:rPr>
            </w:pPr>
            <w:r>
              <w:rPr>
                <w:rFonts w:ascii="Times New Roman" w:hAnsi="Times New Roman" w:eastAsia="Times New Roman" w:cs="Times New Roman"/>
                <w:spacing w:val="6"/>
                <w:sz w:val="20"/>
                <w:szCs w:val="20"/>
              </w:rPr>
              <w:t>3</w:t>
            </w:r>
            <w:r>
              <w:rPr>
                <w:rFonts w:ascii="Times New Roman" w:hAnsi="Times New Roman" w:eastAsia="Times New Roman" w:cs="Times New Roman"/>
                <w:spacing w:val="22"/>
                <w:w w:val="101"/>
                <w:sz w:val="20"/>
                <w:szCs w:val="20"/>
              </w:rPr>
              <w:t xml:space="preserve"> </w:t>
            </w:r>
            <w:r>
              <w:rPr>
                <w:spacing w:val="6"/>
                <w:sz w:val="20"/>
                <w:szCs w:val="20"/>
              </w:rPr>
              <w:t>组曾家坪建筑石料</w:t>
            </w:r>
          </w:p>
          <w:p w14:paraId="1C685FA4">
            <w:pPr>
              <w:pStyle w:val="6"/>
              <w:spacing w:before="23" w:line="232" w:lineRule="auto"/>
              <w:ind w:left="680"/>
              <w:rPr>
                <w:sz w:val="20"/>
                <w:szCs w:val="20"/>
              </w:rPr>
            </w:pPr>
            <w:r>
              <w:rPr>
                <w:spacing w:val="5"/>
                <w:sz w:val="20"/>
                <w:szCs w:val="20"/>
              </w:rPr>
              <w:t>用灰岩矿</w:t>
            </w:r>
          </w:p>
        </w:tc>
        <w:tc>
          <w:tcPr>
            <w:tcW w:w="1077" w:type="dxa"/>
            <w:tcBorders>
              <w:bottom w:val="single" w:color="000000" w:sz="10" w:space="0"/>
            </w:tcBorders>
            <w:vAlign w:val="top"/>
          </w:tcPr>
          <w:p w14:paraId="31EC13AA">
            <w:pPr>
              <w:spacing w:line="319" w:lineRule="auto"/>
              <w:rPr>
                <w:rFonts w:ascii="Arial"/>
                <w:sz w:val="21"/>
              </w:rPr>
            </w:pPr>
          </w:p>
          <w:p w14:paraId="0E5A17BE">
            <w:pPr>
              <w:pStyle w:val="6"/>
              <w:spacing w:before="65" w:line="251" w:lineRule="auto"/>
              <w:ind w:left="240" w:right="110" w:hanging="103"/>
              <w:rPr>
                <w:sz w:val="20"/>
                <w:szCs w:val="20"/>
              </w:rPr>
            </w:pPr>
            <w:r>
              <w:rPr>
                <w:spacing w:val="5"/>
                <w:sz w:val="20"/>
                <w:szCs w:val="20"/>
              </w:rPr>
              <w:t>建筑石料</w:t>
            </w:r>
            <w:r>
              <w:rPr>
                <w:spacing w:val="2"/>
                <w:sz w:val="20"/>
                <w:szCs w:val="20"/>
              </w:rPr>
              <w:t xml:space="preserve"> </w:t>
            </w:r>
            <w:r>
              <w:rPr>
                <w:spacing w:val="5"/>
                <w:sz w:val="20"/>
                <w:szCs w:val="20"/>
              </w:rPr>
              <w:t>用灰岩</w:t>
            </w:r>
          </w:p>
        </w:tc>
        <w:tc>
          <w:tcPr>
            <w:tcW w:w="1036" w:type="dxa"/>
            <w:tcBorders>
              <w:bottom w:val="single" w:color="000000" w:sz="10" w:space="0"/>
            </w:tcBorders>
            <w:vAlign w:val="top"/>
          </w:tcPr>
          <w:p w14:paraId="6C5266B9">
            <w:pPr>
              <w:spacing w:line="247" w:lineRule="auto"/>
              <w:rPr>
                <w:rFonts w:ascii="Arial"/>
                <w:sz w:val="21"/>
              </w:rPr>
            </w:pPr>
          </w:p>
          <w:p w14:paraId="0293C38C">
            <w:pPr>
              <w:spacing w:line="248" w:lineRule="auto"/>
              <w:rPr>
                <w:rFonts w:ascii="Arial"/>
                <w:sz w:val="21"/>
              </w:rPr>
            </w:pPr>
          </w:p>
          <w:p w14:paraId="24A0DEAD">
            <w:pPr>
              <w:spacing w:before="58"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0.0296</w:t>
            </w:r>
          </w:p>
        </w:tc>
        <w:tc>
          <w:tcPr>
            <w:tcW w:w="1260" w:type="dxa"/>
            <w:tcBorders>
              <w:bottom w:val="single" w:color="000000" w:sz="10" w:space="0"/>
              <w:right w:val="single" w:color="000000" w:sz="10" w:space="0"/>
            </w:tcBorders>
            <w:vAlign w:val="top"/>
          </w:tcPr>
          <w:p w14:paraId="5E21811D">
            <w:pPr>
              <w:spacing w:line="333" w:lineRule="auto"/>
              <w:rPr>
                <w:rFonts w:ascii="Arial"/>
                <w:sz w:val="21"/>
              </w:rPr>
            </w:pPr>
          </w:p>
          <w:p w14:paraId="6C9AA5DC">
            <w:pPr>
              <w:pStyle w:val="6"/>
              <w:spacing w:before="62" w:line="231" w:lineRule="auto"/>
              <w:ind w:left="445"/>
              <w:rPr>
                <w:sz w:val="19"/>
                <w:szCs w:val="19"/>
              </w:rPr>
            </w:pPr>
            <w:r>
              <w:rPr>
                <w:spacing w:val="2"/>
                <w:sz w:val="19"/>
                <w:szCs w:val="19"/>
              </w:rPr>
              <w:t>新设</w:t>
            </w:r>
          </w:p>
          <w:p w14:paraId="7B728652">
            <w:pPr>
              <w:pStyle w:val="6"/>
              <w:spacing w:before="21" w:line="231" w:lineRule="auto"/>
              <w:ind w:left="249"/>
              <w:rPr>
                <w:sz w:val="19"/>
                <w:szCs w:val="19"/>
              </w:rPr>
            </w:pPr>
            <w:r>
              <w:rPr>
                <w:spacing w:val="5"/>
                <w:sz w:val="19"/>
                <w:szCs w:val="19"/>
              </w:rPr>
              <w:t>露天开采</w:t>
            </w:r>
          </w:p>
        </w:tc>
      </w:tr>
    </w:tbl>
    <w:p w14:paraId="5E316615">
      <w:pPr>
        <w:pStyle w:val="2"/>
      </w:pPr>
    </w:p>
    <w:p w14:paraId="66157870">
      <w:pPr>
        <w:sectPr>
          <w:footerReference r:id="rId66" w:type="default"/>
          <w:pgSz w:w="16839" w:h="11906"/>
          <w:pgMar w:top="1116" w:right="829" w:bottom="1480" w:left="1317" w:header="683" w:footer="1318" w:gutter="0"/>
          <w:cols w:space="720" w:num="1"/>
        </w:sectPr>
      </w:pPr>
    </w:p>
    <w:p w14:paraId="0A236F77">
      <w:pPr>
        <w:spacing w:before="229"/>
      </w:pPr>
    </w:p>
    <w:tbl>
      <w:tblPr>
        <w:tblStyle w:val="5"/>
        <w:tblW w:w="1466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1"/>
        <w:gridCol w:w="874"/>
        <w:gridCol w:w="1480"/>
        <w:gridCol w:w="964"/>
        <w:gridCol w:w="1029"/>
        <w:gridCol w:w="1152"/>
        <w:gridCol w:w="2164"/>
        <w:gridCol w:w="948"/>
        <w:gridCol w:w="2170"/>
        <w:gridCol w:w="1077"/>
        <w:gridCol w:w="1036"/>
        <w:gridCol w:w="1260"/>
      </w:tblGrid>
      <w:tr w14:paraId="571780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511" w:type="dxa"/>
            <w:vMerge w:val="restart"/>
            <w:tcBorders>
              <w:top w:val="single" w:color="000000" w:sz="10" w:space="0"/>
              <w:left w:val="single" w:color="000000" w:sz="10" w:space="0"/>
              <w:bottom w:val="nil"/>
            </w:tcBorders>
            <w:textDirection w:val="tbRlV"/>
            <w:vAlign w:val="top"/>
          </w:tcPr>
          <w:p w14:paraId="2D5BE134">
            <w:pPr>
              <w:pStyle w:val="6"/>
              <w:spacing w:before="149" w:line="202" w:lineRule="auto"/>
              <w:ind w:left="289"/>
            </w:pPr>
            <w:r>
              <w:rPr>
                <w:b/>
                <w:bCs/>
                <w:spacing w:val="33"/>
              </w:rPr>
              <w:t>序号</w:t>
            </w:r>
          </w:p>
        </w:tc>
        <w:tc>
          <w:tcPr>
            <w:tcW w:w="5499" w:type="dxa"/>
            <w:gridSpan w:val="5"/>
            <w:tcBorders>
              <w:top w:val="single" w:color="000000" w:sz="10" w:space="0"/>
            </w:tcBorders>
            <w:vAlign w:val="top"/>
          </w:tcPr>
          <w:p w14:paraId="61F6744D">
            <w:pPr>
              <w:pStyle w:val="6"/>
              <w:spacing w:before="140" w:line="223" w:lineRule="auto"/>
              <w:ind w:left="1321"/>
            </w:pPr>
            <w:r>
              <w:rPr>
                <w:b/>
                <w:bCs/>
                <w:spacing w:val="-3"/>
              </w:rPr>
              <w:t>原《规划》开采区块设置情况</w:t>
            </w:r>
          </w:p>
        </w:tc>
        <w:tc>
          <w:tcPr>
            <w:tcW w:w="2164" w:type="dxa"/>
            <w:vMerge w:val="restart"/>
            <w:tcBorders>
              <w:top w:val="single" w:color="000000" w:sz="10" w:space="0"/>
              <w:bottom w:val="nil"/>
            </w:tcBorders>
            <w:vAlign w:val="top"/>
          </w:tcPr>
          <w:p w14:paraId="57FC3205">
            <w:pPr>
              <w:spacing w:line="357" w:lineRule="auto"/>
              <w:rPr>
                <w:rFonts w:ascii="Arial"/>
                <w:sz w:val="21"/>
              </w:rPr>
            </w:pPr>
          </w:p>
          <w:p w14:paraId="25AA65AB">
            <w:pPr>
              <w:pStyle w:val="6"/>
              <w:spacing w:before="72" w:line="223" w:lineRule="auto"/>
              <w:ind w:left="208"/>
            </w:pPr>
            <w:r>
              <w:rPr>
                <w:b/>
                <w:bCs/>
                <w:spacing w:val="-4"/>
              </w:rPr>
              <w:t>本次调整变化情况</w:t>
            </w:r>
          </w:p>
        </w:tc>
        <w:tc>
          <w:tcPr>
            <w:tcW w:w="6491" w:type="dxa"/>
            <w:gridSpan w:val="5"/>
            <w:tcBorders>
              <w:top w:val="single" w:color="000000" w:sz="10" w:space="0"/>
              <w:right w:val="single" w:color="000000" w:sz="10" w:space="0"/>
            </w:tcBorders>
            <w:vAlign w:val="top"/>
          </w:tcPr>
          <w:p w14:paraId="257C0311">
            <w:pPr>
              <w:pStyle w:val="6"/>
              <w:spacing w:before="140" w:line="223" w:lineRule="auto"/>
              <w:ind w:left="1738"/>
            </w:pPr>
            <w:r>
              <w:rPr>
                <w:b/>
                <w:bCs/>
                <w:spacing w:val="1"/>
                <w:sz w:val="20"/>
                <w:szCs w:val="20"/>
              </w:rPr>
              <w:t>《规划调整》</w:t>
            </w:r>
            <w:r>
              <w:rPr>
                <w:b/>
                <w:bCs/>
                <w:spacing w:val="1"/>
              </w:rPr>
              <w:t>规划区块设置情况</w:t>
            </w:r>
          </w:p>
        </w:tc>
      </w:tr>
      <w:tr w14:paraId="0D2531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511" w:type="dxa"/>
            <w:vMerge w:val="continue"/>
            <w:tcBorders>
              <w:top w:val="nil"/>
              <w:left w:val="single" w:color="000000" w:sz="10" w:space="0"/>
            </w:tcBorders>
            <w:textDirection w:val="tbRlV"/>
            <w:vAlign w:val="top"/>
          </w:tcPr>
          <w:p w14:paraId="1511D581">
            <w:pPr>
              <w:rPr>
                <w:rFonts w:ascii="Arial"/>
                <w:sz w:val="21"/>
              </w:rPr>
            </w:pPr>
          </w:p>
        </w:tc>
        <w:tc>
          <w:tcPr>
            <w:tcW w:w="874" w:type="dxa"/>
            <w:vAlign w:val="top"/>
          </w:tcPr>
          <w:p w14:paraId="2C82FB8B">
            <w:pPr>
              <w:pStyle w:val="6"/>
              <w:spacing w:before="33" w:line="224" w:lineRule="auto"/>
              <w:ind w:left="234"/>
            </w:pPr>
            <w:r>
              <w:rPr>
                <w:b/>
                <w:bCs/>
                <w:spacing w:val="-19"/>
              </w:rPr>
              <w:t>区块</w:t>
            </w:r>
          </w:p>
          <w:p w14:paraId="698AB1FD">
            <w:pPr>
              <w:pStyle w:val="6"/>
              <w:spacing w:before="19" w:line="205" w:lineRule="auto"/>
              <w:ind w:left="217"/>
            </w:pPr>
            <w:r>
              <w:rPr>
                <w:b/>
                <w:bCs/>
                <w:spacing w:val="-10"/>
              </w:rPr>
              <w:t>编号</w:t>
            </w:r>
          </w:p>
        </w:tc>
        <w:tc>
          <w:tcPr>
            <w:tcW w:w="1480" w:type="dxa"/>
            <w:vAlign w:val="top"/>
          </w:tcPr>
          <w:p w14:paraId="11B7AB46">
            <w:pPr>
              <w:pStyle w:val="6"/>
              <w:spacing w:before="174" w:line="222" w:lineRule="auto"/>
              <w:ind w:left="318"/>
            </w:pPr>
            <w:r>
              <w:rPr>
                <w:b/>
                <w:bCs/>
                <w:spacing w:val="-10"/>
              </w:rPr>
              <w:t>区块名称</w:t>
            </w:r>
          </w:p>
        </w:tc>
        <w:tc>
          <w:tcPr>
            <w:tcW w:w="964" w:type="dxa"/>
            <w:vAlign w:val="top"/>
          </w:tcPr>
          <w:p w14:paraId="166D76F9">
            <w:pPr>
              <w:pStyle w:val="6"/>
              <w:spacing w:before="32" w:line="223" w:lineRule="auto"/>
              <w:ind w:left="375" w:right="157" w:hanging="222"/>
            </w:pPr>
            <w:r>
              <w:rPr>
                <w:b/>
                <w:bCs/>
                <w:spacing w:val="-7"/>
              </w:rPr>
              <w:t>开采矿</w:t>
            </w:r>
            <w:r>
              <w:rPr>
                <w:spacing w:val="1"/>
              </w:rPr>
              <w:t xml:space="preserve"> </w:t>
            </w:r>
            <w:r>
              <w:rPr>
                <w:b/>
                <w:bCs/>
                <w:spacing w:val="-3"/>
              </w:rPr>
              <w:t>种</w:t>
            </w:r>
          </w:p>
        </w:tc>
        <w:tc>
          <w:tcPr>
            <w:tcW w:w="1029" w:type="dxa"/>
            <w:vAlign w:val="top"/>
          </w:tcPr>
          <w:p w14:paraId="0D8EBF16">
            <w:pPr>
              <w:pStyle w:val="6"/>
              <w:spacing w:before="33" w:line="224" w:lineRule="auto"/>
              <w:ind w:left="303"/>
            </w:pPr>
            <w:r>
              <w:rPr>
                <w:b/>
                <w:bCs/>
                <w:spacing w:val="-11"/>
              </w:rPr>
              <w:t>面积</w:t>
            </w:r>
          </w:p>
          <w:p w14:paraId="0A401379">
            <w:pPr>
              <w:pStyle w:val="6"/>
              <w:spacing w:before="19" w:line="205" w:lineRule="auto"/>
              <w:ind w:left="114"/>
            </w:pPr>
            <w:r>
              <w:rPr>
                <w:b/>
                <w:bCs/>
                <w:spacing w:val="-4"/>
              </w:rPr>
              <w:t>（</w:t>
            </w:r>
            <w:r>
              <w:rPr>
                <w:rFonts w:ascii="Times New Roman" w:hAnsi="Times New Roman" w:eastAsia="Times New Roman" w:cs="Times New Roman"/>
                <w:b/>
                <w:bCs/>
                <w:spacing w:val="-4"/>
              </w:rPr>
              <w:t>km</w:t>
            </w:r>
            <w:r>
              <w:rPr>
                <w:rFonts w:ascii="Times New Roman" w:hAnsi="Times New Roman" w:eastAsia="Times New Roman" w:cs="Times New Roman"/>
                <w:b/>
                <w:bCs/>
                <w:spacing w:val="-4"/>
                <w:position w:val="6"/>
                <w:sz w:val="14"/>
                <w:szCs w:val="14"/>
              </w:rPr>
              <w:t>2</w:t>
            </w:r>
            <w:r>
              <w:rPr>
                <w:b/>
                <w:bCs/>
                <w:spacing w:val="-4"/>
              </w:rPr>
              <w:t>）</w:t>
            </w:r>
          </w:p>
        </w:tc>
        <w:tc>
          <w:tcPr>
            <w:tcW w:w="1152" w:type="dxa"/>
            <w:vAlign w:val="top"/>
          </w:tcPr>
          <w:p w14:paraId="5C9C5FEE">
            <w:pPr>
              <w:pStyle w:val="6"/>
              <w:spacing w:before="33" w:line="225" w:lineRule="auto"/>
              <w:ind w:left="32"/>
            </w:pPr>
            <w:r>
              <w:rPr>
                <w:b/>
                <w:bCs/>
                <w:spacing w:val="-5"/>
              </w:rPr>
              <w:t>规划设置类</w:t>
            </w:r>
          </w:p>
          <w:p w14:paraId="558A6C39">
            <w:pPr>
              <w:pStyle w:val="6"/>
              <w:spacing w:before="18" w:line="205" w:lineRule="auto"/>
              <w:ind w:left="482"/>
            </w:pPr>
            <w:r>
              <w:rPr>
                <w:b/>
                <w:bCs/>
                <w:spacing w:val="-3"/>
              </w:rPr>
              <w:t>型</w:t>
            </w:r>
          </w:p>
        </w:tc>
        <w:tc>
          <w:tcPr>
            <w:tcW w:w="2164" w:type="dxa"/>
            <w:vMerge w:val="continue"/>
            <w:tcBorders>
              <w:top w:val="nil"/>
            </w:tcBorders>
            <w:vAlign w:val="top"/>
          </w:tcPr>
          <w:p w14:paraId="55210B3C">
            <w:pPr>
              <w:rPr>
                <w:rFonts w:ascii="Arial"/>
                <w:sz w:val="21"/>
              </w:rPr>
            </w:pPr>
          </w:p>
        </w:tc>
        <w:tc>
          <w:tcPr>
            <w:tcW w:w="948" w:type="dxa"/>
            <w:vAlign w:val="top"/>
          </w:tcPr>
          <w:p w14:paraId="41A9B149">
            <w:pPr>
              <w:pStyle w:val="6"/>
              <w:spacing w:before="33" w:line="224" w:lineRule="auto"/>
              <w:ind w:left="285"/>
            </w:pPr>
            <w:r>
              <w:rPr>
                <w:b/>
                <w:bCs/>
                <w:spacing w:val="-19"/>
              </w:rPr>
              <w:t>区块</w:t>
            </w:r>
          </w:p>
          <w:p w14:paraId="1F67AAE8">
            <w:pPr>
              <w:pStyle w:val="6"/>
              <w:spacing w:before="19" w:line="205" w:lineRule="auto"/>
              <w:ind w:left="268"/>
            </w:pPr>
            <w:r>
              <w:rPr>
                <w:b/>
                <w:bCs/>
                <w:spacing w:val="-10"/>
              </w:rPr>
              <w:t>编号</w:t>
            </w:r>
          </w:p>
        </w:tc>
        <w:tc>
          <w:tcPr>
            <w:tcW w:w="2170" w:type="dxa"/>
            <w:vAlign w:val="top"/>
          </w:tcPr>
          <w:p w14:paraId="3B5414E6">
            <w:pPr>
              <w:pStyle w:val="6"/>
              <w:spacing w:before="174" w:line="222" w:lineRule="auto"/>
              <w:ind w:left="678"/>
            </w:pPr>
            <w:r>
              <w:rPr>
                <w:b/>
                <w:bCs/>
                <w:spacing w:val="-10"/>
              </w:rPr>
              <w:t>区块名称</w:t>
            </w:r>
          </w:p>
        </w:tc>
        <w:tc>
          <w:tcPr>
            <w:tcW w:w="1077" w:type="dxa"/>
            <w:vAlign w:val="top"/>
          </w:tcPr>
          <w:p w14:paraId="66B96583">
            <w:pPr>
              <w:pStyle w:val="6"/>
              <w:spacing w:before="32" w:line="223" w:lineRule="auto"/>
              <w:ind w:left="449" w:right="196" w:hanging="222"/>
            </w:pPr>
            <w:r>
              <w:rPr>
                <w:b/>
                <w:bCs/>
                <w:spacing w:val="-7"/>
              </w:rPr>
              <w:t>开采矿</w:t>
            </w:r>
            <w:r>
              <w:rPr>
                <w:spacing w:val="1"/>
              </w:rPr>
              <w:t xml:space="preserve"> </w:t>
            </w:r>
            <w:r>
              <w:rPr>
                <w:b/>
                <w:bCs/>
                <w:spacing w:val="-3"/>
              </w:rPr>
              <w:t>种</w:t>
            </w:r>
          </w:p>
        </w:tc>
        <w:tc>
          <w:tcPr>
            <w:tcW w:w="1036" w:type="dxa"/>
            <w:vAlign w:val="top"/>
          </w:tcPr>
          <w:p w14:paraId="101B72E7">
            <w:pPr>
              <w:pStyle w:val="6"/>
              <w:spacing w:before="33" w:line="224" w:lineRule="auto"/>
              <w:ind w:left="323"/>
            </w:pPr>
            <w:r>
              <w:rPr>
                <w:b/>
                <w:bCs/>
                <w:spacing w:val="-11"/>
              </w:rPr>
              <w:t>面积</w:t>
            </w:r>
          </w:p>
          <w:p w14:paraId="658D8AFD">
            <w:pPr>
              <w:pStyle w:val="6"/>
              <w:spacing w:before="19" w:line="205" w:lineRule="auto"/>
              <w:ind w:left="130"/>
            </w:pPr>
            <w:r>
              <w:rPr>
                <w:b/>
                <w:bCs/>
                <w:spacing w:val="-4"/>
              </w:rPr>
              <w:t>（</w:t>
            </w:r>
            <w:r>
              <w:rPr>
                <w:rFonts w:ascii="Times New Roman" w:hAnsi="Times New Roman" w:eastAsia="Times New Roman" w:cs="Times New Roman"/>
                <w:b/>
                <w:bCs/>
                <w:spacing w:val="-4"/>
              </w:rPr>
              <w:t>km</w:t>
            </w:r>
            <w:r>
              <w:rPr>
                <w:rFonts w:ascii="Times New Roman" w:hAnsi="Times New Roman" w:eastAsia="Times New Roman" w:cs="Times New Roman"/>
                <w:b/>
                <w:bCs/>
                <w:spacing w:val="-4"/>
                <w:position w:val="6"/>
                <w:sz w:val="14"/>
                <w:szCs w:val="14"/>
              </w:rPr>
              <w:t>2</w:t>
            </w:r>
            <w:r>
              <w:rPr>
                <w:b/>
                <w:bCs/>
                <w:spacing w:val="-4"/>
              </w:rPr>
              <w:t>）</w:t>
            </w:r>
          </w:p>
        </w:tc>
        <w:tc>
          <w:tcPr>
            <w:tcW w:w="1260" w:type="dxa"/>
            <w:tcBorders>
              <w:right w:val="single" w:color="000000" w:sz="10" w:space="0"/>
            </w:tcBorders>
            <w:vAlign w:val="top"/>
          </w:tcPr>
          <w:p w14:paraId="350414F7">
            <w:pPr>
              <w:pStyle w:val="6"/>
              <w:spacing w:before="33" w:line="225" w:lineRule="auto"/>
              <w:ind w:left="93"/>
            </w:pPr>
            <w:r>
              <w:rPr>
                <w:b/>
                <w:bCs/>
                <w:spacing w:val="-5"/>
              </w:rPr>
              <w:t>规划设置类</w:t>
            </w:r>
          </w:p>
          <w:p w14:paraId="02853825">
            <w:pPr>
              <w:pStyle w:val="6"/>
              <w:spacing w:before="18" w:line="205" w:lineRule="auto"/>
              <w:ind w:left="546"/>
            </w:pPr>
            <w:r>
              <w:rPr>
                <w:b/>
                <w:bCs/>
                <w:spacing w:val="-3"/>
              </w:rPr>
              <w:t>型</w:t>
            </w:r>
          </w:p>
        </w:tc>
      </w:tr>
      <w:tr w14:paraId="740DF2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511" w:type="dxa"/>
            <w:tcBorders>
              <w:left w:val="single" w:color="000000" w:sz="10" w:space="0"/>
            </w:tcBorders>
            <w:vAlign w:val="top"/>
          </w:tcPr>
          <w:p w14:paraId="575E2A81">
            <w:pPr>
              <w:spacing w:line="348" w:lineRule="auto"/>
              <w:rPr>
                <w:rFonts w:ascii="Arial"/>
                <w:sz w:val="21"/>
              </w:rPr>
            </w:pPr>
          </w:p>
          <w:p w14:paraId="594304C6">
            <w:pPr>
              <w:spacing w:before="55" w:line="195" w:lineRule="auto"/>
              <w:ind w:left="142"/>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w:t>
            </w:r>
          </w:p>
        </w:tc>
        <w:tc>
          <w:tcPr>
            <w:tcW w:w="874" w:type="dxa"/>
            <w:vAlign w:val="top"/>
          </w:tcPr>
          <w:p w14:paraId="1E4845F9">
            <w:pPr>
              <w:spacing w:line="348" w:lineRule="auto"/>
              <w:rPr>
                <w:rFonts w:ascii="Arial"/>
                <w:sz w:val="21"/>
              </w:rPr>
            </w:pPr>
          </w:p>
          <w:p w14:paraId="3EB45736">
            <w:pPr>
              <w:spacing w:before="55" w:line="197" w:lineRule="auto"/>
              <w:ind w:left="141"/>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026</w:t>
            </w:r>
          </w:p>
        </w:tc>
        <w:tc>
          <w:tcPr>
            <w:tcW w:w="1480" w:type="dxa"/>
            <w:vAlign w:val="top"/>
          </w:tcPr>
          <w:p w14:paraId="6A28AB03">
            <w:pPr>
              <w:pStyle w:val="6"/>
              <w:spacing w:before="93" w:line="232" w:lineRule="auto"/>
              <w:ind w:left="115"/>
              <w:rPr>
                <w:sz w:val="20"/>
                <w:szCs w:val="20"/>
              </w:rPr>
            </w:pPr>
            <w:r>
              <w:rPr>
                <w:spacing w:val="6"/>
                <w:sz w:val="20"/>
                <w:szCs w:val="20"/>
              </w:rPr>
              <w:t>黔江区水田乡</w:t>
            </w:r>
          </w:p>
          <w:p w14:paraId="0C924081">
            <w:pPr>
              <w:pStyle w:val="6"/>
              <w:spacing w:before="22" w:line="231" w:lineRule="auto"/>
              <w:ind w:left="111"/>
              <w:rPr>
                <w:sz w:val="20"/>
                <w:szCs w:val="20"/>
              </w:rPr>
            </w:pPr>
            <w:r>
              <w:rPr>
                <w:spacing w:val="7"/>
                <w:sz w:val="20"/>
                <w:szCs w:val="20"/>
              </w:rPr>
              <w:t>杉子岭石英砂</w:t>
            </w:r>
          </w:p>
          <w:p w14:paraId="49473977">
            <w:pPr>
              <w:pStyle w:val="6"/>
              <w:spacing w:before="21" w:line="232" w:lineRule="auto"/>
              <w:ind w:left="529"/>
              <w:rPr>
                <w:sz w:val="20"/>
                <w:szCs w:val="20"/>
              </w:rPr>
            </w:pPr>
            <w:r>
              <w:rPr>
                <w:spacing w:val="3"/>
                <w:sz w:val="20"/>
                <w:szCs w:val="20"/>
              </w:rPr>
              <w:t>岩矿</w:t>
            </w:r>
          </w:p>
        </w:tc>
        <w:tc>
          <w:tcPr>
            <w:tcW w:w="964" w:type="dxa"/>
            <w:vAlign w:val="top"/>
          </w:tcPr>
          <w:p w14:paraId="6768F5FE">
            <w:pPr>
              <w:pStyle w:val="6"/>
              <w:spacing w:before="231" w:line="251" w:lineRule="auto"/>
              <w:ind w:left="273" w:right="174" w:hanging="104"/>
              <w:rPr>
                <w:sz w:val="20"/>
                <w:szCs w:val="20"/>
              </w:rPr>
            </w:pPr>
            <w:r>
              <w:rPr>
                <w:spacing w:val="5"/>
                <w:sz w:val="20"/>
                <w:szCs w:val="20"/>
              </w:rPr>
              <w:t>建筑用</w:t>
            </w:r>
            <w:r>
              <w:rPr>
                <w:sz w:val="20"/>
                <w:szCs w:val="20"/>
              </w:rPr>
              <w:t xml:space="preserve"> </w:t>
            </w:r>
            <w:r>
              <w:rPr>
                <w:spacing w:val="2"/>
                <w:sz w:val="20"/>
                <w:szCs w:val="20"/>
              </w:rPr>
              <w:t>砂岩</w:t>
            </w:r>
          </w:p>
        </w:tc>
        <w:tc>
          <w:tcPr>
            <w:tcW w:w="1029" w:type="dxa"/>
            <w:vAlign w:val="top"/>
          </w:tcPr>
          <w:p w14:paraId="55B9E589">
            <w:pPr>
              <w:spacing w:line="343" w:lineRule="auto"/>
              <w:rPr>
                <w:rFonts w:ascii="Arial"/>
                <w:sz w:val="21"/>
              </w:rPr>
            </w:pPr>
          </w:p>
          <w:p w14:paraId="54016860">
            <w:pPr>
              <w:spacing w:before="58"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2.605</w:t>
            </w:r>
          </w:p>
        </w:tc>
        <w:tc>
          <w:tcPr>
            <w:tcW w:w="1152" w:type="dxa"/>
            <w:vAlign w:val="top"/>
          </w:tcPr>
          <w:p w14:paraId="148CA4EC">
            <w:pPr>
              <w:pStyle w:val="6"/>
              <w:spacing w:before="244" w:line="231" w:lineRule="auto"/>
              <w:ind w:left="381"/>
              <w:rPr>
                <w:sz w:val="19"/>
                <w:szCs w:val="19"/>
              </w:rPr>
            </w:pPr>
            <w:r>
              <w:rPr>
                <w:spacing w:val="2"/>
                <w:sz w:val="19"/>
                <w:szCs w:val="19"/>
              </w:rPr>
              <w:t>新设</w:t>
            </w:r>
          </w:p>
          <w:p w14:paraId="0D0D6969">
            <w:pPr>
              <w:pStyle w:val="6"/>
              <w:spacing w:before="21" w:line="231" w:lineRule="auto"/>
              <w:ind w:left="188"/>
              <w:rPr>
                <w:sz w:val="19"/>
                <w:szCs w:val="19"/>
              </w:rPr>
            </w:pPr>
            <w:r>
              <w:rPr>
                <w:spacing w:val="5"/>
                <w:sz w:val="19"/>
                <w:szCs w:val="19"/>
              </w:rPr>
              <w:t>露天开采</w:t>
            </w:r>
          </w:p>
        </w:tc>
        <w:tc>
          <w:tcPr>
            <w:tcW w:w="2164" w:type="dxa"/>
            <w:vAlign w:val="top"/>
          </w:tcPr>
          <w:p w14:paraId="524D4A86">
            <w:pPr>
              <w:spacing w:line="307" w:lineRule="auto"/>
              <w:rPr>
                <w:rFonts w:ascii="Arial"/>
                <w:sz w:val="21"/>
              </w:rPr>
            </w:pPr>
          </w:p>
          <w:p w14:paraId="0A1A77A0">
            <w:pPr>
              <w:pStyle w:val="6"/>
              <w:spacing w:before="62" w:line="231" w:lineRule="auto"/>
              <w:ind w:left="794"/>
              <w:rPr>
                <w:sz w:val="19"/>
                <w:szCs w:val="19"/>
              </w:rPr>
            </w:pPr>
            <w:r>
              <w:rPr>
                <w:spacing w:val="4"/>
                <w:sz w:val="19"/>
                <w:szCs w:val="19"/>
              </w:rPr>
              <w:t>无变化</w:t>
            </w:r>
          </w:p>
        </w:tc>
        <w:tc>
          <w:tcPr>
            <w:tcW w:w="948" w:type="dxa"/>
            <w:vAlign w:val="top"/>
          </w:tcPr>
          <w:p w14:paraId="45189B3C">
            <w:pPr>
              <w:spacing w:line="348" w:lineRule="auto"/>
              <w:rPr>
                <w:rFonts w:ascii="Arial"/>
                <w:sz w:val="21"/>
              </w:rPr>
            </w:pPr>
          </w:p>
          <w:p w14:paraId="6FB4CB2A">
            <w:pPr>
              <w:spacing w:before="55" w:line="197" w:lineRule="auto"/>
              <w:ind w:left="191"/>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026</w:t>
            </w:r>
          </w:p>
        </w:tc>
        <w:tc>
          <w:tcPr>
            <w:tcW w:w="2170" w:type="dxa"/>
            <w:vAlign w:val="top"/>
          </w:tcPr>
          <w:p w14:paraId="28DB5D19">
            <w:pPr>
              <w:pStyle w:val="6"/>
              <w:spacing w:before="230" w:line="251" w:lineRule="auto"/>
              <w:ind w:left="574" w:right="134" w:hanging="415"/>
              <w:rPr>
                <w:sz w:val="20"/>
                <w:szCs w:val="20"/>
              </w:rPr>
            </w:pPr>
            <w:r>
              <w:rPr>
                <w:spacing w:val="7"/>
                <w:sz w:val="20"/>
                <w:szCs w:val="20"/>
              </w:rPr>
              <w:t>黔江区水田乡杉子岭</w:t>
            </w:r>
            <w:r>
              <w:rPr>
                <w:spacing w:val="6"/>
                <w:sz w:val="20"/>
                <w:szCs w:val="20"/>
              </w:rPr>
              <w:t xml:space="preserve"> </w:t>
            </w:r>
            <w:r>
              <w:rPr>
                <w:spacing w:val="7"/>
                <w:sz w:val="20"/>
                <w:szCs w:val="20"/>
              </w:rPr>
              <w:t>石英砂岩矿</w:t>
            </w:r>
          </w:p>
        </w:tc>
        <w:tc>
          <w:tcPr>
            <w:tcW w:w="1077" w:type="dxa"/>
            <w:vAlign w:val="top"/>
          </w:tcPr>
          <w:p w14:paraId="3F64C772">
            <w:pPr>
              <w:pStyle w:val="6"/>
              <w:spacing w:before="230" w:line="232" w:lineRule="auto"/>
              <w:ind w:left="137"/>
              <w:rPr>
                <w:sz w:val="20"/>
                <w:szCs w:val="20"/>
              </w:rPr>
            </w:pPr>
            <w:r>
              <w:rPr>
                <w:spacing w:val="5"/>
                <w:sz w:val="20"/>
                <w:szCs w:val="20"/>
              </w:rPr>
              <w:t>建筑用砂</w:t>
            </w:r>
          </w:p>
          <w:p w14:paraId="28A55CDD">
            <w:pPr>
              <w:pStyle w:val="6"/>
              <w:spacing w:before="20" w:line="234" w:lineRule="auto"/>
              <w:ind w:left="450"/>
              <w:rPr>
                <w:sz w:val="20"/>
                <w:szCs w:val="20"/>
              </w:rPr>
            </w:pPr>
            <w:r>
              <w:rPr>
                <w:sz w:val="20"/>
                <w:szCs w:val="20"/>
              </w:rPr>
              <w:t>岩</w:t>
            </w:r>
          </w:p>
        </w:tc>
        <w:tc>
          <w:tcPr>
            <w:tcW w:w="1036" w:type="dxa"/>
            <w:vAlign w:val="top"/>
          </w:tcPr>
          <w:p w14:paraId="7A9F19AE">
            <w:pPr>
              <w:spacing w:line="343" w:lineRule="auto"/>
              <w:rPr>
                <w:rFonts w:ascii="Arial"/>
                <w:sz w:val="21"/>
              </w:rPr>
            </w:pPr>
          </w:p>
          <w:p w14:paraId="435FC09A">
            <w:pPr>
              <w:spacing w:before="58" w:line="195" w:lineRule="auto"/>
              <w:ind w:left="2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2.605</w:t>
            </w:r>
          </w:p>
        </w:tc>
        <w:tc>
          <w:tcPr>
            <w:tcW w:w="1260" w:type="dxa"/>
            <w:tcBorders>
              <w:right w:val="single" w:color="000000" w:sz="10" w:space="0"/>
            </w:tcBorders>
            <w:vAlign w:val="top"/>
          </w:tcPr>
          <w:p w14:paraId="1BF3E6D2">
            <w:pPr>
              <w:pStyle w:val="6"/>
              <w:spacing w:before="244" w:line="231" w:lineRule="auto"/>
              <w:ind w:left="445"/>
              <w:rPr>
                <w:sz w:val="19"/>
                <w:szCs w:val="19"/>
              </w:rPr>
            </w:pPr>
            <w:r>
              <w:rPr>
                <w:spacing w:val="2"/>
                <w:sz w:val="19"/>
                <w:szCs w:val="19"/>
              </w:rPr>
              <w:t>新设</w:t>
            </w:r>
          </w:p>
          <w:p w14:paraId="684EFFE9">
            <w:pPr>
              <w:pStyle w:val="6"/>
              <w:spacing w:before="21" w:line="231" w:lineRule="auto"/>
              <w:ind w:left="249"/>
              <w:rPr>
                <w:sz w:val="19"/>
                <w:szCs w:val="19"/>
              </w:rPr>
            </w:pPr>
            <w:r>
              <w:rPr>
                <w:spacing w:val="5"/>
                <w:sz w:val="19"/>
                <w:szCs w:val="19"/>
              </w:rPr>
              <w:t>露天开采</w:t>
            </w:r>
          </w:p>
        </w:tc>
      </w:tr>
      <w:tr w14:paraId="45967A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1" w:hRule="atLeast"/>
        </w:trPr>
        <w:tc>
          <w:tcPr>
            <w:tcW w:w="511" w:type="dxa"/>
            <w:tcBorders>
              <w:left w:val="single" w:color="000000" w:sz="10" w:space="0"/>
            </w:tcBorders>
            <w:vAlign w:val="top"/>
          </w:tcPr>
          <w:p w14:paraId="566F237B">
            <w:pPr>
              <w:spacing w:line="244" w:lineRule="auto"/>
              <w:rPr>
                <w:rFonts w:ascii="Arial"/>
                <w:sz w:val="21"/>
              </w:rPr>
            </w:pPr>
          </w:p>
          <w:p w14:paraId="34BDA95A">
            <w:pPr>
              <w:spacing w:line="244" w:lineRule="auto"/>
              <w:rPr>
                <w:rFonts w:ascii="Arial"/>
                <w:sz w:val="21"/>
              </w:rPr>
            </w:pPr>
          </w:p>
          <w:p w14:paraId="649221D8">
            <w:pPr>
              <w:spacing w:before="55" w:line="195" w:lineRule="auto"/>
              <w:ind w:left="142"/>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27</w:t>
            </w:r>
          </w:p>
        </w:tc>
        <w:tc>
          <w:tcPr>
            <w:tcW w:w="874" w:type="dxa"/>
            <w:vAlign w:val="top"/>
          </w:tcPr>
          <w:p w14:paraId="318AEEF0">
            <w:pPr>
              <w:spacing w:line="244" w:lineRule="auto"/>
              <w:rPr>
                <w:rFonts w:ascii="Arial"/>
                <w:sz w:val="21"/>
              </w:rPr>
            </w:pPr>
          </w:p>
          <w:p w14:paraId="79CFAC4B">
            <w:pPr>
              <w:spacing w:line="244" w:lineRule="auto"/>
              <w:rPr>
                <w:rFonts w:ascii="Arial"/>
                <w:sz w:val="21"/>
              </w:rPr>
            </w:pPr>
          </w:p>
          <w:p w14:paraId="70292201">
            <w:pPr>
              <w:spacing w:before="55" w:line="197" w:lineRule="auto"/>
              <w:ind w:left="141"/>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027</w:t>
            </w:r>
          </w:p>
        </w:tc>
        <w:tc>
          <w:tcPr>
            <w:tcW w:w="1480" w:type="dxa"/>
            <w:vAlign w:val="top"/>
          </w:tcPr>
          <w:p w14:paraId="4ECE4DB1">
            <w:pPr>
              <w:pStyle w:val="6"/>
              <w:spacing w:before="97" w:line="231" w:lineRule="auto"/>
              <w:ind w:left="118"/>
              <w:rPr>
                <w:sz w:val="20"/>
                <w:szCs w:val="20"/>
              </w:rPr>
            </w:pPr>
            <w:r>
              <w:rPr>
                <w:spacing w:val="6"/>
                <w:sz w:val="20"/>
                <w:szCs w:val="20"/>
              </w:rPr>
              <w:t>重庆市黔江区</w:t>
            </w:r>
          </w:p>
          <w:p w14:paraId="172294C5">
            <w:pPr>
              <w:pStyle w:val="6"/>
              <w:spacing w:before="21" w:line="230" w:lineRule="auto"/>
              <w:ind w:left="110"/>
              <w:rPr>
                <w:sz w:val="20"/>
                <w:szCs w:val="20"/>
              </w:rPr>
            </w:pPr>
            <w:r>
              <w:rPr>
                <w:spacing w:val="7"/>
                <w:sz w:val="20"/>
                <w:szCs w:val="20"/>
              </w:rPr>
              <w:t>水田乡石郎村</w:t>
            </w:r>
          </w:p>
          <w:p w14:paraId="3D197674">
            <w:pPr>
              <w:pStyle w:val="6"/>
              <w:spacing w:before="23" w:line="232" w:lineRule="auto"/>
              <w:ind w:left="110"/>
              <w:rPr>
                <w:sz w:val="20"/>
                <w:szCs w:val="20"/>
              </w:rPr>
            </w:pPr>
            <w:r>
              <w:rPr>
                <w:spacing w:val="7"/>
                <w:sz w:val="20"/>
                <w:szCs w:val="20"/>
              </w:rPr>
              <w:t>桃子坡水泥用</w:t>
            </w:r>
          </w:p>
          <w:p w14:paraId="1CA1216B">
            <w:pPr>
              <w:pStyle w:val="6"/>
              <w:spacing w:before="20" w:line="232" w:lineRule="auto"/>
              <w:ind w:left="427"/>
              <w:rPr>
                <w:sz w:val="20"/>
                <w:szCs w:val="20"/>
              </w:rPr>
            </w:pPr>
            <w:r>
              <w:rPr>
                <w:spacing w:val="4"/>
                <w:sz w:val="20"/>
                <w:szCs w:val="20"/>
              </w:rPr>
              <w:t>灰岩矿</w:t>
            </w:r>
          </w:p>
        </w:tc>
        <w:tc>
          <w:tcPr>
            <w:tcW w:w="964" w:type="dxa"/>
            <w:vAlign w:val="top"/>
          </w:tcPr>
          <w:p w14:paraId="37870C0B">
            <w:pPr>
              <w:spacing w:line="301" w:lineRule="auto"/>
              <w:rPr>
                <w:rFonts w:ascii="Arial"/>
                <w:sz w:val="21"/>
              </w:rPr>
            </w:pPr>
          </w:p>
          <w:p w14:paraId="7F3CBE73">
            <w:pPr>
              <w:pStyle w:val="6"/>
              <w:spacing w:before="65" w:line="232" w:lineRule="auto"/>
              <w:ind w:left="169"/>
              <w:rPr>
                <w:sz w:val="20"/>
                <w:szCs w:val="20"/>
              </w:rPr>
            </w:pPr>
            <w:r>
              <w:rPr>
                <w:spacing w:val="5"/>
                <w:sz w:val="20"/>
                <w:szCs w:val="20"/>
              </w:rPr>
              <w:t>水泥用</w:t>
            </w:r>
          </w:p>
          <w:p w14:paraId="002836ED">
            <w:pPr>
              <w:pStyle w:val="6"/>
              <w:spacing w:before="23" w:line="232" w:lineRule="auto"/>
              <w:ind w:left="171"/>
              <w:rPr>
                <w:sz w:val="20"/>
                <w:szCs w:val="20"/>
              </w:rPr>
            </w:pPr>
            <w:r>
              <w:rPr>
                <w:spacing w:val="4"/>
                <w:sz w:val="20"/>
                <w:szCs w:val="20"/>
              </w:rPr>
              <w:t>灰岩矿</w:t>
            </w:r>
          </w:p>
        </w:tc>
        <w:tc>
          <w:tcPr>
            <w:tcW w:w="1029" w:type="dxa"/>
            <w:vAlign w:val="top"/>
          </w:tcPr>
          <w:p w14:paraId="32630F1C">
            <w:pPr>
              <w:rPr>
                <w:rFonts w:ascii="Arial"/>
                <w:sz w:val="21"/>
              </w:rPr>
            </w:pPr>
          </w:p>
          <w:p w14:paraId="12D01828">
            <w:pPr>
              <w:spacing w:line="241" w:lineRule="auto"/>
              <w:rPr>
                <w:rFonts w:ascii="Arial"/>
                <w:sz w:val="21"/>
              </w:rPr>
            </w:pPr>
          </w:p>
          <w:p w14:paraId="0330CE1F">
            <w:pPr>
              <w:spacing w:before="57"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0.9702</w:t>
            </w:r>
          </w:p>
        </w:tc>
        <w:tc>
          <w:tcPr>
            <w:tcW w:w="1152" w:type="dxa"/>
            <w:vAlign w:val="top"/>
          </w:tcPr>
          <w:p w14:paraId="5271B4C6">
            <w:pPr>
              <w:spacing w:line="318" w:lineRule="auto"/>
              <w:rPr>
                <w:rFonts w:ascii="Arial"/>
                <w:sz w:val="21"/>
              </w:rPr>
            </w:pPr>
          </w:p>
          <w:p w14:paraId="12B7DE58">
            <w:pPr>
              <w:pStyle w:val="6"/>
              <w:spacing w:before="62" w:line="252" w:lineRule="auto"/>
              <w:ind w:left="188" w:right="178" w:firstLine="95"/>
              <w:rPr>
                <w:sz w:val="19"/>
                <w:szCs w:val="19"/>
              </w:rPr>
            </w:pPr>
            <w:r>
              <w:rPr>
                <w:spacing w:val="5"/>
                <w:sz w:val="19"/>
                <w:szCs w:val="19"/>
              </w:rPr>
              <w:t>探转采</w:t>
            </w:r>
            <w:r>
              <w:rPr>
                <w:sz w:val="19"/>
                <w:szCs w:val="19"/>
              </w:rPr>
              <w:t xml:space="preserve">  </w:t>
            </w:r>
            <w:r>
              <w:rPr>
                <w:spacing w:val="5"/>
                <w:sz w:val="19"/>
                <w:szCs w:val="19"/>
              </w:rPr>
              <w:t>露天开采</w:t>
            </w:r>
          </w:p>
        </w:tc>
        <w:tc>
          <w:tcPr>
            <w:tcW w:w="2164" w:type="dxa"/>
            <w:vAlign w:val="top"/>
          </w:tcPr>
          <w:p w14:paraId="6340F7EC">
            <w:pPr>
              <w:spacing w:line="447" w:lineRule="auto"/>
              <w:rPr>
                <w:rFonts w:ascii="Arial"/>
                <w:sz w:val="21"/>
              </w:rPr>
            </w:pPr>
          </w:p>
          <w:p w14:paraId="067BE3B1">
            <w:pPr>
              <w:pStyle w:val="6"/>
              <w:spacing w:before="62" w:line="231" w:lineRule="auto"/>
              <w:ind w:left="794"/>
              <w:rPr>
                <w:sz w:val="19"/>
                <w:szCs w:val="19"/>
              </w:rPr>
            </w:pPr>
            <w:r>
              <w:rPr>
                <w:spacing w:val="4"/>
                <w:sz w:val="19"/>
                <w:szCs w:val="19"/>
              </w:rPr>
              <w:t>无变化</w:t>
            </w:r>
          </w:p>
        </w:tc>
        <w:tc>
          <w:tcPr>
            <w:tcW w:w="948" w:type="dxa"/>
            <w:vAlign w:val="top"/>
          </w:tcPr>
          <w:p w14:paraId="24C2728D">
            <w:pPr>
              <w:spacing w:line="244" w:lineRule="auto"/>
              <w:rPr>
                <w:rFonts w:ascii="Arial"/>
                <w:sz w:val="21"/>
              </w:rPr>
            </w:pPr>
          </w:p>
          <w:p w14:paraId="425C72E7">
            <w:pPr>
              <w:spacing w:line="244" w:lineRule="auto"/>
              <w:rPr>
                <w:rFonts w:ascii="Arial"/>
                <w:sz w:val="21"/>
              </w:rPr>
            </w:pPr>
          </w:p>
          <w:p w14:paraId="55522558">
            <w:pPr>
              <w:spacing w:before="55" w:line="197" w:lineRule="auto"/>
              <w:ind w:left="191"/>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027</w:t>
            </w:r>
          </w:p>
        </w:tc>
        <w:tc>
          <w:tcPr>
            <w:tcW w:w="2170" w:type="dxa"/>
            <w:vAlign w:val="top"/>
          </w:tcPr>
          <w:p w14:paraId="59F3EE88">
            <w:pPr>
              <w:pStyle w:val="6"/>
              <w:spacing w:before="231" w:line="231" w:lineRule="auto"/>
              <w:ind w:left="161"/>
              <w:rPr>
                <w:sz w:val="20"/>
                <w:szCs w:val="20"/>
              </w:rPr>
            </w:pPr>
            <w:r>
              <w:rPr>
                <w:spacing w:val="7"/>
                <w:sz w:val="20"/>
                <w:szCs w:val="20"/>
              </w:rPr>
              <w:t>重庆市黔江区水田乡</w:t>
            </w:r>
          </w:p>
          <w:p w14:paraId="4E7E5621">
            <w:pPr>
              <w:pStyle w:val="6"/>
              <w:spacing w:before="21" w:line="230" w:lineRule="auto"/>
              <w:ind w:left="155"/>
              <w:rPr>
                <w:sz w:val="20"/>
                <w:szCs w:val="20"/>
              </w:rPr>
            </w:pPr>
            <w:r>
              <w:rPr>
                <w:spacing w:val="8"/>
                <w:sz w:val="20"/>
                <w:szCs w:val="20"/>
              </w:rPr>
              <w:t>石郎村桃子坡水泥用</w:t>
            </w:r>
          </w:p>
          <w:p w14:paraId="032DF63D">
            <w:pPr>
              <w:pStyle w:val="6"/>
              <w:spacing w:before="24" w:line="232" w:lineRule="auto"/>
              <w:ind w:left="788"/>
              <w:rPr>
                <w:sz w:val="20"/>
                <w:szCs w:val="20"/>
              </w:rPr>
            </w:pPr>
            <w:r>
              <w:rPr>
                <w:spacing w:val="4"/>
                <w:sz w:val="20"/>
                <w:szCs w:val="20"/>
              </w:rPr>
              <w:t>灰岩矿</w:t>
            </w:r>
          </w:p>
        </w:tc>
        <w:tc>
          <w:tcPr>
            <w:tcW w:w="1077" w:type="dxa"/>
            <w:vAlign w:val="top"/>
          </w:tcPr>
          <w:p w14:paraId="1F8ECF83">
            <w:pPr>
              <w:spacing w:line="301" w:lineRule="auto"/>
              <w:rPr>
                <w:rFonts w:ascii="Arial"/>
                <w:sz w:val="21"/>
              </w:rPr>
            </w:pPr>
          </w:p>
          <w:p w14:paraId="3E33309A">
            <w:pPr>
              <w:pStyle w:val="6"/>
              <w:spacing w:before="65" w:line="232" w:lineRule="auto"/>
              <w:ind w:left="137"/>
              <w:rPr>
                <w:sz w:val="20"/>
                <w:szCs w:val="20"/>
              </w:rPr>
            </w:pPr>
            <w:r>
              <w:rPr>
                <w:spacing w:val="6"/>
                <w:sz w:val="20"/>
                <w:szCs w:val="20"/>
              </w:rPr>
              <w:t>水泥用灰</w:t>
            </w:r>
          </w:p>
          <w:p w14:paraId="0B17D5B4">
            <w:pPr>
              <w:pStyle w:val="6"/>
              <w:spacing w:before="23" w:line="232" w:lineRule="auto"/>
              <w:ind w:left="344"/>
              <w:rPr>
                <w:sz w:val="20"/>
                <w:szCs w:val="20"/>
              </w:rPr>
            </w:pPr>
            <w:r>
              <w:rPr>
                <w:spacing w:val="3"/>
                <w:sz w:val="20"/>
                <w:szCs w:val="20"/>
              </w:rPr>
              <w:t>岩矿</w:t>
            </w:r>
          </w:p>
        </w:tc>
        <w:tc>
          <w:tcPr>
            <w:tcW w:w="1036" w:type="dxa"/>
            <w:vAlign w:val="top"/>
          </w:tcPr>
          <w:p w14:paraId="4B1DDA81">
            <w:pPr>
              <w:rPr>
                <w:rFonts w:ascii="Arial"/>
                <w:sz w:val="21"/>
              </w:rPr>
            </w:pPr>
          </w:p>
          <w:p w14:paraId="626B33CE">
            <w:pPr>
              <w:spacing w:line="241" w:lineRule="auto"/>
              <w:rPr>
                <w:rFonts w:ascii="Arial"/>
                <w:sz w:val="21"/>
              </w:rPr>
            </w:pPr>
          </w:p>
          <w:p w14:paraId="77CC367F">
            <w:pPr>
              <w:spacing w:before="57"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0.9702</w:t>
            </w:r>
          </w:p>
        </w:tc>
        <w:tc>
          <w:tcPr>
            <w:tcW w:w="1260" w:type="dxa"/>
            <w:tcBorders>
              <w:right w:val="single" w:color="000000" w:sz="10" w:space="0"/>
            </w:tcBorders>
            <w:vAlign w:val="top"/>
          </w:tcPr>
          <w:p w14:paraId="73078A68">
            <w:pPr>
              <w:spacing w:line="318" w:lineRule="auto"/>
              <w:rPr>
                <w:rFonts w:ascii="Arial"/>
                <w:sz w:val="21"/>
              </w:rPr>
            </w:pPr>
          </w:p>
          <w:p w14:paraId="7D9E9836">
            <w:pPr>
              <w:pStyle w:val="6"/>
              <w:spacing w:before="62" w:line="252" w:lineRule="auto"/>
              <w:ind w:left="249" w:right="214" w:firstLine="95"/>
              <w:rPr>
                <w:sz w:val="19"/>
                <w:szCs w:val="19"/>
              </w:rPr>
            </w:pPr>
            <w:r>
              <w:rPr>
                <w:spacing w:val="5"/>
                <w:sz w:val="19"/>
                <w:szCs w:val="19"/>
              </w:rPr>
              <w:t>探转采</w:t>
            </w:r>
            <w:r>
              <w:rPr>
                <w:sz w:val="19"/>
                <w:szCs w:val="19"/>
              </w:rPr>
              <w:t xml:space="preserve">  </w:t>
            </w:r>
            <w:r>
              <w:rPr>
                <w:spacing w:val="5"/>
                <w:sz w:val="19"/>
                <w:szCs w:val="19"/>
              </w:rPr>
              <w:t>露天开采</w:t>
            </w:r>
          </w:p>
        </w:tc>
      </w:tr>
      <w:tr w14:paraId="6D3372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1" w:hRule="atLeast"/>
        </w:trPr>
        <w:tc>
          <w:tcPr>
            <w:tcW w:w="511" w:type="dxa"/>
            <w:tcBorders>
              <w:left w:val="single" w:color="000000" w:sz="10" w:space="0"/>
            </w:tcBorders>
            <w:vAlign w:val="top"/>
          </w:tcPr>
          <w:p w14:paraId="158C8CAC">
            <w:pPr>
              <w:spacing w:line="245" w:lineRule="auto"/>
              <w:rPr>
                <w:rFonts w:ascii="Arial"/>
                <w:sz w:val="21"/>
              </w:rPr>
            </w:pPr>
          </w:p>
          <w:p w14:paraId="5D4BD97E">
            <w:pPr>
              <w:spacing w:line="246" w:lineRule="auto"/>
              <w:rPr>
                <w:rFonts w:ascii="Arial"/>
                <w:sz w:val="21"/>
              </w:rPr>
            </w:pPr>
          </w:p>
          <w:p w14:paraId="39A1B3ED">
            <w:pPr>
              <w:spacing w:before="55" w:line="195" w:lineRule="auto"/>
              <w:ind w:left="142"/>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28</w:t>
            </w:r>
          </w:p>
        </w:tc>
        <w:tc>
          <w:tcPr>
            <w:tcW w:w="874" w:type="dxa"/>
            <w:vAlign w:val="top"/>
          </w:tcPr>
          <w:p w14:paraId="6A95BA8B">
            <w:pPr>
              <w:spacing w:line="245" w:lineRule="auto"/>
              <w:rPr>
                <w:rFonts w:ascii="Arial"/>
                <w:sz w:val="21"/>
              </w:rPr>
            </w:pPr>
          </w:p>
          <w:p w14:paraId="087A2B8E">
            <w:pPr>
              <w:spacing w:line="246" w:lineRule="auto"/>
              <w:rPr>
                <w:rFonts w:ascii="Arial"/>
                <w:sz w:val="21"/>
              </w:rPr>
            </w:pPr>
          </w:p>
          <w:p w14:paraId="0D6F3197">
            <w:pPr>
              <w:spacing w:before="55" w:line="197" w:lineRule="auto"/>
              <w:ind w:left="141"/>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028</w:t>
            </w:r>
          </w:p>
        </w:tc>
        <w:tc>
          <w:tcPr>
            <w:tcW w:w="1480" w:type="dxa"/>
            <w:vAlign w:val="top"/>
          </w:tcPr>
          <w:p w14:paraId="1603FFE5">
            <w:pPr>
              <w:pStyle w:val="6"/>
              <w:spacing w:before="100" w:line="231" w:lineRule="auto"/>
              <w:ind w:left="118"/>
              <w:rPr>
                <w:sz w:val="20"/>
                <w:szCs w:val="20"/>
              </w:rPr>
            </w:pPr>
            <w:r>
              <w:rPr>
                <w:spacing w:val="6"/>
                <w:sz w:val="20"/>
                <w:szCs w:val="20"/>
              </w:rPr>
              <w:t>重庆市黔江区</w:t>
            </w:r>
          </w:p>
          <w:p w14:paraId="5C0C3540">
            <w:pPr>
              <w:pStyle w:val="6"/>
              <w:spacing w:before="23" w:line="231" w:lineRule="auto"/>
              <w:ind w:left="111"/>
              <w:rPr>
                <w:sz w:val="20"/>
                <w:szCs w:val="20"/>
              </w:rPr>
            </w:pPr>
            <w:r>
              <w:rPr>
                <w:spacing w:val="7"/>
                <w:sz w:val="20"/>
                <w:szCs w:val="20"/>
              </w:rPr>
              <w:t>邻鄂镇殷家坨</w:t>
            </w:r>
          </w:p>
          <w:p w14:paraId="3B9AC9B0">
            <w:pPr>
              <w:pStyle w:val="6"/>
              <w:spacing w:before="20" w:line="232" w:lineRule="auto"/>
              <w:ind w:left="112"/>
              <w:rPr>
                <w:sz w:val="20"/>
                <w:szCs w:val="20"/>
              </w:rPr>
            </w:pPr>
            <w:r>
              <w:rPr>
                <w:spacing w:val="7"/>
                <w:sz w:val="20"/>
                <w:szCs w:val="20"/>
              </w:rPr>
              <w:t>饰面石材用灰</w:t>
            </w:r>
          </w:p>
          <w:p w14:paraId="757AC231">
            <w:pPr>
              <w:pStyle w:val="6"/>
              <w:spacing w:before="23" w:line="232" w:lineRule="auto"/>
              <w:ind w:left="529"/>
              <w:rPr>
                <w:sz w:val="20"/>
                <w:szCs w:val="20"/>
              </w:rPr>
            </w:pPr>
            <w:r>
              <w:rPr>
                <w:spacing w:val="3"/>
                <w:sz w:val="20"/>
                <w:szCs w:val="20"/>
              </w:rPr>
              <w:t>岩矿</w:t>
            </w:r>
          </w:p>
        </w:tc>
        <w:tc>
          <w:tcPr>
            <w:tcW w:w="964" w:type="dxa"/>
            <w:vAlign w:val="top"/>
          </w:tcPr>
          <w:p w14:paraId="65ACCD15">
            <w:pPr>
              <w:pStyle w:val="6"/>
              <w:spacing w:before="235" w:line="232" w:lineRule="auto"/>
              <w:ind w:left="170"/>
              <w:rPr>
                <w:sz w:val="20"/>
                <w:szCs w:val="20"/>
              </w:rPr>
            </w:pPr>
            <w:r>
              <w:rPr>
                <w:spacing w:val="4"/>
                <w:sz w:val="20"/>
                <w:szCs w:val="20"/>
              </w:rPr>
              <w:t>饰面石</w:t>
            </w:r>
          </w:p>
          <w:p w14:paraId="74EDA2E2">
            <w:pPr>
              <w:pStyle w:val="6"/>
              <w:spacing w:before="22" w:line="251" w:lineRule="auto"/>
              <w:ind w:left="272" w:right="174" w:hanging="103"/>
              <w:rPr>
                <w:sz w:val="20"/>
                <w:szCs w:val="20"/>
              </w:rPr>
            </w:pPr>
            <w:r>
              <w:rPr>
                <w:spacing w:val="5"/>
                <w:sz w:val="20"/>
                <w:szCs w:val="20"/>
              </w:rPr>
              <w:t>材用灰</w:t>
            </w:r>
            <w:r>
              <w:rPr>
                <w:sz w:val="20"/>
                <w:szCs w:val="20"/>
              </w:rPr>
              <w:t xml:space="preserve"> </w:t>
            </w:r>
            <w:r>
              <w:rPr>
                <w:spacing w:val="3"/>
                <w:sz w:val="20"/>
                <w:szCs w:val="20"/>
              </w:rPr>
              <w:t>岩矿</w:t>
            </w:r>
          </w:p>
        </w:tc>
        <w:tc>
          <w:tcPr>
            <w:tcW w:w="1029" w:type="dxa"/>
            <w:vAlign w:val="top"/>
          </w:tcPr>
          <w:p w14:paraId="46E6B95D">
            <w:pPr>
              <w:spacing w:line="242" w:lineRule="auto"/>
              <w:rPr>
                <w:rFonts w:ascii="Arial"/>
                <w:sz w:val="21"/>
              </w:rPr>
            </w:pPr>
          </w:p>
          <w:p w14:paraId="0AD9F566">
            <w:pPr>
              <w:spacing w:line="242" w:lineRule="auto"/>
              <w:rPr>
                <w:rFonts w:ascii="Arial"/>
                <w:sz w:val="21"/>
              </w:rPr>
            </w:pPr>
          </w:p>
          <w:p w14:paraId="5368B45C">
            <w:pPr>
              <w:spacing w:before="57"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0.2418</w:t>
            </w:r>
          </w:p>
        </w:tc>
        <w:tc>
          <w:tcPr>
            <w:tcW w:w="1152" w:type="dxa"/>
            <w:vAlign w:val="top"/>
          </w:tcPr>
          <w:p w14:paraId="72D28A05">
            <w:pPr>
              <w:spacing w:line="321" w:lineRule="auto"/>
              <w:rPr>
                <w:rFonts w:ascii="Arial"/>
                <w:sz w:val="21"/>
              </w:rPr>
            </w:pPr>
          </w:p>
          <w:p w14:paraId="14A36A8B">
            <w:pPr>
              <w:pStyle w:val="6"/>
              <w:spacing w:before="62" w:line="252" w:lineRule="auto"/>
              <w:ind w:left="188" w:right="178" w:firstLine="95"/>
              <w:rPr>
                <w:sz w:val="19"/>
                <w:szCs w:val="19"/>
              </w:rPr>
            </w:pPr>
            <w:r>
              <w:rPr>
                <w:spacing w:val="5"/>
                <w:sz w:val="19"/>
                <w:szCs w:val="19"/>
              </w:rPr>
              <w:t>探转采</w:t>
            </w:r>
            <w:r>
              <w:rPr>
                <w:sz w:val="19"/>
                <w:szCs w:val="19"/>
              </w:rPr>
              <w:t xml:space="preserve">  </w:t>
            </w:r>
            <w:r>
              <w:rPr>
                <w:spacing w:val="5"/>
                <w:sz w:val="19"/>
                <w:szCs w:val="19"/>
              </w:rPr>
              <w:t>露天开采</w:t>
            </w:r>
          </w:p>
        </w:tc>
        <w:tc>
          <w:tcPr>
            <w:tcW w:w="2164" w:type="dxa"/>
            <w:vAlign w:val="top"/>
          </w:tcPr>
          <w:p w14:paraId="60277043">
            <w:pPr>
              <w:spacing w:line="450" w:lineRule="auto"/>
              <w:rPr>
                <w:rFonts w:ascii="Arial"/>
                <w:sz w:val="21"/>
              </w:rPr>
            </w:pPr>
          </w:p>
          <w:p w14:paraId="35F0420C">
            <w:pPr>
              <w:pStyle w:val="6"/>
              <w:spacing w:before="62" w:line="231" w:lineRule="auto"/>
              <w:ind w:left="794"/>
              <w:rPr>
                <w:sz w:val="19"/>
                <w:szCs w:val="19"/>
              </w:rPr>
            </w:pPr>
            <w:r>
              <w:rPr>
                <w:spacing w:val="4"/>
                <w:sz w:val="19"/>
                <w:szCs w:val="19"/>
              </w:rPr>
              <w:t>无变化</w:t>
            </w:r>
          </w:p>
        </w:tc>
        <w:tc>
          <w:tcPr>
            <w:tcW w:w="948" w:type="dxa"/>
            <w:vAlign w:val="top"/>
          </w:tcPr>
          <w:p w14:paraId="58359C90">
            <w:pPr>
              <w:spacing w:line="245" w:lineRule="auto"/>
              <w:rPr>
                <w:rFonts w:ascii="Arial"/>
                <w:sz w:val="21"/>
              </w:rPr>
            </w:pPr>
          </w:p>
          <w:p w14:paraId="52E40E00">
            <w:pPr>
              <w:spacing w:line="246" w:lineRule="auto"/>
              <w:rPr>
                <w:rFonts w:ascii="Arial"/>
                <w:sz w:val="21"/>
              </w:rPr>
            </w:pPr>
          </w:p>
          <w:p w14:paraId="47B72EF5">
            <w:pPr>
              <w:spacing w:before="55" w:line="197" w:lineRule="auto"/>
              <w:ind w:left="191"/>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028</w:t>
            </w:r>
          </w:p>
        </w:tc>
        <w:tc>
          <w:tcPr>
            <w:tcW w:w="2170" w:type="dxa"/>
            <w:vAlign w:val="top"/>
          </w:tcPr>
          <w:p w14:paraId="67DBCC8E">
            <w:pPr>
              <w:pStyle w:val="6"/>
              <w:spacing w:before="235" w:line="231" w:lineRule="auto"/>
              <w:ind w:left="161"/>
              <w:rPr>
                <w:sz w:val="20"/>
                <w:szCs w:val="20"/>
              </w:rPr>
            </w:pPr>
            <w:r>
              <w:rPr>
                <w:spacing w:val="7"/>
                <w:sz w:val="20"/>
                <w:szCs w:val="20"/>
              </w:rPr>
              <w:t>重庆市黔江区邻鄂镇</w:t>
            </w:r>
          </w:p>
          <w:p w14:paraId="2992E053">
            <w:pPr>
              <w:pStyle w:val="6"/>
              <w:spacing w:before="23" w:line="232" w:lineRule="auto"/>
              <w:ind w:left="153"/>
              <w:rPr>
                <w:sz w:val="20"/>
                <w:szCs w:val="20"/>
              </w:rPr>
            </w:pPr>
            <w:r>
              <w:rPr>
                <w:spacing w:val="8"/>
                <w:sz w:val="20"/>
                <w:szCs w:val="20"/>
              </w:rPr>
              <w:t>殷家坨饰面石材用灰</w:t>
            </w:r>
          </w:p>
          <w:p w14:paraId="12BC1B34">
            <w:pPr>
              <w:pStyle w:val="6"/>
              <w:spacing w:before="20" w:line="232" w:lineRule="auto"/>
              <w:ind w:left="889"/>
              <w:rPr>
                <w:sz w:val="20"/>
                <w:szCs w:val="20"/>
              </w:rPr>
            </w:pPr>
            <w:r>
              <w:rPr>
                <w:spacing w:val="3"/>
                <w:sz w:val="20"/>
                <w:szCs w:val="20"/>
              </w:rPr>
              <w:t>岩矿</w:t>
            </w:r>
          </w:p>
        </w:tc>
        <w:tc>
          <w:tcPr>
            <w:tcW w:w="1077" w:type="dxa"/>
            <w:vAlign w:val="top"/>
          </w:tcPr>
          <w:p w14:paraId="7B139344">
            <w:pPr>
              <w:spacing w:line="307" w:lineRule="auto"/>
              <w:rPr>
                <w:rFonts w:ascii="Arial"/>
                <w:sz w:val="21"/>
              </w:rPr>
            </w:pPr>
          </w:p>
          <w:p w14:paraId="4EFEE195">
            <w:pPr>
              <w:pStyle w:val="6"/>
              <w:spacing w:before="65" w:line="232" w:lineRule="auto"/>
              <w:ind w:left="138"/>
              <w:rPr>
                <w:sz w:val="20"/>
                <w:szCs w:val="20"/>
              </w:rPr>
            </w:pPr>
            <w:r>
              <w:rPr>
                <w:spacing w:val="5"/>
                <w:sz w:val="20"/>
                <w:szCs w:val="20"/>
              </w:rPr>
              <w:t>饰面石材</w:t>
            </w:r>
          </w:p>
          <w:p w14:paraId="3B8BD629">
            <w:pPr>
              <w:pStyle w:val="6"/>
              <w:spacing w:before="20" w:line="232" w:lineRule="auto"/>
              <w:ind w:left="137"/>
              <w:rPr>
                <w:sz w:val="20"/>
                <w:szCs w:val="20"/>
              </w:rPr>
            </w:pPr>
            <w:r>
              <w:rPr>
                <w:spacing w:val="5"/>
                <w:sz w:val="20"/>
                <w:szCs w:val="20"/>
              </w:rPr>
              <w:t>用灰岩矿</w:t>
            </w:r>
          </w:p>
        </w:tc>
        <w:tc>
          <w:tcPr>
            <w:tcW w:w="1036" w:type="dxa"/>
            <w:vAlign w:val="top"/>
          </w:tcPr>
          <w:p w14:paraId="42B01102">
            <w:pPr>
              <w:spacing w:line="242" w:lineRule="auto"/>
              <w:rPr>
                <w:rFonts w:ascii="Arial"/>
                <w:sz w:val="21"/>
              </w:rPr>
            </w:pPr>
          </w:p>
          <w:p w14:paraId="73D9ABC1">
            <w:pPr>
              <w:spacing w:line="242" w:lineRule="auto"/>
              <w:rPr>
                <w:rFonts w:ascii="Arial"/>
                <w:sz w:val="21"/>
              </w:rPr>
            </w:pPr>
          </w:p>
          <w:p w14:paraId="4F05AE63">
            <w:pPr>
              <w:spacing w:before="57"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0.2418</w:t>
            </w:r>
          </w:p>
        </w:tc>
        <w:tc>
          <w:tcPr>
            <w:tcW w:w="1260" w:type="dxa"/>
            <w:tcBorders>
              <w:right w:val="single" w:color="000000" w:sz="10" w:space="0"/>
            </w:tcBorders>
            <w:vAlign w:val="top"/>
          </w:tcPr>
          <w:p w14:paraId="30CFCFD0">
            <w:pPr>
              <w:spacing w:line="321" w:lineRule="auto"/>
              <w:rPr>
                <w:rFonts w:ascii="Arial"/>
                <w:sz w:val="21"/>
              </w:rPr>
            </w:pPr>
          </w:p>
          <w:p w14:paraId="60550548">
            <w:pPr>
              <w:pStyle w:val="6"/>
              <w:spacing w:before="62" w:line="252" w:lineRule="auto"/>
              <w:ind w:left="249" w:right="214" w:firstLine="95"/>
              <w:rPr>
                <w:sz w:val="19"/>
                <w:szCs w:val="19"/>
              </w:rPr>
            </w:pPr>
            <w:r>
              <w:rPr>
                <w:spacing w:val="5"/>
                <w:sz w:val="19"/>
                <w:szCs w:val="19"/>
              </w:rPr>
              <w:t>探转采</w:t>
            </w:r>
            <w:r>
              <w:rPr>
                <w:sz w:val="19"/>
                <w:szCs w:val="19"/>
              </w:rPr>
              <w:t xml:space="preserve">  </w:t>
            </w:r>
            <w:r>
              <w:rPr>
                <w:spacing w:val="5"/>
                <w:sz w:val="19"/>
                <w:szCs w:val="19"/>
              </w:rPr>
              <w:t>露天开采</w:t>
            </w:r>
          </w:p>
        </w:tc>
      </w:tr>
      <w:tr w14:paraId="2D88CD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1" w:hRule="atLeast"/>
        </w:trPr>
        <w:tc>
          <w:tcPr>
            <w:tcW w:w="511" w:type="dxa"/>
            <w:tcBorders>
              <w:left w:val="single" w:color="000000" w:sz="10" w:space="0"/>
            </w:tcBorders>
            <w:vAlign w:val="top"/>
          </w:tcPr>
          <w:p w14:paraId="1877E46B">
            <w:pPr>
              <w:spacing w:line="247" w:lineRule="auto"/>
              <w:rPr>
                <w:rFonts w:ascii="Arial"/>
                <w:sz w:val="21"/>
              </w:rPr>
            </w:pPr>
          </w:p>
          <w:p w14:paraId="06A5E35D">
            <w:pPr>
              <w:spacing w:line="248" w:lineRule="auto"/>
              <w:rPr>
                <w:rFonts w:ascii="Arial"/>
                <w:sz w:val="21"/>
              </w:rPr>
            </w:pPr>
          </w:p>
          <w:p w14:paraId="177DDD9C">
            <w:pPr>
              <w:spacing w:before="54" w:line="195" w:lineRule="auto"/>
              <w:ind w:left="142"/>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29</w:t>
            </w:r>
          </w:p>
        </w:tc>
        <w:tc>
          <w:tcPr>
            <w:tcW w:w="874" w:type="dxa"/>
            <w:vAlign w:val="top"/>
          </w:tcPr>
          <w:p w14:paraId="3500AD25">
            <w:pPr>
              <w:spacing w:line="247" w:lineRule="auto"/>
              <w:rPr>
                <w:rFonts w:ascii="Arial"/>
                <w:sz w:val="21"/>
              </w:rPr>
            </w:pPr>
          </w:p>
          <w:p w14:paraId="6B7B47B0">
            <w:pPr>
              <w:spacing w:line="247" w:lineRule="auto"/>
              <w:rPr>
                <w:rFonts w:ascii="Arial"/>
                <w:sz w:val="21"/>
              </w:rPr>
            </w:pPr>
          </w:p>
          <w:p w14:paraId="1F0F43F3">
            <w:pPr>
              <w:spacing w:before="55" w:line="197" w:lineRule="auto"/>
              <w:ind w:left="141"/>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029</w:t>
            </w:r>
          </w:p>
        </w:tc>
        <w:tc>
          <w:tcPr>
            <w:tcW w:w="1480" w:type="dxa"/>
            <w:vAlign w:val="top"/>
          </w:tcPr>
          <w:p w14:paraId="2EA1D8C7">
            <w:pPr>
              <w:pStyle w:val="6"/>
              <w:spacing w:before="103" w:line="231" w:lineRule="auto"/>
              <w:ind w:left="118"/>
              <w:rPr>
                <w:sz w:val="20"/>
                <w:szCs w:val="20"/>
              </w:rPr>
            </w:pPr>
            <w:r>
              <w:rPr>
                <w:spacing w:val="6"/>
                <w:sz w:val="20"/>
                <w:szCs w:val="20"/>
              </w:rPr>
              <w:t>重庆市黔江区</w:t>
            </w:r>
          </w:p>
          <w:p w14:paraId="709C3939">
            <w:pPr>
              <w:pStyle w:val="6"/>
              <w:spacing w:before="20" w:line="232" w:lineRule="auto"/>
              <w:ind w:left="114"/>
              <w:rPr>
                <w:sz w:val="20"/>
                <w:szCs w:val="20"/>
              </w:rPr>
            </w:pPr>
            <w:r>
              <w:rPr>
                <w:spacing w:val="6"/>
                <w:sz w:val="20"/>
                <w:szCs w:val="20"/>
              </w:rPr>
              <w:t>沙坝镇脉东社</w:t>
            </w:r>
          </w:p>
          <w:p w14:paraId="01394422">
            <w:pPr>
              <w:pStyle w:val="6"/>
              <w:spacing w:before="21" w:line="254" w:lineRule="auto"/>
              <w:ind w:left="319" w:right="119" w:hanging="190"/>
              <w:rPr>
                <w:sz w:val="20"/>
                <w:szCs w:val="20"/>
              </w:rPr>
            </w:pPr>
            <w:r>
              <w:rPr>
                <w:spacing w:val="4"/>
                <w:sz w:val="20"/>
                <w:szCs w:val="20"/>
              </w:rPr>
              <w:t>区石筒漕饰面</w:t>
            </w:r>
            <w:r>
              <w:rPr>
                <w:sz w:val="20"/>
                <w:szCs w:val="20"/>
              </w:rPr>
              <w:t xml:space="preserve"> </w:t>
            </w:r>
            <w:r>
              <w:rPr>
                <w:spacing w:val="5"/>
                <w:sz w:val="20"/>
                <w:szCs w:val="20"/>
              </w:rPr>
              <w:t>用灰岩矿</w:t>
            </w:r>
          </w:p>
        </w:tc>
        <w:tc>
          <w:tcPr>
            <w:tcW w:w="964" w:type="dxa"/>
            <w:vAlign w:val="top"/>
          </w:tcPr>
          <w:p w14:paraId="43126132">
            <w:pPr>
              <w:pStyle w:val="6"/>
              <w:spacing w:before="238" w:line="232" w:lineRule="auto"/>
              <w:ind w:left="170"/>
              <w:rPr>
                <w:sz w:val="20"/>
                <w:szCs w:val="20"/>
              </w:rPr>
            </w:pPr>
            <w:r>
              <w:rPr>
                <w:spacing w:val="4"/>
                <w:sz w:val="20"/>
                <w:szCs w:val="20"/>
              </w:rPr>
              <w:t>饰面石</w:t>
            </w:r>
          </w:p>
          <w:p w14:paraId="71432562">
            <w:pPr>
              <w:pStyle w:val="6"/>
              <w:spacing w:before="22" w:line="251" w:lineRule="auto"/>
              <w:ind w:left="272" w:right="174" w:hanging="103"/>
              <w:rPr>
                <w:sz w:val="20"/>
                <w:szCs w:val="20"/>
              </w:rPr>
            </w:pPr>
            <w:r>
              <w:rPr>
                <w:spacing w:val="5"/>
                <w:sz w:val="20"/>
                <w:szCs w:val="20"/>
              </w:rPr>
              <w:t>材用灰</w:t>
            </w:r>
            <w:r>
              <w:rPr>
                <w:sz w:val="20"/>
                <w:szCs w:val="20"/>
              </w:rPr>
              <w:t xml:space="preserve"> </w:t>
            </w:r>
            <w:r>
              <w:rPr>
                <w:spacing w:val="3"/>
                <w:sz w:val="20"/>
                <w:szCs w:val="20"/>
              </w:rPr>
              <w:t>岩矿</w:t>
            </w:r>
          </w:p>
        </w:tc>
        <w:tc>
          <w:tcPr>
            <w:tcW w:w="1029" w:type="dxa"/>
            <w:vAlign w:val="top"/>
          </w:tcPr>
          <w:p w14:paraId="28B54069">
            <w:pPr>
              <w:spacing w:line="243" w:lineRule="auto"/>
              <w:rPr>
                <w:rFonts w:ascii="Arial"/>
                <w:sz w:val="21"/>
              </w:rPr>
            </w:pPr>
          </w:p>
          <w:p w14:paraId="1580A304">
            <w:pPr>
              <w:spacing w:line="244" w:lineRule="auto"/>
              <w:rPr>
                <w:rFonts w:ascii="Arial"/>
                <w:sz w:val="21"/>
              </w:rPr>
            </w:pPr>
          </w:p>
          <w:p w14:paraId="770BDA33">
            <w:pPr>
              <w:spacing w:before="57"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0.0297</w:t>
            </w:r>
          </w:p>
        </w:tc>
        <w:tc>
          <w:tcPr>
            <w:tcW w:w="1152" w:type="dxa"/>
            <w:vAlign w:val="top"/>
          </w:tcPr>
          <w:p w14:paraId="346D9B61">
            <w:pPr>
              <w:spacing w:line="325" w:lineRule="auto"/>
              <w:rPr>
                <w:rFonts w:ascii="Arial"/>
                <w:sz w:val="21"/>
              </w:rPr>
            </w:pPr>
          </w:p>
          <w:p w14:paraId="06F9504E">
            <w:pPr>
              <w:pStyle w:val="6"/>
              <w:spacing w:before="61" w:line="252" w:lineRule="auto"/>
              <w:ind w:left="188" w:right="178" w:firstLine="95"/>
              <w:rPr>
                <w:sz w:val="19"/>
                <w:szCs w:val="19"/>
              </w:rPr>
            </w:pPr>
            <w:r>
              <w:rPr>
                <w:spacing w:val="5"/>
                <w:sz w:val="19"/>
                <w:szCs w:val="19"/>
              </w:rPr>
              <w:t>探转采</w:t>
            </w:r>
            <w:r>
              <w:rPr>
                <w:sz w:val="19"/>
                <w:szCs w:val="19"/>
              </w:rPr>
              <w:t xml:space="preserve">  </w:t>
            </w:r>
            <w:r>
              <w:rPr>
                <w:spacing w:val="5"/>
                <w:sz w:val="19"/>
                <w:szCs w:val="19"/>
              </w:rPr>
              <w:t>露天开采</w:t>
            </w:r>
          </w:p>
        </w:tc>
        <w:tc>
          <w:tcPr>
            <w:tcW w:w="2164" w:type="dxa"/>
            <w:vAlign w:val="top"/>
          </w:tcPr>
          <w:p w14:paraId="1F0C99DF">
            <w:pPr>
              <w:spacing w:line="325" w:lineRule="auto"/>
              <w:rPr>
                <w:rFonts w:ascii="Arial"/>
                <w:sz w:val="21"/>
              </w:rPr>
            </w:pPr>
          </w:p>
          <w:p w14:paraId="0DB1519C">
            <w:pPr>
              <w:pStyle w:val="6"/>
              <w:spacing w:before="61" w:line="231" w:lineRule="auto"/>
              <w:ind w:left="794"/>
              <w:rPr>
                <w:sz w:val="19"/>
                <w:szCs w:val="19"/>
              </w:rPr>
            </w:pPr>
            <w:r>
              <w:rPr>
                <w:spacing w:val="4"/>
                <w:sz w:val="19"/>
                <w:szCs w:val="19"/>
              </w:rPr>
              <w:t>无变化</w:t>
            </w:r>
          </w:p>
          <w:p w14:paraId="47EBF90F">
            <w:pPr>
              <w:pStyle w:val="6"/>
              <w:spacing w:before="20" w:line="231" w:lineRule="auto"/>
              <w:ind w:left="291"/>
              <w:rPr>
                <w:sz w:val="19"/>
                <w:szCs w:val="19"/>
              </w:rPr>
            </w:pPr>
            <w:r>
              <w:rPr>
                <w:spacing w:val="8"/>
                <w:sz w:val="19"/>
                <w:szCs w:val="19"/>
              </w:rPr>
              <w:t>本次补充评价区块</w:t>
            </w:r>
          </w:p>
        </w:tc>
        <w:tc>
          <w:tcPr>
            <w:tcW w:w="948" w:type="dxa"/>
            <w:vAlign w:val="top"/>
          </w:tcPr>
          <w:p w14:paraId="0F999728">
            <w:pPr>
              <w:spacing w:line="247" w:lineRule="auto"/>
              <w:rPr>
                <w:rFonts w:ascii="Arial"/>
                <w:sz w:val="21"/>
              </w:rPr>
            </w:pPr>
          </w:p>
          <w:p w14:paraId="6019C397">
            <w:pPr>
              <w:spacing w:line="247" w:lineRule="auto"/>
              <w:rPr>
                <w:rFonts w:ascii="Arial"/>
                <w:sz w:val="21"/>
              </w:rPr>
            </w:pPr>
          </w:p>
          <w:p w14:paraId="64AAA6E9">
            <w:pPr>
              <w:spacing w:before="55" w:line="197" w:lineRule="auto"/>
              <w:ind w:left="191"/>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029</w:t>
            </w:r>
          </w:p>
        </w:tc>
        <w:tc>
          <w:tcPr>
            <w:tcW w:w="2170" w:type="dxa"/>
            <w:vAlign w:val="top"/>
          </w:tcPr>
          <w:p w14:paraId="22354583">
            <w:pPr>
              <w:pStyle w:val="6"/>
              <w:spacing w:before="238" w:line="231" w:lineRule="auto"/>
              <w:ind w:left="161"/>
              <w:rPr>
                <w:sz w:val="20"/>
                <w:szCs w:val="20"/>
              </w:rPr>
            </w:pPr>
            <w:r>
              <w:rPr>
                <w:spacing w:val="7"/>
                <w:sz w:val="20"/>
                <w:szCs w:val="20"/>
              </w:rPr>
              <w:t>重庆市黔江区沙坝镇</w:t>
            </w:r>
          </w:p>
          <w:p w14:paraId="23CD3A9D">
            <w:pPr>
              <w:pStyle w:val="6"/>
              <w:spacing w:before="23" w:line="231" w:lineRule="auto"/>
              <w:ind w:left="154"/>
              <w:rPr>
                <w:sz w:val="20"/>
                <w:szCs w:val="20"/>
              </w:rPr>
            </w:pPr>
            <w:r>
              <w:rPr>
                <w:spacing w:val="8"/>
                <w:sz w:val="20"/>
                <w:szCs w:val="20"/>
              </w:rPr>
              <w:t>脉东社区石筒漕饰面</w:t>
            </w:r>
          </w:p>
          <w:p w14:paraId="492ED5FB">
            <w:pPr>
              <w:pStyle w:val="6"/>
              <w:spacing w:before="21" w:line="232" w:lineRule="auto"/>
              <w:ind w:left="680"/>
              <w:rPr>
                <w:sz w:val="20"/>
                <w:szCs w:val="20"/>
              </w:rPr>
            </w:pPr>
            <w:r>
              <w:rPr>
                <w:spacing w:val="5"/>
                <w:sz w:val="20"/>
                <w:szCs w:val="20"/>
              </w:rPr>
              <w:t>用灰岩矿</w:t>
            </w:r>
          </w:p>
        </w:tc>
        <w:tc>
          <w:tcPr>
            <w:tcW w:w="1077" w:type="dxa"/>
            <w:vAlign w:val="top"/>
          </w:tcPr>
          <w:p w14:paraId="13E721A0">
            <w:pPr>
              <w:spacing w:line="307" w:lineRule="auto"/>
              <w:rPr>
                <w:rFonts w:ascii="Arial"/>
                <w:sz w:val="21"/>
              </w:rPr>
            </w:pPr>
          </w:p>
          <w:p w14:paraId="13C8ADB3">
            <w:pPr>
              <w:pStyle w:val="6"/>
              <w:spacing w:before="65" w:line="232" w:lineRule="auto"/>
              <w:ind w:left="138"/>
              <w:rPr>
                <w:sz w:val="20"/>
                <w:szCs w:val="20"/>
              </w:rPr>
            </w:pPr>
            <w:r>
              <w:rPr>
                <w:spacing w:val="5"/>
                <w:sz w:val="20"/>
                <w:szCs w:val="20"/>
              </w:rPr>
              <w:t>饰面石材</w:t>
            </w:r>
          </w:p>
          <w:p w14:paraId="51967931">
            <w:pPr>
              <w:pStyle w:val="6"/>
              <w:spacing w:before="23" w:line="232" w:lineRule="auto"/>
              <w:ind w:left="137"/>
              <w:rPr>
                <w:sz w:val="20"/>
                <w:szCs w:val="20"/>
              </w:rPr>
            </w:pPr>
            <w:r>
              <w:rPr>
                <w:spacing w:val="5"/>
                <w:sz w:val="20"/>
                <w:szCs w:val="20"/>
              </w:rPr>
              <w:t>用灰岩矿</w:t>
            </w:r>
          </w:p>
        </w:tc>
        <w:tc>
          <w:tcPr>
            <w:tcW w:w="1036" w:type="dxa"/>
            <w:vAlign w:val="top"/>
          </w:tcPr>
          <w:p w14:paraId="0D3189EF">
            <w:pPr>
              <w:spacing w:line="243" w:lineRule="auto"/>
              <w:rPr>
                <w:rFonts w:ascii="Arial"/>
                <w:sz w:val="21"/>
              </w:rPr>
            </w:pPr>
          </w:p>
          <w:p w14:paraId="54C84E05">
            <w:pPr>
              <w:spacing w:line="244" w:lineRule="auto"/>
              <w:rPr>
                <w:rFonts w:ascii="Arial"/>
                <w:sz w:val="21"/>
              </w:rPr>
            </w:pPr>
          </w:p>
          <w:p w14:paraId="7A8E4A6E">
            <w:pPr>
              <w:spacing w:before="57"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0.0297</w:t>
            </w:r>
          </w:p>
        </w:tc>
        <w:tc>
          <w:tcPr>
            <w:tcW w:w="1260" w:type="dxa"/>
            <w:tcBorders>
              <w:right w:val="single" w:color="000000" w:sz="10" w:space="0"/>
            </w:tcBorders>
            <w:vAlign w:val="top"/>
          </w:tcPr>
          <w:p w14:paraId="5F229187">
            <w:pPr>
              <w:spacing w:line="325" w:lineRule="auto"/>
              <w:rPr>
                <w:rFonts w:ascii="Arial"/>
                <w:sz w:val="21"/>
              </w:rPr>
            </w:pPr>
          </w:p>
          <w:p w14:paraId="4C5B2175">
            <w:pPr>
              <w:pStyle w:val="6"/>
              <w:spacing w:before="61" w:line="252" w:lineRule="auto"/>
              <w:ind w:left="249" w:right="214" w:firstLine="95"/>
              <w:rPr>
                <w:sz w:val="19"/>
                <w:szCs w:val="19"/>
              </w:rPr>
            </w:pPr>
            <w:r>
              <w:rPr>
                <w:spacing w:val="5"/>
                <w:sz w:val="19"/>
                <w:szCs w:val="19"/>
              </w:rPr>
              <w:t>探转采</w:t>
            </w:r>
            <w:r>
              <w:rPr>
                <w:sz w:val="19"/>
                <w:szCs w:val="19"/>
              </w:rPr>
              <w:t xml:space="preserve">  </w:t>
            </w:r>
            <w:r>
              <w:rPr>
                <w:spacing w:val="5"/>
                <w:sz w:val="19"/>
                <w:szCs w:val="19"/>
              </w:rPr>
              <w:t>露天开采</w:t>
            </w:r>
          </w:p>
        </w:tc>
      </w:tr>
      <w:tr w14:paraId="175C07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0" w:hRule="atLeast"/>
        </w:trPr>
        <w:tc>
          <w:tcPr>
            <w:tcW w:w="511" w:type="dxa"/>
            <w:tcBorders>
              <w:left w:val="single" w:color="000000" w:sz="10" w:space="0"/>
            </w:tcBorders>
            <w:vAlign w:val="top"/>
          </w:tcPr>
          <w:p w14:paraId="12067E98">
            <w:pPr>
              <w:spacing w:line="249" w:lineRule="auto"/>
              <w:rPr>
                <w:rFonts w:ascii="Arial"/>
                <w:sz w:val="21"/>
              </w:rPr>
            </w:pPr>
          </w:p>
          <w:p w14:paraId="3F351E5E">
            <w:pPr>
              <w:spacing w:line="249" w:lineRule="auto"/>
              <w:rPr>
                <w:rFonts w:ascii="Arial"/>
                <w:sz w:val="21"/>
              </w:rPr>
            </w:pPr>
          </w:p>
          <w:p w14:paraId="44B5D99B">
            <w:pPr>
              <w:spacing w:before="54" w:line="195" w:lineRule="auto"/>
              <w:ind w:left="146"/>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30</w:t>
            </w:r>
          </w:p>
        </w:tc>
        <w:tc>
          <w:tcPr>
            <w:tcW w:w="874" w:type="dxa"/>
            <w:vAlign w:val="top"/>
          </w:tcPr>
          <w:p w14:paraId="3F363887">
            <w:pPr>
              <w:spacing w:line="249" w:lineRule="auto"/>
              <w:rPr>
                <w:rFonts w:ascii="Arial"/>
                <w:sz w:val="21"/>
              </w:rPr>
            </w:pPr>
          </w:p>
          <w:p w14:paraId="76CF353D">
            <w:pPr>
              <w:spacing w:line="249" w:lineRule="auto"/>
              <w:rPr>
                <w:rFonts w:ascii="Arial"/>
                <w:sz w:val="21"/>
              </w:rPr>
            </w:pPr>
          </w:p>
          <w:p w14:paraId="4C57F1E0">
            <w:pPr>
              <w:spacing w:before="54" w:line="197" w:lineRule="auto"/>
              <w:ind w:left="141"/>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030</w:t>
            </w:r>
          </w:p>
        </w:tc>
        <w:tc>
          <w:tcPr>
            <w:tcW w:w="1480" w:type="dxa"/>
            <w:vAlign w:val="top"/>
          </w:tcPr>
          <w:p w14:paraId="432CD5C6">
            <w:pPr>
              <w:pStyle w:val="6"/>
              <w:spacing w:before="107" w:line="231" w:lineRule="auto"/>
              <w:ind w:left="118"/>
              <w:rPr>
                <w:sz w:val="20"/>
                <w:szCs w:val="20"/>
              </w:rPr>
            </w:pPr>
            <w:r>
              <w:rPr>
                <w:spacing w:val="6"/>
                <w:sz w:val="20"/>
                <w:szCs w:val="20"/>
              </w:rPr>
              <w:t>重庆市黔江区</w:t>
            </w:r>
          </w:p>
          <w:p w14:paraId="01355C7A">
            <w:pPr>
              <w:pStyle w:val="6"/>
              <w:spacing w:before="21" w:line="230" w:lineRule="auto"/>
              <w:ind w:left="111"/>
              <w:rPr>
                <w:sz w:val="20"/>
                <w:szCs w:val="20"/>
              </w:rPr>
            </w:pPr>
            <w:r>
              <w:rPr>
                <w:spacing w:val="7"/>
                <w:sz w:val="20"/>
                <w:szCs w:val="20"/>
              </w:rPr>
              <w:t>石家镇清塘村</w:t>
            </w:r>
          </w:p>
          <w:p w14:paraId="62A2B6ED">
            <w:pPr>
              <w:pStyle w:val="6"/>
              <w:spacing w:before="23" w:line="232" w:lineRule="auto"/>
              <w:ind w:left="113"/>
              <w:rPr>
                <w:sz w:val="20"/>
                <w:szCs w:val="20"/>
              </w:rPr>
            </w:pPr>
            <w:r>
              <w:rPr>
                <w:spacing w:val="7"/>
                <w:sz w:val="20"/>
                <w:szCs w:val="20"/>
              </w:rPr>
              <w:t>风岩坡萤石矿</w:t>
            </w:r>
          </w:p>
          <w:p w14:paraId="62F5CF3F">
            <w:pPr>
              <w:pStyle w:val="6"/>
              <w:spacing w:before="20" w:line="234" w:lineRule="auto"/>
              <w:ind w:left="533"/>
              <w:rPr>
                <w:sz w:val="20"/>
                <w:szCs w:val="20"/>
              </w:rPr>
            </w:pPr>
            <w:r>
              <w:rPr>
                <w:sz w:val="20"/>
                <w:szCs w:val="20"/>
              </w:rPr>
              <w:t>普查</w:t>
            </w:r>
          </w:p>
        </w:tc>
        <w:tc>
          <w:tcPr>
            <w:tcW w:w="964" w:type="dxa"/>
            <w:vAlign w:val="top"/>
          </w:tcPr>
          <w:p w14:paraId="68F1486F">
            <w:pPr>
              <w:spacing w:line="447" w:lineRule="auto"/>
              <w:rPr>
                <w:rFonts w:ascii="Arial"/>
                <w:sz w:val="21"/>
              </w:rPr>
            </w:pPr>
          </w:p>
          <w:p w14:paraId="3C842C99">
            <w:pPr>
              <w:pStyle w:val="6"/>
              <w:spacing w:before="65" w:line="232" w:lineRule="auto"/>
              <w:ind w:left="176"/>
              <w:rPr>
                <w:sz w:val="20"/>
                <w:szCs w:val="20"/>
              </w:rPr>
            </w:pPr>
            <w:r>
              <w:rPr>
                <w:spacing w:val="2"/>
                <w:sz w:val="20"/>
                <w:szCs w:val="20"/>
              </w:rPr>
              <w:t>萤石矿</w:t>
            </w:r>
          </w:p>
        </w:tc>
        <w:tc>
          <w:tcPr>
            <w:tcW w:w="1029" w:type="dxa"/>
            <w:vAlign w:val="top"/>
          </w:tcPr>
          <w:p w14:paraId="555365C6">
            <w:pPr>
              <w:spacing w:line="245" w:lineRule="auto"/>
              <w:rPr>
                <w:rFonts w:ascii="Arial"/>
                <w:sz w:val="21"/>
              </w:rPr>
            </w:pPr>
          </w:p>
          <w:p w14:paraId="7B1A5C3B">
            <w:pPr>
              <w:spacing w:line="245" w:lineRule="auto"/>
              <w:rPr>
                <w:rFonts w:ascii="Arial"/>
                <w:sz w:val="21"/>
              </w:rPr>
            </w:pPr>
          </w:p>
          <w:p w14:paraId="33B26326">
            <w:pPr>
              <w:spacing w:before="58"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0.2620</w:t>
            </w:r>
          </w:p>
        </w:tc>
        <w:tc>
          <w:tcPr>
            <w:tcW w:w="1152" w:type="dxa"/>
            <w:vAlign w:val="top"/>
          </w:tcPr>
          <w:p w14:paraId="277BA1BD">
            <w:pPr>
              <w:spacing w:line="328" w:lineRule="auto"/>
              <w:rPr>
                <w:rFonts w:ascii="Arial"/>
                <w:sz w:val="21"/>
              </w:rPr>
            </w:pPr>
          </w:p>
          <w:p w14:paraId="39B8AE6B">
            <w:pPr>
              <w:pStyle w:val="6"/>
              <w:spacing w:before="62" w:line="252" w:lineRule="auto"/>
              <w:ind w:left="183" w:right="178" w:firstLine="100"/>
              <w:rPr>
                <w:sz w:val="19"/>
                <w:szCs w:val="19"/>
              </w:rPr>
            </w:pPr>
            <w:r>
              <w:rPr>
                <w:spacing w:val="5"/>
                <w:sz w:val="19"/>
                <w:szCs w:val="19"/>
              </w:rPr>
              <w:t>探转采</w:t>
            </w:r>
            <w:r>
              <w:rPr>
                <w:sz w:val="19"/>
                <w:szCs w:val="19"/>
              </w:rPr>
              <w:t xml:space="preserve">  </w:t>
            </w:r>
            <w:r>
              <w:rPr>
                <w:spacing w:val="6"/>
                <w:sz w:val="19"/>
                <w:szCs w:val="19"/>
              </w:rPr>
              <w:t>地下开采</w:t>
            </w:r>
          </w:p>
        </w:tc>
        <w:tc>
          <w:tcPr>
            <w:tcW w:w="2164" w:type="dxa"/>
            <w:vAlign w:val="top"/>
          </w:tcPr>
          <w:p w14:paraId="0B5FDD76">
            <w:pPr>
              <w:spacing w:line="457" w:lineRule="auto"/>
              <w:rPr>
                <w:rFonts w:ascii="Arial"/>
                <w:sz w:val="21"/>
              </w:rPr>
            </w:pPr>
          </w:p>
          <w:p w14:paraId="69F4589C">
            <w:pPr>
              <w:pStyle w:val="6"/>
              <w:spacing w:before="61" w:line="231" w:lineRule="auto"/>
              <w:ind w:left="794"/>
              <w:rPr>
                <w:sz w:val="19"/>
                <w:szCs w:val="19"/>
              </w:rPr>
            </w:pPr>
            <w:r>
              <w:rPr>
                <w:spacing w:val="4"/>
                <w:sz w:val="19"/>
                <w:szCs w:val="19"/>
              </w:rPr>
              <w:t>无变化</w:t>
            </w:r>
          </w:p>
        </w:tc>
        <w:tc>
          <w:tcPr>
            <w:tcW w:w="948" w:type="dxa"/>
            <w:vAlign w:val="top"/>
          </w:tcPr>
          <w:p w14:paraId="3CF9ABCD">
            <w:pPr>
              <w:spacing w:line="249" w:lineRule="auto"/>
              <w:rPr>
                <w:rFonts w:ascii="Arial"/>
                <w:sz w:val="21"/>
              </w:rPr>
            </w:pPr>
          </w:p>
          <w:p w14:paraId="621EB1F6">
            <w:pPr>
              <w:spacing w:line="249" w:lineRule="auto"/>
              <w:rPr>
                <w:rFonts w:ascii="Arial"/>
                <w:sz w:val="21"/>
              </w:rPr>
            </w:pPr>
          </w:p>
          <w:p w14:paraId="098678AC">
            <w:pPr>
              <w:spacing w:before="54" w:line="197" w:lineRule="auto"/>
              <w:ind w:left="191"/>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030</w:t>
            </w:r>
          </w:p>
        </w:tc>
        <w:tc>
          <w:tcPr>
            <w:tcW w:w="2170" w:type="dxa"/>
            <w:vAlign w:val="top"/>
          </w:tcPr>
          <w:p w14:paraId="287AB37E">
            <w:pPr>
              <w:pStyle w:val="6"/>
              <w:spacing w:before="241" w:line="231" w:lineRule="auto"/>
              <w:ind w:left="161"/>
              <w:rPr>
                <w:sz w:val="20"/>
                <w:szCs w:val="20"/>
              </w:rPr>
            </w:pPr>
            <w:r>
              <w:rPr>
                <w:spacing w:val="7"/>
                <w:sz w:val="20"/>
                <w:szCs w:val="20"/>
              </w:rPr>
              <w:t>重庆市黔江区石家镇</w:t>
            </w:r>
          </w:p>
          <w:p w14:paraId="517079E2">
            <w:pPr>
              <w:pStyle w:val="6"/>
              <w:spacing w:before="23" w:line="230" w:lineRule="auto"/>
              <w:ind w:left="157"/>
              <w:rPr>
                <w:sz w:val="20"/>
                <w:szCs w:val="20"/>
              </w:rPr>
            </w:pPr>
            <w:r>
              <w:rPr>
                <w:spacing w:val="8"/>
                <w:sz w:val="20"/>
                <w:szCs w:val="20"/>
              </w:rPr>
              <w:t>清塘村风岩坡萤石矿</w:t>
            </w:r>
          </w:p>
          <w:p w14:paraId="4F011807">
            <w:pPr>
              <w:pStyle w:val="6"/>
              <w:spacing w:before="21" w:line="234" w:lineRule="auto"/>
              <w:ind w:left="894"/>
              <w:rPr>
                <w:sz w:val="20"/>
                <w:szCs w:val="20"/>
              </w:rPr>
            </w:pPr>
            <w:r>
              <w:rPr>
                <w:sz w:val="20"/>
                <w:szCs w:val="20"/>
              </w:rPr>
              <w:t>普查</w:t>
            </w:r>
          </w:p>
        </w:tc>
        <w:tc>
          <w:tcPr>
            <w:tcW w:w="1077" w:type="dxa"/>
            <w:vAlign w:val="top"/>
          </w:tcPr>
          <w:p w14:paraId="1CC56C93">
            <w:pPr>
              <w:spacing w:line="447" w:lineRule="auto"/>
              <w:rPr>
                <w:rFonts w:ascii="Arial"/>
                <w:sz w:val="21"/>
              </w:rPr>
            </w:pPr>
          </w:p>
          <w:p w14:paraId="777C0CF0">
            <w:pPr>
              <w:pStyle w:val="6"/>
              <w:spacing w:before="65" w:line="232" w:lineRule="auto"/>
              <w:ind w:left="247"/>
              <w:rPr>
                <w:sz w:val="20"/>
                <w:szCs w:val="20"/>
              </w:rPr>
            </w:pPr>
            <w:r>
              <w:rPr>
                <w:spacing w:val="2"/>
                <w:sz w:val="20"/>
                <w:szCs w:val="20"/>
              </w:rPr>
              <w:t>萤石矿</w:t>
            </w:r>
          </w:p>
        </w:tc>
        <w:tc>
          <w:tcPr>
            <w:tcW w:w="1036" w:type="dxa"/>
            <w:vAlign w:val="top"/>
          </w:tcPr>
          <w:p w14:paraId="248550A1">
            <w:pPr>
              <w:spacing w:line="245" w:lineRule="auto"/>
              <w:rPr>
                <w:rFonts w:ascii="Arial"/>
                <w:sz w:val="21"/>
              </w:rPr>
            </w:pPr>
          </w:p>
          <w:p w14:paraId="160A130E">
            <w:pPr>
              <w:spacing w:line="245" w:lineRule="auto"/>
              <w:rPr>
                <w:rFonts w:ascii="Arial"/>
                <w:sz w:val="21"/>
              </w:rPr>
            </w:pPr>
          </w:p>
          <w:p w14:paraId="3238F3DD">
            <w:pPr>
              <w:spacing w:before="58"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0.2620</w:t>
            </w:r>
          </w:p>
        </w:tc>
        <w:tc>
          <w:tcPr>
            <w:tcW w:w="1260" w:type="dxa"/>
            <w:tcBorders>
              <w:right w:val="single" w:color="000000" w:sz="10" w:space="0"/>
            </w:tcBorders>
            <w:vAlign w:val="top"/>
          </w:tcPr>
          <w:p w14:paraId="7174C950">
            <w:pPr>
              <w:spacing w:line="328" w:lineRule="auto"/>
              <w:rPr>
                <w:rFonts w:ascii="Arial"/>
                <w:sz w:val="21"/>
              </w:rPr>
            </w:pPr>
          </w:p>
          <w:p w14:paraId="5506B3F4">
            <w:pPr>
              <w:pStyle w:val="6"/>
              <w:spacing w:before="62" w:line="252" w:lineRule="auto"/>
              <w:ind w:left="245" w:right="214" w:firstLine="100"/>
              <w:rPr>
                <w:sz w:val="19"/>
                <w:szCs w:val="19"/>
              </w:rPr>
            </w:pPr>
            <w:r>
              <w:rPr>
                <w:spacing w:val="5"/>
                <w:sz w:val="19"/>
                <w:szCs w:val="19"/>
              </w:rPr>
              <w:t>探转采</w:t>
            </w:r>
            <w:r>
              <w:rPr>
                <w:sz w:val="19"/>
                <w:szCs w:val="19"/>
              </w:rPr>
              <w:t xml:space="preserve">  </w:t>
            </w:r>
            <w:r>
              <w:rPr>
                <w:spacing w:val="6"/>
                <w:sz w:val="19"/>
                <w:szCs w:val="19"/>
              </w:rPr>
              <w:t>地下开采</w:t>
            </w:r>
          </w:p>
        </w:tc>
      </w:tr>
      <w:tr w14:paraId="12090F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511" w:type="dxa"/>
            <w:tcBorders>
              <w:left w:val="single" w:color="000000" w:sz="10" w:space="0"/>
            </w:tcBorders>
            <w:vAlign w:val="top"/>
          </w:tcPr>
          <w:p w14:paraId="2B48FEDB">
            <w:pPr>
              <w:spacing w:line="366" w:lineRule="auto"/>
              <w:rPr>
                <w:rFonts w:ascii="Arial"/>
                <w:sz w:val="21"/>
              </w:rPr>
            </w:pPr>
          </w:p>
          <w:p w14:paraId="4BC14E0F">
            <w:pPr>
              <w:spacing w:before="55" w:line="195" w:lineRule="auto"/>
              <w:ind w:left="146"/>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31</w:t>
            </w:r>
          </w:p>
        </w:tc>
        <w:tc>
          <w:tcPr>
            <w:tcW w:w="874" w:type="dxa"/>
            <w:vAlign w:val="top"/>
          </w:tcPr>
          <w:p w14:paraId="17B99690">
            <w:pPr>
              <w:spacing w:line="366" w:lineRule="auto"/>
              <w:rPr>
                <w:rFonts w:ascii="Arial"/>
                <w:sz w:val="21"/>
              </w:rPr>
            </w:pPr>
          </w:p>
          <w:p w14:paraId="5559346B">
            <w:pPr>
              <w:spacing w:before="54" w:line="197" w:lineRule="auto"/>
              <w:ind w:left="141"/>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031</w:t>
            </w:r>
          </w:p>
        </w:tc>
        <w:tc>
          <w:tcPr>
            <w:tcW w:w="1480" w:type="dxa"/>
            <w:vAlign w:val="top"/>
          </w:tcPr>
          <w:p w14:paraId="216FCB5F">
            <w:pPr>
              <w:pStyle w:val="6"/>
              <w:spacing w:before="111" w:line="231" w:lineRule="auto"/>
              <w:ind w:left="118"/>
              <w:rPr>
                <w:sz w:val="20"/>
                <w:szCs w:val="20"/>
              </w:rPr>
            </w:pPr>
            <w:r>
              <w:rPr>
                <w:spacing w:val="6"/>
                <w:sz w:val="20"/>
                <w:szCs w:val="20"/>
              </w:rPr>
              <w:t>重庆市黔江区</w:t>
            </w:r>
          </w:p>
          <w:p w14:paraId="6145BB0F">
            <w:pPr>
              <w:pStyle w:val="6"/>
              <w:spacing w:before="23" w:line="230" w:lineRule="auto"/>
              <w:ind w:left="110"/>
              <w:rPr>
                <w:sz w:val="20"/>
                <w:szCs w:val="20"/>
              </w:rPr>
            </w:pPr>
            <w:r>
              <w:rPr>
                <w:spacing w:val="7"/>
                <w:sz w:val="20"/>
                <w:szCs w:val="20"/>
              </w:rPr>
              <w:t>新华乡大田村</w:t>
            </w:r>
          </w:p>
          <w:p w14:paraId="04F9390D">
            <w:pPr>
              <w:pStyle w:val="6"/>
              <w:spacing w:before="21" w:line="231" w:lineRule="auto"/>
              <w:ind w:left="111"/>
              <w:rPr>
                <w:sz w:val="20"/>
                <w:szCs w:val="20"/>
              </w:rPr>
            </w:pPr>
            <w:r>
              <w:rPr>
                <w:spacing w:val="7"/>
                <w:sz w:val="20"/>
                <w:szCs w:val="20"/>
              </w:rPr>
              <w:t>长湾重晶石矿</w:t>
            </w:r>
          </w:p>
        </w:tc>
        <w:tc>
          <w:tcPr>
            <w:tcW w:w="964" w:type="dxa"/>
            <w:vAlign w:val="top"/>
          </w:tcPr>
          <w:p w14:paraId="2158C663">
            <w:pPr>
              <w:pStyle w:val="6"/>
              <w:spacing w:before="249" w:line="251" w:lineRule="auto"/>
              <w:ind w:left="380" w:right="174" w:hanging="204"/>
              <w:rPr>
                <w:sz w:val="20"/>
                <w:szCs w:val="20"/>
              </w:rPr>
            </w:pPr>
            <w:r>
              <w:rPr>
                <w:spacing w:val="2"/>
                <w:sz w:val="20"/>
                <w:szCs w:val="20"/>
              </w:rPr>
              <w:t>重晶石</w:t>
            </w:r>
            <w:r>
              <w:rPr>
                <w:spacing w:val="1"/>
                <w:sz w:val="20"/>
                <w:szCs w:val="20"/>
              </w:rPr>
              <w:t xml:space="preserve"> </w:t>
            </w:r>
            <w:r>
              <w:rPr>
                <w:sz w:val="20"/>
                <w:szCs w:val="20"/>
              </w:rPr>
              <w:t>矿</w:t>
            </w:r>
          </w:p>
        </w:tc>
        <w:tc>
          <w:tcPr>
            <w:tcW w:w="1029" w:type="dxa"/>
            <w:vAlign w:val="top"/>
          </w:tcPr>
          <w:p w14:paraId="28B84B91">
            <w:pPr>
              <w:spacing w:line="361" w:lineRule="auto"/>
              <w:rPr>
                <w:rFonts w:ascii="Arial"/>
                <w:sz w:val="21"/>
              </w:rPr>
            </w:pPr>
          </w:p>
          <w:p w14:paraId="7DFE9EF6">
            <w:pPr>
              <w:spacing w:before="57"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22.1643</w:t>
            </w:r>
          </w:p>
        </w:tc>
        <w:tc>
          <w:tcPr>
            <w:tcW w:w="1152" w:type="dxa"/>
            <w:vAlign w:val="top"/>
          </w:tcPr>
          <w:p w14:paraId="26C20471">
            <w:pPr>
              <w:pStyle w:val="6"/>
              <w:spacing w:before="261" w:line="252" w:lineRule="auto"/>
              <w:ind w:left="183" w:right="178" w:firstLine="100"/>
              <w:rPr>
                <w:sz w:val="19"/>
                <w:szCs w:val="19"/>
              </w:rPr>
            </w:pPr>
            <w:r>
              <w:rPr>
                <w:spacing w:val="5"/>
                <w:sz w:val="19"/>
                <w:szCs w:val="19"/>
              </w:rPr>
              <w:t>探转采</w:t>
            </w:r>
            <w:r>
              <w:rPr>
                <w:sz w:val="19"/>
                <w:szCs w:val="19"/>
              </w:rPr>
              <w:t xml:space="preserve">  </w:t>
            </w:r>
            <w:r>
              <w:rPr>
                <w:spacing w:val="6"/>
                <w:sz w:val="19"/>
                <w:szCs w:val="19"/>
              </w:rPr>
              <w:t>地下开采</w:t>
            </w:r>
          </w:p>
        </w:tc>
        <w:tc>
          <w:tcPr>
            <w:tcW w:w="2164" w:type="dxa"/>
            <w:vAlign w:val="top"/>
          </w:tcPr>
          <w:p w14:paraId="2D6B8718">
            <w:pPr>
              <w:spacing w:line="325" w:lineRule="auto"/>
              <w:rPr>
                <w:rFonts w:ascii="Arial"/>
                <w:sz w:val="21"/>
              </w:rPr>
            </w:pPr>
          </w:p>
          <w:p w14:paraId="48B451DB">
            <w:pPr>
              <w:pStyle w:val="6"/>
              <w:spacing w:before="62" w:line="231" w:lineRule="auto"/>
              <w:ind w:left="794"/>
              <w:rPr>
                <w:sz w:val="19"/>
                <w:szCs w:val="19"/>
              </w:rPr>
            </w:pPr>
            <w:r>
              <w:rPr>
                <w:spacing w:val="4"/>
                <w:sz w:val="19"/>
                <w:szCs w:val="19"/>
              </w:rPr>
              <w:t>无变化</w:t>
            </w:r>
          </w:p>
        </w:tc>
        <w:tc>
          <w:tcPr>
            <w:tcW w:w="948" w:type="dxa"/>
            <w:vAlign w:val="top"/>
          </w:tcPr>
          <w:p w14:paraId="11FF9A75">
            <w:pPr>
              <w:spacing w:line="366" w:lineRule="auto"/>
              <w:rPr>
                <w:rFonts w:ascii="Arial"/>
                <w:sz w:val="21"/>
              </w:rPr>
            </w:pPr>
          </w:p>
          <w:p w14:paraId="0670BBEC">
            <w:pPr>
              <w:spacing w:before="54" w:line="197" w:lineRule="auto"/>
              <w:ind w:left="191"/>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031</w:t>
            </w:r>
          </w:p>
        </w:tc>
        <w:tc>
          <w:tcPr>
            <w:tcW w:w="2170" w:type="dxa"/>
            <w:vAlign w:val="top"/>
          </w:tcPr>
          <w:p w14:paraId="793F925E">
            <w:pPr>
              <w:pStyle w:val="6"/>
              <w:spacing w:before="248" w:line="250" w:lineRule="auto"/>
              <w:ind w:left="157" w:right="134" w:firstLine="4"/>
              <w:rPr>
                <w:sz w:val="20"/>
                <w:szCs w:val="20"/>
              </w:rPr>
            </w:pPr>
            <w:r>
              <w:rPr>
                <w:spacing w:val="7"/>
                <w:sz w:val="20"/>
                <w:szCs w:val="20"/>
              </w:rPr>
              <w:t>重庆市黔江区新华乡</w:t>
            </w:r>
            <w:r>
              <w:rPr>
                <w:spacing w:val="4"/>
                <w:sz w:val="20"/>
                <w:szCs w:val="20"/>
              </w:rPr>
              <w:t xml:space="preserve"> </w:t>
            </w:r>
            <w:r>
              <w:rPr>
                <w:spacing w:val="8"/>
                <w:sz w:val="20"/>
                <w:szCs w:val="20"/>
              </w:rPr>
              <w:t>大田村长湾重晶石矿</w:t>
            </w:r>
          </w:p>
        </w:tc>
        <w:tc>
          <w:tcPr>
            <w:tcW w:w="1077" w:type="dxa"/>
            <w:vAlign w:val="top"/>
          </w:tcPr>
          <w:p w14:paraId="0AA71CB2">
            <w:pPr>
              <w:spacing w:line="317" w:lineRule="auto"/>
              <w:rPr>
                <w:rFonts w:ascii="Arial"/>
                <w:sz w:val="21"/>
              </w:rPr>
            </w:pPr>
          </w:p>
          <w:p w14:paraId="7BE9CDE7">
            <w:pPr>
              <w:pStyle w:val="6"/>
              <w:spacing w:before="65" w:line="232" w:lineRule="auto"/>
              <w:ind w:left="144"/>
              <w:rPr>
                <w:sz w:val="20"/>
                <w:szCs w:val="20"/>
              </w:rPr>
            </w:pPr>
            <w:r>
              <w:rPr>
                <w:spacing w:val="4"/>
                <w:sz w:val="20"/>
                <w:szCs w:val="20"/>
              </w:rPr>
              <w:t>重晶石矿</w:t>
            </w:r>
          </w:p>
        </w:tc>
        <w:tc>
          <w:tcPr>
            <w:tcW w:w="1036" w:type="dxa"/>
            <w:vAlign w:val="top"/>
          </w:tcPr>
          <w:p w14:paraId="2B58F925">
            <w:pPr>
              <w:spacing w:line="361" w:lineRule="auto"/>
              <w:rPr>
                <w:rFonts w:ascii="Arial"/>
                <w:sz w:val="21"/>
              </w:rPr>
            </w:pPr>
          </w:p>
          <w:p w14:paraId="02332F66">
            <w:pPr>
              <w:spacing w:before="57" w:line="195" w:lineRule="auto"/>
              <w:ind w:left="1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22.1643</w:t>
            </w:r>
          </w:p>
        </w:tc>
        <w:tc>
          <w:tcPr>
            <w:tcW w:w="1260" w:type="dxa"/>
            <w:tcBorders>
              <w:right w:val="single" w:color="000000" w:sz="10" w:space="0"/>
            </w:tcBorders>
            <w:vAlign w:val="top"/>
          </w:tcPr>
          <w:p w14:paraId="41287468">
            <w:pPr>
              <w:pStyle w:val="6"/>
              <w:spacing w:before="261" w:line="252" w:lineRule="auto"/>
              <w:ind w:left="245" w:right="214" w:firstLine="100"/>
              <w:rPr>
                <w:sz w:val="19"/>
                <w:szCs w:val="19"/>
              </w:rPr>
            </w:pPr>
            <w:r>
              <w:rPr>
                <w:spacing w:val="5"/>
                <w:sz w:val="19"/>
                <w:szCs w:val="19"/>
              </w:rPr>
              <w:t>探转采</w:t>
            </w:r>
            <w:r>
              <w:rPr>
                <w:sz w:val="19"/>
                <w:szCs w:val="19"/>
              </w:rPr>
              <w:t xml:space="preserve">  </w:t>
            </w:r>
            <w:r>
              <w:rPr>
                <w:spacing w:val="6"/>
                <w:sz w:val="19"/>
                <w:szCs w:val="19"/>
              </w:rPr>
              <w:t>地下开采</w:t>
            </w:r>
          </w:p>
        </w:tc>
      </w:tr>
      <w:tr w14:paraId="5F7CF9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511" w:type="dxa"/>
            <w:tcBorders>
              <w:left w:val="single" w:color="000000" w:sz="10" w:space="0"/>
              <w:bottom w:val="single" w:color="000000" w:sz="10" w:space="0"/>
            </w:tcBorders>
            <w:vAlign w:val="top"/>
          </w:tcPr>
          <w:p w14:paraId="4B1B82CC">
            <w:pPr>
              <w:spacing w:before="290" w:line="195" w:lineRule="auto"/>
              <w:ind w:left="146"/>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32</w:t>
            </w:r>
          </w:p>
        </w:tc>
        <w:tc>
          <w:tcPr>
            <w:tcW w:w="874" w:type="dxa"/>
            <w:tcBorders>
              <w:bottom w:val="single" w:color="000000" w:sz="10" w:space="0"/>
            </w:tcBorders>
            <w:vAlign w:val="top"/>
          </w:tcPr>
          <w:p w14:paraId="6B0E106F">
            <w:pPr>
              <w:spacing w:before="290" w:line="197" w:lineRule="auto"/>
              <w:ind w:left="141"/>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032</w:t>
            </w:r>
          </w:p>
        </w:tc>
        <w:tc>
          <w:tcPr>
            <w:tcW w:w="1480" w:type="dxa"/>
            <w:tcBorders>
              <w:bottom w:val="single" w:color="000000" w:sz="10" w:space="0"/>
            </w:tcBorders>
            <w:vAlign w:val="top"/>
          </w:tcPr>
          <w:p w14:paraId="2205F1DA">
            <w:pPr>
              <w:pStyle w:val="6"/>
              <w:spacing w:before="115" w:line="231" w:lineRule="auto"/>
              <w:ind w:left="115"/>
              <w:rPr>
                <w:sz w:val="20"/>
                <w:szCs w:val="20"/>
              </w:rPr>
            </w:pPr>
            <w:r>
              <w:rPr>
                <w:spacing w:val="6"/>
                <w:sz w:val="20"/>
                <w:szCs w:val="20"/>
              </w:rPr>
              <w:t>黔江区中塘镇</w:t>
            </w:r>
          </w:p>
          <w:p w14:paraId="43A025FE">
            <w:pPr>
              <w:pStyle w:val="6"/>
              <w:spacing w:before="20" w:line="232" w:lineRule="auto"/>
              <w:ind w:left="110"/>
              <w:rPr>
                <w:sz w:val="20"/>
                <w:szCs w:val="20"/>
              </w:rPr>
            </w:pPr>
            <w:r>
              <w:rPr>
                <w:spacing w:val="7"/>
                <w:sz w:val="20"/>
                <w:szCs w:val="20"/>
              </w:rPr>
              <w:t>水田坝铝土矿</w:t>
            </w:r>
          </w:p>
        </w:tc>
        <w:tc>
          <w:tcPr>
            <w:tcW w:w="964" w:type="dxa"/>
            <w:tcBorders>
              <w:bottom w:val="single" w:color="000000" w:sz="10" w:space="0"/>
            </w:tcBorders>
            <w:vAlign w:val="top"/>
          </w:tcPr>
          <w:p w14:paraId="15ABBF27">
            <w:pPr>
              <w:pStyle w:val="6"/>
              <w:spacing w:before="250" w:line="232" w:lineRule="auto"/>
              <w:ind w:left="170"/>
              <w:rPr>
                <w:sz w:val="20"/>
                <w:szCs w:val="20"/>
              </w:rPr>
            </w:pPr>
            <w:r>
              <w:rPr>
                <w:spacing w:val="4"/>
                <w:sz w:val="20"/>
                <w:szCs w:val="20"/>
              </w:rPr>
              <w:t>铝土矿</w:t>
            </w:r>
          </w:p>
        </w:tc>
        <w:tc>
          <w:tcPr>
            <w:tcW w:w="1029" w:type="dxa"/>
            <w:tcBorders>
              <w:bottom w:val="single" w:color="000000" w:sz="10" w:space="0"/>
            </w:tcBorders>
            <w:vAlign w:val="top"/>
          </w:tcPr>
          <w:p w14:paraId="2641114A">
            <w:pPr>
              <w:spacing w:before="288"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3.452</w:t>
            </w:r>
          </w:p>
        </w:tc>
        <w:tc>
          <w:tcPr>
            <w:tcW w:w="1152" w:type="dxa"/>
            <w:tcBorders>
              <w:bottom w:val="single" w:color="000000" w:sz="10" w:space="0"/>
            </w:tcBorders>
            <w:vAlign w:val="top"/>
          </w:tcPr>
          <w:p w14:paraId="3A543F24">
            <w:pPr>
              <w:pStyle w:val="6"/>
              <w:spacing w:before="126" w:line="231" w:lineRule="auto"/>
              <w:ind w:left="381"/>
              <w:rPr>
                <w:sz w:val="19"/>
                <w:szCs w:val="19"/>
              </w:rPr>
            </w:pPr>
            <w:r>
              <w:rPr>
                <w:spacing w:val="2"/>
                <w:sz w:val="19"/>
                <w:szCs w:val="19"/>
              </w:rPr>
              <w:t>新设</w:t>
            </w:r>
          </w:p>
          <w:p w14:paraId="257AC801">
            <w:pPr>
              <w:pStyle w:val="6"/>
              <w:spacing w:before="21" w:line="231" w:lineRule="auto"/>
              <w:ind w:left="183"/>
              <w:rPr>
                <w:sz w:val="19"/>
                <w:szCs w:val="19"/>
              </w:rPr>
            </w:pPr>
            <w:r>
              <w:rPr>
                <w:spacing w:val="6"/>
                <w:sz w:val="19"/>
                <w:szCs w:val="19"/>
              </w:rPr>
              <w:t>地下开采</w:t>
            </w:r>
          </w:p>
        </w:tc>
        <w:tc>
          <w:tcPr>
            <w:tcW w:w="2164" w:type="dxa"/>
            <w:tcBorders>
              <w:bottom w:val="single" w:color="000000" w:sz="10" w:space="0"/>
            </w:tcBorders>
            <w:vAlign w:val="top"/>
          </w:tcPr>
          <w:p w14:paraId="766116E6">
            <w:pPr>
              <w:pStyle w:val="6"/>
              <w:spacing w:before="255" w:line="231" w:lineRule="auto"/>
              <w:ind w:left="692"/>
              <w:rPr>
                <w:sz w:val="19"/>
                <w:szCs w:val="19"/>
              </w:rPr>
            </w:pPr>
            <w:r>
              <w:rPr>
                <w:spacing w:val="6"/>
                <w:sz w:val="19"/>
                <w:szCs w:val="19"/>
              </w:rPr>
              <w:t>本次取消</w:t>
            </w:r>
          </w:p>
        </w:tc>
        <w:tc>
          <w:tcPr>
            <w:tcW w:w="948" w:type="dxa"/>
            <w:tcBorders>
              <w:bottom w:val="single" w:color="000000" w:sz="10" w:space="0"/>
            </w:tcBorders>
            <w:vAlign w:val="top"/>
          </w:tcPr>
          <w:p w14:paraId="698AAE75">
            <w:pPr>
              <w:rPr>
                <w:rFonts w:ascii="Arial"/>
                <w:sz w:val="21"/>
              </w:rPr>
            </w:pPr>
          </w:p>
        </w:tc>
        <w:tc>
          <w:tcPr>
            <w:tcW w:w="2170" w:type="dxa"/>
            <w:tcBorders>
              <w:bottom w:val="single" w:color="000000" w:sz="10" w:space="0"/>
            </w:tcBorders>
            <w:vAlign w:val="top"/>
          </w:tcPr>
          <w:p w14:paraId="1DD05951">
            <w:pPr>
              <w:rPr>
                <w:rFonts w:ascii="Arial"/>
                <w:sz w:val="21"/>
              </w:rPr>
            </w:pPr>
          </w:p>
        </w:tc>
        <w:tc>
          <w:tcPr>
            <w:tcW w:w="1077" w:type="dxa"/>
            <w:tcBorders>
              <w:bottom w:val="single" w:color="000000" w:sz="10" w:space="0"/>
            </w:tcBorders>
            <w:vAlign w:val="top"/>
          </w:tcPr>
          <w:p w14:paraId="480F7028">
            <w:pPr>
              <w:rPr>
                <w:rFonts w:ascii="Arial"/>
                <w:sz w:val="21"/>
              </w:rPr>
            </w:pPr>
          </w:p>
        </w:tc>
        <w:tc>
          <w:tcPr>
            <w:tcW w:w="1036" w:type="dxa"/>
            <w:tcBorders>
              <w:bottom w:val="single" w:color="000000" w:sz="10" w:space="0"/>
            </w:tcBorders>
            <w:vAlign w:val="top"/>
          </w:tcPr>
          <w:p w14:paraId="5A49E739">
            <w:pPr>
              <w:rPr>
                <w:rFonts w:ascii="Arial"/>
                <w:sz w:val="21"/>
              </w:rPr>
            </w:pPr>
          </w:p>
        </w:tc>
        <w:tc>
          <w:tcPr>
            <w:tcW w:w="1260" w:type="dxa"/>
            <w:tcBorders>
              <w:bottom w:val="single" w:color="000000" w:sz="10" w:space="0"/>
              <w:right w:val="single" w:color="000000" w:sz="10" w:space="0"/>
            </w:tcBorders>
            <w:vAlign w:val="top"/>
          </w:tcPr>
          <w:p w14:paraId="6A012432">
            <w:pPr>
              <w:rPr>
                <w:rFonts w:ascii="Arial"/>
                <w:sz w:val="21"/>
              </w:rPr>
            </w:pPr>
          </w:p>
        </w:tc>
      </w:tr>
    </w:tbl>
    <w:p w14:paraId="200978A4">
      <w:pPr>
        <w:pStyle w:val="2"/>
      </w:pPr>
    </w:p>
    <w:p w14:paraId="7728CF6F">
      <w:pPr>
        <w:sectPr>
          <w:footerReference r:id="rId67" w:type="default"/>
          <w:pgSz w:w="16839" w:h="11906"/>
          <w:pgMar w:top="1116" w:right="829" w:bottom="1480" w:left="1317" w:header="683" w:footer="1318" w:gutter="0"/>
          <w:cols w:space="720" w:num="1"/>
        </w:sectPr>
      </w:pPr>
    </w:p>
    <w:p w14:paraId="38133BDE">
      <w:pPr>
        <w:pStyle w:val="2"/>
        <w:spacing w:line="280" w:lineRule="auto"/>
      </w:pPr>
    </w:p>
    <w:p w14:paraId="47B0D6B9">
      <w:pPr>
        <w:spacing w:before="82" w:line="227" w:lineRule="auto"/>
        <w:ind w:left="128"/>
        <w:outlineLvl w:val="1"/>
        <w:rPr>
          <w:rFonts w:ascii="仿宋" w:hAnsi="仿宋" w:eastAsia="仿宋" w:cs="仿宋"/>
          <w:sz w:val="25"/>
          <w:szCs w:val="25"/>
        </w:rPr>
      </w:pPr>
      <w:bookmarkStart w:id="14" w:name="bookmark13"/>
      <w:bookmarkEnd w:id="14"/>
      <w:r>
        <w:rPr>
          <w:rFonts w:ascii="Times New Roman" w:hAnsi="Times New Roman" w:eastAsia="Times New Roman" w:cs="Times New Roman"/>
          <w:b/>
          <w:bCs/>
          <w:spacing w:val="6"/>
          <w:sz w:val="25"/>
          <w:szCs w:val="25"/>
        </w:rPr>
        <w:t xml:space="preserve">2.3  </w:t>
      </w:r>
      <w:r>
        <w:rPr>
          <w:rFonts w:ascii="仿宋" w:hAnsi="仿宋" w:eastAsia="仿宋" w:cs="仿宋"/>
          <w:b/>
          <w:bCs/>
          <w:spacing w:val="6"/>
          <w:sz w:val="25"/>
          <w:szCs w:val="25"/>
        </w:rPr>
        <w:t>规划调整内容协调性分析</w:t>
      </w:r>
    </w:p>
    <w:p w14:paraId="43248030">
      <w:pPr>
        <w:spacing w:before="254" w:line="227" w:lineRule="auto"/>
        <w:ind w:left="128"/>
        <w:outlineLvl w:val="2"/>
        <w:rPr>
          <w:rFonts w:ascii="仿宋" w:hAnsi="仿宋" w:eastAsia="仿宋" w:cs="仿宋"/>
          <w:sz w:val="25"/>
          <w:szCs w:val="25"/>
        </w:rPr>
      </w:pPr>
      <w:r>
        <w:rPr>
          <w:rFonts w:ascii="Times New Roman" w:hAnsi="Times New Roman" w:eastAsia="Times New Roman" w:cs="Times New Roman"/>
          <w:b/>
          <w:bCs/>
          <w:spacing w:val="5"/>
          <w:sz w:val="25"/>
          <w:szCs w:val="25"/>
        </w:rPr>
        <w:t>2.3.1</w:t>
      </w:r>
      <w:r>
        <w:rPr>
          <w:rFonts w:ascii="Times New Roman" w:hAnsi="Times New Roman" w:eastAsia="Times New Roman" w:cs="Times New Roman"/>
          <w:b/>
          <w:bCs/>
          <w:spacing w:val="50"/>
          <w:sz w:val="25"/>
          <w:szCs w:val="25"/>
        </w:rPr>
        <w:t xml:space="preserve"> </w:t>
      </w:r>
      <w:r>
        <w:rPr>
          <w:rFonts w:ascii="仿宋" w:hAnsi="仿宋" w:eastAsia="仿宋" w:cs="仿宋"/>
          <w:b/>
          <w:bCs/>
          <w:spacing w:val="5"/>
          <w:sz w:val="25"/>
          <w:szCs w:val="25"/>
        </w:rPr>
        <w:t>与相关的国家法律法规、政策符合性分析</w:t>
      </w:r>
    </w:p>
    <w:p w14:paraId="139FECD6">
      <w:pPr>
        <w:spacing w:before="272" w:line="340" w:lineRule="auto"/>
        <w:ind w:left="140" w:right="57" w:firstLine="477"/>
        <w:rPr>
          <w:rFonts w:ascii="仿宋" w:hAnsi="仿宋" w:eastAsia="仿宋" w:cs="仿宋"/>
          <w:sz w:val="25"/>
          <w:szCs w:val="25"/>
        </w:rPr>
      </w:pPr>
      <w:r>
        <w:rPr>
          <w:rFonts w:ascii="仿宋" w:hAnsi="仿宋" w:eastAsia="仿宋" w:cs="仿宋"/>
          <w:spacing w:val="11"/>
          <w:sz w:val="25"/>
          <w:szCs w:val="25"/>
        </w:rPr>
        <w:t>规划调整内容与相关的国家法律法规、部门规章、环保政策</w:t>
      </w:r>
      <w:r>
        <w:rPr>
          <w:rFonts w:ascii="仿宋" w:hAnsi="仿宋" w:eastAsia="仿宋" w:cs="仿宋"/>
          <w:spacing w:val="10"/>
          <w:sz w:val="25"/>
          <w:szCs w:val="25"/>
        </w:rPr>
        <w:t>及产业政策详</w:t>
      </w:r>
      <w:r>
        <w:rPr>
          <w:rFonts w:ascii="仿宋" w:hAnsi="仿宋" w:eastAsia="仿宋" w:cs="仿宋"/>
          <w:sz w:val="25"/>
          <w:szCs w:val="25"/>
        </w:rPr>
        <w:t xml:space="preserve"> </w:t>
      </w:r>
      <w:r>
        <w:rPr>
          <w:rFonts w:ascii="仿宋" w:hAnsi="仿宋" w:eastAsia="仿宋" w:cs="仿宋"/>
          <w:spacing w:val="3"/>
          <w:sz w:val="25"/>
          <w:szCs w:val="25"/>
        </w:rPr>
        <w:t>见表</w:t>
      </w:r>
      <w:r>
        <w:rPr>
          <w:rFonts w:ascii="仿宋" w:hAnsi="仿宋" w:eastAsia="仿宋" w:cs="仿宋"/>
          <w:spacing w:val="-48"/>
          <w:sz w:val="25"/>
          <w:szCs w:val="25"/>
        </w:rPr>
        <w:t xml:space="preserve"> </w:t>
      </w:r>
      <w:r>
        <w:rPr>
          <w:rFonts w:ascii="Times New Roman" w:hAnsi="Times New Roman" w:eastAsia="Times New Roman" w:cs="Times New Roman"/>
          <w:spacing w:val="3"/>
          <w:sz w:val="25"/>
          <w:szCs w:val="25"/>
        </w:rPr>
        <w:t>2.3-1</w:t>
      </w:r>
      <w:r>
        <w:rPr>
          <w:rFonts w:ascii="Times New Roman" w:hAnsi="Times New Roman" w:eastAsia="Times New Roman" w:cs="Times New Roman"/>
          <w:spacing w:val="-27"/>
          <w:sz w:val="25"/>
          <w:szCs w:val="25"/>
        </w:rPr>
        <w:t xml:space="preserve"> </w:t>
      </w:r>
      <w:r>
        <w:rPr>
          <w:rFonts w:ascii="仿宋" w:hAnsi="仿宋" w:eastAsia="仿宋" w:cs="仿宋"/>
          <w:spacing w:val="3"/>
          <w:sz w:val="25"/>
          <w:szCs w:val="25"/>
        </w:rPr>
        <w:t>，符合性分析见表</w:t>
      </w:r>
      <w:r>
        <w:rPr>
          <w:rFonts w:ascii="仿宋" w:hAnsi="仿宋" w:eastAsia="仿宋" w:cs="仿宋"/>
          <w:spacing w:val="-52"/>
          <w:sz w:val="25"/>
          <w:szCs w:val="25"/>
        </w:rPr>
        <w:t xml:space="preserve"> </w:t>
      </w:r>
      <w:r>
        <w:rPr>
          <w:rFonts w:ascii="Times New Roman" w:hAnsi="Times New Roman" w:eastAsia="Times New Roman" w:cs="Times New Roman"/>
          <w:spacing w:val="3"/>
          <w:sz w:val="25"/>
          <w:szCs w:val="25"/>
        </w:rPr>
        <w:t>2.3-2</w:t>
      </w:r>
      <w:r>
        <w:rPr>
          <w:rFonts w:ascii="仿宋" w:hAnsi="仿宋" w:eastAsia="仿宋" w:cs="仿宋"/>
          <w:spacing w:val="3"/>
          <w:sz w:val="25"/>
          <w:szCs w:val="25"/>
        </w:rPr>
        <w:t>。</w:t>
      </w:r>
    </w:p>
    <w:p w14:paraId="676A3554">
      <w:pPr>
        <w:spacing w:before="42" w:line="231" w:lineRule="auto"/>
        <w:ind w:left="2945"/>
        <w:rPr>
          <w:rFonts w:ascii="仿宋" w:hAnsi="仿宋" w:eastAsia="仿宋" w:cs="仿宋"/>
          <w:sz w:val="20"/>
          <w:szCs w:val="20"/>
        </w:rPr>
      </w:pPr>
      <w:r>
        <w:rPr>
          <w:rFonts w:ascii="仿宋" w:hAnsi="仿宋" w:eastAsia="仿宋" w:cs="仿宋"/>
          <w:b/>
          <w:bCs/>
          <w:spacing w:val="3"/>
          <w:sz w:val="20"/>
          <w:szCs w:val="20"/>
        </w:rPr>
        <w:t>表</w:t>
      </w:r>
      <w:r>
        <w:rPr>
          <w:rFonts w:ascii="仿宋" w:hAnsi="仿宋" w:eastAsia="仿宋" w:cs="仿宋"/>
          <w:spacing w:val="-32"/>
          <w:sz w:val="20"/>
          <w:szCs w:val="20"/>
        </w:rPr>
        <w:t xml:space="preserve"> </w:t>
      </w:r>
      <w:r>
        <w:rPr>
          <w:rFonts w:ascii="Times New Roman" w:hAnsi="Times New Roman" w:eastAsia="Times New Roman" w:cs="Times New Roman"/>
          <w:b/>
          <w:bCs/>
          <w:spacing w:val="3"/>
          <w:sz w:val="20"/>
          <w:szCs w:val="20"/>
        </w:rPr>
        <w:t>2.3-1</w:t>
      </w:r>
      <w:r>
        <w:rPr>
          <w:rFonts w:ascii="Times New Roman" w:hAnsi="Times New Roman" w:eastAsia="Times New Roman" w:cs="Times New Roman"/>
          <w:b/>
          <w:bCs/>
          <w:spacing w:val="12"/>
          <w:sz w:val="20"/>
          <w:szCs w:val="20"/>
        </w:rPr>
        <w:t xml:space="preserve">    </w:t>
      </w:r>
      <w:r>
        <w:rPr>
          <w:rFonts w:ascii="仿宋" w:hAnsi="仿宋" w:eastAsia="仿宋" w:cs="仿宋"/>
          <w:b/>
          <w:bCs/>
          <w:spacing w:val="3"/>
          <w:sz w:val="20"/>
          <w:szCs w:val="20"/>
        </w:rPr>
        <w:t>国家法律法规、政策汇总</w:t>
      </w:r>
    </w:p>
    <w:p w14:paraId="74F073FF">
      <w:pPr>
        <w:spacing w:line="22" w:lineRule="exact"/>
      </w:pPr>
    </w:p>
    <w:tbl>
      <w:tblPr>
        <w:tblStyle w:val="5"/>
        <w:tblW w:w="8997"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7"/>
        <w:gridCol w:w="8290"/>
      </w:tblGrid>
      <w:tr w14:paraId="297AE1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707" w:type="dxa"/>
            <w:tcBorders>
              <w:top w:val="single" w:color="000000" w:sz="10" w:space="0"/>
              <w:left w:val="single" w:color="000000" w:sz="10" w:space="0"/>
            </w:tcBorders>
            <w:vAlign w:val="top"/>
          </w:tcPr>
          <w:p w14:paraId="13CA6EE9">
            <w:pPr>
              <w:pStyle w:val="6"/>
              <w:spacing w:before="35" w:line="218" w:lineRule="auto"/>
              <w:ind w:left="139"/>
              <w:rPr>
                <w:sz w:val="20"/>
                <w:szCs w:val="20"/>
              </w:rPr>
            </w:pPr>
            <w:r>
              <w:rPr>
                <w:spacing w:val="2"/>
                <w:sz w:val="20"/>
                <w:szCs w:val="20"/>
              </w:rPr>
              <w:t>序号</w:t>
            </w:r>
          </w:p>
        </w:tc>
        <w:tc>
          <w:tcPr>
            <w:tcW w:w="8290" w:type="dxa"/>
            <w:tcBorders>
              <w:top w:val="single" w:color="000000" w:sz="10" w:space="0"/>
              <w:right w:val="single" w:color="000000" w:sz="10" w:space="0"/>
            </w:tcBorders>
            <w:vAlign w:val="top"/>
          </w:tcPr>
          <w:p w14:paraId="29E2BE9C">
            <w:pPr>
              <w:pStyle w:val="6"/>
              <w:spacing w:before="35" w:line="218" w:lineRule="auto"/>
              <w:ind w:left="3100"/>
              <w:rPr>
                <w:sz w:val="20"/>
                <w:szCs w:val="20"/>
              </w:rPr>
            </w:pPr>
            <w:r>
              <w:rPr>
                <w:spacing w:val="8"/>
                <w:sz w:val="20"/>
                <w:szCs w:val="20"/>
              </w:rPr>
              <w:t>名称及编号或颁布时间</w:t>
            </w:r>
          </w:p>
        </w:tc>
      </w:tr>
      <w:tr w14:paraId="0B5815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707" w:type="dxa"/>
            <w:tcBorders>
              <w:left w:val="single" w:color="000000" w:sz="10" w:space="0"/>
            </w:tcBorders>
            <w:vAlign w:val="top"/>
          </w:tcPr>
          <w:p w14:paraId="2CDFB657">
            <w:pPr>
              <w:spacing w:before="202" w:line="195" w:lineRule="auto"/>
              <w:ind w:left="30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8290" w:type="dxa"/>
            <w:tcBorders>
              <w:right w:val="single" w:color="000000" w:sz="10" w:space="0"/>
            </w:tcBorders>
            <w:vAlign w:val="top"/>
          </w:tcPr>
          <w:p w14:paraId="0DB19EE2">
            <w:pPr>
              <w:pStyle w:val="6"/>
              <w:spacing w:before="32" w:line="233" w:lineRule="auto"/>
              <w:ind w:left="114" w:right="200" w:hanging="5"/>
              <w:rPr>
                <w:sz w:val="20"/>
                <w:szCs w:val="20"/>
              </w:rPr>
            </w:pPr>
            <w:r>
              <w:rPr>
                <w:spacing w:val="7"/>
                <w:sz w:val="20"/>
                <w:szCs w:val="20"/>
              </w:rPr>
              <w:t>《自然资源部关于完善矿产资源规划实施管理有关事项的通知》（</w:t>
            </w:r>
            <w:r>
              <w:rPr>
                <w:spacing w:val="-17"/>
                <w:sz w:val="20"/>
                <w:szCs w:val="20"/>
              </w:rPr>
              <w:t xml:space="preserve"> </w:t>
            </w:r>
            <w:r>
              <w:rPr>
                <w:spacing w:val="7"/>
                <w:sz w:val="20"/>
                <w:szCs w:val="20"/>
              </w:rPr>
              <w:t>自然资发〔</w:t>
            </w:r>
            <w:r>
              <w:rPr>
                <w:rFonts w:ascii="Times New Roman" w:hAnsi="Times New Roman" w:eastAsia="Times New Roman" w:cs="Times New Roman"/>
                <w:spacing w:val="7"/>
                <w:sz w:val="20"/>
                <w:szCs w:val="20"/>
              </w:rPr>
              <w:t>2</w:t>
            </w:r>
            <w:r>
              <w:rPr>
                <w:rFonts w:ascii="Times New Roman" w:hAnsi="Times New Roman" w:eastAsia="Times New Roman" w:cs="Times New Roman"/>
                <w:spacing w:val="6"/>
                <w:sz w:val="20"/>
                <w:szCs w:val="20"/>
              </w:rPr>
              <w:t>024</w:t>
            </w:r>
            <w:r>
              <w:rPr>
                <w:spacing w:val="6"/>
                <w:sz w:val="20"/>
                <w:szCs w:val="20"/>
              </w:rPr>
              <w:t>〕</w:t>
            </w:r>
            <w:r>
              <w:rPr>
                <w:rFonts w:ascii="Times New Roman" w:hAnsi="Times New Roman" w:eastAsia="Times New Roman" w:cs="Times New Roman"/>
                <w:spacing w:val="6"/>
                <w:sz w:val="20"/>
                <w:szCs w:val="20"/>
              </w:rPr>
              <w:t>53</w:t>
            </w:r>
            <w:r>
              <w:rPr>
                <w:rFonts w:ascii="Times New Roman" w:hAnsi="Times New Roman" w:eastAsia="Times New Roman" w:cs="Times New Roman"/>
                <w:sz w:val="20"/>
                <w:szCs w:val="20"/>
              </w:rPr>
              <w:t xml:space="preserve"> </w:t>
            </w:r>
            <w:r>
              <w:rPr>
                <w:spacing w:val="-5"/>
                <w:sz w:val="20"/>
                <w:szCs w:val="20"/>
              </w:rPr>
              <w:t>号）</w:t>
            </w:r>
          </w:p>
        </w:tc>
      </w:tr>
      <w:tr w14:paraId="30B00A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07" w:type="dxa"/>
            <w:tcBorders>
              <w:left w:val="single" w:color="000000" w:sz="10" w:space="0"/>
            </w:tcBorders>
            <w:vAlign w:val="top"/>
          </w:tcPr>
          <w:p w14:paraId="3F789E8C">
            <w:pPr>
              <w:spacing w:before="70" w:line="195" w:lineRule="auto"/>
              <w:ind w:left="28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8290" w:type="dxa"/>
            <w:tcBorders>
              <w:right w:val="single" w:color="000000" w:sz="10" w:space="0"/>
            </w:tcBorders>
            <w:vAlign w:val="top"/>
          </w:tcPr>
          <w:p w14:paraId="3331AC74">
            <w:pPr>
              <w:pStyle w:val="6"/>
              <w:spacing w:before="35" w:line="214" w:lineRule="auto"/>
              <w:ind w:left="109"/>
              <w:rPr>
                <w:sz w:val="20"/>
                <w:szCs w:val="20"/>
              </w:rPr>
            </w:pPr>
            <w:r>
              <w:rPr>
                <w:spacing w:val="6"/>
                <w:sz w:val="20"/>
                <w:szCs w:val="20"/>
              </w:rPr>
              <w:t>《自然保护区条例》（国务院令第</w:t>
            </w:r>
            <w:r>
              <w:rPr>
                <w:spacing w:val="-28"/>
                <w:sz w:val="20"/>
                <w:szCs w:val="20"/>
              </w:rPr>
              <w:t xml:space="preserve"> </w:t>
            </w:r>
            <w:r>
              <w:rPr>
                <w:rFonts w:ascii="Times New Roman" w:hAnsi="Times New Roman" w:eastAsia="Times New Roman" w:cs="Times New Roman"/>
                <w:spacing w:val="6"/>
                <w:sz w:val="20"/>
                <w:szCs w:val="20"/>
              </w:rPr>
              <w:t>687</w:t>
            </w:r>
            <w:r>
              <w:rPr>
                <w:rFonts w:ascii="Times New Roman" w:hAnsi="Times New Roman" w:eastAsia="Times New Roman" w:cs="Times New Roman"/>
                <w:spacing w:val="21"/>
                <w:sz w:val="20"/>
                <w:szCs w:val="20"/>
              </w:rPr>
              <w:t xml:space="preserve"> </w:t>
            </w:r>
            <w:r>
              <w:rPr>
                <w:spacing w:val="6"/>
                <w:sz w:val="20"/>
                <w:szCs w:val="20"/>
              </w:rPr>
              <w:t>号）</w:t>
            </w:r>
          </w:p>
        </w:tc>
      </w:tr>
      <w:tr w14:paraId="5F5F4C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707" w:type="dxa"/>
            <w:tcBorders>
              <w:left w:val="single" w:color="000000" w:sz="10" w:space="0"/>
            </w:tcBorders>
            <w:vAlign w:val="top"/>
          </w:tcPr>
          <w:p w14:paraId="1AD0074E">
            <w:pPr>
              <w:spacing w:before="69" w:line="195" w:lineRule="auto"/>
              <w:ind w:left="29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8290" w:type="dxa"/>
            <w:tcBorders>
              <w:right w:val="single" w:color="000000" w:sz="10" w:space="0"/>
            </w:tcBorders>
            <w:vAlign w:val="top"/>
          </w:tcPr>
          <w:p w14:paraId="230DF014">
            <w:pPr>
              <w:pStyle w:val="6"/>
              <w:spacing w:before="34" w:line="214" w:lineRule="auto"/>
              <w:ind w:left="109"/>
              <w:rPr>
                <w:sz w:val="20"/>
                <w:szCs w:val="20"/>
              </w:rPr>
            </w:pPr>
            <w:r>
              <w:rPr>
                <w:spacing w:val="8"/>
                <w:sz w:val="20"/>
                <w:szCs w:val="20"/>
              </w:rPr>
              <w:t>《关于进一步加强涉及自然保护区开发建设活动监督管理的通知》（环发</w:t>
            </w:r>
            <w:r>
              <w:rPr>
                <w:rFonts w:ascii="Times New Roman" w:hAnsi="Times New Roman" w:eastAsia="Times New Roman" w:cs="Times New Roman"/>
                <w:spacing w:val="8"/>
                <w:sz w:val="20"/>
                <w:szCs w:val="20"/>
              </w:rPr>
              <w:t>[2015</w:t>
            </w:r>
            <w:r>
              <w:rPr>
                <w:rFonts w:ascii="Times New Roman" w:hAnsi="Times New Roman" w:eastAsia="Times New Roman" w:cs="Times New Roman"/>
                <w:spacing w:val="7"/>
                <w:sz w:val="20"/>
                <w:szCs w:val="20"/>
              </w:rPr>
              <w:t>]57</w:t>
            </w:r>
            <w:r>
              <w:rPr>
                <w:rFonts w:ascii="Times New Roman" w:hAnsi="Times New Roman" w:eastAsia="Times New Roman" w:cs="Times New Roman"/>
                <w:spacing w:val="21"/>
                <w:sz w:val="20"/>
                <w:szCs w:val="20"/>
              </w:rPr>
              <w:t xml:space="preserve"> </w:t>
            </w:r>
            <w:r>
              <w:rPr>
                <w:spacing w:val="7"/>
                <w:sz w:val="20"/>
                <w:szCs w:val="20"/>
              </w:rPr>
              <w:t>号）</w:t>
            </w:r>
          </w:p>
        </w:tc>
      </w:tr>
      <w:tr w14:paraId="3F8DD3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707" w:type="dxa"/>
            <w:tcBorders>
              <w:left w:val="single" w:color="000000" w:sz="10" w:space="0"/>
            </w:tcBorders>
            <w:vAlign w:val="top"/>
          </w:tcPr>
          <w:p w14:paraId="4FFFCA39">
            <w:pPr>
              <w:spacing w:before="71"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8290" w:type="dxa"/>
            <w:tcBorders>
              <w:right w:val="single" w:color="000000" w:sz="10" w:space="0"/>
            </w:tcBorders>
            <w:vAlign w:val="top"/>
          </w:tcPr>
          <w:p w14:paraId="0048E751">
            <w:pPr>
              <w:pStyle w:val="6"/>
              <w:spacing w:before="36" w:line="212" w:lineRule="auto"/>
              <w:ind w:left="109"/>
              <w:rPr>
                <w:sz w:val="20"/>
                <w:szCs w:val="20"/>
              </w:rPr>
            </w:pPr>
            <w:r>
              <w:rPr>
                <w:spacing w:val="7"/>
                <w:sz w:val="20"/>
                <w:szCs w:val="20"/>
              </w:rPr>
              <w:t>《国家级自然公园管理办法（试行）》（林保规〔</w:t>
            </w:r>
            <w:r>
              <w:rPr>
                <w:rFonts w:ascii="Times New Roman" w:hAnsi="Times New Roman" w:eastAsia="Times New Roman" w:cs="Times New Roman"/>
                <w:spacing w:val="7"/>
                <w:sz w:val="20"/>
                <w:szCs w:val="20"/>
              </w:rPr>
              <w:t>2023</w:t>
            </w:r>
            <w:r>
              <w:rPr>
                <w:spacing w:val="7"/>
                <w:sz w:val="20"/>
                <w:szCs w:val="20"/>
              </w:rPr>
              <w:t>〕</w:t>
            </w:r>
            <w:r>
              <w:rPr>
                <w:rFonts w:ascii="Times New Roman" w:hAnsi="Times New Roman" w:eastAsia="Times New Roman" w:cs="Times New Roman"/>
                <w:spacing w:val="7"/>
                <w:sz w:val="20"/>
                <w:szCs w:val="20"/>
              </w:rPr>
              <w:t>4</w:t>
            </w:r>
            <w:r>
              <w:rPr>
                <w:rFonts w:ascii="Times New Roman" w:hAnsi="Times New Roman" w:eastAsia="Times New Roman" w:cs="Times New Roman"/>
                <w:spacing w:val="41"/>
                <w:w w:val="101"/>
                <w:sz w:val="20"/>
                <w:szCs w:val="20"/>
              </w:rPr>
              <w:t xml:space="preserve"> </w:t>
            </w:r>
            <w:r>
              <w:rPr>
                <w:spacing w:val="7"/>
                <w:sz w:val="20"/>
                <w:szCs w:val="20"/>
              </w:rPr>
              <w:t>号）</w:t>
            </w:r>
          </w:p>
        </w:tc>
      </w:tr>
      <w:tr w14:paraId="1C325F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07" w:type="dxa"/>
            <w:tcBorders>
              <w:left w:val="single" w:color="000000" w:sz="10" w:space="0"/>
            </w:tcBorders>
            <w:vAlign w:val="top"/>
          </w:tcPr>
          <w:p w14:paraId="7DC6966B">
            <w:pPr>
              <w:spacing w:before="76" w:line="192"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8290" w:type="dxa"/>
            <w:tcBorders>
              <w:right w:val="single" w:color="000000" w:sz="10" w:space="0"/>
            </w:tcBorders>
            <w:vAlign w:val="top"/>
          </w:tcPr>
          <w:p w14:paraId="7C2E14B5">
            <w:pPr>
              <w:pStyle w:val="6"/>
              <w:spacing w:before="38" w:line="211" w:lineRule="auto"/>
              <w:ind w:left="109"/>
              <w:rPr>
                <w:sz w:val="20"/>
                <w:szCs w:val="20"/>
              </w:rPr>
            </w:pPr>
            <w:r>
              <w:rPr>
                <w:spacing w:val="5"/>
                <w:sz w:val="20"/>
                <w:szCs w:val="20"/>
              </w:rPr>
              <w:t>《中华人民共和国水污染防治法》（</w:t>
            </w:r>
            <w:r>
              <w:rPr>
                <w:rFonts w:ascii="Times New Roman" w:hAnsi="Times New Roman" w:eastAsia="Times New Roman" w:cs="Times New Roman"/>
                <w:spacing w:val="5"/>
                <w:sz w:val="20"/>
                <w:szCs w:val="20"/>
              </w:rPr>
              <w:t>2017</w:t>
            </w:r>
            <w:r>
              <w:rPr>
                <w:rFonts w:ascii="Times New Roman" w:hAnsi="Times New Roman" w:eastAsia="Times New Roman" w:cs="Times New Roman"/>
                <w:spacing w:val="17"/>
                <w:w w:val="101"/>
                <w:sz w:val="20"/>
                <w:szCs w:val="20"/>
              </w:rPr>
              <w:t xml:space="preserve"> </w:t>
            </w:r>
            <w:r>
              <w:rPr>
                <w:spacing w:val="5"/>
                <w:sz w:val="20"/>
                <w:szCs w:val="20"/>
              </w:rPr>
              <w:t>年</w:t>
            </w:r>
            <w:r>
              <w:rPr>
                <w:spacing w:val="-36"/>
                <w:sz w:val="20"/>
                <w:szCs w:val="20"/>
              </w:rPr>
              <w:t xml:space="preserve"> </w:t>
            </w:r>
            <w:r>
              <w:rPr>
                <w:rFonts w:ascii="Times New Roman" w:hAnsi="Times New Roman" w:eastAsia="Times New Roman" w:cs="Times New Roman"/>
                <w:spacing w:val="5"/>
                <w:sz w:val="20"/>
                <w:szCs w:val="20"/>
              </w:rPr>
              <w:t>6</w:t>
            </w:r>
            <w:r>
              <w:rPr>
                <w:rFonts w:ascii="Times New Roman" w:hAnsi="Times New Roman" w:eastAsia="Times New Roman" w:cs="Times New Roman"/>
                <w:spacing w:val="25"/>
                <w:w w:val="101"/>
                <w:sz w:val="20"/>
                <w:szCs w:val="20"/>
              </w:rPr>
              <w:t xml:space="preserve"> </w:t>
            </w:r>
            <w:r>
              <w:rPr>
                <w:spacing w:val="5"/>
                <w:sz w:val="20"/>
                <w:szCs w:val="20"/>
              </w:rPr>
              <w:t>月</w:t>
            </w:r>
            <w:r>
              <w:rPr>
                <w:spacing w:val="-41"/>
                <w:sz w:val="20"/>
                <w:szCs w:val="20"/>
              </w:rPr>
              <w:t xml:space="preserve"> </w:t>
            </w:r>
            <w:r>
              <w:rPr>
                <w:rFonts w:ascii="Times New Roman" w:hAnsi="Times New Roman" w:eastAsia="Times New Roman" w:cs="Times New Roman"/>
                <w:spacing w:val="5"/>
                <w:sz w:val="20"/>
                <w:szCs w:val="20"/>
              </w:rPr>
              <w:t>2</w:t>
            </w:r>
            <w:r>
              <w:rPr>
                <w:rFonts w:ascii="Times New Roman" w:hAnsi="Times New Roman" w:eastAsia="Times New Roman" w:cs="Times New Roman"/>
                <w:spacing w:val="4"/>
                <w:sz w:val="20"/>
                <w:szCs w:val="20"/>
              </w:rPr>
              <w:t xml:space="preserve">7  </w:t>
            </w:r>
            <w:r>
              <w:rPr>
                <w:spacing w:val="4"/>
                <w:sz w:val="20"/>
                <w:szCs w:val="20"/>
              </w:rPr>
              <w:t>日第二次修正版）</w:t>
            </w:r>
          </w:p>
        </w:tc>
      </w:tr>
      <w:tr w14:paraId="5FE5A9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707" w:type="dxa"/>
            <w:tcBorders>
              <w:left w:val="single" w:color="000000" w:sz="10" w:space="0"/>
            </w:tcBorders>
            <w:vAlign w:val="top"/>
          </w:tcPr>
          <w:p w14:paraId="45212A44">
            <w:pPr>
              <w:spacing w:before="72" w:line="195" w:lineRule="auto"/>
              <w:ind w:left="292"/>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8290" w:type="dxa"/>
            <w:tcBorders>
              <w:right w:val="single" w:color="000000" w:sz="10" w:space="0"/>
            </w:tcBorders>
            <w:vAlign w:val="top"/>
          </w:tcPr>
          <w:p w14:paraId="35F36238">
            <w:pPr>
              <w:pStyle w:val="6"/>
              <w:spacing w:before="36" w:line="212" w:lineRule="auto"/>
              <w:ind w:left="109"/>
              <w:rPr>
                <w:sz w:val="20"/>
                <w:szCs w:val="20"/>
              </w:rPr>
            </w:pPr>
            <w:r>
              <w:rPr>
                <w:spacing w:val="8"/>
                <w:sz w:val="20"/>
                <w:szCs w:val="20"/>
              </w:rPr>
              <w:t>《关于划定并严守生态保护红线的若干意见》（厅字〔</w:t>
            </w:r>
            <w:r>
              <w:rPr>
                <w:rFonts w:ascii="Times New Roman" w:hAnsi="Times New Roman" w:eastAsia="Times New Roman" w:cs="Times New Roman"/>
                <w:spacing w:val="7"/>
                <w:sz w:val="20"/>
                <w:szCs w:val="20"/>
              </w:rPr>
              <w:t>2017</w:t>
            </w:r>
            <w:r>
              <w:rPr>
                <w:spacing w:val="7"/>
                <w:sz w:val="20"/>
                <w:szCs w:val="20"/>
              </w:rPr>
              <w:t>〕</w:t>
            </w:r>
            <w:r>
              <w:rPr>
                <w:rFonts w:ascii="Times New Roman" w:hAnsi="Times New Roman" w:eastAsia="Times New Roman" w:cs="Times New Roman"/>
                <w:spacing w:val="7"/>
                <w:sz w:val="20"/>
                <w:szCs w:val="20"/>
              </w:rPr>
              <w:t>2</w:t>
            </w:r>
            <w:r>
              <w:rPr>
                <w:rFonts w:ascii="Times New Roman" w:hAnsi="Times New Roman" w:eastAsia="Times New Roman" w:cs="Times New Roman"/>
                <w:spacing w:val="23"/>
                <w:w w:val="101"/>
                <w:sz w:val="20"/>
                <w:szCs w:val="20"/>
              </w:rPr>
              <w:t xml:space="preserve"> </w:t>
            </w:r>
            <w:r>
              <w:rPr>
                <w:spacing w:val="7"/>
                <w:sz w:val="20"/>
                <w:szCs w:val="20"/>
              </w:rPr>
              <w:t>号）</w:t>
            </w:r>
          </w:p>
        </w:tc>
      </w:tr>
      <w:tr w14:paraId="031468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707" w:type="dxa"/>
            <w:tcBorders>
              <w:left w:val="single" w:color="000000" w:sz="10" w:space="0"/>
            </w:tcBorders>
            <w:vAlign w:val="top"/>
          </w:tcPr>
          <w:p w14:paraId="219410D3">
            <w:pPr>
              <w:spacing w:before="212" w:line="192" w:lineRule="auto"/>
              <w:ind w:left="291"/>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8290" w:type="dxa"/>
            <w:tcBorders>
              <w:right w:val="single" w:color="000000" w:sz="10" w:space="0"/>
            </w:tcBorders>
            <w:vAlign w:val="top"/>
          </w:tcPr>
          <w:p w14:paraId="0BC91EC2">
            <w:pPr>
              <w:pStyle w:val="6"/>
              <w:spacing w:before="39" w:line="230" w:lineRule="auto"/>
              <w:ind w:left="104" w:right="31" w:firstLine="4"/>
              <w:rPr>
                <w:sz w:val="20"/>
                <w:szCs w:val="20"/>
              </w:rPr>
            </w:pPr>
            <w:r>
              <w:rPr>
                <w:spacing w:val="-1"/>
                <w:sz w:val="20"/>
                <w:szCs w:val="20"/>
              </w:rPr>
              <w:t>《国土资源部关于印发《自然生态空间用途</w:t>
            </w:r>
            <w:r>
              <w:rPr>
                <w:spacing w:val="-2"/>
                <w:sz w:val="20"/>
                <w:szCs w:val="20"/>
              </w:rPr>
              <w:t>管制办法（试行）》的通知》（国土资发〔</w:t>
            </w:r>
            <w:r>
              <w:rPr>
                <w:rFonts w:ascii="Times New Roman" w:hAnsi="Times New Roman" w:eastAsia="Times New Roman" w:cs="Times New Roman"/>
                <w:spacing w:val="-2"/>
                <w:sz w:val="20"/>
                <w:szCs w:val="20"/>
              </w:rPr>
              <w:t>2017</w:t>
            </w:r>
            <w:r>
              <w:rPr>
                <w:spacing w:val="-2"/>
                <w:sz w:val="20"/>
                <w:szCs w:val="20"/>
              </w:rPr>
              <w:t>〕</w:t>
            </w:r>
            <w:r>
              <w:rPr>
                <w:sz w:val="20"/>
                <w:szCs w:val="20"/>
              </w:rPr>
              <w:t xml:space="preserve"> </w:t>
            </w:r>
            <w:r>
              <w:rPr>
                <w:rFonts w:ascii="Times New Roman" w:hAnsi="Times New Roman" w:eastAsia="Times New Roman" w:cs="Times New Roman"/>
                <w:spacing w:val="-3"/>
                <w:sz w:val="20"/>
                <w:szCs w:val="20"/>
              </w:rPr>
              <w:t>33</w:t>
            </w:r>
            <w:r>
              <w:rPr>
                <w:rFonts w:ascii="Times New Roman" w:hAnsi="Times New Roman" w:eastAsia="Times New Roman" w:cs="Times New Roman"/>
                <w:spacing w:val="23"/>
                <w:sz w:val="20"/>
                <w:szCs w:val="20"/>
              </w:rPr>
              <w:t xml:space="preserve"> </w:t>
            </w:r>
            <w:r>
              <w:rPr>
                <w:spacing w:val="-3"/>
                <w:sz w:val="20"/>
                <w:szCs w:val="20"/>
              </w:rPr>
              <w:t>号）</w:t>
            </w:r>
          </w:p>
        </w:tc>
      </w:tr>
      <w:tr w14:paraId="6159EE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07" w:type="dxa"/>
            <w:tcBorders>
              <w:left w:val="single" w:color="000000" w:sz="10" w:space="0"/>
            </w:tcBorders>
            <w:vAlign w:val="top"/>
          </w:tcPr>
          <w:p w14:paraId="018F51AE">
            <w:pPr>
              <w:spacing w:before="121" w:line="195" w:lineRule="auto"/>
              <w:ind w:left="296"/>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8290" w:type="dxa"/>
            <w:tcBorders>
              <w:right w:val="single" w:color="000000" w:sz="10" w:space="0"/>
            </w:tcBorders>
            <w:vAlign w:val="top"/>
          </w:tcPr>
          <w:p w14:paraId="35A02D7D">
            <w:pPr>
              <w:pStyle w:val="6"/>
              <w:spacing w:before="85" w:line="231" w:lineRule="auto"/>
              <w:ind w:left="109"/>
              <w:rPr>
                <w:sz w:val="20"/>
                <w:szCs w:val="20"/>
              </w:rPr>
            </w:pPr>
            <w:r>
              <w:rPr>
                <w:spacing w:val="7"/>
                <w:sz w:val="20"/>
                <w:szCs w:val="20"/>
              </w:rPr>
              <w:t>《产业结构调整指导目录（</w:t>
            </w:r>
            <w:r>
              <w:rPr>
                <w:rFonts w:ascii="Times New Roman" w:hAnsi="Times New Roman" w:eastAsia="Times New Roman" w:cs="Times New Roman"/>
                <w:spacing w:val="7"/>
                <w:sz w:val="20"/>
                <w:szCs w:val="20"/>
              </w:rPr>
              <w:t>2024</w:t>
            </w:r>
            <w:r>
              <w:rPr>
                <w:rFonts w:ascii="Times New Roman" w:hAnsi="Times New Roman" w:eastAsia="Times New Roman" w:cs="Times New Roman"/>
                <w:spacing w:val="34"/>
                <w:sz w:val="20"/>
                <w:szCs w:val="20"/>
              </w:rPr>
              <w:t xml:space="preserve"> </w:t>
            </w:r>
            <w:r>
              <w:rPr>
                <w:spacing w:val="7"/>
                <w:sz w:val="20"/>
                <w:szCs w:val="20"/>
              </w:rPr>
              <w:t>年本）》</w:t>
            </w:r>
          </w:p>
        </w:tc>
      </w:tr>
      <w:tr w14:paraId="3FEA60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707" w:type="dxa"/>
            <w:tcBorders>
              <w:left w:val="single" w:color="000000" w:sz="10" w:space="0"/>
            </w:tcBorders>
            <w:vAlign w:val="top"/>
          </w:tcPr>
          <w:p w14:paraId="20356B91">
            <w:pPr>
              <w:spacing w:before="77" w:line="195" w:lineRule="auto"/>
              <w:ind w:left="292"/>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8290" w:type="dxa"/>
            <w:tcBorders>
              <w:right w:val="single" w:color="000000" w:sz="10" w:space="0"/>
            </w:tcBorders>
            <w:vAlign w:val="top"/>
          </w:tcPr>
          <w:p w14:paraId="197AF624">
            <w:pPr>
              <w:pStyle w:val="6"/>
              <w:spacing w:before="41" w:line="207" w:lineRule="auto"/>
              <w:ind w:left="109"/>
              <w:rPr>
                <w:sz w:val="20"/>
                <w:szCs w:val="20"/>
              </w:rPr>
            </w:pPr>
            <w:r>
              <w:rPr>
                <w:spacing w:val="7"/>
                <w:sz w:val="20"/>
                <w:szCs w:val="20"/>
              </w:rPr>
              <w:t>《国家级公益林管理办法》（林资发〔</w:t>
            </w:r>
            <w:r>
              <w:rPr>
                <w:rFonts w:ascii="Times New Roman" w:hAnsi="Times New Roman" w:eastAsia="Times New Roman" w:cs="Times New Roman"/>
                <w:spacing w:val="7"/>
                <w:sz w:val="20"/>
                <w:szCs w:val="20"/>
              </w:rPr>
              <w:t>2017</w:t>
            </w:r>
            <w:r>
              <w:rPr>
                <w:spacing w:val="7"/>
                <w:sz w:val="20"/>
                <w:szCs w:val="20"/>
              </w:rPr>
              <w:t>〕</w:t>
            </w:r>
            <w:r>
              <w:rPr>
                <w:rFonts w:ascii="Times New Roman" w:hAnsi="Times New Roman" w:eastAsia="Times New Roman" w:cs="Times New Roman"/>
                <w:spacing w:val="7"/>
                <w:sz w:val="20"/>
                <w:szCs w:val="20"/>
              </w:rPr>
              <w:t>34</w:t>
            </w:r>
            <w:r>
              <w:rPr>
                <w:rFonts w:ascii="Times New Roman" w:hAnsi="Times New Roman" w:eastAsia="Times New Roman" w:cs="Times New Roman"/>
                <w:spacing w:val="24"/>
                <w:sz w:val="20"/>
                <w:szCs w:val="20"/>
              </w:rPr>
              <w:t xml:space="preserve"> </w:t>
            </w:r>
            <w:r>
              <w:rPr>
                <w:spacing w:val="7"/>
                <w:sz w:val="20"/>
                <w:szCs w:val="20"/>
              </w:rPr>
              <w:t>号）</w:t>
            </w:r>
          </w:p>
        </w:tc>
      </w:tr>
      <w:tr w14:paraId="0DBDBC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707" w:type="dxa"/>
            <w:tcBorders>
              <w:left w:val="single" w:color="000000" w:sz="10" w:space="0"/>
            </w:tcBorders>
            <w:vAlign w:val="top"/>
          </w:tcPr>
          <w:p w14:paraId="78F58965">
            <w:pPr>
              <w:spacing w:before="80" w:line="194" w:lineRule="auto"/>
              <w:ind w:left="25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8290" w:type="dxa"/>
            <w:tcBorders>
              <w:right w:val="single" w:color="000000" w:sz="10" w:space="0"/>
            </w:tcBorders>
            <w:vAlign w:val="top"/>
          </w:tcPr>
          <w:p w14:paraId="2ED3F0E5">
            <w:pPr>
              <w:pStyle w:val="6"/>
              <w:spacing w:before="43" w:line="205" w:lineRule="auto"/>
              <w:ind w:left="115"/>
              <w:rPr>
                <w:sz w:val="20"/>
                <w:szCs w:val="20"/>
              </w:rPr>
            </w:pPr>
            <w:r>
              <w:rPr>
                <w:spacing w:val="8"/>
                <w:sz w:val="20"/>
                <w:szCs w:val="20"/>
              </w:rPr>
              <w:t>关于发布《矿山生态环境保护与污染防治技术政策》的通知（环发〔</w:t>
            </w:r>
            <w:r>
              <w:rPr>
                <w:rFonts w:ascii="Times New Roman" w:hAnsi="Times New Roman" w:eastAsia="Times New Roman" w:cs="Times New Roman"/>
                <w:spacing w:val="8"/>
                <w:sz w:val="20"/>
                <w:szCs w:val="20"/>
              </w:rPr>
              <w:t>2005</w:t>
            </w:r>
            <w:r>
              <w:rPr>
                <w:spacing w:val="7"/>
                <w:sz w:val="20"/>
                <w:szCs w:val="20"/>
              </w:rPr>
              <w:t>〕</w:t>
            </w:r>
            <w:r>
              <w:rPr>
                <w:rFonts w:ascii="Times New Roman" w:hAnsi="Times New Roman" w:eastAsia="Times New Roman" w:cs="Times New Roman"/>
                <w:spacing w:val="7"/>
                <w:sz w:val="20"/>
                <w:szCs w:val="20"/>
              </w:rPr>
              <w:t>109</w:t>
            </w:r>
            <w:r>
              <w:rPr>
                <w:rFonts w:ascii="Times New Roman" w:hAnsi="Times New Roman" w:eastAsia="Times New Roman" w:cs="Times New Roman"/>
                <w:spacing w:val="20"/>
                <w:sz w:val="20"/>
                <w:szCs w:val="20"/>
              </w:rPr>
              <w:t xml:space="preserve"> </w:t>
            </w:r>
            <w:r>
              <w:rPr>
                <w:spacing w:val="7"/>
                <w:sz w:val="20"/>
                <w:szCs w:val="20"/>
              </w:rPr>
              <w:t>号）</w:t>
            </w:r>
          </w:p>
        </w:tc>
      </w:tr>
      <w:tr w14:paraId="07E78D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07" w:type="dxa"/>
            <w:tcBorders>
              <w:left w:val="single" w:color="000000" w:sz="10" w:space="0"/>
            </w:tcBorders>
            <w:vAlign w:val="top"/>
          </w:tcPr>
          <w:p w14:paraId="2526252E">
            <w:pPr>
              <w:spacing w:before="82" w:line="193" w:lineRule="auto"/>
              <w:ind w:left="25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11</w:t>
            </w:r>
          </w:p>
        </w:tc>
        <w:tc>
          <w:tcPr>
            <w:tcW w:w="8290" w:type="dxa"/>
            <w:tcBorders>
              <w:right w:val="single" w:color="000000" w:sz="10" w:space="0"/>
            </w:tcBorders>
            <w:vAlign w:val="top"/>
          </w:tcPr>
          <w:p w14:paraId="25AA6724">
            <w:pPr>
              <w:pStyle w:val="6"/>
              <w:spacing w:before="46" w:line="204" w:lineRule="auto"/>
              <w:ind w:left="109"/>
              <w:rPr>
                <w:sz w:val="20"/>
                <w:szCs w:val="20"/>
              </w:rPr>
            </w:pPr>
            <w:r>
              <w:rPr>
                <w:spacing w:val="7"/>
                <w:sz w:val="20"/>
                <w:szCs w:val="20"/>
              </w:rPr>
              <w:t>《全国主体功能区规划》（国发〔</w:t>
            </w:r>
            <w:r>
              <w:rPr>
                <w:rFonts w:ascii="Times New Roman" w:hAnsi="Times New Roman" w:eastAsia="Times New Roman" w:cs="Times New Roman"/>
                <w:spacing w:val="7"/>
                <w:sz w:val="20"/>
                <w:szCs w:val="20"/>
              </w:rPr>
              <w:t>2010</w:t>
            </w:r>
            <w:r>
              <w:rPr>
                <w:spacing w:val="7"/>
                <w:sz w:val="20"/>
                <w:szCs w:val="20"/>
              </w:rPr>
              <w:t>〕</w:t>
            </w:r>
            <w:r>
              <w:rPr>
                <w:rFonts w:ascii="Times New Roman" w:hAnsi="Times New Roman" w:eastAsia="Times New Roman" w:cs="Times New Roman"/>
                <w:spacing w:val="7"/>
                <w:sz w:val="20"/>
                <w:szCs w:val="20"/>
              </w:rPr>
              <w:t xml:space="preserve">46  </w:t>
            </w:r>
            <w:r>
              <w:rPr>
                <w:spacing w:val="7"/>
                <w:sz w:val="20"/>
                <w:szCs w:val="20"/>
              </w:rPr>
              <w:t>号）</w:t>
            </w:r>
          </w:p>
        </w:tc>
      </w:tr>
      <w:tr w14:paraId="26B002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707" w:type="dxa"/>
            <w:tcBorders>
              <w:left w:val="single" w:color="000000" w:sz="10" w:space="0"/>
            </w:tcBorders>
            <w:vAlign w:val="top"/>
          </w:tcPr>
          <w:p w14:paraId="6F273E10">
            <w:pPr>
              <w:spacing w:before="81" w:line="193" w:lineRule="auto"/>
              <w:ind w:left="25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8290" w:type="dxa"/>
            <w:tcBorders>
              <w:right w:val="single" w:color="000000" w:sz="10" w:space="0"/>
            </w:tcBorders>
            <w:vAlign w:val="top"/>
          </w:tcPr>
          <w:p w14:paraId="26283339">
            <w:pPr>
              <w:pStyle w:val="6"/>
              <w:spacing w:before="44" w:line="204" w:lineRule="auto"/>
              <w:ind w:left="109"/>
              <w:rPr>
                <w:sz w:val="20"/>
                <w:szCs w:val="20"/>
              </w:rPr>
            </w:pPr>
            <w:r>
              <w:rPr>
                <w:spacing w:val="6"/>
                <w:sz w:val="20"/>
                <w:szCs w:val="20"/>
              </w:rPr>
              <w:t>《全国生态功能区划（修编版）》（环境保护部、</w:t>
            </w:r>
            <w:r>
              <w:rPr>
                <w:spacing w:val="-52"/>
                <w:sz w:val="20"/>
                <w:szCs w:val="20"/>
              </w:rPr>
              <w:t xml:space="preserve"> </w:t>
            </w:r>
            <w:r>
              <w:rPr>
                <w:spacing w:val="6"/>
                <w:sz w:val="20"/>
                <w:szCs w:val="20"/>
              </w:rPr>
              <w:t>中国科学院公告</w:t>
            </w:r>
            <w:r>
              <w:rPr>
                <w:spacing w:val="-43"/>
                <w:sz w:val="20"/>
                <w:szCs w:val="20"/>
              </w:rPr>
              <w:t xml:space="preserve"> </w:t>
            </w:r>
            <w:r>
              <w:rPr>
                <w:rFonts w:ascii="Times New Roman" w:hAnsi="Times New Roman" w:eastAsia="Times New Roman" w:cs="Times New Roman"/>
                <w:spacing w:val="6"/>
                <w:sz w:val="20"/>
                <w:szCs w:val="20"/>
              </w:rPr>
              <w:t>2015</w:t>
            </w:r>
            <w:r>
              <w:rPr>
                <w:rFonts w:ascii="Times New Roman" w:hAnsi="Times New Roman" w:eastAsia="Times New Roman" w:cs="Times New Roman"/>
                <w:spacing w:val="20"/>
                <w:sz w:val="20"/>
                <w:szCs w:val="20"/>
              </w:rPr>
              <w:t xml:space="preserve"> </w:t>
            </w:r>
            <w:r>
              <w:rPr>
                <w:spacing w:val="6"/>
                <w:sz w:val="20"/>
                <w:szCs w:val="20"/>
              </w:rPr>
              <w:t>年第</w:t>
            </w:r>
            <w:r>
              <w:rPr>
                <w:spacing w:val="-37"/>
                <w:sz w:val="20"/>
                <w:szCs w:val="20"/>
              </w:rPr>
              <w:t xml:space="preserve"> </w:t>
            </w:r>
            <w:r>
              <w:rPr>
                <w:rFonts w:ascii="Times New Roman" w:hAnsi="Times New Roman" w:eastAsia="Times New Roman" w:cs="Times New Roman"/>
                <w:spacing w:val="6"/>
                <w:sz w:val="20"/>
                <w:szCs w:val="20"/>
              </w:rPr>
              <w:t>61</w:t>
            </w:r>
            <w:r>
              <w:rPr>
                <w:rFonts w:ascii="Times New Roman" w:hAnsi="Times New Roman" w:eastAsia="Times New Roman" w:cs="Times New Roman"/>
                <w:spacing w:val="21"/>
                <w:sz w:val="20"/>
                <w:szCs w:val="20"/>
              </w:rPr>
              <w:t xml:space="preserve"> </w:t>
            </w:r>
            <w:r>
              <w:rPr>
                <w:spacing w:val="6"/>
                <w:sz w:val="20"/>
                <w:szCs w:val="20"/>
              </w:rPr>
              <w:t>号）</w:t>
            </w:r>
          </w:p>
        </w:tc>
      </w:tr>
      <w:tr w14:paraId="327300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707" w:type="dxa"/>
            <w:tcBorders>
              <w:left w:val="single" w:color="000000" w:sz="10" w:space="0"/>
            </w:tcBorders>
            <w:vAlign w:val="top"/>
          </w:tcPr>
          <w:p w14:paraId="4F5F2E7C">
            <w:pPr>
              <w:spacing w:before="82" w:line="191" w:lineRule="auto"/>
              <w:ind w:left="25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8290" w:type="dxa"/>
            <w:tcBorders>
              <w:right w:val="single" w:color="000000" w:sz="10" w:space="0"/>
            </w:tcBorders>
            <w:vAlign w:val="top"/>
          </w:tcPr>
          <w:p w14:paraId="1C135DD5">
            <w:pPr>
              <w:pStyle w:val="6"/>
              <w:spacing w:before="47" w:line="202" w:lineRule="auto"/>
              <w:ind w:left="109"/>
              <w:rPr>
                <w:sz w:val="20"/>
                <w:szCs w:val="20"/>
              </w:rPr>
            </w:pPr>
            <w:r>
              <w:rPr>
                <w:spacing w:val="6"/>
                <w:sz w:val="20"/>
                <w:szCs w:val="20"/>
              </w:rPr>
              <w:t>《地下水管理条例》（国务院令第</w:t>
            </w:r>
            <w:r>
              <w:rPr>
                <w:spacing w:val="-28"/>
                <w:sz w:val="20"/>
                <w:szCs w:val="20"/>
              </w:rPr>
              <w:t xml:space="preserve"> </w:t>
            </w:r>
            <w:r>
              <w:rPr>
                <w:rFonts w:ascii="Times New Roman" w:hAnsi="Times New Roman" w:eastAsia="Times New Roman" w:cs="Times New Roman"/>
                <w:spacing w:val="6"/>
                <w:sz w:val="20"/>
                <w:szCs w:val="20"/>
              </w:rPr>
              <w:t>748</w:t>
            </w:r>
            <w:r>
              <w:rPr>
                <w:rFonts w:ascii="Times New Roman" w:hAnsi="Times New Roman" w:eastAsia="Times New Roman" w:cs="Times New Roman"/>
                <w:spacing w:val="21"/>
                <w:sz w:val="20"/>
                <w:szCs w:val="20"/>
              </w:rPr>
              <w:t xml:space="preserve"> </w:t>
            </w:r>
            <w:r>
              <w:rPr>
                <w:spacing w:val="6"/>
                <w:sz w:val="20"/>
                <w:szCs w:val="20"/>
              </w:rPr>
              <w:t>号）</w:t>
            </w:r>
          </w:p>
        </w:tc>
      </w:tr>
      <w:tr w14:paraId="0D658F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707" w:type="dxa"/>
            <w:tcBorders>
              <w:left w:val="single" w:color="000000" w:sz="10" w:space="0"/>
            </w:tcBorders>
            <w:vAlign w:val="top"/>
          </w:tcPr>
          <w:p w14:paraId="7188E718">
            <w:pPr>
              <w:spacing w:before="219" w:line="195" w:lineRule="auto"/>
              <w:ind w:left="25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8290" w:type="dxa"/>
            <w:tcBorders>
              <w:right w:val="single" w:color="000000" w:sz="10" w:space="0"/>
            </w:tcBorders>
            <w:vAlign w:val="top"/>
          </w:tcPr>
          <w:p w14:paraId="722B5AED">
            <w:pPr>
              <w:pStyle w:val="6"/>
              <w:spacing w:before="50" w:line="225" w:lineRule="auto"/>
              <w:ind w:left="110" w:right="410" w:hanging="1"/>
              <w:rPr>
                <w:sz w:val="20"/>
                <w:szCs w:val="20"/>
              </w:rPr>
            </w:pPr>
            <w:r>
              <w:rPr>
                <w:spacing w:val="8"/>
                <w:sz w:val="20"/>
                <w:szCs w:val="20"/>
              </w:rPr>
              <w:t>《自然资源部</w:t>
            </w:r>
            <w:r>
              <w:rPr>
                <w:spacing w:val="34"/>
                <w:sz w:val="20"/>
                <w:szCs w:val="20"/>
              </w:rPr>
              <w:t xml:space="preserve"> </w:t>
            </w:r>
            <w:r>
              <w:rPr>
                <w:spacing w:val="8"/>
                <w:sz w:val="20"/>
                <w:szCs w:val="20"/>
              </w:rPr>
              <w:t>生态环境部</w:t>
            </w:r>
            <w:r>
              <w:rPr>
                <w:spacing w:val="43"/>
                <w:sz w:val="20"/>
                <w:szCs w:val="20"/>
              </w:rPr>
              <w:t xml:space="preserve"> </w:t>
            </w:r>
            <w:r>
              <w:rPr>
                <w:spacing w:val="8"/>
                <w:sz w:val="20"/>
                <w:szCs w:val="20"/>
              </w:rPr>
              <w:t>国家林业和草原局关于加强生态</w:t>
            </w:r>
            <w:r>
              <w:rPr>
                <w:spacing w:val="7"/>
                <w:sz w:val="20"/>
                <w:szCs w:val="20"/>
              </w:rPr>
              <w:t>保护红线管理的通知（试</w:t>
            </w:r>
            <w:r>
              <w:rPr>
                <w:sz w:val="20"/>
                <w:szCs w:val="20"/>
              </w:rPr>
              <w:t xml:space="preserve"> 行）》（ 自然资发〔</w:t>
            </w:r>
            <w:r>
              <w:rPr>
                <w:rFonts w:ascii="Times New Roman" w:hAnsi="Times New Roman" w:eastAsia="Times New Roman" w:cs="Times New Roman"/>
                <w:sz w:val="20"/>
                <w:szCs w:val="20"/>
              </w:rPr>
              <w:t>2022</w:t>
            </w:r>
            <w:r>
              <w:rPr>
                <w:sz w:val="20"/>
                <w:szCs w:val="20"/>
              </w:rPr>
              <w:t>〕</w:t>
            </w:r>
            <w:r>
              <w:rPr>
                <w:rFonts w:ascii="Times New Roman" w:hAnsi="Times New Roman" w:eastAsia="Times New Roman" w:cs="Times New Roman"/>
                <w:sz w:val="20"/>
                <w:szCs w:val="20"/>
              </w:rPr>
              <w:t>142</w:t>
            </w:r>
            <w:r>
              <w:rPr>
                <w:rFonts w:ascii="Times New Roman" w:hAnsi="Times New Roman" w:eastAsia="Times New Roman" w:cs="Times New Roman"/>
                <w:spacing w:val="29"/>
                <w:w w:val="101"/>
                <w:sz w:val="20"/>
                <w:szCs w:val="20"/>
              </w:rPr>
              <w:t xml:space="preserve"> </w:t>
            </w:r>
            <w:r>
              <w:rPr>
                <w:sz w:val="20"/>
                <w:szCs w:val="20"/>
              </w:rPr>
              <w:t>号）</w:t>
            </w:r>
          </w:p>
        </w:tc>
      </w:tr>
      <w:tr w14:paraId="3EC506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707" w:type="dxa"/>
            <w:tcBorders>
              <w:left w:val="single" w:color="000000" w:sz="10" w:space="0"/>
            </w:tcBorders>
            <w:vAlign w:val="top"/>
          </w:tcPr>
          <w:p w14:paraId="3EE47535">
            <w:pPr>
              <w:spacing w:before="86" w:line="187" w:lineRule="auto"/>
              <w:ind w:left="25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8290" w:type="dxa"/>
            <w:tcBorders>
              <w:right w:val="single" w:color="000000" w:sz="10" w:space="0"/>
            </w:tcBorders>
            <w:vAlign w:val="top"/>
          </w:tcPr>
          <w:p w14:paraId="22499D1A">
            <w:pPr>
              <w:pStyle w:val="6"/>
              <w:spacing w:before="50" w:line="199" w:lineRule="auto"/>
              <w:ind w:left="109"/>
              <w:rPr>
                <w:sz w:val="20"/>
                <w:szCs w:val="20"/>
              </w:rPr>
            </w:pPr>
            <w:r>
              <w:rPr>
                <w:spacing w:val="5"/>
                <w:sz w:val="20"/>
                <w:szCs w:val="20"/>
              </w:rPr>
              <w:t>《中共中央国务院关于全面推进美丽中国建设的意见》（</w:t>
            </w:r>
            <w:r>
              <w:rPr>
                <w:rFonts w:ascii="Times New Roman" w:hAnsi="Times New Roman" w:eastAsia="Times New Roman" w:cs="Times New Roman"/>
                <w:spacing w:val="5"/>
                <w:sz w:val="20"/>
                <w:szCs w:val="20"/>
              </w:rPr>
              <w:t>20</w:t>
            </w:r>
            <w:r>
              <w:rPr>
                <w:rFonts w:ascii="Times New Roman" w:hAnsi="Times New Roman" w:eastAsia="Times New Roman" w:cs="Times New Roman"/>
                <w:spacing w:val="4"/>
                <w:sz w:val="20"/>
                <w:szCs w:val="20"/>
              </w:rPr>
              <w:t>23</w:t>
            </w:r>
            <w:r>
              <w:rPr>
                <w:rFonts w:ascii="Times New Roman" w:hAnsi="Times New Roman" w:eastAsia="Times New Roman" w:cs="Times New Roman"/>
                <w:spacing w:val="20"/>
                <w:sz w:val="20"/>
                <w:szCs w:val="20"/>
              </w:rPr>
              <w:t xml:space="preserve"> </w:t>
            </w:r>
            <w:r>
              <w:rPr>
                <w:spacing w:val="4"/>
                <w:sz w:val="20"/>
                <w:szCs w:val="20"/>
              </w:rPr>
              <w:t>年</w:t>
            </w:r>
            <w:r>
              <w:rPr>
                <w:spacing w:val="-21"/>
                <w:sz w:val="20"/>
                <w:szCs w:val="20"/>
              </w:rPr>
              <w:t xml:space="preserve"> </w:t>
            </w:r>
            <w:r>
              <w:rPr>
                <w:rFonts w:ascii="Times New Roman" w:hAnsi="Times New Roman" w:eastAsia="Times New Roman" w:cs="Times New Roman"/>
                <w:spacing w:val="4"/>
                <w:sz w:val="20"/>
                <w:szCs w:val="20"/>
              </w:rPr>
              <w:t>12</w:t>
            </w:r>
            <w:r>
              <w:rPr>
                <w:rFonts w:ascii="Times New Roman" w:hAnsi="Times New Roman" w:eastAsia="Times New Roman" w:cs="Times New Roman"/>
                <w:spacing w:val="25"/>
                <w:w w:val="101"/>
                <w:sz w:val="20"/>
                <w:szCs w:val="20"/>
              </w:rPr>
              <w:t xml:space="preserve"> </w:t>
            </w:r>
            <w:r>
              <w:rPr>
                <w:spacing w:val="4"/>
                <w:sz w:val="20"/>
                <w:szCs w:val="20"/>
              </w:rPr>
              <w:t>月</w:t>
            </w:r>
            <w:r>
              <w:rPr>
                <w:spacing w:val="-43"/>
                <w:sz w:val="20"/>
                <w:szCs w:val="20"/>
              </w:rPr>
              <w:t xml:space="preserve"> </w:t>
            </w:r>
            <w:r>
              <w:rPr>
                <w:rFonts w:ascii="Times New Roman" w:hAnsi="Times New Roman" w:eastAsia="Times New Roman" w:cs="Times New Roman"/>
                <w:spacing w:val="4"/>
                <w:sz w:val="20"/>
                <w:szCs w:val="20"/>
              </w:rPr>
              <w:t xml:space="preserve">27  </w:t>
            </w:r>
            <w:r>
              <w:rPr>
                <w:spacing w:val="4"/>
                <w:sz w:val="20"/>
                <w:szCs w:val="20"/>
              </w:rPr>
              <w:t>日）</w:t>
            </w:r>
          </w:p>
        </w:tc>
      </w:tr>
      <w:tr w14:paraId="4CFC9D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07" w:type="dxa"/>
            <w:tcBorders>
              <w:left w:val="single" w:color="000000" w:sz="10" w:space="0"/>
            </w:tcBorders>
            <w:vAlign w:val="top"/>
          </w:tcPr>
          <w:p w14:paraId="3E19E75B">
            <w:pPr>
              <w:spacing w:before="86" w:line="188" w:lineRule="auto"/>
              <w:ind w:left="25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8290" w:type="dxa"/>
            <w:tcBorders>
              <w:right w:val="single" w:color="000000" w:sz="10" w:space="0"/>
            </w:tcBorders>
            <w:vAlign w:val="top"/>
          </w:tcPr>
          <w:p w14:paraId="2AB326C1">
            <w:pPr>
              <w:pStyle w:val="6"/>
              <w:spacing w:before="50" w:line="200" w:lineRule="auto"/>
              <w:ind w:left="109"/>
              <w:rPr>
                <w:sz w:val="20"/>
                <w:szCs w:val="20"/>
              </w:rPr>
            </w:pPr>
            <w:r>
              <w:rPr>
                <w:spacing w:val="7"/>
                <w:sz w:val="20"/>
                <w:szCs w:val="20"/>
              </w:rPr>
              <w:t>《重庆市国土空间总体规划（</w:t>
            </w:r>
            <w:r>
              <w:rPr>
                <w:rFonts w:ascii="Times New Roman" w:hAnsi="Times New Roman" w:eastAsia="Times New Roman" w:cs="Times New Roman"/>
                <w:spacing w:val="7"/>
                <w:sz w:val="20"/>
                <w:szCs w:val="20"/>
              </w:rPr>
              <w:t>2021—203</w:t>
            </w:r>
            <w:r>
              <w:rPr>
                <w:rFonts w:ascii="Times New Roman" w:hAnsi="Times New Roman" w:eastAsia="Times New Roman" w:cs="Times New Roman"/>
                <w:spacing w:val="6"/>
                <w:sz w:val="20"/>
                <w:szCs w:val="20"/>
              </w:rPr>
              <w:t>5</w:t>
            </w:r>
            <w:r>
              <w:rPr>
                <w:rFonts w:ascii="Times New Roman" w:hAnsi="Times New Roman" w:eastAsia="Times New Roman" w:cs="Times New Roman"/>
                <w:spacing w:val="17"/>
                <w:sz w:val="20"/>
                <w:szCs w:val="20"/>
              </w:rPr>
              <w:t xml:space="preserve"> </w:t>
            </w:r>
            <w:r>
              <w:rPr>
                <w:spacing w:val="6"/>
                <w:sz w:val="20"/>
                <w:szCs w:val="20"/>
              </w:rPr>
              <w:t>年）》（国函〔</w:t>
            </w:r>
            <w:r>
              <w:rPr>
                <w:rFonts w:ascii="Times New Roman" w:hAnsi="Times New Roman" w:eastAsia="Times New Roman" w:cs="Times New Roman"/>
                <w:spacing w:val="6"/>
                <w:sz w:val="20"/>
                <w:szCs w:val="20"/>
              </w:rPr>
              <w:t>2024</w:t>
            </w:r>
            <w:r>
              <w:rPr>
                <w:spacing w:val="6"/>
                <w:sz w:val="20"/>
                <w:szCs w:val="20"/>
              </w:rPr>
              <w:t>〕</w:t>
            </w:r>
            <w:r>
              <w:rPr>
                <w:rFonts w:ascii="Times New Roman" w:hAnsi="Times New Roman" w:eastAsia="Times New Roman" w:cs="Times New Roman"/>
                <w:spacing w:val="6"/>
                <w:sz w:val="20"/>
                <w:szCs w:val="20"/>
              </w:rPr>
              <w:t>32</w:t>
            </w:r>
            <w:r>
              <w:rPr>
                <w:rFonts w:ascii="Times New Roman" w:hAnsi="Times New Roman" w:eastAsia="Times New Roman" w:cs="Times New Roman"/>
                <w:spacing w:val="22"/>
                <w:w w:val="101"/>
                <w:sz w:val="20"/>
                <w:szCs w:val="20"/>
              </w:rPr>
              <w:t xml:space="preserve"> </w:t>
            </w:r>
            <w:r>
              <w:rPr>
                <w:spacing w:val="6"/>
                <w:sz w:val="20"/>
                <w:szCs w:val="20"/>
              </w:rPr>
              <w:t>号）</w:t>
            </w:r>
          </w:p>
        </w:tc>
      </w:tr>
      <w:tr w14:paraId="1389D6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707" w:type="dxa"/>
            <w:tcBorders>
              <w:left w:val="single" w:color="000000" w:sz="10" w:space="0"/>
            </w:tcBorders>
            <w:vAlign w:val="top"/>
          </w:tcPr>
          <w:p w14:paraId="44F8DD18">
            <w:pPr>
              <w:spacing w:before="87" w:line="186" w:lineRule="auto"/>
              <w:ind w:left="25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8290" w:type="dxa"/>
            <w:tcBorders>
              <w:right w:val="single" w:color="000000" w:sz="10" w:space="0"/>
            </w:tcBorders>
            <w:vAlign w:val="top"/>
          </w:tcPr>
          <w:p w14:paraId="1BD97E02">
            <w:pPr>
              <w:pStyle w:val="6"/>
              <w:spacing w:before="51" w:line="198" w:lineRule="auto"/>
              <w:ind w:left="109"/>
              <w:rPr>
                <w:sz w:val="20"/>
                <w:szCs w:val="20"/>
              </w:rPr>
            </w:pPr>
            <w:r>
              <w:rPr>
                <w:spacing w:val="6"/>
                <w:sz w:val="20"/>
                <w:szCs w:val="20"/>
              </w:rPr>
              <w:t>《自然资源部关于深化矿产资源管理改革若干事项的意见》（</w:t>
            </w:r>
            <w:r>
              <w:rPr>
                <w:spacing w:val="-12"/>
                <w:sz w:val="20"/>
                <w:szCs w:val="20"/>
              </w:rPr>
              <w:t xml:space="preserve"> </w:t>
            </w:r>
            <w:r>
              <w:rPr>
                <w:spacing w:val="6"/>
                <w:sz w:val="20"/>
                <w:szCs w:val="20"/>
              </w:rPr>
              <w:t>自然资规〔</w:t>
            </w:r>
            <w:r>
              <w:rPr>
                <w:rFonts w:ascii="Times New Roman" w:hAnsi="Times New Roman" w:eastAsia="Times New Roman" w:cs="Times New Roman"/>
                <w:spacing w:val="6"/>
                <w:sz w:val="20"/>
                <w:szCs w:val="20"/>
              </w:rPr>
              <w:t>2023</w:t>
            </w:r>
            <w:r>
              <w:rPr>
                <w:spacing w:val="6"/>
                <w:sz w:val="20"/>
                <w:szCs w:val="20"/>
              </w:rPr>
              <w:t>〕</w:t>
            </w:r>
            <w:r>
              <w:rPr>
                <w:rFonts w:ascii="Times New Roman" w:hAnsi="Times New Roman" w:eastAsia="Times New Roman" w:cs="Times New Roman"/>
                <w:spacing w:val="6"/>
                <w:sz w:val="20"/>
                <w:szCs w:val="20"/>
              </w:rPr>
              <w:t>6</w:t>
            </w:r>
            <w:r>
              <w:rPr>
                <w:rFonts w:ascii="Times New Roman" w:hAnsi="Times New Roman" w:eastAsia="Times New Roman" w:cs="Times New Roman"/>
                <w:spacing w:val="23"/>
                <w:w w:val="101"/>
                <w:sz w:val="20"/>
                <w:szCs w:val="20"/>
              </w:rPr>
              <w:t xml:space="preserve"> </w:t>
            </w:r>
            <w:r>
              <w:rPr>
                <w:spacing w:val="6"/>
                <w:sz w:val="20"/>
                <w:szCs w:val="20"/>
              </w:rPr>
              <w:t>号）</w:t>
            </w:r>
          </w:p>
        </w:tc>
      </w:tr>
      <w:tr w14:paraId="703973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707" w:type="dxa"/>
            <w:tcBorders>
              <w:left w:val="single" w:color="000000" w:sz="10" w:space="0"/>
            </w:tcBorders>
            <w:vAlign w:val="top"/>
          </w:tcPr>
          <w:p w14:paraId="0212EAF6">
            <w:pPr>
              <w:spacing w:before="90" w:line="183" w:lineRule="auto"/>
              <w:ind w:left="25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8290" w:type="dxa"/>
            <w:tcBorders>
              <w:right w:val="single" w:color="000000" w:sz="10" w:space="0"/>
            </w:tcBorders>
            <w:vAlign w:val="top"/>
          </w:tcPr>
          <w:p w14:paraId="33439ED1">
            <w:pPr>
              <w:pStyle w:val="6"/>
              <w:spacing w:before="53" w:line="196" w:lineRule="auto"/>
              <w:ind w:left="109"/>
              <w:rPr>
                <w:sz w:val="20"/>
                <w:szCs w:val="20"/>
              </w:rPr>
            </w:pPr>
            <w:r>
              <w:rPr>
                <w:spacing w:val="7"/>
                <w:sz w:val="20"/>
                <w:szCs w:val="20"/>
              </w:rPr>
              <w:t>《基本农田保护条例》</w:t>
            </w:r>
          </w:p>
        </w:tc>
      </w:tr>
      <w:tr w14:paraId="55E1AC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707" w:type="dxa"/>
            <w:tcBorders>
              <w:left w:val="single" w:color="000000" w:sz="10" w:space="0"/>
            </w:tcBorders>
            <w:vAlign w:val="top"/>
          </w:tcPr>
          <w:p w14:paraId="76D28BBF">
            <w:pPr>
              <w:spacing w:before="226" w:line="195" w:lineRule="auto"/>
              <w:ind w:left="25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8290" w:type="dxa"/>
            <w:tcBorders>
              <w:right w:val="single" w:color="000000" w:sz="10" w:space="0"/>
            </w:tcBorders>
            <w:vAlign w:val="top"/>
          </w:tcPr>
          <w:p w14:paraId="71E49301">
            <w:pPr>
              <w:pStyle w:val="6"/>
              <w:spacing w:before="54" w:line="223" w:lineRule="auto"/>
              <w:ind w:left="131" w:right="304" w:hanging="22"/>
              <w:rPr>
                <w:sz w:val="20"/>
                <w:szCs w:val="20"/>
              </w:rPr>
            </w:pPr>
            <w:r>
              <w:rPr>
                <w:spacing w:val="7"/>
                <w:sz w:val="20"/>
                <w:szCs w:val="20"/>
              </w:rPr>
              <w:t>《自然资源部 农业农村部关于加强和改进永久基本农田保护工作的通知》（</w:t>
            </w:r>
            <w:r>
              <w:rPr>
                <w:spacing w:val="-7"/>
                <w:sz w:val="20"/>
                <w:szCs w:val="20"/>
              </w:rPr>
              <w:t xml:space="preserve"> </w:t>
            </w:r>
            <w:r>
              <w:rPr>
                <w:spacing w:val="7"/>
                <w:sz w:val="20"/>
                <w:szCs w:val="20"/>
              </w:rPr>
              <w:t>自然资规</w:t>
            </w:r>
            <w:r>
              <w:rPr>
                <w:sz w:val="20"/>
                <w:szCs w:val="20"/>
              </w:rPr>
              <w:t xml:space="preserve"> </w:t>
            </w:r>
            <w:r>
              <w:rPr>
                <w:spacing w:val="-1"/>
                <w:sz w:val="20"/>
                <w:szCs w:val="20"/>
              </w:rPr>
              <w:t>〔</w:t>
            </w:r>
            <w:r>
              <w:rPr>
                <w:rFonts w:ascii="Times New Roman" w:hAnsi="Times New Roman" w:eastAsia="Times New Roman" w:cs="Times New Roman"/>
                <w:spacing w:val="-1"/>
                <w:sz w:val="20"/>
                <w:szCs w:val="20"/>
              </w:rPr>
              <w:t>2019</w:t>
            </w:r>
            <w:r>
              <w:rPr>
                <w:spacing w:val="-1"/>
                <w:sz w:val="20"/>
                <w:szCs w:val="20"/>
              </w:rPr>
              <w:t>〕</w:t>
            </w:r>
            <w:r>
              <w:rPr>
                <w:rFonts w:ascii="Times New Roman" w:hAnsi="Times New Roman" w:eastAsia="Times New Roman" w:cs="Times New Roman"/>
                <w:spacing w:val="-1"/>
                <w:sz w:val="20"/>
                <w:szCs w:val="20"/>
              </w:rPr>
              <w:t>1</w:t>
            </w:r>
            <w:r>
              <w:rPr>
                <w:rFonts w:ascii="Times New Roman" w:hAnsi="Times New Roman" w:eastAsia="Times New Roman" w:cs="Times New Roman"/>
                <w:spacing w:val="26"/>
                <w:w w:val="101"/>
                <w:sz w:val="20"/>
                <w:szCs w:val="20"/>
              </w:rPr>
              <w:t xml:space="preserve"> </w:t>
            </w:r>
            <w:r>
              <w:rPr>
                <w:spacing w:val="-1"/>
                <w:sz w:val="20"/>
                <w:szCs w:val="20"/>
              </w:rPr>
              <w:t>号）</w:t>
            </w:r>
          </w:p>
        </w:tc>
      </w:tr>
      <w:tr w14:paraId="499DCF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707" w:type="dxa"/>
            <w:tcBorders>
              <w:left w:val="single" w:color="000000" w:sz="10" w:space="0"/>
              <w:bottom w:val="single" w:color="000000" w:sz="10" w:space="0"/>
            </w:tcBorders>
            <w:vAlign w:val="top"/>
          </w:tcPr>
          <w:p w14:paraId="55D25C38">
            <w:pPr>
              <w:spacing w:before="86" w:line="195"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290" w:type="dxa"/>
            <w:tcBorders>
              <w:bottom w:val="single" w:color="000000" w:sz="10" w:space="0"/>
              <w:right w:val="single" w:color="000000" w:sz="10" w:space="0"/>
            </w:tcBorders>
            <w:vAlign w:val="top"/>
          </w:tcPr>
          <w:p w14:paraId="40046E87">
            <w:pPr>
              <w:pStyle w:val="6"/>
              <w:spacing w:before="56" w:line="214" w:lineRule="auto"/>
              <w:ind w:left="53"/>
              <w:rPr>
                <w:sz w:val="19"/>
                <w:szCs w:val="19"/>
              </w:rPr>
            </w:pPr>
            <w:r>
              <w:rPr>
                <w:spacing w:val="6"/>
                <w:sz w:val="19"/>
                <w:szCs w:val="19"/>
              </w:rPr>
              <w:t>《铝行业规范条件》（工信部公告</w:t>
            </w:r>
            <w:r>
              <w:rPr>
                <w:spacing w:val="-41"/>
                <w:sz w:val="19"/>
                <w:szCs w:val="19"/>
              </w:rPr>
              <w:t xml:space="preserve"> </w:t>
            </w:r>
            <w:r>
              <w:rPr>
                <w:rFonts w:ascii="Times New Roman" w:hAnsi="Times New Roman" w:eastAsia="Times New Roman" w:cs="Times New Roman"/>
                <w:spacing w:val="6"/>
                <w:sz w:val="19"/>
                <w:szCs w:val="19"/>
              </w:rPr>
              <w:t>2020</w:t>
            </w:r>
            <w:r>
              <w:rPr>
                <w:rFonts w:ascii="Times New Roman" w:hAnsi="Times New Roman" w:eastAsia="Times New Roman" w:cs="Times New Roman"/>
                <w:spacing w:val="19"/>
                <w:w w:val="101"/>
                <w:sz w:val="19"/>
                <w:szCs w:val="19"/>
              </w:rPr>
              <w:t xml:space="preserve"> </w:t>
            </w:r>
            <w:r>
              <w:rPr>
                <w:spacing w:val="5"/>
                <w:sz w:val="19"/>
                <w:szCs w:val="19"/>
              </w:rPr>
              <w:t>年第</w:t>
            </w:r>
            <w:r>
              <w:rPr>
                <w:spacing w:val="-34"/>
                <w:sz w:val="19"/>
                <w:szCs w:val="19"/>
              </w:rPr>
              <w:t xml:space="preserve"> </w:t>
            </w:r>
            <w:r>
              <w:rPr>
                <w:rFonts w:ascii="Times New Roman" w:hAnsi="Times New Roman" w:eastAsia="Times New Roman" w:cs="Times New Roman"/>
                <w:spacing w:val="5"/>
                <w:sz w:val="19"/>
                <w:szCs w:val="19"/>
              </w:rPr>
              <w:t>6</w:t>
            </w:r>
            <w:r>
              <w:rPr>
                <w:rFonts w:ascii="Times New Roman" w:hAnsi="Times New Roman" w:eastAsia="Times New Roman" w:cs="Times New Roman"/>
                <w:spacing w:val="20"/>
                <w:w w:val="101"/>
                <w:sz w:val="19"/>
                <w:szCs w:val="19"/>
              </w:rPr>
              <w:t xml:space="preserve"> </w:t>
            </w:r>
            <w:r>
              <w:rPr>
                <w:spacing w:val="5"/>
                <w:sz w:val="19"/>
                <w:szCs w:val="19"/>
              </w:rPr>
              <w:t>号）</w:t>
            </w:r>
          </w:p>
        </w:tc>
      </w:tr>
    </w:tbl>
    <w:p w14:paraId="27B1E799">
      <w:pPr>
        <w:pStyle w:val="2"/>
      </w:pPr>
    </w:p>
    <w:p w14:paraId="54AFC480">
      <w:pPr>
        <w:sectPr>
          <w:headerReference r:id="rId68" w:type="default"/>
          <w:footerReference r:id="rId69" w:type="default"/>
          <w:pgSz w:w="11906" w:h="16839"/>
          <w:pgMar w:top="1116" w:right="1418" w:bottom="1480" w:left="1464" w:header="683" w:footer="1318" w:gutter="0"/>
          <w:cols w:space="720" w:num="1"/>
        </w:sectPr>
      </w:pPr>
    </w:p>
    <w:p w14:paraId="5B70F39A">
      <w:pPr>
        <w:pStyle w:val="2"/>
        <w:spacing w:line="294" w:lineRule="auto"/>
      </w:pPr>
    </w:p>
    <w:p w14:paraId="68005679">
      <w:pPr>
        <w:pStyle w:val="2"/>
        <w:spacing w:line="295" w:lineRule="auto"/>
      </w:pPr>
    </w:p>
    <w:p w14:paraId="600BD169">
      <w:pPr>
        <w:spacing w:before="65" w:line="229" w:lineRule="auto"/>
        <w:ind w:left="4289"/>
        <w:rPr>
          <w:rFonts w:ascii="仿宋" w:hAnsi="仿宋" w:eastAsia="仿宋" w:cs="仿宋"/>
          <w:sz w:val="20"/>
          <w:szCs w:val="20"/>
        </w:rPr>
      </w:pPr>
      <w:r>
        <w:rPr>
          <w:rFonts w:ascii="仿宋" w:hAnsi="仿宋" w:eastAsia="仿宋" w:cs="仿宋"/>
          <w:b/>
          <w:bCs/>
          <w:spacing w:val="6"/>
          <w:sz w:val="20"/>
          <w:szCs w:val="20"/>
        </w:rPr>
        <w:t>表</w:t>
      </w:r>
      <w:r>
        <w:rPr>
          <w:rFonts w:ascii="仿宋" w:hAnsi="仿宋" w:eastAsia="仿宋" w:cs="仿宋"/>
          <w:spacing w:val="-34"/>
          <w:sz w:val="20"/>
          <w:szCs w:val="20"/>
        </w:rPr>
        <w:t xml:space="preserve"> </w:t>
      </w:r>
      <w:r>
        <w:rPr>
          <w:rFonts w:ascii="Times New Roman" w:hAnsi="Times New Roman" w:eastAsia="Times New Roman" w:cs="Times New Roman"/>
          <w:b/>
          <w:bCs/>
          <w:spacing w:val="6"/>
          <w:sz w:val="20"/>
          <w:szCs w:val="20"/>
        </w:rPr>
        <w:t xml:space="preserve">2.3-2      </w:t>
      </w:r>
      <w:r>
        <w:rPr>
          <w:rFonts w:ascii="仿宋" w:hAnsi="仿宋" w:eastAsia="仿宋" w:cs="仿宋"/>
          <w:b/>
          <w:bCs/>
          <w:spacing w:val="6"/>
          <w:sz w:val="20"/>
          <w:szCs w:val="20"/>
        </w:rPr>
        <w:t>本《规划调整》与国家相关政策及规划符合性分析</w:t>
      </w:r>
    </w:p>
    <w:p w14:paraId="64693764">
      <w:pPr>
        <w:spacing w:line="24" w:lineRule="exact"/>
      </w:pPr>
    </w:p>
    <w:tbl>
      <w:tblPr>
        <w:tblStyle w:val="5"/>
        <w:tblW w:w="1447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7"/>
        <w:gridCol w:w="1273"/>
        <w:gridCol w:w="6289"/>
        <w:gridCol w:w="4465"/>
        <w:gridCol w:w="1897"/>
      </w:tblGrid>
      <w:tr w14:paraId="2B74E5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547" w:type="dxa"/>
            <w:vMerge w:val="restart"/>
            <w:tcBorders>
              <w:top w:val="single" w:color="000000" w:sz="10" w:space="0"/>
              <w:left w:val="single" w:color="000000" w:sz="10" w:space="0"/>
              <w:bottom w:val="nil"/>
            </w:tcBorders>
            <w:vAlign w:val="top"/>
          </w:tcPr>
          <w:p w14:paraId="10C91A5C">
            <w:pPr>
              <w:pStyle w:val="6"/>
              <w:spacing w:before="251" w:line="231" w:lineRule="auto"/>
              <w:ind w:left="69"/>
              <w:rPr>
                <w:sz w:val="19"/>
                <w:szCs w:val="19"/>
              </w:rPr>
            </w:pPr>
            <w:r>
              <w:rPr>
                <w:spacing w:val="2"/>
                <w:sz w:val="19"/>
                <w:szCs w:val="19"/>
              </w:rPr>
              <w:t>序号</w:t>
            </w:r>
          </w:p>
        </w:tc>
        <w:tc>
          <w:tcPr>
            <w:tcW w:w="7562" w:type="dxa"/>
            <w:gridSpan w:val="2"/>
            <w:tcBorders>
              <w:top w:val="single" w:color="000000" w:sz="10" w:space="0"/>
            </w:tcBorders>
            <w:vAlign w:val="top"/>
          </w:tcPr>
          <w:p w14:paraId="6DEAB271">
            <w:pPr>
              <w:pStyle w:val="6"/>
              <w:spacing w:before="76" w:line="231" w:lineRule="auto"/>
              <w:ind w:left="2908"/>
              <w:rPr>
                <w:sz w:val="19"/>
                <w:szCs w:val="19"/>
              </w:rPr>
            </w:pPr>
            <w:r>
              <w:rPr>
                <w:spacing w:val="5"/>
                <w:sz w:val="19"/>
                <w:szCs w:val="19"/>
              </w:rPr>
              <w:t>国家重大政策及规划</w:t>
            </w:r>
          </w:p>
        </w:tc>
        <w:tc>
          <w:tcPr>
            <w:tcW w:w="4465" w:type="dxa"/>
            <w:vMerge w:val="restart"/>
            <w:tcBorders>
              <w:top w:val="single" w:color="000000" w:sz="10" w:space="0"/>
              <w:bottom w:val="nil"/>
            </w:tcBorders>
            <w:vAlign w:val="top"/>
          </w:tcPr>
          <w:p w14:paraId="71708219">
            <w:pPr>
              <w:pStyle w:val="6"/>
              <w:spacing w:before="251" w:line="229" w:lineRule="auto"/>
              <w:ind w:left="949"/>
              <w:rPr>
                <w:sz w:val="19"/>
                <w:szCs w:val="19"/>
              </w:rPr>
            </w:pPr>
            <w:r>
              <w:rPr>
                <w:spacing w:val="8"/>
                <w:sz w:val="19"/>
                <w:szCs w:val="19"/>
              </w:rPr>
              <w:t>本《规划调整》的符合性分析</w:t>
            </w:r>
          </w:p>
        </w:tc>
        <w:tc>
          <w:tcPr>
            <w:tcW w:w="1897" w:type="dxa"/>
            <w:vMerge w:val="restart"/>
            <w:tcBorders>
              <w:top w:val="single" w:color="000000" w:sz="10" w:space="0"/>
              <w:bottom w:val="nil"/>
              <w:right w:val="single" w:color="000000" w:sz="10" w:space="0"/>
            </w:tcBorders>
            <w:vAlign w:val="top"/>
          </w:tcPr>
          <w:p w14:paraId="1F2851A3">
            <w:pPr>
              <w:pStyle w:val="6"/>
              <w:spacing w:before="251" w:line="230" w:lineRule="auto"/>
              <w:ind w:left="373"/>
              <w:rPr>
                <w:sz w:val="19"/>
                <w:szCs w:val="19"/>
              </w:rPr>
            </w:pPr>
            <w:r>
              <w:rPr>
                <w:spacing w:val="5"/>
                <w:sz w:val="19"/>
                <w:szCs w:val="19"/>
              </w:rPr>
              <w:t>简要优化建议</w:t>
            </w:r>
          </w:p>
        </w:tc>
      </w:tr>
      <w:tr w14:paraId="0756A5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47" w:type="dxa"/>
            <w:vMerge w:val="continue"/>
            <w:tcBorders>
              <w:top w:val="nil"/>
              <w:left w:val="single" w:color="000000" w:sz="10" w:space="0"/>
            </w:tcBorders>
            <w:vAlign w:val="top"/>
          </w:tcPr>
          <w:p w14:paraId="2FD5A205">
            <w:pPr>
              <w:rPr>
                <w:rFonts w:ascii="Arial"/>
                <w:sz w:val="21"/>
              </w:rPr>
            </w:pPr>
          </w:p>
        </w:tc>
        <w:tc>
          <w:tcPr>
            <w:tcW w:w="1273" w:type="dxa"/>
            <w:vAlign w:val="top"/>
          </w:tcPr>
          <w:p w14:paraId="44F2A0B1">
            <w:pPr>
              <w:pStyle w:val="6"/>
              <w:spacing w:before="73" w:line="230" w:lineRule="auto"/>
              <w:ind w:left="438"/>
              <w:rPr>
                <w:sz w:val="19"/>
                <w:szCs w:val="19"/>
              </w:rPr>
            </w:pPr>
            <w:r>
              <w:rPr>
                <w:spacing w:val="2"/>
                <w:sz w:val="19"/>
                <w:szCs w:val="19"/>
              </w:rPr>
              <w:t>名称</w:t>
            </w:r>
          </w:p>
        </w:tc>
        <w:tc>
          <w:tcPr>
            <w:tcW w:w="6289" w:type="dxa"/>
            <w:vAlign w:val="top"/>
          </w:tcPr>
          <w:p w14:paraId="6A10EC3E">
            <w:pPr>
              <w:pStyle w:val="6"/>
              <w:spacing w:before="73" w:line="231" w:lineRule="auto"/>
              <w:ind w:left="2754"/>
              <w:rPr>
                <w:sz w:val="19"/>
                <w:szCs w:val="19"/>
              </w:rPr>
            </w:pPr>
            <w:r>
              <w:rPr>
                <w:spacing w:val="6"/>
                <w:sz w:val="19"/>
                <w:szCs w:val="19"/>
              </w:rPr>
              <w:t>相关内容</w:t>
            </w:r>
          </w:p>
        </w:tc>
        <w:tc>
          <w:tcPr>
            <w:tcW w:w="4465" w:type="dxa"/>
            <w:vMerge w:val="continue"/>
            <w:tcBorders>
              <w:top w:val="nil"/>
            </w:tcBorders>
            <w:vAlign w:val="top"/>
          </w:tcPr>
          <w:p w14:paraId="3F3CF885">
            <w:pPr>
              <w:rPr>
                <w:rFonts w:ascii="Arial"/>
                <w:sz w:val="21"/>
              </w:rPr>
            </w:pPr>
          </w:p>
        </w:tc>
        <w:tc>
          <w:tcPr>
            <w:tcW w:w="1897" w:type="dxa"/>
            <w:vMerge w:val="continue"/>
            <w:tcBorders>
              <w:top w:val="nil"/>
              <w:right w:val="single" w:color="000000" w:sz="10" w:space="0"/>
            </w:tcBorders>
            <w:vAlign w:val="top"/>
          </w:tcPr>
          <w:p w14:paraId="3C49614A">
            <w:pPr>
              <w:rPr>
                <w:rFonts w:ascii="Arial"/>
                <w:sz w:val="21"/>
              </w:rPr>
            </w:pPr>
          </w:p>
        </w:tc>
      </w:tr>
      <w:tr w14:paraId="57CE80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73" w:hRule="atLeast"/>
        </w:trPr>
        <w:tc>
          <w:tcPr>
            <w:tcW w:w="547" w:type="dxa"/>
            <w:tcBorders>
              <w:left w:val="single" w:color="000000" w:sz="10" w:space="0"/>
            </w:tcBorders>
            <w:vAlign w:val="top"/>
          </w:tcPr>
          <w:p w14:paraId="4805F498">
            <w:pPr>
              <w:spacing w:line="302" w:lineRule="auto"/>
              <w:rPr>
                <w:rFonts w:ascii="Arial"/>
                <w:sz w:val="21"/>
              </w:rPr>
            </w:pPr>
          </w:p>
          <w:p w14:paraId="559CE4EA">
            <w:pPr>
              <w:spacing w:line="303" w:lineRule="auto"/>
              <w:rPr>
                <w:rFonts w:ascii="Arial"/>
                <w:sz w:val="21"/>
              </w:rPr>
            </w:pPr>
          </w:p>
          <w:p w14:paraId="5EB3C8FD">
            <w:pPr>
              <w:spacing w:line="303" w:lineRule="auto"/>
              <w:rPr>
                <w:rFonts w:ascii="Arial"/>
                <w:sz w:val="21"/>
              </w:rPr>
            </w:pPr>
          </w:p>
          <w:p w14:paraId="79192354">
            <w:pPr>
              <w:spacing w:before="57" w:line="195" w:lineRule="auto"/>
              <w:ind w:left="22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73" w:type="dxa"/>
            <w:vAlign w:val="top"/>
          </w:tcPr>
          <w:p w14:paraId="044E473F">
            <w:pPr>
              <w:pStyle w:val="6"/>
              <w:spacing w:before="34" w:line="232" w:lineRule="auto"/>
              <w:ind w:left="137"/>
              <w:rPr>
                <w:sz w:val="19"/>
                <w:szCs w:val="19"/>
              </w:rPr>
            </w:pPr>
            <w:r>
              <w:rPr>
                <w:spacing w:val="7"/>
                <w:sz w:val="19"/>
                <w:szCs w:val="19"/>
              </w:rPr>
              <w:t>《自然资源</w:t>
            </w:r>
          </w:p>
          <w:p w14:paraId="51159BDA">
            <w:pPr>
              <w:pStyle w:val="6"/>
              <w:spacing w:before="20" w:line="231" w:lineRule="auto"/>
              <w:ind w:left="138"/>
              <w:rPr>
                <w:sz w:val="19"/>
                <w:szCs w:val="19"/>
              </w:rPr>
            </w:pPr>
            <w:r>
              <w:rPr>
                <w:spacing w:val="6"/>
                <w:sz w:val="19"/>
                <w:szCs w:val="19"/>
              </w:rPr>
              <w:t>部关于完善</w:t>
            </w:r>
          </w:p>
          <w:p w14:paraId="45A64A70">
            <w:pPr>
              <w:pStyle w:val="6"/>
              <w:spacing w:before="20" w:line="233" w:lineRule="auto"/>
              <w:ind w:left="137"/>
              <w:rPr>
                <w:sz w:val="19"/>
                <w:szCs w:val="19"/>
              </w:rPr>
            </w:pPr>
            <w:r>
              <w:rPr>
                <w:spacing w:val="7"/>
                <w:sz w:val="19"/>
                <w:szCs w:val="19"/>
              </w:rPr>
              <w:t>矿产资源规</w:t>
            </w:r>
          </w:p>
          <w:p w14:paraId="31B534E5">
            <w:pPr>
              <w:pStyle w:val="6"/>
              <w:spacing w:before="20" w:line="231" w:lineRule="auto"/>
              <w:ind w:left="139"/>
              <w:rPr>
                <w:sz w:val="19"/>
                <w:szCs w:val="19"/>
              </w:rPr>
            </w:pPr>
            <w:r>
              <w:rPr>
                <w:spacing w:val="6"/>
                <w:sz w:val="19"/>
                <w:szCs w:val="19"/>
              </w:rPr>
              <w:t>划实施管理</w:t>
            </w:r>
          </w:p>
          <w:p w14:paraId="73386918">
            <w:pPr>
              <w:pStyle w:val="6"/>
              <w:spacing w:before="20" w:line="252" w:lineRule="auto"/>
              <w:ind w:left="57" w:right="61" w:firstLine="77"/>
              <w:jc w:val="both"/>
              <w:rPr>
                <w:sz w:val="19"/>
                <w:szCs w:val="19"/>
              </w:rPr>
            </w:pPr>
            <w:r>
              <w:rPr>
                <w:spacing w:val="7"/>
                <w:sz w:val="19"/>
                <w:szCs w:val="19"/>
              </w:rPr>
              <w:t>有关事项的</w:t>
            </w:r>
            <w:r>
              <w:rPr>
                <w:sz w:val="19"/>
                <w:szCs w:val="19"/>
              </w:rPr>
              <w:t xml:space="preserve">  </w:t>
            </w:r>
            <w:r>
              <w:rPr>
                <w:spacing w:val="-8"/>
                <w:sz w:val="19"/>
                <w:szCs w:val="19"/>
              </w:rPr>
              <w:t>通知》（</w:t>
            </w:r>
            <w:r>
              <w:rPr>
                <w:spacing w:val="-39"/>
                <w:sz w:val="19"/>
                <w:szCs w:val="19"/>
              </w:rPr>
              <w:t xml:space="preserve"> </w:t>
            </w:r>
            <w:r>
              <w:rPr>
                <w:spacing w:val="-8"/>
                <w:sz w:val="19"/>
                <w:szCs w:val="19"/>
              </w:rPr>
              <w:t>自然</w:t>
            </w:r>
            <w:r>
              <w:rPr>
                <w:sz w:val="19"/>
                <w:szCs w:val="19"/>
              </w:rPr>
              <w:t xml:space="preserve"> 资发〔</w:t>
            </w:r>
            <w:r>
              <w:rPr>
                <w:rFonts w:ascii="Times New Roman" w:hAnsi="Times New Roman" w:eastAsia="Times New Roman" w:cs="Times New Roman"/>
                <w:sz w:val="19"/>
                <w:szCs w:val="19"/>
              </w:rPr>
              <w:t>2024</w:t>
            </w:r>
            <w:r>
              <w:rPr>
                <w:sz w:val="19"/>
                <w:szCs w:val="19"/>
              </w:rPr>
              <w:t>〕</w:t>
            </w:r>
          </w:p>
          <w:p w14:paraId="1781297C">
            <w:pPr>
              <w:pStyle w:val="6"/>
              <w:spacing w:line="208" w:lineRule="auto"/>
              <w:ind w:left="306"/>
              <w:rPr>
                <w:sz w:val="19"/>
                <w:szCs w:val="19"/>
              </w:rPr>
            </w:pPr>
            <w:r>
              <w:rPr>
                <w:rFonts w:ascii="Times New Roman" w:hAnsi="Times New Roman" w:eastAsia="Times New Roman" w:cs="Times New Roman"/>
                <w:spacing w:val="-3"/>
                <w:sz w:val="19"/>
                <w:szCs w:val="19"/>
              </w:rPr>
              <w:t>53</w:t>
            </w:r>
            <w:r>
              <w:rPr>
                <w:rFonts w:ascii="Times New Roman" w:hAnsi="Times New Roman" w:eastAsia="Times New Roman" w:cs="Times New Roman"/>
                <w:spacing w:val="24"/>
                <w:w w:val="101"/>
                <w:sz w:val="19"/>
                <w:szCs w:val="19"/>
              </w:rPr>
              <w:t xml:space="preserve"> </w:t>
            </w:r>
            <w:r>
              <w:rPr>
                <w:spacing w:val="-3"/>
                <w:sz w:val="19"/>
                <w:szCs w:val="19"/>
              </w:rPr>
              <w:t>号）</w:t>
            </w:r>
          </w:p>
        </w:tc>
        <w:tc>
          <w:tcPr>
            <w:tcW w:w="6289" w:type="dxa"/>
            <w:vAlign w:val="top"/>
          </w:tcPr>
          <w:p w14:paraId="7BEA03A3">
            <w:pPr>
              <w:spacing w:line="358" w:lineRule="auto"/>
              <w:rPr>
                <w:rFonts w:ascii="Arial"/>
                <w:sz w:val="21"/>
              </w:rPr>
            </w:pPr>
          </w:p>
          <w:p w14:paraId="455AE287">
            <w:pPr>
              <w:pStyle w:val="6"/>
              <w:spacing w:before="62" w:line="231" w:lineRule="auto"/>
              <w:ind w:left="114"/>
              <w:rPr>
                <w:sz w:val="19"/>
                <w:szCs w:val="19"/>
              </w:rPr>
            </w:pPr>
            <w:r>
              <w:rPr>
                <w:spacing w:val="5"/>
                <w:sz w:val="19"/>
                <w:szCs w:val="19"/>
              </w:rPr>
              <w:t>（</w:t>
            </w:r>
            <w:r>
              <w:rPr>
                <w:spacing w:val="-55"/>
                <w:sz w:val="19"/>
                <w:szCs w:val="19"/>
              </w:rPr>
              <w:t xml:space="preserve"> </w:t>
            </w:r>
            <w:r>
              <w:rPr>
                <w:spacing w:val="5"/>
                <w:sz w:val="19"/>
                <w:szCs w:val="19"/>
              </w:rPr>
              <w:t>四）健全规划动态调整机制。</w:t>
            </w:r>
          </w:p>
          <w:p w14:paraId="537FBBB2">
            <w:pPr>
              <w:pStyle w:val="6"/>
              <w:spacing w:before="23" w:line="251" w:lineRule="auto"/>
              <w:ind w:left="110" w:right="33"/>
              <w:jc w:val="both"/>
              <w:rPr>
                <w:sz w:val="19"/>
                <w:szCs w:val="19"/>
              </w:rPr>
            </w:pPr>
            <w:r>
              <w:rPr>
                <w:spacing w:val="8"/>
                <w:sz w:val="19"/>
                <w:szCs w:val="19"/>
              </w:rPr>
              <w:t>根据地质找矿新发现、新成果，或为满足经济社会发展重要用矿需求，</w:t>
            </w:r>
            <w:r>
              <w:rPr>
                <w:sz w:val="19"/>
                <w:szCs w:val="19"/>
              </w:rPr>
              <w:t xml:space="preserve"> </w:t>
            </w:r>
            <w:r>
              <w:rPr>
                <w:spacing w:val="14"/>
                <w:sz w:val="19"/>
                <w:szCs w:val="19"/>
              </w:rPr>
              <w:t>确需新增勘查开采规划区块，或需对已有勘查开采规划区块进行调整</w:t>
            </w:r>
            <w:r>
              <w:rPr>
                <w:spacing w:val="3"/>
                <w:sz w:val="19"/>
                <w:szCs w:val="19"/>
              </w:rPr>
              <w:t xml:space="preserve"> </w:t>
            </w:r>
            <w:r>
              <w:rPr>
                <w:spacing w:val="7"/>
                <w:sz w:val="19"/>
                <w:szCs w:val="19"/>
              </w:rPr>
              <w:t>的，在与国土空间规划充分衔接的基础上，由规划编制机关提出调整方</w:t>
            </w:r>
            <w:r>
              <w:rPr>
                <w:spacing w:val="16"/>
                <w:sz w:val="19"/>
                <w:szCs w:val="19"/>
              </w:rPr>
              <w:t xml:space="preserve"> </w:t>
            </w:r>
            <w:r>
              <w:rPr>
                <w:spacing w:val="9"/>
                <w:sz w:val="19"/>
                <w:szCs w:val="19"/>
              </w:rPr>
              <w:t>案，通过规划管理系统报原审批机关检查通过后上图入库。</w:t>
            </w:r>
          </w:p>
        </w:tc>
        <w:tc>
          <w:tcPr>
            <w:tcW w:w="4465" w:type="dxa"/>
            <w:vAlign w:val="top"/>
          </w:tcPr>
          <w:p w14:paraId="20C0FBAB">
            <w:pPr>
              <w:spacing w:line="250" w:lineRule="auto"/>
              <w:rPr>
                <w:rFonts w:ascii="Arial"/>
                <w:sz w:val="21"/>
              </w:rPr>
            </w:pPr>
          </w:p>
          <w:p w14:paraId="3A7A1DE5">
            <w:pPr>
              <w:spacing w:line="251" w:lineRule="auto"/>
              <w:rPr>
                <w:rFonts w:ascii="Arial"/>
                <w:sz w:val="21"/>
              </w:rPr>
            </w:pPr>
          </w:p>
          <w:p w14:paraId="6EACF794">
            <w:pPr>
              <w:pStyle w:val="6"/>
              <w:spacing w:before="61" w:line="252" w:lineRule="auto"/>
              <w:ind w:left="121" w:right="41" w:firstLine="300"/>
              <w:jc w:val="both"/>
              <w:rPr>
                <w:sz w:val="19"/>
                <w:szCs w:val="19"/>
              </w:rPr>
            </w:pPr>
            <w:r>
              <w:rPr>
                <w:spacing w:val="8"/>
                <w:sz w:val="19"/>
                <w:szCs w:val="19"/>
              </w:rPr>
              <w:t>本次《规划调整》新增</w:t>
            </w:r>
            <w:r>
              <w:rPr>
                <w:spacing w:val="-16"/>
                <w:sz w:val="19"/>
                <w:szCs w:val="19"/>
              </w:rPr>
              <w:t xml:space="preserve"> </w:t>
            </w:r>
            <w:r>
              <w:rPr>
                <w:rFonts w:ascii="Times New Roman" w:hAnsi="Times New Roman" w:eastAsia="Times New Roman" w:cs="Times New Roman"/>
                <w:spacing w:val="8"/>
                <w:sz w:val="19"/>
                <w:szCs w:val="19"/>
              </w:rPr>
              <w:t>1</w:t>
            </w:r>
            <w:r>
              <w:rPr>
                <w:rFonts w:ascii="Times New Roman" w:hAnsi="Times New Roman" w:eastAsia="Times New Roman" w:cs="Times New Roman"/>
                <w:spacing w:val="21"/>
                <w:sz w:val="19"/>
                <w:szCs w:val="19"/>
              </w:rPr>
              <w:t xml:space="preserve"> </w:t>
            </w:r>
            <w:r>
              <w:rPr>
                <w:spacing w:val="8"/>
                <w:sz w:val="19"/>
                <w:szCs w:val="19"/>
              </w:rPr>
              <w:t>个勘查区块，调整</w:t>
            </w:r>
            <w:r>
              <w:rPr>
                <w:spacing w:val="-19"/>
                <w:sz w:val="19"/>
                <w:szCs w:val="19"/>
              </w:rPr>
              <w:t xml:space="preserve"> </w:t>
            </w:r>
            <w:r>
              <w:rPr>
                <w:rFonts w:ascii="Times New Roman" w:hAnsi="Times New Roman" w:eastAsia="Times New Roman" w:cs="Times New Roman"/>
                <w:spacing w:val="8"/>
                <w:sz w:val="19"/>
                <w:szCs w:val="19"/>
              </w:rPr>
              <w:t>1</w:t>
            </w:r>
            <w:r>
              <w:rPr>
                <w:rFonts w:ascii="Times New Roman" w:hAnsi="Times New Roman" w:eastAsia="Times New Roman" w:cs="Times New Roman"/>
                <w:sz w:val="19"/>
                <w:szCs w:val="19"/>
              </w:rPr>
              <w:t xml:space="preserve"> </w:t>
            </w:r>
            <w:r>
              <w:rPr>
                <w:spacing w:val="3"/>
                <w:sz w:val="19"/>
                <w:szCs w:val="19"/>
              </w:rPr>
              <w:t>个勘查区块，取消</w:t>
            </w:r>
            <w:r>
              <w:rPr>
                <w:spacing w:val="-15"/>
                <w:sz w:val="19"/>
                <w:szCs w:val="19"/>
              </w:rPr>
              <w:t xml:space="preserve"> </w:t>
            </w:r>
            <w:r>
              <w:rPr>
                <w:rFonts w:ascii="Times New Roman" w:hAnsi="Times New Roman" w:eastAsia="Times New Roman" w:cs="Times New Roman"/>
                <w:spacing w:val="3"/>
                <w:sz w:val="19"/>
                <w:szCs w:val="19"/>
              </w:rPr>
              <w:t>1</w:t>
            </w:r>
            <w:r>
              <w:rPr>
                <w:rFonts w:ascii="Times New Roman" w:hAnsi="Times New Roman" w:eastAsia="Times New Roman" w:cs="Times New Roman"/>
                <w:spacing w:val="16"/>
                <w:w w:val="101"/>
                <w:sz w:val="19"/>
                <w:szCs w:val="19"/>
              </w:rPr>
              <w:t xml:space="preserve"> </w:t>
            </w:r>
            <w:r>
              <w:rPr>
                <w:spacing w:val="3"/>
                <w:sz w:val="19"/>
                <w:szCs w:val="19"/>
              </w:rPr>
              <w:t>个开采区块，属于上述矿产资</w:t>
            </w:r>
            <w:r>
              <w:rPr>
                <w:sz w:val="19"/>
                <w:szCs w:val="19"/>
              </w:rPr>
              <w:t xml:space="preserve"> </w:t>
            </w:r>
            <w:r>
              <w:rPr>
                <w:spacing w:val="7"/>
                <w:sz w:val="19"/>
                <w:szCs w:val="19"/>
              </w:rPr>
              <w:t>源规划可调整情形。符合。</w:t>
            </w:r>
          </w:p>
        </w:tc>
        <w:tc>
          <w:tcPr>
            <w:tcW w:w="1897" w:type="dxa"/>
            <w:tcBorders>
              <w:right w:val="single" w:color="000000" w:sz="10" w:space="0"/>
            </w:tcBorders>
            <w:vAlign w:val="top"/>
          </w:tcPr>
          <w:p w14:paraId="3C32AC1F">
            <w:pPr>
              <w:spacing w:line="304" w:lineRule="auto"/>
              <w:rPr>
                <w:rFonts w:ascii="Arial"/>
                <w:sz w:val="21"/>
              </w:rPr>
            </w:pPr>
          </w:p>
          <w:p w14:paraId="1E1F7A74">
            <w:pPr>
              <w:spacing w:line="304" w:lineRule="auto"/>
              <w:rPr>
                <w:rFonts w:ascii="Arial"/>
                <w:sz w:val="21"/>
              </w:rPr>
            </w:pPr>
          </w:p>
          <w:p w14:paraId="7581FBBB">
            <w:pPr>
              <w:spacing w:line="304" w:lineRule="auto"/>
              <w:rPr>
                <w:rFonts w:ascii="Arial"/>
                <w:sz w:val="21"/>
              </w:rPr>
            </w:pPr>
          </w:p>
          <w:p w14:paraId="4E82A583">
            <w:pPr>
              <w:spacing w:before="54" w:line="199" w:lineRule="auto"/>
              <w:ind w:left="923"/>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r>
      <w:tr w14:paraId="3B26FF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8" w:hRule="atLeast"/>
        </w:trPr>
        <w:tc>
          <w:tcPr>
            <w:tcW w:w="547" w:type="dxa"/>
            <w:tcBorders>
              <w:left w:val="single" w:color="000000" w:sz="10" w:space="0"/>
            </w:tcBorders>
            <w:vAlign w:val="top"/>
          </w:tcPr>
          <w:p w14:paraId="4D0AD58D">
            <w:pPr>
              <w:spacing w:line="419" w:lineRule="auto"/>
              <w:rPr>
                <w:rFonts w:ascii="Arial"/>
                <w:sz w:val="21"/>
              </w:rPr>
            </w:pPr>
          </w:p>
          <w:p w14:paraId="5CEE80C0">
            <w:pPr>
              <w:spacing w:before="58" w:line="195" w:lineRule="auto"/>
              <w:ind w:left="20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273" w:type="dxa"/>
            <w:vAlign w:val="top"/>
          </w:tcPr>
          <w:p w14:paraId="2191888C">
            <w:pPr>
              <w:pStyle w:val="6"/>
              <w:spacing w:before="41" w:line="230" w:lineRule="auto"/>
              <w:ind w:left="137"/>
              <w:rPr>
                <w:sz w:val="19"/>
                <w:szCs w:val="19"/>
              </w:rPr>
            </w:pPr>
            <w:r>
              <w:rPr>
                <w:spacing w:val="7"/>
                <w:sz w:val="19"/>
                <w:szCs w:val="19"/>
              </w:rPr>
              <w:t>《自然保护</w:t>
            </w:r>
          </w:p>
          <w:p w14:paraId="641D5BB9">
            <w:pPr>
              <w:pStyle w:val="6"/>
              <w:spacing w:before="21" w:line="233" w:lineRule="auto"/>
              <w:ind w:left="70"/>
              <w:rPr>
                <w:sz w:val="20"/>
                <w:szCs w:val="20"/>
              </w:rPr>
            </w:pPr>
            <w:r>
              <w:rPr>
                <w:spacing w:val="-4"/>
                <w:sz w:val="19"/>
                <w:szCs w:val="19"/>
              </w:rPr>
              <w:t>区条例》</w:t>
            </w:r>
            <w:r>
              <w:rPr>
                <w:spacing w:val="-4"/>
                <w:sz w:val="20"/>
                <w:szCs w:val="20"/>
              </w:rPr>
              <w:t>（国</w:t>
            </w:r>
          </w:p>
          <w:p w14:paraId="461E2E3B">
            <w:pPr>
              <w:pStyle w:val="6"/>
              <w:spacing w:before="21" w:line="231" w:lineRule="auto"/>
              <w:ind w:left="223"/>
              <w:rPr>
                <w:sz w:val="20"/>
                <w:szCs w:val="20"/>
              </w:rPr>
            </w:pPr>
            <w:r>
              <w:rPr>
                <w:spacing w:val="4"/>
                <w:sz w:val="20"/>
                <w:szCs w:val="20"/>
              </w:rPr>
              <w:t>务院令第</w:t>
            </w:r>
          </w:p>
          <w:p w14:paraId="5D380A3A">
            <w:pPr>
              <w:pStyle w:val="6"/>
              <w:spacing w:before="21" w:line="206" w:lineRule="auto"/>
              <w:ind w:left="238"/>
              <w:rPr>
                <w:sz w:val="20"/>
                <w:szCs w:val="20"/>
              </w:rPr>
            </w:pPr>
            <w:r>
              <w:rPr>
                <w:rFonts w:ascii="Times New Roman" w:hAnsi="Times New Roman" w:eastAsia="Times New Roman" w:cs="Times New Roman"/>
                <w:spacing w:val="-1"/>
                <w:sz w:val="20"/>
                <w:szCs w:val="20"/>
              </w:rPr>
              <w:t>687</w:t>
            </w:r>
            <w:r>
              <w:rPr>
                <w:rFonts w:ascii="Times New Roman" w:hAnsi="Times New Roman" w:eastAsia="Times New Roman" w:cs="Times New Roman"/>
                <w:spacing w:val="21"/>
                <w:sz w:val="20"/>
                <w:szCs w:val="20"/>
              </w:rPr>
              <w:t xml:space="preserve"> </w:t>
            </w:r>
            <w:r>
              <w:rPr>
                <w:spacing w:val="-1"/>
                <w:sz w:val="20"/>
                <w:szCs w:val="20"/>
              </w:rPr>
              <w:t>号）</w:t>
            </w:r>
          </w:p>
        </w:tc>
        <w:tc>
          <w:tcPr>
            <w:tcW w:w="6289" w:type="dxa"/>
            <w:vAlign w:val="top"/>
          </w:tcPr>
          <w:p w14:paraId="27552D00">
            <w:pPr>
              <w:pStyle w:val="6"/>
              <w:spacing w:before="188" w:line="252" w:lineRule="auto"/>
              <w:ind w:left="56" w:right="50" w:firstLine="405"/>
              <w:rPr>
                <w:sz w:val="19"/>
                <w:szCs w:val="19"/>
              </w:rPr>
            </w:pPr>
            <w:r>
              <w:rPr>
                <w:spacing w:val="11"/>
                <w:sz w:val="19"/>
                <w:szCs w:val="19"/>
              </w:rPr>
              <w:t>第二十六条</w:t>
            </w:r>
            <w:r>
              <w:rPr>
                <w:spacing w:val="47"/>
                <w:sz w:val="19"/>
                <w:szCs w:val="19"/>
              </w:rPr>
              <w:t xml:space="preserve"> </w:t>
            </w:r>
            <w:r>
              <w:rPr>
                <w:spacing w:val="11"/>
                <w:sz w:val="19"/>
                <w:szCs w:val="19"/>
              </w:rPr>
              <w:t>禁止在自然保护区内进行砍伐、放牧、狩猎、捕捞、</w:t>
            </w:r>
            <w:r>
              <w:rPr>
                <w:sz w:val="19"/>
                <w:szCs w:val="19"/>
              </w:rPr>
              <w:t xml:space="preserve"> </w:t>
            </w:r>
            <w:r>
              <w:rPr>
                <w:spacing w:val="9"/>
                <w:sz w:val="19"/>
                <w:szCs w:val="19"/>
              </w:rPr>
              <w:t>采药、开垦、烧荒、开矿、采石、挖沙等活动；但是，法律、行政法规</w:t>
            </w:r>
            <w:r>
              <w:rPr>
                <w:spacing w:val="7"/>
                <w:sz w:val="19"/>
                <w:szCs w:val="19"/>
              </w:rPr>
              <w:t xml:space="preserve"> </w:t>
            </w:r>
            <w:r>
              <w:rPr>
                <w:spacing w:val="6"/>
                <w:sz w:val="19"/>
                <w:szCs w:val="19"/>
              </w:rPr>
              <w:t>另有规定的除外。</w:t>
            </w:r>
          </w:p>
        </w:tc>
        <w:tc>
          <w:tcPr>
            <w:tcW w:w="4465" w:type="dxa"/>
            <w:vMerge w:val="restart"/>
            <w:tcBorders>
              <w:bottom w:val="nil"/>
            </w:tcBorders>
            <w:vAlign w:val="top"/>
          </w:tcPr>
          <w:p w14:paraId="33782D29">
            <w:pPr>
              <w:spacing w:line="260" w:lineRule="auto"/>
              <w:rPr>
                <w:rFonts w:ascii="Arial"/>
                <w:sz w:val="21"/>
              </w:rPr>
            </w:pPr>
          </w:p>
          <w:p w14:paraId="0B9C7865">
            <w:pPr>
              <w:spacing w:line="260" w:lineRule="auto"/>
              <w:rPr>
                <w:rFonts w:ascii="Arial"/>
                <w:sz w:val="21"/>
              </w:rPr>
            </w:pPr>
          </w:p>
          <w:p w14:paraId="13483A0B">
            <w:pPr>
              <w:spacing w:line="260" w:lineRule="auto"/>
              <w:rPr>
                <w:rFonts w:ascii="Arial"/>
                <w:sz w:val="21"/>
              </w:rPr>
            </w:pPr>
          </w:p>
          <w:p w14:paraId="37D1F213">
            <w:pPr>
              <w:spacing w:line="260" w:lineRule="auto"/>
              <w:rPr>
                <w:rFonts w:ascii="Arial"/>
                <w:sz w:val="21"/>
              </w:rPr>
            </w:pPr>
          </w:p>
          <w:p w14:paraId="14342849">
            <w:pPr>
              <w:spacing w:line="260" w:lineRule="auto"/>
              <w:rPr>
                <w:rFonts w:ascii="Arial"/>
                <w:sz w:val="21"/>
              </w:rPr>
            </w:pPr>
          </w:p>
          <w:p w14:paraId="5D94A5F3">
            <w:pPr>
              <w:spacing w:line="260" w:lineRule="auto"/>
              <w:rPr>
                <w:rFonts w:ascii="Arial"/>
                <w:sz w:val="21"/>
              </w:rPr>
            </w:pPr>
          </w:p>
          <w:p w14:paraId="08D6C673">
            <w:pPr>
              <w:spacing w:line="260" w:lineRule="auto"/>
              <w:rPr>
                <w:rFonts w:ascii="Arial"/>
                <w:sz w:val="21"/>
              </w:rPr>
            </w:pPr>
          </w:p>
          <w:p w14:paraId="458C7822">
            <w:pPr>
              <w:spacing w:line="260" w:lineRule="auto"/>
              <w:rPr>
                <w:rFonts w:ascii="Arial"/>
                <w:sz w:val="21"/>
              </w:rPr>
            </w:pPr>
          </w:p>
          <w:p w14:paraId="02BF7E52">
            <w:pPr>
              <w:pStyle w:val="6"/>
              <w:spacing w:before="61" w:line="251" w:lineRule="auto"/>
              <w:ind w:left="100" w:right="41" w:firstLine="326"/>
              <w:rPr>
                <w:sz w:val="19"/>
                <w:szCs w:val="19"/>
              </w:rPr>
            </w:pPr>
            <w:r>
              <w:rPr>
                <w:spacing w:val="5"/>
                <w:sz w:val="19"/>
                <w:szCs w:val="19"/>
              </w:rPr>
              <w:t>本次评价的</w:t>
            </w:r>
            <w:r>
              <w:rPr>
                <w:spacing w:val="-20"/>
                <w:sz w:val="19"/>
                <w:szCs w:val="19"/>
              </w:rPr>
              <w:t xml:space="preserve"> </w:t>
            </w:r>
            <w:r>
              <w:rPr>
                <w:rFonts w:ascii="Times New Roman" w:hAnsi="Times New Roman" w:eastAsia="Times New Roman" w:cs="Times New Roman"/>
                <w:spacing w:val="5"/>
                <w:sz w:val="19"/>
                <w:szCs w:val="19"/>
              </w:rPr>
              <w:t>3</w:t>
            </w:r>
            <w:r>
              <w:rPr>
                <w:rFonts w:ascii="Times New Roman" w:hAnsi="Times New Roman" w:eastAsia="Times New Roman" w:cs="Times New Roman"/>
                <w:spacing w:val="18"/>
                <w:sz w:val="19"/>
                <w:szCs w:val="19"/>
              </w:rPr>
              <w:t xml:space="preserve"> </w:t>
            </w:r>
            <w:r>
              <w:rPr>
                <w:spacing w:val="5"/>
                <w:sz w:val="19"/>
                <w:szCs w:val="19"/>
              </w:rPr>
              <w:t>个勘查区块和</w:t>
            </w:r>
            <w:r>
              <w:rPr>
                <w:spacing w:val="-21"/>
                <w:sz w:val="19"/>
                <w:szCs w:val="19"/>
              </w:rPr>
              <w:t xml:space="preserve"> </w:t>
            </w:r>
            <w:r>
              <w:rPr>
                <w:rFonts w:ascii="Times New Roman" w:hAnsi="Times New Roman" w:eastAsia="Times New Roman" w:cs="Times New Roman"/>
                <w:spacing w:val="5"/>
                <w:sz w:val="19"/>
                <w:szCs w:val="19"/>
              </w:rPr>
              <w:t>1</w:t>
            </w:r>
            <w:r>
              <w:rPr>
                <w:rFonts w:ascii="Times New Roman" w:hAnsi="Times New Roman" w:eastAsia="Times New Roman" w:cs="Times New Roman"/>
                <w:spacing w:val="18"/>
                <w:sz w:val="19"/>
                <w:szCs w:val="19"/>
              </w:rPr>
              <w:t xml:space="preserve"> </w:t>
            </w:r>
            <w:r>
              <w:rPr>
                <w:spacing w:val="5"/>
                <w:sz w:val="19"/>
                <w:szCs w:val="19"/>
              </w:rPr>
              <w:t>个开采区块均不</w:t>
            </w:r>
            <w:r>
              <w:rPr>
                <w:sz w:val="19"/>
                <w:szCs w:val="19"/>
              </w:rPr>
              <w:t xml:space="preserve"> </w:t>
            </w:r>
            <w:r>
              <w:rPr>
                <w:spacing w:val="4"/>
                <w:sz w:val="19"/>
                <w:szCs w:val="19"/>
              </w:rPr>
              <w:t>占用自然保护区。符合。</w:t>
            </w:r>
          </w:p>
        </w:tc>
        <w:tc>
          <w:tcPr>
            <w:tcW w:w="1897" w:type="dxa"/>
            <w:vMerge w:val="restart"/>
            <w:tcBorders>
              <w:bottom w:val="nil"/>
              <w:right w:val="single" w:color="000000" w:sz="10" w:space="0"/>
            </w:tcBorders>
            <w:vAlign w:val="top"/>
          </w:tcPr>
          <w:p w14:paraId="08D219DA">
            <w:pPr>
              <w:spacing w:line="262" w:lineRule="auto"/>
              <w:rPr>
                <w:rFonts w:ascii="Arial"/>
                <w:sz w:val="21"/>
              </w:rPr>
            </w:pPr>
          </w:p>
          <w:p w14:paraId="2F26B5B7">
            <w:pPr>
              <w:spacing w:line="262" w:lineRule="auto"/>
              <w:rPr>
                <w:rFonts w:ascii="Arial"/>
                <w:sz w:val="21"/>
              </w:rPr>
            </w:pPr>
          </w:p>
          <w:p w14:paraId="33D49494">
            <w:pPr>
              <w:spacing w:line="262" w:lineRule="auto"/>
              <w:rPr>
                <w:rFonts w:ascii="Arial"/>
                <w:sz w:val="21"/>
              </w:rPr>
            </w:pPr>
          </w:p>
          <w:p w14:paraId="5B2BB0FC">
            <w:pPr>
              <w:spacing w:line="262" w:lineRule="auto"/>
              <w:rPr>
                <w:rFonts w:ascii="Arial"/>
                <w:sz w:val="21"/>
              </w:rPr>
            </w:pPr>
          </w:p>
          <w:p w14:paraId="7A558F2E">
            <w:pPr>
              <w:spacing w:line="262" w:lineRule="auto"/>
              <w:rPr>
                <w:rFonts w:ascii="Arial"/>
                <w:sz w:val="21"/>
              </w:rPr>
            </w:pPr>
          </w:p>
          <w:p w14:paraId="77F76779">
            <w:pPr>
              <w:spacing w:line="262" w:lineRule="auto"/>
              <w:rPr>
                <w:rFonts w:ascii="Arial"/>
                <w:sz w:val="21"/>
              </w:rPr>
            </w:pPr>
          </w:p>
          <w:p w14:paraId="68BA607C">
            <w:pPr>
              <w:spacing w:line="262" w:lineRule="auto"/>
              <w:rPr>
                <w:rFonts w:ascii="Arial"/>
                <w:sz w:val="21"/>
              </w:rPr>
            </w:pPr>
          </w:p>
          <w:p w14:paraId="4485071A">
            <w:pPr>
              <w:spacing w:line="263" w:lineRule="auto"/>
              <w:rPr>
                <w:rFonts w:ascii="Arial"/>
                <w:sz w:val="21"/>
              </w:rPr>
            </w:pPr>
          </w:p>
          <w:p w14:paraId="79544B5C">
            <w:pPr>
              <w:spacing w:line="263" w:lineRule="auto"/>
              <w:rPr>
                <w:rFonts w:ascii="Arial"/>
                <w:sz w:val="21"/>
              </w:rPr>
            </w:pPr>
          </w:p>
          <w:p w14:paraId="7B37DC4C">
            <w:pPr>
              <w:spacing w:before="55" w:line="199" w:lineRule="auto"/>
              <w:ind w:left="923"/>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r>
      <w:tr w14:paraId="1C069C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4" w:hRule="atLeast"/>
        </w:trPr>
        <w:tc>
          <w:tcPr>
            <w:tcW w:w="547" w:type="dxa"/>
            <w:tcBorders>
              <w:left w:val="single" w:color="000000" w:sz="10" w:space="0"/>
            </w:tcBorders>
            <w:vAlign w:val="top"/>
          </w:tcPr>
          <w:p w14:paraId="6EC5355E">
            <w:pPr>
              <w:spacing w:line="260" w:lineRule="auto"/>
              <w:rPr>
                <w:rFonts w:ascii="Arial"/>
                <w:sz w:val="21"/>
              </w:rPr>
            </w:pPr>
          </w:p>
          <w:p w14:paraId="78235BD1">
            <w:pPr>
              <w:spacing w:line="260" w:lineRule="auto"/>
              <w:rPr>
                <w:rFonts w:ascii="Arial"/>
                <w:sz w:val="21"/>
              </w:rPr>
            </w:pPr>
          </w:p>
          <w:p w14:paraId="22675F6B">
            <w:pPr>
              <w:spacing w:line="260" w:lineRule="auto"/>
              <w:rPr>
                <w:rFonts w:ascii="Arial"/>
                <w:sz w:val="21"/>
              </w:rPr>
            </w:pPr>
          </w:p>
          <w:p w14:paraId="65BD9D15">
            <w:pPr>
              <w:spacing w:line="260" w:lineRule="auto"/>
              <w:rPr>
                <w:rFonts w:ascii="Arial"/>
                <w:sz w:val="21"/>
              </w:rPr>
            </w:pPr>
          </w:p>
          <w:p w14:paraId="540D4350">
            <w:pPr>
              <w:spacing w:line="260" w:lineRule="auto"/>
              <w:rPr>
                <w:rFonts w:ascii="Arial"/>
                <w:sz w:val="21"/>
              </w:rPr>
            </w:pPr>
          </w:p>
          <w:p w14:paraId="5AA3339C">
            <w:pPr>
              <w:spacing w:line="260" w:lineRule="auto"/>
              <w:rPr>
                <w:rFonts w:ascii="Arial"/>
                <w:sz w:val="21"/>
              </w:rPr>
            </w:pPr>
          </w:p>
          <w:p w14:paraId="2844A2E5">
            <w:pPr>
              <w:spacing w:line="261" w:lineRule="auto"/>
              <w:rPr>
                <w:rFonts w:ascii="Arial"/>
                <w:sz w:val="21"/>
              </w:rPr>
            </w:pPr>
          </w:p>
          <w:p w14:paraId="168A43DA">
            <w:pPr>
              <w:spacing w:before="58" w:line="195" w:lineRule="auto"/>
              <w:ind w:left="21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273" w:type="dxa"/>
            <w:vAlign w:val="top"/>
          </w:tcPr>
          <w:p w14:paraId="5549A749">
            <w:pPr>
              <w:spacing w:line="294" w:lineRule="auto"/>
              <w:rPr>
                <w:rFonts w:ascii="Arial"/>
                <w:sz w:val="21"/>
              </w:rPr>
            </w:pPr>
          </w:p>
          <w:p w14:paraId="06AFAA07">
            <w:pPr>
              <w:spacing w:line="295" w:lineRule="auto"/>
              <w:rPr>
                <w:rFonts w:ascii="Arial"/>
                <w:sz w:val="21"/>
              </w:rPr>
            </w:pPr>
          </w:p>
          <w:p w14:paraId="0B6226ED">
            <w:pPr>
              <w:spacing w:line="295" w:lineRule="auto"/>
              <w:rPr>
                <w:rFonts w:ascii="Arial"/>
                <w:sz w:val="21"/>
              </w:rPr>
            </w:pPr>
          </w:p>
          <w:p w14:paraId="29ED42F4">
            <w:pPr>
              <w:pStyle w:val="6"/>
              <w:spacing w:before="62" w:line="233" w:lineRule="auto"/>
              <w:ind w:left="137"/>
              <w:rPr>
                <w:sz w:val="19"/>
                <w:szCs w:val="19"/>
              </w:rPr>
            </w:pPr>
            <w:r>
              <w:rPr>
                <w:spacing w:val="8"/>
                <w:sz w:val="19"/>
                <w:szCs w:val="19"/>
              </w:rPr>
              <w:t>《关于进一</w:t>
            </w:r>
          </w:p>
          <w:p w14:paraId="148A18C9">
            <w:pPr>
              <w:pStyle w:val="6"/>
              <w:spacing w:before="18" w:line="232" w:lineRule="auto"/>
              <w:ind w:left="139"/>
              <w:rPr>
                <w:sz w:val="19"/>
                <w:szCs w:val="19"/>
              </w:rPr>
            </w:pPr>
            <w:r>
              <w:rPr>
                <w:spacing w:val="6"/>
                <w:sz w:val="19"/>
                <w:szCs w:val="19"/>
              </w:rPr>
              <w:t>步加强涉及</w:t>
            </w:r>
          </w:p>
          <w:p w14:paraId="0FE66C59">
            <w:pPr>
              <w:pStyle w:val="6"/>
              <w:spacing w:before="20" w:line="230" w:lineRule="auto"/>
              <w:ind w:left="174"/>
              <w:rPr>
                <w:sz w:val="19"/>
                <w:szCs w:val="19"/>
              </w:rPr>
            </w:pPr>
            <w:r>
              <w:rPr>
                <w:spacing w:val="-1"/>
                <w:sz w:val="19"/>
                <w:szCs w:val="19"/>
              </w:rPr>
              <w:t>自然保护区</w:t>
            </w:r>
          </w:p>
          <w:p w14:paraId="2D995378">
            <w:pPr>
              <w:pStyle w:val="6"/>
              <w:spacing w:before="22" w:line="231" w:lineRule="auto"/>
              <w:ind w:left="137"/>
              <w:rPr>
                <w:sz w:val="19"/>
                <w:szCs w:val="19"/>
              </w:rPr>
            </w:pPr>
            <w:r>
              <w:rPr>
                <w:spacing w:val="7"/>
                <w:sz w:val="19"/>
                <w:szCs w:val="19"/>
              </w:rPr>
              <w:t>开发建设活</w:t>
            </w:r>
          </w:p>
          <w:p w14:paraId="1A834FC3">
            <w:pPr>
              <w:pStyle w:val="6"/>
              <w:spacing w:before="21" w:line="232" w:lineRule="auto"/>
              <w:ind w:left="139"/>
              <w:rPr>
                <w:sz w:val="19"/>
                <w:szCs w:val="19"/>
              </w:rPr>
            </w:pPr>
            <w:r>
              <w:rPr>
                <w:spacing w:val="6"/>
                <w:sz w:val="19"/>
                <w:szCs w:val="19"/>
              </w:rPr>
              <w:t>动监督管理</w:t>
            </w:r>
          </w:p>
          <w:p w14:paraId="0B326675">
            <w:pPr>
              <w:pStyle w:val="6"/>
              <w:spacing w:before="21" w:line="231" w:lineRule="auto"/>
              <w:ind w:left="65"/>
              <w:rPr>
                <w:sz w:val="19"/>
                <w:szCs w:val="19"/>
              </w:rPr>
            </w:pPr>
            <w:r>
              <w:rPr>
                <w:sz w:val="19"/>
                <w:szCs w:val="19"/>
              </w:rPr>
              <w:t>的通知》（环</w:t>
            </w:r>
          </w:p>
          <w:p w14:paraId="7C0DAB43">
            <w:pPr>
              <w:pStyle w:val="6"/>
              <w:spacing w:before="21" w:line="221" w:lineRule="auto"/>
              <w:ind w:left="176"/>
              <w:rPr>
                <w:rFonts w:ascii="Times New Roman" w:hAnsi="Times New Roman" w:eastAsia="Times New Roman" w:cs="Times New Roman"/>
                <w:sz w:val="19"/>
                <w:szCs w:val="19"/>
              </w:rPr>
            </w:pPr>
            <w:r>
              <w:rPr>
                <w:spacing w:val="3"/>
                <w:sz w:val="19"/>
                <w:szCs w:val="19"/>
              </w:rPr>
              <w:t>发</w:t>
            </w:r>
            <w:r>
              <w:rPr>
                <w:rFonts w:ascii="Times New Roman" w:hAnsi="Times New Roman" w:eastAsia="Times New Roman" w:cs="Times New Roman"/>
                <w:spacing w:val="3"/>
                <w:sz w:val="19"/>
                <w:szCs w:val="19"/>
              </w:rPr>
              <w:t>[2015]57</w:t>
            </w:r>
          </w:p>
          <w:p w14:paraId="5E2DF189">
            <w:pPr>
              <w:pStyle w:val="6"/>
              <w:spacing w:before="31" w:line="233" w:lineRule="auto"/>
              <w:ind w:left="442"/>
              <w:rPr>
                <w:sz w:val="19"/>
                <w:szCs w:val="19"/>
              </w:rPr>
            </w:pPr>
            <w:r>
              <w:rPr>
                <w:spacing w:val="-5"/>
                <w:sz w:val="19"/>
                <w:szCs w:val="19"/>
              </w:rPr>
              <w:t>号）</w:t>
            </w:r>
          </w:p>
        </w:tc>
        <w:tc>
          <w:tcPr>
            <w:tcW w:w="6289" w:type="dxa"/>
            <w:vAlign w:val="top"/>
          </w:tcPr>
          <w:p w14:paraId="45D115E8">
            <w:pPr>
              <w:pStyle w:val="6"/>
              <w:spacing w:before="43" w:line="252" w:lineRule="auto"/>
              <w:ind w:left="66" w:right="48" w:firstLine="424"/>
              <w:rPr>
                <w:sz w:val="19"/>
                <w:szCs w:val="19"/>
              </w:rPr>
            </w:pPr>
            <w:r>
              <w:rPr>
                <w:spacing w:val="8"/>
                <w:sz w:val="19"/>
                <w:szCs w:val="19"/>
              </w:rPr>
              <w:t>自然保护区属于禁止开发区域，严禁在自然保护区内开展不符合功</w:t>
            </w:r>
            <w:r>
              <w:rPr>
                <w:spacing w:val="2"/>
                <w:sz w:val="19"/>
                <w:szCs w:val="19"/>
              </w:rPr>
              <w:t xml:space="preserve"> </w:t>
            </w:r>
            <w:r>
              <w:rPr>
                <w:spacing w:val="6"/>
                <w:sz w:val="19"/>
                <w:szCs w:val="19"/>
              </w:rPr>
              <w:t>能定位的开发建设活动。</w:t>
            </w:r>
          </w:p>
          <w:p w14:paraId="69449C72">
            <w:pPr>
              <w:pStyle w:val="6"/>
              <w:spacing w:before="1" w:line="251" w:lineRule="auto"/>
              <w:ind w:left="66" w:right="50" w:firstLine="353"/>
              <w:rPr>
                <w:sz w:val="19"/>
                <w:szCs w:val="19"/>
              </w:rPr>
            </w:pPr>
            <w:r>
              <w:rPr>
                <w:spacing w:val="10"/>
                <w:sz w:val="19"/>
                <w:szCs w:val="19"/>
              </w:rPr>
              <w:t>禁止在自然保护区内进行开矿、开垦、挖沙、采石等法律明令禁止</w:t>
            </w:r>
            <w:r>
              <w:rPr>
                <w:spacing w:val="11"/>
                <w:sz w:val="19"/>
                <w:szCs w:val="19"/>
              </w:rPr>
              <w:t xml:space="preserve"> </w:t>
            </w:r>
            <w:r>
              <w:rPr>
                <w:spacing w:val="1"/>
                <w:sz w:val="19"/>
                <w:szCs w:val="19"/>
              </w:rPr>
              <w:t>的活动。</w:t>
            </w:r>
          </w:p>
          <w:p w14:paraId="2A29126E">
            <w:pPr>
              <w:pStyle w:val="6"/>
              <w:spacing w:before="8" w:line="251" w:lineRule="auto"/>
              <w:ind w:left="54" w:right="48" w:firstLine="362"/>
              <w:jc w:val="both"/>
              <w:rPr>
                <w:sz w:val="19"/>
                <w:szCs w:val="19"/>
              </w:rPr>
            </w:pPr>
            <w:r>
              <w:rPr>
                <w:spacing w:val="10"/>
                <w:sz w:val="19"/>
                <w:szCs w:val="19"/>
              </w:rPr>
              <w:t>对自然保护区内已设置的商业探矿权、采矿权和取水权，要限期退</w:t>
            </w:r>
            <w:r>
              <w:rPr>
                <w:spacing w:val="15"/>
                <w:sz w:val="19"/>
                <w:szCs w:val="19"/>
              </w:rPr>
              <w:t xml:space="preserve"> </w:t>
            </w:r>
            <w:r>
              <w:rPr>
                <w:spacing w:val="9"/>
                <w:sz w:val="19"/>
                <w:szCs w:val="19"/>
              </w:rPr>
              <w:t xml:space="preserve">出；对自然保护区设立之前已存在的合法探矿权、采矿权和取水权，以 </w:t>
            </w:r>
            <w:r>
              <w:rPr>
                <w:spacing w:val="16"/>
                <w:sz w:val="19"/>
                <w:szCs w:val="19"/>
              </w:rPr>
              <w:t>及自然保护区设立之后各项手续完备且已征得保护区主管部门同</w:t>
            </w:r>
            <w:r>
              <w:rPr>
                <w:spacing w:val="15"/>
                <w:sz w:val="19"/>
                <w:szCs w:val="19"/>
              </w:rPr>
              <w:t>意设</w:t>
            </w:r>
            <w:r>
              <w:rPr>
                <w:sz w:val="19"/>
                <w:szCs w:val="19"/>
              </w:rPr>
              <w:t xml:space="preserve"> </w:t>
            </w:r>
            <w:r>
              <w:rPr>
                <w:spacing w:val="9"/>
                <w:sz w:val="19"/>
                <w:szCs w:val="19"/>
              </w:rPr>
              <w:t>立的探矿权、采矿权和取水权，要分类提出差别化的补偿和退出方案，</w:t>
            </w:r>
            <w:r>
              <w:rPr>
                <w:spacing w:val="11"/>
                <w:sz w:val="19"/>
                <w:szCs w:val="19"/>
              </w:rPr>
              <w:t xml:space="preserve"> </w:t>
            </w:r>
            <w:r>
              <w:rPr>
                <w:spacing w:val="9"/>
                <w:sz w:val="19"/>
                <w:szCs w:val="19"/>
              </w:rPr>
              <w:t>在保障探矿权、采矿权和取水权人合法权益的前提下，依法退出自然保 护区核心区和缓冲区。对不符合自然保护区相关管理规定但在设立前已</w:t>
            </w:r>
            <w:r>
              <w:rPr>
                <w:spacing w:val="11"/>
                <w:sz w:val="19"/>
                <w:szCs w:val="19"/>
              </w:rPr>
              <w:t xml:space="preserve"> </w:t>
            </w:r>
            <w:r>
              <w:rPr>
                <w:spacing w:val="9"/>
                <w:sz w:val="19"/>
                <w:szCs w:val="19"/>
              </w:rPr>
              <w:t>合法存在的其他历史遗留问题，要制定方案，分步推动解决。对于开发 活动造成重大生态破坏的，要暂停审批项目所在区域内建设项目环境影 响评价文件，并依法追究相关单位和人员的责</w:t>
            </w:r>
            <w:r>
              <w:rPr>
                <w:spacing w:val="8"/>
                <w:sz w:val="19"/>
                <w:szCs w:val="19"/>
              </w:rPr>
              <w:t>任。</w:t>
            </w:r>
          </w:p>
          <w:p w14:paraId="6F03C8E5">
            <w:pPr>
              <w:pStyle w:val="6"/>
              <w:spacing w:line="223" w:lineRule="auto"/>
              <w:ind w:left="77" w:right="50" w:firstLine="342"/>
              <w:rPr>
                <w:sz w:val="19"/>
                <w:szCs w:val="19"/>
              </w:rPr>
            </w:pPr>
            <w:r>
              <w:rPr>
                <w:spacing w:val="10"/>
                <w:sz w:val="19"/>
                <w:szCs w:val="19"/>
              </w:rPr>
              <w:t>禁止社会资本进入自然保护区探矿，保护区内探明的矿产只能作为</w:t>
            </w:r>
            <w:r>
              <w:rPr>
                <w:spacing w:val="11"/>
                <w:sz w:val="19"/>
                <w:szCs w:val="19"/>
              </w:rPr>
              <w:t xml:space="preserve"> </w:t>
            </w:r>
            <w:r>
              <w:rPr>
                <w:spacing w:val="4"/>
                <w:sz w:val="19"/>
                <w:szCs w:val="19"/>
              </w:rPr>
              <w:t>国家战略储备资源。</w:t>
            </w:r>
          </w:p>
        </w:tc>
        <w:tc>
          <w:tcPr>
            <w:tcW w:w="4465" w:type="dxa"/>
            <w:vMerge w:val="continue"/>
            <w:tcBorders>
              <w:top w:val="nil"/>
            </w:tcBorders>
            <w:vAlign w:val="top"/>
          </w:tcPr>
          <w:p w14:paraId="3CC65B82">
            <w:pPr>
              <w:rPr>
                <w:rFonts w:ascii="Arial"/>
                <w:sz w:val="21"/>
              </w:rPr>
            </w:pPr>
          </w:p>
        </w:tc>
        <w:tc>
          <w:tcPr>
            <w:tcW w:w="1897" w:type="dxa"/>
            <w:vMerge w:val="continue"/>
            <w:tcBorders>
              <w:top w:val="nil"/>
              <w:right w:val="single" w:color="000000" w:sz="10" w:space="0"/>
            </w:tcBorders>
            <w:vAlign w:val="top"/>
          </w:tcPr>
          <w:p w14:paraId="364BE761">
            <w:pPr>
              <w:rPr>
                <w:rFonts w:ascii="Arial"/>
                <w:sz w:val="21"/>
              </w:rPr>
            </w:pPr>
          </w:p>
        </w:tc>
      </w:tr>
      <w:tr w14:paraId="6078FB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547" w:type="dxa"/>
            <w:tcBorders>
              <w:left w:val="single" w:color="000000" w:sz="10" w:space="0"/>
              <w:bottom w:val="single" w:color="000000" w:sz="10" w:space="0"/>
            </w:tcBorders>
            <w:vAlign w:val="top"/>
          </w:tcPr>
          <w:p w14:paraId="4BC4DDEB">
            <w:pPr>
              <w:spacing w:before="125" w:line="195" w:lineRule="auto"/>
              <w:ind w:left="20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273" w:type="dxa"/>
            <w:tcBorders>
              <w:bottom w:val="single" w:color="000000" w:sz="10" w:space="0"/>
            </w:tcBorders>
            <w:vAlign w:val="top"/>
          </w:tcPr>
          <w:p w14:paraId="548C1BEE">
            <w:pPr>
              <w:pStyle w:val="6"/>
              <w:spacing w:before="95" w:line="232" w:lineRule="auto"/>
              <w:ind w:left="106"/>
              <w:rPr>
                <w:sz w:val="19"/>
                <w:szCs w:val="19"/>
              </w:rPr>
            </w:pPr>
            <w:r>
              <w:rPr>
                <w:spacing w:val="21"/>
                <w:sz w:val="19"/>
                <w:szCs w:val="19"/>
              </w:rPr>
              <w:t>《</w:t>
            </w:r>
            <w:r>
              <w:rPr>
                <w:spacing w:val="-10"/>
                <w:sz w:val="19"/>
                <w:szCs w:val="19"/>
              </w:rPr>
              <w:t xml:space="preserve"> </w:t>
            </w:r>
            <w:r>
              <w:rPr>
                <w:spacing w:val="21"/>
                <w:sz w:val="19"/>
                <w:szCs w:val="19"/>
              </w:rPr>
              <w:t>国家级自</w:t>
            </w:r>
          </w:p>
        </w:tc>
        <w:tc>
          <w:tcPr>
            <w:tcW w:w="6289" w:type="dxa"/>
            <w:tcBorders>
              <w:bottom w:val="single" w:color="000000" w:sz="10" w:space="0"/>
            </w:tcBorders>
            <w:vAlign w:val="top"/>
          </w:tcPr>
          <w:p w14:paraId="5D146C83">
            <w:pPr>
              <w:pStyle w:val="6"/>
              <w:spacing w:before="96" w:line="228" w:lineRule="auto"/>
              <w:jc w:val="right"/>
              <w:rPr>
                <w:sz w:val="19"/>
                <w:szCs w:val="19"/>
              </w:rPr>
            </w:pPr>
            <w:r>
              <w:rPr>
                <w:spacing w:val="2"/>
                <w:sz w:val="19"/>
                <w:szCs w:val="19"/>
              </w:rPr>
              <w:t>第十八条 禁止擅自在国家级自然公园内从事采矿、房地产、开发区、</w:t>
            </w:r>
          </w:p>
        </w:tc>
        <w:tc>
          <w:tcPr>
            <w:tcW w:w="4465" w:type="dxa"/>
            <w:tcBorders>
              <w:bottom w:val="single" w:color="000000" w:sz="10" w:space="0"/>
            </w:tcBorders>
            <w:vAlign w:val="top"/>
          </w:tcPr>
          <w:p w14:paraId="6D2AF954">
            <w:pPr>
              <w:pStyle w:val="6"/>
              <w:spacing w:before="95" w:line="231" w:lineRule="auto"/>
              <w:ind w:left="426"/>
              <w:rPr>
                <w:sz w:val="19"/>
                <w:szCs w:val="19"/>
              </w:rPr>
            </w:pPr>
            <w:r>
              <w:rPr>
                <w:spacing w:val="5"/>
                <w:sz w:val="19"/>
                <w:szCs w:val="19"/>
              </w:rPr>
              <w:t>本次评价的</w:t>
            </w:r>
            <w:r>
              <w:rPr>
                <w:spacing w:val="-20"/>
                <w:sz w:val="19"/>
                <w:szCs w:val="19"/>
              </w:rPr>
              <w:t xml:space="preserve"> </w:t>
            </w:r>
            <w:r>
              <w:rPr>
                <w:rFonts w:ascii="Times New Roman" w:hAnsi="Times New Roman" w:eastAsia="Times New Roman" w:cs="Times New Roman"/>
                <w:spacing w:val="5"/>
                <w:sz w:val="19"/>
                <w:szCs w:val="19"/>
              </w:rPr>
              <w:t>3</w:t>
            </w:r>
            <w:r>
              <w:rPr>
                <w:rFonts w:ascii="Times New Roman" w:hAnsi="Times New Roman" w:eastAsia="Times New Roman" w:cs="Times New Roman"/>
                <w:spacing w:val="18"/>
                <w:sz w:val="19"/>
                <w:szCs w:val="19"/>
              </w:rPr>
              <w:t xml:space="preserve"> </w:t>
            </w:r>
            <w:r>
              <w:rPr>
                <w:spacing w:val="5"/>
                <w:sz w:val="19"/>
                <w:szCs w:val="19"/>
              </w:rPr>
              <w:t>个勘查区块和</w:t>
            </w:r>
            <w:r>
              <w:rPr>
                <w:spacing w:val="-21"/>
                <w:sz w:val="19"/>
                <w:szCs w:val="19"/>
              </w:rPr>
              <w:t xml:space="preserve"> </w:t>
            </w:r>
            <w:r>
              <w:rPr>
                <w:rFonts w:ascii="Times New Roman" w:hAnsi="Times New Roman" w:eastAsia="Times New Roman" w:cs="Times New Roman"/>
                <w:spacing w:val="5"/>
                <w:sz w:val="19"/>
                <w:szCs w:val="19"/>
              </w:rPr>
              <w:t>1</w:t>
            </w:r>
            <w:r>
              <w:rPr>
                <w:rFonts w:ascii="Times New Roman" w:hAnsi="Times New Roman" w:eastAsia="Times New Roman" w:cs="Times New Roman"/>
                <w:spacing w:val="18"/>
                <w:sz w:val="19"/>
                <w:szCs w:val="19"/>
              </w:rPr>
              <w:t xml:space="preserve"> </w:t>
            </w:r>
            <w:r>
              <w:rPr>
                <w:spacing w:val="5"/>
                <w:sz w:val="19"/>
                <w:szCs w:val="19"/>
              </w:rPr>
              <w:t>个开采区块均不</w:t>
            </w:r>
          </w:p>
        </w:tc>
        <w:tc>
          <w:tcPr>
            <w:tcW w:w="1897" w:type="dxa"/>
            <w:tcBorders>
              <w:bottom w:val="single" w:color="000000" w:sz="10" w:space="0"/>
              <w:right w:val="single" w:color="000000" w:sz="10" w:space="0"/>
            </w:tcBorders>
            <w:vAlign w:val="top"/>
          </w:tcPr>
          <w:p w14:paraId="4314453D">
            <w:pPr>
              <w:spacing w:before="126" w:line="199" w:lineRule="auto"/>
              <w:ind w:left="923"/>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r>
    </w:tbl>
    <w:p w14:paraId="12E1B417">
      <w:pPr>
        <w:pStyle w:val="2"/>
        <w:spacing w:line="199" w:lineRule="exact"/>
        <w:rPr>
          <w:sz w:val="17"/>
        </w:rPr>
      </w:pPr>
    </w:p>
    <w:p w14:paraId="6F73BD3D">
      <w:pPr>
        <w:spacing w:line="199" w:lineRule="exact"/>
        <w:rPr>
          <w:sz w:val="17"/>
          <w:szCs w:val="17"/>
        </w:rPr>
        <w:sectPr>
          <w:headerReference r:id="rId70" w:type="default"/>
          <w:footerReference r:id="rId71" w:type="default"/>
          <w:pgSz w:w="16839" w:h="11906"/>
          <w:pgMar w:top="1116" w:right="1023" w:bottom="1480" w:left="1317" w:header="683" w:footer="1318" w:gutter="0"/>
          <w:cols w:space="720" w:num="1"/>
        </w:sectPr>
      </w:pPr>
    </w:p>
    <w:p w14:paraId="6A4EFD0F">
      <w:pPr>
        <w:spacing w:before="229"/>
      </w:pPr>
    </w:p>
    <w:tbl>
      <w:tblPr>
        <w:tblStyle w:val="5"/>
        <w:tblW w:w="1447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7"/>
        <w:gridCol w:w="1273"/>
        <w:gridCol w:w="6289"/>
        <w:gridCol w:w="4465"/>
        <w:gridCol w:w="1897"/>
      </w:tblGrid>
      <w:tr w14:paraId="17E981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547" w:type="dxa"/>
            <w:vMerge w:val="restart"/>
            <w:tcBorders>
              <w:top w:val="single" w:color="000000" w:sz="10" w:space="0"/>
              <w:left w:val="single" w:color="000000" w:sz="10" w:space="0"/>
              <w:bottom w:val="nil"/>
            </w:tcBorders>
            <w:vAlign w:val="top"/>
          </w:tcPr>
          <w:p w14:paraId="2A1C05E6">
            <w:pPr>
              <w:pStyle w:val="6"/>
              <w:spacing w:before="251" w:line="231" w:lineRule="auto"/>
              <w:ind w:left="69"/>
              <w:rPr>
                <w:sz w:val="19"/>
                <w:szCs w:val="19"/>
              </w:rPr>
            </w:pPr>
            <w:r>
              <w:rPr>
                <w:spacing w:val="2"/>
                <w:sz w:val="19"/>
                <w:szCs w:val="19"/>
              </w:rPr>
              <w:t>序号</w:t>
            </w:r>
          </w:p>
        </w:tc>
        <w:tc>
          <w:tcPr>
            <w:tcW w:w="7562" w:type="dxa"/>
            <w:gridSpan w:val="2"/>
            <w:tcBorders>
              <w:top w:val="single" w:color="000000" w:sz="10" w:space="0"/>
            </w:tcBorders>
            <w:vAlign w:val="top"/>
          </w:tcPr>
          <w:p w14:paraId="04C64F80">
            <w:pPr>
              <w:pStyle w:val="6"/>
              <w:spacing w:before="75" w:line="231" w:lineRule="auto"/>
              <w:ind w:left="2908"/>
              <w:rPr>
                <w:sz w:val="19"/>
                <w:szCs w:val="19"/>
              </w:rPr>
            </w:pPr>
            <w:r>
              <w:rPr>
                <w:spacing w:val="5"/>
                <w:sz w:val="19"/>
                <w:szCs w:val="19"/>
              </w:rPr>
              <w:t>国家重大政策及规划</w:t>
            </w:r>
          </w:p>
        </w:tc>
        <w:tc>
          <w:tcPr>
            <w:tcW w:w="4465" w:type="dxa"/>
            <w:vMerge w:val="restart"/>
            <w:tcBorders>
              <w:top w:val="single" w:color="000000" w:sz="10" w:space="0"/>
              <w:bottom w:val="nil"/>
            </w:tcBorders>
            <w:vAlign w:val="top"/>
          </w:tcPr>
          <w:p w14:paraId="79EE308D">
            <w:pPr>
              <w:pStyle w:val="6"/>
              <w:spacing w:before="250" w:line="229" w:lineRule="auto"/>
              <w:ind w:left="949"/>
              <w:rPr>
                <w:sz w:val="19"/>
                <w:szCs w:val="19"/>
              </w:rPr>
            </w:pPr>
            <w:r>
              <w:rPr>
                <w:spacing w:val="8"/>
                <w:sz w:val="19"/>
                <w:szCs w:val="19"/>
              </w:rPr>
              <w:t>本《规划调整》的符合性分析</w:t>
            </w:r>
          </w:p>
        </w:tc>
        <w:tc>
          <w:tcPr>
            <w:tcW w:w="1897" w:type="dxa"/>
            <w:vMerge w:val="restart"/>
            <w:tcBorders>
              <w:top w:val="single" w:color="000000" w:sz="10" w:space="0"/>
              <w:bottom w:val="nil"/>
              <w:right w:val="single" w:color="000000" w:sz="10" w:space="0"/>
            </w:tcBorders>
            <w:vAlign w:val="top"/>
          </w:tcPr>
          <w:p w14:paraId="2F5AFF08">
            <w:pPr>
              <w:pStyle w:val="6"/>
              <w:spacing w:before="250" w:line="230" w:lineRule="auto"/>
              <w:ind w:left="373"/>
              <w:rPr>
                <w:sz w:val="19"/>
                <w:szCs w:val="19"/>
              </w:rPr>
            </w:pPr>
            <w:r>
              <w:rPr>
                <w:spacing w:val="5"/>
                <w:sz w:val="19"/>
                <w:szCs w:val="19"/>
              </w:rPr>
              <w:t>简要优化建议</w:t>
            </w:r>
          </w:p>
        </w:tc>
      </w:tr>
      <w:tr w14:paraId="54B866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47" w:type="dxa"/>
            <w:vMerge w:val="continue"/>
            <w:tcBorders>
              <w:top w:val="nil"/>
              <w:left w:val="single" w:color="000000" w:sz="10" w:space="0"/>
            </w:tcBorders>
            <w:vAlign w:val="top"/>
          </w:tcPr>
          <w:p w14:paraId="1938963A">
            <w:pPr>
              <w:rPr>
                <w:rFonts w:ascii="Arial"/>
                <w:sz w:val="21"/>
              </w:rPr>
            </w:pPr>
          </w:p>
        </w:tc>
        <w:tc>
          <w:tcPr>
            <w:tcW w:w="1273" w:type="dxa"/>
            <w:vAlign w:val="top"/>
          </w:tcPr>
          <w:p w14:paraId="700EA8CC">
            <w:pPr>
              <w:pStyle w:val="6"/>
              <w:spacing w:before="72" w:line="230" w:lineRule="auto"/>
              <w:ind w:left="438"/>
              <w:rPr>
                <w:sz w:val="19"/>
                <w:szCs w:val="19"/>
              </w:rPr>
            </w:pPr>
            <w:r>
              <w:rPr>
                <w:spacing w:val="2"/>
                <w:sz w:val="19"/>
                <w:szCs w:val="19"/>
              </w:rPr>
              <w:t>名称</w:t>
            </w:r>
          </w:p>
        </w:tc>
        <w:tc>
          <w:tcPr>
            <w:tcW w:w="6289" w:type="dxa"/>
            <w:vAlign w:val="top"/>
          </w:tcPr>
          <w:p w14:paraId="18F4902F">
            <w:pPr>
              <w:pStyle w:val="6"/>
              <w:spacing w:before="72" w:line="231" w:lineRule="auto"/>
              <w:ind w:left="2754"/>
              <w:rPr>
                <w:sz w:val="19"/>
                <w:szCs w:val="19"/>
              </w:rPr>
            </w:pPr>
            <w:r>
              <w:rPr>
                <w:spacing w:val="6"/>
                <w:sz w:val="19"/>
                <w:szCs w:val="19"/>
              </w:rPr>
              <w:t>相关内容</w:t>
            </w:r>
          </w:p>
        </w:tc>
        <w:tc>
          <w:tcPr>
            <w:tcW w:w="4465" w:type="dxa"/>
            <w:vMerge w:val="continue"/>
            <w:tcBorders>
              <w:top w:val="nil"/>
            </w:tcBorders>
            <w:vAlign w:val="top"/>
          </w:tcPr>
          <w:p w14:paraId="511C1CE0">
            <w:pPr>
              <w:rPr>
                <w:rFonts w:ascii="Arial"/>
                <w:sz w:val="21"/>
              </w:rPr>
            </w:pPr>
          </w:p>
        </w:tc>
        <w:tc>
          <w:tcPr>
            <w:tcW w:w="1897" w:type="dxa"/>
            <w:vMerge w:val="continue"/>
            <w:tcBorders>
              <w:top w:val="nil"/>
              <w:right w:val="single" w:color="000000" w:sz="10" w:space="0"/>
            </w:tcBorders>
            <w:vAlign w:val="top"/>
          </w:tcPr>
          <w:p w14:paraId="30D94032">
            <w:pPr>
              <w:rPr>
                <w:rFonts w:ascii="Arial"/>
                <w:sz w:val="21"/>
              </w:rPr>
            </w:pPr>
          </w:p>
        </w:tc>
      </w:tr>
      <w:tr w14:paraId="62D243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9" w:hRule="atLeast"/>
        </w:trPr>
        <w:tc>
          <w:tcPr>
            <w:tcW w:w="547" w:type="dxa"/>
            <w:tcBorders>
              <w:left w:val="single" w:color="000000" w:sz="10" w:space="0"/>
            </w:tcBorders>
            <w:vAlign w:val="top"/>
          </w:tcPr>
          <w:p w14:paraId="1514CDE8">
            <w:pPr>
              <w:rPr>
                <w:rFonts w:ascii="Arial"/>
                <w:sz w:val="21"/>
              </w:rPr>
            </w:pPr>
          </w:p>
        </w:tc>
        <w:tc>
          <w:tcPr>
            <w:tcW w:w="1273" w:type="dxa"/>
            <w:vAlign w:val="top"/>
          </w:tcPr>
          <w:p w14:paraId="7CFE757D">
            <w:pPr>
              <w:pStyle w:val="6"/>
              <w:spacing w:before="32" w:line="252" w:lineRule="auto"/>
              <w:ind w:left="111" w:firstLine="1"/>
              <w:jc w:val="both"/>
              <w:rPr>
                <w:sz w:val="20"/>
                <w:szCs w:val="20"/>
              </w:rPr>
            </w:pPr>
            <w:r>
              <w:rPr>
                <w:spacing w:val="9"/>
                <w:sz w:val="19"/>
                <w:szCs w:val="19"/>
              </w:rPr>
              <w:t>然公园管理</w:t>
            </w:r>
            <w:r>
              <w:rPr>
                <w:sz w:val="19"/>
                <w:szCs w:val="19"/>
              </w:rPr>
              <w:t xml:space="preserve">  </w:t>
            </w:r>
            <w:r>
              <w:rPr>
                <w:spacing w:val="-25"/>
                <w:sz w:val="19"/>
                <w:szCs w:val="19"/>
              </w:rPr>
              <w:t>办法（试行）》</w:t>
            </w:r>
            <w:r>
              <w:rPr>
                <w:sz w:val="19"/>
                <w:szCs w:val="19"/>
              </w:rPr>
              <w:t xml:space="preserve"> </w:t>
            </w:r>
            <w:r>
              <w:rPr>
                <w:spacing w:val="-20"/>
                <w:sz w:val="20"/>
                <w:szCs w:val="20"/>
              </w:rPr>
              <w:t>（ 林</w:t>
            </w:r>
            <w:r>
              <w:rPr>
                <w:spacing w:val="-1"/>
                <w:sz w:val="20"/>
                <w:szCs w:val="20"/>
              </w:rPr>
              <w:t xml:space="preserve"> </w:t>
            </w:r>
            <w:r>
              <w:rPr>
                <w:spacing w:val="-20"/>
                <w:sz w:val="20"/>
                <w:szCs w:val="20"/>
              </w:rPr>
              <w:t>保</w:t>
            </w:r>
            <w:r>
              <w:rPr>
                <w:spacing w:val="-3"/>
                <w:sz w:val="20"/>
                <w:szCs w:val="20"/>
              </w:rPr>
              <w:t xml:space="preserve"> </w:t>
            </w:r>
            <w:r>
              <w:rPr>
                <w:spacing w:val="-20"/>
                <w:sz w:val="20"/>
                <w:szCs w:val="20"/>
              </w:rPr>
              <w:t>规</w:t>
            </w:r>
            <w:r>
              <w:rPr>
                <w:sz w:val="20"/>
                <w:szCs w:val="20"/>
              </w:rPr>
              <w:t xml:space="preserve">  </w:t>
            </w:r>
            <w:r>
              <w:rPr>
                <w:spacing w:val="-7"/>
                <w:sz w:val="20"/>
                <w:szCs w:val="20"/>
              </w:rPr>
              <w:t>〔</w:t>
            </w:r>
            <w:r>
              <w:rPr>
                <w:spacing w:val="-46"/>
                <w:sz w:val="20"/>
                <w:szCs w:val="20"/>
              </w:rPr>
              <w:t xml:space="preserve"> </w:t>
            </w:r>
            <w:r>
              <w:rPr>
                <w:rFonts w:ascii="Times New Roman" w:hAnsi="Times New Roman" w:eastAsia="Times New Roman" w:cs="Times New Roman"/>
                <w:spacing w:val="-7"/>
                <w:sz w:val="20"/>
                <w:szCs w:val="20"/>
              </w:rPr>
              <w:t xml:space="preserve">2023 </w:t>
            </w:r>
            <w:r>
              <w:rPr>
                <w:spacing w:val="-7"/>
                <w:sz w:val="20"/>
                <w:szCs w:val="20"/>
              </w:rPr>
              <w:t>〕</w:t>
            </w:r>
            <w:r>
              <w:rPr>
                <w:spacing w:val="-53"/>
                <w:sz w:val="20"/>
                <w:szCs w:val="20"/>
              </w:rPr>
              <w:t xml:space="preserve"> </w:t>
            </w:r>
            <w:r>
              <w:rPr>
                <w:rFonts w:ascii="Times New Roman" w:hAnsi="Times New Roman" w:eastAsia="Times New Roman" w:cs="Times New Roman"/>
                <w:spacing w:val="-7"/>
                <w:sz w:val="20"/>
                <w:szCs w:val="20"/>
              </w:rPr>
              <w:t>4</w:t>
            </w:r>
            <w:r>
              <w:rPr>
                <w:rFonts w:ascii="Times New Roman" w:hAnsi="Times New Roman" w:eastAsia="Times New Roman" w:cs="Times New Roman"/>
                <w:sz w:val="20"/>
                <w:szCs w:val="20"/>
              </w:rPr>
              <w:t xml:space="preserve">    </w:t>
            </w:r>
            <w:r>
              <w:rPr>
                <w:spacing w:val="-14"/>
                <w:sz w:val="20"/>
                <w:szCs w:val="20"/>
              </w:rPr>
              <w:t>号）</w:t>
            </w:r>
          </w:p>
        </w:tc>
        <w:tc>
          <w:tcPr>
            <w:tcW w:w="6289" w:type="dxa"/>
            <w:vAlign w:val="top"/>
          </w:tcPr>
          <w:p w14:paraId="61D419D0">
            <w:pPr>
              <w:pStyle w:val="6"/>
              <w:spacing w:before="32" w:line="252" w:lineRule="auto"/>
              <w:ind w:left="54" w:right="48" w:firstLine="6"/>
              <w:jc w:val="both"/>
              <w:rPr>
                <w:sz w:val="19"/>
                <w:szCs w:val="19"/>
              </w:rPr>
            </w:pPr>
            <w:r>
              <w:rPr>
                <w:spacing w:val="9"/>
                <w:sz w:val="19"/>
                <w:szCs w:val="19"/>
              </w:rPr>
              <w:t>高尔夫球场、风力光伏电场等不符合管控要求的开发活动。禁止违规侵</w:t>
            </w:r>
            <w:r>
              <w:rPr>
                <w:spacing w:val="2"/>
                <w:sz w:val="19"/>
                <w:szCs w:val="19"/>
              </w:rPr>
              <w:t xml:space="preserve"> </w:t>
            </w:r>
            <w:r>
              <w:rPr>
                <w:spacing w:val="9"/>
                <w:sz w:val="19"/>
                <w:szCs w:val="19"/>
              </w:rPr>
              <w:t>占国家级自然公园，排放不符合水污染物排放标准的工业废水、生活污</w:t>
            </w:r>
            <w:r>
              <w:rPr>
                <w:spacing w:val="11"/>
                <w:sz w:val="19"/>
                <w:szCs w:val="19"/>
              </w:rPr>
              <w:t xml:space="preserve"> </w:t>
            </w:r>
            <w:r>
              <w:rPr>
                <w:spacing w:val="9"/>
                <w:sz w:val="19"/>
                <w:szCs w:val="19"/>
              </w:rPr>
              <w:t xml:space="preserve">水及其他的废水、污水，倾倒、堆放、丢弃、遗撒固体废物等污染生态 </w:t>
            </w:r>
            <w:r>
              <w:rPr>
                <w:spacing w:val="5"/>
                <w:sz w:val="19"/>
                <w:szCs w:val="19"/>
              </w:rPr>
              <w:t>环境的行为。</w:t>
            </w:r>
          </w:p>
          <w:p w14:paraId="5536C444">
            <w:pPr>
              <w:pStyle w:val="6"/>
              <w:spacing w:line="252" w:lineRule="auto"/>
              <w:ind w:left="58" w:right="48" w:firstLine="364"/>
              <w:rPr>
                <w:sz w:val="19"/>
                <w:szCs w:val="19"/>
              </w:rPr>
            </w:pPr>
            <w:r>
              <w:rPr>
                <w:spacing w:val="6"/>
                <w:sz w:val="19"/>
                <w:szCs w:val="19"/>
              </w:rPr>
              <w:t>第十九条</w:t>
            </w:r>
            <w:r>
              <w:rPr>
                <w:spacing w:val="42"/>
                <w:sz w:val="19"/>
                <w:szCs w:val="19"/>
              </w:rPr>
              <w:t xml:space="preserve"> </w:t>
            </w:r>
            <w:r>
              <w:rPr>
                <w:spacing w:val="6"/>
                <w:sz w:val="19"/>
                <w:szCs w:val="19"/>
              </w:rPr>
              <w:t>国家级自然公园范围内除国家重大</w:t>
            </w:r>
            <w:r>
              <w:rPr>
                <w:spacing w:val="5"/>
                <w:sz w:val="19"/>
                <w:szCs w:val="19"/>
              </w:rPr>
              <w:t>项目外，仅允许对生态</w:t>
            </w:r>
            <w:r>
              <w:rPr>
                <w:sz w:val="19"/>
                <w:szCs w:val="19"/>
              </w:rPr>
              <w:t xml:space="preserve"> </w:t>
            </w:r>
            <w:r>
              <w:rPr>
                <w:spacing w:val="8"/>
                <w:sz w:val="19"/>
                <w:szCs w:val="19"/>
              </w:rPr>
              <w:t>功能不造成破坏的有限人为活动：</w:t>
            </w:r>
          </w:p>
          <w:p w14:paraId="198D88E8">
            <w:pPr>
              <w:pStyle w:val="6"/>
              <w:spacing w:line="242" w:lineRule="auto"/>
              <w:ind w:left="60" w:right="50" w:firstLine="358"/>
              <w:rPr>
                <w:sz w:val="19"/>
                <w:szCs w:val="19"/>
              </w:rPr>
            </w:pPr>
            <w:r>
              <w:rPr>
                <w:spacing w:val="8"/>
                <w:sz w:val="19"/>
                <w:szCs w:val="19"/>
              </w:rPr>
              <w:t>（一）</w:t>
            </w:r>
            <w:r>
              <w:rPr>
                <w:spacing w:val="-25"/>
                <w:sz w:val="19"/>
                <w:szCs w:val="19"/>
              </w:rPr>
              <w:t xml:space="preserve"> </w:t>
            </w:r>
            <w:r>
              <w:rPr>
                <w:spacing w:val="8"/>
                <w:sz w:val="19"/>
                <w:szCs w:val="19"/>
              </w:rPr>
              <w:t>自然公园内居民和其他合法权益主体依法依规开展的生产生</w:t>
            </w:r>
            <w:r>
              <w:rPr>
                <w:sz w:val="19"/>
                <w:szCs w:val="19"/>
              </w:rPr>
              <w:t xml:space="preserve"> </w:t>
            </w:r>
            <w:r>
              <w:rPr>
                <w:spacing w:val="5"/>
                <w:sz w:val="19"/>
                <w:szCs w:val="19"/>
              </w:rPr>
              <w:t>活及设施建设。</w:t>
            </w:r>
          </w:p>
          <w:p w14:paraId="73228CE1">
            <w:pPr>
              <w:pStyle w:val="6"/>
              <w:spacing w:before="22" w:line="242" w:lineRule="auto"/>
              <w:ind w:left="54" w:right="50" w:firstLine="365"/>
              <w:rPr>
                <w:sz w:val="19"/>
                <w:szCs w:val="19"/>
              </w:rPr>
            </w:pPr>
            <w:r>
              <w:rPr>
                <w:spacing w:val="10"/>
                <w:sz w:val="19"/>
                <w:szCs w:val="19"/>
              </w:rPr>
              <w:t>（二）符合自然公园保护管理要求的文化、体育活动和必要的配套</w:t>
            </w:r>
            <w:r>
              <w:rPr>
                <w:spacing w:val="12"/>
                <w:sz w:val="19"/>
                <w:szCs w:val="19"/>
              </w:rPr>
              <w:t xml:space="preserve"> </w:t>
            </w:r>
            <w:r>
              <w:rPr>
                <w:spacing w:val="5"/>
                <w:sz w:val="19"/>
                <w:szCs w:val="19"/>
              </w:rPr>
              <w:t>设施建设。</w:t>
            </w:r>
          </w:p>
          <w:p w14:paraId="5E4F1FF9">
            <w:pPr>
              <w:pStyle w:val="6"/>
              <w:spacing w:before="19" w:line="230" w:lineRule="auto"/>
              <w:ind w:left="419"/>
              <w:rPr>
                <w:sz w:val="19"/>
                <w:szCs w:val="19"/>
              </w:rPr>
            </w:pPr>
            <w:r>
              <w:rPr>
                <w:spacing w:val="9"/>
                <w:sz w:val="19"/>
                <w:szCs w:val="19"/>
              </w:rPr>
              <w:t>（三）符合生态保护红线管控要求的其他活动和设</w:t>
            </w:r>
            <w:r>
              <w:rPr>
                <w:spacing w:val="8"/>
                <w:sz w:val="19"/>
                <w:szCs w:val="19"/>
              </w:rPr>
              <w:t>施建设。</w:t>
            </w:r>
          </w:p>
          <w:p w14:paraId="47BAEBAA">
            <w:pPr>
              <w:pStyle w:val="6"/>
              <w:spacing w:before="22" w:line="206" w:lineRule="auto"/>
              <w:ind w:left="419"/>
              <w:rPr>
                <w:sz w:val="19"/>
                <w:szCs w:val="19"/>
              </w:rPr>
            </w:pPr>
            <w:r>
              <w:rPr>
                <w:spacing w:val="7"/>
                <w:sz w:val="19"/>
                <w:szCs w:val="19"/>
              </w:rPr>
              <w:t>（</w:t>
            </w:r>
            <w:r>
              <w:rPr>
                <w:spacing w:val="-41"/>
                <w:sz w:val="19"/>
                <w:szCs w:val="19"/>
              </w:rPr>
              <w:t xml:space="preserve"> </w:t>
            </w:r>
            <w:r>
              <w:rPr>
                <w:spacing w:val="7"/>
                <w:sz w:val="19"/>
                <w:szCs w:val="19"/>
              </w:rPr>
              <w:t>四）法律法规和国家政策允许在自然公园内开展的其他活动。</w:t>
            </w:r>
          </w:p>
        </w:tc>
        <w:tc>
          <w:tcPr>
            <w:tcW w:w="4465" w:type="dxa"/>
            <w:vAlign w:val="top"/>
          </w:tcPr>
          <w:p w14:paraId="6F8F02A3">
            <w:pPr>
              <w:pStyle w:val="6"/>
              <w:spacing w:before="34" w:line="251" w:lineRule="auto"/>
              <w:ind w:left="88" w:right="41" w:firstLine="11"/>
              <w:rPr>
                <w:sz w:val="19"/>
                <w:szCs w:val="19"/>
              </w:rPr>
            </w:pPr>
            <w:r>
              <w:rPr>
                <w:spacing w:val="6"/>
                <w:sz w:val="19"/>
                <w:szCs w:val="19"/>
              </w:rPr>
              <w:t>占用黔江国家森林公园、仰头山森林公园、阿蓬江</w:t>
            </w:r>
            <w:r>
              <w:rPr>
                <w:spacing w:val="5"/>
                <w:sz w:val="19"/>
                <w:szCs w:val="19"/>
              </w:rPr>
              <w:t xml:space="preserve"> </w:t>
            </w:r>
            <w:r>
              <w:rPr>
                <w:spacing w:val="7"/>
                <w:sz w:val="19"/>
                <w:szCs w:val="19"/>
              </w:rPr>
              <w:t>国家湿地公园、小南海国家地质公园。符合。</w:t>
            </w:r>
          </w:p>
        </w:tc>
        <w:tc>
          <w:tcPr>
            <w:tcW w:w="1897" w:type="dxa"/>
            <w:tcBorders>
              <w:right w:val="single" w:color="000000" w:sz="10" w:space="0"/>
            </w:tcBorders>
            <w:vAlign w:val="top"/>
          </w:tcPr>
          <w:p w14:paraId="19859CCA">
            <w:pPr>
              <w:rPr>
                <w:rFonts w:ascii="Arial"/>
                <w:sz w:val="21"/>
              </w:rPr>
            </w:pPr>
          </w:p>
        </w:tc>
      </w:tr>
      <w:tr w14:paraId="24E035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32" w:hRule="atLeast"/>
        </w:trPr>
        <w:tc>
          <w:tcPr>
            <w:tcW w:w="547" w:type="dxa"/>
            <w:tcBorders>
              <w:left w:val="single" w:color="000000" w:sz="10" w:space="0"/>
            </w:tcBorders>
            <w:vAlign w:val="top"/>
          </w:tcPr>
          <w:p w14:paraId="70B5280F">
            <w:pPr>
              <w:spacing w:line="261" w:lineRule="auto"/>
              <w:rPr>
                <w:rFonts w:ascii="Arial"/>
                <w:sz w:val="21"/>
              </w:rPr>
            </w:pPr>
          </w:p>
          <w:p w14:paraId="4E37E32A">
            <w:pPr>
              <w:spacing w:line="262" w:lineRule="auto"/>
              <w:rPr>
                <w:rFonts w:ascii="Arial"/>
                <w:sz w:val="21"/>
              </w:rPr>
            </w:pPr>
          </w:p>
          <w:p w14:paraId="75690BE4">
            <w:pPr>
              <w:spacing w:line="262" w:lineRule="auto"/>
              <w:rPr>
                <w:rFonts w:ascii="Arial"/>
                <w:sz w:val="21"/>
              </w:rPr>
            </w:pPr>
          </w:p>
          <w:p w14:paraId="56C9B4F6">
            <w:pPr>
              <w:spacing w:line="262" w:lineRule="auto"/>
              <w:rPr>
                <w:rFonts w:ascii="Arial"/>
                <w:sz w:val="21"/>
              </w:rPr>
            </w:pPr>
          </w:p>
          <w:p w14:paraId="6DE535A5">
            <w:pPr>
              <w:spacing w:before="57" w:line="192" w:lineRule="auto"/>
              <w:ind w:left="21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273" w:type="dxa"/>
            <w:vAlign w:val="top"/>
          </w:tcPr>
          <w:p w14:paraId="53F46A47">
            <w:pPr>
              <w:spacing w:line="347" w:lineRule="auto"/>
              <w:rPr>
                <w:rFonts w:ascii="Arial"/>
                <w:sz w:val="21"/>
              </w:rPr>
            </w:pPr>
          </w:p>
          <w:p w14:paraId="24041251">
            <w:pPr>
              <w:pStyle w:val="6"/>
              <w:spacing w:before="62" w:line="231" w:lineRule="auto"/>
              <w:ind w:left="137"/>
              <w:rPr>
                <w:sz w:val="19"/>
                <w:szCs w:val="19"/>
              </w:rPr>
            </w:pPr>
            <w:r>
              <w:rPr>
                <w:spacing w:val="7"/>
                <w:sz w:val="19"/>
                <w:szCs w:val="19"/>
              </w:rPr>
              <w:t>《中华人民</w:t>
            </w:r>
          </w:p>
          <w:p w14:paraId="7C2EC2CD">
            <w:pPr>
              <w:pStyle w:val="6"/>
              <w:spacing w:before="21" w:line="232" w:lineRule="auto"/>
              <w:ind w:left="143"/>
              <w:rPr>
                <w:sz w:val="19"/>
                <w:szCs w:val="19"/>
              </w:rPr>
            </w:pPr>
            <w:r>
              <w:rPr>
                <w:spacing w:val="5"/>
                <w:sz w:val="19"/>
                <w:szCs w:val="19"/>
              </w:rPr>
              <w:t>共和国水污</w:t>
            </w:r>
          </w:p>
          <w:p w14:paraId="66746456">
            <w:pPr>
              <w:pStyle w:val="6"/>
              <w:spacing w:before="20" w:line="231" w:lineRule="auto"/>
              <w:ind w:left="139"/>
              <w:rPr>
                <w:sz w:val="19"/>
                <w:szCs w:val="19"/>
              </w:rPr>
            </w:pPr>
            <w:r>
              <w:rPr>
                <w:spacing w:val="4"/>
                <w:sz w:val="19"/>
                <w:szCs w:val="19"/>
              </w:rPr>
              <w:t>染防治法》</w:t>
            </w:r>
          </w:p>
          <w:p w14:paraId="5A39209A">
            <w:pPr>
              <w:pStyle w:val="6"/>
              <w:spacing w:before="20" w:line="251" w:lineRule="auto"/>
              <w:ind w:left="68" w:right="68" w:firstLine="47"/>
              <w:rPr>
                <w:sz w:val="20"/>
                <w:szCs w:val="20"/>
              </w:rPr>
            </w:pPr>
            <w:r>
              <w:rPr>
                <w:spacing w:val="-1"/>
                <w:sz w:val="20"/>
                <w:szCs w:val="20"/>
              </w:rPr>
              <w:t>（</w:t>
            </w:r>
            <w:r>
              <w:rPr>
                <w:rFonts w:ascii="Times New Roman" w:hAnsi="Times New Roman" w:eastAsia="Times New Roman" w:cs="Times New Roman"/>
                <w:spacing w:val="-1"/>
                <w:sz w:val="20"/>
                <w:szCs w:val="20"/>
              </w:rPr>
              <w:t>2017</w:t>
            </w:r>
            <w:r>
              <w:rPr>
                <w:rFonts w:ascii="Times New Roman" w:hAnsi="Times New Roman" w:eastAsia="Times New Roman" w:cs="Times New Roman"/>
                <w:spacing w:val="23"/>
                <w:w w:val="101"/>
                <w:sz w:val="20"/>
                <w:szCs w:val="20"/>
              </w:rPr>
              <w:t xml:space="preserve"> </w:t>
            </w:r>
            <w:r>
              <w:rPr>
                <w:spacing w:val="-1"/>
                <w:sz w:val="20"/>
                <w:szCs w:val="20"/>
              </w:rPr>
              <w:t>年</w:t>
            </w:r>
            <w:r>
              <w:rPr>
                <w:spacing w:val="-36"/>
                <w:sz w:val="20"/>
                <w:szCs w:val="20"/>
              </w:rPr>
              <w:t xml:space="preserve"> </w:t>
            </w:r>
            <w:r>
              <w:rPr>
                <w:rFonts w:ascii="Times New Roman" w:hAnsi="Times New Roman" w:eastAsia="Times New Roman" w:cs="Times New Roman"/>
                <w:spacing w:val="-1"/>
                <w:sz w:val="20"/>
                <w:szCs w:val="20"/>
              </w:rPr>
              <w:t>6</w:t>
            </w:r>
            <w:r>
              <w:rPr>
                <w:rFonts w:ascii="Times New Roman" w:hAnsi="Times New Roman" w:eastAsia="Times New Roman" w:cs="Times New Roman"/>
                <w:sz w:val="20"/>
                <w:szCs w:val="20"/>
              </w:rPr>
              <w:t xml:space="preserve">  </w:t>
            </w:r>
            <w:r>
              <w:rPr>
                <w:spacing w:val="-7"/>
                <w:sz w:val="20"/>
                <w:szCs w:val="20"/>
              </w:rPr>
              <w:t>月</w:t>
            </w:r>
            <w:r>
              <w:rPr>
                <w:spacing w:val="-38"/>
                <w:sz w:val="20"/>
                <w:szCs w:val="20"/>
              </w:rPr>
              <w:t xml:space="preserve"> </w:t>
            </w:r>
            <w:r>
              <w:rPr>
                <w:rFonts w:ascii="Times New Roman" w:hAnsi="Times New Roman" w:eastAsia="Times New Roman" w:cs="Times New Roman"/>
                <w:spacing w:val="-7"/>
                <w:sz w:val="20"/>
                <w:szCs w:val="20"/>
              </w:rPr>
              <w:t>27</w:t>
            </w:r>
            <w:r>
              <w:rPr>
                <w:rFonts w:ascii="Times New Roman" w:hAnsi="Times New Roman" w:eastAsia="Times New Roman" w:cs="Times New Roman"/>
                <w:spacing w:val="4"/>
                <w:sz w:val="20"/>
                <w:szCs w:val="20"/>
              </w:rPr>
              <w:t xml:space="preserve">  </w:t>
            </w:r>
            <w:r>
              <w:rPr>
                <w:spacing w:val="-7"/>
                <w:sz w:val="20"/>
                <w:szCs w:val="20"/>
              </w:rPr>
              <w:t>日第二</w:t>
            </w:r>
            <w:r>
              <w:rPr>
                <w:spacing w:val="1"/>
                <w:sz w:val="20"/>
                <w:szCs w:val="20"/>
              </w:rPr>
              <w:t xml:space="preserve"> </w:t>
            </w:r>
            <w:r>
              <w:rPr>
                <w:spacing w:val="13"/>
                <w:sz w:val="20"/>
                <w:szCs w:val="20"/>
              </w:rPr>
              <w:t>次修正版）</w:t>
            </w:r>
          </w:p>
        </w:tc>
        <w:tc>
          <w:tcPr>
            <w:tcW w:w="6289" w:type="dxa"/>
            <w:vAlign w:val="top"/>
          </w:tcPr>
          <w:p w14:paraId="001D9392">
            <w:pPr>
              <w:pStyle w:val="6"/>
              <w:spacing w:before="42" w:line="228" w:lineRule="auto"/>
              <w:ind w:left="418"/>
              <w:rPr>
                <w:sz w:val="19"/>
                <w:szCs w:val="19"/>
              </w:rPr>
            </w:pPr>
            <w:r>
              <w:rPr>
                <w:spacing w:val="7"/>
                <w:sz w:val="19"/>
                <w:szCs w:val="19"/>
              </w:rPr>
              <w:t>一级保护区：在饮用水水源保护区内，禁止设</w:t>
            </w:r>
            <w:r>
              <w:rPr>
                <w:spacing w:val="6"/>
                <w:sz w:val="19"/>
                <w:szCs w:val="19"/>
              </w:rPr>
              <w:t>置排污</w:t>
            </w:r>
            <w:r>
              <w:rPr>
                <w:spacing w:val="-43"/>
                <w:sz w:val="19"/>
                <w:szCs w:val="19"/>
              </w:rPr>
              <w:t xml:space="preserve"> </w:t>
            </w:r>
            <w:r>
              <w:rPr>
                <w:spacing w:val="6"/>
                <w:sz w:val="19"/>
                <w:szCs w:val="19"/>
              </w:rPr>
              <w:t>口。</w:t>
            </w:r>
          </w:p>
          <w:p w14:paraId="50357556">
            <w:pPr>
              <w:pStyle w:val="6"/>
              <w:spacing w:before="23" w:line="252" w:lineRule="auto"/>
              <w:ind w:left="54" w:right="50" w:firstLine="366"/>
              <w:rPr>
                <w:sz w:val="19"/>
                <w:szCs w:val="19"/>
              </w:rPr>
            </w:pPr>
            <w:r>
              <w:rPr>
                <w:spacing w:val="10"/>
                <w:sz w:val="19"/>
                <w:szCs w:val="19"/>
              </w:rPr>
              <w:t>禁止在饮用水水源一级保护区内新建、改建、扩建与供水设施和保</w:t>
            </w:r>
            <w:r>
              <w:rPr>
                <w:spacing w:val="11"/>
                <w:sz w:val="19"/>
                <w:szCs w:val="19"/>
              </w:rPr>
              <w:t xml:space="preserve"> </w:t>
            </w:r>
            <w:r>
              <w:rPr>
                <w:spacing w:val="8"/>
                <w:sz w:val="19"/>
                <w:szCs w:val="19"/>
              </w:rPr>
              <w:t>护水源无关的建设项目；</w:t>
            </w:r>
            <w:r>
              <w:rPr>
                <w:spacing w:val="-51"/>
                <w:sz w:val="19"/>
                <w:szCs w:val="19"/>
              </w:rPr>
              <w:t xml:space="preserve"> </w:t>
            </w:r>
            <w:r>
              <w:rPr>
                <w:spacing w:val="8"/>
                <w:sz w:val="19"/>
                <w:szCs w:val="19"/>
              </w:rPr>
              <w:t>已建成的与供水设施和保护水源无关</w:t>
            </w:r>
            <w:r>
              <w:rPr>
                <w:spacing w:val="7"/>
                <w:sz w:val="19"/>
                <w:szCs w:val="19"/>
              </w:rPr>
              <w:t>的建设项</w:t>
            </w:r>
            <w:r>
              <w:rPr>
                <w:sz w:val="19"/>
                <w:szCs w:val="19"/>
              </w:rPr>
              <w:t xml:space="preserve"> </w:t>
            </w:r>
            <w:r>
              <w:rPr>
                <w:spacing w:val="6"/>
                <w:sz w:val="19"/>
                <w:szCs w:val="19"/>
              </w:rPr>
              <w:t>目，</w:t>
            </w:r>
            <w:r>
              <w:rPr>
                <w:spacing w:val="-40"/>
                <w:sz w:val="19"/>
                <w:szCs w:val="19"/>
              </w:rPr>
              <w:t xml:space="preserve"> </w:t>
            </w:r>
            <w:r>
              <w:rPr>
                <w:spacing w:val="6"/>
                <w:sz w:val="19"/>
                <w:szCs w:val="19"/>
              </w:rPr>
              <w:t>由县级以上人民政府责令拆除或者关闭。</w:t>
            </w:r>
          </w:p>
          <w:p w14:paraId="48FFEFD2">
            <w:pPr>
              <w:pStyle w:val="6"/>
              <w:spacing w:before="2" w:line="251" w:lineRule="auto"/>
              <w:ind w:left="54" w:right="48" w:firstLine="366"/>
              <w:jc w:val="both"/>
              <w:rPr>
                <w:sz w:val="19"/>
                <w:szCs w:val="19"/>
              </w:rPr>
            </w:pPr>
            <w:r>
              <w:rPr>
                <w:spacing w:val="10"/>
                <w:sz w:val="19"/>
                <w:szCs w:val="19"/>
              </w:rPr>
              <w:t>禁止在饮用水水源二级保护区内新建、改建、扩建排放污染物的建</w:t>
            </w:r>
            <w:r>
              <w:rPr>
                <w:spacing w:val="11"/>
                <w:sz w:val="19"/>
                <w:szCs w:val="19"/>
              </w:rPr>
              <w:t xml:space="preserve"> </w:t>
            </w:r>
            <w:r>
              <w:rPr>
                <w:spacing w:val="6"/>
                <w:sz w:val="19"/>
                <w:szCs w:val="19"/>
              </w:rPr>
              <w:t>设项目；</w:t>
            </w:r>
            <w:r>
              <w:rPr>
                <w:spacing w:val="-34"/>
                <w:sz w:val="19"/>
                <w:szCs w:val="19"/>
              </w:rPr>
              <w:t xml:space="preserve"> </w:t>
            </w:r>
            <w:r>
              <w:rPr>
                <w:spacing w:val="6"/>
                <w:sz w:val="19"/>
                <w:szCs w:val="19"/>
              </w:rPr>
              <w:t>已建成的排放污染物的建设项目，</w:t>
            </w:r>
            <w:r>
              <w:rPr>
                <w:spacing w:val="-52"/>
                <w:sz w:val="19"/>
                <w:szCs w:val="19"/>
              </w:rPr>
              <w:t xml:space="preserve"> </w:t>
            </w:r>
            <w:r>
              <w:rPr>
                <w:spacing w:val="6"/>
                <w:sz w:val="19"/>
                <w:szCs w:val="19"/>
              </w:rPr>
              <w:t>由县级以上人民政府责令拆</w:t>
            </w:r>
            <w:r>
              <w:rPr>
                <w:sz w:val="19"/>
                <w:szCs w:val="19"/>
              </w:rPr>
              <w:t xml:space="preserve"> </w:t>
            </w:r>
            <w:r>
              <w:rPr>
                <w:spacing w:val="5"/>
                <w:sz w:val="19"/>
                <w:szCs w:val="19"/>
              </w:rPr>
              <w:t>除或者关闭。</w:t>
            </w:r>
          </w:p>
          <w:p w14:paraId="5F79E4E8">
            <w:pPr>
              <w:pStyle w:val="6"/>
              <w:spacing w:line="226" w:lineRule="auto"/>
              <w:ind w:left="89" w:right="50" w:firstLine="330"/>
              <w:rPr>
                <w:sz w:val="19"/>
                <w:szCs w:val="19"/>
              </w:rPr>
            </w:pPr>
            <w:r>
              <w:rPr>
                <w:spacing w:val="10"/>
                <w:sz w:val="19"/>
                <w:szCs w:val="19"/>
              </w:rPr>
              <w:t>禁止在饮用水水源准保护区内新建、扩建对水体污染严重的建设项</w:t>
            </w:r>
            <w:r>
              <w:rPr>
                <w:spacing w:val="11"/>
                <w:sz w:val="19"/>
                <w:szCs w:val="19"/>
              </w:rPr>
              <w:t xml:space="preserve"> </w:t>
            </w:r>
            <w:r>
              <w:rPr>
                <w:spacing w:val="6"/>
                <w:sz w:val="19"/>
                <w:szCs w:val="19"/>
              </w:rPr>
              <w:t>目；改建建设项目，不得增加排污量。</w:t>
            </w:r>
          </w:p>
        </w:tc>
        <w:tc>
          <w:tcPr>
            <w:tcW w:w="4465" w:type="dxa"/>
            <w:vAlign w:val="top"/>
          </w:tcPr>
          <w:p w14:paraId="12E930AE">
            <w:pPr>
              <w:spacing w:line="256" w:lineRule="auto"/>
              <w:rPr>
                <w:rFonts w:ascii="Arial"/>
                <w:sz w:val="21"/>
              </w:rPr>
            </w:pPr>
          </w:p>
          <w:p w14:paraId="5FEFEB9B">
            <w:pPr>
              <w:spacing w:line="256" w:lineRule="auto"/>
              <w:rPr>
                <w:rFonts w:ascii="Arial"/>
                <w:sz w:val="21"/>
              </w:rPr>
            </w:pPr>
          </w:p>
          <w:p w14:paraId="256B8257">
            <w:pPr>
              <w:spacing w:line="256" w:lineRule="auto"/>
              <w:rPr>
                <w:rFonts w:ascii="Arial"/>
                <w:sz w:val="21"/>
              </w:rPr>
            </w:pPr>
          </w:p>
          <w:p w14:paraId="7443A359">
            <w:pPr>
              <w:pStyle w:val="6"/>
              <w:spacing w:before="62" w:line="251" w:lineRule="auto"/>
              <w:ind w:left="125" w:right="97" w:firstLine="394"/>
              <w:rPr>
                <w:sz w:val="19"/>
                <w:szCs w:val="19"/>
              </w:rPr>
            </w:pPr>
            <w:r>
              <w:rPr>
                <w:spacing w:val="7"/>
                <w:sz w:val="19"/>
                <w:szCs w:val="19"/>
              </w:rPr>
              <w:t>本次评价的</w:t>
            </w:r>
            <w:r>
              <w:rPr>
                <w:spacing w:val="-22"/>
                <w:sz w:val="19"/>
                <w:szCs w:val="19"/>
              </w:rPr>
              <w:t xml:space="preserve"> </w:t>
            </w:r>
            <w:r>
              <w:rPr>
                <w:rFonts w:ascii="Times New Roman" w:hAnsi="Times New Roman" w:eastAsia="Times New Roman" w:cs="Times New Roman"/>
                <w:spacing w:val="7"/>
                <w:sz w:val="19"/>
                <w:szCs w:val="19"/>
              </w:rPr>
              <w:t>3</w:t>
            </w:r>
            <w:r>
              <w:rPr>
                <w:rFonts w:ascii="Times New Roman" w:hAnsi="Times New Roman" w:eastAsia="Times New Roman" w:cs="Times New Roman"/>
                <w:spacing w:val="21"/>
                <w:sz w:val="19"/>
                <w:szCs w:val="19"/>
              </w:rPr>
              <w:t xml:space="preserve"> </w:t>
            </w:r>
            <w:r>
              <w:rPr>
                <w:spacing w:val="7"/>
                <w:sz w:val="19"/>
                <w:szCs w:val="19"/>
              </w:rPr>
              <w:t>个勘查区块和</w:t>
            </w:r>
            <w:r>
              <w:rPr>
                <w:spacing w:val="-16"/>
                <w:sz w:val="19"/>
                <w:szCs w:val="19"/>
              </w:rPr>
              <w:t xml:space="preserve"> </w:t>
            </w:r>
            <w:r>
              <w:rPr>
                <w:rFonts w:ascii="Times New Roman" w:hAnsi="Times New Roman" w:eastAsia="Times New Roman" w:cs="Times New Roman"/>
                <w:spacing w:val="7"/>
                <w:sz w:val="19"/>
                <w:szCs w:val="19"/>
              </w:rPr>
              <w:t>1</w:t>
            </w:r>
            <w:r>
              <w:rPr>
                <w:rFonts w:ascii="Times New Roman" w:hAnsi="Times New Roman" w:eastAsia="Times New Roman" w:cs="Times New Roman"/>
                <w:spacing w:val="20"/>
                <w:w w:val="101"/>
                <w:sz w:val="19"/>
                <w:szCs w:val="19"/>
              </w:rPr>
              <w:t xml:space="preserve"> </w:t>
            </w:r>
            <w:r>
              <w:rPr>
                <w:spacing w:val="7"/>
                <w:sz w:val="19"/>
                <w:szCs w:val="19"/>
              </w:rPr>
              <w:t>个开采区块均</w:t>
            </w:r>
            <w:r>
              <w:rPr>
                <w:sz w:val="19"/>
                <w:szCs w:val="19"/>
              </w:rPr>
              <w:t xml:space="preserve"> </w:t>
            </w:r>
            <w:r>
              <w:rPr>
                <w:spacing w:val="7"/>
                <w:sz w:val="19"/>
                <w:szCs w:val="19"/>
              </w:rPr>
              <w:t>不占用饮用水源保护区。符合。</w:t>
            </w:r>
          </w:p>
        </w:tc>
        <w:tc>
          <w:tcPr>
            <w:tcW w:w="1897" w:type="dxa"/>
            <w:tcBorders>
              <w:right w:val="single" w:color="000000" w:sz="10" w:space="0"/>
            </w:tcBorders>
            <w:vAlign w:val="top"/>
          </w:tcPr>
          <w:p w14:paraId="1F4B7EE3">
            <w:pPr>
              <w:spacing w:line="262" w:lineRule="auto"/>
              <w:rPr>
                <w:rFonts w:ascii="Arial"/>
                <w:sz w:val="21"/>
              </w:rPr>
            </w:pPr>
          </w:p>
          <w:p w14:paraId="30E02EEC">
            <w:pPr>
              <w:spacing w:line="262" w:lineRule="auto"/>
              <w:rPr>
                <w:rFonts w:ascii="Arial"/>
                <w:sz w:val="21"/>
              </w:rPr>
            </w:pPr>
          </w:p>
          <w:p w14:paraId="2033EFE9">
            <w:pPr>
              <w:spacing w:line="262" w:lineRule="auto"/>
              <w:rPr>
                <w:rFonts w:ascii="Arial"/>
                <w:sz w:val="21"/>
              </w:rPr>
            </w:pPr>
          </w:p>
          <w:p w14:paraId="3B88483F">
            <w:pPr>
              <w:spacing w:line="262" w:lineRule="auto"/>
              <w:rPr>
                <w:rFonts w:ascii="Arial"/>
                <w:sz w:val="21"/>
              </w:rPr>
            </w:pPr>
          </w:p>
          <w:p w14:paraId="265E4431">
            <w:pPr>
              <w:spacing w:before="55" w:line="199" w:lineRule="auto"/>
              <w:ind w:left="949"/>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r>
      <w:tr w14:paraId="41414E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4" w:hRule="atLeast"/>
        </w:trPr>
        <w:tc>
          <w:tcPr>
            <w:tcW w:w="547" w:type="dxa"/>
            <w:tcBorders>
              <w:left w:val="single" w:color="000000" w:sz="10" w:space="0"/>
              <w:bottom w:val="single" w:color="000000" w:sz="10" w:space="0"/>
            </w:tcBorders>
            <w:vAlign w:val="top"/>
          </w:tcPr>
          <w:p w14:paraId="7794ED64">
            <w:pPr>
              <w:spacing w:line="263" w:lineRule="auto"/>
              <w:rPr>
                <w:rFonts w:ascii="Arial"/>
                <w:sz w:val="21"/>
              </w:rPr>
            </w:pPr>
          </w:p>
          <w:p w14:paraId="619BEDA9">
            <w:pPr>
              <w:spacing w:line="263" w:lineRule="auto"/>
              <w:rPr>
                <w:rFonts w:ascii="Arial"/>
                <w:sz w:val="21"/>
              </w:rPr>
            </w:pPr>
          </w:p>
          <w:p w14:paraId="74EC4D94">
            <w:pPr>
              <w:spacing w:line="263" w:lineRule="auto"/>
              <w:rPr>
                <w:rFonts w:ascii="Arial"/>
                <w:sz w:val="21"/>
              </w:rPr>
            </w:pPr>
          </w:p>
          <w:p w14:paraId="5966C953">
            <w:pPr>
              <w:spacing w:line="263" w:lineRule="auto"/>
              <w:rPr>
                <w:rFonts w:ascii="Arial"/>
                <w:sz w:val="21"/>
              </w:rPr>
            </w:pPr>
          </w:p>
          <w:p w14:paraId="59AB9C71">
            <w:pPr>
              <w:spacing w:before="57" w:line="195" w:lineRule="auto"/>
              <w:ind w:left="211"/>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273" w:type="dxa"/>
            <w:tcBorders>
              <w:bottom w:val="single" w:color="000000" w:sz="10" w:space="0"/>
            </w:tcBorders>
            <w:vAlign w:val="top"/>
          </w:tcPr>
          <w:p w14:paraId="265EDBF1">
            <w:pPr>
              <w:pStyle w:val="6"/>
              <w:spacing w:before="287" w:line="233" w:lineRule="auto"/>
              <w:ind w:left="137"/>
              <w:rPr>
                <w:sz w:val="19"/>
                <w:szCs w:val="19"/>
              </w:rPr>
            </w:pPr>
            <w:r>
              <w:rPr>
                <w:spacing w:val="7"/>
                <w:sz w:val="19"/>
                <w:szCs w:val="19"/>
              </w:rPr>
              <w:t>《关于划定</w:t>
            </w:r>
          </w:p>
          <w:p w14:paraId="7731A49E">
            <w:pPr>
              <w:pStyle w:val="6"/>
              <w:spacing w:before="19" w:line="229" w:lineRule="auto"/>
              <w:ind w:left="139"/>
              <w:rPr>
                <w:sz w:val="19"/>
                <w:szCs w:val="19"/>
              </w:rPr>
            </w:pPr>
            <w:r>
              <w:rPr>
                <w:spacing w:val="6"/>
                <w:sz w:val="19"/>
                <w:szCs w:val="19"/>
              </w:rPr>
              <w:t>并严守生态</w:t>
            </w:r>
          </w:p>
          <w:p w14:paraId="32F6598B">
            <w:pPr>
              <w:pStyle w:val="6"/>
              <w:spacing w:before="23" w:line="230" w:lineRule="auto"/>
              <w:ind w:left="138"/>
              <w:rPr>
                <w:sz w:val="19"/>
                <w:szCs w:val="19"/>
              </w:rPr>
            </w:pPr>
            <w:r>
              <w:rPr>
                <w:spacing w:val="6"/>
                <w:sz w:val="19"/>
                <w:szCs w:val="19"/>
              </w:rPr>
              <w:t>保护红线的</w:t>
            </w:r>
          </w:p>
          <w:p w14:paraId="40200A33">
            <w:pPr>
              <w:pStyle w:val="6"/>
              <w:spacing w:before="22" w:line="252" w:lineRule="auto"/>
              <w:ind w:left="186" w:right="157" w:hanging="49"/>
              <w:jc w:val="right"/>
              <w:rPr>
                <w:rFonts w:ascii="Times New Roman" w:hAnsi="Times New Roman" w:eastAsia="Times New Roman" w:cs="Times New Roman"/>
                <w:sz w:val="20"/>
                <w:szCs w:val="20"/>
              </w:rPr>
            </w:pPr>
            <w:r>
              <w:rPr>
                <w:spacing w:val="4"/>
                <w:sz w:val="19"/>
                <w:szCs w:val="19"/>
              </w:rPr>
              <w:t>若干意见》</w:t>
            </w:r>
            <w:r>
              <w:rPr>
                <w:spacing w:val="1"/>
                <w:sz w:val="19"/>
                <w:szCs w:val="19"/>
              </w:rPr>
              <w:t xml:space="preserve"> </w:t>
            </w:r>
            <w:r>
              <w:rPr>
                <w:spacing w:val="42"/>
                <w:w w:val="104"/>
                <w:sz w:val="20"/>
                <w:szCs w:val="20"/>
              </w:rPr>
              <w:t>（厅字</w:t>
            </w:r>
            <w:r>
              <w:rPr>
                <w:sz w:val="20"/>
                <w:szCs w:val="20"/>
              </w:rPr>
              <w:t xml:space="preserve">  </w:t>
            </w:r>
            <w:r>
              <w:rPr>
                <w:spacing w:val="1"/>
                <w:sz w:val="20"/>
                <w:szCs w:val="20"/>
              </w:rPr>
              <w:t>〔</w:t>
            </w:r>
            <w:r>
              <w:rPr>
                <w:rFonts w:ascii="Times New Roman" w:hAnsi="Times New Roman" w:eastAsia="Times New Roman" w:cs="Times New Roman"/>
                <w:spacing w:val="1"/>
                <w:sz w:val="20"/>
                <w:szCs w:val="20"/>
              </w:rPr>
              <w:t>2017</w:t>
            </w:r>
            <w:r>
              <w:rPr>
                <w:spacing w:val="1"/>
                <w:sz w:val="20"/>
                <w:szCs w:val="20"/>
              </w:rPr>
              <w:t>〕</w:t>
            </w:r>
            <w:r>
              <w:rPr>
                <w:rFonts w:ascii="Times New Roman" w:hAnsi="Times New Roman" w:eastAsia="Times New Roman" w:cs="Times New Roman"/>
                <w:spacing w:val="1"/>
                <w:sz w:val="20"/>
                <w:szCs w:val="20"/>
              </w:rPr>
              <w:t>2</w:t>
            </w:r>
          </w:p>
          <w:p w14:paraId="64C31C46">
            <w:pPr>
              <w:pStyle w:val="6"/>
              <w:spacing w:line="232" w:lineRule="auto"/>
              <w:ind w:left="431"/>
              <w:rPr>
                <w:sz w:val="20"/>
                <w:szCs w:val="20"/>
              </w:rPr>
            </w:pPr>
            <w:r>
              <w:rPr>
                <w:spacing w:val="-5"/>
                <w:sz w:val="20"/>
                <w:szCs w:val="20"/>
              </w:rPr>
              <w:t>号）</w:t>
            </w:r>
          </w:p>
        </w:tc>
        <w:tc>
          <w:tcPr>
            <w:tcW w:w="6289" w:type="dxa"/>
            <w:tcBorders>
              <w:bottom w:val="single" w:color="000000" w:sz="10" w:space="0"/>
            </w:tcBorders>
            <w:vAlign w:val="top"/>
          </w:tcPr>
          <w:p w14:paraId="0D60D491">
            <w:pPr>
              <w:pStyle w:val="6"/>
              <w:spacing w:before="51" w:line="250" w:lineRule="auto"/>
              <w:ind w:left="55" w:right="48" w:firstLine="363"/>
              <w:jc w:val="both"/>
              <w:rPr>
                <w:sz w:val="19"/>
                <w:szCs w:val="19"/>
              </w:rPr>
            </w:pPr>
            <w:r>
              <w:rPr>
                <w:spacing w:val="10"/>
                <w:sz w:val="19"/>
                <w:szCs w:val="19"/>
              </w:rPr>
              <w:t>坚守底线，严格保护。牢固树立底线意识，将生态保护红线作为编</w:t>
            </w:r>
            <w:r>
              <w:rPr>
                <w:spacing w:val="13"/>
                <w:sz w:val="19"/>
                <w:szCs w:val="19"/>
              </w:rPr>
              <w:t xml:space="preserve"> </w:t>
            </w:r>
            <w:r>
              <w:rPr>
                <w:spacing w:val="9"/>
                <w:sz w:val="19"/>
                <w:szCs w:val="19"/>
              </w:rPr>
              <w:t>制空间规划的基础。强化用途管制，严禁任意改变用途，杜绝不合理开</w:t>
            </w:r>
            <w:r>
              <w:rPr>
                <w:spacing w:val="10"/>
                <w:sz w:val="19"/>
                <w:szCs w:val="19"/>
              </w:rPr>
              <w:t xml:space="preserve"> </w:t>
            </w:r>
            <w:r>
              <w:rPr>
                <w:spacing w:val="8"/>
                <w:sz w:val="19"/>
                <w:szCs w:val="19"/>
              </w:rPr>
              <w:t>发建设活动对生态保护红线的破坏。</w:t>
            </w:r>
          </w:p>
          <w:p w14:paraId="7A825050">
            <w:pPr>
              <w:pStyle w:val="6"/>
              <w:spacing w:before="6" w:line="251" w:lineRule="auto"/>
              <w:ind w:left="55" w:right="48" w:firstLine="360"/>
              <w:jc w:val="both"/>
              <w:rPr>
                <w:sz w:val="19"/>
                <w:szCs w:val="19"/>
              </w:rPr>
            </w:pPr>
            <w:r>
              <w:rPr>
                <w:spacing w:val="10"/>
                <w:sz w:val="19"/>
                <w:szCs w:val="19"/>
              </w:rPr>
              <w:t>确立生态保护红线优先地位。生态保护红线划定后，相关规划要符</w:t>
            </w:r>
            <w:r>
              <w:rPr>
                <w:spacing w:val="16"/>
                <w:sz w:val="19"/>
                <w:szCs w:val="19"/>
              </w:rPr>
              <w:t xml:space="preserve"> </w:t>
            </w:r>
            <w:r>
              <w:rPr>
                <w:spacing w:val="9"/>
                <w:sz w:val="19"/>
                <w:szCs w:val="19"/>
              </w:rPr>
              <w:t>合生态保护红线空间管控要求，不符合的要及时进行调整。空间规划编</w:t>
            </w:r>
            <w:r>
              <w:rPr>
                <w:spacing w:val="7"/>
                <w:sz w:val="19"/>
                <w:szCs w:val="19"/>
              </w:rPr>
              <w:t xml:space="preserve"> </w:t>
            </w:r>
            <w:r>
              <w:rPr>
                <w:spacing w:val="9"/>
                <w:sz w:val="19"/>
                <w:szCs w:val="19"/>
              </w:rPr>
              <w:t>制要将生态保护红线作为重要基础，发挥生态保护红线对于国土空间开</w:t>
            </w:r>
            <w:r>
              <w:rPr>
                <w:spacing w:val="10"/>
                <w:sz w:val="19"/>
                <w:szCs w:val="19"/>
              </w:rPr>
              <w:t xml:space="preserve"> </w:t>
            </w:r>
            <w:r>
              <w:rPr>
                <w:spacing w:val="6"/>
                <w:sz w:val="19"/>
                <w:szCs w:val="19"/>
              </w:rPr>
              <w:t>发的底线作用。</w:t>
            </w:r>
          </w:p>
          <w:p w14:paraId="5D4D910A">
            <w:pPr>
              <w:pStyle w:val="6"/>
              <w:spacing w:before="1" w:line="233" w:lineRule="auto"/>
              <w:ind w:left="56" w:right="50" w:firstLine="362"/>
              <w:rPr>
                <w:sz w:val="19"/>
                <w:szCs w:val="19"/>
              </w:rPr>
            </w:pPr>
            <w:r>
              <w:rPr>
                <w:spacing w:val="10"/>
                <w:sz w:val="19"/>
                <w:szCs w:val="19"/>
              </w:rPr>
              <w:t>实行严格管控。生态保护红线原则上按禁止开发区域的要求进行管</w:t>
            </w:r>
            <w:r>
              <w:rPr>
                <w:spacing w:val="13"/>
                <w:sz w:val="19"/>
                <w:szCs w:val="19"/>
              </w:rPr>
              <w:t xml:space="preserve"> </w:t>
            </w:r>
            <w:r>
              <w:rPr>
                <w:spacing w:val="9"/>
                <w:sz w:val="19"/>
                <w:szCs w:val="19"/>
              </w:rPr>
              <w:t>理。严禁不符合主体功能定位的各类开发活动，严禁任意改变用途。生</w:t>
            </w:r>
          </w:p>
        </w:tc>
        <w:tc>
          <w:tcPr>
            <w:tcW w:w="4465" w:type="dxa"/>
            <w:tcBorders>
              <w:bottom w:val="single" w:color="000000" w:sz="10" w:space="0"/>
            </w:tcBorders>
            <w:vAlign w:val="top"/>
          </w:tcPr>
          <w:p w14:paraId="2B4856CE">
            <w:pPr>
              <w:spacing w:line="296" w:lineRule="auto"/>
              <w:rPr>
                <w:rFonts w:ascii="Arial"/>
                <w:sz w:val="21"/>
              </w:rPr>
            </w:pPr>
          </w:p>
          <w:p w14:paraId="7471506F">
            <w:pPr>
              <w:spacing w:line="296" w:lineRule="auto"/>
              <w:rPr>
                <w:rFonts w:ascii="Arial"/>
                <w:sz w:val="21"/>
              </w:rPr>
            </w:pPr>
          </w:p>
          <w:p w14:paraId="1FA65C82">
            <w:pPr>
              <w:spacing w:line="297" w:lineRule="auto"/>
              <w:rPr>
                <w:rFonts w:ascii="Arial"/>
                <w:sz w:val="21"/>
              </w:rPr>
            </w:pPr>
          </w:p>
          <w:p w14:paraId="03FA3E50">
            <w:pPr>
              <w:pStyle w:val="6"/>
              <w:spacing w:before="62" w:line="249" w:lineRule="auto"/>
              <w:ind w:left="100" w:right="41" w:firstLine="326"/>
              <w:rPr>
                <w:sz w:val="19"/>
                <w:szCs w:val="19"/>
              </w:rPr>
            </w:pPr>
            <w:r>
              <w:rPr>
                <w:spacing w:val="5"/>
                <w:sz w:val="19"/>
                <w:szCs w:val="19"/>
              </w:rPr>
              <w:t>本次评价的</w:t>
            </w:r>
            <w:r>
              <w:rPr>
                <w:spacing w:val="-20"/>
                <w:sz w:val="19"/>
                <w:szCs w:val="19"/>
              </w:rPr>
              <w:t xml:space="preserve"> </w:t>
            </w:r>
            <w:r>
              <w:rPr>
                <w:rFonts w:ascii="Times New Roman" w:hAnsi="Times New Roman" w:eastAsia="Times New Roman" w:cs="Times New Roman"/>
                <w:spacing w:val="5"/>
                <w:sz w:val="19"/>
                <w:szCs w:val="19"/>
              </w:rPr>
              <w:t>3</w:t>
            </w:r>
            <w:r>
              <w:rPr>
                <w:rFonts w:ascii="Times New Roman" w:hAnsi="Times New Roman" w:eastAsia="Times New Roman" w:cs="Times New Roman"/>
                <w:spacing w:val="18"/>
                <w:sz w:val="19"/>
                <w:szCs w:val="19"/>
              </w:rPr>
              <w:t xml:space="preserve"> </w:t>
            </w:r>
            <w:r>
              <w:rPr>
                <w:spacing w:val="5"/>
                <w:sz w:val="19"/>
                <w:szCs w:val="19"/>
              </w:rPr>
              <w:t>个勘查区块和</w:t>
            </w:r>
            <w:r>
              <w:rPr>
                <w:spacing w:val="-21"/>
                <w:sz w:val="19"/>
                <w:szCs w:val="19"/>
              </w:rPr>
              <w:t xml:space="preserve"> </w:t>
            </w:r>
            <w:r>
              <w:rPr>
                <w:rFonts w:ascii="Times New Roman" w:hAnsi="Times New Roman" w:eastAsia="Times New Roman" w:cs="Times New Roman"/>
                <w:spacing w:val="5"/>
                <w:sz w:val="19"/>
                <w:szCs w:val="19"/>
              </w:rPr>
              <w:t>1</w:t>
            </w:r>
            <w:r>
              <w:rPr>
                <w:rFonts w:ascii="Times New Roman" w:hAnsi="Times New Roman" w:eastAsia="Times New Roman" w:cs="Times New Roman"/>
                <w:spacing w:val="18"/>
                <w:sz w:val="19"/>
                <w:szCs w:val="19"/>
              </w:rPr>
              <w:t xml:space="preserve"> </w:t>
            </w:r>
            <w:r>
              <w:rPr>
                <w:spacing w:val="5"/>
                <w:sz w:val="19"/>
                <w:szCs w:val="19"/>
              </w:rPr>
              <w:t>个开采区块均不</w:t>
            </w:r>
            <w:r>
              <w:rPr>
                <w:sz w:val="19"/>
                <w:szCs w:val="19"/>
              </w:rPr>
              <w:t xml:space="preserve"> </w:t>
            </w:r>
            <w:r>
              <w:rPr>
                <w:spacing w:val="5"/>
                <w:sz w:val="19"/>
                <w:szCs w:val="19"/>
              </w:rPr>
              <w:t>占用生态保护红线。符合。</w:t>
            </w:r>
          </w:p>
        </w:tc>
        <w:tc>
          <w:tcPr>
            <w:tcW w:w="1897" w:type="dxa"/>
            <w:tcBorders>
              <w:bottom w:val="single" w:color="000000" w:sz="10" w:space="0"/>
              <w:right w:val="single" w:color="000000" w:sz="10" w:space="0"/>
            </w:tcBorders>
            <w:vAlign w:val="top"/>
          </w:tcPr>
          <w:p w14:paraId="145DFE70">
            <w:pPr>
              <w:spacing w:line="264" w:lineRule="auto"/>
              <w:rPr>
                <w:rFonts w:ascii="Arial"/>
                <w:sz w:val="21"/>
              </w:rPr>
            </w:pPr>
          </w:p>
          <w:p w14:paraId="42823115">
            <w:pPr>
              <w:spacing w:line="264" w:lineRule="auto"/>
              <w:rPr>
                <w:rFonts w:ascii="Arial"/>
                <w:sz w:val="21"/>
              </w:rPr>
            </w:pPr>
          </w:p>
          <w:p w14:paraId="1657803B">
            <w:pPr>
              <w:spacing w:line="264" w:lineRule="auto"/>
              <w:rPr>
                <w:rFonts w:ascii="Arial"/>
                <w:sz w:val="21"/>
              </w:rPr>
            </w:pPr>
          </w:p>
          <w:p w14:paraId="09F53039">
            <w:pPr>
              <w:spacing w:line="264" w:lineRule="auto"/>
              <w:rPr>
                <w:rFonts w:ascii="Arial"/>
                <w:sz w:val="21"/>
              </w:rPr>
            </w:pPr>
          </w:p>
          <w:p w14:paraId="3EBAB5D5">
            <w:pPr>
              <w:spacing w:before="55" w:line="199" w:lineRule="auto"/>
              <w:ind w:left="923"/>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r>
    </w:tbl>
    <w:p w14:paraId="3903F2AC">
      <w:pPr>
        <w:pStyle w:val="2"/>
      </w:pPr>
    </w:p>
    <w:p w14:paraId="2CB8E033">
      <w:pPr>
        <w:sectPr>
          <w:footerReference r:id="rId72" w:type="default"/>
          <w:pgSz w:w="16839" w:h="11906"/>
          <w:pgMar w:top="1116" w:right="1023" w:bottom="1480" w:left="1317" w:header="683" w:footer="1318" w:gutter="0"/>
          <w:cols w:space="720" w:num="1"/>
        </w:sectPr>
      </w:pPr>
    </w:p>
    <w:p w14:paraId="1BD4F9BC">
      <w:pPr>
        <w:spacing w:before="229"/>
      </w:pPr>
    </w:p>
    <w:tbl>
      <w:tblPr>
        <w:tblStyle w:val="5"/>
        <w:tblW w:w="1447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7"/>
        <w:gridCol w:w="1273"/>
        <w:gridCol w:w="6289"/>
        <w:gridCol w:w="4465"/>
        <w:gridCol w:w="1897"/>
      </w:tblGrid>
      <w:tr w14:paraId="67671D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547" w:type="dxa"/>
            <w:vMerge w:val="restart"/>
            <w:tcBorders>
              <w:top w:val="single" w:color="000000" w:sz="10" w:space="0"/>
              <w:left w:val="single" w:color="000000" w:sz="10" w:space="0"/>
              <w:bottom w:val="nil"/>
            </w:tcBorders>
            <w:vAlign w:val="top"/>
          </w:tcPr>
          <w:p w14:paraId="343ADF2A">
            <w:pPr>
              <w:pStyle w:val="6"/>
              <w:spacing w:before="251" w:line="231" w:lineRule="auto"/>
              <w:ind w:left="69"/>
              <w:rPr>
                <w:sz w:val="19"/>
                <w:szCs w:val="19"/>
              </w:rPr>
            </w:pPr>
            <w:r>
              <w:rPr>
                <w:spacing w:val="2"/>
                <w:sz w:val="19"/>
                <w:szCs w:val="19"/>
              </w:rPr>
              <w:t>序号</w:t>
            </w:r>
          </w:p>
        </w:tc>
        <w:tc>
          <w:tcPr>
            <w:tcW w:w="7562" w:type="dxa"/>
            <w:gridSpan w:val="2"/>
            <w:tcBorders>
              <w:top w:val="single" w:color="000000" w:sz="10" w:space="0"/>
            </w:tcBorders>
            <w:vAlign w:val="top"/>
          </w:tcPr>
          <w:p w14:paraId="7902ADB2">
            <w:pPr>
              <w:pStyle w:val="6"/>
              <w:spacing w:before="75" w:line="231" w:lineRule="auto"/>
              <w:ind w:left="2908"/>
              <w:rPr>
                <w:sz w:val="19"/>
                <w:szCs w:val="19"/>
              </w:rPr>
            </w:pPr>
            <w:r>
              <w:rPr>
                <w:spacing w:val="5"/>
                <w:sz w:val="19"/>
                <w:szCs w:val="19"/>
              </w:rPr>
              <w:t>国家重大政策及规划</w:t>
            </w:r>
          </w:p>
        </w:tc>
        <w:tc>
          <w:tcPr>
            <w:tcW w:w="4465" w:type="dxa"/>
            <w:vMerge w:val="restart"/>
            <w:tcBorders>
              <w:top w:val="single" w:color="000000" w:sz="10" w:space="0"/>
              <w:bottom w:val="nil"/>
            </w:tcBorders>
            <w:vAlign w:val="top"/>
          </w:tcPr>
          <w:p w14:paraId="4116207A">
            <w:pPr>
              <w:pStyle w:val="6"/>
              <w:spacing w:before="250" w:line="229" w:lineRule="auto"/>
              <w:ind w:left="949"/>
              <w:rPr>
                <w:sz w:val="19"/>
                <w:szCs w:val="19"/>
              </w:rPr>
            </w:pPr>
            <w:r>
              <w:rPr>
                <w:spacing w:val="8"/>
                <w:sz w:val="19"/>
                <w:szCs w:val="19"/>
              </w:rPr>
              <w:t>本《规划调整》的符合性分析</w:t>
            </w:r>
          </w:p>
        </w:tc>
        <w:tc>
          <w:tcPr>
            <w:tcW w:w="1897" w:type="dxa"/>
            <w:vMerge w:val="restart"/>
            <w:tcBorders>
              <w:top w:val="single" w:color="000000" w:sz="10" w:space="0"/>
              <w:bottom w:val="nil"/>
              <w:right w:val="single" w:color="000000" w:sz="10" w:space="0"/>
            </w:tcBorders>
            <w:vAlign w:val="top"/>
          </w:tcPr>
          <w:p w14:paraId="2AAE6BF9">
            <w:pPr>
              <w:pStyle w:val="6"/>
              <w:spacing w:before="250" w:line="230" w:lineRule="auto"/>
              <w:ind w:left="373"/>
              <w:rPr>
                <w:sz w:val="19"/>
                <w:szCs w:val="19"/>
              </w:rPr>
            </w:pPr>
            <w:r>
              <w:rPr>
                <w:spacing w:val="5"/>
                <w:sz w:val="19"/>
                <w:szCs w:val="19"/>
              </w:rPr>
              <w:t>简要优化建议</w:t>
            </w:r>
          </w:p>
        </w:tc>
      </w:tr>
      <w:tr w14:paraId="4A8CC6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47" w:type="dxa"/>
            <w:vMerge w:val="continue"/>
            <w:tcBorders>
              <w:top w:val="nil"/>
              <w:left w:val="single" w:color="000000" w:sz="10" w:space="0"/>
            </w:tcBorders>
            <w:vAlign w:val="top"/>
          </w:tcPr>
          <w:p w14:paraId="4ECB98C5">
            <w:pPr>
              <w:rPr>
                <w:rFonts w:ascii="Arial"/>
                <w:sz w:val="21"/>
              </w:rPr>
            </w:pPr>
          </w:p>
        </w:tc>
        <w:tc>
          <w:tcPr>
            <w:tcW w:w="1273" w:type="dxa"/>
            <w:vAlign w:val="top"/>
          </w:tcPr>
          <w:p w14:paraId="201CCBED">
            <w:pPr>
              <w:pStyle w:val="6"/>
              <w:spacing w:before="72" w:line="230" w:lineRule="auto"/>
              <w:ind w:left="438"/>
              <w:rPr>
                <w:sz w:val="19"/>
                <w:szCs w:val="19"/>
              </w:rPr>
            </w:pPr>
            <w:r>
              <w:rPr>
                <w:spacing w:val="2"/>
                <w:sz w:val="19"/>
                <w:szCs w:val="19"/>
              </w:rPr>
              <w:t>名称</w:t>
            </w:r>
          </w:p>
        </w:tc>
        <w:tc>
          <w:tcPr>
            <w:tcW w:w="6289" w:type="dxa"/>
            <w:vAlign w:val="top"/>
          </w:tcPr>
          <w:p w14:paraId="72EE04B1">
            <w:pPr>
              <w:pStyle w:val="6"/>
              <w:spacing w:before="72" w:line="231" w:lineRule="auto"/>
              <w:ind w:left="2754"/>
              <w:rPr>
                <w:sz w:val="19"/>
                <w:szCs w:val="19"/>
              </w:rPr>
            </w:pPr>
            <w:r>
              <w:rPr>
                <w:spacing w:val="6"/>
                <w:sz w:val="19"/>
                <w:szCs w:val="19"/>
              </w:rPr>
              <w:t>相关内容</w:t>
            </w:r>
          </w:p>
        </w:tc>
        <w:tc>
          <w:tcPr>
            <w:tcW w:w="4465" w:type="dxa"/>
            <w:vMerge w:val="continue"/>
            <w:tcBorders>
              <w:top w:val="nil"/>
            </w:tcBorders>
            <w:vAlign w:val="top"/>
          </w:tcPr>
          <w:p w14:paraId="5FD19F55">
            <w:pPr>
              <w:rPr>
                <w:rFonts w:ascii="Arial"/>
                <w:sz w:val="21"/>
              </w:rPr>
            </w:pPr>
          </w:p>
        </w:tc>
        <w:tc>
          <w:tcPr>
            <w:tcW w:w="1897" w:type="dxa"/>
            <w:vMerge w:val="continue"/>
            <w:tcBorders>
              <w:top w:val="nil"/>
              <w:right w:val="single" w:color="000000" w:sz="10" w:space="0"/>
            </w:tcBorders>
            <w:vAlign w:val="top"/>
          </w:tcPr>
          <w:p w14:paraId="47FD2ADF">
            <w:pPr>
              <w:rPr>
                <w:rFonts w:ascii="Arial"/>
                <w:sz w:val="21"/>
              </w:rPr>
            </w:pPr>
          </w:p>
        </w:tc>
      </w:tr>
      <w:tr w14:paraId="268F37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8" w:hRule="atLeast"/>
        </w:trPr>
        <w:tc>
          <w:tcPr>
            <w:tcW w:w="547" w:type="dxa"/>
            <w:tcBorders>
              <w:left w:val="single" w:color="000000" w:sz="10" w:space="0"/>
            </w:tcBorders>
            <w:vAlign w:val="top"/>
          </w:tcPr>
          <w:p w14:paraId="08365553">
            <w:pPr>
              <w:rPr>
                <w:rFonts w:ascii="Arial"/>
                <w:sz w:val="21"/>
              </w:rPr>
            </w:pPr>
          </w:p>
        </w:tc>
        <w:tc>
          <w:tcPr>
            <w:tcW w:w="1273" w:type="dxa"/>
            <w:vAlign w:val="top"/>
          </w:tcPr>
          <w:p w14:paraId="07B0ED9F">
            <w:pPr>
              <w:rPr>
                <w:rFonts w:ascii="Arial"/>
                <w:sz w:val="21"/>
              </w:rPr>
            </w:pPr>
          </w:p>
        </w:tc>
        <w:tc>
          <w:tcPr>
            <w:tcW w:w="6289" w:type="dxa"/>
            <w:vAlign w:val="top"/>
          </w:tcPr>
          <w:p w14:paraId="689C16E6">
            <w:pPr>
              <w:pStyle w:val="6"/>
              <w:spacing w:before="32" w:line="244" w:lineRule="auto"/>
              <w:ind w:left="41" w:firstLine="20"/>
              <w:jc w:val="both"/>
              <w:rPr>
                <w:sz w:val="19"/>
                <w:szCs w:val="19"/>
              </w:rPr>
            </w:pPr>
            <w:r>
              <w:rPr>
                <w:spacing w:val="9"/>
                <w:sz w:val="19"/>
                <w:szCs w:val="19"/>
              </w:rPr>
              <w:t>态保护红线划定后，只能增加、不能减少，因国家重大基础设</w:t>
            </w:r>
            <w:r>
              <w:rPr>
                <w:spacing w:val="8"/>
                <w:sz w:val="19"/>
                <w:szCs w:val="19"/>
              </w:rPr>
              <w:t>施、重大</w:t>
            </w:r>
            <w:r>
              <w:rPr>
                <w:sz w:val="19"/>
                <w:szCs w:val="19"/>
              </w:rPr>
              <w:t xml:space="preserve"> </w:t>
            </w:r>
            <w:r>
              <w:rPr>
                <w:spacing w:val="5"/>
                <w:sz w:val="19"/>
                <w:szCs w:val="19"/>
              </w:rPr>
              <w:t>民生保障项目建设等需要调整的，由省级政府组织论证，提出调整方案，</w:t>
            </w:r>
            <w:r>
              <w:rPr>
                <w:spacing w:val="1"/>
                <w:sz w:val="19"/>
                <w:szCs w:val="19"/>
              </w:rPr>
              <w:t xml:space="preserve"> </w:t>
            </w:r>
            <w:r>
              <w:rPr>
                <w:rFonts w:ascii="Times New Roman" w:hAnsi="Times New Roman" w:eastAsia="Times New Roman" w:cs="Times New Roman"/>
                <w:spacing w:val="8"/>
                <w:sz w:val="19"/>
                <w:szCs w:val="19"/>
              </w:rPr>
              <w:t>/</w:t>
            </w:r>
            <w:r>
              <w:rPr>
                <w:spacing w:val="8"/>
                <w:sz w:val="19"/>
                <w:szCs w:val="19"/>
              </w:rPr>
              <w:t>经环境保护部、国家发展改革委会同有关部门</w:t>
            </w:r>
            <w:r>
              <w:rPr>
                <w:spacing w:val="7"/>
                <w:sz w:val="19"/>
                <w:szCs w:val="19"/>
              </w:rPr>
              <w:t>提出审核意见后，报国务</w:t>
            </w:r>
            <w:r>
              <w:rPr>
                <w:sz w:val="19"/>
                <w:szCs w:val="19"/>
              </w:rPr>
              <w:t xml:space="preserve"> </w:t>
            </w:r>
            <w:r>
              <w:rPr>
                <w:spacing w:val="9"/>
                <w:sz w:val="19"/>
                <w:szCs w:val="19"/>
              </w:rPr>
              <w:t>院批准。因国家重大战略资源勘查需要，在不影响主体功能定位的前提</w:t>
            </w:r>
            <w:r>
              <w:rPr>
                <w:spacing w:val="16"/>
                <w:sz w:val="19"/>
                <w:szCs w:val="19"/>
              </w:rPr>
              <w:t xml:space="preserve"> </w:t>
            </w:r>
            <w:r>
              <w:rPr>
                <w:spacing w:val="9"/>
                <w:sz w:val="19"/>
                <w:szCs w:val="19"/>
              </w:rPr>
              <w:t>下，经依法批准后予以安排勘查项目。</w:t>
            </w:r>
          </w:p>
        </w:tc>
        <w:tc>
          <w:tcPr>
            <w:tcW w:w="4465" w:type="dxa"/>
            <w:vAlign w:val="top"/>
          </w:tcPr>
          <w:p w14:paraId="162D52C4">
            <w:pPr>
              <w:rPr>
                <w:rFonts w:ascii="Arial"/>
                <w:sz w:val="21"/>
              </w:rPr>
            </w:pPr>
          </w:p>
        </w:tc>
        <w:tc>
          <w:tcPr>
            <w:tcW w:w="1897" w:type="dxa"/>
            <w:tcBorders>
              <w:right w:val="single" w:color="000000" w:sz="10" w:space="0"/>
            </w:tcBorders>
            <w:vAlign w:val="top"/>
          </w:tcPr>
          <w:p w14:paraId="67228CDD">
            <w:pPr>
              <w:rPr>
                <w:rFonts w:ascii="Arial"/>
                <w:sz w:val="21"/>
              </w:rPr>
            </w:pPr>
          </w:p>
        </w:tc>
      </w:tr>
      <w:tr w14:paraId="48C1B1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2" w:hRule="atLeast"/>
        </w:trPr>
        <w:tc>
          <w:tcPr>
            <w:tcW w:w="547" w:type="dxa"/>
            <w:tcBorders>
              <w:left w:val="single" w:color="000000" w:sz="10" w:space="0"/>
              <w:bottom w:val="single" w:color="000000" w:sz="10" w:space="0"/>
            </w:tcBorders>
            <w:vAlign w:val="top"/>
          </w:tcPr>
          <w:p w14:paraId="3FFC6E41">
            <w:pPr>
              <w:spacing w:line="258" w:lineRule="auto"/>
              <w:rPr>
                <w:rFonts w:ascii="Arial"/>
                <w:sz w:val="21"/>
              </w:rPr>
            </w:pPr>
          </w:p>
          <w:p w14:paraId="1057A32C">
            <w:pPr>
              <w:spacing w:line="258" w:lineRule="auto"/>
              <w:rPr>
                <w:rFonts w:ascii="Arial"/>
                <w:sz w:val="21"/>
              </w:rPr>
            </w:pPr>
          </w:p>
          <w:p w14:paraId="2857E08A">
            <w:pPr>
              <w:spacing w:line="258" w:lineRule="auto"/>
              <w:rPr>
                <w:rFonts w:ascii="Arial"/>
                <w:sz w:val="21"/>
              </w:rPr>
            </w:pPr>
          </w:p>
          <w:p w14:paraId="6A2CC105">
            <w:pPr>
              <w:spacing w:line="259" w:lineRule="auto"/>
              <w:rPr>
                <w:rFonts w:ascii="Arial"/>
                <w:sz w:val="21"/>
              </w:rPr>
            </w:pPr>
          </w:p>
          <w:p w14:paraId="64BB4359">
            <w:pPr>
              <w:spacing w:line="259" w:lineRule="auto"/>
              <w:rPr>
                <w:rFonts w:ascii="Arial"/>
                <w:sz w:val="21"/>
              </w:rPr>
            </w:pPr>
          </w:p>
          <w:p w14:paraId="22B38FF7">
            <w:pPr>
              <w:spacing w:line="259" w:lineRule="auto"/>
              <w:rPr>
                <w:rFonts w:ascii="Arial"/>
                <w:sz w:val="21"/>
              </w:rPr>
            </w:pPr>
          </w:p>
          <w:p w14:paraId="3ABB5859">
            <w:pPr>
              <w:spacing w:line="259" w:lineRule="auto"/>
              <w:rPr>
                <w:rFonts w:ascii="Arial"/>
                <w:sz w:val="21"/>
              </w:rPr>
            </w:pPr>
          </w:p>
          <w:p w14:paraId="2C107501">
            <w:pPr>
              <w:spacing w:line="259" w:lineRule="auto"/>
              <w:rPr>
                <w:rFonts w:ascii="Arial"/>
                <w:sz w:val="21"/>
              </w:rPr>
            </w:pPr>
          </w:p>
          <w:p w14:paraId="421889B2">
            <w:pPr>
              <w:spacing w:line="259" w:lineRule="auto"/>
              <w:rPr>
                <w:rFonts w:ascii="Arial"/>
                <w:sz w:val="21"/>
              </w:rPr>
            </w:pPr>
          </w:p>
          <w:p w14:paraId="51A60ACA">
            <w:pPr>
              <w:spacing w:line="259" w:lineRule="auto"/>
              <w:rPr>
                <w:rFonts w:ascii="Arial"/>
                <w:sz w:val="21"/>
              </w:rPr>
            </w:pPr>
          </w:p>
          <w:p w14:paraId="03A2D041">
            <w:pPr>
              <w:spacing w:line="259" w:lineRule="auto"/>
              <w:rPr>
                <w:rFonts w:ascii="Arial"/>
                <w:sz w:val="21"/>
              </w:rPr>
            </w:pPr>
          </w:p>
          <w:p w14:paraId="4E31BCF1">
            <w:pPr>
              <w:spacing w:line="259" w:lineRule="auto"/>
              <w:rPr>
                <w:rFonts w:ascii="Arial"/>
                <w:sz w:val="21"/>
              </w:rPr>
            </w:pPr>
          </w:p>
          <w:p w14:paraId="2794DFE1">
            <w:pPr>
              <w:spacing w:before="57" w:line="192" w:lineRule="auto"/>
              <w:ind w:left="210"/>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273" w:type="dxa"/>
            <w:tcBorders>
              <w:bottom w:val="single" w:color="000000" w:sz="10" w:space="0"/>
            </w:tcBorders>
            <w:vAlign w:val="top"/>
          </w:tcPr>
          <w:p w14:paraId="5936BD4E">
            <w:pPr>
              <w:spacing w:line="254" w:lineRule="auto"/>
              <w:rPr>
                <w:rFonts w:ascii="Arial"/>
                <w:sz w:val="21"/>
              </w:rPr>
            </w:pPr>
          </w:p>
          <w:p w14:paraId="03CEF74C">
            <w:pPr>
              <w:spacing w:line="254" w:lineRule="auto"/>
              <w:rPr>
                <w:rFonts w:ascii="Arial"/>
                <w:sz w:val="21"/>
              </w:rPr>
            </w:pPr>
          </w:p>
          <w:p w14:paraId="42DB44DA">
            <w:pPr>
              <w:spacing w:line="254" w:lineRule="auto"/>
              <w:rPr>
                <w:rFonts w:ascii="Arial"/>
                <w:sz w:val="21"/>
              </w:rPr>
            </w:pPr>
          </w:p>
          <w:p w14:paraId="4223C2F3">
            <w:pPr>
              <w:spacing w:line="254" w:lineRule="auto"/>
              <w:rPr>
                <w:rFonts w:ascii="Arial"/>
                <w:sz w:val="21"/>
              </w:rPr>
            </w:pPr>
          </w:p>
          <w:p w14:paraId="0F2D5261">
            <w:pPr>
              <w:spacing w:line="254" w:lineRule="auto"/>
              <w:rPr>
                <w:rFonts w:ascii="Arial"/>
                <w:sz w:val="21"/>
              </w:rPr>
            </w:pPr>
          </w:p>
          <w:p w14:paraId="738C2C73">
            <w:pPr>
              <w:spacing w:line="255" w:lineRule="auto"/>
              <w:rPr>
                <w:rFonts w:ascii="Arial"/>
                <w:sz w:val="21"/>
              </w:rPr>
            </w:pPr>
          </w:p>
          <w:p w14:paraId="564F543F">
            <w:pPr>
              <w:spacing w:line="255" w:lineRule="auto"/>
              <w:rPr>
                <w:rFonts w:ascii="Arial"/>
                <w:sz w:val="21"/>
              </w:rPr>
            </w:pPr>
          </w:p>
          <w:p w14:paraId="65106514">
            <w:pPr>
              <w:spacing w:line="255" w:lineRule="auto"/>
              <w:rPr>
                <w:rFonts w:ascii="Arial"/>
                <w:sz w:val="21"/>
              </w:rPr>
            </w:pPr>
          </w:p>
          <w:p w14:paraId="6D18698D">
            <w:pPr>
              <w:pStyle w:val="6"/>
              <w:spacing w:before="62" w:line="233" w:lineRule="auto"/>
              <w:ind w:left="137"/>
              <w:rPr>
                <w:sz w:val="19"/>
                <w:szCs w:val="19"/>
              </w:rPr>
            </w:pPr>
            <w:r>
              <w:rPr>
                <w:spacing w:val="7"/>
                <w:sz w:val="19"/>
                <w:szCs w:val="19"/>
              </w:rPr>
              <w:t>《国土资源</w:t>
            </w:r>
          </w:p>
          <w:p w14:paraId="63894748">
            <w:pPr>
              <w:pStyle w:val="6"/>
              <w:spacing w:before="19" w:line="231" w:lineRule="auto"/>
              <w:ind w:left="138"/>
              <w:rPr>
                <w:sz w:val="19"/>
                <w:szCs w:val="19"/>
              </w:rPr>
            </w:pPr>
            <w:r>
              <w:rPr>
                <w:spacing w:val="6"/>
                <w:sz w:val="19"/>
                <w:szCs w:val="19"/>
              </w:rPr>
              <w:t>部关于印发</w:t>
            </w:r>
          </w:p>
          <w:p w14:paraId="138822B9">
            <w:pPr>
              <w:pStyle w:val="6"/>
              <w:spacing w:before="21" w:line="232" w:lineRule="auto"/>
              <w:ind w:left="137"/>
              <w:rPr>
                <w:sz w:val="19"/>
                <w:szCs w:val="19"/>
              </w:rPr>
            </w:pPr>
            <w:r>
              <w:rPr>
                <w:spacing w:val="7"/>
                <w:sz w:val="19"/>
                <w:szCs w:val="19"/>
              </w:rPr>
              <w:t>《自然生态</w:t>
            </w:r>
          </w:p>
          <w:p w14:paraId="5414248D">
            <w:pPr>
              <w:pStyle w:val="6"/>
              <w:spacing w:before="22" w:line="232" w:lineRule="auto"/>
              <w:ind w:left="148"/>
              <w:rPr>
                <w:sz w:val="19"/>
                <w:szCs w:val="19"/>
              </w:rPr>
            </w:pPr>
            <w:r>
              <w:rPr>
                <w:spacing w:val="4"/>
                <w:sz w:val="19"/>
                <w:szCs w:val="19"/>
              </w:rPr>
              <w:t>空间用途管</w:t>
            </w:r>
          </w:p>
          <w:p w14:paraId="74F19376">
            <w:pPr>
              <w:pStyle w:val="6"/>
              <w:spacing w:before="19" w:line="252" w:lineRule="auto"/>
              <w:ind w:left="55" w:firstLine="81"/>
              <w:jc w:val="both"/>
              <w:rPr>
                <w:sz w:val="19"/>
                <w:szCs w:val="19"/>
              </w:rPr>
            </w:pPr>
            <w:r>
              <w:rPr>
                <w:spacing w:val="2"/>
                <w:sz w:val="19"/>
                <w:szCs w:val="19"/>
              </w:rPr>
              <w:t>制办法（试</w:t>
            </w:r>
            <w:r>
              <w:rPr>
                <w:sz w:val="19"/>
                <w:szCs w:val="19"/>
              </w:rPr>
              <w:t xml:space="preserve">  </w:t>
            </w:r>
            <w:r>
              <w:rPr>
                <w:spacing w:val="-17"/>
                <w:sz w:val="19"/>
                <w:szCs w:val="19"/>
              </w:rPr>
              <w:t>行）》的通知》</w:t>
            </w:r>
            <w:r>
              <w:rPr>
                <w:sz w:val="19"/>
                <w:szCs w:val="19"/>
              </w:rPr>
              <w:t xml:space="preserve"> </w:t>
            </w:r>
            <w:r>
              <w:rPr>
                <w:spacing w:val="18"/>
                <w:sz w:val="19"/>
                <w:szCs w:val="19"/>
              </w:rPr>
              <w:t>（国土资发</w:t>
            </w:r>
          </w:p>
          <w:p w14:paraId="64159478">
            <w:pPr>
              <w:pStyle w:val="6"/>
              <w:spacing w:before="2" w:line="252" w:lineRule="auto"/>
              <w:ind w:left="442" w:right="144" w:hanging="283"/>
              <w:rPr>
                <w:sz w:val="19"/>
                <w:szCs w:val="19"/>
              </w:rPr>
            </w:pPr>
            <w:r>
              <w:rPr>
                <w:spacing w:val="1"/>
                <w:sz w:val="19"/>
                <w:szCs w:val="19"/>
              </w:rPr>
              <w:t>〔</w:t>
            </w:r>
            <w:r>
              <w:rPr>
                <w:rFonts w:ascii="Times New Roman" w:hAnsi="Times New Roman" w:eastAsia="Times New Roman" w:cs="Times New Roman"/>
                <w:spacing w:val="1"/>
                <w:sz w:val="19"/>
                <w:szCs w:val="19"/>
              </w:rPr>
              <w:t>2017</w:t>
            </w:r>
            <w:r>
              <w:rPr>
                <w:spacing w:val="1"/>
                <w:sz w:val="19"/>
                <w:szCs w:val="19"/>
              </w:rPr>
              <w:t>〕</w:t>
            </w:r>
            <w:r>
              <w:rPr>
                <w:rFonts w:ascii="Times New Roman" w:hAnsi="Times New Roman" w:eastAsia="Times New Roman" w:cs="Times New Roman"/>
                <w:spacing w:val="1"/>
                <w:sz w:val="19"/>
                <w:szCs w:val="19"/>
              </w:rPr>
              <w:t>33</w:t>
            </w:r>
            <w:r>
              <w:rPr>
                <w:rFonts w:ascii="Times New Roman" w:hAnsi="Times New Roman" w:eastAsia="Times New Roman" w:cs="Times New Roman"/>
                <w:spacing w:val="5"/>
                <w:sz w:val="19"/>
                <w:szCs w:val="19"/>
              </w:rPr>
              <w:t xml:space="preserve"> </w:t>
            </w:r>
            <w:r>
              <w:rPr>
                <w:spacing w:val="-5"/>
                <w:sz w:val="19"/>
                <w:szCs w:val="19"/>
              </w:rPr>
              <w:t>号）</w:t>
            </w:r>
          </w:p>
        </w:tc>
        <w:tc>
          <w:tcPr>
            <w:tcW w:w="6289" w:type="dxa"/>
            <w:tcBorders>
              <w:bottom w:val="single" w:color="000000" w:sz="10" w:space="0"/>
            </w:tcBorders>
            <w:vAlign w:val="top"/>
          </w:tcPr>
          <w:p w14:paraId="28020AA9">
            <w:pPr>
              <w:pStyle w:val="6"/>
              <w:spacing w:before="35" w:line="252" w:lineRule="auto"/>
              <w:ind w:left="109" w:right="24" w:firstLine="407"/>
              <w:rPr>
                <w:sz w:val="19"/>
                <w:szCs w:val="19"/>
              </w:rPr>
            </w:pPr>
            <w:r>
              <w:rPr>
                <w:spacing w:val="10"/>
                <w:sz w:val="19"/>
                <w:szCs w:val="19"/>
              </w:rPr>
              <w:t>第十二条</w:t>
            </w:r>
            <w:r>
              <w:rPr>
                <w:spacing w:val="39"/>
                <w:sz w:val="19"/>
                <w:szCs w:val="19"/>
              </w:rPr>
              <w:t xml:space="preserve"> </w:t>
            </w:r>
            <w:r>
              <w:rPr>
                <w:spacing w:val="10"/>
                <w:sz w:val="19"/>
                <w:szCs w:val="19"/>
              </w:rPr>
              <w:t>生态保护红线原则上按禁止开发区域的要求进行管理。</w:t>
            </w:r>
            <w:r>
              <w:rPr>
                <w:sz w:val="19"/>
                <w:szCs w:val="19"/>
              </w:rPr>
              <w:t xml:space="preserve"> </w:t>
            </w:r>
            <w:r>
              <w:rPr>
                <w:spacing w:val="7"/>
                <w:sz w:val="19"/>
                <w:szCs w:val="19"/>
              </w:rPr>
              <w:t>严禁不符合主体功能定位的各类开发活动，严禁任意改变用途，严格禁</w:t>
            </w:r>
            <w:r>
              <w:rPr>
                <w:spacing w:val="18"/>
                <w:sz w:val="19"/>
                <w:szCs w:val="19"/>
              </w:rPr>
              <w:t xml:space="preserve"> </w:t>
            </w:r>
            <w:r>
              <w:rPr>
                <w:spacing w:val="8"/>
                <w:sz w:val="19"/>
                <w:szCs w:val="19"/>
              </w:rPr>
              <w:t>止任何单位和个人擅自占用和改变用地性质，鼓励按照规划开展维护、</w:t>
            </w:r>
            <w:r>
              <w:rPr>
                <w:spacing w:val="11"/>
                <w:sz w:val="19"/>
                <w:szCs w:val="19"/>
              </w:rPr>
              <w:t xml:space="preserve"> </w:t>
            </w:r>
            <w:r>
              <w:rPr>
                <w:spacing w:val="7"/>
                <w:sz w:val="19"/>
                <w:szCs w:val="19"/>
              </w:rPr>
              <w:t>修复和提升生态功能的活动。因国家重大战略资源勘查需要，在不影响</w:t>
            </w:r>
            <w:r>
              <w:rPr>
                <w:spacing w:val="16"/>
                <w:sz w:val="19"/>
                <w:szCs w:val="19"/>
              </w:rPr>
              <w:t xml:space="preserve"> </w:t>
            </w:r>
            <w:r>
              <w:rPr>
                <w:spacing w:val="9"/>
                <w:sz w:val="19"/>
                <w:szCs w:val="19"/>
              </w:rPr>
              <w:t>主体功能定位的前提下，经依法批准后予以安</w:t>
            </w:r>
            <w:r>
              <w:rPr>
                <w:spacing w:val="8"/>
                <w:sz w:val="19"/>
                <w:szCs w:val="19"/>
              </w:rPr>
              <w:t>排。</w:t>
            </w:r>
          </w:p>
          <w:p w14:paraId="12565B5E">
            <w:pPr>
              <w:pStyle w:val="6"/>
              <w:spacing w:before="1" w:line="252" w:lineRule="auto"/>
              <w:ind w:left="110" w:firstLine="409"/>
              <w:jc w:val="both"/>
              <w:rPr>
                <w:sz w:val="19"/>
                <w:szCs w:val="19"/>
              </w:rPr>
            </w:pPr>
            <w:r>
              <w:rPr>
                <w:spacing w:val="6"/>
                <w:sz w:val="19"/>
                <w:szCs w:val="19"/>
              </w:rPr>
              <w:t>生态保护红线外的生态空间，原则上按限制开发区域的要求进行管</w:t>
            </w:r>
            <w:r>
              <w:rPr>
                <w:spacing w:val="15"/>
                <w:sz w:val="19"/>
                <w:szCs w:val="19"/>
              </w:rPr>
              <w:t xml:space="preserve"> </w:t>
            </w:r>
            <w:r>
              <w:rPr>
                <w:spacing w:val="3"/>
                <w:sz w:val="19"/>
                <w:szCs w:val="19"/>
              </w:rPr>
              <w:t>理。按照生态空间用途分区，依法制定区域准入条件，明确允许</w:t>
            </w:r>
            <w:r>
              <w:rPr>
                <w:spacing w:val="2"/>
                <w:sz w:val="19"/>
                <w:szCs w:val="19"/>
              </w:rPr>
              <w:t>、限制、</w:t>
            </w:r>
            <w:r>
              <w:rPr>
                <w:sz w:val="19"/>
                <w:szCs w:val="19"/>
              </w:rPr>
              <w:t xml:space="preserve"> </w:t>
            </w:r>
            <w:r>
              <w:rPr>
                <w:spacing w:val="7"/>
                <w:sz w:val="19"/>
                <w:szCs w:val="19"/>
              </w:rPr>
              <w:t>禁止的产业和项目类型清单，根据空间规划确定的开发强度，提出城乡</w:t>
            </w:r>
            <w:r>
              <w:rPr>
                <w:spacing w:val="1"/>
                <w:sz w:val="19"/>
                <w:szCs w:val="19"/>
              </w:rPr>
              <w:t xml:space="preserve"> </w:t>
            </w:r>
            <w:r>
              <w:rPr>
                <w:spacing w:val="7"/>
                <w:sz w:val="19"/>
                <w:szCs w:val="19"/>
              </w:rPr>
              <w:t>建设、工农业生产、矿产开发、旅游康体等活动的规模、强度、布局和</w:t>
            </w:r>
            <w:r>
              <w:rPr>
                <w:spacing w:val="1"/>
                <w:sz w:val="19"/>
                <w:szCs w:val="19"/>
              </w:rPr>
              <w:t xml:space="preserve"> </w:t>
            </w:r>
            <w:r>
              <w:rPr>
                <w:spacing w:val="6"/>
                <w:sz w:val="19"/>
                <w:szCs w:val="19"/>
              </w:rPr>
              <w:t>环境保护等方面的要求，</w:t>
            </w:r>
            <w:r>
              <w:rPr>
                <w:spacing w:val="-39"/>
                <w:sz w:val="19"/>
                <w:szCs w:val="19"/>
              </w:rPr>
              <w:t xml:space="preserve"> </w:t>
            </w:r>
            <w:r>
              <w:rPr>
                <w:spacing w:val="6"/>
                <w:sz w:val="19"/>
                <w:szCs w:val="19"/>
              </w:rPr>
              <w:t>由同级人民政府予以公示。</w:t>
            </w:r>
          </w:p>
          <w:p w14:paraId="1C5AF57F">
            <w:pPr>
              <w:pStyle w:val="6"/>
              <w:spacing w:before="4" w:line="251" w:lineRule="auto"/>
              <w:ind w:left="109" w:right="33" w:firstLine="407"/>
              <w:jc w:val="both"/>
              <w:rPr>
                <w:sz w:val="19"/>
                <w:szCs w:val="19"/>
              </w:rPr>
            </w:pPr>
            <w:r>
              <w:rPr>
                <w:spacing w:val="10"/>
                <w:sz w:val="19"/>
                <w:szCs w:val="19"/>
              </w:rPr>
              <w:t xml:space="preserve">第十四条 禁止新增建设占用生态保护红线，确因国家重大基础设 </w:t>
            </w:r>
            <w:r>
              <w:rPr>
                <w:spacing w:val="6"/>
                <w:sz w:val="19"/>
                <w:szCs w:val="19"/>
              </w:rPr>
              <w:t>施、重大民生保障项目建设等无法避让的，</w:t>
            </w:r>
            <w:r>
              <w:rPr>
                <w:spacing w:val="-32"/>
                <w:sz w:val="19"/>
                <w:szCs w:val="19"/>
              </w:rPr>
              <w:t xml:space="preserve"> </w:t>
            </w:r>
            <w:r>
              <w:rPr>
                <w:spacing w:val="6"/>
                <w:sz w:val="19"/>
                <w:szCs w:val="19"/>
              </w:rPr>
              <w:t>由省级人民政府组织论证，</w:t>
            </w:r>
            <w:r>
              <w:rPr>
                <w:sz w:val="19"/>
                <w:szCs w:val="19"/>
              </w:rPr>
              <w:t xml:space="preserve"> </w:t>
            </w:r>
            <w:r>
              <w:rPr>
                <w:spacing w:val="7"/>
                <w:sz w:val="19"/>
                <w:szCs w:val="19"/>
              </w:rPr>
              <w:t>提出调整方案，经环境保护部、国家发展改革委会同有关部门提出审核</w:t>
            </w:r>
            <w:r>
              <w:rPr>
                <w:spacing w:val="15"/>
                <w:sz w:val="19"/>
                <w:szCs w:val="19"/>
              </w:rPr>
              <w:t xml:space="preserve"> </w:t>
            </w:r>
            <w:r>
              <w:rPr>
                <w:spacing w:val="7"/>
                <w:sz w:val="19"/>
                <w:szCs w:val="19"/>
              </w:rPr>
              <w:t>意见后，报经国务院批准。生态保护红线内的原有居住用地和其他建设</w:t>
            </w:r>
            <w:r>
              <w:rPr>
                <w:spacing w:val="15"/>
                <w:sz w:val="19"/>
                <w:szCs w:val="19"/>
              </w:rPr>
              <w:t xml:space="preserve"> </w:t>
            </w:r>
            <w:r>
              <w:rPr>
                <w:spacing w:val="8"/>
                <w:sz w:val="19"/>
                <w:szCs w:val="19"/>
              </w:rPr>
              <w:t>用地，不得随意扩建和改建。</w:t>
            </w:r>
          </w:p>
          <w:p w14:paraId="579E898E">
            <w:pPr>
              <w:pStyle w:val="6"/>
              <w:spacing w:line="252" w:lineRule="auto"/>
              <w:ind w:left="109" w:right="48" w:firstLine="400"/>
              <w:jc w:val="both"/>
              <w:rPr>
                <w:sz w:val="19"/>
                <w:szCs w:val="19"/>
              </w:rPr>
            </w:pPr>
            <w:r>
              <w:rPr>
                <w:spacing w:val="7"/>
                <w:sz w:val="19"/>
                <w:szCs w:val="19"/>
              </w:rPr>
              <w:t>严格控制新增建设占用生态保护红线外的生态空间。符合区域准入</w:t>
            </w:r>
            <w:r>
              <w:rPr>
                <w:spacing w:val="11"/>
                <w:sz w:val="19"/>
                <w:szCs w:val="19"/>
              </w:rPr>
              <w:t xml:space="preserve"> </w:t>
            </w:r>
            <w:r>
              <w:rPr>
                <w:spacing w:val="7"/>
                <w:sz w:val="19"/>
                <w:szCs w:val="19"/>
              </w:rPr>
              <w:t>条件的建设项目，涉及占用生态空间中的林地、草原等，按有关法律法</w:t>
            </w:r>
            <w:r>
              <w:rPr>
                <w:spacing w:val="16"/>
                <w:sz w:val="19"/>
                <w:szCs w:val="19"/>
              </w:rPr>
              <w:t xml:space="preserve"> </w:t>
            </w:r>
            <w:r>
              <w:rPr>
                <w:spacing w:val="7"/>
                <w:sz w:val="19"/>
                <w:szCs w:val="19"/>
              </w:rPr>
              <w:t>规规定办理；涉及占用生态空间中其他未作明确规定的用地，应当加强</w:t>
            </w:r>
            <w:r>
              <w:rPr>
                <w:spacing w:val="16"/>
                <w:sz w:val="19"/>
                <w:szCs w:val="19"/>
              </w:rPr>
              <w:t xml:space="preserve"> </w:t>
            </w:r>
            <w:r>
              <w:rPr>
                <w:spacing w:val="5"/>
                <w:sz w:val="19"/>
                <w:szCs w:val="19"/>
              </w:rPr>
              <w:t>论证和管理。</w:t>
            </w:r>
          </w:p>
          <w:p w14:paraId="62F612A6">
            <w:pPr>
              <w:pStyle w:val="6"/>
              <w:spacing w:line="251" w:lineRule="auto"/>
              <w:ind w:left="110" w:right="48" w:firstLine="399"/>
              <w:jc w:val="both"/>
              <w:rPr>
                <w:sz w:val="19"/>
                <w:szCs w:val="19"/>
              </w:rPr>
            </w:pPr>
            <w:r>
              <w:rPr>
                <w:spacing w:val="7"/>
                <w:sz w:val="19"/>
                <w:szCs w:val="19"/>
              </w:rPr>
              <w:t>鼓励各地根据生态保护需要和规划，结合土地综合整治、工矿废弃</w:t>
            </w:r>
            <w:r>
              <w:rPr>
                <w:spacing w:val="8"/>
                <w:sz w:val="19"/>
                <w:szCs w:val="19"/>
              </w:rPr>
              <w:t xml:space="preserve"> </w:t>
            </w:r>
            <w:r>
              <w:rPr>
                <w:spacing w:val="7"/>
                <w:sz w:val="19"/>
                <w:szCs w:val="19"/>
              </w:rPr>
              <w:t>地复垦利用、矿山环境恢复治理等各类工程实施，因地制宜促进生态空</w:t>
            </w:r>
            <w:r>
              <w:rPr>
                <w:spacing w:val="16"/>
                <w:sz w:val="19"/>
                <w:szCs w:val="19"/>
              </w:rPr>
              <w:t xml:space="preserve"> </w:t>
            </w:r>
            <w:r>
              <w:rPr>
                <w:spacing w:val="8"/>
                <w:sz w:val="19"/>
                <w:szCs w:val="19"/>
              </w:rPr>
              <w:t>间内建设用地逐步有序退出。</w:t>
            </w:r>
          </w:p>
          <w:p w14:paraId="4784C331">
            <w:pPr>
              <w:pStyle w:val="6"/>
              <w:spacing w:before="3" w:line="252" w:lineRule="auto"/>
              <w:ind w:left="109" w:right="50" w:firstLine="407"/>
              <w:rPr>
                <w:sz w:val="19"/>
                <w:szCs w:val="19"/>
              </w:rPr>
            </w:pPr>
            <w:r>
              <w:rPr>
                <w:spacing w:val="10"/>
                <w:sz w:val="19"/>
                <w:szCs w:val="19"/>
              </w:rPr>
              <w:t xml:space="preserve">第十九条 实施生态修复重大工程，分区分类开展受损生态空间的 </w:t>
            </w:r>
            <w:r>
              <w:rPr>
                <w:spacing w:val="1"/>
                <w:sz w:val="19"/>
                <w:szCs w:val="19"/>
              </w:rPr>
              <w:t>修复。</w:t>
            </w:r>
          </w:p>
          <w:p w14:paraId="71813508">
            <w:pPr>
              <w:pStyle w:val="6"/>
              <w:spacing w:before="1" w:line="213" w:lineRule="auto"/>
              <w:jc w:val="right"/>
              <w:rPr>
                <w:sz w:val="19"/>
                <w:szCs w:val="19"/>
              </w:rPr>
            </w:pPr>
            <w:r>
              <w:rPr>
                <w:spacing w:val="8"/>
                <w:sz w:val="19"/>
                <w:szCs w:val="19"/>
              </w:rPr>
              <w:t>集体土地所有者、土地使用单位和个人应认真履行有关</w:t>
            </w:r>
            <w:r>
              <w:rPr>
                <w:spacing w:val="7"/>
                <w:sz w:val="19"/>
                <w:szCs w:val="19"/>
              </w:rPr>
              <w:t>法定义务，</w:t>
            </w:r>
          </w:p>
        </w:tc>
        <w:tc>
          <w:tcPr>
            <w:tcW w:w="4465" w:type="dxa"/>
            <w:tcBorders>
              <w:bottom w:val="single" w:color="000000" w:sz="10" w:space="0"/>
            </w:tcBorders>
            <w:vAlign w:val="top"/>
          </w:tcPr>
          <w:p w14:paraId="2537FCBB">
            <w:pPr>
              <w:spacing w:line="245" w:lineRule="auto"/>
              <w:rPr>
                <w:rFonts w:ascii="Arial"/>
                <w:sz w:val="21"/>
              </w:rPr>
            </w:pPr>
          </w:p>
          <w:p w14:paraId="746C2E36">
            <w:pPr>
              <w:spacing w:line="245" w:lineRule="auto"/>
              <w:rPr>
                <w:rFonts w:ascii="Arial"/>
                <w:sz w:val="21"/>
              </w:rPr>
            </w:pPr>
          </w:p>
          <w:p w14:paraId="248CB327">
            <w:pPr>
              <w:spacing w:line="245" w:lineRule="auto"/>
              <w:rPr>
                <w:rFonts w:ascii="Arial"/>
                <w:sz w:val="21"/>
              </w:rPr>
            </w:pPr>
          </w:p>
          <w:p w14:paraId="4FB4D8FE">
            <w:pPr>
              <w:spacing w:line="245" w:lineRule="auto"/>
              <w:rPr>
                <w:rFonts w:ascii="Arial"/>
                <w:sz w:val="21"/>
              </w:rPr>
            </w:pPr>
          </w:p>
          <w:p w14:paraId="77B9F4B7">
            <w:pPr>
              <w:spacing w:line="245" w:lineRule="auto"/>
              <w:rPr>
                <w:rFonts w:ascii="Arial"/>
                <w:sz w:val="21"/>
              </w:rPr>
            </w:pPr>
          </w:p>
          <w:p w14:paraId="7EB148EB">
            <w:pPr>
              <w:spacing w:line="245" w:lineRule="auto"/>
              <w:rPr>
                <w:rFonts w:ascii="Arial"/>
                <w:sz w:val="21"/>
              </w:rPr>
            </w:pPr>
          </w:p>
          <w:p w14:paraId="636F4C68">
            <w:pPr>
              <w:spacing w:line="245" w:lineRule="auto"/>
              <w:rPr>
                <w:rFonts w:ascii="Arial"/>
                <w:sz w:val="21"/>
              </w:rPr>
            </w:pPr>
          </w:p>
          <w:p w14:paraId="4EFCF7B9">
            <w:pPr>
              <w:spacing w:line="245" w:lineRule="auto"/>
              <w:rPr>
                <w:rFonts w:ascii="Arial"/>
                <w:sz w:val="21"/>
              </w:rPr>
            </w:pPr>
          </w:p>
          <w:p w14:paraId="361F70EF">
            <w:pPr>
              <w:spacing w:line="245" w:lineRule="auto"/>
              <w:rPr>
                <w:rFonts w:ascii="Arial"/>
                <w:sz w:val="21"/>
              </w:rPr>
            </w:pPr>
          </w:p>
          <w:p w14:paraId="2C65F7AE">
            <w:pPr>
              <w:spacing w:line="245" w:lineRule="auto"/>
              <w:rPr>
                <w:rFonts w:ascii="Arial"/>
                <w:sz w:val="21"/>
              </w:rPr>
            </w:pPr>
          </w:p>
          <w:p w14:paraId="0C60A858">
            <w:pPr>
              <w:spacing w:line="245" w:lineRule="auto"/>
              <w:rPr>
                <w:rFonts w:ascii="Arial"/>
                <w:sz w:val="21"/>
              </w:rPr>
            </w:pPr>
          </w:p>
          <w:p w14:paraId="1A0EEDEE">
            <w:pPr>
              <w:spacing w:line="245" w:lineRule="auto"/>
              <w:rPr>
                <w:rFonts w:ascii="Arial"/>
                <w:sz w:val="21"/>
              </w:rPr>
            </w:pPr>
          </w:p>
          <w:p w14:paraId="191B15DB">
            <w:pPr>
              <w:pStyle w:val="6"/>
              <w:spacing w:before="62" w:line="251" w:lineRule="auto"/>
              <w:ind w:left="100" w:right="41" w:firstLine="326"/>
              <w:rPr>
                <w:sz w:val="19"/>
                <w:szCs w:val="19"/>
              </w:rPr>
            </w:pPr>
            <w:r>
              <w:rPr>
                <w:spacing w:val="5"/>
                <w:sz w:val="19"/>
                <w:szCs w:val="19"/>
              </w:rPr>
              <w:t>本次评价的</w:t>
            </w:r>
            <w:r>
              <w:rPr>
                <w:spacing w:val="-20"/>
                <w:sz w:val="19"/>
                <w:szCs w:val="19"/>
              </w:rPr>
              <w:t xml:space="preserve"> </w:t>
            </w:r>
            <w:r>
              <w:rPr>
                <w:rFonts w:ascii="Times New Roman" w:hAnsi="Times New Roman" w:eastAsia="Times New Roman" w:cs="Times New Roman"/>
                <w:spacing w:val="5"/>
                <w:sz w:val="19"/>
                <w:szCs w:val="19"/>
              </w:rPr>
              <w:t>3</w:t>
            </w:r>
            <w:r>
              <w:rPr>
                <w:rFonts w:ascii="Times New Roman" w:hAnsi="Times New Roman" w:eastAsia="Times New Roman" w:cs="Times New Roman"/>
                <w:spacing w:val="18"/>
                <w:sz w:val="19"/>
                <w:szCs w:val="19"/>
              </w:rPr>
              <w:t xml:space="preserve"> </w:t>
            </w:r>
            <w:r>
              <w:rPr>
                <w:spacing w:val="5"/>
                <w:sz w:val="19"/>
                <w:szCs w:val="19"/>
              </w:rPr>
              <w:t>个勘查区块和</w:t>
            </w:r>
            <w:r>
              <w:rPr>
                <w:spacing w:val="-21"/>
                <w:sz w:val="19"/>
                <w:szCs w:val="19"/>
              </w:rPr>
              <w:t xml:space="preserve"> </w:t>
            </w:r>
            <w:r>
              <w:rPr>
                <w:rFonts w:ascii="Times New Roman" w:hAnsi="Times New Roman" w:eastAsia="Times New Roman" w:cs="Times New Roman"/>
                <w:spacing w:val="5"/>
                <w:sz w:val="19"/>
                <w:szCs w:val="19"/>
              </w:rPr>
              <w:t>1</w:t>
            </w:r>
            <w:r>
              <w:rPr>
                <w:rFonts w:ascii="Times New Roman" w:hAnsi="Times New Roman" w:eastAsia="Times New Roman" w:cs="Times New Roman"/>
                <w:spacing w:val="18"/>
                <w:sz w:val="19"/>
                <w:szCs w:val="19"/>
              </w:rPr>
              <w:t xml:space="preserve"> </w:t>
            </w:r>
            <w:r>
              <w:rPr>
                <w:spacing w:val="5"/>
                <w:sz w:val="19"/>
                <w:szCs w:val="19"/>
              </w:rPr>
              <w:t>个开采区块均不</w:t>
            </w:r>
            <w:r>
              <w:rPr>
                <w:sz w:val="19"/>
                <w:szCs w:val="19"/>
              </w:rPr>
              <w:t xml:space="preserve"> </w:t>
            </w:r>
            <w:r>
              <w:rPr>
                <w:spacing w:val="5"/>
                <w:sz w:val="19"/>
                <w:szCs w:val="19"/>
              </w:rPr>
              <w:t>占用生态保护红线。符合。</w:t>
            </w:r>
          </w:p>
        </w:tc>
        <w:tc>
          <w:tcPr>
            <w:tcW w:w="1897" w:type="dxa"/>
            <w:tcBorders>
              <w:bottom w:val="single" w:color="000000" w:sz="10" w:space="0"/>
              <w:right w:val="single" w:color="000000" w:sz="10" w:space="0"/>
            </w:tcBorders>
            <w:vAlign w:val="top"/>
          </w:tcPr>
          <w:p w14:paraId="4210F1D1">
            <w:pPr>
              <w:spacing w:line="258" w:lineRule="auto"/>
              <w:rPr>
                <w:rFonts w:ascii="Arial"/>
                <w:sz w:val="21"/>
              </w:rPr>
            </w:pPr>
          </w:p>
          <w:p w14:paraId="3AA07F7B">
            <w:pPr>
              <w:spacing w:line="258" w:lineRule="auto"/>
              <w:rPr>
                <w:rFonts w:ascii="Arial"/>
                <w:sz w:val="21"/>
              </w:rPr>
            </w:pPr>
          </w:p>
          <w:p w14:paraId="0E4D7D8E">
            <w:pPr>
              <w:spacing w:line="259" w:lineRule="auto"/>
              <w:rPr>
                <w:rFonts w:ascii="Arial"/>
                <w:sz w:val="21"/>
              </w:rPr>
            </w:pPr>
          </w:p>
          <w:p w14:paraId="62BF0810">
            <w:pPr>
              <w:spacing w:line="259" w:lineRule="auto"/>
              <w:rPr>
                <w:rFonts w:ascii="Arial"/>
                <w:sz w:val="21"/>
              </w:rPr>
            </w:pPr>
          </w:p>
          <w:p w14:paraId="3AA13102">
            <w:pPr>
              <w:spacing w:line="259" w:lineRule="auto"/>
              <w:rPr>
                <w:rFonts w:ascii="Arial"/>
                <w:sz w:val="21"/>
              </w:rPr>
            </w:pPr>
          </w:p>
          <w:p w14:paraId="5A043ECC">
            <w:pPr>
              <w:spacing w:line="259" w:lineRule="auto"/>
              <w:rPr>
                <w:rFonts w:ascii="Arial"/>
                <w:sz w:val="21"/>
              </w:rPr>
            </w:pPr>
          </w:p>
          <w:p w14:paraId="7543BA66">
            <w:pPr>
              <w:spacing w:line="259" w:lineRule="auto"/>
              <w:rPr>
                <w:rFonts w:ascii="Arial"/>
                <w:sz w:val="21"/>
              </w:rPr>
            </w:pPr>
          </w:p>
          <w:p w14:paraId="0BE62FB2">
            <w:pPr>
              <w:spacing w:line="259" w:lineRule="auto"/>
              <w:rPr>
                <w:rFonts w:ascii="Arial"/>
                <w:sz w:val="21"/>
              </w:rPr>
            </w:pPr>
          </w:p>
          <w:p w14:paraId="0E1C810B">
            <w:pPr>
              <w:spacing w:line="259" w:lineRule="auto"/>
              <w:rPr>
                <w:rFonts w:ascii="Arial"/>
                <w:sz w:val="21"/>
              </w:rPr>
            </w:pPr>
          </w:p>
          <w:p w14:paraId="30800346">
            <w:pPr>
              <w:spacing w:line="259" w:lineRule="auto"/>
              <w:rPr>
                <w:rFonts w:ascii="Arial"/>
                <w:sz w:val="21"/>
              </w:rPr>
            </w:pPr>
          </w:p>
          <w:p w14:paraId="73C670B5">
            <w:pPr>
              <w:spacing w:line="259" w:lineRule="auto"/>
              <w:rPr>
                <w:rFonts w:ascii="Arial"/>
                <w:sz w:val="21"/>
              </w:rPr>
            </w:pPr>
          </w:p>
          <w:p w14:paraId="24C8E2A5">
            <w:pPr>
              <w:spacing w:line="259" w:lineRule="auto"/>
              <w:rPr>
                <w:rFonts w:ascii="Arial"/>
                <w:sz w:val="21"/>
              </w:rPr>
            </w:pPr>
          </w:p>
          <w:p w14:paraId="0318C193">
            <w:pPr>
              <w:spacing w:before="54" w:line="199" w:lineRule="auto"/>
              <w:ind w:left="923"/>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r>
    </w:tbl>
    <w:p w14:paraId="237C6684">
      <w:pPr>
        <w:pStyle w:val="2"/>
      </w:pPr>
    </w:p>
    <w:p w14:paraId="59285CC3">
      <w:pPr>
        <w:sectPr>
          <w:footerReference r:id="rId73" w:type="default"/>
          <w:pgSz w:w="16839" w:h="11906"/>
          <w:pgMar w:top="1116" w:right="1023" w:bottom="1480" w:left="1317" w:header="683" w:footer="1318" w:gutter="0"/>
          <w:cols w:space="720" w:num="1"/>
        </w:sectPr>
      </w:pPr>
    </w:p>
    <w:p w14:paraId="50BF3EE8">
      <w:pPr>
        <w:spacing w:before="229"/>
      </w:pPr>
    </w:p>
    <w:tbl>
      <w:tblPr>
        <w:tblStyle w:val="5"/>
        <w:tblW w:w="1447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7"/>
        <w:gridCol w:w="1273"/>
        <w:gridCol w:w="6289"/>
        <w:gridCol w:w="4465"/>
        <w:gridCol w:w="1897"/>
      </w:tblGrid>
      <w:tr w14:paraId="32D0F6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547" w:type="dxa"/>
            <w:vMerge w:val="restart"/>
            <w:tcBorders>
              <w:top w:val="single" w:color="000000" w:sz="10" w:space="0"/>
              <w:left w:val="single" w:color="000000" w:sz="10" w:space="0"/>
              <w:bottom w:val="nil"/>
            </w:tcBorders>
            <w:vAlign w:val="top"/>
          </w:tcPr>
          <w:p w14:paraId="3457E3F6">
            <w:pPr>
              <w:pStyle w:val="6"/>
              <w:spacing w:before="251" w:line="231" w:lineRule="auto"/>
              <w:ind w:left="69"/>
              <w:rPr>
                <w:sz w:val="19"/>
                <w:szCs w:val="19"/>
              </w:rPr>
            </w:pPr>
            <w:r>
              <w:rPr>
                <w:spacing w:val="2"/>
                <w:sz w:val="19"/>
                <w:szCs w:val="19"/>
              </w:rPr>
              <w:t>序号</w:t>
            </w:r>
          </w:p>
        </w:tc>
        <w:tc>
          <w:tcPr>
            <w:tcW w:w="7562" w:type="dxa"/>
            <w:gridSpan w:val="2"/>
            <w:tcBorders>
              <w:top w:val="single" w:color="000000" w:sz="10" w:space="0"/>
            </w:tcBorders>
            <w:vAlign w:val="top"/>
          </w:tcPr>
          <w:p w14:paraId="1AD07E53">
            <w:pPr>
              <w:pStyle w:val="6"/>
              <w:spacing w:before="75" w:line="231" w:lineRule="auto"/>
              <w:ind w:left="2908"/>
              <w:rPr>
                <w:sz w:val="19"/>
                <w:szCs w:val="19"/>
              </w:rPr>
            </w:pPr>
            <w:r>
              <w:rPr>
                <w:spacing w:val="5"/>
                <w:sz w:val="19"/>
                <w:szCs w:val="19"/>
              </w:rPr>
              <w:t>国家重大政策及规划</w:t>
            </w:r>
          </w:p>
        </w:tc>
        <w:tc>
          <w:tcPr>
            <w:tcW w:w="4465" w:type="dxa"/>
            <w:vMerge w:val="restart"/>
            <w:tcBorders>
              <w:top w:val="single" w:color="000000" w:sz="10" w:space="0"/>
              <w:bottom w:val="nil"/>
            </w:tcBorders>
            <w:vAlign w:val="top"/>
          </w:tcPr>
          <w:p w14:paraId="22B2A26E">
            <w:pPr>
              <w:pStyle w:val="6"/>
              <w:spacing w:before="250" w:line="229" w:lineRule="auto"/>
              <w:ind w:left="949"/>
              <w:rPr>
                <w:sz w:val="19"/>
                <w:szCs w:val="19"/>
              </w:rPr>
            </w:pPr>
            <w:r>
              <w:rPr>
                <w:spacing w:val="8"/>
                <w:sz w:val="19"/>
                <w:szCs w:val="19"/>
              </w:rPr>
              <w:t>本《规划调整》的符合性分析</w:t>
            </w:r>
          </w:p>
        </w:tc>
        <w:tc>
          <w:tcPr>
            <w:tcW w:w="1897" w:type="dxa"/>
            <w:vMerge w:val="restart"/>
            <w:tcBorders>
              <w:top w:val="single" w:color="000000" w:sz="10" w:space="0"/>
              <w:bottom w:val="nil"/>
              <w:right w:val="single" w:color="000000" w:sz="10" w:space="0"/>
            </w:tcBorders>
            <w:vAlign w:val="top"/>
          </w:tcPr>
          <w:p w14:paraId="5516B697">
            <w:pPr>
              <w:pStyle w:val="6"/>
              <w:spacing w:before="250" w:line="230" w:lineRule="auto"/>
              <w:ind w:left="373"/>
              <w:rPr>
                <w:sz w:val="19"/>
                <w:szCs w:val="19"/>
              </w:rPr>
            </w:pPr>
            <w:r>
              <w:rPr>
                <w:spacing w:val="5"/>
                <w:sz w:val="19"/>
                <w:szCs w:val="19"/>
              </w:rPr>
              <w:t>简要优化建议</w:t>
            </w:r>
          </w:p>
        </w:tc>
      </w:tr>
      <w:tr w14:paraId="55E855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47" w:type="dxa"/>
            <w:vMerge w:val="continue"/>
            <w:tcBorders>
              <w:top w:val="nil"/>
              <w:left w:val="single" w:color="000000" w:sz="10" w:space="0"/>
            </w:tcBorders>
            <w:vAlign w:val="top"/>
          </w:tcPr>
          <w:p w14:paraId="5E9ACBF5">
            <w:pPr>
              <w:rPr>
                <w:rFonts w:ascii="Arial"/>
                <w:sz w:val="21"/>
              </w:rPr>
            </w:pPr>
          </w:p>
        </w:tc>
        <w:tc>
          <w:tcPr>
            <w:tcW w:w="1273" w:type="dxa"/>
            <w:vAlign w:val="top"/>
          </w:tcPr>
          <w:p w14:paraId="17F48B50">
            <w:pPr>
              <w:pStyle w:val="6"/>
              <w:spacing w:before="72" w:line="230" w:lineRule="auto"/>
              <w:ind w:left="438"/>
              <w:rPr>
                <w:sz w:val="19"/>
                <w:szCs w:val="19"/>
              </w:rPr>
            </w:pPr>
            <w:r>
              <w:rPr>
                <w:spacing w:val="2"/>
                <w:sz w:val="19"/>
                <w:szCs w:val="19"/>
              </w:rPr>
              <w:t>名称</w:t>
            </w:r>
          </w:p>
        </w:tc>
        <w:tc>
          <w:tcPr>
            <w:tcW w:w="6289" w:type="dxa"/>
            <w:vAlign w:val="top"/>
          </w:tcPr>
          <w:p w14:paraId="32E9E2B6">
            <w:pPr>
              <w:pStyle w:val="6"/>
              <w:spacing w:before="72" w:line="231" w:lineRule="auto"/>
              <w:ind w:left="2754"/>
              <w:rPr>
                <w:sz w:val="19"/>
                <w:szCs w:val="19"/>
              </w:rPr>
            </w:pPr>
            <w:r>
              <w:rPr>
                <w:spacing w:val="6"/>
                <w:sz w:val="19"/>
                <w:szCs w:val="19"/>
              </w:rPr>
              <w:t>相关内容</w:t>
            </w:r>
          </w:p>
        </w:tc>
        <w:tc>
          <w:tcPr>
            <w:tcW w:w="4465" w:type="dxa"/>
            <w:vMerge w:val="continue"/>
            <w:tcBorders>
              <w:top w:val="nil"/>
            </w:tcBorders>
            <w:vAlign w:val="top"/>
          </w:tcPr>
          <w:p w14:paraId="057409CC">
            <w:pPr>
              <w:rPr>
                <w:rFonts w:ascii="Arial"/>
                <w:sz w:val="21"/>
              </w:rPr>
            </w:pPr>
          </w:p>
        </w:tc>
        <w:tc>
          <w:tcPr>
            <w:tcW w:w="1897" w:type="dxa"/>
            <w:vMerge w:val="continue"/>
            <w:tcBorders>
              <w:top w:val="nil"/>
              <w:right w:val="single" w:color="000000" w:sz="10" w:space="0"/>
            </w:tcBorders>
            <w:vAlign w:val="top"/>
          </w:tcPr>
          <w:p w14:paraId="73290C30">
            <w:pPr>
              <w:rPr>
                <w:rFonts w:ascii="Arial"/>
                <w:sz w:val="21"/>
              </w:rPr>
            </w:pPr>
          </w:p>
        </w:tc>
      </w:tr>
      <w:tr w14:paraId="676D4C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547" w:type="dxa"/>
            <w:tcBorders>
              <w:left w:val="single" w:color="000000" w:sz="10" w:space="0"/>
            </w:tcBorders>
            <w:vAlign w:val="top"/>
          </w:tcPr>
          <w:p w14:paraId="116CA182">
            <w:pPr>
              <w:rPr>
                <w:rFonts w:ascii="Arial"/>
                <w:sz w:val="21"/>
              </w:rPr>
            </w:pPr>
          </w:p>
        </w:tc>
        <w:tc>
          <w:tcPr>
            <w:tcW w:w="1273" w:type="dxa"/>
            <w:vAlign w:val="top"/>
          </w:tcPr>
          <w:p w14:paraId="63E1ACD1">
            <w:pPr>
              <w:rPr>
                <w:rFonts w:ascii="Arial"/>
                <w:sz w:val="21"/>
              </w:rPr>
            </w:pPr>
          </w:p>
        </w:tc>
        <w:tc>
          <w:tcPr>
            <w:tcW w:w="6289" w:type="dxa"/>
            <w:vAlign w:val="top"/>
          </w:tcPr>
          <w:p w14:paraId="57E99F4C">
            <w:pPr>
              <w:pStyle w:val="6"/>
              <w:spacing w:before="33" w:line="213" w:lineRule="auto"/>
              <w:ind w:left="57"/>
              <w:rPr>
                <w:sz w:val="19"/>
                <w:szCs w:val="19"/>
              </w:rPr>
            </w:pPr>
            <w:r>
              <w:rPr>
                <w:spacing w:val="9"/>
                <w:sz w:val="19"/>
                <w:szCs w:val="19"/>
              </w:rPr>
              <w:t>及时恢复因不合理建设开发、矿产开采、农业开垦等破坏的生态空间。</w:t>
            </w:r>
          </w:p>
        </w:tc>
        <w:tc>
          <w:tcPr>
            <w:tcW w:w="4465" w:type="dxa"/>
            <w:vAlign w:val="top"/>
          </w:tcPr>
          <w:p w14:paraId="4CE2A06C">
            <w:pPr>
              <w:rPr>
                <w:rFonts w:ascii="Arial"/>
                <w:sz w:val="21"/>
              </w:rPr>
            </w:pPr>
          </w:p>
        </w:tc>
        <w:tc>
          <w:tcPr>
            <w:tcW w:w="1897" w:type="dxa"/>
            <w:tcBorders>
              <w:right w:val="single" w:color="000000" w:sz="10" w:space="0"/>
            </w:tcBorders>
            <w:vAlign w:val="top"/>
          </w:tcPr>
          <w:p w14:paraId="70679878">
            <w:pPr>
              <w:rPr>
                <w:rFonts w:ascii="Arial"/>
                <w:sz w:val="21"/>
              </w:rPr>
            </w:pPr>
          </w:p>
        </w:tc>
      </w:tr>
      <w:tr w14:paraId="6C12D8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9" w:hRule="atLeast"/>
        </w:trPr>
        <w:tc>
          <w:tcPr>
            <w:tcW w:w="547" w:type="dxa"/>
            <w:tcBorders>
              <w:left w:val="single" w:color="000000" w:sz="10" w:space="0"/>
            </w:tcBorders>
            <w:vAlign w:val="top"/>
          </w:tcPr>
          <w:p w14:paraId="7AAB942F">
            <w:pPr>
              <w:spacing w:line="285" w:lineRule="auto"/>
              <w:rPr>
                <w:rFonts w:ascii="Arial"/>
                <w:sz w:val="21"/>
              </w:rPr>
            </w:pPr>
          </w:p>
          <w:p w14:paraId="6CE9597A">
            <w:pPr>
              <w:spacing w:line="285" w:lineRule="auto"/>
              <w:rPr>
                <w:rFonts w:ascii="Arial"/>
                <w:sz w:val="21"/>
              </w:rPr>
            </w:pPr>
          </w:p>
          <w:p w14:paraId="02BC860D">
            <w:pPr>
              <w:spacing w:line="285" w:lineRule="auto"/>
              <w:rPr>
                <w:rFonts w:ascii="Arial"/>
                <w:sz w:val="21"/>
              </w:rPr>
            </w:pPr>
          </w:p>
          <w:p w14:paraId="4559E84B">
            <w:pPr>
              <w:spacing w:line="285" w:lineRule="auto"/>
              <w:rPr>
                <w:rFonts w:ascii="Arial"/>
                <w:sz w:val="21"/>
              </w:rPr>
            </w:pPr>
          </w:p>
          <w:p w14:paraId="7F5CD645">
            <w:pPr>
              <w:spacing w:line="285" w:lineRule="auto"/>
              <w:rPr>
                <w:rFonts w:ascii="Arial"/>
                <w:sz w:val="21"/>
              </w:rPr>
            </w:pPr>
          </w:p>
          <w:p w14:paraId="401B7C94">
            <w:pPr>
              <w:spacing w:before="58" w:line="195" w:lineRule="auto"/>
              <w:ind w:left="215"/>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273" w:type="dxa"/>
            <w:vAlign w:val="top"/>
          </w:tcPr>
          <w:p w14:paraId="517711DE">
            <w:pPr>
              <w:spacing w:line="250" w:lineRule="auto"/>
              <w:rPr>
                <w:rFonts w:ascii="Arial"/>
                <w:sz w:val="21"/>
              </w:rPr>
            </w:pPr>
          </w:p>
          <w:p w14:paraId="03A7B718">
            <w:pPr>
              <w:spacing w:line="251" w:lineRule="auto"/>
              <w:rPr>
                <w:rFonts w:ascii="Arial"/>
                <w:sz w:val="21"/>
              </w:rPr>
            </w:pPr>
          </w:p>
          <w:p w14:paraId="50019381">
            <w:pPr>
              <w:spacing w:line="251" w:lineRule="auto"/>
              <w:rPr>
                <w:rFonts w:ascii="Arial"/>
                <w:sz w:val="21"/>
              </w:rPr>
            </w:pPr>
          </w:p>
          <w:p w14:paraId="3379E569">
            <w:pPr>
              <w:spacing w:line="251" w:lineRule="auto"/>
              <w:rPr>
                <w:rFonts w:ascii="Arial"/>
                <w:sz w:val="21"/>
              </w:rPr>
            </w:pPr>
          </w:p>
          <w:p w14:paraId="285F3722">
            <w:pPr>
              <w:pStyle w:val="6"/>
              <w:spacing w:before="62" w:line="232" w:lineRule="auto"/>
              <w:ind w:left="137"/>
              <w:rPr>
                <w:sz w:val="19"/>
                <w:szCs w:val="19"/>
              </w:rPr>
            </w:pPr>
            <w:r>
              <w:rPr>
                <w:spacing w:val="7"/>
                <w:sz w:val="19"/>
                <w:szCs w:val="19"/>
              </w:rPr>
              <w:t>《产业结构</w:t>
            </w:r>
          </w:p>
          <w:p w14:paraId="500D8896">
            <w:pPr>
              <w:pStyle w:val="6"/>
              <w:spacing w:before="20" w:line="252" w:lineRule="auto"/>
              <w:ind w:left="118" w:right="121" w:firstLine="19"/>
              <w:rPr>
                <w:sz w:val="19"/>
                <w:szCs w:val="19"/>
              </w:rPr>
            </w:pPr>
            <w:r>
              <w:rPr>
                <w:spacing w:val="7"/>
                <w:sz w:val="19"/>
                <w:szCs w:val="19"/>
              </w:rPr>
              <w:t>调整指导目</w:t>
            </w:r>
            <w:r>
              <w:rPr>
                <w:sz w:val="19"/>
                <w:szCs w:val="19"/>
              </w:rPr>
              <w:t xml:space="preserve"> </w:t>
            </w:r>
            <w:r>
              <w:rPr>
                <w:spacing w:val="1"/>
                <w:sz w:val="19"/>
                <w:szCs w:val="19"/>
              </w:rPr>
              <w:t>录（</w:t>
            </w:r>
            <w:r>
              <w:rPr>
                <w:rFonts w:ascii="Times New Roman" w:hAnsi="Times New Roman" w:eastAsia="Times New Roman" w:cs="Times New Roman"/>
                <w:spacing w:val="1"/>
                <w:sz w:val="19"/>
                <w:szCs w:val="19"/>
              </w:rPr>
              <w:t>2024</w:t>
            </w:r>
            <w:r>
              <w:rPr>
                <w:rFonts w:ascii="Times New Roman" w:hAnsi="Times New Roman" w:eastAsia="Times New Roman" w:cs="Times New Roman"/>
                <w:spacing w:val="22"/>
                <w:w w:val="101"/>
                <w:sz w:val="19"/>
                <w:szCs w:val="19"/>
              </w:rPr>
              <w:t xml:space="preserve"> </w:t>
            </w:r>
            <w:r>
              <w:rPr>
                <w:spacing w:val="1"/>
                <w:sz w:val="19"/>
                <w:szCs w:val="19"/>
              </w:rPr>
              <w:t>年</w:t>
            </w:r>
          </w:p>
          <w:p w14:paraId="2C5ABD20">
            <w:pPr>
              <w:pStyle w:val="6"/>
              <w:spacing w:line="231" w:lineRule="auto"/>
              <w:ind w:left="337"/>
              <w:rPr>
                <w:sz w:val="19"/>
                <w:szCs w:val="19"/>
              </w:rPr>
            </w:pPr>
            <w:r>
              <w:rPr>
                <w:spacing w:val="8"/>
                <w:sz w:val="19"/>
                <w:szCs w:val="19"/>
              </w:rPr>
              <w:t>本）》</w:t>
            </w:r>
          </w:p>
        </w:tc>
        <w:tc>
          <w:tcPr>
            <w:tcW w:w="6289" w:type="dxa"/>
            <w:vAlign w:val="top"/>
          </w:tcPr>
          <w:p w14:paraId="7D3D75AD">
            <w:pPr>
              <w:pStyle w:val="6"/>
              <w:spacing w:before="34" w:line="232" w:lineRule="auto"/>
              <w:ind w:left="414"/>
              <w:rPr>
                <w:sz w:val="19"/>
                <w:szCs w:val="19"/>
              </w:rPr>
            </w:pPr>
            <w:r>
              <w:rPr>
                <w:spacing w:val="5"/>
                <w:sz w:val="19"/>
                <w:szCs w:val="19"/>
              </w:rPr>
              <w:t>淘汰类</w:t>
            </w:r>
          </w:p>
          <w:p w14:paraId="028FB432">
            <w:pPr>
              <w:pStyle w:val="6"/>
              <w:spacing w:before="20" w:line="231" w:lineRule="auto"/>
              <w:ind w:left="419"/>
              <w:rPr>
                <w:sz w:val="19"/>
                <w:szCs w:val="19"/>
              </w:rPr>
            </w:pPr>
            <w:r>
              <w:rPr>
                <w:spacing w:val="7"/>
                <w:sz w:val="19"/>
                <w:szCs w:val="19"/>
              </w:rPr>
              <w:t>（十七）采矿</w:t>
            </w:r>
          </w:p>
          <w:p w14:paraId="3CA91735">
            <w:pPr>
              <w:pStyle w:val="6"/>
              <w:spacing w:before="21" w:line="229" w:lineRule="auto"/>
              <w:ind w:left="425"/>
              <w:rPr>
                <w:sz w:val="19"/>
                <w:szCs w:val="19"/>
              </w:rPr>
            </w:pPr>
            <w:r>
              <w:rPr>
                <w:rFonts w:ascii="Times New Roman" w:hAnsi="Times New Roman" w:eastAsia="Times New Roman" w:cs="Times New Roman"/>
                <w:spacing w:val="6"/>
                <w:sz w:val="19"/>
                <w:szCs w:val="19"/>
              </w:rPr>
              <w:t>1</w:t>
            </w:r>
            <w:r>
              <w:rPr>
                <w:rFonts w:ascii="Times New Roman" w:hAnsi="Times New Roman" w:eastAsia="Times New Roman" w:cs="Times New Roman"/>
                <w:spacing w:val="-21"/>
                <w:sz w:val="19"/>
                <w:szCs w:val="19"/>
              </w:rPr>
              <w:t xml:space="preserve"> </w:t>
            </w:r>
            <w:r>
              <w:rPr>
                <w:spacing w:val="6"/>
                <w:sz w:val="19"/>
                <w:szCs w:val="19"/>
              </w:rPr>
              <w:t>．集中铲装作业时人工装卸矿岩</w:t>
            </w:r>
          </w:p>
          <w:p w14:paraId="608A15C9">
            <w:pPr>
              <w:pStyle w:val="6"/>
              <w:spacing w:before="23" w:line="229" w:lineRule="auto"/>
              <w:ind w:left="405"/>
              <w:rPr>
                <w:sz w:val="19"/>
                <w:szCs w:val="19"/>
              </w:rPr>
            </w:pPr>
            <w:r>
              <w:rPr>
                <w:rFonts w:ascii="Times New Roman" w:hAnsi="Times New Roman" w:eastAsia="Times New Roman" w:cs="Times New Roman"/>
                <w:spacing w:val="7"/>
                <w:sz w:val="19"/>
                <w:szCs w:val="19"/>
              </w:rPr>
              <w:t>2</w:t>
            </w:r>
            <w:r>
              <w:rPr>
                <w:rFonts w:ascii="Times New Roman" w:hAnsi="Times New Roman" w:eastAsia="Times New Roman" w:cs="Times New Roman"/>
                <w:spacing w:val="-12"/>
                <w:sz w:val="19"/>
                <w:szCs w:val="19"/>
              </w:rPr>
              <w:t xml:space="preserve"> </w:t>
            </w:r>
            <w:r>
              <w:rPr>
                <w:spacing w:val="7"/>
                <w:sz w:val="19"/>
                <w:szCs w:val="19"/>
              </w:rPr>
              <w:t>．未安装捕尘装置的干式凿岩作业</w:t>
            </w:r>
          </w:p>
          <w:p w14:paraId="6088131F">
            <w:pPr>
              <w:pStyle w:val="6"/>
              <w:spacing w:before="23" w:line="231" w:lineRule="auto"/>
              <w:ind w:left="409"/>
              <w:rPr>
                <w:sz w:val="19"/>
                <w:szCs w:val="19"/>
              </w:rPr>
            </w:pPr>
            <w:r>
              <w:rPr>
                <w:rFonts w:ascii="Times New Roman" w:hAnsi="Times New Roman" w:eastAsia="Times New Roman" w:cs="Times New Roman"/>
                <w:spacing w:val="8"/>
                <w:sz w:val="19"/>
                <w:szCs w:val="19"/>
              </w:rPr>
              <w:t>3</w:t>
            </w:r>
            <w:r>
              <w:rPr>
                <w:rFonts w:ascii="Times New Roman" w:hAnsi="Times New Roman" w:eastAsia="Times New Roman" w:cs="Times New Roman"/>
                <w:spacing w:val="-13"/>
                <w:sz w:val="19"/>
                <w:szCs w:val="19"/>
              </w:rPr>
              <w:t xml:space="preserve"> </w:t>
            </w:r>
            <w:r>
              <w:rPr>
                <w:spacing w:val="8"/>
                <w:sz w:val="19"/>
                <w:szCs w:val="19"/>
              </w:rPr>
              <w:t>．主要无轨运输巷道及露天采场采用人力或畜力运输矿岩</w:t>
            </w:r>
          </w:p>
          <w:p w14:paraId="11D83D46">
            <w:pPr>
              <w:pStyle w:val="6"/>
              <w:spacing w:before="21" w:line="229" w:lineRule="auto"/>
              <w:ind w:left="404"/>
              <w:rPr>
                <w:sz w:val="19"/>
                <w:szCs w:val="19"/>
              </w:rPr>
            </w:pPr>
            <w:r>
              <w:rPr>
                <w:rFonts w:ascii="Times New Roman" w:hAnsi="Times New Roman" w:eastAsia="Times New Roman" w:cs="Times New Roman"/>
                <w:spacing w:val="8"/>
                <w:sz w:val="19"/>
                <w:szCs w:val="19"/>
              </w:rPr>
              <w:t>4</w:t>
            </w:r>
            <w:r>
              <w:rPr>
                <w:rFonts w:ascii="Times New Roman" w:hAnsi="Times New Roman" w:eastAsia="Times New Roman" w:cs="Times New Roman"/>
                <w:spacing w:val="-20"/>
                <w:sz w:val="19"/>
                <w:szCs w:val="19"/>
              </w:rPr>
              <w:t xml:space="preserve"> </w:t>
            </w:r>
            <w:r>
              <w:rPr>
                <w:spacing w:val="8"/>
                <w:sz w:val="19"/>
                <w:szCs w:val="19"/>
              </w:rPr>
              <w:t>．地下矿山使用非阻燃电缆、风筒和输送带</w:t>
            </w:r>
          </w:p>
          <w:p w14:paraId="531CC78D">
            <w:pPr>
              <w:pStyle w:val="6"/>
              <w:spacing w:before="26" w:line="231" w:lineRule="auto"/>
              <w:ind w:left="411"/>
              <w:rPr>
                <w:sz w:val="19"/>
                <w:szCs w:val="19"/>
              </w:rPr>
            </w:pPr>
            <w:r>
              <w:rPr>
                <w:rFonts w:ascii="Times New Roman" w:hAnsi="Times New Roman" w:eastAsia="Times New Roman" w:cs="Times New Roman"/>
                <w:spacing w:val="6"/>
                <w:sz w:val="19"/>
                <w:szCs w:val="19"/>
              </w:rPr>
              <w:t>5</w:t>
            </w:r>
            <w:r>
              <w:rPr>
                <w:rFonts w:ascii="Times New Roman" w:hAnsi="Times New Roman" w:eastAsia="Times New Roman" w:cs="Times New Roman"/>
                <w:spacing w:val="-7"/>
                <w:sz w:val="19"/>
                <w:szCs w:val="19"/>
              </w:rPr>
              <w:t xml:space="preserve"> </w:t>
            </w:r>
            <w:r>
              <w:rPr>
                <w:spacing w:val="6"/>
                <w:sz w:val="19"/>
                <w:szCs w:val="19"/>
              </w:rPr>
              <w:t>．地下矿山主要井巷使用木支护</w:t>
            </w:r>
          </w:p>
          <w:p w14:paraId="32D13F62">
            <w:pPr>
              <w:pStyle w:val="6"/>
              <w:spacing w:before="19" w:line="229" w:lineRule="auto"/>
              <w:ind w:left="410"/>
              <w:rPr>
                <w:sz w:val="19"/>
                <w:szCs w:val="19"/>
              </w:rPr>
            </w:pPr>
            <w:r>
              <w:rPr>
                <w:rFonts w:ascii="Times New Roman" w:hAnsi="Times New Roman" w:eastAsia="Times New Roman" w:cs="Times New Roman"/>
                <w:spacing w:val="6"/>
                <w:sz w:val="19"/>
                <w:szCs w:val="19"/>
              </w:rPr>
              <w:t>6</w:t>
            </w:r>
            <w:r>
              <w:rPr>
                <w:rFonts w:ascii="Times New Roman" w:hAnsi="Times New Roman" w:eastAsia="Times New Roman" w:cs="Times New Roman"/>
                <w:spacing w:val="-8"/>
                <w:sz w:val="19"/>
                <w:szCs w:val="19"/>
              </w:rPr>
              <w:t xml:space="preserve"> </w:t>
            </w:r>
            <w:r>
              <w:rPr>
                <w:spacing w:val="6"/>
                <w:sz w:val="19"/>
                <w:szCs w:val="19"/>
              </w:rPr>
              <w:t>．地下矿山采用空场法采矿（无底柱采矿法）采场内人工装运作业</w:t>
            </w:r>
          </w:p>
          <w:p w14:paraId="06B4C2E0">
            <w:pPr>
              <w:pStyle w:val="6"/>
              <w:spacing w:before="27" w:line="231" w:lineRule="auto"/>
              <w:ind w:left="409"/>
              <w:rPr>
                <w:sz w:val="19"/>
                <w:szCs w:val="19"/>
              </w:rPr>
            </w:pPr>
            <w:r>
              <w:rPr>
                <w:rFonts w:ascii="Times New Roman" w:hAnsi="Times New Roman" w:eastAsia="Times New Roman" w:cs="Times New Roman"/>
                <w:spacing w:val="7"/>
                <w:sz w:val="19"/>
                <w:szCs w:val="19"/>
              </w:rPr>
              <w:t>7</w:t>
            </w:r>
            <w:r>
              <w:rPr>
                <w:rFonts w:ascii="Times New Roman" w:hAnsi="Times New Roman" w:eastAsia="Times New Roman" w:cs="Times New Roman"/>
                <w:spacing w:val="-20"/>
                <w:sz w:val="19"/>
                <w:szCs w:val="19"/>
              </w:rPr>
              <w:t xml:space="preserve"> </w:t>
            </w:r>
            <w:r>
              <w:rPr>
                <w:spacing w:val="7"/>
                <w:sz w:val="19"/>
                <w:szCs w:val="19"/>
              </w:rPr>
              <w:t>．地下矿山采用横撑支柱采矿法</w:t>
            </w:r>
          </w:p>
          <w:p w14:paraId="431508EF">
            <w:pPr>
              <w:pStyle w:val="6"/>
              <w:spacing w:before="21" w:line="231" w:lineRule="auto"/>
              <w:ind w:left="413"/>
              <w:rPr>
                <w:sz w:val="19"/>
                <w:szCs w:val="19"/>
              </w:rPr>
            </w:pPr>
            <w:r>
              <w:rPr>
                <w:rFonts w:ascii="Times New Roman" w:hAnsi="Times New Roman" w:eastAsia="Times New Roman" w:cs="Times New Roman"/>
                <w:spacing w:val="6"/>
                <w:sz w:val="19"/>
                <w:szCs w:val="19"/>
              </w:rPr>
              <w:t>8</w:t>
            </w:r>
            <w:r>
              <w:rPr>
                <w:rFonts w:ascii="Times New Roman" w:hAnsi="Times New Roman" w:eastAsia="Times New Roman" w:cs="Times New Roman"/>
                <w:spacing w:val="-21"/>
                <w:sz w:val="19"/>
                <w:szCs w:val="19"/>
              </w:rPr>
              <w:t xml:space="preserve"> </w:t>
            </w:r>
            <w:r>
              <w:rPr>
                <w:spacing w:val="6"/>
                <w:sz w:val="19"/>
                <w:szCs w:val="19"/>
              </w:rPr>
              <w:t>．露天矿山采用扩壶爆破</w:t>
            </w:r>
          </w:p>
          <w:p w14:paraId="2155B843">
            <w:pPr>
              <w:pStyle w:val="6"/>
              <w:spacing w:before="21" w:line="231" w:lineRule="auto"/>
              <w:ind w:left="409"/>
              <w:rPr>
                <w:sz w:val="19"/>
                <w:szCs w:val="19"/>
              </w:rPr>
            </w:pPr>
            <w:r>
              <w:rPr>
                <w:rFonts w:ascii="Times New Roman" w:hAnsi="Times New Roman" w:eastAsia="Times New Roman" w:cs="Times New Roman"/>
                <w:spacing w:val="8"/>
                <w:sz w:val="19"/>
                <w:szCs w:val="19"/>
              </w:rPr>
              <w:t>9</w:t>
            </w:r>
            <w:r>
              <w:rPr>
                <w:rFonts w:ascii="Times New Roman" w:hAnsi="Times New Roman" w:eastAsia="Times New Roman" w:cs="Times New Roman"/>
                <w:spacing w:val="-18"/>
                <w:sz w:val="19"/>
                <w:szCs w:val="19"/>
              </w:rPr>
              <w:t xml:space="preserve"> </w:t>
            </w:r>
            <w:r>
              <w:rPr>
                <w:spacing w:val="8"/>
                <w:sz w:val="19"/>
                <w:szCs w:val="19"/>
              </w:rPr>
              <w:t>．露天矿山采用掏底崩落、掏挖开采、不分层的</w:t>
            </w:r>
            <w:r>
              <w:rPr>
                <w:rFonts w:ascii="Times New Roman" w:hAnsi="Times New Roman" w:eastAsia="Times New Roman" w:cs="Times New Roman"/>
                <w:spacing w:val="8"/>
                <w:sz w:val="19"/>
                <w:szCs w:val="19"/>
              </w:rPr>
              <w:t>“</w:t>
            </w:r>
            <w:r>
              <w:rPr>
                <w:spacing w:val="8"/>
                <w:sz w:val="19"/>
                <w:szCs w:val="19"/>
              </w:rPr>
              <w:t>一面墙</w:t>
            </w:r>
            <w:r>
              <w:rPr>
                <w:rFonts w:ascii="Times New Roman" w:hAnsi="Times New Roman" w:eastAsia="Times New Roman" w:cs="Times New Roman"/>
                <w:spacing w:val="8"/>
                <w:sz w:val="19"/>
                <w:szCs w:val="19"/>
              </w:rPr>
              <w:t>”</w:t>
            </w:r>
            <w:r>
              <w:rPr>
                <w:spacing w:val="8"/>
                <w:sz w:val="19"/>
                <w:szCs w:val="19"/>
              </w:rPr>
              <w:t>开采</w:t>
            </w:r>
          </w:p>
          <w:p w14:paraId="578A768F">
            <w:pPr>
              <w:pStyle w:val="6"/>
              <w:spacing w:before="22" w:line="205" w:lineRule="auto"/>
              <w:ind w:left="425"/>
              <w:rPr>
                <w:sz w:val="19"/>
                <w:szCs w:val="19"/>
              </w:rPr>
            </w:pPr>
            <w:r>
              <w:rPr>
                <w:rFonts w:ascii="Times New Roman" w:hAnsi="Times New Roman" w:eastAsia="Times New Roman" w:cs="Times New Roman"/>
                <w:spacing w:val="7"/>
                <w:sz w:val="19"/>
                <w:szCs w:val="19"/>
              </w:rPr>
              <w:t>10</w:t>
            </w:r>
            <w:r>
              <w:rPr>
                <w:rFonts w:ascii="Times New Roman" w:hAnsi="Times New Roman" w:eastAsia="Times New Roman" w:cs="Times New Roman"/>
                <w:spacing w:val="-12"/>
                <w:sz w:val="19"/>
                <w:szCs w:val="19"/>
              </w:rPr>
              <w:t xml:space="preserve"> </w:t>
            </w:r>
            <w:r>
              <w:rPr>
                <w:spacing w:val="7"/>
                <w:sz w:val="19"/>
                <w:szCs w:val="19"/>
              </w:rPr>
              <w:t>．露天矿山使用爆破方式对大块矿岩进行二次破碎</w:t>
            </w:r>
          </w:p>
        </w:tc>
        <w:tc>
          <w:tcPr>
            <w:tcW w:w="4465" w:type="dxa"/>
            <w:vAlign w:val="top"/>
          </w:tcPr>
          <w:p w14:paraId="04DE2A88">
            <w:pPr>
              <w:spacing w:line="292" w:lineRule="auto"/>
              <w:rPr>
                <w:rFonts w:ascii="Arial"/>
                <w:sz w:val="21"/>
              </w:rPr>
            </w:pPr>
          </w:p>
          <w:p w14:paraId="3AD20CE5">
            <w:pPr>
              <w:spacing w:line="292" w:lineRule="auto"/>
              <w:rPr>
                <w:rFonts w:ascii="Arial"/>
                <w:sz w:val="21"/>
              </w:rPr>
            </w:pPr>
          </w:p>
          <w:p w14:paraId="291E8938">
            <w:pPr>
              <w:spacing w:line="292" w:lineRule="auto"/>
              <w:rPr>
                <w:rFonts w:ascii="Arial"/>
                <w:sz w:val="21"/>
              </w:rPr>
            </w:pPr>
          </w:p>
          <w:p w14:paraId="5A57DAC6">
            <w:pPr>
              <w:pStyle w:val="6"/>
              <w:spacing w:before="62" w:line="251" w:lineRule="auto"/>
              <w:ind w:left="66" w:right="41" w:firstLine="359"/>
              <w:jc w:val="both"/>
              <w:rPr>
                <w:sz w:val="19"/>
                <w:szCs w:val="19"/>
              </w:rPr>
            </w:pPr>
            <w:r>
              <w:rPr>
                <w:spacing w:val="9"/>
                <w:sz w:val="19"/>
                <w:szCs w:val="19"/>
              </w:rPr>
              <w:t>《规划调整》涉及的调整区块仍需执行原《规</w:t>
            </w:r>
            <w:r>
              <w:rPr>
                <w:spacing w:val="11"/>
                <w:sz w:val="19"/>
                <w:szCs w:val="19"/>
              </w:rPr>
              <w:t xml:space="preserve"> </w:t>
            </w:r>
            <w:r>
              <w:rPr>
                <w:spacing w:val="7"/>
                <w:sz w:val="19"/>
                <w:szCs w:val="19"/>
              </w:rPr>
              <w:t>划》提出的开采工艺要求，推行清洁生产，发展绿</w:t>
            </w:r>
            <w:r>
              <w:rPr>
                <w:spacing w:val="16"/>
                <w:sz w:val="19"/>
                <w:szCs w:val="19"/>
              </w:rPr>
              <w:t xml:space="preserve"> </w:t>
            </w:r>
            <w:r>
              <w:rPr>
                <w:spacing w:val="7"/>
                <w:sz w:val="19"/>
                <w:szCs w:val="19"/>
              </w:rPr>
              <w:t>色产业，淘汰达不到环保和质量标准以及安全条件</w:t>
            </w:r>
            <w:r>
              <w:rPr>
                <w:spacing w:val="16"/>
                <w:sz w:val="19"/>
                <w:szCs w:val="19"/>
              </w:rPr>
              <w:t xml:space="preserve"> </w:t>
            </w:r>
            <w:r>
              <w:rPr>
                <w:spacing w:val="7"/>
                <w:sz w:val="19"/>
                <w:szCs w:val="19"/>
              </w:rPr>
              <w:t>较差的企业。推进采、选、冶产能结构性调整，合</w:t>
            </w:r>
          </w:p>
          <w:p w14:paraId="58801511">
            <w:pPr>
              <w:pStyle w:val="6"/>
              <w:spacing w:before="1" w:line="230" w:lineRule="auto"/>
              <w:ind w:left="67"/>
              <w:rPr>
                <w:sz w:val="19"/>
                <w:szCs w:val="19"/>
              </w:rPr>
            </w:pPr>
            <w:r>
              <w:rPr>
                <w:spacing w:val="7"/>
                <w:sz w:val="19"/>
                <w:szCs w:val="19"/>
              </w:rPr>
              <w:t>理配置采选冶能力。符合。</w:t>
            </w:r>
          </w:p>
        </w:tc>
        <w:tc>
          <w:tcPr>
            <w:tcW w:w="1897" w:type="dxa"/>
            <w:tcBorders>
              <w:right w:val="single" w:color="000000" w:sz="10" w:space="0"/>
            </w:tcBorders>
            <w:vAlign w:val="top"/>
          </w:tcPr>
          <w:p w14:paraId="5616A9F3">
            <w:pPr>
              <w:spacing w:line="285" w:lineRule="auto"/>
              <w:rPr>
                <w:rFonts w:ascii="Arial"/>
                <w:sz w:val="21"/>
              </w:rPr>
            </w:pPr>
          </w:p>
          <w:p w14:paraId="0B2457C6">
            <w:pPr>
              <w:spacing w:line="285" w:lineRule="auto"/>
              <w:rPr>
                <w:rFonts w:ascii="Arial"/>
                <w:sz w:val="21"/>
              </w:rPr>
            </w:pPr>
          </w:p>
          <w:p w14:paraId="021295F2">
            <w:pPr>
              <w:spacing w:line="285" w:lineRule="auto"/>
              <w:rPr>
                <w:rFonts w:ascii="Arial"/>
                <w:sz w:val="21"/>
              </w:rPr>
            </w:pPr>
          </w:p>
          <w:p w14:paraId="4EBC75E1">
            <w:pPr>
              <w:spacing w:line="286" w:lineRule="auto"/>
              <w:rPr>
                <w:rFonts w:ascii="Arial"/>
                <w:sz w:val="21"/>
              </w:rPr>
            </w:pPr>
          </w:p>
          <w:p w14:paraId="6F0D83AE">
            <w:pPr>
              <w:spacing w:line="286" w:lineRule="auto"/>
              <w:rPr>
                <w:rFonts w:ascii="Arial"/>
                <w:sz w:val="21"/>
              </w:rPr>
            </w:pPr>
          </w:p>
          <w:p w14:paraId="6FDEFCEB">
            <w:pPr>
              <w:spacing w:before="55" w:line="199" w:lineRule="auto"/>
              <w:ind w:left="923"/>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r>
      <w:tr w14:paraId="71CBBF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32" w:hRule="atLeast"/>
        </w:trPr>
        <w:tc>
          <w:tcPr>
            <w:tcW w:w="547" w:type="dxa"/>
            <w:tcBorders>
              <w:left w:val="single" w:color="000000" w:sz="10" w:space="0"/>
            </w:tcBorders>
            <w:vAlign w:val="top"/>
          </w:tcPr>
          <w:p w14:paraId="1265C3B3">
            <w:pPr>
              <w:spacing w:line="261" w:lineRule="auto"/>
              <w:rPr>
                <w:rFonts w:ascii="Arial"/>
                <w:sz w:val="21"/>
              </w:rPr>
            </w:pPr>
          </w:p>
          <w:p w14:paraId="0D6A8278">
            <w:pPr>
              <w:spacing w:line="261" w:lineRule="auto"/>
              <w:rPr>
                <w:rFonts w:ascii="Arial"/>
                <w:sz w:val="21"/>
              </w:rPr>
            </w:pPr>
          </w:p>
          <w:p w14:paraId="602C6E25">
            <w:pPr>
              <w:spacing w:line="261" w:lineRule="auto"/>
              <w:rPr>
                <w:rFonts w:ascii="Arial"/>
                <w:sz w:val="21"/>
              </w:rPr>
            </w:pPr>
          </w:p>
          <w:p w14:paraId="19794BB2">
            <w:pPr>
              <w:spacing w:line="262" w:lineRule="auto"/>
              <w:rPr>
                <w:rFonts w:ascii="Arial"/>
                <w:sz w:val="21"/>
              </w:rPr>
            </w:pPr>
          </w:p>
          <w:p w14:paraId="20329696">
            <w:pPr>
              <w:spacing w:before="57" w:line="195" w:lineRule="auto"/>
              <w:ind w:left="211"/>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273" w:type="dxa"/>
            <w:vAlign w:val="top"/>
          </w:tcPr>
          <w:p w14:paraId="3AF39019">
            <w:pPr>
              <w:spacing w:line="477" w:lineRule="auto"/>
              <w:rPr>
                <w:rFonts w:ascii="Arial"/>
                <w:sz w:val="21"/>
              </w:rPr>
            </w:pPr>
          </w:p>
          <w:p w14:paraId="392C2C81">
            <w:pPr>
              <w:pStyle w:val="6"/>
              <w:spacing w:before="62" w:line="232" w:lineRule="auto"/>
              <w:ind w:left="137"/>
              <w:rPr>
                <w:sz w:val="19"/>
                <w:szCs w:val="19"/>
              </w:rPr>
            </w:pPr>
            <w:r>
              <w:rPr>
                <w:spacing w:val="7"/>
                <w:sz w:val="19"/>
                <w:szCs w:val="19"/>
              </w:rPr>
              <w:t>《国家级公</w:t>
            </w:r>
          </w:p>
          <w:p w14:paraId="228B3880">
            <w:pPr>
              <w:pStyle w:val="6"/>
              <w:spacing w:before="20" w:line="231" w:lineRule="auto"/>
              <w:ind w:left="139"/>
              <w:rPr>
                <w:sz w:val="19"/>
                <w:szCs w:val="19"/>
              </w:rPr>
            </w:pPr>
            <w:r>
              <w:rPr>
                <w:spacing w:val="6"/>
                <w:sz w:val="19"/>
                <w:szCs w:val="19"/>
              </w:rPr>
              <w:t>益林管理办</w:t>
            </w:r>
          </w:p>
          <w:p w14:paraId="4FBC090D">
            <w:pPr>
              <w:pStyle w:val="6"/>
              <w:spacing w:before="22" w:line="231" w:lineRule="auto"/>
              <w:ind w:left="127"/>
              <w:rPr>
                <w:sz w:val="20"/>
                <w:szCs w:val="20"/>
              </w:rPr>
            </w:pPr>
            <w:r>
              <w:rPr>
                <w:spacing w:val="6"/>
                <w:sz w:val="19"/>
                <w:szCs w:val="19"/>
              </w:rPr>
              <w:t>法》</w:t>
            </w:r>
            <w:r>
              <w:rPr>
                <w:spacing w:val="6"/>
                <w:sz w:val="20"/>
                <w:szCs w:val="20"/>
              </w:rPr>
              <w:t>（林资</w:t>
            </w:r>
          </w:p>
          <w:p w14:paraId="0DE9C46D">
            <w:pPr>
              <w:pStyle w:val="6"/>
              <w:spacing w:before="21" w:line="232" w:lineRule="auto"/>
              <w:ind w:left="117"/>
              <w:rPr>
                <w:sz w:val="20"/>
                <w:szCs w:val="20"/>
              </w:rPr>
            </w:pPr>
            <w:r>
              <w:rPr>
                <w:spacing w:val="3"/>
                <w:sz w:val="20"/>
                <w:szCs w:val="20"/>
              </w:rPr>
              <w:t>发〔</w:t>
            </w:r>
            <w:r>
              <w:rPr>
                <w:rFonts w:ascii="Times New Roman" w:hAnsi="Times New Roman" w:eastAsia="Times New Roman" w:cs="Times New Roman"/>
                <w:spacing w:val="3"/>
                <w:sz w:val="20"/>
                <w:szCs w:val="20"/>
              </w:rPr>
              <w:t>2017</w:t>
            </w:r>
            <w:r>
              <w:rPr>
                <w:spacing w:val="3"/>
                <w:sz w:val="20"/>
                <w:szCs w:val="20"/>
              </w:rPr>
              <w:t>〕</w:t>
            </w:r>
          </w:p>
          <w:p w14:paraId="2DF4CBF8">
            <w:pPr>
              <w:pStyle w:val="6"/>
              <w:spacing w:before="22" w:line="232" w:lineRule="auto"/>
              <w:ind w:left="291"/>
              <w:rPr>
                <w:sz w:val="20"/>
                <w:szCs w:val="20"/>
              </w:rPr>
            </w:pPr>
            <w:r>
              <w:rPr>
                <w:rFonts w:ascii="Times New Roman" w:hAnsi="Times New Roman" w:eastAsia="Times New Roman" w:cs="Times New Roman"/>
                <w:spacing w:val="-3"/>
                <w:sz w:val="20"/>
                <w:szCs w:val="20"/>
              </w:rPr>
              <w:t>34</w:t>
            </w:r>
            <w:r>
              <w:rPr>
                <w:rFonts w:ascii="Times New Roman" w:hAnsi="Times New Roman" w:eastAsia="Times New Roman" w:cs="Times New Roman"/>
                <w:spacing w:val="23"/>
                <w:sz w:val="20"/>
                <w:szCs w:val="20"/>
              </w:rPr>
              <w:t xml:space="preserve"> </w:t>
            </w:r>
            <w:r>
              <w:rPr>
                <w:spacing w:val="-3"/>
                <w:sz w:val="20"/>
                <w:szCs w:val="20"/>
              </w:rPr>
              <w:t>号）</w:t>
            </w:r>
          </w:p>
        </w:tc>
        <w:tc>
          <w:tcPr>
            <w:tcW w:w="6289" w:type="dxa"/>
            <w:vAlign w:val="top"/>
          </w:tcPr>
          <w:p w14:paraId="5875C325">
            <w:pPr>
              <w:pStyle w:val="6"/>
              <w:spacing w:before="42" w:line="252" w:lineRule="auto"/>
              <w:ind w:left="107" w:right="103" w:firstLine="409"/>
              <w:jc w:val="both"/>
              <w:rPr>
                <w:sz w:val="19"/>
                <w:szCs w:val="19"/>
              </w:rPr>
            </w:pPr>
            <w:r>
              <w:rPr>
                <w:spacing w:val="12"/>
                <w:sz w:val="19"/>
                <w:szCs w:val="19"/>
              </w:rPr>
              <w:t>第九条  严格控制勘查、开采矿藏和工程建设</w:t>
            </w:r>
            <w:r>
              <w:rPr>
                <w:spacing w:val="11"/>
                <w:sz w:val="19"/>
                <w:szCs w:val="19"/>
              </w:rPr>
              <w:t>使用国家级公益林</w:t>
            </w:r>
            <w:r>
              <w:rPr>
                <w:sz w:val="19"/>
                <w:szCs w:val="19"/>
              </w:rPr>
              <w:t xml:space="preserve"> </w:t>
            </w:r>
            <w:r>
              <w:rPr>
                <w:spacing w:val="12"/>
                <w:sz w:val="19"/>
                <w:szCs w:val="19"/>
              </w:rPr>
              <w:t>地。确需使用的，严格按照《建设项目使用林地审核审批管理办法》</w:t>
            </w:r>
            <w:r>
              <w:rPr>
                <w:sz w:val="19"/>
                <w:szCs w:val="19"/>
              </w:rPr>
              <w:t xml:space="preserve"> </w:t>
            </w:r>
            <w:r>
              <w:rPr>
                <w:spacing w:val="12"/>
                <w:sz w:val="19"/>
                <w:szCs w:val="19"/>
              </w:rPr>
              <w:t>有关规定办理使用林地手续。涉及林木采伐的，按相关规定依法办理</w:t>
            </w:r>
            <w:r>
              <w:rPr>
                <w:spacing w:val="11"/>
                <w:sz w:val="19"/>
                <w:szCs w:val="19"/>
              </w:rPr>
              <w:t xml:space="preserve"> </w:t>
            </w:r>
            <w:r>
              <w:rPr>
                <w:spacing w:val="6"/>
                <w:sz w:val="19"/>
                <w:szCs w:val="19"/>
              </w:rPr>
              <w:t>林木采伐手续。</w:t>
            </w:r>
          </w:p>
          <w:p w14:paraId="63D79CBD">
            <w:pPr>
              <w:pStyle w:val="6"/>
              <w:spacing w:before="2" w:line="251" w:lineRule="auto"/>
              <w:ind w:left="112" w:right="41" w:firstLine="396"/>
              <w:jc w:val="both"/>
              <w:rPr>
                <w:sz w:val="19"/>
                <w:szCs w:val="19"/>
              </w:rPr>
            </w:pPr>
            <w:r>
              <w:rPr>
                <w:spacing w:val="8"/>
                <w:sz w:val="19"/>
                <w:szCs w:val="19"/>
              </w:rPr>
              <w:t>经审核审批同意使用的国家级公益林地，可按</w:t>
            </w:r>
            <w:r>
              <w:rPr>
                <w:spacing w:val="7"/>
                <w:sz w:val="19"/>
                <w:szCs w:val="19"/>
              </w:rPr>
              <w:t>照本办法第十八条、</w:t>
            </w:r>
            <w:r>
              <w:rPr>
                <w:sz w:val="19"/>
                <w:szCs w:val="19"/>
              </w:rPr>
              <w:t xml:space="preserve"> </w:t>
            </w:r>
            <w:r>
              <w:rPr>
                <w:spacing w:val="12"/>
                <w:sz w:val="19"/>
                <w:szCs w:val="19"/>
              </w:rPr>
              <w:t>第十九条的规定实行占补平衡，并按本办法第二十三条的规定报告国</w:t>
            </w:r>
            <w:r>
              <w:rPr>
                <w:spacing w:val="7"/>
                <w:sz w:val="19"/>
                <w:szCs w:val="19"/>
              </w:rPr>
              <w:t xml:space="preserve"> </w:t>
            </w:r>
            <w:r>
              <w:rPr>
                <w:spacing w:val="6"/>
                <w:sz w:val="19"/>
                <w:szCs w:val="19"/>
              </w:rPr>
              <w:t>家林业局和财政部。</w:t>
            </w:r>
          </w:p>
          <w:p w14:paraId="6ADC6FE8">
            <w:pPr>
              <w:pStyle w:val="6"/>
              <w:spacing w:before="1" w:line="225" w:lineRule="auto"/>
              <w:ind w:left="112" w:right="105" w:firstLine="404"/>
              <w:rPr>
                <w:sz w:val="19"/>
                <w:szCs w:val="19"/>
              </w:rPr>
            </w:pPr>
            <w:r>
              <w:rPr>
                <w:spacing w:val="6"/>
                <w:sz w:val="19"/>
                <w:szCs w:val="19"/>
              </w:rPr>
              <w:t>第十二条</w:t>
            </w:r>
            <w:r>
              <w:rPr>
                <w:spacing w:val="77"/>
                <w:sz w:val="19"/>
                <w:szCs w:val="19"/>
              </w:rPr>
              <w:t xml:space="preserve"> </w:t>
            </w:r>
            <w:r>
              <w:rPr>
                <w:spacing w:val="6"/>
                <w:sz w:val="19"/>
                <w:szCs w:val="19"/>
              </w:rPr>
              <w:t>一级国家级公益林原则上不得开展生产经营活动，严禁</w:t>
            </w:r>
            <w:r>
              <w:rPr>
                <w:sz w:val="19"/>
                <w:szCs w:val="19"/>
              </w:rPr>
              <w:t xml:space="preserve"> </w:t>
            </w:r>
            <w:r>
              <w:rPr>
                <w:spacing w:val="8"/>
                <w:sz w:val="19"/>
                <w:szCs w:val="19"/>
              </w:rPr>
              <w:t>打枝、采脂、割漆、剥树皮、掘根等行为。</w:t>
            </w:r>
          </w:p>
        </w:tc>
        <w:tc>
          <w:tcPr>
            <w:tcW w:w="4465" w:type="dxa"/>
            <w:vAlign w:val="top"/>
          </w:tcPr>
          <w:p w14:paraId="61F2EEAE">
            <w:pPr>
              <w:spacing w:line="312" w:lineRule="auto"/>
              <w:rPr>
                <w:rFonts w:ascii="Arial"/>
                <w:sz w:val="21"/>
              </w:rPr>
            </w:pPr>
          </w:p>
          <w:p w14:paraId="15973A85">
            <w:pPr>
              <w:spacing w:line="312" w:lineRule="auto"/>
              <w:rPr>
                <w:rFonts w:ascii="Arial"/>
                <w:sz w:val="21"/>
              </w:rPr>
            </w:pPr>
          </w:p>
          <w:p w14:paraId="28EE0BFD">
            <w:pPr>
              <w:pStyle w:val="6"/>
              <w:spacing w:before="61" w:line="251" w:lineRule="auto"/>
              <w:ind w:left="66" w:right="40" w:firstLine="360"/>
              <w:jc w:val="both"/>
              <w:rPr>
                <w:sz w:val="19"/>
                <w:szCs w:val="19"/>
              </w:rPr>
            </w:pPr>
            <w:r>
              <w:rPr>
                <w:spacing w:val="5"/>
                <w:sz w:val="19"/>
                <w:szCs w:val="19"/>
              </w:rPr>
              <w:t>本次评价的</w:t>
            </w:r>
            <w:r>
              <w:rPr>
                <w:spacing w:val="-20"/>
                <w:sz w:val="19"/>
                <w:szCs w:val="19"/>
              </w:rPr>
              <w:t xml:space="preserve"> </w:t>
            </w:r>
            <w:r>
              <w:rPr>
                <w:rFonts w:ascii="Times New Roman" w:hAnsi="Times New Roman" w:eastAsia="Times New Roman" w:cs="Times New Roman"/>
                <w:spacing w:val="5"/>
                <w:sz w:val="19"/>
                <w:szCs w:val="19"/>
              </w:rPr>
              <w:t>3</w:t>
            </w:r>
            <w:r>
              <w:rPr>
                <w:rFonts w:ascii="Times New Roman" w:hAnsi="Times New Roman" w:eastAsia="Times New Roman" w:cs="Times New Roman"/>
                <w:spacing w:val="18"/>
                <w:sz w:val="19"/>
                <w:szCs w:val="19"/>
              </w:rPr>
              <w:t xml:space="preserve"> </w:t>
            </w:r>
            <w:r>
              <w:rPr>
                <w:spacing w:val="5"/>
                <w:sz w:val="19"/>
                <w:szCs w:val="19"/>
              </w:rPr>
              <w:t>个勘查区块和</w:t>
            </w:r>
            <w:r>
              <w:rPr>
                <w:spacing w:val="-21"/>
                <w:sz w:val="19"/>
                <w:szCs w:val="19"/>
              </w:rPr>
              <w:t xml:space="preserve"> </w:t>
            </w:r>
            <w:r>
              <w:rPr>
                <w:rFonts w:ascii="Times New Roman" w:hAnsi="Times New Roman" w:eastAsia="Times New Roman" w:cs="Times New Roman"/>
                <w:spacing w:val="5"/>
                <w:sz w:val="19"/>
                <w:szCs w:val="19"/>
              </w:rPr>
              <w:t>1</w:t>
            </w:r>
            <w:r>
              <w:rPr>
                <w:rFonts w:ascii="Times New Roman" w:hAnsi="Times New Roman" w:eastAsia="Times New Roman" w:cs="Times New Roman"/>
                <w:spacing w:val="18"/>
                <w:sz w:val="19"/>
                <w:szCs w:val="19"/>
              </w:rPr>
              <w:t xml:space="preserve"> </w:t>
            </w:r>
            <w:r>
              <w:rPr>
                <w:spacing w:val="5"/>
                <w:sz w:val="19"/>
                <w:szCs w:val="19"/>
              </w:rPr>
              <w:t>个开采区块开采</w:t>
            </w:r>
            <w:r>
              <w:rPr>
                <w:sz w:val="19"/>
                <w:szCs w:val="19"/>
              </w:rPr>
              <w:t xml:space="preserve"> </w:t>
            </w:r>
            <w:r>
              <w:rPr>
                <w:spacing w:val="5"/>
                <w:sz w:val="19"/>
                <w:szCs w:val="19"/>
              </w:rPr>
              <w:t>区块与一级级国家级公益林均无重叠，其中</w:t>
            </w:r>
            <w:r>
              <w:rPr>
                <w:spacing w:val="-23"/>
                <w:sz w:val="19"/>
                <w:szCs w:val="19"/>
              </w:rPr>
              <w:t xml:space="preserve"> </w:t>
            </w:r>
            <w:r>
              <w:rPr>
                <w:rFonts w:ascii="Times New Roman" w:hAnsi="Times New Roman" w:eastAsia="Times New Roman" w:cs="Times New Roman"/>
                <w:sz w:val="19"/>
                <w:szCs w:val="19"/>
              </w:rPr>
              <w:t>KQ</w:t>
            </w:r>
            <w:r>
              <w:rPr>
                <w:rFonts w:ascii="Times New Roman" w:hAnsi="Times New Roman" w:eastAsia="Times New Roman" w:cs="Times New Roman"/>
                <w:spacing w:val="5"/>
                <w:sz w:val="19"/>
                <w:szCs w:val="19"/>
              </w:rPr>
              <w:t>004</w:t>
            </w:r>
            <w:r>
              <w:rPr>
                <w:rFonts w:ascii="Times New Roman" w:hAnsi="Times New Roman" w:eastAsia="Times New Roman" w:cs="Times New Roman"/>
                <w:sz w:val="19"/>
                <w:szCs w:val="19"/>
              </w:rPr>
              <w:t xml:space="preserve"> </w:t>
            </w:r>
            <w:r>
              <w:rPr>
                <w:spacing w:val="5"/>
                <w:sz w:val="19"/>
                <w:szCs w:val="19"/>
              </w:rPr>
              <w:t>部分占用二级国家级公益林地，</w:t>
            </w:r>
            <w:r>
              <w:rPr>
                <w:rFonts w:ascii="Times New Roman" w:hAnsi="Times New Roman" w:eastAsia="Times New Roman" w:cs="Times New Roman"/>
                <w:sz w:val="19"/>
                <w:szCs w:val="19"/>
              </w:rPr>
              <w:t>KQ</w:t>
            </w:r>
            <w:r>
              <w:rPr>
                <w:rFonts w:ascii="Times New Roman" w:hAnsi="Times New Roman" w:eastAsia="Times New Roman" w:cs="Times New Roman"/>
                <w:spacing w:val="5"/>
                <w:sz w:val="19"/>
                <w:szCs w:val="19"/>
              </w:rPr>
              <w:t>009</w:t>
            </w:r>
            <w:r>
              <w:rPr>
                <w:rFonts w:ascii="Times New Roman" w:hAnsi="Times New Roman" w:eastAsia="Times New Roman" w:cs="Times New Roman"/>
                <w:spacing w:val="23"/>
                <w:w w:val="101"/>
                <w:sz w:val="19"/>
                <w:szCs w:val="19"/>
              </w:rPr>
              <w:t xml:space="preserve"> </w:t>
            </w:r>
            <w:r>
              <w:rPr>
                <w:spacing w:val="5"/>
                <w:sz w:val="19"/>
                <w:szCs w:val="19"/>
              </w:rPr>
              <w:t>部分占用地</w:t>
            </w:r>
            <w:r>
              <w:rPr>
                <w:sz w:val="19"/>
                <w:szCs w:val="19"/>
              </w:rPr>
              <w:t xml:space="preserve"> </w:t>
            </w:r>
            <w:r>
              <w:rPr>
                <w:spacing w:val="5"/>
                <w:sz w:val="19"/>
                <w:szCs w:val="19"/>
              </w:rPr>
              <w:t>方公益林。</w:t>
            </w:r>
          </w:p>
        </w:tc>
        <w:tc>
          <w:tcPr>
            <w:tcW w:w="1897" w:type="dxa"/>
            <w:tcBorders>
              <w:right w:val="single" w:color="000000" w:sz="10" w:space="0"/>
            </w:tcBorders>
            <w:vAlign w:val="top"/>
          </w:tcPr>
          <w:p w14:paraId="53A5AA2F">
            <w:pPr>
              <w:spacing w:line="288" w:lineRule="auto"/>
              <w:rPr>
                <w:rFonts w:ascii="Arial"/>
                <w:sz w:val="21"/>
              </w:rPr>
            </w:pPr>
          </w:p>
          <w:p w14:paraId="1B6F05BC">
            <w:pPr>
              <w:spacing w:line="289" w:lineRule="auto"/>
              <w:rPr>
                <w:rFonts w:ascii="Arial"/>
                <w:sz w:val="21"/>
              </w:rPr>
            </w:pPr>
          </w:p>
          <w:p w14:paraId="7E67D7B2">
            <w:pPr>
              <w:spacing w:line="289" w:lineRule="auto"/>
              <w:rPr>
                <w:rFonts w:ascii="Arial"/>
                <w:sz w:val="21"/>
              </w:rPr>
            </w:pPr>
          </w:p>
          <w:p w14:paraId="0466C25A">
            <w:pPr>
              <w:pStyle w:val="6"/>
              <w:spacing w:before="65" w:line="231" w:lineRule="auto"/>
              <w:ind w:left="255"/>
              <w:rPr>
                <w:sz w:val="20"/>
                <w:szCs w:val="20"/>
              </w:rPr>
            </w:pPr>
            <w:r>
              <w:rPr>
                <w:spacing w:val="7"/>
                <w:sz w:val="20"/>
                <w:szCs w:val="20"/>
              </w:rPr>
              <w:t>优化调整建议见</w:t>
            </w:r>
          </w:p>
          <w:p w14:paraId="36F1D442">
            <w:pPr>
              <w:pStyle w:val="6"/>
              <w:spacing w:before="23" w:line="230" w:lineRule="auto"/>
              <w:ind w:left="430"/>
              <w:rPr>
                <w:sz w:val="20"/>
                <w:szCs w:val="20"/>
              </w:rPr>
            </w:pPr>
            <w:r>
              <w:rPr>
                <w:rFonts w:ascii="Times New Roman" w:hAnsi="Times New Roman" w:eastAsia="Times New Roman" w:cs="Times New Roman"/>
                <w:spacing w:val="2"/>
                <w:sz w:val="20"/>
                <w:szCs w:val="20"/>
              </w:rPr>
              <w:t>2.3.5</w:t>
            </w:r>
            <w:r>
              <w:rPr>
                <w:rFonts w:ascii="Times New Roman" w:hAnsi="Times New Roman" w:eastAsia="Times New Roman" w:cs="Times New Roman"/>
                <w:spacing w:val="19"/>
                <w:sz w:val="20"/>
                <w:szCs w:val="20"/>
              </w:rPr>
              <w:t xml:space="preserve"> </w:t>
            </w:r>
            <w:r>
              <w:rPr>
                <w:spacing w:val="2"/>
                <w:sz w:val="20"/>
                <w:szCs w:val="20"/>
              </w:rPr>
              <w:t>章节。</w:t>
            </w:r>
          </w:p>
        </w:tc>
      </w:tr>
      <w:tr w14:paraId="683B68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96" w:hRule="atLeast"/>
        </w:trPr>
        <w:tc>
          <w:tcPr>
            <w:tcW w:w="547" w:type="dxa"/>
            <w:tcBorders>
              <w:left w:val="single" w:color="000000" w:sz="10" w:space="0"/>
              <w:bottom w:val="single" w:color="000000" w:sz="10" w:space="0"/>
            </w:tcBorders>
            <w:vAlign w:val="top"/>
          </w:tcPr>
          <w:p w14:paraId="7BD99808">
            <w:pPr>
              <w:spacing w:line="308" w:lineRule="auto"/>
              <w:rPr>
                <w:rFonts w:ascii="Arial"/>
                <w:sz w:val="21"/>
              </w:rPr>
            </w:pPr>
          </w:p>
          <w:p w14:paraId="18921D34">
            <w:pPr>
              <w:spacing w:line="308" w:lineRule="auto"/>
              <w:rPr>
                <w:rFonts w:ascii="Arial"/>
                <w:sz w:val="21"/>
              </w:rPr>
            </w:pPr>
          </w:p>
          <w:p w14:paraId="6CDDBB14">
            <w:pPr>
              <w:spacing w:line="308" w:lineRule="auto"/>
              <w:rPr>
                <w:rFonts w:ascii="Arial"/>
                <w:sz w:val="21"/>
              </w:rPr>
            </w:pPr>
          </w:p>
          <w:p w14:paraId="57696181">
            <w:pPr>
              <w:spacing w:before="57" w:line="195" w:lineRule="auto"/>
              <w:ind w:left="17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273" w:type="dxa"/>
            <w:tcBorders>
              <w:bottom w:val="single" w:color="000000" w:sz="10" w:space="0"/>
            </w:tcBorders>
            <w:vAlign w:val="top"/>
          </w:tcPr>
          <w:p w14:paraId="74DAB68F">
            <w:pPr>
              <w:spacing w:line="246" w:lineRule="auto"/>
              <w:rPr>
                <w:rFonts w:ascii="Arial"/>
                <w:sz w:val="21"/>
              </w:rPr>
            </w:pPr>
          </w:p>
          <w:p w14:paraId="713867D9">
            <w:pPr>
              <w:pStyle w:val="6"/>
              <w:spacing w:before="62" w:line="233" w:lineRule="auto"/>
              <w:ind w:left="137"/>
              <w:rPr>
                <w:sz w:val="19"/>
                <w:szCs w:val="19"/>
              </w:rPr>
            </w:pPr>
            <w:r>
              <w:rPr>
                <w:spacing w:val="7"/>
                <w:sz w:val="19"/>
                <w:szCs w:val="19"/>
              </w:rPr>
              <w:t>《矿山生态</w:t>
            </w:r>
          </w:p>
          <w:p w14:paraId="3FB346F5">
            <w:pPr>
              <w:pStyle w:val="6"/>
              <w:spacing w:before="19" w:line="230" w:lineRule="auto"/>
              <w:ind w:left="137"/>
              <w:rPr>
                <w:sz w:val="19"/>
                <w:szCs w:val="19"/>
              </w:rPr>
            </w:pPr>
            <w:r>
              <w:rPr>
                <w:spacing w:val="7"/>
                <w:sz w:val="19"/>
                <w:szCs w:val="19"/>
              </w:rPr>
              <w:t>环境保护与</w:t>
            </w:r>
          </w:p>
          <w:p w14:paraId="1254DD76">
            <w:pPr>
              <w:pStyle w:val="6"/>
              <w:spacing w:before="23" w:line="248" w:lineRule="auto"/>
              <w:ind w:left="54" w:right="61" w:firstLine="87"/>
              <w:jc w:val="both"/>
              <w:rPr>
                <w:rFonts w:ascii="Times New Roman" w:hAnsi="Times New Roman" w:eastAsia="Times New Roman" w:cs="Times New Roman"/>
                <w:sz w:val="19"/>
                <w:szCs w:val="19"/>
              </w:rPr>
            </w:pPr>
            <w:r>
              <w:rPr>
                <w:spacing w:val="6"/>
                <w:sz w:val="19"/>
                <w:szCs w:val="19"/>
              </w:rPr>
              <w:t>污染防治技</w:t>
            </w:r>
            <w:r>
              <w:rPr>
                <w:sz w:val="19"/>
                <w:szCs w:val="19"/>
              </w:rPr>
              <w:t xml:space="preserve">  </w:t>
            </w:r>
            <w:r>
              <w:rPr>
                <w:spacing w:val="2"/>
                <w:sz w:val="19"/>
                <w:szCs w:val="19"/>
              </w:rPr>
              <w:t>术政策》（环</w:t>
            </w:r>
            <w:r>
              <w:rPr>
                <w:sz w:val="19"/>
                <w:szCs w:val="19"/>
              </w:rPr>
              <w:t xml:space="preserve"> </w:t>
            </w:r>
            <w:r>
              <w:rPr>
                <w:spacing w:val="10"/>
                <w:sz w:val="19"/>
                <w:szCs w:val="19"/>
              </w:rPr>
              <w:t>发</w:t>
            </w:r>
            <w:r>
              <w:rPr>
                <w:rFonts w:ascii="Times New Roman" w:hAnsi="Times New Roman" w:eastAsia="Times New Roman" w:cs="Times New Roman"/>
                <w:spacing w:val="10"/>
                <w:sz w:val="19"/>
                <w:szCs w:val="19"/>
              </w:rPr>
              <w:t>[2005]109</w:t>
            </w:r>
          </w:p>
          <w:p w14:paraId="6123CA4F">
            <w:pPr>
              <w:pStyle w:val="6"/>
              <w:spacing w:before="10" w:line="233" w:lineRule="auto"/>
              <w:ind w:left="442"/>
              <w:rPr>
                <w:sz w:val="19"/>
                <w:szCs w:val="19"/>
              </w:rPr>
            </w:pPr>
            <w:r>
              <w:rPr>
                <w:spacing w:val="-5"/>
                <w:sz w:val="19"/>
                <w:szCs w:val="19"/>
              </w:rPr>
              <w:t>号）</w:t>
            </w:r>
          </w:p>
        </w:tc>
        <w:tc>
          <w:tcPr>
            <w:tcW w:w="6289" w:type="dxa"/>
            <w:tcBorders>
              <w:bottom w:val="single" w:color="000000" w:sz="10" w:space="0"/>
            </w:tcBorders>
            <w:vAlign w:val="top"/>
          </w:tcPr>
          <w:p w14:paraId="0C2EA5D8">
            <w:pPr>
              <w:pStyle w:val="6"/>
              <w:spacing w:before="49" w:line="252" w:lineRule="auto"/>
              <w:ind w:left="112" w:right="41" w:firstLine="401"/>
              <w:jc w:val="both"/>
              <w:rPr>
                <w:sz w:val="19"/>
                <w:szCs w:val="19"/>
              </w:rPr>
            </w:pPr>
            <w:r>
              <w:rPr>
                <w:spacing w:val="7"/>
                <w:sz w:val="19"/>
                <w:szCs w:val="19"/>
              </w:rPr>
              <w:t>禁止在依法划定的自然保护区（核心区、缓冲区）、风景名胜区、</w:t>
            </w:r>
            <w:r>
              <w:rPr>
                <w:spacing w:val="14"/>
                <w:sz w:val="19"/>
                <w:szCs w:val="19"/>
              </w:rPr>
              <w:t xml:space="preserve"> </w:t>
            </w:r>
            <w:r>
              <w:rPr>
                <w:spacing w:val="12"/>
                <w:sz w:val="19"/>
                <w:szCs w:val="19"/>
              </w:rPr>
              <w:t>森林公园、饮用水水源保护区、重要湖泊周边、文物古迹所在地、地</w:t>
            </w:r>
            <w:r>
              <w:rPr>
                <w:spacing w:val="7"/>
                <w:sz w:val="19"/>
                <w:szCs w:val="19"/>
              </w:rPr>
              <w:t xml:space="preserve"> </w:t>
            </w:r>
            <w:r>
              <w:rPr>
                <w:spacing w:val="8"/>
                <w:sz w:val="19"/>
                <w:szCs w:val="19"/>
              </w:rPr>
              <w:t>质遗迹保护区、基本农田保护区等区域内采矿。</w:t>
            </w:r>
          </w:p>
          <w:p w14:paraId="19F1773B">
            <w:pPr>
              <w:pStyle w:val="6"/>
              <w:spacing w:line="251" w:lineRule="auto"/>
              <w:ind w:left="514" w:right="220"/>
              <w:rPr>
                <w:sz w:val="19"/>
                <w:szCs w:val="19"/>
              </w:rPr>
            </w:pPr>
            <w:r>
              <w:rPr>
                <w:spacing w:val="6"/>
                <w:sz w:val="19"/>
                <w:szCs w:val="19"/>
              </w:rPr>
              <w:t>禁止在铁路、</w:t>
            </w:r>
            <w:r>
              <w:rPr>
                <w:spacing w:val="-35"/>
                <w:sz w:val="19"/>
                <w:szCs w:val="19"/>
              </w:rPr>
              <w:t xml:space="preserve"> </w:t>
            </w:r>
            <w:r>
              <w:rPr>
                <w:spacing w:val="6"/>
                <w:sz w:val="19"/>
                <w:szCs w:val="19"/>
              </w:rPr>
              <w:t>国道、省道两侧的直观可视范围内进行露天开采。</w:t>
            </w:r>
            <w:r>
              <w:rPr>
                <w:sz w:val="19"/>
                <w:szCs w:val="19"/>
              </w:rPr>
              <w:t xml:space="preserve"> </w:t>
            </w:r>
            <w:r>
              <w:rPr>
                <w:spacing w:val="8"/>
                <w:sz w:val="19"/>
                <w:szCs w:val="19"/>
              </w:rPr>
              <w:t>禁止在地质灾害危险区开采矿产资源。</w:t>
            </w:r>
          </w:p>
          <w:p w14:paraId="73981F70">
            <w:pPr>
              <w:pStyle w:val="6"/>
              <w:spacing w:before="2" w:line="252" w:lineRule="auto"/>
              <w:ind w:left="117" w:right="105" w:firstLine="396"/>
              <w:rPr>
                <w:sz w:val="19"/>
                <w:szCs w:val="19"/>
              </w:rPr>
            </w:pPr>
            <w:r>
              <w:rPr>
                <w:spacing w:val="12"/>
                <w:sz w:val="19"/>
                <w:szCs w:val="19"/>
              </w:rPr>
              <w:t>禁止土法采、选冶金矿和土法冶炼汞、砷、铅、锌、焦、硫、钒</w:t>
            </w:r>
            <w:r>
              <w:rPr>
                <w:spacing w:val="7"/>
                <w:sz w:val="19"/>
                <w:szCs w:val="19"/>
              </w:rPr>
              <w:t xml:space="preserve"> </w:t>
            </w:r>
            <w:r>
              <w:rPr>
                <w:spacing w:val="6"/>
                <w:sz w:val="19"/>
                <w:szCs w:val="19"/>
              </w:rPr>
              <w:t>等矿产资源开发活动。</w:t>
            </w:r>
          </w:p>
          <w:p w14:paraId="747CF56E">
            <w:pPr>
              <w:pStyle w:val="6"/>
              <w:spacing w:line="214" w:lineRule="auto"/>
              <w:ind w:left="514"/>
              <w:rPr>
                <w:sz w:val="19"/>
                <w:szCs w:val="19"/>
              </w:rPr>
            </w:pPr>
            <w:r>
              <w:rPr>
                <w:spacing w:val="12"/>
                <w:sz w:val="19"/>
                <w:szCs w:val="19"/>
              </w:rPr>
              <w:t>禁止新建对生态环境产生不可恢复利用的、产生破坏性影响的矿</w:t>
            </w:r>
          </w:p>
        </w:tc>
        <w:tc>
          <w:tcPr>
            <w:tcW w:w="4465" w:type="dxa"/>
            <w:tcBorders>
              <w:bottom w:val="single" w:color="000000" w:sz="10" w:space="0"/>
            </w:tcBorders>
            <w:vAlign w:val="top"/>
          </w:tcPr>
          <w:p w14:paraId="1117DE77">
            <w:pPr>
              <w:spacing w:line="316" w:lineRule="auto"/>
              <w:rPr>
                <w:rFonts w:ascii="Arial"/>
                <w:sz w:val="21"/>
              </w:rPr>
            </w:pPr>
          </w:p>
          <w:p w14:paraId="5AF26EE0">
            <w:pPr>
              <w:spacing w:line="317" w:lineRule="auto"/>
              <w:rPr>
                <w:rFonts w:ascii="Arial"/>
                <w:sz w:val="21"/>
              </w:rPr>
            </w:pPr>
          </w:p>
          <w:p w14:paraId="2218C18F">
            <w:pPr>
              <w:pStyle w:val="6"/>
              <w:spacing w:before="62" w:line="251" w:lineRule="auto"/>
              <w:ind w:left="100" w:right="41" w:firstLine="326"/>
              <w:rPr>
                <w:sz w:val="19"/>
                <w:szCs w:val="19"/>
              </w:rPr>
            </w:pPr>
            <w:r>
              <w:rPr>
                <w:spacing w:val="5"/>
                <w:sz w:val="19"/>
                <w:szCs w:val="19"/>
              </w:rPr>
              <w:t>本次评价的</w:t>
            </w:r>
            <w:r>
              <w:rPr>
                <w:spacing w:val="-20"/>
                <w:sz w:val="19"/>
                <w:szCs w:val="19"/>
              </w:rPr>
              <w:t xml:space="preserve"> </w:t>
            </w:r>
            <w:r>
              <w:rPr>
                <w:rFonts w:ascii="Times New Roman" w:hAnsi="Times New Roman" w:eastAsia="Times New Roman" w:cs="Times New Roman"/>
                <w:spacing w:val="5"/>
                <w:sz w:val="19"/>
                <w:szCs w:val="19"/>
              </w:rPr>
              <w:t>3</w:t>
            </w:r>
            <w:r>
              <w:rPr>
                <w:rFonts w:ascii="Times New Roman" w:hAnsi="Times New Roman" w:eastAsia="Times New Roman" w:cs="Times New Roman"/>
                <w:spacing w:val="18"/>
                <w:sz w:val="19"/>
                <w:szCs w:val="19"/>
              </w:rPr>
              <w:t xml:space="preserve"> </w:t>
            </w:r>
            <w:r>
              <w:rPr>
                <w:spacing w:val="5"/>
                <w:sz w:val="19"/>
                <w:szCs w:val="19"/>
              </w:rPr>
              <w:t>个勘查区块和</w:t>
            </w:r>
            <w:r>
              <w:rPr>
                <w:spacing w:val="-21"/>
                <w:sz w:val="19"/>
                <w:szCs w:val="19"/>
              </w:rPr>
              <w:t xml:space="preserve"> </w:t>
            </w:r>
            <w:r>
              <w:rPr>
                <w:rFonts w:ascii="Times New Roman" w:hAnsi="Times New Roman" w:eastAsia="Times New Roman" w:cs="Times New Roman"/>
                <w:spacing w:val="5"/>
                <w:sz w:val="19"/>
                <w:szCs w:val="19"/>
              </w:rPr>
              <w:t>1</w:t>
            </w:r>
            <w:r>
              <w:rPr>
                <w:rFonts w:ascii="Times New Roman" w:hAnsi="Times New Roman" w:eastAsia="Times New Roman" w:cs="Times New Roman"/>
                <w:spacing w:val="18"/>
                <w:sz w:val="19"/>
                <w:szCs w:val="19"/>
              </w:rPr>
              <w:t xml:space="preserve"> </w:t>
            </w:r>
            <w:r>
              <w:rPr>
                <w:spacing w:val="5"/>
                <w:sz w:val="19"/>
                <w:szCs w:val="19"/>
              </w:rPr>
              <w:t>个开采区块均不</w:t>
            </w:r>
            <w:r>
              <w:rPr>
                <w:sz w:val="19"/>
                <w:szCs w:val="19"/>
              </w:rPr>
              <w:t xml:space="preserve"> </w:t>
            </w:r>
            <w:r>
              <w:rPr>
                <w:spacing w:val="6"/>
                <w:sz w:val="19"/>
                <w:szCs w:val="19"/>
              </w:rPr>
              <w:t>占用自然保护区、风景名胜区、饮用水源等。</w:t>
            </w:r>
          </w:p>
          <w:p w14:paraId="1050889D">
            <w:pPr>
              <w:pStyle w:val="6"/>
              <w:spacing w:before="1" w:line="221" w:lineRule="auto"/>
              <w:ind w:left="416"/>
              <w:rPr>
                <w:sz w:val="19"/>
                <w:szCs w:val="19"/>
              </w:rPr>
            </w:pPr>
            <w:r>
              <w:rPr>
                <w:rFonts w:ascii="Times New Roman" w:hAnsi="Times New Roman" w:eastAsia="Times New Roman" w:cs="Times New Roman"/>
                <w:sz w:val="19"/>
                <w:szCs w:val="19"/>
              </w:rPr>
              <w:t>KQ</w:t>
            </w:r>
            <w:r>
              <w:rPr>
                <w:rFonts w:ascii="Times New Roman" w:hAnsi="Times New Roman" w:eastAsia="Times New Roman" w:cs="Times New Roman"/>
                <w:spacing w:val="7"/>
                <w:sz w:val="19"/>
                <w:szCs w:val="19"/>
              </w:rPr>
              <w:t>004</w:t>
            </w:r>
            <w:r>
              <w:rPr>
                <w:rFonts w:ascii="Times New Roman" w:hAnsi="Times New Roman" w:eastAsia="Times New Roman" w:cs="Times New Roman"/>
                <w:spacing w:val="21"/>
                <w:sz w:val="19"/>
                <w:szCs w:val="19"/>
              </w:rPr>
              <w:t xml:space="preserve"> </w:t>
            </w:r>
            <w:r>
              <w:rPr>
                <w:spacing w:val="7"/>
                <w:sz w:val="19"/>
                <w:szCs w:val="19"/>
              </w:rPr>
              <w:t>和</w:t>
            </w:r>
            <w:r>
              <w:rPr>
                <w:spacing w:val="-41"/>
                <w:sz w:val="19"/>
                <w:szCs w:val="19"/>
              </w:rPr>
              <w:t xml:space="preserve"> </w:t>
            </w:r>
            <w:r>
              <w:rPr>
                <w:rFonts w:ascii="Times New Roman" w:hAnsi="Times New Roman" w:eastAsia="Times New Roman" w:cs="Times New Roman"/>
                <w:sz w:val="19"/>
                <w:szCs w:val="19"/>
              </w:rPr>
              <w:t>KQ</w:t>
            </w:r>
            <w:r>
              <w:rPr>
                <w:rFonts w:ascii="Times New Roman" w:hAnsi="Times New Roman" w:eastAsia="Times New Roman" w:cs="Times New Roman"/>
                <w:spacing w:val="7"/>
                <w:sz w:val="19"/>
                <w:szCs w:val="19"/>
              </w:rPr>
              <w:t>009</w:t>
            </w:r>
            <w:r>
              <w:rPr>
                <w:rFonts w:ascii="Times New Roman" w:hAnsi="Times New Roman" w:eastAsia="Times New Roman" w:cs="Times New Roman"/>
                <w:spacing w:val="16"/>
                <w:sz w:val="19"/>
                <w:szCs w:val="19"/>
              </w:rPr>
              <w:t xml:space="preserve"> </w:t>
            </w:r>
            <w:r>
              <w:rPr>
                <w:spacing w:val="7"/>
                <w:sz w:val="19"/>
                <w:szCs w:val="19"/>
              </w:rPr>
              <w:t>部分占用永久基本农田。</w:t>
            </w:r>
          </w:p>
        </w:tc>
        <w:tc>
          <w:tcPr>
            <w:tcW w:w="1897" w:type="dxa"/>
            <w:tcBorders>
              <w:bottom w:val="single" w:color="000000" w:sz="10" w:space="0"/>
              <w:right w:val="single" w:color="000000" w:sz="10" w:space="0"/>
            </w:tcBorders>
            <w:vAlign w:val="top"/>
          </w:tcPr>
          <w:p w14:paraId="5E977829">
            <w:pPr>
              <w:spacing w:line="249" w:lineRule="auto"/>
              <w:rPr>
                <w:rFonts w:ascii="Arial"/>
                <w:sz w:val="21"/>
              </w:rPr>
            </w:pPr>
          </w:p>
          <w:p w14:paraId="2C3FB783">
            <w:pPr>
              <w:spacing w:line="249" w:lineRule="auto"/>
              <w:rPr>
                <w:rFonts w:ascii="Arial"/>
                <w:sz w:val="21"/>
              </w:rPr>
            </w:pPr>
          </w:p>
          <w:p w14:paraId="48212349">
            <w:pPr>
              <w:spacing w:line="249" w:lineRule="auto"/>
              <w:rPr>
                <w:rFonts w:ascii="Arial"/>
                <w:sz w:val="21"/>
              </w:rPr>
            </w:pPr>
          </w:p>
          <w:p w14:paraId="7B8997DD">
            <w:pPr>
              <w:pStyle w:val="6"/>
              <w:spacing w:before="65" w:line="231" w:lineRule="auto"/>
              <w:ind w:left="255"/>
              <w:rPr>
                <w:sz w:val="20"/>
                <w:szCs w:val="20"/>
              </w:rPr>
            </w:pPr>
            <w:r>
              <w:rPr>
                <w:spacing w:val="7"/>
                <w:sz w:val="20"/>
                <w:szCs w:val="20"/>
              </w:rPr>
              <w:t>优化调整建议见</w:t>
            </w:r>
          </w:p>
          <w:p w14:paraId="189FF1ED">
            <w:pPr>
              <w:pStyle w:val="6"/>
              <w:spacing w:before="21" w:line="230" w:lineRule="auto"/>
              <w:ind w:left="430"/>
              <w:rPr>
                <w:sz w:val="20"/>
                <w:szCs w:val="20"/>
              </w:rPr>
            </w:pPr>
            <w:r>
              <w:rPr>
                <w:rFonts w:ascii="Times New Roman" w:hAnsi="Times New Roman" w:eastAsia="Times New Roman" w:cs="Times New Roman"/>
                <w:spacing w:val="2"/>
                <w:sz w:val="20"/>
                <w:szCs w:val="20"/>
              </w:rPr>
              <w:t>2.3.5</w:t>
            </w:r>
            <w:r>
              <w:rPr>
                <w:rFonts w:ascii="Times New Roman" w:hAnsi="Times New Roman" w:eastAsia="Times New Roman" w:cs="Times New Roman"/>
                <w:spacing w:val="19"/>
                <w:sz w:val="20"/>
                <w:szCs w:val="20"/>
              </w:rPr>
              <w:t xml:space="preserve"> </w:t>
            </w:r>
            <w:r>
              <w:rPr>
                <w:spacing w:val="2"/>
                <w:sz w:val="20"/>
                <w:szCs w:val="20"/>
              </w:rPr>
              <w:t>章节。</w:t>
            </w:r>
          </w:p>
        </w:tc>
      </w:tr>
    </w:tbl>
    <w:p w14:paraId="1E31715F">
      <w:pPr>
        <w:pStyle w:val="2"/>
      </w:pPr>
    </w:p>
    <w:p w14:paraId="7D9CFB57">
      <w:pPr>
        <w:sectPr>
          <w:footerReference r:id="rId74" w:type="default"/>
          <w:pgSz w:w="16839" w:h="11906"/>
          <w:pgMar w:top="1116" w:right="1023" w:bottom="1480" w:left="1317" w:header="683" w:footer="1318" w:gutter="0"/>
          <w:cols w:space="720" w:num="1"/>
        </w:sectPr>
      </w:pPr>
    </w:p>
    <w:p w14:paraId="167C2BEE">
      <w:pPr>
        <w:spacing w:before="229"/>
      </w:pPr>
    </w:p>
    <w:tbl>
      <w:tblPr>
        <w:tblStyle w:val="5"/>
        <w:tblW w:w="1447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7"/>
        <w:gridCol w:w="1273"/>
        <w:gridCol w:w="6289"/>
        <w:gridCol w:w="4465"/>
        <w:gridCol w:w="1897"/>
      </w:tblGrid>
      <w:tr w14:paraId="3225D4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547" w:type="dxa"/>
            <w:vMerge w:val="restart"/>
            <w:tcBorders>
              <w:top w:val="single" w:color="000000" w:sz="10" w:space="0"/>
              <w:left w:val="single" w:color="000000" w:sz="10" w:space="0"/>
              <w:bottom w:val="nil"/>
            </w:tcBorders>
            <w:vAlign w:val="top"/>
          </w:tcPr>
          <w:p w14:paraId="5B169172">
            <w:pPr>
              <w:pStyle w:val="6"/>
              <w:spacing w:before="251" w:line="231" w:lineRule="auto"/>
              <w:ind w:left="69"/>
              <w:rPr>
                <w:sz w:val="19"/>
                <w:szCs w:val="19"/>
              </w:rPr>
            </w:pPr>
            <w:r>
              <w:rPr>
                <w:spacing w:val="2"/>
                <w:sz w:val="19"/>
                <w:szCs w:val="19"/>
              </w:rPr>
              <w:t>序号</w:t>
            </w:r>
          </w:p>
        </w:tc>
        <w:tc>
          <w:tcPr>
            <w:tcW w:w="7562" w:type="dxa"/>
            <w:gridSpan w:val="2"/>
            <w:tcBorders>
              <w:top w:val="single" w:color="000000" w:sz="10" w:space="0"/>
            </w:tcBorders>
            <w:vAlign w:val="top"/>
          </w:tcPr>
          <w:p w14:paraId="680D414D">
            <w:pPr>
              <w:pStyle w:val="6"/>
              <w:spacing w:before="75" w:line="231" w:lineRule="auto"/>
              <w:ind w:left="2908"/>
              <w:rPr>
                <w:sz w:val="19"/>
                <w:szCs w:val="19"/>
              </w:rPr>
            </w:pPr>
            <w:r>
              <w:rPr>
                <w:spacing w:val="5"/>
                <w:sz w:val="19"/>
                <w:szCs w:val="19"/>
              </w:rPr>
              <w:t>国家重大政策及规划</w:t>
            </w:r>
          </w:p>
        </w:tc>
        <w:tc>
          <w:tcPr>
            <w:tcW w:w="4465" w:type="dxa"/>
            <w:vMerge w:val="restart"/>
            <w:tcBorders>
              <w:top w:val="single" w:color="000000" w:sz="10" w:space="0"/>
              <w:bottom w:val="nil"/>
            </w:tcBorders>
            <w:vAlign w:val="top"/>
          </w:tcPr>
          <w:p w14:paraId="3BB7296C">
            <w:pPr>
              <w:pStyle w:val="6"/>
              <w:spacing w:before="250" w:line="229" w:lineRule="auto"/>
              <w:ind w:left="949"/>
              <w:rPr>
                <w:sz w:val="19"/>
                <w:szCs w:val="19"/>
              </w:rPr>
            </w:pPr>
            <w:r>
              <w:rPr>
                <w:spacing w:val="8"/>
                <w:sz w:val="19"/>
                <w:szCs w:val="19"/>
              </w:rPr>
              <w:t>本《规划调整》的符合性分析</w:t>
            </w:r>
          </w:p>
        </w:tc>
        <w:tc>
          <w:tcPr>
            <w:tcW w:w="1897" w:type="dxa"/>
            <w:vMerge w:val="restart"/>
            <w:tcBorders>
              <w:top w:val="single" w:color="000000" w:sz="10" w:space="0"/>
              <w:bottom w:val="nil"/>
              <w:right w:val="single" w:color="000000" w:sz="10" w:space="0"/>
            </w:tcBorders>
            <w:vAlign w:val="top"/>
          </w:tcPr>
          <w:p w14:paraId="1E9A5DA7">
            <w:pPr>
              <w:pStyle w:val="6"/>
              <w:spacing w:before="250" w:line="230" w:lineRule="auto"/>
              <w:ind w:left="373"/>
              <w:rPr>
                <w:sz w:val="19"/>
                <w:szCs w:val="19"/>
              </w:rPr>
            </w:pPr>
            <w:r>
              <w:rPr>
                <w:spacing w:val="5"/>
                <w:sz w:val="19"/>
                <w:szCs w:val="19"/>
              </w:rPr>
              <w:t>简要优化建议</w:t>
            </w:r>
          </w:p>
        </w:tc>
      </w:tr>
      <w:tr w14:paraId="7AA8E0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47" w:type="dxa"/>
            <w:vMerge w:val="continue"/>
            <w:tcBorders>
              <w:top w:val="nil"/>
              <w:left w:val="single" w:color="000000" w:sz="10" w:space="0"/>
            </w:tcBorders>
            <w:vAlign w:val="top"/>
          </w:tcPr>
          <w:p w14:paraId="274B8FBB">
            <w:pPr>
              <w:rPr>
                <w:rFonts w:ascii="Arial"/>
                <w:sz w:val="21"/>
              </w:rPr>
            </w:pPr>
          </w:p>
        </w:tc>
        <w:tc>
          <w:tcPr>
            <w:tcW w:w="1273" w:type="dxa"/>
            <w:vAlign w:val="top"/>
          </w:tcPr>
          <w:p w14:paraId="7ABE606B">
            <w:pPr>
              <w:pStyle w:val="6"/>
              <w:spacing w:before="72" w:line="230" w:lineRule="auto"/>
              <w:ind w:left="438"/>
              <w:rPr>
                <w:sz w:val="19"/>
                <w:szCs w:val="19"/>
              </w:rPr>
            </w:pPr>
            <w:r>
              <w:rPr>
                <w:spacing w:val="2"/>
                <w:sz w:val="19"/>
                <w:szCs w:val="19"/>
              </w:rPr>
              <w:t>名称</w:t>
            </w:r>
          </w:p>
        </w:tc>
        <w:tc>
          <w:tcPr>
            <w:tcW w:w="6289" w:type="dxa"/>
            <w:vAlign w:val="top"/>
          </w:tcPr>
          <w:p w14:paraId="516DEC0B">
            <w:pPr>
              <w:pStyle w:val="6"/>
              <w:spacing w:before="72" w:line="231" w:lineRule="auto"/>
              <w:ind w:left="2754"/>
              <w:rPr>
                <w:sz w:val="19"/>
                <w:szCs w:val="19"/>
              </w:rPr>
            </w:pPr>
            <w:r>
              <w:rPr>
                <w:spacing w:val="6"/>
                <w:sz w:val="19"/>
                <w:szCs w:val="19"/>
              </w:rPr>
              <w:t>相关内容</w:t>
            </w:r>
          </w:p>
        </w:tc>
        <w:tc>
          <w:tcPr>
            <w:tcW w:w="4465" w:type="dxa"/>
            <w:vMerge w:val="continue"/>
            <w:tcBorders>
              <w:top w:val="nil"/>
            </w:tcBorders>
            <w:vAlign w:val="top"/>
          </w:tcPr>
          <w:p w14:paraId="3564BB59">
            <w:pPr>
              <w:rPr>
                <w:rFonts w:ascii="Arial"/>
                <w:sz w:val="21"/>
              </w:rPr>
            </w:pPr>
          </w:p>
        </w:tc>
        <w:tc>
          <w:tcPr>
            <w:tcW w:w="1897" w:type="dxa"/>
            <w:vMerge w:val="continue"/>
            <w:tcBorders>
              <w:top w:val="nil"/>
              <w:right w:val="single" w:color="000000" w:sz="10" w:space="0"/>
            </w:tcBorders>
            <w:vAlign w:val="top"/>
          </w:tcPr>
          <w:p w14:paraId="48D7022C">
            <w:pPr>
              <w:rPr>
                <w:rFonts w:ascii="Arial"/>
                <w:sz w:val="21"/>
              </w:rPr>
            </w:pPr>
          </w:p>
        </w:tc>
      </w:tr>
      <w:tr w14:paraId="7933F5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16" w:hRule="atLeast"/>
        </w:trPr>
        <w:tc>
          <w:tcPr>
            <w:tcW w:w="547" w:type="dxa"/>
            <w:tcBorders>
              <w:left w:val="single" w:color="000000" w:sz="10" w:space="0"/>
            </w:tcBorders>
            <w:vAlign w:val="top"/>
          </w:tcPr>
          <w:p w14:paraId="1E5BD73F">
            <w:pPr>
              <w:rPr>
                <w:rFonts w:ascii="Arial"/>
                <w:sz w:val="21"/>
              </w:rPr>
            </w:pPr>
          </w:p>
        </w:tc>
        <w:tc>
          <w:tcPr>
            <w:tcW w:w="1273" w:type="dxa"/>
            <w:vAlign w:val="top"/>
          </w:tcPr>
          <w:p w14:paraId="23AB3053">
            <w:pPr>
              <w:rPr>
                <w:rFonts w:ascii="Arial"/>
                <w:sz w:val="21"/>
              </w:rPr>
            </w:pPr>
          </w:p>
        </w:tc>
        <w:tc>
          <w:tcPr>
            <w:tcW w:w="6289" w:type="dxa"/>
            <w:vAlign w:val="top"/>
          </w:tcPr>
          <w:p w14:paraId="750E5412">
            <w:pPr>
              <w:pStyle w:val="6"/>
              <w:spacing w:before="33" w:line="231" w:lineRule="auto"/>
              <w:ind w:left="111"/>
              <w:rPr>
                <w:sz w:val="19"/>
                <w:szCs w:val="19"/>
              </w:rPr>
            </w:pPr>
            <w:r>
              <w:rPr>
                <w:spacing w:val="6"/>
                <w:sz w:val="19"/>
                <w:szCs w:val="19"/>
              </w:rPr>
              <w:t>产资源开发项目。</w:t>
            </w:r>
          </w:p>
          <w:p w14:paraId="59657E3A">
            <w:pPr>
              <w:pStyle w:val="6"/>
              <w:spacing w:before="21" w:line="229" w:lineRule="auto"/>
              <w:ind w:left="514"/>
              <w:rPr>
                <w:sz w:val="19"/>
                <w:szCs w:val="19"/>
              </w:rPr>
            </w:pPr>
            <w:r>
              <w:rPr>
                <w:spacing w:val="7"/>
                <w:sz w:val="19"/>
                <w:szCs w:val="19"/>
              </w:rPr>
              <w:t>禁止新建煤层含硫量大于</w:t>
            </w:r>
            <w:r>
              <w:rPr>
                <w:spacing w:val="-30"/>
                <w:sz w:val="19"/>
                <w:szCs w:val="19"/>
              </w:rPr>
              <w:t xml:space="preserve"> </w:t>
            </w:r>
            <w:r>
              <w:rPr>
                <w:rFonts w:ascii="Times New Roman" w:hAnsi="Times New Roman" w:eastAsia="Times New Roman" w:cs="Times New Roman"/>
                <w:spacing w:val="7"/>
                <w:sz w:val="19"/>
                <w:szCs w:val="19"/>
              </w:rPr>
              <w:t>3%</w:t>
            </w:r>
            <w:r>
              <w:rPr>
                <w:spacing w:val="7"/>
                <w:sz w:val="19"/>
                <w:szCs w:val="19"/>
              </w:rPr>
              <w:t>的煤矿。</w:t>
            </w:r>
          </w:p>
          <w:p w14:paraId="5B4B2CDF">
            <w:pPr>
              <w:pStyle w:val="6"/>
              <w:spacing w:before="24" w:line="251" w:lineRule="auto"/>
              <w:ind w:left="109" w:right="35" w:firstLine="411"/>
              <w:jc w:val="both"/>
              <w:rPr>
                <w:sz w:val="19"/>
                <w:szCs w:val="19"/>
              </w:rPr>
            </w:pPr>
            <w:r>
              <w:rPr>
                <w:spacing w:val="6"/>
                <w:sz w:val="19"/>
                <w:szCs w:val="19"/>
              </w:rPr>
              <w:t>限制在生态功能保护区和自然保护区（过渡区）</w:t>
            </w:r>
            <w:r>
              <w:rPr>
                <w:spacing w:val="-53"/>
                <w:sz w:val="19"/>
                <w:szCs w:val="19"/>
              </w:rPr>
              <w:t xml:space="preserve"> </w:t>
            </w:r>
            <w:r>
              <w:rPr>
                <w:spacing w:val="6"/>
                <w:sz w:val="19"/>
                <w:szCs w:val="19"/>
              </w:rPr>
              <w:t>内开采矿产资源。</w:t>
            </w:r>
            <w:r>
              <w:rPr>
                <w:sz w:val="19"/>
                <w:szCs w:val="19"/>
              </w:rPr>
              <w:t xml:space="preserve"> </w:t>
            </w:r>
            <w:r>
              <w:rPr>
                <w:spacing w:val="12"/>
                <w:sz w:val="19"/>
                <w:szCs w:val="19"/>
              </w:rPr>
              <w:t>生态功能保护区内的开采活动必须符合当地的环境功能区规划，并按</w:t>
            </w:r>
            <w:r>
              <w:rPr>
                <w:spacing w:val="10"/>
                <w:sz w:val="19"/>
                <w:szCs w:val="19"/>
              </w:rPr>
              <w:t xml:space="preserve"> </w:t>
            </w:r>
            <w:r>
              <w:rPr>
                <w:spacing w:val="8"/>
                <w:sz w:val="19"/>
                <w:szCs w:val="19"/>
              </w:rPr>
              <w:t>规定进行控制性开采，开采活动不得影响本功能区内的主导生态功能。</w:t>
            </w:r>
          </w:p>
          <w:p w14:paraId="305CB82F">
            <w:pPr>
              <w:pStyle w:val="6"/>
              <w:spacing w:before="2" w:line="231" w:lineRule="auto"/>
              <w:ind w:left="110" w:right="105" w:firstLine="410"/>
              <w:rPr>
                <w:sz w:val="19"/>
                <w:szCs w:val="19"/>
              </w:rPr>
            </w:pPr>
            <w:r>
              <w:rPr>
                <w:spacing w:val="12"/>
                <w:sz w:val="19"/>
                <w:szCs w:val="19"/>
              </w:rPr>
              <w:t>限制在地质灾害易发区、水土流失严重区域等生态脆弱区内开采</w:t>
            </w:r>
            <w:r>
              <w:rPr>
                <w:sz w:val="19"/>
                <w:szCs w:val="19"/>
              </w:rPr>
              <w:t xml:space="preserve"> </w:t>
            </w:r>
            <w:r>
              <w:rPr>
                <w:spacing w:val="5"/>
                <w:sz w:val="19"/>
                <w:szCs w:val="19"/>
              </w:rPr>
              <w:t>矿产资源。</w:t>
            </w:r>
          </w:p>
        </w:tc>
        <w:tc>
          <w:tcPr>
            <w:tcW w:w="4465" w:type="dxa"/>
            <w:vAlign w:val="top"/>
          </w:tcPr>
          <w:p w14:paraId="128B97F5">
            <w:pPr>
              <w:rPr>
                <w:rFonts w:ascii="Arial"/>
                <w:sz w:val="21"/>
              </w:rPr>
            </w:pPr>
          </w:p>
        </w:tc>
        <w:tc>
          <w:tcPr>
            <w:tcW w:w="1897" w:type="dxa"/>
            <w:tcBorders>
              <w:right w:val="single" w:color="000000" w:sz="10" w:space="0"/>
            </w:tcBorders>
            <w:vAlign w:val="top"/>
          </w:tcPr>
          <w:p w14:paraId="16433149">
            <w:pPr>
              <w:rPr>
                <w:rFonts w:ascii="Arial"/>
                <w:sz w:val="21"/>
              </w:rPr>
            </w:pPr>
          </w:p>
        </w:tc>
      </w:tr>
      <w:tr w14:paraId="77E33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4" w:hRule="atLeast"/>
        </w:trPr>
        <w:tc>
          <w:tcPr>
            <w:tcW w:w="547" w:type="dxa"/>
            <w:tcBorders>
              <w:left w:val="single" w:color="000000" w:sz="10" w:space="0"/>
            </w:tcBorders>
            <w:vAlign w:val="top"/>
          </w:tcPr>
          <w:p w14:paraId="4C466E10">
            <w:pPr>
              <w:spacing w:line="246" w:lineRule="auto"/>
              <w:rPr>
                <w:rFonts w:ascii="Arial"/>
                <w:sz w:val="21"/>
              </w:rPr>
            </w:pPr>
          </w:p>
          <w:p w14:paraId="3428A143">
            <w:pPr>
              <w:spacing w:line="247" w:lineRule="auto"/>
              <w:rPr>
                <w:rFonts w:ascii="Arial"/>
                <w:sz w:val="21"/>
              </w:rPr>
            </w:pPr>
          </w:p>
          <w:p w14:paraId="3653A97F">
            <w:pPr>
              <w:spacing w:line="247" w:lineRule="auto"/>
              <w:rPr>
                <w:rFonts w:ascii="Arial"/>
                <w:sz w:val="21"/>
              </w:rPr>
            </w:pPr>
          </w:p>
          <w:p w14:paraId="08F79CBA">
            <w:pPr>
              <w:spacing w:line="247" w:lineRule="auto"/>
              <w:rPr>
                <w:rFonts w:ascii="Arial"/>
                <w:sz w:val="21"/>
              </w:rPr>
            </w:pPr>
          </w:p>
          <w:p w14:paraId="7ED9EA29">
            <w:pPr>
              <w:spacing w:line="247" w:lineRule="auto"/>
              <w:rPr>
                <w:rFonts w:ascii="Arial"/>
                <w:sz w:val="21"/>
              </w:rPr>
            </w:pPr>
          </w:p>
          <w:p w14:paraId="0802116D">
            <w:pPr>
              <w:spacing w:line="247" w:lineRule="auto"/>
              <w:rPr>
                <w:rFonts w:ascii="Arial"/>
                <w:sz w:val="21"/>
              </w:rPr>
            </w:pPr>
          </w:p>
          <w:p w14:paraId="7A81075D">
            <w:pPr>
              <w:spacing w:line="247" w:lineRule="auto"/>
              <w:rPr>
                <w:rFonts w:ascii="Arial"/>
                <w:sz w:val="21"/>
              </w:rPr>
            </w:pPr>
          </w:p>
          <w:p w14:paraId="54151BF2">
            <w:pPr>
              <w:spacing w:line="247" w:lineRule="auto"/>
              <w:rPr>
                <w:rFonts w:ascii="Arial"/>
                <w:sz w:val="21"/>
              </w:rPr>
            </w:pPr>
          </w:p>
          <w:p w14:paraId="2D67DB28">
            <w:pPr>
              <w:spacing w:line="247" w:lineRule="auto"/>
              <w:rPr>
                <w:rFonts w:ascii="Arial"/>
                <w:sz w:val="21"/>
              </w:rPr>
            </w:pPr>
          </w:p>
          <w:p w14:paraId="27289546">
            <w:pPr>
              <w:spacing w:line="247" w:lineRule="auto"/>
              <w:rPr>
                <w:rFonts w:ascii="Arial"/>
                <w:sz w:val="21"/>
              </w:rPr>
            </w:pPr>
          </w:p>
          <w:p w14:paraId="45A5063C">
            <w:pPr>
              <w:spacing w:line="247" w:lineRule="auto"/>
              <w:rPr>
                <w:rFonts w:ascii="Arial"/>
                <w:sz w:val="21"/>
              </w:rPr>
            </w:pPr>
          </w:p>
          <w:p w14:paraId="12009C42">
            <w:pPr>
              <w:spacing w:before="57" w:line="195" w:lineRule="auto"/>
              <w:ind w:left="17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11</w:t>
            </w:r>
          </w:p>
        </w:tc>
        <w:tc>
          <w:tcPr>
            <w:tcW w:w="1273" w:type="dxa"/>
            <w:vAlign w:val="top"/>
          </w:tcPr>
          <w:p w14:paraId="5C83FF73">
            <w:pPr>
              <w:rPr>
                <w:rFonts w:ascii="Arial"/>
                <w:sz w:val="21"/>
              </w:rPr>
            </w:pPr>
          </w:p>
          <w:p w14:paraId="75761ABB">
            <w:pPr>
              <w:rPr>
                <w:rFonts w:ascii="Arial"/>
                <w:sz w:val="21"/>
              </w:rPr>
            </w:pPr>
          </w:p>
          <w:p w14:paraId="7F405679">
            <w:pPr>
              <w:rPr>
                <w:rFonts w:ascii="Arial"/>
                <w:sz w:val="21"/>
              </w:rPr>
            </w:pPr>
          </w:p>
          <w:p w14:paraId="1DE71E2E">
            <w:pPr>
              <w:spacing w:line="241" w:lineRule="auto"/>
              <w:rPr>
                <w:rFonts w:ascii="Arial"/>
                <w:sz w:val="21"/>
              </w:rPr>
            </w:pPr>
          </w:p>
          <w:p w14:paraId="75802BEC">
            <w:pPr>
              <w:spacing w:line="241" w:lineRule="auto"/>
              <w:rPr>
                <w:rFonts w:ascii="Arial"/>
                <w:sz w:val="21"/>
              </w:rPr>
            </w:pPr>
          </w:p>
          <w:p w14:paraId="1641C5A4">
            <w:pPr>
              <w:spacing w:line="241" w:lineRule="auto"/>
              <w:rPr>
                <w:rFonts w:ascii="Arial"/>
                <w:sz w:val="21"/>
              </w:rPr>
            </w:pPr>
          </w:p>
          <w:p w14:paraId="3D6BB768">
            <w:pPr>
              <w:spacing w:line="241" w:lineRule="auto"/>
              <w:rPr>
                <w:rFonts w:ascii="Arial"/>
                <w:sz w:val="21"/>
              </w:rPr>
            </w:pPr>
          </w:p>
          <w:p w14:paraId="0395E7A6">
            <w:pPr>
              <w:spacing w:line="241" w:lineRule="auto"/>
              <w:rPr>
                <w:rFonts w:ascii="Arial"/>
                <w:sz w:val="21"/>
              </w:rPr>
            </w:pPr>
          </w:p>
          <w:p w14:paraId="12700C21">
            <w:pPr>
              <w:spacing w:line="241" w:lineRule="auto"/>
              <w:rPr>
                <w:rFonts w:ascii="Arial"/>
                <w:sz w:val="21"/>
              </w:rPr>
            </w:pPr>
          </w:p>
          <w:p w14:paraId="57EF2A57">
            <w:pPr>
              <w:pStyle w:val="6"/>
              <w:spacing w:before="62" w:line="252" w:lineRule="auto"/>
              <w:ind w:left="57" w:right="42" w:firstLine="79"/>
              <w:rPr>
                <w:sz w:val="19"/>
                <w:szCs w:val="19"/>
              </w:rPr>
            </w:pPr>
            <w:r>
              <w:rPr>
                <w:spacing w:val="7"/>
                <w:sz w:val="19"/>
                <w:szCs w:val="19"/>
              </w:rPr>
              <w:t>《全国主体</w:t>
            </w:r>
            <w:r>
              <w:rPr>
                <w:sz w:val="19"/>
                <w:szCs w:val="19"/>
              </w:rPr>
              <w:t xml:space="preserve">  </w:t>
            </w:r>
            <w:r>
              <w:rPr>
                <w:spacing w:val="4"/>
                <w:sz w:val="19"/>
                <w:szCs w:val="19"/>
              </w:rPr>
              <w:t>功能区规划》</w:t>
            </w:r>
          </w:p>
          <w:p w14:paraId="2E48F318">
            <w:pPr>
              <w:pStyle w:val="6"/>
              <w:spacing w:line="232" w:lineRule="auto"/>
              <w:ind w:left="341"/>
              <w:rPr>
                <w:sz w:val="19"/>
                <w:szCs w:val="19"/>
              </w:rPr>
            </w:pPr>
            <w:r>
              <w:rPr>
                <w:spacing w:val="4"/>
                <w:sz w:val="19"/>
                <w:szCs w:val="19"/>
              </w:rPr>
              <w:t>（国发</w:t>
            </w:r>
          </w:p>
          <w:p w14:paraId="533C1C2B">
            <w:pPr>
              <w:pStyle w:val="6"/>
              <w:spacing w:before="19" w:line="250" w:lineRule="exact"/>
              <w:ind w:left="159"/>
              <w:rPr>
                <w:rFonts w:ascii="Times New Roman" w:hAnsi="Times New Roman" w:eastAsia="Times New Roman" w:cs="Times New Roman"/>
                <w:sz w:val="19"/>
                <w:szCs w:val="19"/>
              </w:rPr>
            </w:pPr>
            <w:r>
              <w:rPr>
                <w:spacing w:val="1"/>
                <w:position w:val="1"/>
                <w:sz w:val="19"/>
                <w:szCs w:val="19"/>
              </w:rPr>
              <w:t>〔</w:t>
            </w:r>
            <w:r>
              <w:rPr>
                <w:rFonts w:ascii="Times New Roman" w:hAnsi="Times New Roman" w:eastAsia="Times New Roman" w:cs="Times New Roman"/>
                <w:spacing w:val="1"/>
                <w:position w:val="1"/>
                <w:sz w:val="19"/>
                <w:szCs w:val="19"/>
              </w:rPr>
              <w:t>2010</w:t>
            </w:r>
            <w:r>
              <w:rPr>
                <w:spacing w:val="1"/>
                <w:position w:val="1"/>
                <w:sz w:val="19"/>
                <w:szCs w:val="19"/>
              </w:rPr>
              <w:t>〕</w:t>
            </w:r>
            <w:r>
              <w:rPr>
                <w:rFonts w:ascii="Times New Roman" w:hAnsi="Times New Roman" w:eastAsia="Times New Roman" w:cs="Times New Roman"/>
                <w:spacing w:val="1"/>
                <w:position w:val="1"/>
                <w:sz w:val="19"/>
                <w:szCs w:val="19"/>
              </w:rPr>
              <w:t>46</w:t>
            </w:r>
          </w:p>
          <w:p w14:paraId="40C56D2B">
            <w:pPr>
              <w:pStyle w:val="6"/>
              <w:spacing w:before="9" w:line="233" w:lineRule="auto"/>
              <w:ind w:left="442"/>
              <w:rPr>
                <w:sz w:val="19"/>
                <w:szCs w:val="19"/>
              </w:rPr>
            </w:pPr>
            <w:r>
              <w:rPr>
                <w:spacing w:val="-5"/>
                <w:sz w:val="19"/>
                <w:szCs w:val="19"/>
              </w:rPr>
              <w:t>号）</w:t>
            </w:r>
          </w:p>
        </w:tc>
        <w:tc>
          <w:tcPr>
            <w:tcW w:w="6289" w:type="dxa"/>
            <w:vAlign w:val="top"/>
          </w:tcPr>
          <w:p w14:paraId="67B789BA">
            <w:pPr>
              <w:pStyle w:val="6"/>
              <w:spacing w:before="38" w:line="251" w:lineRule="auto"/>
              <w:ind w:left="54" w:right="50" w:firstLine="360"/>
              <w:jc w:val="both"/>
              <w:rPr>
                <w:sz w:val="19"/>
                <w:szCs w:val="19"/>
              </w:rPr>
            </w:pPr>
            <w:r>
              <w:rPr>
                <w:spacing w:val="10"/>
                <w:sz w:val="19"/>
                <w:szCs w:val="19"/>
              </w:rPr>
              <w:t>将我国国土空间按开发方式分为优化开发区域、重点开发区域、限</w:t>
            </w:r>
            <w:r>
              <w:rPr>
                <w:spacing w:val="16"/>
                <w:sz w:val="19"/>
                <w:szCs w:val="19"/>
              </w:rPr>
              <w:t xml:space="preserve"> </w:t>
            </w:r>
            <w:r>
              <w:rPr>
                <w:spacing w:val="9"/>
                <w:sz w:val="19"/>
                <w:szCs w:val="19"/>
              </w:rPr>
              <w:t>制开发区域和禁止开发区域。禁止开发区包括国家级自然保护区、世界</w:t>
            </w:r>
            <w:r>
              <w:rPr>
                <w:spacing w:val="8"/>
                <w:sz w:val="19"/>
                <w:szCs w:val="19"/>
              </w:rPr>
              <w:t xml:space="preserve"> </w:t>
            </w:r>
            <w:r>
              <w:rPr>
                <w:spacing w:val="5"/>
                <w:sz w:val="19"/>
                <w:szCs w:val="19"/>
              </w:rPr>
              <w:t>文化自然遗产、</w:t>
            </w:r>
            <w:r>
              <w:rPr>
                <w:spacing w:val="-53"/>
                <w:sz w:val="19"/>
                <w:szCs w:val="19"/>
              </w:rPr>
              <w:t xml:space="preserve"> </w:t>
            </w:r>
            <w:r>
              <w:rPr>
                <w:spacing w:val="5"/>
                <w:sz w:val="19"/>
                <w:szCs w:val="19"/>
              </w:rPr>
              <w:t>国家级风景名胜区、</w:t>
            </w:r>
            <w:r>
              <w:rPr>
                <w:spacing w:val="-53"/>
                <w:sz w:val="19"/>
                <w:szCs w:val="19"/>
              </w:rPr>
              <w:t xml:space="preserve"> </w:t>
            </w:r>
            <w:r>
              <w:rPr>
                <w:spacing w:val="5"/>
                <w:sz w:val="19"/>
                <w:szCs w:val="19"/>
              </w:rPr>
              <w:t>国家森林公园、</w:t>
            </w:r>
            <w:r>
              <w:rPr>
                <w:spacing w:val="-51"/>
                <w:sz w:val="19"/>
                <w:szCs w:val="19"/>
              </w:rPr>
              <w:t xml:space="preserve"> </w:t>
            </w:r>
            <w:r>
              <w:rPr>
                <w:spacing w:val="5"/>
                <w:sz w:val="19"/>
                <w:szCs w:val="19"/>
              </w:rPr>
              <w:t>国家</w:t>
            </w:r>
            <w:r>
              <w:rPr>
                <w:spacing w:val="4"/>
                <w:sz w:val="19"/>
                <w:szCs w:val="19"/>
              </w:rPr>
              <w:t>地质公园。</w:t>
            </w:r>
          </w:p>
          <w:p w14:paraId="7EF1D6EE">
            <w:pPr>
              <w:pStyle w:val="6"/>
              <w:spacing w:before="1" w:line="252" w:lineRule="auto"/>
              <w:ind w:left="54" w:right="48" w:firstLine="372"/>
              <w:rPr>
                <w:sz w:val="19"/>
                <w:szCs w:val="19"/>
              </w:rPr>
            </w:pPr>
            <w:r>
              <w:rPr>
                <w:spacing w:val="10"/>
                <w:sz w:val="19"/>
                <w:szCs w:val="19"/>
              </w:rPr>
              <w:t>限制开发区包括三峡库区水土保持生态功能区（巫山县、奉节县、</w:t>
            </w:r>
            <w:r>
              <w:rPr>
                <w:spacing w:val="7"/>
                <w:sz w:val="19"/>
                <w:szCs w:val="19"/>
              </w:rPr>
              <w:t xml:space="preserve"> </w:t>
            </w:r>
            <w:r>
              <w:rPr>
                <w:spacing w:val="9"/>
                <w:sz w:val="19"/>
                <w:szCs w:val="19"/>
              </w:rPr>
              <w:t>云阳县）</w:t>
            </w:r>
            <w:r>
              <w:rPr>
                <w:spacing w:val="67"/>
                <w:w w:val="101"/>
                <w:sz w:val="19"/>
                <w:szCs w:val="19"/>
              </w:rPr>
              <w:t xml:space="preserve"> </w:t>
            </w:r>
            <w:r>
              <w:rPr>
                <w:spacing w:val="9"/>
                <w:sz w:val="19"/>
                <w:szCs w:val="19"/>
              </w:rPr>
              <w:t>、秦巴生物多样性生态功能区（巫溪县、城口县）</w:t>
            </w:r>
            <w:r>
              <w:rPr>
                <w:spacing w:val="-51"/>
                <w:sz w:val="19"/>
                <w:szCs w:val="19"/>
              </w:rPr>
              <w:t xml:space="preserve"> </w:t>
            </w:r>
            <w:r>
              <w:rPr>
                <w:spacing w:val="9"/>
                <w:sz w:val="19"/>
                <w:szCs w:val="19"/>
              </w:rPr>
              <w:t>、武陵山</w:t>
            </w:r>
            <w:r>
              <w:rPr>
                <w:sz w:val="19"/>
                <w:szCs w:val="19"/>
              </w:rPr>
              <w:t xml:space="preserve"> </w:t>
            </w:r>
            <w:r>
              <w:rPr>
                <w:spacing w:val="9"/>
                <w:sz w:val="19"/>
                <w:szCs w:val="19"/>
              </w:rPr>
              <w:t>区生物多样性与水土保持生态功能区（酉阳县、彭水县、秀山县、武隆</w:t>
            </w:r>
            <w:r>
              <w:rPr>
                <w:spacing w:val="8"/>
                <w:sz w:val="19"/>
                <w:szCs w:val="19"/>
              </w:rPr>
              <w:t xml:space="preserve"> </w:t>
            </w:r>
            <w:r>
              <w:rPr>
                <w:spacing w:val="9"/>
                <w:sz w:val="19"/>
                <w:szCs w:val="19"/>
              </w:rPr>
              <w:t>县、石柱县</w:t>
            </w:r>
            <w:r>
              <w:rPr>
                <w:spacing w:val="14"/>
                <w:sz w:val="19"/>
                <w:szCs w:val="19"/>
              </w:rPr>
              <w:t>），</w:t>
            </w:r>
            <w:r>
              <w:rPr>
                <w:spacing w:val="9"/>
                <w:sz w:val="19"/>
                <w:szCs w:val="19"/>
              </w:rPr>
              <w:t>该区域限制进行大规模高强度工业化城镇化开发</w:t>
            </w:r>
            <w:r>
              <w:rPr>
                <w:spacing w:val="8"/>
                <w:sz w:val="19"/>
                <w:szCs w:val="19"/>
              </w:rPr>
              <w:t>，要求</w:t>
            </w:r>
            <w:r>
              <w:rPr>
                <w:spacing w:val="1"/>
                <w:sz w:val="19"/>
                <w:szCs w:val="19"/>
              </w:rPr>
              <w:t xml:space="preserve"> </w:t>
            </w:r>
            <w:r>
              <w:rPr>
                <w:spacing w:val="9"/>
                <w:sz w:val="19"/>
                <w:szCs w:val="19"/>
              </w:rPr>
              <w:t>对各类开发活动进行严格管制，尽可能减少对自然生态系统的干扰，不</w:t>
            </w:r>
            <w:r>
              <w:rPr>
                <w:spacing w:val="8"/>
                <w:sz w:val="19"/>
                <w:szCs w:val="19"/>
              </w:rPr>
              <w:t xml:space="preserve"> </w:t>
            </w:r>
            <w:r>
              <w:rPr>
                <w:spacing w:val="9"/>
                <w:sz w:val="19"/>
                <w:szCs w:val="19"/>
              </w:rPr>
              <w:t>得损害生态系统的稳定和完整性；开发矿产资源、发展适宜产业和建设</w:t>
            </w:r>
            <w:r>
              <w:rPr>
                <w:spacing w:val="10"/>
                <w:sz w:val="19"/>
                <w:szCs w:val="19"/>
              </w:rPr>
              <w:t xml:space="preserve"> </w:t>
            </w:r>
            <w:r>
              <w:rPr>
                <w:spacing w:val="9"/>
                <w:sz w:val="19"/>
                <w:szCs w:val="19"/>
              </w:rPr>
              <w:t>基础设施，都要控制在尽可能小的空间范围之内，并做到天然草地、林</w:t>
            </w:r>
            <w:r>
              <w:rPr>
                <w:spacing w:val="8"/>
                <w:sz w:val="19"/>
                <w:szCs w:val="19"/>
              </w:rPr>
              <w:t xml:space="preserve"> </w:t>
            </w:r>
            <w:r>
              <w:rPr>
                <w:spacing w:val="9"/>
                <w:sz w:val="19"/>
                <w:szCs w:val="19"/>
              </w:rPr>
              <w:t>地、水库水面、河流水面、湖泊水面等绿色生态空间面积不减少；实行</w:t>
            </w:r>
            <w:r>
              <w:rPr>
                <w:spacing w:val="8"/>
                <w:sz w:val="19"/>
                <w:szCs w:val="19"/>
              </w:rPr>
              <w:t xml:space="preserve"> </w:t>
            </w:r>
            <w:r>
              <w:rPr>
                <w:spacing w:val="9"/>
                <w:sz w:val="19"/>
                <w:szCs w:val="19"/>
              </w:rPr>
              <w:t>更加严格的产业准入环境标准，严把项目准</w:t>
            </w:r>
            <w:r>
              <w:rPr>
                <w:spacing w:val="8"/>
                <w:sz w:val="19"/>
                <w:szCs w:val="19"/>
              </w:rPr>
              <w:t>入关。</w:t>
            </w:r>
          </w:p>
          <w:p w14:paraId="6A0CEDE4">
            <w:pPr>
              <w:pStyle w:val="6"/>
              <w:spacing w:before="2" w:line="246" w:lineRule="auto"/>
              <w:ind w:left="54" w:firstLine="361"/>
              <w:jc w:val="both"/>
              <w:rPr>
                <w:sz w:val="19"/>
                <w:szCs w:val="19"/>
              </w:rPr>
            </w:pPr>
            <w:r>
              <w:rPr>
                <w:spacing w:val="10"/>
                <w:sz w:val="19"/>
                <w:szCs w:val="19"/>
              </w:rPr>
              <w:t>在能源开发布局中，加快四川盆地天然气资源开发，有序开发煤炭</w:t>
            </w:r>
            <w:r>
              <w:rPr>
                <w:spacing w:val="11"/>
                <w:sz w:val="19"/>
                <w:szCs w:val="19"/>
              </w:rPr>
              <w:t xml:space="preserve"> </w:t>
            </w:r>
            <w:r>
              <w:rPr>
                <w:spacing w:val="8"/>
                <w:sz w:val="19"/>
                <w:szCs w:val="19"/>
              </w:rPr>
              <w:t>资源和建设坑</w:t>
            </w:r>
            <w:r>
              <w:rPr>
                <w:spacing w:val="-46"/>
                <w:sz w:val="19"/>
                <w:szCs w:val="19"/>
              </w:rPr>
              <w:t xml:space="preserve"> </w:t>
            </w:r>
            <w:r>
              <w:rPr>
                <w:spacing w:val="8"/>
                <w:sz w:val="19"/>
                <w:szCs w:val="19"/>
              </w:rPr>
              <w:t>口电站。产业政策要求在资源</w:t>
            </w:r>
            <w:r>
              <w:rPr>
                <w:spacing w:val="7"/>
                <w:sz w:val="19"/>
                <w:szCs w:val="19"/>
              </w:rPr>
              <w:t>环境承载能力和市场允许的</w:t>
            </w:r>
            <w:r>
              <w:rPr>
                <w:sz w:val="19"/>
                <w:szCs w:val="19"/>
              </w:rPr>
              <w:t xml:space="preserve"> </w:t>
            </w:r>
            <w:r>
              <w:rPr>
                <w:spacing w:val="9"/>
                <w:sz w:val="19"/>
                <w:szCs w:val="19"/>
              </w:rPr>
              <w:t>情况下，依托能源和矿产资源的资源加工业项目，优先在中西部国家重</w:t>
            </w:r>
            <w:r>
              <w:rPr>
                <w:spacing w:val="6"/>
                <w:sz w:val="19"/>
                <w:szCs w:val="19"/>
              </w:rPr>
              <w:t xml:space="preserve"> </w:t>
            </w:r>
            <w:r>
              <w:rPr>
                <w:spacing w:val="9"/>
                <w:sz w:val="19"/>
                <w:szCs w:val="19"/>
              </w:rPr>
              <w:t>点开发区域布局。环境政策方面要求优化开发区域要实行更严格的污染</w:t>
            </w:r>
            <w:r>
              <w:rPr>
                <w:spacing w:val="4"/>
                <w:sz w:val="19"/>
                <w:szCs w:val="19"/>
              </w:rPr>
              <w:t xml:space="preserve"> </w:t>
            </w:r>
            <w:r>
              <w:rPr>
                <w:spacing w:val="9"/>
                <w:sz w:val="19"/>
                <w:szCs w:val="19"/>
              </w:rPr>
              <w:t>物排放标准和总量控制指标，大幅度减少污染物排放。重点开发区域要</w:t>
            </w:r>
            <w:r>
              <w:rPr>
                <w:spacing w:val="4"/>
                <w:sz w:val="19"/>
                <w:szCs w:val="19"/>
              </w:rPr>
              <w:t xml:space="preserve"> </w:t>
            </w:r>
            <w:r>
              <w:rPr>
                <w:spacing w:val="9"/>
                <w:sz w:val="19"/>
                <w:szCs w:val="19"/>
              </w:rPr>
              <w:t>结合环境容量，实行严格的污染物排放总量控制指标，较大幅度减少污</w:t>
            </w:r>
            <w:r>
              <w:rPr>
                <w:spacing w:val="4"/>
                <w:sz w:val="19"/>
                <w:szCs w:val="19"/>
              </w:rPr>
              <w:t xml:space="preserve"> </w:t>
            </w:r>
            <w:r>
              <w:rPr>
                <w:spacing w:val="9"/>
                <w:sz w:val="19"/>
                <w:szCs w:val="19"/>
              </w:rPr>
              <w:t>染物排放量。限制开发区域要通过治理、限制或关闭污染物排放企业等</w:t>
            </w:r>
            <w:r>
              <w:rPr>
                <w:spacing w:val="4"/>
                <w:sz w:val="19"/>
                <w:szCs w:val="19"/>
              </w:rPr>
              <w:t xml:space="preserve"> </w:t>
            </w:r>
            <w:r>
              <w:rPr>
                <w:spacing w:val="9"/>
                <w:sz w:val="19"/>
                <w:szCs w:val="19"/>
              </w:rPr>
              <w:t>措施，实现污染物排放总量持续下降和环境质量状况达标。禁止开发区</w:t>
            </w:r>
            <w:r>
              <w:rPr>
                <w:spacing w:val="4"/>
                <w:sz w:val="19"/>
                <w:szCs w:val="19"/>
              </w:rPr>
              <w:t xml:space="preserve"> </w:t>
            </w:r>
            <w:r>
              <w:rPr>
                <w:spacing w:val="5"/>
                <w:sz w:val="19"/>
                <w:szCs w:val="19"/>
              </w:rPr>
              <w:t>域要依法关闭所有污染物排放企业，确保污染物</w:t>
            </w:r>
            <w:r>
              <w:rPr>
                <w:rFonts w:ascii="Times New Roman" w:hAnsi="Times New Roman" w:eastAsia="Times New Roman" w:cs="Times New Roman"/>
                <w:spacing w:val="5"/>
                <w:sz w:val="19"/>
                <w:szCs w:val="19"/>
              </w:rPr>
              <w:t>“</w:t>
            </w:r>
            <w:r>
              <w:rPr>
                <w:spacing w:val="5"/>
                <w:sz w:val="19"/>
                <w:szCs w:val="19"/>
              </w:rPr>
              <w:t>零排放</w:t>
            </w:r>
            <w:r>
              <w:rPr>
                <w:rFonts w:ascii="Times New Roman" w:hAnsi="Times New Roman" w:eastAsia="Times New Roman" w:cs="Times New Roman"/>
                <w:spacing w:val="5"/>
                <w:sz w:val="19"/>
                <w:szCs w:val="19"/>
              </w:rPr>
              <w:t>”</w:t>
            </w:r>
            <w:r>
              <w:rPr>
                <w:spacing w:val="5"/>
                <w:sz w:val="19"/>
                <w:szCs w:val="19"/>
              </w:rPr>
              <w:t xml:space="preserve">，难以关闭的， </w:t>
            </w:r>
            <w:r>
              <w:rPr>
                <w:spacing w:val="6"/>
                <w:sz w:val="19"/>
                <w:szCs w:val="19"/>
              </w:rPr>
              <w:t>必须限期迁出。</w:t>
            </w:r>
          </w:p>
        </w:tc>
        <w:tc>
          <w:tcPr>
            <w:tcW w:w="4465" w:type="dxa"/>
            <w:vMerge w:val="restart"/>
            <w:tcBorders>
              <w:bottom w:val="nil"/>
            </w:tcBorders>
            <w:vAlign w:val="top"/>
          </w:tcPr>
          <w:p w14:paraId="084EDD80">
            <w:pPr>
              <w:spacing w:line="244" w:lineRule="auto"/>
              <w:rPr>
                <w:rFonts w:ascii="Arial"/>
                <w:sz w:val="21"/>
              </w:rPr>
            </w:pPr>
          </w:p>
          <w:p w14:paraId="07D93A51">
            <w:pPr>
              <w:spacing w:line="244" w:lineRule="auto"/>
              <w:rPr>
                <w:rFonts w:ascii="Arial"/>
                <w:sz w:val="21"/>
              </w:rPr>
            </w:pPr>
          </w:p>
          <w:p w14:paraId="05B3C874">
            <w:pPr>
              <w:spacing w:line="244" w:lineRule="auto"/>
              <w:rPr>
                <w:rFonts w:ascii="Arial"/>
                <w:sz w:val="21"/>
              </w:rPr>
            </w:pPr>
          </w:p>
          <w:p w14:paraId="32AD02A2">
            <w:pPr>
              <w:spacing w:line="244" w:lineRule="auto"/>
              <w:rPr>
                <w:rFonts w:ascii="Arial"/>
                <w:sz w:val="21"/>
              </w:rPr>
            </w:pPr>
          </w:p>
          <w:p w14:paraId="7163B71F">
            <w:pPr>
              <w:spacing w:line="244" w:lineRule="auto"/>
              <w:rPr>
                <w:rFonts w:ascii="Arial"/>
                <w:sz w:val="21"/>
              </w:rPr>
            </w:pPr>
          </w:p>
          <w:p w14:paraId="6D2F07CC">
            <w:pPr>
              <w:spacing w:line="244" w:lineRule="auto"/>
              <w:rPr>
                <w:rFonts w:ascii="Arial"/>
                <w:sz w:val="21"/>
              </w:rPr>
            </w:pPr>
          </w:p>
          <w:p w14:paraId="294026E3">
            <w:pPr>
              <w:spacing w:line="244" w:lineRule="auto"/>
              <w:rPr>
                <w:rFonts w:ascii="Arial"/>
                <w:sz w:val="21"/>
              </w:rPr>
            </w:pPr>
          </w:p>
          <w:p w14:paraId="41274D20">
            <w:pPr>
              <w:spacing w:line="244" w:lineRule="auto"/>
              <w:rPr>
                <w:rFonts w:ascii="Arial"/>
                <w:sz w:val="21"/>
              </w:rPr>
            </w:pPr>
          </w:p>
          <w:p w14:paraId="1554EE3D">
            <w:pPr>
              <w:pStyle w:val="6"/>
              <w:spacing w:before="62" w:line="252" w:lineRule="auto"/>
              <w:ind w:left="65" w:right="41" w:firstLine="363"/>
              <w:jc w:val="both"/>
              <w:rPr>
                <w:sz w:val="19"/>
                <w:szCs w:val="19"/>
              </w:rPr>
            </w:pPr>
            <w:r>
              <w:rPr>
                <w:spacing w:val="9"/>
                <w:sz w:val="19"/>
                <w:szCs w:val="19"/>
              </w:rPr>
              <w:t>黔江区位于武陵山区生物多样性保护与水源涵</w:t>
            </w:r>
            <w:r>
              <w:rPr>
                <w:spacing w:val="7"/>
                <w:sz w:val="19"/>
                <w:szCs w:val="19"/>
              </w:rPr>
              <w:t xml:space="preserve"> 养重要区。《规划》明确了准入条件，包括规划准</w:t>
            </w:r>
            <w:r>
              <w:rPr>
                <w:spacing w:val="17"/>
                <w:sz w:val="19"/>
                <w:szCs w:val="19"/>
              </w:rPr>
              <w:t xml:space="preserve"> </w:t>
            </w:r>
            <w:r>
              <w:rPr>
                <w:spacing w:val="7"/>
                <w:sz w:val="19"/>
                <w:szCs w:val="19"/>
              </w:rPr>
              <w:t>入、空间准入、开采规模准入、资格准入、技术准</w:t>
            </w:r>
            <w:r>
              <w:rPr>
                <w:spacing w:val="17"/>
                <w:sz w:val="19"/>
                <w:szCs w:val="19"/>
              </w:rPr>
              <w:t xml:space="preserve"> </w:t>
            </w:r>
            <w:r>
              <w:rPr>
                <w:spacing w:val="7"/>
                <w:sz w:val="19"/>
                <w:szCs w:val="19"/>
              </w:rPr>
              <w:t>入、绿色准入、矿区生态保护修复准入等。提出生</w:t>
            </w:r>
            <w:r>
              <w:rPr>
                <w:spacing w:val="17"/>
                <w:sz w:val="19"/>
                <w:szCs w:val="19"/>
              </w:rPr>
              <w:t xml:space="preserve"> </w:t>
            </w:r>
            <w:r>
              <w:rPr>
                <w:spacing w:val="7"/>
                <w:sz w:val="19"/>
                <w:szCs w:val="19"/>
              </w:rPr>
              <w:t>态优先，绿色发展。坚守环境质量底线、资源利用</w:t>
            </w:r>
            <w:r>
              <w:rPr>
                <w:spacing w:val="17"/>
                <w:sz w:val="19"/>
                <w:szCs w:val="19"/>
              </w:rPr>
              <w:t xml:space="preserve"> </w:t>
            </w:r>
            <w:r>
              <w:rPr>
                <w:spacing w:val="8"/>
                <w:sz w:val="19"/>
                <w:szCs w:val="19"/>
              </w:rPr>
              <w:t>上线，合理控制资源开发利用强度。本次评价的</w:t>
            </w:r>
            <w:r>
              <w:rPr>
                <w:spacing w:val="-21"/>
                <w:sz w:val="19"/>
                <w:szCs w:val="19"/>
              </w:rPr>
              <w:t xml:space="preserve"> </w:t>
            </w:r>
            <w:r>
              <w:rPr>
                <w:rFonts w:ascii="Times New Roman" w:hAnsi="Times New Roman" w:eastAsia="Times New Roman" w:cs="Times New Roman"/>
                <w:spacing w:val="8"/>
                <w:sz w:val="19"/>
                <w:szCs w:val="19"/>
              </w:rPr>
              <w:t>3</w:t>
            </w:r>
            <w:r>
              <w:rPr>
                <w:rFonts w:ascii="Times New Roman" w:hAnsi="Times New Roman" w:eastAsia="Times New Roman" w:cs="Times New Roman"/>
                <w:sz w:val="19"/>
                <w:szCs w:val="19"/>
              </w:rPr>
              <w:t xml:space="preserve"> </w:t>
            </w:r>
            <w:r>
              <w:rPr>
                <w:spacing w:val="5"/>
                <w:sz w:val="19"/>
                <w:szCs w:val="19"/>
              </w:rPr>
              <w:t>个勘查区块和</w:t>
            </w:r>
            <w:r>
              <w:rPr>
                <w:spacing w:val="-2"/>
                <w:sz w:val="19"/>
                <w:szCs w:val="19"/>
              </w:rPr>
              <w:t xml:space="preserve"> </w:t>
            </w:r>
            <w:r>
              <w:rPr>
                <w:rFonts w:ascii="Times New Roman" w:hAnsi="Times New Roman" w:eastAsia="Times New Roman" w:cs="Times New Roman"/>
                <w:spacing w:val="5"/>
                <w:sz w:val="19"/>
                <w:szCs w:val="19"/>
              </w:rPr>
              <w:t>1</w:t>
            </w:r>
            <w:r>
              <w:rPr>
                <w:rFonts w:ascii="Times New Roman" w:hAnsi="Times New Roman" w:eastAsia="Times New Roman" w:cs="Times New Roman"/>
                <w:spacing w:val="15"/>
                <w:w w:val="101"/>
                <w:sz w:val="19"/>
                <w:szCs w:val="19"/>
              </w:rPr>
              <w:t xml:space="preserve"> </w:t>
            </w:r>
            <w:r>
              <w:rPr>
                <w:spacing w:val="5"/>
                <w:sz w:val="19"/>
                <w:szCs w:val="19"/>
              </w:rPr>
              <w:t>个开采区块均不占用自然保护区、</w:t>
            </w:r>
            <w:r>
              <w:rPr>
                <w:sz w:val="19"/>
                <w:szCs w:val="19"/>
              </w:rPr>
              <w:t xml:space="preserve"> </w:t>
            </w:r>
            <w:r>
              <w:rPr>
                <w:spacing w:val="8"/>
                <w:sz w:val="19"/>
                <w:szCs w:val="19"/>
              </w:rPr>
              <w:t>风景名胜区和国家森林公园等。符合。</w:t>
            </w:r>
          </w:p>
        </w:tc>
        <w:tc>
          <w:tcPr>
            <w:tcW w:w="1897" w:type="dxa"/>
            <w:tcBorders>
              <w:right w:val="single" w:color="000000" w:sz="10" w:space="0"/>
            </w:tcBorders>
            <w:vAlign w:val="top"/>
          </w:tcPr>
          <w:p w14:paraId="2417421A">
            <w:pPr>
              <w:spacing w:line="247" w:lineRule="auto"/>
              <w:rPr>
                <w:rFonts w:ascii="Arial"/>
                <w:sz w:val="21"/>
              </w:rPr>
            </w:pPr>
          </w:p>
          <w:p w14:paraId="0747366E">
            <w:pPr>
              <w:spacing w:line="247" w:lineRule="auto"/>
              <w:rPr>
                <w:rFonts w:ascii="Arial"/>
                <w:sz w:val="21"/>
              </w:rPr>
            </w:pPr>
          </w:p>
          <w:p w14:paraId="0600ED2C">
            <w:pPr>
              <w:spacing w:line="247" w:lineRule="auto"/>
              <w:rPr>
                <w:rFonts w:ascii="Arial"/>
                <w:sz w:val="21"/>
              </w:rPr>
            </w:pPr>
          </w:p>
          <w:p w14:paraId="0BEC7DCC">
            <w:pPr>
              <w:spacing w:line="247" w:lineRule="auto"/>
              <w:rPr>
                <w:rFonts w:ascii="Arial"/>
                <w:sz w:val="21"/>
              </w:rPr>
            </w:pPr>
          </w:p>
          <w:p w14:paraId="3453C9E3">
            <w:pPr>
              <w:spacing w:line="247" w:lineRule="auto"/>
              <w:rPr>
                <w:rFonts w:ascii="Arial"/>
                <w:sz w:val="21"/>
              </w:rPr>
            </w:pPr>
          </w:p>
          <w:p w14:paraId="77ECA2CC">
            <w:pPr>
              <w:spacing w:line="247" w:lineRule="auto"/>
              <w:rPr>
                <w:rFonts w:ascii="Arial"/>
                <w:sz w:val="21"/>
              </w:rPr>
            </w:pPr>
          </w:p>
          <w:p w14:paraId="1581B8E8">
            <w:pPr>
              <w:spacing w:line="247" w:lineRule="auto"/>
              <w:rPr>
                <w:rFonts w:ascii="Arial"/>
                <w:sz w:val="21"/>
              </w:rPr>
            </w:pPr>
          </w:p>
          <w:p w14:paraId="63D2ACF9">
            <w:pPr>
              <w:spacing w:line="247" w:lineRule="auto"/>
              <w:rPr>
                <w:rFonts w:ascii="Arial"/>
                <w:sz w:val="21"/>
              </w:rPr>
            </w:pPr>
          </w:p>
          <w:p w14:paraId="316D01FD">
            <w:pPr>
              <w:spacing w:line="248" w:lineRule="auto"/>
              <w:rPr>
                <w:rFonts w:ascii="Arial"/>
                <w:sz w:val="21"/>
              </w:rPr>
            </w:pPr>
          </w:p>
          <w:p w14:paraId="66AA66DE">
            <w:pPr>
              <w:spacing w:line="248" w:lineRule="auto"/>
              <w:rPr>
                <w:rFonts w:ascii="Arial"/>
                <w:sz w:val="21"/>
              </w:rPr>
            </w:pPr>
          </w:p>
          <w:p w14:paraId="1FC10E81">
            <w:pPr>
              <w:spacing w:line="248" w:lineRule="auto"/>
              <w:rPr>
                <w:rFonts w:ascii="Arial"/>
                <w:sz w:val="21"/>
              </w:rPr>
            </w:pPr>
          </w:p>
          <w:p w14:paraId="02073795">
            <w:pPr>
              <w:spacing w:before="54" w:line="199" w:lineRule="auto"/>
              <w:ind w:left="949"/>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r>
      <w:tr w14:paraId="2467B3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547" w:type="dxa"/>
            <w:tcBorders>
              <w:left w:val="single" w:color="000000" w:sz="10" w:space="0"/>
              <w:bottom w:val="single" w:color="000000" w:sz="10" w:space="0"/>
            </w:tcBorders>
            <w:vAlign w:val="top"/>
          </w:tcPr>
          <w:p w14:paraId="61C8EE42">
            <w:pPr>
              <w:spacing w:before="125" w:line="195" w:lineRule="auto"/>
              <w:ind w:left="17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1273" w:type="dxa"/>
            <w:tcBorders>
              <w:bottom w:val="single" w:color="000000" w:sz="10" w:space="0"/>
            </w:tcBorders>
            <w:vAlign w:val="top"/>
          </w:tcPr>
          <w:p w14:paraId="3C003EF5">
            <w:pPr>
              <w:pStyle w:val="6"/>
              <w:spacing w:before="94" w:line="233" w:lineRule="auto"/>
              <w:ind w:left="137"/>
              <w:rPr>
                <w:sz w:val="19"/>
                <w:szCs w:val="19"/>
              </w:rPr>
            </w:pPr>
            <w:r>
              <w:rPr>
                <w:spacing w:val="7"/>
                <w:sz w:val="19"/>
                <w:szCs w:val="19"/>
              </w:rPr>
              <w:t>《全国生态</w:t>
            </w:r>
          </w:p>
        </w:tc>
        <w:tc>
          <w:tcPr>
            <w:tcW w:w="6289" w:type="dxa"/>
            <w:tcBorders>
              <w:bottom w:val="single" w:color="000000" w:sz="10" w:space="0"/>
            </w:tcBorders>
            <w:vAlign w:val="top"/>
          </w:tcPr>
          <w:p w14:paraId="5C094F79">
            <w:pPr>
              <w:pStyle w:val="6"/>
              <w:spacing w:before="95" w:line="228" w:lineRule="auto"/>
              <w:ind w:left="421"/>
              <w:rPr>
                <w:sz w:val="19"/>
                <w:szCs w:val="19"/>
              </w:rPr>
            </w:pPr>
            <w:r>
              <w:rPr>
                <w:spacing w:val="9"/>
                <w:sz w:val="19"/>
                <w:szCs w:val="19"/>
              </w:rPr>
              <w:t>重庆市域涉及</w:t>
            </w:r>
            <w:r>
              <w:rPr>
                <w:spacing w:val="-24"/>
                <w:sz w:val="19"/>
                <w:szCs w:val="19"/>
              </w:rPr>
              <w:t xml:space="preserve"> </w:t>
            </w:r>
            <w:r>
              <w:rPr>
                <w:rFonts w:ascii="Times New Roman" w:hAnsi="Times New Roman" w:eastAsia="Times New Roman" w:cs="Times New Roman"/>
                <w:spacing w:val="9"/>
                <w:sz w:val="19"/>
                <w:szCs w:val="19"/>
              </w:rPr>
              <w:t>4</w:t>
            </w:r>
            <w:r>
              <w:rPr>
                <w:rFonts w:ascii="Times New Roman" w:hAnsi="Times New Roman" w:eastAsia="Times New Roman" w:cs="Times New Roman"/>
                <w:spacing w:val="16"/>
                <w:w w:val="101"/>
                <w:sz w:val="19"/>
                <w:szCs w:val="19"/>
              </w:rPr>
              <w:t xml:space="preserve"> </w:t>
            </w:r>
            <w:r>
              <w:rPr>
                <w:spacing w:val="9"/>
                <w:sz w:val="19"/>
                <w:szCs w:val="19"/>
              </w:rPr>
              <w:t>个重要功能区：大娄山区水源涵养与生物多样性保</w:t>
            </w:r>
          </w:p>
        </w:tc>
        <w:tc>
          <w:tcPr>
            <w:tcW w:w="4465" w:type="dxa"/>
            <w:vMerge w:val="continue"/>
            <w:tcBorders>
              <w:top w:val="nil"/>
              <w:bottom w:val="single" w:color="000000" w:sz="10" w:space="0"/>
            </w:tcBorders>
            <w:vAlign w:val="top"/>
          </w:tcPr>
          <w:p w14:paraId="33EB34B5">
            <w:pPr>
              <w:rPr>
                <w:rFonts w:ascii="Arial"/>
                <w:sz w:val="21"/>
              </w:rPr>
            </w:pPr>
          </w:p>
        </w:tc>
        <w:tc>
          <w:tcPr>
            <w:tcW w:w="1897" w:type="dxa"/>
            <w:tcBorders>
              <w:bottom w:val="single" w:color="000000" w:sz="10" w:space="0"/>
              <w:right w:val="single" w:color="000000" w:sz="10" w:space="0"/>
            </w:tcBorders>
            <w:vAlign w:val="top"/>
          </w:tcPr>
          <w:p w14:paraId="224A9C25">
            <w:pPr>
              <w:spacing w:before="126" w:line="199" w:lineRule="auto"/>
              <w:ind w:left="923"/>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r>
    </w:tbl>
    <w:p w14:paraId="334BF16C">
      <w:pPr>
        <w:pStyle w:val="2"/>
        <w:spacing w:line="189" w:lineRule="exact"/>
        <w:rPr>
          <w:sz w:val="16"/>
        </w:rPr>
      </w:pPr>
    </w:p>
    <w:p w14:paraId="0BFAF3DD">
      <w:pPr>
        <w:spacing w:line="189" w:lineRule="exact"/>
        <w:rPr>
          <w:sz w:val="16"/>
          <w:szCs w:val="16"/>
        </w:rPr>
        <w:sectPr>
          <w:footerReference r:id="rId75" w:type="default"/>
          <w:pgSz w:w="16839" w:h="11906"/>
          <w:pgMar w:top="1116" w:right="1023" w:bottom="1480" w:left="1317" w:header="683" w:footer="1318" w:gutter="0"/>
          <w:cols w:space="720" w:num="1"/>
        </w:sectPr>
      </w:pPr>
    </w:p>
    <w:p w14:paraId="1971F814">
      <w:pPr>
        <w:spacing w:before="229"/>
      </w:pPr>
    </w:p>
    <w:tbl>
      <w:tblPr>
        <w:tblStyle w:val="5"/>
        <w:tblW w:w="1447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7"/>
        <w:gridCol w:w="1273"/>
        <w:gridCol w:w="6289"/>
        <w:gridCol w:w="4465"/>
        <w:gridCol w:w="1897"/>
      </w:tblGrid>
      <w:tr w14:paraId="2F3CA0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547" w:type="dxa"/>
            <w:vMerge w:val="restart"/>
            <w:tcBorders>
              <w:top w:val="single" w:color="000000" w:sz="10" w:space="0"/>
              <w:left w:val="single" w:color="000000" w:sz="10" w:space="0"/>
              <w:bottom w:val="nil"/>
            </w:tcBorders>
            <w:vAlign w:val="top"/>
          </w:tcPr>
          <w:p w14:paraId="2E269C38">
            <w:pPr>
              <w:pStyle w:val="6"/>
              <w:spacing w:before="251" w:line="231" w:lineRule="auto"/>
              <w:ind w:left="69"/>
              <w:rPr>
                <w:sz w:val="19"/>
                <w:szCs w:val="19"/>
              </w:rPr>
            </w:pPr>
            <w:r>
              <w:rPr>
                <w:spacing w:val="2"/>
                <w:sz w:val="19"/>
                <w:szCs w:val="19"/>
              </w:rPr>
              <w:t>序号</w:t>
            </w:r>
          </w:p>
        </w:tc>
        <w:tc>
          <w:tcPr>
            <w:tcW w:w="7562" w:type="dxa"/>
            <w:gridSpan w:val="2"/>
            <w:tcBorders>
              <w:top w:val="single" w:color="000000" w:sz="10" w:space="0"/>
            </w:tcBorders>
            <w:vAlign w:val="top"/>
          </w:tcPr>
          <w:p w14:paraId="756DE0EE">
            <w:pPr>
              <w:pStyle w:val="6"/>
              <w:spacing w:before="75" w:line="231" w:lineRule="auto"/>
              <w:ind w:left="2908"/>
              <w:rPr>
                <w:sz w:val="19"/>
                <w:szCs w:val="19"/>
              </w:rPr>
            </w:pPr>
            <w:r>
              <w:rPr>
                <w:spacing w:val="5"/>
                <w:sz w:val="19"/>
                <w:szCs w:val="19"/>
              </w:rPr>
              <w:t>国家重大政策及规划</w:t>
            </w:r>
          </w:p>
        </w:tc>
        <w:tc>
          <w:tcPr>
            <w:tcW w:w="4465" w:type="dxa"/>
            <w:vMerge w:val="restart"/>
            <w:tcBorders>
              <w:top w:val="single" w:color="000000" w:sz="10" w:space="0"/>
              <w:bottom w:val="nil"/>
            </w:tcBorders>
            <w:vAlign w:val="top"/>
          </w:tcPr>
          <w:p w14:paraId="450EEBC0">
            <w:pPr>
              <w:pStyle w:val="6"/>
              <w:spacing w:before="250" w:line="229" w:lineRule="auto"/>
              <w:ind w:left="949"/>
              <w:rPr>
                <w:sz w:val="19"/>
                <w:szCs w:val="19"/>
              </w:rPr>
            </w:pPr>
            <w:r>
              <w:rPr>
                <w:spacing w:val="8"/>
                <w:sz w:val="19"/>
                <w:szCs w:val="19"/>
              </w:rPr>
              <w:t>本《规划调整》的符合性分析</w:t>
            </w:r>
          </w:p>
        </w:tc>
        <w:tc>
          <w:tcPr>
            <w:tcW w:w="1897" w:type="dxa"/>
            <w:vMerge w:val="restart"/>
            <w:tcBorders>
              <w:top w:val="single" w:color="000000" w:sz="10" w:space="0"/>
              <w:bottom w:val="nil"/>
              <w:right w:val="single" w:color="000000" w:sz="10" w:space="0"/>
            </w:tcBorders>
            <w:vAlign w:val="top"/>
          </w:tcPr>
          <w:p w14:paraId="7BB3DC3A">
            <w:pPr>
              <w:pStyle w:val="6"/>
              <w:spacing w:before="250" w:line="230" w:lineRule="auto"/>
              <w:ind w:left="373"/>
              <w:rPr>
                <w:sz w:val="19"/>
                <w:szCs w:val="19"/>
              </w:rPr>
            </w:pPr>
            <w:r>
              <w:rPr>
                <w:spacing w:val="5"/>
                <w:sz w:val="19"/>
                <w:szCs w:val="19"/>
              </w:rPr>
              <w:t>简要优化建议</w:t>
            </w:r>
          </w:p>
        </w:tc>
      </w:tr>
      <w:tr w14:paraId="737D1D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47" w:type="dxa"/>
            <w:vMerge w:val="continue"/>
            <w:tcBorders>
              <w:top w:val="nil"/>
              <w:left w:val="single" w:color="000000" w:sz="10" w:space="0"/>
            </w:tcBorders>
            <w:vAlign w:val="top"/>
          </w:tcPr>
          <w:p w14:paraId="7F34BCD2">
            <w:pPr>
              <w:rPr>
                <w:rFonts w:ascii="Arial"/>
                <w:sz w:val="21"/>
              </w:rPr>
            </w:pPr>
          </w:p>
        </w:tc>
        <w:tc>
          <w:tcPr>
            <w:tcW w:w="1273" w:type="dxa"/>
            <w:vAlign w:val="top"/>
          </w:tcPr>
          <w:p w14:paraId="00CB74BE">
            <w:pPr>
              <w:pStyle w:val="6"/>
              <w:spacing w:before="71" w:line="230" w:lineRule="auto"/>
              <w:ind w:left="438"/>
              <w:rPr>
                <w:sz w:val="19"/>
                <w:szCs w:val="19"/>
              </w:rPr>
            </w:pPr>
            <w:r>
              <w:rPr>
                <w:spacing w:val="2"/>
                <w:sz w:val="19"/>
                <w:szCs w:val="19"/>
              </w:rPr>
              <w:t>名称</w:t>
            </w:r>
          </w:p>
        </w:tc>
        <w:tc>
          <w:tcPr>
            <w:tcW w:w="6289" w:type="dxa"/>
            <w:vAlign w:val="top"/>
          </w:tcPr>
          <w:p w14:paraId="17650AC8">
            <w:pPr>
              <w:pStyle w:val="6"/>
              <w:spacing w:before="71" w:line="231" w:lineRule="auto"/>
              <w:ind w:left="2754"/>
              <w:rPr>
                <w:sz w:val="19"/>
                <w:szCs w:val="19"/>
              </w:rPr>
            </w:pPr>
            <w:r>
              <w:rPr>
                <w:spacing w:val="6"/>
                <w:sz w:val="19"/>
                <w:szCs w:val="19"/>
              </w:rPr>
              <w:t>相关内容</w:t>
            </w:r>
          </w:p>
        </w:tc>
        <w:tc>
          <w:tcPr>
            <w:tcW w:w="4465" w:type="dxa"/>
            <w:vMerge w:val="continue"/>
            <w:tcBorders>
              <w:top w:val="nil"/>
            </w:tcBorders>
            <w:vAlign w:val="top"/>
          </w:tcPr>
          <w:p w14:paraId="5BD3EFEA">
            <w:pPr>
              <w:rPr>
                <w:rFonts w:ascii="Arial"/>
                <w:sz w:val="21"/>
              </w:rPr>
            </w:pPr>
          </w:p>
        </w:tc>
        <w:tc>
          <w:tcPr>
            <w:tcW w:w="1897" w:type="dxa"/>
            <w:vMerge w:val="continue"/>
            <w:tcBorders>
              <w:top w:val="nil"/>
              <w:right w:val="single" w:color="000000" w:sz="10" w:space="0"/>
            </w:tcBorders>
            <w:vAlign w:val="top"/>
          </w:tcPr>
          <w:p w14:paraId="68313320">
            <w:pPr>
              <w:rPr>
                <w:rFonts w:ascii="Arial"/>
                <w:sz w:val="21"/>
              </w:rPr>
            </w:pPr>
          </w:p>
        </w:tc>
      </w:tr>
      <w:tr w14:paraId="4C94D3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4" w:hRule="atLeast"/>
        </w:trPr>
        <w:tc>
          <w:tcPr>
            <w:tcW w:w="547" w:type="dxa"/>
            <w:tcBorders>
              <w:left w:val="single" w:color="000000" w:sz="10" w:space="0"/>
            </w:tcBorders>
            <w:vAlign w:val="top"/>
          </w:tcPr>
          <w:p w14:paraId="2E856A52">
            <w:pPr>
              <w:rPr>
                <w:rFonts w:ascii="Arial"/>
                <w:sz w:val="21"/>
              </w:rPr>
            </w:pPr>
          </w:p>
        </w:tc>
        <w:tc>
          <w:tcPr>
            <w:tcW w:w="1273" w:type="dxa"/>
            <w:vAlign w:val="top"/>
          </w:tcPr>
          <w:p w14:paraId="7E927F1E">
            <w:pPr>
              <w:pStyle w:val="6"/>
              <w:spacing w:before="32" w:line="231" w:lineRule="auto"/>
              <w:ind w:left="57"/>
              <w:rPr>
                <w:sz w:val="19"/>
                <w:szCs w:val="19"/>
              </w:rPr>
            </w:pPr>
            <w:r>
              <w:rPr>
                <w:spacing w:val="1"/>
                <w:sz w:val="19"/>
                <w:szCs w:val="19"/>
              </w:rPr>
              <w:t>功能区划（修</w:t>
            </w:r>
          </w:p>
          <w:p w14:paraId="44C5C97A">
            <w:pPr>
              <w:pStyle w:val="6"/>
              <w:spacing w:before="22" w:line="231" w:lineRule="auto"/>
              <w:ind w:left="55"/>
              <w:rPr>
                <w:sz w:val="20"/>
                <w:szCs w:val="20"/>
              </w:rPr>
            </w:pPr>
            <w:r>
              <w:rPr>
                <w:spacing w:val="-2"/>
                <w:sz w:val="19"/>
                <w:szCs w:val="19"/>
              </w:rPr>
              <w:t>编版）》</w:t>
            </w:r>
            <w:r>
              <w:rPr>
                <w:spacing w:val="-2"/>
                <w:sz w:val="20"/>
                <w:szCs w:val="20"/>
              </w:rPr>
              <w:t>（环</w:t>
            </w:r>
          </w:p>
          <w:p w14:paraId="1FF5564C">
            <w:pPr>
              <w:pStyle w:val="6"/>
              <w:spacing w:before="19" w:line="252" w:lineRule="auto"/>
              <w:ind w:left="54" w:right="60" w:firstLine="2"/>
              <w:jc w:val="both"/>
              <w:rPr>
                <w:sz w:val="20"/>
                <w:szCs w:val="20"/>
              </w:rPr>
            </w:pPr>
            <w:r>
              <w:rPr>
                <w:spacing w:val="-9"/>
                <w:sz w:val="20"/>
                <w:szCs w:val="20"/>
              </w:rPr>
              <w:t>境保护部、中</w:t>
            </w:r>
            <w:r>
              <w:rPr>
                <w:spacing w:val="3"/>
                <w:sz w:val="20"/>
                <w:szCs w:val="20"/>
              </w:rPr>
              <w:t xml:space="preserve"> </w:t>
            </w:r>
            <w:r>
              <w:rPr>
                <w:spacing w:val="18"/>
                <w:sz w:val="20"/>
                <w:szCs w:val="20"/>
              </w:rPr>
              <w:t>国科学院公</w:t>
            </w:r>
            <w:r>
              <w:rPr>
                <w:spacing w:val="1"/>
                <w:sz w:val="20"/>
                <w:szCs w:val="20"/>
              </w:rPr>
              <w:t xml:space="preserve"> 告</w:t>
            </w:r>
            <w:r>
              <w:rPr>
                <w:spacing w:val="-42"/>
                <w:sz w:val="20"/>
                <w:szCs w:val="20"/>
              </w:rPr>
              <w:t xml:space="preserve"> </w:t>
            </w:r>
            <w:r>
              <w:rPr>
                <w:rFonts w:ascii="Times New Roman" w:hAnsi="Times New Roman" w:eastAsia="Times New Roman" w:cs="Times New Roman"/>
                <w:spacing w:val="1"/>
                <w:sz w:val="20"/>
                <w:szCs w:val="20"/>
              </w:rPr>
              <w:t>2015</w:t>
            </w:r>
            <w:r>
              <w:rPr>
                <w:rFonts w:ascii="Times New Roman" w:hAnsi="Times New Roman" w:eastAsia="Times New Roman" w:cs="Times New Roman"/>
                <w:spacing w:val="22"/>
                <w:sz w:val="20"/>
                <w:szCs w:val="20"/>
              </w:rPr>
              <w:t xml:space="preserve"> </w:t>
            </w:r>
            <w:r>
              <w:rPr>
                <w:spacing w:val="1"/>
                <w:sz w:val="20"/>
                <w:szCs w:val="20"/>
              </w:rPr>
              <w:t>年第</w:t>
            </w:r>
          </w:p>
          <w:p w14:paraId="06F77029">
            <w:pPr>
              <w:pStyle w:val="6"/>
              <w:spacing w:line="232" w:lineRule="auto"/>
              <w:ind w:left="291"/>
              <w:rPr>
                <w:sz w:val="20"/>
                <w:szCs w:val="20"/>
              </w:rPr>
            </w:pPr>
            <w:r>
              <w:rPr>
                <w:rFonts w:ascii="Times New Roman" w:hAnsi="Times New Roman" w:eastAsia="Times New Roman" w:cs="Times New Roman"/>
                <w:spacing w:val="-3"/>
                <w:sz w:val="20"/>
                <w:szCs w:val="20"/>
              </w:rPr>
              <w:t>61</w:t>
            </w:r>
            <w:r>
              <w:rPr>
                <w:rFonts w:ascii="Times New Roman" w:hAnsi="Times New Roman" w:eastAsia="Times New Roman" w:cs="Times New Roman"/>
                <w:spacing w:val="22"/>
                <w:w w:val="101"/>
                <w:sz w:val="20"/>
                <w:szCs w:val="20"/>
              </w:rPr>
              <w:t xml:space="preserve"> </w:t>
            </w:r>
            <w:r>
              <w:rPr>
                <w:spacing w:val="-3"/>
                <w:sz w:val="20"/>
                <w:szCs w:val="20"/>
              </w:rPr>
              <w:t>号）</w:t>
            </w:r>
          </w:p>
        </w:tc>
        <w:tc>
          <w:tcPr>
            <w:tcW w:w="6289" w:type="dxa"/>
            <w:vAlign w:val="top"/>
          </w:tcPr>
          <w:p w14:paraId="1D173601">
            <w:pPr>
              <w:pStyle w:val="6"/>
              <w:spacing w:before="31" w:line="252" w:lineRule="auto"/>
              <w:ind w:left="54" w:right="50"/>
              <w:jc w:val="both"/>
              <w:rPr>
                <w:sz w:val="19"/>
                <w:szCs w:val="19"/>
              </w:rPr>
            </w:pPr>
            <w:r>
              <w:rPr>
                <w:spacing w:val="9"/>
                <w:sz w:val="19"/>
                <w:szCs w:val="19"/>
              </w:rPr>
              <w:t xml:space="preserve">护重要区（江津、綦江）、秦岭－大巴山生物多样性保护与水源涵养重 </w:t>
            </w:r>
            <w:r>
              <w:rPr>
                <w:spacing w:val="8"/>
                <w:sz w:val="19"/>
                <w:szCs w:val="19"/>
              </w:rPr>
              <w:t>要区（城</w:t>
            </w:r>
            <w:r>
              <w:rPr>
                <w:spacing w:val="-46"/>
                <w:sz w:val="19"/>
                <w:szCs w:val="19"/>
              </w:rPr>
              <w:t xml:space="preserve"> </w:t>
            </w:r>
            <w:r>
              <w:rPr>
                <w:spacing w:val="8"/>
                <w:sz w:val="19"/>
                <w:szCs w:val="19"/>
              </w:rPr>
              <w:t>口、巫溪）、武陵山区生物多样性保护与</w:t>
            </w:r>
            <w:r>
              <w:rPr>
                <w:spacing w:val="7"/>
                <w:sz w:val="19"/>
                <w:szCs w:val="19"/>
              </w:rPr>
              <w:t>水源涵养重要区（黔</w:t>
            </w:r>
            <w:r>
              <w:rPr>
                <w:sz w:val="19"/>
                <w:szCs w:val="19"/>
              </w:rPr>
              <w:t xml:space="preserve"> </w:t>
            </w:r>
            <w:r>
              <w:rPr>
                <w:spacing w:val="8"/>
                <w:sz w:val="19"/>
                <w:szCs w:val="19"/>
              </w:rPr>
              <w:t>江、酉阳、秀山、彭水、石柱）</w:t>
            </w:r>
            <w:r>
              <w:rPr>
                <w:spacing w:val="-55"/>
                <w:sz w:val="19"/>
                <w:szCs w:val="19"/>
              </w:rPr>
              <w:t xml:space="preserve"> </w:t>
            </w:r>
            <w:r>
              <w:rPr>
                <w:spacing w:val="8"/>
                <w:sz w:val="19"/>
                <w:szCs w:val="19"/>
              </w:rPr>
              <w:t>、三峡库区土壤保持重要区（巫山、巫</w:t>
            </w:r>
            <w:r>
              <w:rPr>
                <w:sz w:val="19"/>
                <w:szCs w:val="19"/>
              </w:rPr>
              <w:t xml:space="preserve"> </w:t>
            </w:r>
            <w:r>
              <w:rPr>
                <w:spacing w:val="9"/>
                <w:sz w:val="19"/>
                <w:szCs w:val="19"/>
              </w:rPr>
              <w:t xml:space="preserve">溪、奉节、云阳、开州区、万州、忠县、丰都、涪陵、武隆、南川、长 </w:t>
            </w:r>
            <w:r>
              <w:rPr>
                <w:spacing w:val="4"/>
                <w:sz w:val="19"/>
                <w:szCs w:val="19"/>
              </w:rPr>
              <w:t>寿、渝北、</w:t>
            </w:r>
            <w:r>
              <w:rPr>
                <w:spacing w:val="-41"/>
                <w:sz w:val="19"/>
                <w:szCs w:val="19"/>
              </w:rPr>
              <w:t xml:space="preserve"> </w:t>
            </w:r>
            <w:r>
              <w:rPr>
                <w:spacing w:val="4"/>
                <w:sz w:val="19"/>
                <w:szCs w:val="19"/>
              </w:rPr>
              <w:t>巴南等，面积</w:t>
            </w:r>
            <w:r>
              <w:rPr>
                <w:spacing w:val="-41"/>
                <w:sz w:val="19"/>
                <w:szCs w:val="19"/>
              </w:rPr>
              <w:t xml:space="preserve"> </w:t>
            </w:r>
            <w:r>
              <w:rPr>
                <w:rFonts w:ascii="Times New Roman" w:hAnsi="Times New Roman" w:eastAsia="Times New Roman" w:cs="Times New Roman"/>
                <w:spacing w:val="4"/>
                <w:sz w:val="19"/>
                <w:szCs w:val="19"/>
              </w:rPr>
              <w:t>48555</w:t>
            </w:r>
            <w:r>
              <w:rPr>
                <w:rFonts w:ascii="Times New Roman" w:hAnsi="Times New Roman" w:eastAsia="Times New Roman" w:cs="Times New Roman"/>
                <w:spacing w:val="15"/>
                <w:sz w:val="19"/>
                <w:szCs w:val="19"/>
              </w:rPr>
              <w:t xml:space="preserve"> </w:t>
            </w:r>
            <w:r>
              <w:rPr>
                <w:spacing w:val="4"/>
                <w:sz w:val="19"/>
                <w:szCs w:val="19"/>
              </w:rPr>
              <w:t>平方公里）。</w:t>
            </w:r>
          </w:p>
          <w:p w14:paraId="51AC4C95">
            <w:pPr>
              <w:pStyle w:val="6"/>
              <w:spacing w:before="2" w:line="252" w:lineRule="auto"/>
              <w:ind w:left="57" w:firstLine="356"/>
              <w:jc w:val="both"/>
              <w:rPr>
                <w:sz w:val="19"/>
                <w:szCs w:val="19"/>
              </w:rPr>
            </w:pPr>
            <w:r>
              <w:rPr>
                <w:spacing w:val="10"/>
                <w:sz w:val="19"/>
                <w:szCs w:val="19"/>
              </w:rPr>
              <w:t>水源涵养生态功能区：限制或禁止各种损害生态系统水源涵养功能</w:t>
            </w:r>
            <w:r>
              <w:rPr>
                <w:spacing w:val="4"/>
                <w:sz w:val="19"/>
                <w:szCs w:val="19"/>
              </w:rPr>
              <w:t xml:space="preserve"> 的经济社会活动和生产方式，如无序采矿、毁林开荒、湿地和草地开垦、</w:t>
            </w:r>
            <w:r>
              <w:rPr>
                <w:spacing w:val="17"/>
                <w:sz w:val="19"/>
                <w:szCs w:val="19"/>
              </w:rPr>
              <w:t xml:space="preserve"> </w:t>
            </w:r>
            <w:r>
              <w:rPr>
                <w:spacing w:val="9"/>
                <w:sz w:val="19"/>
                <w:szCs w:val="19"/>
              </w:rPr>
              <w:t>过度放牧、道路建设等；控制水污染，减轻水污染负荷，</w:t>
            </w:r>
            <w:r>
              <w:rPr>
                <w:spacing w:val="8"/>
                <w:sz w:val="19"/>
                <w:szCs w:val="19"/>
              </w:rPr>
              <w:t>禁止导致水体</w:t>
            </w:r>
            <w:r>
              <w:rPr>
                <w:sz w:val="19"/>
                <w:szCs w:val="19"/>
              </w:rPr>
              <w:t xml:space="preserve"> </w:t>
            </w:r>
            <w:r>
              <w:rPr>
                <w:spacing w:val="8"/>
                <w:sz w:val="19"/>
                <w:szCs w:val="19"/>
              </w:rPr>
              <w:t>污染的产业发展，开展生态清洁小流域的建设。</w:t>
            </w:r>
          </w:p>
          <w:p w14:paraId="3AE2C98B">
            <w:pPr>
              <w:pStyle w:val="6"/>
              <w:spacing w:before="3" w:line="251" w:lineRule="auto"/>
              <w:ind w:left="54" w:firstLine="372"/>
              <w:rPr>
                <w:sz w:val="19"/>
                <w:szCs w:val="19"/>
              </w:rPr>
            </w:pPr>
            <w:r>
              <w:rPr>
                <w:spacing w:val="5"/>
                <w:sz w:val="19"/>
                <w:szCs w:val="19"/>
              </w:rPr>
              <w:t>生物多样性保护生态功能区：保护自然生态系统与重要物种栖息地，</w:t>
            </w:r>
            <w:r>
              <w:rPr>
                <w:spacing w:val="6"/>
                <w:sz w:val="19"/>
                <w:szCs w:val="19"/>
              </w:rPr>
              <w:t xml:space="preserve"> </w:t>
            </w:r>
            <w:r>
              <w:rPr>
                <w:spacing w:val="10"/>
                <w:sz w:val="19"/>
                <w:szCs w:val="19"/>
              </w:rPr>
              <w:t>限制或禁止各种损害栖息地的经济社会活动和生产方式，如无序采矿、</w:t>
            </w:r>
            <w:r>
              <w:rPr>
                <w:sz w:val="19"/>
                <w:szCs w:val="19"/>
              </w:rPr>
              <w:t xml:space="preserve"> </w:t>
            </w:r>
            <w:r>
              <w:rPr>
                <w:spacing w:val="9"/>
                <w:sz w:val="19"/>
                <w:szCs w:val="19"/>
              </w:rPr>
              <w:t>毁林开荒、湿地和草地开垦、道路建设等。防止生态建设导致栖息环境</w:t>
            </w:r>
            <w:r>
              <w:rPr>
                <w:spacing w:val="6"/>
                <w:sz w:val="19"/>
                <w:szCs w:val="19"/>
              </w:rPr>
              <w:t xml:space="preserve"> </w:t>
            </w:r>
            <w:r>
              <w:rPr>
                <w:spacing w:val="4"/>
                <w:sz w:val="19"/>
                <w:szCs w:val="19"/>
              </w:rPr>
              <w:t>的改变。</w:t>
            </w:r>
          </w:p>
          <w:p w14:paraId="4CDA49D5">
            <w:pPr>
              <w:pStyle w:val="6"/>
              <w:spacing w:line="228" w:lineRule="auto"/>
              <w:ind w:left="54" w:right="50" w:firstLine="362"/>
              <w:rPr>
                <w:sz w:val="19"/>
                <w:szCs w:val="19"/>
              </w:rPr>
            </w:pPr>
            <w:r>
              <w:rPr>
                <w:spacing w:val="10"/>
                <w:sz w:val="19"/>
                <w:szCs w:val="19"/>
              </w:rPr>
              <w:t>土壤保持生态功能区：严格资源开发和建设项目的生态监管，控制</w:t>
            </w:r>
            <w:r>
              <w:rPr>
                <w:spacing w:val="15"/>
                <w:sz w:val="19"/>
                <w:szCs w:val="19"/>
              </w:rPr>
              <w:t xml:space="preserve"> </w:t>
            </w:r>
            <w:r>
              <w:rPr>
                <w:spacing w:val="7"/>
                <w:sz w:val="19"/>
                <w:szCs w:val="19"/>
              </w:rPr>
              <w:t>新的人为水土流失。</w:t>
            </w:r>
          </w:p>
        </w:tc>
        <w:tc>
          <w:tcPr>
            <w:tcW w:w="4465" w:type="dxa"/>
            <w:vAlign w:val="top"/>
          </w:tcPr>
          <w:p w14:paraId="3E32317D">
            <w:pPr>
              <w:rPr>
                <w:rFonts w:ascii="Arial"/>
                <w:sz w:val="21"/>
              </w:rPr>
            </w:pPr>
          </w:p>
        </w:tc>
        <w:tc>
          <w:tcPr>
            <w:tcW w:w="1897" w:type="dxa"/>
            <w:tcBorders>
              <w:right w:val="single" w:color="000000" w:sz="10" w:space="0"/>
            </w:tcBorders>
            <w:vAlign w:val="top"/>
          </w:tcPr>
          <w:p w14:paraId="7F2005F9">
            <w:pPr>
              <w:rPr>
                <w:rFonts w:ascii="Arial"/>
                <w:sz w:val="21"/>
              </w:rPr>
            </w:pPr>
          </w:p>
        </w:tc>
      </w:tr>
      <w:tr w14:paraId="2F9BEE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8" w:hRule="atLeast"/>
        </w:trPr>
        <w:tc>
          <w:tcPr>
            <w:tcW w:w="547" w:type="dxa"/>
            <w:tcBorders>
              <w:left w:val="single" w:color="000000" w:sz="10" w:space="0"/>
            </w:tcBorders>
            <w:vAlign w:val="top"/>
          </w:tcPr>
          <w:p w14:paraId="79A34297">
            <w:pPr>
              <w:spacing w:line="265" w:lineRule="auto"/>
              <w:rPr>
                <w:rFonts w:ascii="Arial"/>
                <w:sz w:val="21"/>
              </w:rPr>
            </w:pPr>
          </w:p>
          <w:p w14:paraId="6155DDA9">
            <w:pPr>
              <w:spacing w:line="265" w:lineRule="auto"/>
              <w:rPr>
                <w:rFonts w:ascii="Arial"/>
                <w:sz w:val="21"/>
              </w:rPr>
            </w:pPr>
          </w:p>
          <w:p w14:paraId="701CD29B">
            <w:pPr>
              <w:spacing w:before="58" w:line="195" w:lineRule="auto"/>
              <w:ind w:left="17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1273" w:type="dxa"/>
            <w:vAlign w:val="top"/>
          </w:tcPr>
          <w:p w14:paraId="1F981EB8">
            <w:pPr>
              <w:pStyle w:val="6"/>
              <w:spacing w:before="154" w:line="231" w:lineRule="auto"/>
              <w:ind w:left="137"/>
              <w:rPr>
                <w:sz w:val="19"/>
                <w:szCs w:val="19"/>
              </w:rPr>
            </w:pPr>
            <w:r>
              <w:rPr>
                <w:spacing w:val="7"/>
                <w:sz w:val="19"/>
                <w:szCs w:val="19"/>
              </w:rPr>
              <w:t>《地下水管</w:t>
            </w:r>
          </w:p>
          <w:p w14:paraId="5FFDDD96">
            <w:pPr>
              <w:pStyle w:val="6"/>
              <w:spacing w:before="19" w:line="233" w:lineRule="auto"/>
              <w:ind w:left="55"/>
              <w:rPr>
                <w:sz w:val="20"/>
                <w:szCs w:val="20"/>
              </w:rPr>
            </w:pPr>
            <w:r>
              <w:rPr>
                <w:spacing w:val="-2"/>
                <w:sz w:val="19"/>
                <w:szCs w:val="19"/>
              </w:rPr>
              <w:t>理条例》</w:t>
            </w:r>
            <w:r>
              <w:rPr>
                <w:spacing w:val="-2"/>
                <w:sz w:val="20"/>
                <w:szCs w:val="20"/>
              </w:rPr>
              <w:t>（国</w:t>
            </w:r>
          </w:p>
          <w:p w14:paraId="1780E346">
            <w:pPr>
              <w:pStyle w:val="6"/>
              <w:spacing w:before="21" w:line="231" w:lineRule="auto"/>
              <w:ind w:left="223"/>
              <w:rPr>
                <w:sz w:val="20"/>
                <w:szCs w:val="20"/>
              </w:rPr>
            </w:pPr>
            <w:r>
              <w:rPr>
                <w:spacing w:val="4"/>
                <w:sz w:val="20"/>
                <w:szCs w:val="20"/>
              </w:rPr>
              <w:t>务院令第</w:t>
            </w:r>
          </w:p>
          <w:p w14:paraId="20B66ECF">
            <w:pPr>
              <w:pStyle w:val="6"/>
              <w:spacing w:before="21" w:line="232" w:lineRule="auto"/>
              <w:ind w:left="237"/>
              <w:rPr>
                <w:sz w:val="20"/>
                <w:szCs w:val="20"/>
              </w:rPr>
            </w:pPr>
            <w:r>
              <w:rPr>
                <w:rFonts w:ascii="Times New Roman" w:hAnsi="Times New Roman" w:eastAsia="Times New Roman" w:cs="Times New Roman"/>
                <w:spacing w:val="-1"/>
                <w:sz w:val="20"/>
                <w:szCs w:val="20"/>
              </w:rPr>
              <w:t>748</w:t>
            </w:r>
            <w:r>
              <w:rPr>
                <w:rFonts w:ascii="Times New Roman" w:hAnsi="Times New Roman" w:eastAsia="Times New Roman" w:cs="Times New Roman"/>
                <w:spacing w:val="22"/>
                <w:sz w:val="20"/>
                <w:szCs w:val="20"/>
              </w:rPr>
              <w:t xml:space="preserve"> </w:t>
            </w:r>
            <w:r>
              <w:rPr>
                <w:spacing w:val="-1"/>
                <w:sz w:val="20"/>
                <w:szCs w:val="20"/>
              </w:rPr>
              <w:t>号）</w:t>
            </w:r>
          </w:p>
        </w:tc>
        <w:tc>
          <w:tcPr>
            <w:tcW w:w="6289" w:type="dxa"/>
            <w:vAlign w:val="top"/>
          </w:tcPr>
          <w:p w14:paraId="13D0FF7E">
            <w:pPr>
              <w:pStyle w:val="6"/>
              <w:spacing w:before="303" w:line="252" w:lineRule="auto"/>
              <w:ind w:left="54" w:right="48" w:firstLine="369"/>
              <w:jc w:val="both"/>
              <w:rPr>
                <w:sz w:val="19"/>
                <w:szCs w:val="19"/>
              </w:rPr>
            </w:pPr>
            <w:r>
              <w:rPr>
                <w:spacing w:val="7"/>
                <w:sz w:val="19"/>
                <w:szCs w:val="19"/>
              </w:rPr>
              <w:t>第四十二条 在泉域保护范围以及岩溶强发育、存在较多落</w:t>
            </w:r>
            <w:r>
              <w:rPr>
                <w:spacing w:val="6"/>
                <w:sz w:val="19"/>
                <w:szCs w:val="19"/>
              </w:rPr>
              <w:t>水洞和岩</w:t>
            </w:r>
            <w:r>
              <w:rPr>
                <w:sz w:val="19"/>
                <w:szCs w:val="19"/>
              </w:rPr>
              <w:t xml:space="preserve"> </w:t>
            </w:r>
            <w:r>
              <w:rPr>
                <w:spacing w:val="9"/>
                <w:sz w:val="19"/>
                <w:szCs w:val="19"/>
              </w:rPr>
              <w:t>溶漏斗的区域内，不得新建、改建、扩建可能造成地下水污染的建设项</w:t>
            </w:r>
            <w:r>
              <w:rPr>
                <w:spacing w:val="11"/>
                <w:sz w:val="19"/>
                <w:szCs w:val="19"/>
              </w:rPr>
              <w:t xml:space="preserve"> </w:t>
            </w:r>
            <w:r>
              <w:rPr>
                <w:spacing w:val="-2"/>
                <w:sz w:val="19"/>
                <w:szCs w:val="19"/>
              </w:rPr>
              <w:t>目。</w:t>
            </w:r>
          </w:p>
        </w:tc>
        <w:tc>
          <w:tcPr>
            <w:tcW w:w="4465" w:type="dxa"/>
            <w:vAlign w:val="top"/>
          </w:tcPr>
          <w:p w14:paraId="3022DB88">
            <w:pPr>
              <w:pStyle w:val="6"/>
              <w:spacing w:before="42" w:line="242" w:lineRule="auto"/>
              <w:ind w:left="65" w:right="41" w:firstLine="360"/>
              <w:jc w:val="both"/>
              <w:rPr>
                <w:sz w:val="19"/>
                <w:szCs w:val="19"/>
              </w:rPr>
            </w:pPr>
            <w:r>
              <w:rPr>
                <w:spacing w:val="4"/>
                <w:sz w:val="19"/>
                <w:szCs w:val="19"/>
              </w:rPr>
              <w:t>规划调整的勘查区块</w:t>
            </w:r>
            <w:r>
              <w:rPr>
                <w:spacing w:val="-32"/>
                <w:sz w:val="19"/>
                <w:szCs w:val="19"/>
              </w:rPr>
              <w:t xml:space="preserve"> </w:t>
            </w:r>
            <w:r>
              <w:rPr>
                <w:rFonts w:ascii="Times New Roman" w:hAnsi="Times New Roman" w:eastAsia="Times New Roman" w:cs="Times New Roman"/>
                <w:sz w:val="19"/>
                <w:szCs w:val="19"/>
              </w:rPr>
              <w:t>KQ</w:t>
            </w:r>
            <w:r>
              <w:rPr>
                <w:rFonts w:ascii="Times New Roman" w:hAnsi="Times New Roman" w:eastAsia="Times New Roman" w:cs="Times New Roman"/>
                <w:spacing w:val="4"/>
                <w:sz w:val="19"/>
                <w:szCs w:val="19"/>
              </w:rPr>
              <w:t>004</w:t>
            </w:r>
            <w:r>
              <w:rPr>
                <w:spacing w:val="4"/>
                <w:sz w:val="19"/>
                <w:szCs w:val="19"/>
              </w:rPr>
              <w:t>、</w:t>
            </w:r>
            <w:r>
              <w:rPr>
                <w:rFonts w:ascii="Times New Roman" w:hAnsi="Times New Roman" w:eastAsia="Times New Roman" w:cs="Times New Roman"/>
                <w:sz w:val="19"/>
                <w:szCs w:val="19"/>
              </w:rPr>
              <w:t>KQ</w:t>
            </w:r>
            <w:r>
              <w:rPr>
                <w:rFonts w:ascii="Times New Roman" w:hAnsi="Times New Roman" w:eastAsia="Times New Roman" w:cs="Times New Roman"/>
                <w:spacing w:val="4"/>
                <w:sz w:val="19"/>
                <w:szCs w:val="19"/>
              </w:rPr>
              <w:t>009</w:t>
            </w:r>
            <w:r>
              <w:rPr>
                <w:rFonts w:ascii="Times New Roman" w:hAnsi="Times New Roman" w:eastAsia="Times New Roman" w:cs="Times New Roman"/>
                <w:spacing w:val="22"/>
                <w:w w:val="101"/>
                <w:sz w:val="19"/>
                <w:szCs w:val="19"/>
              </w:rPr>
              <w:t xml:space="preserve"> </w:t>
            </w:r>
            <w:r>
              <w:rPr>
                <w:spacing w:val="4"/>
                <w:sz w:val="19"/>
                <w:szCs w:val="19"/>
              </w:rPr>
              <w:t>为地下开</w:t>
            </w:r>
            <w:r>
              <w:rPr>
                <w:sz w:val="19"/>
                <w:szCs w:val="19"/>
              </w:rPr>
              <w:t xml:space="preserve"> </w:t>
            </w:r>
            <w:r>
              <w:rPr>
                <w:spacing w:val="7"/>
                <w:sz w:val="19"/>
                <w:szCs w:val="19"/>
              </w:rPr>
              <w:t>采的铝土矿和铸型用砂岩，区块所在区域不属于岩</w:t>
            </w:r>
            <w:r>
              <w:rPr>
                <w:spacing w:val="17"/>
                <w:sz w:val="19"/>
                <w:szCs w:val="19"/>
              </w:rPr>
              <w:t xml:space="preserve"> 溶强发育区域、存在较多落水洞和岩溶漏斗的区</w:t>
            </w:r>
            <w:r>
              <w:rPr>
                <w:spacing w:val="4"/>
                <w:sz w:val="19"/>
                <w:szCs w:val="19"/>
              </w:rPr>
              <w:t xml:space="preserve"> </w:t>
            </w:r>
            <w:r>
              <w:rPr>
                <w:spacing w:val="7"/>
                <w:sz w:val="19"/>
                <w:szCs w:val="19"/>
              </w:rPr>
              <w:t>域。从保护地下水的角度，评价要求勘查开采过程</w:t>
            </w:r>
            <w:r>
              <w:rPr>
                <w:spacing w:val="17"/>
                <w:sz w:val="19"/>
                <w:szCs w:val="19"/>
              </w:rPr>
              <w:t xml:space="preserve"> </w:t>
            </w:r>
            <w:r>
              <w:rPr>
                <w:spacing w:val="8"/>
                <w:sz w:val="19"/>
                <w:szCs w:val="19"/>
              </w:rPr>
              <w:t>中严控排污管理，不得污染地下水。</w:t>
            </w:r>
          </w:p>
        </w:tc>
        <w:tc>
          <w:tcPr>
            <w:tcW w:w="1897" w:type="dxa"/>
            <w:tcBorders>
              <w:right w:val="single" w:color="000000" w:sz="10" w:space="0"/>
            </w:tcBorders>
            <w:vAlign w:val="top"/>
          </w:tcPr>
          <w:p w14:paraId="452C7BB5">
            <w:pPr>
              <w:spacing w:line="267" w:lineRule="auto"/>
              <w:rPr>
                <w:rFonts w:ascii="Arial"/>
                <w:sz w:val="21"/>
              </w:rPr>
            </w:pPr>
          </w:p>
          <w:p w14:paraId="5FBCDEF8">
            <w:pPr>
              <w:spacing w:line="268" w:lineRule="auto"/>
              <w:rPr>
                <w:rFonts w:ascii="Arial"/>
                <w:sz w:val="21"/>
              </w:rPr>
            </w:pPr>
          </w:p>
          <w:p w14:paraId="135EAB5B">
            <w:pPr>
              <w:spacing w:before="54" w:line="199" w:lineRule="auto"/>
              <w:ind w:left="923"/>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r>
      <w:tr w14:paraId="31C660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2" w:hRule="atLeast"/>
        </w:trPr>
        <w:tc>
          <w:tcPr>
            <w:tcW w:w="547" w:type="dxa"/>
            <w:tcBorders>
              <w:left w:val="single" w:color="000000" w:sz="10" w:space="0"/>
              <w:bottom w:val="single" w:color="000000" w:sz="10" w:space="0"/>
            </w:tcBorders>
            <w:vAlign w:val="top"/>
          </w:tcPr>
          <w:p w14:paraId="2247E4F4">
            <w:pPr>
              <w:spacing w:line="295" w:lineRule="auto"/>
              <w:rPr>
                <w:rFonts w:ascii="Arial"/>
                <w:sz w:val="21"/>
              </w:rPr>
            </w:pPr>
          </w:p>
          <w:p w14:paraId="15D4D9B4">
            <w:pPr>
              <w:spacing w:line="295" w:lineRule="auto"/>
              <w:rPr>
                <w:rFonts w:ascii="Arial"/>
                <w:sz w:val="21"/>
              </w:rPr>
            </w:pPr>
          </w:p>
          <w:p w14:paraId="13871BF9">
            <w:pPr>
              <w:spacing w:line="295" w:lineRule="auto"/>
              <w:rPr>
                <w:rFonts w:ascii="Arial"/>
                <w:sz w:val="21"/>
              </w:rPr>
            </w:pPr>
          </w:p>
          <w:p w14:paraId="05087F0B">
            <w:pPr>
              <w:spacing w:line="295" w:lineRule="auto"/>
              <w:rPr>
                <w:rFonts w:ascii="Arial"/>
                <w:sz w:val="21"/>
              </w:rPr>
            </w:pPr>
          </w:p>
          <w:p w14:paraId="4488D0E1">
            <w:pPr>
              <w:spacing w:before="57" w:line="195" w:lineRule="auto"/>
              <w:ind w:left="17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1273" w:type="dxa"/>
            <w:tcBorders>
              <w:bottom w:val="single" w:color="000000" w:sz="10" w:space="0"/>
            </w:tcBorders>
            <w:vAlign w:val="top"/>
          </w:tcPr>
          <w:p w14:paraId="2622A1A9">
            <w:pPr>
              <w:pStyle w:val="6"/>
              <w:spacing w:before="48" w:line="232" w:lineRule="auto"/>
              <w:ind w:left="137"/>
              <w:rPr>
                <w:sz w:val="19"/>
                <w:szCs w:val="19"/>
              </w:rPr>
            </w:pPr>
            <w:r>
              <w:rPr>
                <w:spacing w:val="7"/>
                <w:sz w:val="19"/>
                <w:szCs w:val="19"/>
              </w:rPr>
              <w:t>《自然资源</w:t>
            </w:r>
          </w:p>
          <w:p w14:paraId="07B7622C">
            <w:pPr>
              <w:pStyle w:val="6"/>
              <w:spacing w:before="20" w:line="231" w:lineRule="auto"/>
              <w:ind w:left="87"/>
              <w:rPr>
                <w:sz w:val="19"/>
                <w:szCs w:val="19"/>
              </w:rPr>
            </w:pPr>
            <w:r>
              <w:rPr>
                <w:spacing w:val="1"/>
                <w:sz w:val="19"/>
                <w:szCs w:val="19"/>
              </w:rPr>
              <w:t>部</w:t>
            </w:r>
            <w:r>
              <w:rPr>
                <w:spacing w:val="34"/>
                <w:sz w:val="19"/>
                <w:szCs w:val="19"/>
              </w:rPr>
              <w:t xml:space="preserve"> </w:t>
            </w:r>
            <w:r>
              <w:rPr>
                <w:spacing w:val="1"/>
                <w:sz w:val="19"/>
                <w:szCs w:val="19"/>
              </w:rPr>
              <w:t>生态环境</w:t>
            </w:r>
          </w:p>
          <w:p w14:paraId="7A953A37">
            <w:pPr>
              <w:pStyle w:val="6"/>
              <w:spacing w:before="21" w:line="231" w:lineRule="auto"/>
              <w:ind w:left="87"/>
              <w:rPr>
                <w:sz w:val="19"/>
                <w:szCs w:val="19"/>
              </w:rPr>
            </w:pPr>
            <w:r>
              <w:rPr>
                <w:spacing w:val="-1"/>
                <w:sz w:val="19"/>
                <w:szCs w:val="19"/>
              </w:rPr>
              <w:t>部</w:t>
            </w:r>
            <w:r>
              <w:rPr>
                <w:spacing w:val="44"/>
                <w:sz w:val="19"/>
                <w:szCs w:val="19"/>
              </w:rPr>
              <w:t xml:space="preserve"> </w:t>
            </w:r>
            <w:r>
              <w:rPr>
                <w:spacing w:val="-1"/>
                <w:sz w:val="19"/>
                <w:szCs w:val="19"/>
              </w:rPr>
              <w:t>国家林业</w:t>
            </w:r>
          </w:p>
          <w:p w14:paraId="3D4B966A">
            <w:pPr>
              <w:pStyle w:val="6"/>
              <w:spacing w:before="21" w:line="231" w:lineRule="auto"/>
              <w:ind w:left="137"/>
              <w:rPr>
                <w:sz w:val="19"/>
                <w:szCs w:val="19"/>
              </w:rPr>
            </w:pPr>
            <w:r>
              <w:rPr>
                <w:spacing w:val="7"/>
                <w:sz w:val="19"/>
                <w:szCs w:val="19"/>
              </w:rPr>
              <w:t>和草原局关</w:t>
            </w:r>
          </w:p>
          <w:p w14:paraId="64060CC6">
            <w:pPr>
              <w:pStyle w:val="6"/>
              <w:spacing w:before="21" w:line="233" w:lineRule="auto"/>
              <w:ind w:left="141"/>
              <w:rPr>
                <w:sz w:val="19"/>
                <w:szCs w:val="19"/>
              </w:rPr>
            </w:pPr>
            <w:r>
              <w:rPr>
                <w:spacing w:val="6"/>
                <w:sz w:val="19"/>
                <w:szCs w:val="19"/>
              </w:rPr>
              <w:t>于加强生态</w:t>
            </w:r>
          </w:p>
          <w:p w14:paraId="4ED04E50">
            <w:pPr>
              <w:pStyle w:val="6"/>
              <w:spacing w:before="19" w:line="252" w:lineRule="auto"/>
              <w:ind w:left="55" w:right="61" w:firstLine="83"/>
              <w:rPr>
                <w:sz w:val="19"/>
                <w:szCs w:val="19"/>
              </w:rPr>
            </w:pPr>
            <w:r>
              <w:rPr>
                <w:spacing w:val="6"/>
                <w:sz w:val="19"/>
                <w:szCs w:val="19"/>
              </w:rPr>
              <w:t>保护红线管</w:t>
            </w:r>
            <w:r>
              <w:rPr>
                <w:spacing w:val="1"/>
                <w:sz w:val="19"/>
                <w:szCs w:val="19"/>
              </w:rPr>
              <w:t xml:space="preserve">  理的通知（试</w:t>
            </w:r>
          </w:p>
          <w:p w14:paraId="5BB2D051">
            <w:pPr>
              <w:pStyle w:val="6"/>
              <w:spacing w:before="2" w:line="251" w:lineRule="auto"/>
              <w:ind w:left="63" w:right="61" w:hanging="8"/>
              <w:rPr>
                <w:sz w:val="19"/>
                <w:szCs w:val="19"/>
              </w:rPr>
            </w:pPr>
            <w:r>
              <w:rPr>
                <w:spacing w:val="-7"/>
                <w:sz w:val="19"/>
                <w:szCs w:val="19"/>
              </w:rPr>
              <w:t>行）》（</w:t>
            </w:r>
            <w:r>
              <w:rPr>
                <w:spacing w:val="-43"/>
                <w:sz w:val="19"/>
                <w:szCs w:val="19"/>
              </w:rPr>
              <w:t xml:space="preserve"> </w:t>
            </w:r>
            <w:r>
              <w:rPr>
                <w:spacing w:val="-7"/>
                <w:sz w:val="19"/>
                <w:szCs w:val="19"/>
              </w:rPr>
              <w:t>自然</w:t>
            </w:r>
            <w:r>
              <w:rPr>
                <w:sz w:val="19"/>
                <w:szCs w:val="19"/>
              </w:rPr>
              <w:t xml:space="preserve"> </w:t>
            </w:r>
            <w:r>
              <w:rPr>
                <w:spacing w:val="-1"/>
                <w:sz w:val="19"/>
                <w:szCs w:val="19"/>
              </w:rPr>
              <w:t>资发〔</w:t>
            </w:r>
            <w:r>
              <w:rPr>
                <w:rFonts w:ascii="Times New Roman" w:hAnsi="Times New Roman" w:eastAsia="Times New Roman" w:cs="Times New Roman"/>
                <w:spacing w:val="-1"/>
                <w:sz w:val="19"/>
                <w:szCs w:val="19"/>
              </w:rPr>
              <w:t>2022</w:t>
            </w:r>
            <w:r>
              <w:rPr>
                <w:spacing w:val="-1"/>
                <w:sz w:val="19"/>
                <w:szCs w:val="19"/>
              </w:rPr>
              <w:t>〕</w:t>
            </w:r>
          </w:p>
          <w:p w14:paraId="32CC4DAD">
            <w:pPr>
              <w:pStyle w:val="6"/>
              <w:spacing w:line="214" w:lineRule="auto"/>
              <w:ind w:left="272"/>
              <w:rPr>
                <w:sz w:val="19"/>
                <w:szCs w:val="19"/>
              </w:rPr>
            </w:pPr>
            <w:r>
              <w:rPr>
                <w:rFonts w:ascii="Times New Roman" w:hAnsi="Times New Roman" w:eastAsia="Times New Roman" w:cs="Times New Roman"/>
                <w:spacing w:val="-4"/>
                <w:sz w:val="19"/>
                <w:szCs w:val="19"/>
              </w:rPr>
              <w:t>142</w:t>
            </w:r>
            <w:r>
              <w:rPr>
                <w:rFonts w:ascii="Times New Roman" w:hAnsi="Times New Roman" w:eastAsia="Times New Roman" w:cs="Times New Roman"/>
                <w:spacing w:val="20"/>
                <w:sz w:val="19"/>
                <w:szCs w:val="19"/>
              </w:rPr>
              <w:t xml:space="preserve"> </w:t>
            </w:r>
            <w:r>
              <w:rPr>
                <w:spacing w:val="-4"/>
                <w:sz w:val="19"/>
                <w:szCs w:val="19"/>
              </w:rPr>
              <w:t>号）</w:t>
            </w:r>
          </w:p>
        </w:tc>
        <w:tc>
          <w:tcPr>
            <w:tcW w:w="6289" w:type="dxa"/>
            <w:tcBorders>
              <w:bottom w:val="single" w:color="000000" w:sz="10" w:space="0"/>
            </w:tcBorders>
            <w:vAlign w:val="top"/>
          </w:tcPr>
          <w:p w14:paraId="1B1FDC25">
            <w:pPr>
              <w:pStyle w:val="6"/>
              <w:spacing w:before="46" w:line="252" w:lineRule="auto"/>
              <w:ind w:left="54" w:right="48" w:firstLine="5"/>
              <w:jc w:val="both"/>
              <w:rPr>
                <w:sz w:val="19"/>
                <w:szCs w:val="19"/>
              </w:rPr>
            </w:pPr>
            <w:r>
              <w:rPr>
                <w:spacing w:val="9"/>
                <w:sz w:val="19"/>
                <w:szCs w:val="19"/>
              </w:rPr>
              <w:t>（一）规范管控对生态功能不造成破坏的有限人为活动。生态保护红线</w:t>
            </w:r>
            <w:r>
              <w:rPr>
                <w:spacing w:val="6"/>
                <w:sz w:val="19"/>
                <w:szCs w:val="19"/>
              </w:rPr>
              <w:t xml:space="preserve"> </w:t>
            </w:r>
            <w:r>
              <w:rPr>
                <w:spacing w:val="9"/>
                <w:sz w:val="19"/>
                <w:szCs w:val="19"/>
              </w:rPr>
              <w:t>是国土空间规划中的重要管控边界，生态保护红线内自然保护地核心保</w:t>
            </w:r>
            <w:r>
              <w:rPr>
                <w:spacing w:val="11"/>
                <w:sz w:val="19"/>
                <w:szCs w:val="19"/>
              </w:rPr>
              <w:t xml:space="preserve"> </w:t>
            </w:r>
            <w:r>
              <w:rPr>
                <w:spacing w:val="9"/>
                <w:sz w:val="19"/>
                <w:szCs w:val="19"/>
              </w:rPr>
              <w:t>护区外，禁止开发性、生产性建设活动，在符合法律法规的前提下，仅 允许以下对生态功能不造成破坏的有限人为活动。生态保护红线内自然</w:t>
            </w:r>
            <w:r>
              <w:rPr>
                <w:spacing w:val="11"/>
                <w:sz w:val="19"/>
                <w:szCs w:val="19"/>
              </w:rPr>
              <w:t xml:space="preserve"> </w:t>
            </w:r>
            <w:r>
              <w:rPr>
                <w:spacing w:val="9"/>
                <w:sz w:val="19"/>
                <w:szCs w:val="19"/>
              </w:rPr>
              <w:t>保护区、风景名胜区、饮用水水源保护区等区域，依照法律法规执行。</w:t>
            </w:r>
          </w:p>
          <w:p w14:paraId="14E5CD95">
            <w:pPr>
              <w:pStyle w:val="6"/>
              <w:spacing w:before="2" w:line="244" w:lineRule="auto"/>
              <w:ind w:left="54" w:right="48" w:hanging="5"/>
              <w:jc w:val="both"/>
              <w:rPr>
                <w:sz w:val="19"/>
                <w:szCs w:val="19"/>
              </w:rPr>
            </w:pPr>
            <w:r>
              <w:rPr>
                <w:rFonts w:ascii="Times New Roman" w:hAnsi="Times New Roman" w:eastAsia="Times New Roman" w:cs="Times New Roman"/>
                <w:spacing w:val="9"/>
                <w:sz w:val="19"/>
                <w:szCs w:val="19"/>
              </w:rPr>
              <w:t>7.</w:t>
            </w:r>
            <w:r>
              <w:rPr>
                <w:spacing w:val="9"/>
                <w:sz w:val="19"/>
                <w:szCs w:val="19"/>
              </w:rPr>
              <w:t xml:space="preserve">地质调查与矿产资源勘查开采。包括：基础地质调查和战略性矿产资 </w:t>
            </w:r>
            <w:r>
              <w:rPr>
                <w:spacing w:val="8"/>
                <w:sz w:val="19"/>
                <w:szCs w:val="19"/>
              </w:rPr>
              <w:t>源远景调查等公益性工作；铀矿勘查开采活动，可办理矿业权</w:t>
            </w:r>
            <w:r>
              <w:rPr>
                <w:spacing w:val="7"/>
                <w:sz w:val="19"/>
                <w:szCs w:val="19"/>
              </w:rPr>
              <w:t>登记；</w:t>
            </w:r>
            <w:r>
              <w:rPr>
                <w:spacing w:val="-52"/>
                <w:sz w:val="19"/>
                <w:szCs w:val="19"/>
              </w:rPr>
              <w:t xml:space="preserve"> </w:t>
            </w:r>
            <w:r>
              <w:rPr>
                <w:spacing w:val="7"/>
                <w:sz w:val="19"/>
                <w:szCs w:val="19"/>
              </w:rPr>
              <w:t>已</w:t>
            </w:r>
            <w:r>
              <w:rPr>
                <w:sz w:val="19"/>
                <w:szCs w:val="19"/>
              </w:rPr>
              <w:t xml:space="preserve"> </w:t>
            </w:r>
            <w:r>
              <w:rPr>
                <w:spacing w:val="9"/>
                <w:sz w:val="19"/>
                <w:szCs w:val="19"/>
              </w:rPr>
              <w:t>依法设立的油气探矿权继续勘查活动，可办理探矿权延续、变更（不含</w:t>
            </w:r>
            <w:r>
              <w:rPr>
                <w:spacing w:val="8"/>
                <w:sz w:val="19"/>
                <w:szCs w:val="19"/>
              </w:rPr>
              <w:t xml:space="preserve"> 扩大勘查区块范围）、保留、注销，</w:t>
            </w:r>
            <w:r>
              <w:rPr>
                <w:spacing w:val="-54"/>
                <w:sz w:val="19"/>
                <w:szCs w:val="19"/>
              </w:rPr>
              <w:t xml:space="preserve"> </w:t>
            </w:r>
            <w:r>
              <w:rPr>
                <w:spacing w:val="8"/>
                <w:sz w:val="19"/>
                <w:szCs w:val="19"/>
              </w:rPr>
              <w:t>当发现可供开采油气资源并探明储</w:t>
            </w:r>
            <w:r>
              <w:rPr>
                <w:sz w:val="19"/>
                <w:szCs w:val="19"/>
              </w:rPr>
              <w:t xml:space="preserve"> </w:t>
            </w:r>
            <w:r>
              <w:rPr>
                <w:spacing w:val="9"/>
                <w:sz w:val="19"/>
                <w:szCs w:val="19"/>
              </w:rPr>
              <w:t>量时，可将开采拟占用的地表或海域范围依照国家相关规定调出生态保</w:t>
            </w:r>
          </w:p>
        </w:tc>
        <w:tc>
          <w:tcPr>
            <w:tcW w:w="4465" w:type="dxa"/>
            <w:tcBorders>
              <w:bottom w:val="single" w:color="000000" w:sz="10" w:space="0"/>
            </w:tcBorders>
            <w:vAlign w:val="top"/>
          </w:tcPr>
          <w:p w14:paraId="65CDFC7B">
            <w:pPr>
              <w:spacing w:line="254" w:lineRule="auto"/>
              <w:rPr>
                <w:rFonts w:ascii="Arial"/>
                <w:sz w:val="21"/>
              </w:rPr>
            </w:pPr>
          </w:p>
          <w:p w14:paraId="0BCB1075">
            <w:pPr>
              <w:spacing w:line="254" w:lineRule="auto"/>
              <w:rPr>
                <w:rFonts w:ascii="Arial"/>
                <w:sz w:val="21"/>
              </w:rPr>
            </w:pPr>
          </w:p>
          <w:p w14:paraId="357FE310">
            <w:pPr>
              <w:spacing w:line="255" w:lineRule="auto"/>
              <w:rPr>
                <w:rFonts w:ascii="Arial"/>
                <w:sz w:val="21"/>
              </w:rPr>
            </w:pPr>
          </w:p>
          <w:p w14:paraId="1A7BFDB3">
            <w:pPr>
              <w:spacing w:line="255" w:lineRule="auto"/>
              <w:rPr>
                <w:rFonts w:ascii="Arial"/>
                <w:sz w:val="21"/>
              </w:rPr>
            </w:pPr>
          </w:p>
          <w:p w14:paraId="2664F7B8">
            <w:pPr>
              <w:pStyle w:val="6"/>
              <w:spacing w:before="61" w:line="251" w:lineRule="auto"/>
              <w:ind w:left="100" w:right="41" w:firstLine="326"/>
              <w:rPr>
                <w:sz w:val="19"/>
                <w:szCs w:val="19"/>
              </w:rPr>
            </w:pPr>
            <w:r>
              <w:rPr>
                <w:spacing w:val="5"/>
                <w:sz w:val="19"/>
                <w:szCs w:val="19"/>
              </w:rPr>
              <w:t>本次评价的</w:t>
            </w:r>
            <w:r>
              <w:rPr>
                <w:spacing w:val="-20"/>
                <w:sz w:val="19"/>
                <w:szCs w:val="19"/>
              </w:rPr>
              <w:t xml:space="preserve"> </w:t>
            </w:r>
            <w:r>
              <w:rPr>
                <w:rFonts w:ascii="Times New Roman" w:hAnsi="Times New Roman" w:eastAsia="Times New Roman" w:cs="Times New Roman"/>
                <w:spacing w:val="5"/>
                <w:sz w:val="19"/>
                <w:szCs w:val="19"/>
              </w:rPr>
              <w:t>3</w:t>
            </w:r>
            <w:r>
              <w:rPr>
                <w:rFonts w:ascii="Times New Roman" w:hAnsi="Times New Roman" w:eastAsia="Times New Roman" w:cs="Times New Roman"/>
                <w:spacing w:val="18"/>
                <w:sz w:val="19"/>
                <w:szCs w:val="19"/>
              </w:rPr>
              <w:t xml:space="preserve"> </w:t>
            </w:r>
            <w:r>
              <w:rPr>
                <w:spacing w:val="5"/>
                <w:sz w:val="19"/>
                <w:szCs w:val="19"/>
              </w:rPr>
              <w:t>个勘查区块和</w:t>
            </w:r>
            <w:r>
              <w:rPr>
                <w:spacing w:val="-21"/>
                <w:sz w:val="19"/>
                <w:szCs w:val="19"/>
              </w:rPr>
              <w:t xml:space="preserve"> </w:t>
            </w:r>
            <w:r>
              <w:rPr>
                <w:rFonts w:ascii="Times New Roman" w:hAnsi="Times New Roman" w:eastAsia="Times New Roman" w:cs="Times New Roman"/>
                <w:spacing w:val="5"/>
                <w:sz w:val="19"/>
                <w:szCs w:val="19"/>
              </w:rPr>
              <w:t>1</w:t>
            </w:r>
            <w:r>
              <w:rPr>
                <w:rFonts w:ascii="Times New Roman" w:hAnsi="Times New Roman" w:eastAsia="Times New Roman" w:cs="Times New Roman"/>
                <w:spacing w:val="18"/>
                <w:sz w:val="19"/>
                <w:szCs w:val="19"/>
              </w:rPr>
              <w:t xml:space="preserve"> </w:t>
            </w:r>
            <w:r>
              <w:rPr>
                <w:spacing w:val="5"/>
                <w:sz w:val="19"/>
                <w:szCs w:val="19"/>
              </w:rPr>
              <w:t>个开采区块均不</w:t>
            </w:r>
            <w:r>
              <w:rPr>
                <w:sz w:val="19"/>
                <w:szCs w:val="19"/>
              </w:rPr>
              <w:t xml:space="preserve"> </w:t>
            </w:r>
            <w:r>
              <w:rPr>
                <w:spacing w:val="5"/>
                <w:sz w:val="19"/>
                <w:szCs w:val="19"/>
              </w:rPr>
              <w:t>占用生态保护红线。符合。</w:t>
            </w:r>
          </w:p>
        </w:tc>
        <w:tc>
          <w:tcPr>
            <w:tcW w:w="1897" w:type="dxa"/>
            <w:tcBorders>
              <w:bottom w:val="single" w:color="000000" w:sz="10" w:space="0"/>
              <w:right w:val="single" w:color="000000" w:sz="10" w:space="0"/>
            </w:tcBorders>
            <w:vAlign w:val="top"/>
          </w:tcPr>
          <w:p w14:paraId="5DE37CA0">
            <w:pPr>
              <w:spacing w:line="296" w:lineRule="auto"/>
              <w:rPr>
                <w:rFonts w:ascii="Arial"/>
                <w:sz w:val="21"/>
              </w:rPr>
            </w:pPr>
          </w:p>
          <w:p w14:paraId="4E3FBA4F">
            <w:pPr>
              <w:spacing w:line="296" w:lineRule="auto"/>
              <w:rPr>
                <w:rFonts w:ascii="Arial"/>
                <w:sz w:val="21"/>
              </w:rPr>
            </w:pPr>
          </w:p>
          <w:p w14:paraId="0ADCA8FC">
            <w:pPr>
              <w:spacing w:line="296" w:lineRule="auto"/>
              <w:rPr>
                <w:rFonts w:ascii="Arial"/>
                <w:sz w:val="21"/>
              </w:rPr>
            </w:pPr>
          </w:p>
          <w:p w14:paraId="3A8888C0">
            <w:pPr>
              <w:spacing w:line="296" w:lineRule="auto"/>
              <w:rPr>
                <w:rFonts w:ascii="Arial"/>
                <w:sz w:val="21"/>
              </w:rPr>
            </w:pPr>
          </w:p>
          <w:p w14:paraId="56337100">
            <w:pPr>
              <w:spacing w:before="54" w:line="199" w:lineRule="auto"/>
              <w:ind w:left="923"/>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r>
    </w:tbl>
    <w:p w14:paraId="4673BD16">
      <w:pPr>
        <w:pStyle w:val="2"/>
      </w:pPr>
    </w:p>
    <w:p w14:paraId="471FFEAA">
      <w:pPr>
        <w:sectPr>
          <w:footerReference r:id="rId76" w:type="default"/>
          <w:pgSz w:w="16839" w:h="11906"/>
          <w:pgMar w:top="1116" w:right="1023" w:bottom="1480" w:left="1317" w:header="683" w:footer="1318" w:gutter="0"/>
          <w:cols w:space="720" w:num="1"/>
        </w:sectPr>
      </w:pPr>
    </w:p>
    <w:p w14:paraId="7AE500E9">
      <w:pPr>
        <w:spacing w:before="229"/>
      </w:pPr>
    </w:p>
    <w:tbl>
      <w:tblPr>
        <w:tblStyle w:val="5"/>
        <w:tblW w:w="1447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7"/>
        <w:gridCol w:w="1273"/>
        <w:gridCol w:w="6289"/>
        <w:gridCol w:w="4465"/>
        <w:gridCol w:w="1897"/>
      </w:tblGrid>
      <w:tr w14:paraId="37736A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547" w:type="dxa"/>
            <w:vMerge w:val="restart"/>
            <w:tcBorders>
              <w:top w:val="single" w:color="000000" w:sz="10" w:space="0"/>
              <w:left w:val="single" w:color="000000" w:sz="10" w:space="0"/>
              <w:bottom w:val="nil"/>
            </w:tcBorders>
            <w:vAlign w:val="top"/>
          </w:tcPr>
          <w:p w14:paraId="3E81FBC7">
            <w:pPr>
              <w:pStyle w:val="6"/>
              <w:spacing w:before="251" w:line="231" w:lineRule="auto"/>
              <w:ind w:left="69"/>
              <w:rPr>
                <w:sz w:val="19"/>
                <w:szCs w:val="19"/>
              </w:rPr>
            </w:pPr>
            <w:r>
              <w:rPr>
                <w:spacing w:val="2"/>
                <w:sz w:val="19"/>
                <w:szCs w:val="19"/>
              </w:rPr>
              <w:t>序号</w:t>
            </w:r>
          </w:p>
        </w:tc>
        <w:tc>
          <w:tcPr>
            <w:tcW w:w="7562" w:type="dxa"/>
            <w:gridSpan w:val="2"/>
            <w:tcBorders>
              <w:top w:val="single" w:color="000000" w:sz="10" w:space="0"/>
            </w:tcBorders>
            <w:vAlign w:val="top"/>
          </w:tcPr>
          <w:p w14:paraId="66A2FA44">
            <w:pPr>
              <w:pStyle w:val="6"/>
              <w:spacing w:before="75" w:line="231" w:lineRule="auto"/>
              <w:ind w:left="2908"/>
              <w:rPr>
                <w:sz w:val="19"/>
                <w:szCs w:val="19"/>
              </w:rPr>
            </w:pPr>
            <w:r>
              <w:rPr>
                <w:spacing w:val="5"/>
                <w:sz w:val="19"/>
                <w:szCs w:val="19"/>
              </w:rPr>
              <w:t>国家重大政策及规划</w:t>
            </w:r>
          </w:p>
        </w:tc>
        <w:tc>
          <w:tcPr>
            <w:tcW w:w="4465" w:type="dxa"/>
            <w:vMerge w:val="restart"/>
            <w:tcBorders>
              <w:top w:val="single" w:color="000000" w:sz="10" w:space="0"/>
              <w:bottom w:val="nil"/>
            </w:tcBorders>
            <w:vAlign w:val="top"/>
          </w:tcPr>
          <w:p w14:paraId="558BBF2D">
            <w:pPr>
              <w:pStyle w:val="6"/>
              <w:spacing w:before="250" w:line="229" w:lineRule="auto"/>
              <w:ind w:left="949"/>
              <w:rPr>
                <w:sz w:val="19"/>
                <w:szCs w:val="19"/>
              </w:rPr>
            </w:pPr>
            <w:r>
              <w:rPr>
                <w:spacing w:val="8"/>
                <w:sz w:val="19"/>
                <w:szCs w:val="19"/>
              </w:rPr>
              <w:t>本《规划调整》的符合性分析</w:t>
            </w:r>
          </w:p>
        </w:tc>
        <w:tc>
          <w:tcPr>
            <w:tcW w:w="1897" w:type="dxa"/>
            <w:vMerge w:val="restart"/>
            <w:tcBorders>
              <w:top w:val="single" w:color="000000" w:sz="10" w:space="0"/>
              <w:bottom w:val="nil"/>
              <w:right w:val="single" w:color="000000" w:sz="10" w:space="0"/>
            </w:tcBorders>
            <w:vAlign w:val="top"/>
          </w:tcPr>
          <w:p w14:paraId="7F8F7CE4">
            <w:pPr>
              <w:pStyle w:val="6"/>
              <w:spacing w:before="250" w:line="230" w:lineRule="auto"/>
              <w:ind w:left="373"/>
              <w:rPr>
                <w:sz w:val="19"/>
                <w:szCs w:val="19"/>
              </w:rPr>
            </w:pPr>
            <w:r>
              <w:rPr>
                <w:spacing w:val="5"/>
                <w:sz w:val="19"/>
                <w:szCs w:val="19"/>
              </w:rPr>
              <w:t>简要优化建议</w:t>
            </w:r>
          </w:p>
        </w:tc>
      </w:tr>
      <w:tr w14:paraId="6C6C51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47" w:type="dxa"/>
            <w:vMerge w:val="continue"/>
            <w:tcBorders>
              <w:top w:val="nil"/>
              <w:left w:val="single" w:color="000000" w:sz="10" w:space="0"/>
            </w:tcBorders>
            <w:vAlign w:val="top"/>
          </w:tcPr>
          <w:p w14:paraId="0FD679C4">
            <w:pPr>
              <w:rPr>
                <w:rFonts w:ascii="Arial"/>
                <w:sz w:val="21"/>
              </w:rPr>
            </w:pPr>
          </w:p>
        </w:tc>
        <w:tc>
          <w:tcPr>
            <w:tcW w:w="1273" w:type="dxa"/>
            <w:vAlign w:val="top"/>
          </w:tcPr>
          <w:p w14:paraId="4389CC43">
            <w:pPr>
              <w:pStyle w:val="6"/>
              <w:spacing w:before="71" w:line="230" w:lineRule="auto"/>
              <w:ind w:left="438"/>
              <w:rPr>
                <w:sz w:val="19"/>
                <w:szCs w:val="19"/>
              </w:rPr>
            </w:pPr>
            <w:r>
              <w:rPr>
                <w:spacing w:val="2"/>
                <w:sz w:val="19"/>
                <w:szCs w:val="19"/>
              </w:rPr>
              <w:t>名称</w:t>
            </w:r>
          </w:p>
        </w:tc>
        <w:tc>
          <w:tcPr>
            <w:tcW w:w="6289" w:type="dxa"/>
            <w:vAlign w:val="top"/>
          </w:tcPr>
          <w:p w14:paraId="7EF5F8C4">
            <w:pPr>
              <w:pStyle w:val="6"/>
              <w:spacing w:before="71" w:line="231" w:lineRule="auto"/>
              <w:ind w:left="2754"/>
              <w:rPr>
                <w:sz w:val="19"/>
                <w:szCs w:val="19"/>
              </w:rPr>
            </w:pPr>
            <w:r>
              <w:rPr>
                <w:spacing w:val="6"/>
                <w:sz w:val="19"/>
                <w:szCs w:val="19"/>
              </w:rPr>
              <w:t>相关内容</w:t>
            </w:r>
          </w:p>
        </w:tc>
        <w:tc>
          <w:tcPr>
            <w:tcW w:w="4465" w:type="dxa"/>
            <w:vMerge w:val="continue"/>
            <w:tcBorders>
              <w:top w:val="nil"/>
            </w:tcBorders>
            <w:vAlign w:val="top"/>
          </w:tcPr>
          <w:p w14:paraId="336F4AE0">
            <w:pPr>
              <w:rPr>
                <w:rFonts w:ascii="Arial"/>
                <w:sz w:val="21"/>
              </w:rPr>
            </w:pPr>
          </w:p>
        </w:tc>
        <w:tc>
          <w:tcPr>
            <w:tcW w:w="1897" w:type="dxa"/>
            <w:vMerge w:val="continue"/>
            <w:tcBorders>
              <w:top w:val="nil"/>
              <w:right w:val="single" w:color="000000" w:sz="10" w:space="0"/>
            </w:tcBorders>
            <w:vAlign w:val="top"/>
          </w:tcPr>
          <w:p w14:paraId="0C91DF07">
            <w:pPr>
              <w:rPr>
                <w:rFonts w:ascii="Arial"/>
                <w:sz w:val="21"/>
              </w:rPr>
            </w:pPr>
          </w:p>
        </w:tc>
      </w:tr>
      <w:tr w14:paraId="115A22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32" w:hRule="atLeast"/>
        </w:trPr>
        <w:tc>
          <w:tcPr>
            <w:tcW w:w="547" w:type="dxa"/>
            <w:tcBorders>
              <w:left w:val="single" w:color="000000" w:sz="10" w:space="0"/>
            </w:tcBorders>
            <w:vAlign w:val="top"/>
          </w:tcPr>
          <w:p w14:paraId="2B2A4627">
            <w:pPr>
              <w:rPr>
                <w:rFonts w:ascii="Arial"/>
                <w:sz w:val="21"/>
              </w:rPr>
            </w:pPr>
          </w:p>
        </w:tc>
        <w:tc>
          <w:tcPr>
            <w:tcW w:w="1273" w:type="dxa"/>
            <w:vAlign w:val="top"/>
          </w:tcPr>
          <w:p w14:paraId="6A6A1D42">
            <w:pPr>
              <w:rPr>
                <w:rFonts w:ascii="Arial"/>
                <w:sz w:val="21"/>
              </w:rPr>
            </w:pPr>
          </w:p>
        </w:tc>
        <w:tc>
          <w:tcPr>
            <w:tcW w:w="6289" w:type="dxa"/>
            <w:vAlign w:val="top"/>
          </w:tcPr>
          <w:p w14:paraId="5B00E078">
            <w:pPr>
              <w:pStyle w:val="6"/>
              <w:spacing w:before="34" w:line="247" w:lineRule="auto"/>
              <w:ind w:left="54" w:right="48"/>
              <w:jc w:val="both"/>
              <w:rPr>
                <w:sz w:val="19"/>
                <w:szCs w:val="19"/>
              </w:rPr>
            </w:pPr>
            <w:r>
              <w:rPr>
                <w:spacing w:val="8"/>
                <w:sz w:val="19"/>
                <w:szCs w:val="19"/>
              </w:rPr>
              <w:t>护红线；</w:t>
            </w:r>
            <w:r>
              <w:rPr>
                <w:spacing w:val="-49"/>
                <w:sz w:val="19"/>
                <w:szCs w:val="19"/>
              </w:rPr>
              <w:t xml:space="preserve"> </w:t>
            </w:r>
            <w:r>
              <w:rPr>
                <w:spacing w:val="8"/>
                <w:sz w:val="19"/>
                <w:szCs w:val="19"/>
              </w:rPr>
              <w:t>已依法设立的油气采矿权不扩大用地用海范围，</w:t>
            </w:r>
            <w:r>
              <w:rPr>
                <w:spacing w:val="7"/>
                <w:sz w:val="19"/>
                <w:szCs w:val="19"/>
              </w:rPr>
              <w:t>继续开采，可</w:t>
            </w:r>
            <w:r>
              <w:rPr>
                <w:sz w:val="19"/>
                <w:szCs w:val="19"/>
              </w:rPr>
              <w:t xml:space="preserve"> </w:t>
            </w:r>
            <w:r>
              <w:rPr>
                <w:spacing w:val="6"/>
                <w:sz w:val="19"/>
                <w:szCs w:val="19"/>
              </w:rPr>
              <w:t>办理采矿权延续、变更（不含扩大矿区范围）</w:t>
            </w:r>
            <w:r>
              <w:rPr>
                <w:spacing w:val="-42"/>
                <w:sz w:val="19"/>
                <w:szCs w:val="19"/>
              </w:rPr>
              <w:t xml:space="preserve"> </w:t>
            </w:r>
            <w:r>
              <w:rPr>
                <w:spacing w:val="6"/>
                <w:sz w:val="19"/>
                <w:szCs w:val="19"/>
              </w:rPr>
              <w:t>、注销；</w:t>
            </w:r>
            <w:r>
              <w:rPr>
                <w:spacing w:val="-47"/>
                <w:sz w:val="19"/>
                <w:szCs w:val="19"/>
              </w:rPr>
              <w:t xml:space="preserve"> </w:t>
            </w:r>
            <w:r>
              <w:rPr>
                <w:spacing w:val="6"/>
                <w:sz w:val="19"/>
                <w:szCs w:val="19"/>
              </w:rPr>
              <w:t>已依法设立的矿</w:t>
            </w:r>
            <w:r>
              <w:rPr>
                <w:sz w:val="19"/>
                <w:szCs w:val="19"/>
              </w:rPr>
              <w:t xml:space="preserve"> </w:t>
            </w:r>
            <w:r>
              <w:rPr>
                <w:spacing w:val="9"/>
                <w:sz w:val="19"/>
                <w:szCs w:val="19"/>
              </w:rPr>
              <w:t>泉水和地热采矿权，在不超出已经核定的生产规模、不新增生产设施的</w:t>
            </w:r>
            <w:r>
              <w:rPr>
                <w:spacing w:val="8"/>
                <w:sz w:val="19"/>
                <w:szCs w:val="19"/>
              </w:rPr>
              <w:t xml:space="preserve"> </w:t>
            </w:r>
            <w:r>
              <w:rPr>
                <w:spacing w:val="9"/>
                <w:sz w:val="19"/>
                <w:szCs w:val="19"/>
              </w:rPr>
              <w:t>前提下继续开采，可办理采矿权延续、变更（不含扩大矿区范围）、注</w:t>
            </w:r>
            <w:r>
              <w:rPr>
                <w:spacing w:val="8"/>
                <w:sz w:val="19"/>
                <w:szCs w:val="19"/>
              </w:rPr>
              <w:t xml:space="preserve"> 销；</w:t>
            </w:r>
            <w:r>
              <w:rPr>
                <w:spacing w:val="-49"/>
                <w:sz w:val="19"/>
                <w:szCs w:val="19"/>
              </w:rPr>
              <w:t xml:space="preserve"> </w:t>
            </w:r>
            <w:r>
              <w:rPr>
                <w:spacing w:val="8"/>
                <w:sz w:val="19"/>
                <w:szCs w:val="19"/>
              </w:rPr>
              <w:t>已依法设立和新立铬、铜、镍、锂、钴、锆、钾盐、（中</w:t>
            </w:r>
            <w:r>
              <w:rPr>
                <w:spacing w:val="7"/>
                <w:sz w:val="19"/>
                <w:szCs w:val="19"/>
              </w:rPr>
              <w:t>）重稀土</w:t>
            </w:r>
            <w:r>
              <w:rPr>
                <w:sz w:val="19"/>
                <w:szCs w:val="19"/>
              </w:rPr>
              <w:t xml:space="preserve"> </w:t>
            </w:r>
            <w:r>
              <w:rPr>
                <w:spacing w:val="9"/>
                <w:sz w:val="19"/>
                <w:szCs w:val="19"/>
              </w:rPr>
              <w:t>矿等战略性矿产探矿权开展勘查活动，可办理探矿权登记，因国家战略</w:t>
            </w:r>
            <w:r>
              <w:rPr>
                <w:spacing w:val="8"/>
                <w:sz w:val="19"/>
                <w:szCs w:val="19"/>
              </w:rPr>
              <w:t xml:space="preserve"> </w:t>
            </w:r>
            <w:r>
              <w:rPr>
                <w:spacing w:val="9"/>
                <w:sz w:val="19"/>
                <w:szCs w:val="19"/>
              </w:rPr>
              <w:t>需要开展开采活动的，可办理采矿权登记。上述勘查开采活动，应落实</w:t>
            </w:r>
            <w:r>
              <w:rPr>
                <w:spacing w:val="11"/>
                <w:sz w:val="19"/>
                <w:szCs w:val="19"/>
              </w:rPr>
              <w:t xml:space="preserve"> </w:t>
            </w:r>
            <w:r>
              <w:rPr>
                <w:spacing w:val="9"/>
                <w:sz w:val="19"/>
                <w:szCs w:val="19"/>
              </w:rPr>
              <w:t>减缓生态环境影响措施，严格执行绿色勘查、开采及矿山环境生态修复</w:t>
            </w:r>
            <w:r>
              <w:rPr>
                <w:spacing w:val="8"/>
                <w:sz w:val="19"/>
                <w:szCs w:val="19"/>
              </w:rPr>
              <w:t xml:space="preserve"> </w:t>
            </w:r>
            <w:r>
              <w:rPr>
                <w:spacing w:val="5"/>
                <w:sz w:val="19"/>
                <w:szCs w:val="19"/>
              </w:rPr>
              <w:t>相关要求。</w:t>
            </w:r>
          </w:p>
        </w:tc>
        <w:tc>
          <w:tcPr>
            <w:tcW w:w="4465" w:type="dxa"/>
            <w:vAlign w:val="top"/>
          </w:tcPr>
          <w:p w14:paraId="4175EBC3">
            <w:pPr>
              <w:rPr>
                <w:rFonts w:ascii="Arial"/>
                <w:sz w:val="21"/>
              </w:rPr>
            </w:pPr>
          </w:p>
        </w:tc>
        <w:tc>
          <w:tcPr>
            <w:tcW w:w="1897" w:type="dxa"/>
            <w:tcBorders>
              <w:right w:val="single" w:color="000000" w:sz="10" w:space="0"/>
            </w:tcBorders>
            <w:vAlign w:val="top"/>
          </w:tcPr>
          <w:p w14:paraId="2CF16B57">
            <w:pPr>
              <w:rPr>
                <w:rFonts w:ascii="Arial"/>
                <w:sz w:val="21"/>
              </w:rPr>
            </w:pPr>
          </w:p>
        </w:tc>
      </w:tr>
      <w:tr w14:paraId="09E138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6" w:hRule="atLeast"/>
        </w:trPr>
        <w:tc>
          <w:tcPr>
            <w:tcW w:w="547" w:type="dxa"/>
            <w:tcBorders>
              <w:left w:val="single" w:color="000000" w:sz="10" w:space="0"/>
            </w:tcBorders>
            <w:vAlign w:val="top"/>
          </w:tcPr>
          <w:p w14:paraId="0460278A">
            <w:pPr>
              <w:spacing w:line="276" w:lineRule="auto"/>
              <w:rPr>
                <w:rFonts w:ascii="Arial"/>
                <w:sz w:val="21"/>
              </w:rPr>
            </w:pPr>
          </w:p>
          <w:p w14:paraId="58C79919">
            <w:pPr>
              <w:spacing w:line="277" w:lineRule="auto"/>
              <w:rPr>
                <w:rFonts w:ascii="Arial"/>
                <w:sz w:val="21"/>
              </w:rPr>
            </w:pPr>
          </w:p>
          <w:p w14:paraId="7300679D">
            <w:pPr>
              <w:spacing w:line="277" w:lineRule="auto"/>
              <w:rPr>
                <w:rFonts w:ascii="Arial"/>
                <w:sz w:val="21"/>
              </w:rPr>
            </w:pPr>
          </w:p>
          <w:p w14:paraId="5B2E9646">
            <w:pPr>
              <w:spacing w:before="58" w:line="195" w:lineRule="auto"/>
              <w:ind w:left="17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273" w:type="dxa"/>
            <w:vAlign w:val="top"/>
          </w:tcPr>
          <w:p w14:paraId="1BD98172">
            <w:pPr>
              <w:pStyle w:val="6"/>
              <w:spacing w:before="41" w:line="231" w:lineRule="auto"/>
              <w:ind w:left="106"/>
              <w:rPr>
                <w:sz w:val="20"/>
                <w:szCs w:val="20"/>
              </w:rPr>
            </w:pPr>
            <w:r>
              <w:rPr>
                <w:spacing w:val="7"/>
                <w:sz w:val="20"/>
                <w:szCs w:val="20"/>
              </w:rPr>
              <w:t>《中共中央</w:t>
            </w:r>
          </w:p>
          <w:p w14:paraId="106E8AAB">
            <w:pPr>
              <w:pStyle w:val="6"/>
              <w:spacing w:before="20" w:line="231" w:lineRule="auto"/>
              <w:ind w:left="130"/>
              <w:rPr>
                <w:sz w:val="20"/>
                <w:szCs w:val="20"/>
              </w:rPr>
            </w:pPr>
            <w:r>
              <w:rPr>
                <w:spacing w:val="2"/>
                <w:sz w:val="20"/>
                <w:szCs w:val="20"/>
              </w:rPr>
              <w:t>国务院关于</w:t>
            </w:r>
          </w:p>
          <w:p w14:paraId="4A6B9C7C">
            <w:pPr>
              <w:pStyle w:val="6"/>
              <w:spacing w:before="20" w:line="231" w:lineRule="auto"/>
              <w:ind w:left="112"/>
              <w:rPr>
                <w:sz w:val="20"/>
                <w:szCs w:val="20"/>
              </w:rPr>
            </w:pPr>
            <w:r>
              <w:rPr>
                <w:spacing w:val="6"/>
                <w:sz w:val="20"/>
                <w:szCs w:val="20"/>
              </w:rPr>
              <w:t>全面推进美</w:t>
            </w:r>
          </w:p>
          <w:p w14:paraId="6C0298F3">
            <w:pPr>
              <w:pStyle w:val="6"/>
              <w:spacing w:before="24" w:line="251" w:lineRule="auto"/>
              <w:ind w:left="118" w:right="125" w:hanging="5"/>
              <w:rPr>
                <w:sz w:val="20"/>
                <w:szCs w:val="20"/>
              </w:rPr>
            </w:pPr>
            <w:r>
              <w:rPr>
                <w:spacing w:val="5"/>
                <w:sz w:val="20"/>
                <w:szCs w:val="20"/>
              </w:rPr>
              <w:t>丽中国建设</w:t>
            </w:r>
            <w:r>
              <w:rPr>
                <w:spacing w:val="2"/>
                <w:sz w:val="20"/>
                <w:szCs w:val="20"/>
              </w:rPr>
              <w:t xml:space="preserve"> </w:t>
            </w:r>
            <w:r>
              <w:rPr>
                <w:sz w:val="20"/>
                <w:szCs w:val="20"/>
              </w:rPr>
              <w:t>的意见》</w:t>
            </w:r>
          </w:p>
          <w:p w14:paraId="3FFBB13E">
            <w:pPr>
              <w:pStyle w:val="6"/>
              <w:spacing w:before="1" w:line="230" w:lineRule="auto"/>
              <w:ind w:left="111"/>
              <w:rPr>
                <w:sz w:val="20"/>
                <w:szCs w:val="20"/>
              </w:rPr>
            </w:pPr>
            <w:r>
              <w:rPr>
                <w:spacing w:val="2"/>
                <w:sz w:val="20"/>
                <w:szCs w:val="20"/>
              </w:rPr>
              <w:t>（</w:t>
            </w:r>
            <w:r>
              <w:rPr>
                <w:rFonts w:ascii="Times New Roman" w:hAnsi="Times New Roman" w:eastAsia="Times New Roman" w:cs="Times New Roman"/>
                <w:spacing w:val="2"/>
                <w:sz w:val="20"/>
                <w:szCs w:val="20"/>
              </w:rPr>
              <w:t>2023</w:t>
            </w:r>
            <w:r>
              <w:rPr>
                <w:rFonts w:ascii="Times New Roman" w:hAnsi="Times New Roman" w:eastAsia="Times New Roman" w:cs="Times New Roman"/>
                <w:spacing w:val="20"/>
                <w:w w:val="101"/>
                <w:sz w:val="20"/>
                <w:szCs w:val="20"/>
              </w:rPr>
              <w:t xml:space="preserve"> </w:t>
            </w:r>
            <w:r>
              <w:rPr>
                <w:spacing w:val="2"/>
                <w:sz w:val="20"/>
                <w:szCs w:val="20"/>
              </w:rPr>
              <w:t>年</w:t>
            </w:r>
          </w:p>
          <w:p w14:paraId="3D1E8B90">
            <w:pPr>
              <w:pStyle w:val="6"/>
              <w:spacing w:before="22" w:line="205" w:lineRule="auto"/>
              <w:ind w:left="117"/>
              <w:rPr>
                <w:sz w:val="20"/>
                <w:szCs w:val="20"/>
              </w:rPr>
            </w:pPr>
            <w:r>
              <w:rPr>
                <w:rFonts w:ascii="Times New Roman" w:hAnsi="Times New Roman" w:eastAsia="Times New Roman" w:cs="Times New Roman"/>
                <w:spacing w:val="-5"/>
                <w:sz w:val="20"/>
                <w:szCs w:val="20"/>
              </w:rPr>
              <w:t>12</w:t>
            </w:r>
            <w:r>
              <w:rPr>
                <w:rFonts w:ascii="Times New Roman" w:hAnsi="Times New Roman" w:eastAsia="Times New Roman" w:cs="Times New Roman"/>
                <w:spacing w:val="17"/>
                <w:w w:val="101"/>
                <w:sz w:val="20"/>
                <w:szCs w:val="20"/>
              </w:rPr>
              <w:t xml:space="preserve"> </w:t>
            </w:r>
            <w:r>
              <w:rPr>
                <w:spacing w:val="-5"/>
                <w:sz w:val="20"/>
                <w:szCs w:val="20"/>
              </w:rPr>
              <w:t>月</w:t>
            </w:r>
            <w:r>
              <w:rPr>
                <w:rFonts w:ascii="Times New Roman" w:hAnsi="Times New Roman" w:eastAsia="Times New Roman" w:cs="Times New Roman"/>
                <w:spacing w:val="-5"/>
                <w:sz w:val="20"/>
                <w:szCs w:val="20"/>
              </w:rPr>
              <w:t>27</w:t>
            </w:r>
            <w:r>
              <w:rPr>
                <w:rFonts w:ascii="Times New Roman" w:hAnsi="Times New Roman" w:eastAsia="Times New Roman" w:cs="Times New Roman"/>
                <w:spacing w:val="45"/>
                <w:sz w:val="20"/>
                <w:szCs w:val="20"/>
              </w:rPr>
              <w:t xml:space="preserve"> </w:t>
            </w:r>
            <w:r>
              <w:rPr>
                <w:spacing w:val="-5"/>
                <w:sz w:val="20"/>
                <w:szCs w:val="20"/>
              </w:rPr>
              <w:t>日）</w:t>
            </w:r>
          </w:p>
        </w:tc>
        <w:tc>
          <w:tcPr>
            <w:tcW w:w="6289" w:type="dxa"/>
            <w:vAlign w:val="top"/>
          </w:tcPr>
          <w:p w14:paraId="62ECA206">
            <w:pPr>
              <w:spacing w:line="268" w:lineRule="auto"/>
              <w:rPr>
                <w:rFonts w:ascii="Arial"/>
                <w:sz w:val="21"/>
              </w:rPr>
            </w:pPr>
          </w:p>
          <w:p w14:paraId="4AC47625">
            <w:pPr>
              <w:spacing w:line="268" w:lineRule="auto"/>
              <w:rPr>
                <w:rFonts w:ascii="Arial"/>
                <w:sz w:val="21"/>
              </w:rPr>
            </w:pPr>
          </w:p>
          <w:p w14:paraId="11F3D0AE">
            <w:pPr>
              <w:pStyle w:val="6"/>
              <w:spacing w:before="62" w:line="228" w:lineRule="auto"/>
              <w:ind w:left="60"/>
              <w:rPr>
                <w:sz w:val="19"/>
                <w:szCs w:val="19"/>
              </w:rPr>
            </w:pPr>
            <w:r>
              <w:rPr>
                <w:spacing w:val="8"/>
                <w:sz w:val="19"/>
                <w:szCs w:val="19"/>
              </w:rPr>
              <w:t>三、加快发展方式绿色转型</w:t>
            </w:r>
          </w:p>
          <w:p w14:paraId="08237490">
            <w:pPr>
              <w:pStyle w:val="6"/>
              <w:spacing w:before="25" w:line="252" w:lineRule="auto"/>
              <w:ind w:left="57" w:right="144" w:firstLine="2"/>
              <w:rPr>
                <w:sz w:val="19"/>
                <w:szCs w:val="19"/>
              </w:rPr>
            </w:pPr>
            <w:r>
              <w:rPr>
                <w:spacing w:val="8"/>
                <w:sz w:val="19"/>
                <w:szCs w:val="19"/>
              </w:rPr>
              <w:t>全面推进绿色矿山建设。到</w:t>
            </w:r>
            <w:r>
              <w:rPr>
                <w:spacing w:val="-39"/>
                <w:sz w:val="19"/>
                <w:szCs w:val="19"/>
              </w:rPr>
              <w:t xml:space="preserve"> </w:t>
            </w:r>
            <w:r>
              <w:rPr>
                <w:rFonts w:ascii="Times New Roman" w:hAnsi="Times New Roman" w:eastAsia="Times New Roman" w:cs="Times New Roman"/>
                <w:spacing w:val="8"/>
                <w:sz w:val="19"/>
                <w:szCs w:val="19"/>
              </w:rPr>
              <w:t>2035</w:t>
            </w:r>
            <w:r>
              <w:rPr>
                <w:rFonts w:ascii="Times New Roman" w:hAnsi="Times New Roman" w:eastAsia="Times New Roman" w:cs="Times New Roman"/>
                <w:spacing w:val="19"/>
                <w:w w:val="101"/>
                <w:sz w:val="19"/>
                <w:szCs w:val="19"/>
              </w:rPr>
              <w:t xml:space="preserve"> </w:t>
            </w:r>
            <w:r>
              <w:rPr>
                <w:spacing w:val="8"/>
                <w:sz w:val="19"/>
                <w:szCs w:val="19"/>
              </w:rPr>
              <w:t>年，能源和水资源利用效率达到国际</w:t>
            </w:r>
            <w:r>
              <w:rPr>
                <w:sz w:val="19"/>
                <w:szCs w:val="19"/>
              </w:rPr>
              <w:t xml:space="preserve"> </w:t>
            </w:r>
            <w:r>
              <w:rPr>
                <w:spacing w:val="4"/>
                <w:sz w:val="19"/>
                <w:szCs w:val="19"/>
              </w:rPr>
              <w:t>先进水平。</w:t>
            </w:r>
          </w:p>
        </w:tc>
        <w:tc>
          <w:tcPr>
            <w:tcW w:w="4465" w:type="dxa"/>
            <w:vAlign w:val="top"/>
          </w:tcPr>
          <w:p w14:paraId="3202D14B">
            <w:pPr>
              <w:spacing w:line="267" w:lineRule="auto"/>
              <w:rPr>
                <w:rFonts w:ascii="Arial"/>
                <w:sz w:val="21"/>
              </w:rPr>
            </w:pPr>
          </w:p>
          <w:p w14:paraId="149954AF">
            <w:pPr>
              <w:spacing w:line="268" w:lineRule="auto"/>
              <w:rPr>
                <w:rFonts w:ascii="Arial"/>
                <w:sz w:val="21"/>
              </w:rPr>
            </w:pPr>
          </w:p>
          <w:p w14:paraId="236E7D71">
            <w:pPr>
              <w:pStyle w:val="6"/>
              <w:spacing w:before="62" w:line="252" w:lineRule="auto"/>
              <w:ind w:left="65" w:right="41" w:firstLine="360"/>
              <w:jc w:val="both"/>
              <w:rPr>
                <w:sz w:val="19"/>
                <w:szCs w:val="19"/>
              </w:rPr>
            </w:pPr>
            <w:r>
              <w:rPr>
                <w:spacing w:val="7"/>
                <w:sz w:val="19"/>
                <w:szCs w:val="19"/>
              </w:rPr>
              <w:t>《规划调整》</w:t>
            </w:r>
            <w:r>
              <w:rPr>
                <w:spacing w:val="-44"/>
                <w:sz w:val="19"/>
                <w:szCs w:val="19"/>
              </w:rPr>
              <w:t xml:space="preserve"> </w:t>
            </w:r>
            <w:r>
              <w:rPr>
                <w:spacing w:val="7"/>
                <w:sz w:val="19"/>
                <w:szCs w:val="19"/>
              </w:rPr>
              <w:t>中的新增、调整区块仍需执行原</w:t>
            </w:r>
            <w:r>
              <w:rPr>
                <w:sz w:val="19"/>
                <w:szCs w:val="19"/>
              </w:rPr>
              <w:t xml:space="preserve"> </w:t>
            </w:r>
            <w:r>
              <w:rPr>
                <w:spacing w:val="7"/>
                <w:sz w:val="19"/>
                <w:szCs w:val="19"/>
              </w:rPr>
              <w:t>《规划》提出的开采工艺要求，推行清洁生产，发</w:t>
            </w:r>
            <w:r>
              <w:rPr>
                <w:spacing w:val="17"/>
                <w:sz w:val="19"/>
                <w:szCs w:val="19"/>
              </w:rPr>
              <w:t xml:space="preserve"> </w:t>
            </w:r>
            <w:r>
              <w:rPr>
                <w:spacing w:val="8"/>
                <w:sz w:val="19"/>
                <w:szCs w:val="19"/>
              </w:rPr>
              <w:t>展绿色产业，持续推进绿色矿山建设。符合。</w:t>
            </w:r>
          </w:p>
        </w:tc>
        <w:tc>
          <w:tcPr>
            <w:tcW w:w="1897" w:type="dxa"/>
            <w:tcBorders>
              <w:right w:val="single" w:color="000000" w:sz="10" w:space="0"/>
            </w:tcBorders>
            <w:vAlign w:val="top"/>
          </w:tcPr>
          <w:p w14:paraId="5E7EADDA">
            <w:pPr>
              <w:spacing w:line="278" w:lineRule="auto"/>
              <w:rPr>
                <w:rFonts w:ascii="Arial"/>
                <w:sz w:val="21"/>
              </w:rPr>
            </w:pPr>
          </w:p>
          <w:p w14:paraId="00E1E7BA">
            <w:pPr>
              <w:spacing w:line="278" w:lineRule="auto"/>
              <w:rPr>
                <w:rFonts w:ascii="Arial"/>
                <w:sz w:val="21"/>
              </w:rPr>
            </w:pPr>
          </w:p>
          <w:p w14:paraId="523BD92E">
            <w:pPr>
              <w:spacing w:line="278" w:lineRule="auto"/>
              <w:rPr>
                <w:rFonts w:ascii="Arial"/>
                <w:sz w:val="21"/>
              </w:rPr>
            </w:pPr>
          </w:p>
          <w:p w14:paraId="13DA0F96">
            <w:pPr>
              <w:spacing w:before="55" w:line="199" w:lineRule="auto"/>
              <w:ind w:left="923"/>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r>
      <w:tr w14:paraId="280908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5" w:hRule="atLeast"/>
        </w:trPr>
        <w:tc>
          <w:tcPr>
            <w:tcW w:w="547" w:type="dxa"/>
            <w:tcBorders>
              <w:left w:val="single" w:color="000000" w:sz="10" w:space="0"/>
            </w:tcBorders>
            <w:vAlign w:val="top"/>
          </w:tcPr>
          <w:p w14:paraId="0FFFD5C6">
            <w:pPr>
              <w:spacing w:line="278" w:lineRule="auto"/>
              <w:rPr>
                <w:rFonts w:ascii="Arial"/>
                <w:sz w:val="21"/>
              </w:rPr>
            </w:pPr>
          </w:p>
          <w:p w14:paraId="267DC132">
            <w:pPr>
              <w:spacing w:line="278" w:lineRule="auto"/>
              <w:rPr>
                <w:rFonts w:ascii="Arial"/>
                <w:sz w:val="21"/>
              </w:rPr>
            </w:pPr>
          </w:p>
          <w:p w14:paraId="67C42C88">
            <w:pPr>
              <w:spacing w:line="278" w:lineRule="auto"/>
              <w:rPr>
                <w:rFonts w:ascii="Arial"/>
                <w:sz w:val="21"/>
              </w:rPr>
            </w:pPr>
          </w:p>
          <w:p w14:paraId="7FD22BDA">
            <w:pPr>
              <w:spacing w:before="58" w:line="195" w:lineRule="auto"/>
              <w:ind w:left="17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1273" w:type="dxa"/>
            <w:vAlign w:val="top"/>
          </w:tcPr>
          <w:p w14:paraId="0D517639">
            <w:pPr>
              <w:pStyle w:val="6"/>
              <w:spacing w:before="45" w:line="231" w:lineRule="auto"/>
              <w:ind w:left="106"/>
              <w:rPr>
                <w:sz w:val="20"/>
                <w:szCs w:val="20"/>
              </w:rPr>
            </w:pPr>
            <w:r>
              <w:rPr>
                <w:spacing w:val="7"/>
                <w:sz w:val="20"/>
                <w:szCs w:val="20"/>
              </w:rPr>
              <w:t>《重庆市国</w:t>
            </w:r>
          </w:p>
          <w:p w14:paraId="74B6E20F">
            <w:pPr>
              <w:pStyle w:val="6"/>
              <w:spacing w:before="23" w:line="251" w:lineRule="auto"/>
              <w:ind w:left="91" w:firstLine="17"/>
              <w:rPr>
                <w:sz w:val="20"/>
                <w:szCs w:val="20"/>
              </w:rPr>
            </w:pPr>
            <w:r>
              <w:rPr>
                <w:spacing w:val="3"/>
                <w:sz w:val="20"/>
                <w:szCs w:val="20"/>
              </w:rPr>
              <w:t>土空间总体</w:t>
            </w:r>
            <w:r>
              <w:rPr>
                <w:sz w:val="20"/>
                <w:szCs w:val="20"/>
              </w:rPr>
              <w:t xml:space="preserve">  </w:t>
            </w:r>
            <w:r>
              <w:rPr>
                <w:spacing w:val="5"/>
                <w:sz w:val="20"/>
                <w:szCs w:val="20"/>
              </w:rPr>
              <w:t>规划（</w:t>
            </w:r>
            <w:r>
              <w:rPr>
                <w:rFonts w:ascii="Times New Roman" w:hAnsi="Times New Roman" w:eastAsia="Times New Roman" w:cs="Times New Roman"/>
                <w:spacing w:val="5"/>
                <w:sz w:val="20"/>
                <w:szCs w:val="20"/>
              </w:rPr>
              <w:t>2021</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12"/>
                <w:sz w:val="20"/>
                <w:szCs w:val="20"/>
              </w:rPr>
              <w:t>—2035</w:t>
            </w:r>
            <w:r>
              <w:rPr>
                <w:rFonts w:ascii="Times New Roman" w:hAnsi="Times New Roman" w:eastAsia="Times New Roman" w:cs="Times New Roman"/>
                <w:spacing w:val="21"/>
                <w:sz w:val="20"/>
                <w:szCs w:val="20"/>
              </w:rPr>
              <w:t xml:space="preserve"> </w:t>
            </w:r>
            <w:r>
              <w:rPr>
                <w:spacing w:val="-12"/>
                <w:sz w:val="20"/>
                <w:szCs w:val="20"/>
              </w:rPr>
              <w:t>年）》</w:t>
            </w:r>
            <w:r>
              <w:rPr>
                <w:sz w:val="20"/>
                <w:szCs w:val="20"/>
              </w:rPr>
              <w:t xml:space="preserve"> </w:t>
            </w:r>
            <w:r>
              <w:rPr>
                <w:spacing w:val="6"/>
                <w:sz w:val="20"/>
                <w:szCs w:val="20"/>
              </w:rPr>
              <w:t>（国函</w:t>
            </w:r>
          </w:p>
          <w:p w14:paraId="19F7F69C">
            <w:pPr>
              <w:pStyle w:val="6"/>
              <w:spacing w:before="1" w:line="225" w:lineRule="auto"/>
              <w:ind w:left="112" w:right="124" w:firstLine="17"/>
              <w:rPr>
                <w:sz w:val="20"/>
                <w:szCs w:val="20"/>
              </w:rPr>
            </w:pPr>
            <w:r>
              <w:rPr>
                <w:spacing w:val="1"/>
                <w:sz w:val="20"/>
                <w:szCs w:val="20"/>
              </w:rPr>
              <w:t>〔</w:t>
            </w:r>
            <w:r>
              <w:rPr>
                <w:rFonts w:ascii="Times New Roman" w:hAnsi="Times New Roman" w:eastAsia="Times New Roman" w:cs="Times New Roman"/>
                <w:spacing w:val="1"/>
                <w:sz w:val="20"/>
                <w:szCs w:val="20"/>
              </w:rPr>
              <w:t>2024</w:t>
            </w:r>
            <w:r>
              <w:rPr>
                <w:spacing w:val="1"/>
                <w:sz w:val="20"/>
                <w:szCs w:val="20"/>
              </w:rPr>
              <w:t>〕</w:t>
            </w:r>
            <w:r>
              <w:rPr>
                <w:rFonts w:ascii="Times New Roman" w:hAnsi="Times New Roman" w:eastAsia="Times New Roman" w:cs="Times New Roman"/>
                <w:spacing w:val="1"/>
                <w:sz w:val="20"/>
                <w:szCs w:val="20"/>
              </w:rPr>
              <w:t>32</w:t>
            </w:r>
            <w:r>
              <w:rPr>
                <w:rFonts w:ascii="Times New Roman" w:hAnsi="Times New Roman" w:eastAsia="Times New Roman" w:cs="Times New Roman"/>
                <w:spacing w:val="4"/>
                <w:sz w:val="20"/>
                <w:szCs w:val="20"/>
              </w:rPr>
              <w:t xml:space="preserve"> </w:t>
            </w:r>
            <w:r>
              <w:rPr>
                <w:spacing w:val="-5"/>
                <w:sz w:val="20"/>
                <w:szCs w:val="20"/>
              </w:rPr>
              <w:t>号）</w:t>
            </w:r>
          </w:p>
        </w:tc>
        <w:tc>
          <w:tcPr>
            <w:tcW w:w="6289" w:type="dxa"/>
            <w:vAlign w:val="top"/>
          </w:tcPr>
          <w:p w14:paraId="32AF2F62">
            <w:pPr>
              <w:spacing w:line="388" w:lineRule="auto"/>
              <w:rPr>
                <w:rFonts w:ascii="Arial"/>
                <w:sz w:val="21"/>
              </w:rPr>
            </w:pPr>
          </w:p>
          <w:p w14:paraId="65738D60">
            <w:pPr>
              <w:pStyle w:val="6"/>
              <w:spacing w:before="65" w:line="250" w:lineRule="auto"/>
              <w:ind w:left="110" w:right="105" w:firstLine="6"/>
              <w:jc w:val="both"/>
              <w:rPr>
                <w:sz w:val="20"/>
                <w:szCs w:val="20"/>
              </w:rPr>
            </w:pPr>
            <w:r>
              <w:rPr>
                <w:spacing w:val="8"/>
                <w:sz w:val="20"/>
                <w:szCs w:val="20"/>
              </w:rPr>
              <w:t>二、筑牢安全发展的空间基础。到</w:t>
            </w:r>
            <w:r>
              <w:rPr>
                <w:spacing w:val="-43"/>
                <w:sz w:val="20"/>
                <w:szCs w:val="20"/>
              </w:rPr>
              <w:t xml:space="preserve"> </w:t>
            </w:r>
            <w:r>
              <w:rPr>
                <w:rFonts w:ascii="Times New Roman" w:hAnsi="Times New Roman" w:eastAsia="Times New Roman" w:cs="Times New Roman"/>
                <w:spacing w:val="8"/>
                <w:sz w:val="20"/>
                <w:szCs w:val="20"/>
              </w:rPr>
              <w:t>2035</w:t>
            </w:r>
            <w:r>
              <w:rPr>
                <w:rFonts w:ascii="Times New Roman" w:hAnsi="Times New Roman" w:eastAsia="Times New Roman" w:cs="Times New Roman"/>
                <w:spacing w:val="19"/>
                <w:w w:val="101"/>
                <w:sz w:val="20"/>
                <w:szCs w:val="20"/>
              </w:rPr>
              <w:t xml:space="preserve"> </w:t>
            </w:r>
            <w:r>
              <w:rPr>
                <w:spacing w:val="8"/>
                <w:sz w:val="20"/>
                <w:szCs w:val="20"/>
              </w:rPr>
              <w:t>年，重庆市耕</w:t>
            </w:r>
            <w:r>
              <w:rPr>
                <w:spacing w:val="7"/>
                <w:sz w:val="20"/>
                <w:szCs w:val="20"/>
              </w:rPr>
              <w:t>地保有量不</w:t>
            </w:r>
            <w:r>
              <w:rPr>
                <w:sz w:val="20"/>
                <w:szCs w:val="20"/>
              </w:rPr>
              <w:t xml:space="preserve">  </w:t>
            </w:r>
            <w:r>
              <w:rPr>
                <w:spacing w:val="6"/>
                <w:sz w:val="20"/>
                <w:szCs w:val="20"/>
              </w:rPr>
              <w:t>低于</w:t>
            </w:r>
            <w:r>
              <w:rPr>
                <w:spacing w:val="-38"/>
                <w:sz w:val="20"/>
                <w:szCs w:val="20"/>
              </w:rPr>
              <w:t xml:space="preserve"> </w:t>
            </w:r>
            <w:r>
              <w:rPr>
                <w:rFonts w:ascii="Times New Roman" w:hAnsi="Times New Roman" w:eastAsia="Times New Roman" w:cs="Times New Roman"/>
                <w:spacing w:val="6"/>
                <w:sz w:val="20"/>
                <w:szCs w:val="20"/>
              </w:rPr>
              <w:t>2664.00</w:t>
            </w:r>
            <w:r>
              <w:rPr>
                <w:rFonts w:ascii="Times New Roman" w:hAnsi="Times New Roman" w:eastAsia="Times New Roman" w:cs="Times New Roman"/>
                <w:spacing w:val="20"/>
                <w:sz w:val="20"/>
                <w:szCs w:val="20"/>
              </w:rPr>
              <w:t xml:space="preserve"> </w:t>
            </w:r>
            <w:r>
              <w:rPr>
                <w:spacing w:val="6"/>
                <w:sz w:val="20"/>
                <w:szCs w:val="20"/>
              </w:rPr>
              <w:t>万亩，其中永久基本农田保护面积不低于</w:t>
            </w:r>
            <w:r>
              <w:rPr>
                <w:spacing w:val="-41"/>
                <w:sz w:val="20"/>
                <w:szCs w:val="20"/>
              </w:rPr>
              <w:t xml:space="preserve"> </w:t>
            </w:r>
            <w:r>
              <w:rPr>
                <w:rFonts w:ascii="Times New Roman" w:hAnsi="Times New Roman" w:eastAsia="Times New Roman" w:cs="Times New Roman"/>
                <w:spacing w:val="6"/>
                <w:sz w:val="20"/>
                <w:szCs w:val="20"/>
              </w:rPr>
              <w:t>2064.00</w:t>
            </w:r>
            <w:r>
              <w:rPr>
                <w:rFonts w:ascii="Times New Roman" w:hAnsi="Times New Roman" w:eastAsia="Times New Roman" w:cs="Times New Roman"/>
                <w:spacing w:val="17"/>
                <w:w w:val="101"/>
                <w:sz w:val="20"/>
                <w:szCs w:val="20"/>
              </w:rPr>
              <w:t xml:space="preserve"> </w:t>
            </w:r>
            <w:r>
              <w:rPr>
                <w:spacing w:val="6"/>
                <w:sz w:val="20"/>
                <w:szCs w:val="20"/>
              </w:rPr>
              <w:t>万</w:t>
            </w:r>
            <w:r>
              <w:rPr>
                <w:sz w:val="20"/>
                <w:szCs w:val="20"/>
              </w:rPr>
              <w:t xml:space="preserve">  </w:t>
            </w:r>
            <w:r>
              <w:rPr>
                <w:spacing w:val="5"/>
                <w:sz w:val="20"/>
                <w:szCs w:val="20"/>
              </w:rPr>
              <w:t>亩；生态保护红线面积不低于</w:t>
            </w:r>
            <w:r>
              <w:rPr>
                <w:spacing w:val="-6"/>
                <w:sz w:val="20"/>
                <w:szCs w:val="20"/>
              </w:rPr>
              <w:t xml:space="preserve"> </w:t>
            </w:r>
            <w:r>
              <w:rPr>
                <w:rFonts w:ascii="Times New Roman" w:hAnsi="Times New Roman" w:eastAsia="Times New Roman" w:cs="Times New Roman"/>
                <w:spacing w:val="5"/>
                <w:sz w:val="20"/>
                <w:szCs w:val="20"/>
              </w:rPr>
              <w:t>1.92</w:t>
            </w:r>
            <w:r>
              <w:rPr>
                <w:rFonts w:ascii="Times New Roman" w:hAnsi="Times New Roman" w:eastAsia="Times New Roman" w:cs="Times New Roman"/>
                <w:spacing w:val="17"/>
                <w:w w:val="101"/>
                <w:sz w:val="20"/>
                <w:szCs w:val="20"/>
              </w:rPr>
              <w:t xml:space="preserve"> </w:t>
            </w:r>
            <w:r>
              <w:rPr>
                <w:spacing w:val="5"/>
                <w:sz w:val="20"/>
                <w:szCs w:val="20"/>
              </w:rPr>
              <w:t>万平方千米；城镇开发边界扩展</w:t>
            </w:r>
            <w:r>
              <w:rPr>
                <w:sz w:val="20"/>
                <w:szCs w:val="20"/>
              </w:rPr>
              <w:t xml:space="preserve"> </w:t>
            </w:r>
            <w:r>
              <w:rPr>
                <w:spacing w:val="5"/>
                <w:sz w:val="20"/>
                <w:szCs w:val="20"/>
              </w:rPr>
              <w:t>倍数控制在基于</w:t>
            </w:r>
            <w:r>
              <w:rPr>
                <w:spacing w:val="-31"/>
                <w:sz w:val="20"/>
                <w:szCs w:val="20"/>
              </w:rPr>
              <w:t xml:space="preserve"> </w:t>
            </w:r>
            <w:r>
              <w:rPr>
                <w:rFonts w:ascii="Times New Roman" w:hAnsi="Times New Roman" w:eastAsia="Times New Roman" w:cs="Times New Roman"/>
                <w:spacing w:val="5"/>
                <w:sz w:val="20"/>
                <w:szCs w:val="20"/>
              </w:rPr>
              <w:t>2020</w:t>
            </w:r>
            <w:r>
              <w:rPr>
                <w:rFonts w:ascii="Times New Roman" w:hAnsi="Times New Roman" w:eastAsia="Times New Roman" w:cs="Times New Roman"/>
                <w:spacing w:val="20"/>
                <w:sz w:val="20"/>
                <w:szCs w:val="20"/>
              </w:rPr>
              <w:t xml:space="preserve"> </w:t>
            </w:r>
            <w:r>
              <w:rPr>
                <w:spacing w:val="5"/>
                <w:sz w:val="20"/>
                <w:szCs w:val="20"/>
              </w:rPr>
              <w:t>年城镇建设用地规模的</w:t>
            </w:r>
            <w:r>
              <w:rPr>
                <w:spacing w:val="-21"/>
                <w:sz w:val="20"/>
                <w:szCs w:val="20"/>
              </w:rPr>
              <w:t xml:space="preserve"> </w:t>
            </w:r>
            <w:r>
              <w:rPr>
                <w:rFonts w:ascii="Times New Roman" w:hAnsi="Times New Roman" w:eastAsia="Times New Roman" w:cs="Times New Roman"/>
                <w:spacing w:val="5"/>
                <w:sz w:val="20"/>
                <w:szCs w:val="20"/>
              </w:rPr>
              <w:t>1.3</w:t>
            </w:r>
            <w:r>
              <w:rPr>
                <w:rFonts w:ascii="Times New Roman" w:hAnsi="Times New Roman" w:eastAsia="Times New Roman" w:cs="Times New Roman"/>
                <w:spacing w:val="17"/>
                <w:w w:val="101"/>
                <w:sz w:val="20"/>
                <w:szCs w:val="20"/>
              </w:rPr>
              <w:t xml:space="preserve"> </w:t>
            </w:r>
            <w:r>
              <w:rPr>
                <w:spacing w:val="5"/>
                <w:sz w:val="20"/>
                <w:szCs w:val="20"/>
              </w:rPr>
              <w:t>倍以内。</w:t>
            </w:r>
          </w:p>
        </w:tc>
        <w:tc>
          <w:tcPr>
            <w:tcW w:w="4465" w:type="dxa"/>
            <w:vAlign w:val="top"/>
          </w:tcPr>
          <w:p w14:paraId="20ED9779">
            <w:pPr>
              <w:spacing w:line="413" w:lineRule="auto"/>
              <w:rPr>
                <w:rFonts w:ascii="Arial"/>
                <w:sz w:val="21"/>
              </w:rPr>
            </w:pPr>
          </w:p>
          <w:p w14:paraId="2764C0AA">
            <w:pPr>
              <w:pStyle w:val="6"/>
              <w:spacing w:before="62" w:line="255" w:lineRule="auto"/>
              <w:ind w:left="66" w:right="40" w:firstLine="360"/>
              <w:jc w:val="both"/>
              <w:rPr>
                <w:sz w:val="19"/>
                <w:szCs w:val="19"/>
              </w:rPr>
            </w:pPr>
            <w:r>
              <w:rPr>
                <w:spacing w:val="5"/>
                <w:sz w:val="19"/>
                <w:szCs w:val="19"/>
              </w:rPr>
              <w:t>本次评价的</w:t>
            </w:r>
            <w:r>
              <w:rPr>
                <w:spacing w:val="-20"/>
                <w:sz w:val="19"/>
                <w:szCs w:val="19"/>
              </w:rPr>
              <w:t xml:space="preserve"> </w:t>
            </w:r>
            <w:r>
              <w:rPr>
                <w:rFonts w:ascii="Times New Roman" w:hAnsi="Times New Roman" w:eastAsia="Times New Roman" w:cs="Times New Roman"/>
                <w:spacing w:val="5"/>
                <w:sz w:val="19"/>
                <w:szCs w:val="19"/>
              </w:rPr>
              <w:t>3</w:t>
            </w:r>
            <w:r>
              <w:rPr>
                <w:rFonts w:ascii="Times New Roman" w:hAnsi="Times New Roman" w:eastAsia="Times New Roman" w:cs="Times New Roman"/>
                <w:spacing w:val="18"/>
                <w:sz w:val="19"/>
                <w:szCs w:val="19"/>
              </w:rPr>
              <w:t xml:space="preserve"> </w:t>
            </w:r>
            <w:r>
              <w:rPr>
                <w:spacing w:val="5"/>
                <w:sz w:val="19"/>
                <w:szCs w:val="19"/>
              </w:rPr>
              <w:t>个勘查区块和</w:t>
            </w:r>
            <w:r>
              <w:rPr>
                <w:spacing w:val="-21"/>
                <w:sz w:val="19"/>
                <w:szCs w:val="19"/>
              </w:rPr>
              <w:t xml:space="preserve"> </w:t>
            </w:r>
            <w:r>
              <w:rPr>
                <w:rFonts w:ascii="Times New Roman" w:hAnsi="Times New Roman" w:eastAsia="Times New Roman" w:cs="Times New Roman"/>
                <w:spacing w:val="5"/>
                <w:sz w:val="19"/>
                <w:szCs w:val="19"/>
              </w:rPr>
              <w:t>1</w:t>
            </w:r>
            <w:r>
              <w:rPr>
                <w:rFonts w:ascii="Times New Roman" w:hAnsi="Times New Roman" w:eastAsia="Times New Roman" w:cs="Times New Roman"/>
                <w:spacing w:val="18"/>
                <w:sz w:val="19"/>
                <w:szCs w:val="19"/>
              </w:rPr>
              <w:t xml:space="preserve"> </w:t>
            </w:r>
            <w:r>
              <w:rPr>
                <w:spacing w:val="5"/>
                <w:sz w:val="19"/>
                <w:szCs w:val="19"/>
              </w:rPr>
              <w:t>个开采区块均不</w:t>
            </w:r>
            <w:r>
              <w:rPr>
                <w:sz w:val="19"/>
                <w:szCs w:val="19"/>
              </w:rPr>
              <w:t xml:space="preserve"> </w:t>
            </w:r>
            <w:r>
              <w:rPr>
                <w:spacing w:val="7"/>
                <w:sz w:val="19"/>
                <w:szCs w:val="19"/>
              </w:rPr>
              <w:t>占用生态保护红和城镇开发边界。</w:t>
            </w:r>
            <w:r>
              <w:rPr>
                <w:rFonts w:ascii="Times New Roman" w:hAnsi="Times New Roman" w:eastAsia="Times New Roman" w:cs="Times New Roman"/>
                <w:sz w:val="19"/>
                <w:szCs w:val="19"/>
              </w:rPr>
              <w:t>KQ</w:t>
            </w:r>
            <w:r>
              <w:rPr>
                <w:rFonts w:ascii="Times New Roman" w:hAnsi="Times New Roman" w:eastAsia="Times New Roman" w:cs="Times New Roman"/>
                <w:spacing w:val="7"/>
                <w:sz w:val="19"/>
                <w:szCs w:val="19"/>
              </w:rPr>
              <w:t>004</w:t>
            </w:r>
            <w:r>
              <w:rPr>
                <w:rFonts w:ascii="Times New Roman" w:hAnsi="Times New Roman" w:eastAsia="Times New Roman" w:cs="Times New Roman"/>
                <w:spacing w:val="-9"/>
                <w:sz w:val="19"/>
                <w:szCs w:val="19"/>
              </w:rPr>
              <w:t xml:space="preserve"> </w:t>
            </w:r>
            <w:r>
              <w:rPr>
                <w:spacing w:val="7"/>
                <w:sz w:val="19"/>
                <w:szCs w:val="19"/>
              </w:rPr>
              <w:t>、</w:t>
            </w:r>
            <w:r>
              <w:rPr>
                <w:rFonts w:ascii="Times New Roman" w:hAnsi="Times New Roman" w:eastAsia="Times New Roman" w:cs="Times New Roman"/>
                <w:sz w:val="19"/>
                <w:szCs w:val="19"/>
              </w:rPr>
              <w:t>KQ</w:t>
            </w:r>
            <w:r>
              <w:rPr>
                <w:rFonts w:ascii="Times New Roman" w:hAnsi="Times New Roman" w:eastAsia="Times New Roman" w:cs="Times New Roman"/>
                <w:spacing w:val="7"/>
                <w:sz w:val="19"/>
                <w:szCs w:val="19"/>
              </w:rPr>
              <w:t>009</w:t>
            </w:r>
            <w:r>
              <w:rPr>
                <w:rFonts w:ascii="Times New Roman" w:hAnsi="Times New Roman" w:eastAsia="Times New Roman" w:cs="Times New Roman"/>
                <w:sz w:val="19"/>
                <w:szCs w:val="19"/>
              </w:rPr>
              <w:t xml:space="preserve"> </w:t>
            </w:r>
            <w:r>
              <w:rPr>
                <w:spacing w:val="7"/>
                <w:sz w:val="19"/>
                <w:szCs w:val="19"/>
              </w:rPr>
              <w:t>部分占用永久基本农田，其余均不占用永久基本农</w:t>
            </w:r>
            <w:r>
              <w:rPr>
                <w:spacing w:val="16"/>
                <w:sz w:val="19"/>
                <w:szCs w:val="19"/>
              </w:rPr>
              <w:t xml:space="preserve"> </w:t>
            </w:r>
            <w:r>
              <w:rPr>
                <w:spacing w:val="-3"/>
                <w:sz w:val="19"/>
                <w:szCs w:val="19"/>
              </w:rPr>
              <w:t>田。</w:t>
            </w:r>
          </w:p>
        </w:tc>
        <w:tc>
          <w:tcPr>
            <w:tcW w:w="1897" w:type="dxa"/>
            <w:tcBorders>
              <w:right w:val="single" w:color="000000" w:sz="10" w:space="0"/>
            </w:tcBorders>
            <w:vAlign w:val="top"/>
          </w:tcPr>
          <w:p w14:paraId="665DB98F">
            <w:pPr>
              <w:spacing w:line="327" w:lineRule="auto"/>
              <w:rPr>
                <w:rFonts w:ascii="Arial"/>
                <w:sz w:val="21"/>
              </w:rPr>
            </w:pPr>
          </w:p>
          <w:p w14:paraId="2E7DC35B">
            <w:pPr>
              <w:spacing w:line="328" w:lineRule="auto"/>
              <w:rPr>
                <w:rFonts w:ascii="Arial"/>
                <w:sz w:val="21"/>
              </w:rPr>
            </w:pPr>
          </w:p>
          <w:p w14:paraId="05D22E46">
            <w:pPr>
              <w:pStyle w:val="6"/>
              <w:spacing w:before="65" w:line="231" w:lineRule="auto"/>
              <w:ind w:left="228"/>
              <w:rPr>
                <w:sz w:val="20"/>
                <w:szCs w:val="20"/>
              </w:rPr>
            </w:pPr>
            <w:r>
              <w:rPr>
                <w:spacing w:val="7"/>
                <w:sz w:val="20"/>
                <w:szCs w:val="20"/>
              </w:rPr>
              <w:t>优化调整建议见</w:t>
            </w:r>
          </w:p>
          <w:p w14:paraId="280BD4C4">
            <w:pPr>
              <w:pStyle w:val="6"/>
              <w:spacing w:before="23" w:line="230" w:lineRule="auto"/>
              <w:ind w:left="401"/>
              <w:rPr>
                <w:sz w:val="20"/>
                <w:szCs w:val="20"/>
              </w:rPr>
            </w:pPr>
            <w:r>
              <w:rPr>
                <w:rFonts w:ascii="Times New Roman" w:hAnsi="Times New Roman" w:eastAsia="Times New Roman" w:cs="Times New Roman"/>
                <w:spacing w:val="2"/>
                <w:sz w:val="20"/>
                <w:szCs w:val="20"/>
              </w:rPr>
              <w:t>2.3.5</w:t>
            </w:r>
            <w:r>
              <w:rPr>
                <w:rFonts w:ascii="Times New Roman" w:hAnsi="Times New Roman" w:eastAsia="Times New Roman" w:cs="Times New Roman"/>
                <w:spacing w:val="19"/>
                <w:sz w:val="20"/>
                <w:szCs w:val="20"/>
              </w:rPr>
              <w:t xml:space="preserve"> </w:t>
            </w:r>
            <w:r>
              <w:rPr>
                <w:spacing w:val="2"/>
                <w:sz w:val="20"/>
                <w:szCs w:val="20"/>
              </w:rPr>
              <w:t>章节。</w:t>
            </w:r>
          </w:p>
        </w:tc>
      </w:tr>
      <w:tr w14:paraId="77176A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6" w:hRule="atLeast"/>
        </w:trPr>
        <w:tc>
          <w:tcPr>
            <w:tcW w:w="547" w:type="dxa"/>
            <w:tcBorders>
              <w:left w:val="single" w:color="000000" w:sz="10" w:space="0"/>
              <w:bottom w:val="single" w:color="000000" w:sz="10" w:space="0"/>
            </w:tcBorders>
            <w:vAlign w:val="top"/>
          </w:tcPr>
          <w:p w14:paraId="3A45D5AF">
            <w:pPr>
              <w:spacing w:line="353" w:lineRule="auto"/>
              <w:rPr>
                <w:rFonts w:ascii="Arial"/>
                <w:sz w:val="21"/>
              </w:rPr>
            </w:pPr>
          </w:p>
          <w:p w14:paraId="01B3B5CA">
            <w:pPr>
              <w:spacing w:line="353" w:lineRule="auto"/>
              <w:rPr>
                <w:rFonts w:ascii="Arial"/>
                <w:sz w:val="21"/>
              </w:rPr>
            </w:pPr>
          </w:p>
          <w:p w14:paraId="39E16C81">
            <w:pPr>
              <w:spacing w:before="58" w:line="195" w:lineRule="auto"/>
              <w:ind w:left="17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1273" w:type="dxa"/>
            <w:tcBorders>
              <w:bottom w:val="single" w:color="000000" w:sz="10" w:space="0"/>
            </w:tcBorders>
            <w:vAlign w:val="top"/>
          </w:tcPr>
          <w:p w14:paraId="3FA33385">
            <w:pPr>
              <w:pStyle w:val="6"/>
              <w:spacing w:before="52" w:line="232" w:lineRule="auto"/>
              <w:ind w:left="106"/>
              <w:rPr>
                <w:sz w:val="20"/>
                <w:szCs w:val="20"/>
              </w:rPr>
            </w:pPr>
            <w:r>
              <w:rPr>
                <w:spacing w:val="7"/>
                <w:sz w:val="20"/>
                <w:szCs w:val="20"/>
              </w:rPr>
              <w:t>《自然资源</w:t>
            </w:r>
          </w:p>
          <w:p w14:paraId="3A599646">
            <w:pPr>
              <w:pStyle w:val="6"/>
              <w:spacing w:before="20" w:line="231" w:lineRule="auto"/>
              <w:ind w:left="107"/>
              <w:rPr>
                <w:sz w:val="20"/>
                <w:szCs w:val="20"/>
              </w:rPr>
            </w:pPr>
            <w:r>
              <w:rPr>
                <w:spacing w:val="6"/>
                <w:sz w:val="20"/>
                <w:szCs w:val="20"/>
              </w:rPr>
              <w:t>部关于深化</w:t>
            </w:r>
          </w:p>
          <w:p w14:paraId="69F4E9EC">
            <w:pPr>
              <w:pStyle w:val="6"/>
              <w:spacing w:before="21" w:line="232" w:lineRule="auto"/>
              <w:ind w:left="106"/>
              <w:rPr>
                <w:sz w:val="20"/>
                <w:szCs w:val="20"/>
              </w:rPr>
            </w:pPr>
            <w:r>
              <w:rPr>
                <w:spacing w:val="7"/>
                <w:sz w:val="20"/>
                <w:szCs w:val="20"/>
              </w:rPr>
              <w:t>矿产资源管</w:t>
            </w:r>
          </w:p>
          <w:p w14:paraId="20C0FE04">
            <w:pPr>
              <w:pStyle w:val="6"/>
              <w:spacing w:before="21" w:line="251" w:lineRule="auto"/>
              <w:ind w:left="106" w:right="125" w:firstLine="1"/>
              <w:rPr>
                <w:sz w:val="20"/>
                <w:szCs w:val="20"/>
              </w:rPr>
            </w:pPr>
            <w:r>
              <w:rPr>
                <w:spacing w:val="6"/>
                <w:sz w:val="20"/>
                <w:szCs w:val="20"/>
              </w:rPr>
              <w:t>理改革若干</w:t>
            </w:r>
            <w:r>
              <w:rPr>
                <w:spacing w:val="2"/>
                <w:sz w:val="20"/>
                <w:szCs w:val="20"/>
              </w:rPr>
              <w:t xml:space="preserve"> </w:t>
            </w:r>
            <w:r>
              <w:rPr>
                <w:spacing w:val="5"/>
                <w:sz w:val="20"/>
                <w:szCs w:val="20"/>
              </w:rPr>
              <w:t>事项的意</w:t>
            </w:r>
          </w:p>
          <w:p w14:paraId="583A9E6E">
            <w:pPr>
              <w:pStyle w:val="6"/>
              <w:spacing w:before="1" w:line="214" w:lineRule="auto"/>
              <w:ind w:left="108"/>
              <w:rPr>
                <w:sz w:val="20"/>
                <w:szCs w:val="20"/>
              </w:rPr>
            </w:pPr>
            <w:r>
              <w:rPr>
                <w:spacing w:val="-10"/>
                <w:sz w:val="20"/>
                <w:szCs w:val="20"/>
              </w:rPr>
              <w:t>见》（</w:t>
            </w:r>
            <w:r>
              <w:rPr>
                <w:spacing w:val="-17"/>
                <w:sz w:val="20"/>
                <w:szCs w:val="20"/>
              </w:rPr>
              <w:t xml:space="preserve"> </w:t>
            </w:r>
            <w:r>
              <w:rPr>
                <w:spacing w:val="-10"/>
                <w:sz w:val="20"/>
                <w:szCs w:val="20"/>
              </w:rPr>
              <w:t>自然</w:t>
            </w:r>
          </w:p>
        </w:tc>
        <w:tc>
          <w:tcPr>
            <w:tcW w:w="6289" w:type="dxa"/>
            <w:tcBorders>
              <w:bottom w:val="single" w:color="000000" w:sz="10" w:space="0"/>
            </w:tcBorders>
            <w:vAlign w:val="top"/>
          </w:tcPr>
          <w:p w14:paraId="4C1AE5FF">
            <w:pPr>
              <w:pStyle w:val="6"/>
              <w:spacing w:before="53" w:line="231" w:lineRule="auto"/>
              <w:ind w:left="116"/>
              <w:rPr>
                <w:sz w:val="20"/>
                <w:szCs w:val="20"/>
              </w:rPr>
            </w:pPr>
            <w:r>
              <w:rPr>
                <w:spacing w:val="7"/>
                <w:sz w:val="20"/>
                <w:szCs w:val="20"/>
              </w:rPr>
              <w:t>三、积极推进</w:t>
            </w:r>
            <w:r>
              <w:rPr>
                <w:rFonts w:ascii="Times New Roman" w:hAnsi="Times New Roman" w:eastAsia="Times New Roman" w:cs="Times New Roman"/>
                <w:spacing w:val="7"/>
                <w:sz w:val="20"/>
                <w:szCs w:val="20"/>
              </w:rPr>
              <w:t>“</w:t>
            </w:r>
            <w:r>
              <w:rPr>
                <w:spacing w:val="7"/>
                <w:sz w:val="20"/>
                <w:szCs w:val="20"/>
              </w:rPr>
              <w:t>净矿</w:t>
            </w:r>
            <w:r>
              <w:rPr>
                <w:rFonts w:ascii="Times New Roman" w:hAnsi="Times New Roman" w:eastAsia="Times New Roman" w:cs="Times New Roman"/>
                <w:spacing w:val="7"/>
                <w:sz w:val="20"/>
                <w:szCs w:val="20"/>
              </w:rPr>
              <w:t>”</w:t>
            </w:r>
            <w:r>
              <w:rPr>
                <w:spacing w:val="7"/>
                <w:sz w:val="20"/>
                <w:szCs w:val="20"/>
              </w:rPr>
              <w:t>出让</w:t>
            </w:r>
          </w:p>
          <w:p w14:paraId="1E052CF4">
            <w:pPr>
              <w:pStyle w:val="6"/>
              <w:spacing w:before="21" w:line="244" w:lineRule="auto"/>
              <w:ind w:left="110" w:right="105" w:firstLine="424"/>
              <w:jc w:val="both"/>
              <w:rPr>
                <w:sz w:val="20"/>
                <w:szCs w:val="20"/>
              </w:rPr>
            </w:pPr>
            <w:r>
              <w:rPr>
                <w:spacing w:val="8"/>
                <w:sz w:val="20"/>
                <w:szCs w:val="20"/>
              </w:rPr>
              <w:t>实行砂石土采矿权</w:t>
            </w:r>
            <w:r>
              <w:rPr>
                <w:rFonts w:ascii="Times New Roman" w:hAnsi="Times New Roman" w:eastAsia="Times New Roman" w:cs="Times New Roman"/>
                <w:spacing w:val="8"/>
                <w:sz w:val="20"/>
                <w:szCs w:val="20"/>
              </w:rPr>
              <w:t>“</w:t>
            </w:r>
            <w:r>
              <w:rPr>
                <w:spacing w:val="8"/>
                <w:sz w:val="20"/>
                <w:szCs w:val="20"/>
              </w:rPr>
              <w:t>净矿</w:t>
            </w:r>
            <w:r>
              <w:rPr>
                <w:rFonts w:ascii="Times New Roman" w:hAnsi="Times New Roman" w:eastAsia="Times New Roman" w:cs="Times New Roman"/>
                <w:spacing w:val="8"/>
                <w:sz w:val="20"/>
                <w:szCs w:val="20"/>
              </w:rPr>
              <w:t>”</w:t>
            </w:r>
            <w:r>
              <w:rPr>
                <w:spacing w:val="8"/>
                <w:sz w:val="20"/>
                <w:szCs w:val="20"/>
              </w:rPr>
              <w:t>出让，积极推进其他矿种的</w:t>
            </w:r>
            <w:r>
              <w:rPr>
                <w:rFonts w:ascii="Times New Roman" w:hAnsi="Times New Roman" w:eastAsia="Times New Roman" w:cs="Times New Roman"/>
                <w:spacing w:val="8"/>
                <w:sz w:val="20"/>
                <w:szCs w:val="20"/>
              </w:rPr>
              <w:t>“</w:t>
            </w:r>
            <w:r>
              <w:rPr>
                <w:spacing w:val="8"/>
                <w:sz w:val="20"/>
                <w:szCs w:val="20"/>
              </w:rPr>
              <w:t>净矿</w:t>
            </w:r>
            <w:r>
              <w:rPr>
                <w:rFonts w:ascii="Times New Roman" w:hAnsi="Times New Roman" w:eastAsia="Times New Roman" w:cs="Times New Roman"/>
                <w:spacing w:val="8"/>
                <w:sz w:val="20"/>
                <w:szCs w:val="20"/>
              </w:rPr>
              <w:t>”</w:t>
            </w:r>
            <w:r>
              <w:rPr>
                <w:spacing w:val="8"/>
                <w:sz w:val="20"/>
                <w:szCs w:val="20"/>
              </w:rPr>
              <w:t>出</w:t>
            </w:r>
            <w:r>
              <w:rPr>
                <w:spacing w:val="14"/>
                <w:sz w:val="20"/>
                <w:szCs w:val="20"/>
              </w:rPr>
              <w:t xml:space="preserve"> </w:t>
            </w:r>
            <w:r>
              <w:rPr>
                <w:spacing w:val="9"/>
                <w:sz w:val="20"/>
                <w:szCs w:val="20"/>
              </w:rPr>
              <w:t>让。加强矿业权出让前期准备工作，优化矿业权出让流程，提高服</w:t>
            </w:r>
            <w:r>
              <w:rPr>
                <w:spacing w:val="6"/>
                <w:sz w:val="20"/>
                <w:szCs w:val="20"/>
              </w:rPr>
              <w:t xml:space="preserve"> </w:t>
            </w:r>
            <w:r>
              <w:rPr>
                <w:spacing w:val="9"/>
                <w:sz w:val="20"/>
                <w:szCs w:val="20"/>
              </w:rPr>
              <w:t>务效率。依据矿产资源规划、地质工作成果和市场需求，建立矿业</w:t>
            </w:r>
            <w:r>
              <w:rPr>
                <w:spacing w:val="6"/>
                <w:sz w:val="20"/>
                <w:szCs w:val="20"/>
              </w:rPr>
              <w:t xml:space="preserve"> </w:t>
            </w:r>
            <w:r>
              <w:rPr>
                <w:spacing w:val="9"/>
                <w:sz w:val="20"/>
                <w:szCs w:val="20"/>
              </w:rPr>
              <w:t>权出让项目库，会同相关部门，依法依规避让生态保护红线等禁止</w:t>
            </w:r>
            <w:r>
              <w:rPr>
                <w:spacing w:val="6"/>
                <w:sz w:val="20"/>
                <w:szCs w:val="20"/>
              </w:rPr>
              <w:t xml:space="preserve"> </w:t>
            </w:r>
            <w:r>
              <w:rPr>
                <w:spacing w:val="9"/>
                <w:sz w:val="20"/>
                <w:szCs w:val="20"/>
              </w:rPr>
              <w:t>限制勘查开采区域，合理确定出让范围，并做好与用地用海用林用</w:t>
            </w:r>
          </w:p>
        </w:tc>
        <w:tc>
          <w:tcPr>
            <w:tcW w:w="4465" w:type="dxa"/>
            <w:tcBorders>
              <w:bottom w:val="single" w:color="000000" w:sz="10" w:space="0"/>
            </w:tcBorders>
            <w:vAlign w:val="top"/>
          </w:tcPr>
          <w:p w14:paraId="30CAD8C0">
            <w:pPr>
              <w:spacing w:line="413" w:lineRule="auto"/>
              <w:rPr>
                <w:rFonts w:ascii="Arial"/>
                <w:sz w:val="21"/>
              </w:rPr>
            </w:pPr>
          </w:p>
          <w:p w14:paraId="14C752F7">
            <w:pPr>
              <w:pStyle w:val="6"/>
              <w:spacing w:before="62" w:line="253" w:lineRule="auto"/>
              <w:ind w:left="71" w:right="41" w:firstLine="355"/>
              <w:jc w:val="both"/>
              <w:rPr>
                <w:sz w:val="19"/>
                <w:szCs w:val="19"/>
              </w:rPr>
            </w:pPr>
            <w:r>
              <w:rPr>
                <w:spacing w:val="5"/>
                <w:sz w:val="19"/>
                <w:szCs w:val="19"/>
              </w:rPr>
              <w:t>本次评价的</w:t>
            </w:r>
            <w:r>
              <w:rPr>
                <w:spacing w:val="-20"/>
                <w:sz w:val="19"/>
                <w:szCs w:val="19"/>
              </w:rPr>
              <w:t xml:space="preserve"> </w:t>
            </w:r>
            <w:r>
              <w:rPr>
                <w:rFonts w:ascii="Times New Roman" w:hAnsi="Times New Roman" w:eastAsia="Times New Roman" w:cs="Times New Roman"/>
                <w:spacing w:val="5"/>
                <w:sz w:val="19"/>
                <w:szCs w:val="19"/>
              </w:rPr>
              <w:t>3</w:t>
            </w:r>
            <w:r>
              <w:rPr>
                <w:rFonts w:ascii="Times New Roman" w:hAnsi="Times New Roman" w:eastAsia="Times New Roman" w:cs="Times New Roman"/>
                <w:spacing w:val="18"/>
                <w:sz w:val="19"/>
                <w:szCs w:val="19"/>
              </w:rPr>
              <w:t xml:space="preserve"> </w:t>
            </w:r>
            <w:r>
              <w:rPr>
                <w:spacing w:val="5"/>
                <w:sz w:val="19"/>
                <w:szCs w:val="19"/>
              </w:rPr>
              <w:t>个勘查区块和</w:t>
            </w:r>
            <w:r>
              <w:rPr>
                <w:spacing w:val="-21"/>
                <w:sz w:val="19"/>
                <w:szCs w:val="19"/>
              </w:rPr>
              <w:t xml:space="preserve"> </w:t>
            </w:r>
            <w:r>
              <w:rPr>
                <w:rFonts w:ascii="Times New Roman" w:hAnsi="Times New Roman" w:eastAsia="Times New Roman" w:cs="Times New Roman"/>
                <w:spacing w:val="5"/>
                <w:sz w:val="19"/>
                <w:szCs w:val="19"/>
              </w:rPr>
              <w:t>1</w:t>
            </w:r>
            <w:r>
              <w:rPr>
                <w:rFonts w:ascii="Times New Roman" w:hAnsi="Times New Roman" w:eastAsia="Times New Roman" w:cs="Times New Roman"/>
                <w:spacing w:val="18"/>
                <w:sz w:val="19"/>
                <w:szCs w:val="19"/>
              </w:rPr>
              <w:t xml:space="preserve"> </w:t>
            </w:r>
            <w:r>
              <w:rPr>
                <w:spacing w:val="5"/>
                <w:sz w:val="19"/>
                <w:szCs w:val="19"/>
              </w:rPr>
              <w:t>个开采区块均不</w:t>
            </w:r>
            <w:r>
              <w:rPr>
                <w:sz w:val="19"/>
                <w:szCs w:val="19"/>
              </w:rPr>
              <w:t xml:space="preserve"> </w:t>
            </w:r>
            <w:r>
              <w:rPr>
                <w:spacing w:val="17"/>
                <w:sz w:val="19"/>
                <w:szCs w:val="19"/>
              </w:rPr>
              <w:t>占用生态保护红线等禁止限制勘查开采区域</w:t>
            </w:r>
            <w:r>
              <w:rPr>
                <w:spacing w:val="16"/>
                <w:sz w:val="19"/>
                <w:szCs w:val="19"/>
              </w:rPr>
              <w:t>。符</w:t>
            </w:r>
            <w:r>
              <w:rPr>
                <w:sz w:val="19"/>
                <w:szCs w:val="19"/>
              </w:rPr>
              <w:t xml:space="preserve"> </w:t>
            </w:r>
            <w:r>
              <w:rPr>
                <w:spacing w:val="-5"/>
                <w:sz w:val="19"/>
                <w:szCs w:val="19"/>
              </w:rPr>
              <w:t>合。</w:t>
            </w:r>
          </w:p>
        </w:tc>
        <w:tc>
          <w:tcPr>
            <w:tcW w:w="1897" w:type="dxa"/>
            <w:tcBorders>
              <w:bottom w:val="single" w:color="000000" w:sz="10" w:space="0"/>
              <w:right w:val="single" w:color="000000" w:sz="10" w:space="0"/>
            </w:tcBorders>
            <w:vAlign w:val="top"/>
          </w:tcPr>
          <w:p w14:paraId="72F6D31A">
            <w:pPr>
              <w:spacing w:line="355" w:lineRule="auto"/>
              <w:rPr>
                <w:rFonts w:ascii="Arial"/>
                <w:sz w:val="21"/>
              </w:rPr>
            </w:pPr>
          </w:p>
          <w:p w14:paraId="12C64FF2">
            <w:pPr>
              <w:spacing w:line="355" w:lineRule="auto"/>
              <w:rPr>
                <w:rFonts w:ascii="Arial"/>
                <w:sz w:val="21"/>
              </w:rPr>
            </w:pPr>
          </w:p>
          <w:p w14:paraId="25C9FEF3">
            <w:pPr>
              <w:spacing w:before="55" w:line="199" w:lineRule="auto"/>
              <w:ind w:left="923"/>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r>
    </w:tbl>
    <w:p w14:paraId="44994929">
      <w:pPr>
        <w:pStyle w:val="2"/>
      </w:pPr>
    </w:p>
    <w:p w14:paraId="296A88FC">
      <w:pPr>
        <w:sectPr>
          <w:footerReference r:id="rId77" w:type="default"/>
          <w:pgSz w:w="16839" w:h="11906"/>
          <w:pgMar w:top="1116" w:right="1023" w:bottom="1480" w:left="1317" w:header="683" w:footer="1318" w:gutter="0"/>
          <w:cols w:space="720" w:num="1"/>
        </w:sectPr>
      </w:pPr>
    </w:p>
    <w:p w14:paraId="30A1F565">
      <w:pPr>
        <w:spacing w:before="229"/>
      </w:pPr>
    </w:p>
    <w:tbl>
      <w:tblPr>
        <w:tblStyle w:val="5"/>
        <w:tblW w:w="1447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7"/>
        <w:gridCol w:w="1273"/>
        <w:gridCol w:w="6289"/>
        <w:gridCol w:w="4465"/>
        <w:gridCol w:w="1897"/>
      </w:tblGrid>
      <w:tr w14:paraId="2C8B28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547" w:type="dxa"/>
            <w:vMerge w:val="restart"/>
            <w:tcBorders>
              <w:top w:val="single" w:color="000000" w:sz="10" w:space="0"/>
              <w:left w:val="single" w:color="000000" w:sz="10" w:space="0"/>
              <w:bottom w:val="nil"/>
            </w:tcBorders>
            <w:vAlign w:val="top"/>
          </w:tcPr>
          <w:p w14:paraId="1BE77472">
            <w:pPr>
              <w:pStyle w:val="6"/>
              <w:spacing w:before="251" w:line="231" w:lineRule="auto"/>
              <w:ind w:left="69"/>
              <w:rPr>
                <w:sz w:val="19"/>
                <w:szCs w:val="19"/>
              </w:rPr>
            </w:pPr>
            <w:r>
              <w:rPr>
                <w:spacing w:val="2"/>
                <w:sz w:val="19"/>
                <w:szCs w:val="19"/>
              </w:rPr>
              <w:t>序号</w:t>
            </w:r>
          </w:p>
        </w:tc>
        <w:tc>
          <w:tcPr>
            <w:tcW w:w="7562" w:type="dxa"/>
            <w:gridSpan w:val="2"/>
            <w:tcBorders>
              <w:top w:val="single" w:color="000000" w:sz="10" w:space="0"/>
            </w:tcBorders>
            <w:vAlign w:val="top"/>
          </w:tcPr>
          <w:p w14:paraId="0CC9A2A2">
            <w:pPr>
              <w:pStyle w:val="6"/>
              <w:spacing w:before="75" w:line="231" w:lineRule="auto"/>
              <w:ind w:left="2908"/>
              <w:rPr>
                <w:sz w:val="19"/>
                <w:szCs w:val="19"/>
              </w:rPr>
            </w:pPr>
            <w:r>
              <w:rPr>
                <w:spacing w:val="5"/>
                <w:sz w:val="19"/>
                <w:szCs w:val="19"/>
              </w:rPr>
              <w:t>国家重大政策及规划</w:t>
            </w:r>
          </w:p>
        </w:tc>
        <w:tc>
          <w:tcPr>
            <w:tcW w:w="4465" w:type="dxa"/>
            <w:vMerge w:val="restart"/>
            <w:tcBorders>
              <w:top w:val="single" w:color="000000" w:sz="10" w:space="0"/>
              <w:bottom w:val="nil"/>
            </w:tcBorders>
            <w:vAlign w:val="top"/>
          </w:tcPr>
          <w:p w14:paraId="1AB546C1">
            <w:pPr>
              <w:pStyle w:val="6"/>
              <w:spacing w:before="250" w:line="229" w:lineRule="auto"/>
              <w:ind w:left="949"/>
              <w:rPr>
                <w:sz w:val="19"/>
                <w:szCs w:val="19"/>
              </w:rPr>
            </w:pPr>
            <w:r>
              <w:rPr>
                <w:spacing w:val="8"/>
                <w:sz w:val="19"/>
                <w:szCs w:val="19"/>
              </w:rPr>
              <w:t>本《规划调整》的符合性分析</w:t>
            </w:r>
          </w:p>
        </w:tc>
        <w:tc>
          <w:tcPr>
            <w:tcW w:w="1897" w:type="dxa"/>
            <w:vMerge w:val="restart"/>
            <w:tcBorders>
              <w:top w:val="single" w:color="000000" w:sz="10" w:space="0"/>
              <w:bottom w:val="nil"/>
              <w:right w:val="single" w:color="000000" w:sz="10" w:space="0"/>
            </w:tcBorders>
            <w:vAlign w:val="top"/>
          </w:tcPr>
          <w:p w14:paraId="13ACD432">
            <w:pPr>
              <w:pStyle w:val="6"/>
              <w:spacing w:before="250" w:line="230" w:lineRule="auto"/>
              <w:ind w:left="373"/>
              <w:rPr>
                <w:sz w:val="19"/>
                <w:szCs w:val="19"/>
              </w:rPr>
            </w:pPr>
            <w:r>
              <w:rPr>
                <w:spacing w:val="5"/>
                <w:sz w:val="19"/>
                <w:szCs w:val="19"/>
              </w:rPr>
              <w:t>简要优化建议</w:t>
            </w:r>
          </w:p>
        </w:tc>
      </w:tr>
      <w:tr w14:paraId="7AD98B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47" w:type="dxa"/>
            <w:vMerge w:val="continue"/>
            <w:tcBorders>
              <w:top w:val="nil"/>
              <w:left w:val="single" w:color="000000" w:sz="10" w:space="0"/>
            </w:tcBorders>
            <w:vAlign w:val="top"/>
          </w:tcPr>
          <w:p w14:paraId="70AA647B">
            <w:pPr>
              <w:rPr>
                <w:rFonts w:ascii="Arial"/>
                <w:sz w:val="21"/>
              </w:rPr>
            </w:pPr>
          </w:p>
        </w:tc>
        <w:tc>
          <w:tcPr>
            <w:tcW w:w="1273" w:type="dxa"/>
            <w:vAlign w:val="top"/>
          </w:tcPr>
          <w:p w14:paraId="1D7E33F6">
            <w:pPr>
              <w:pStyle w:val="6"/>
              <w:spacing w:before="71" w:line="230" w:lineRule="auto"/>
              <w:ind w:left="438"/>
              <w:rPr>
                <w:sz w:val="19"/>
                <w:szCs w:val="19"/>
              </w:rPr>
            </w:pPr>
            <w:r>
              <w:rPr>
                <w:spacing w:val="2"/>
                <w:sz w:val="19"/>
                <w:szCs w:val="19"/>
              </w:rPr>
              <w:t>名称</w:t>
            </w:r>
          </w:p>
        </w:tc>
        <w:tc>
          <w:tcPr>
            <w:tcW w:w="6289" w:type="dxa"/>
            <w:vAlign w:val="top"/>
          </w:tcPr>
          <w:p w14:paraId="53E9BBD1">
            <w:pPr>
              <w:pStyle w:val="6"/>
              <w:spacing w:before="71" w:line="231" w:lineRule="auto"/>
              <w:ind w:left="2754"/>
              <w:rPr>
                <w:sz w:val="19"/>
                <w:szCs w:val="19"/>
              </w:rPr>
            </w:pPr>
            <w:r>
              <w:rPr>
                <w:spacing w:val="6"/>
                <w:sz w:val="19"/>
                <w:szCs w:val="19"/>
              </w:rPr>
              <w:t>相关内容</w:t>
            </w:r>
          </w:p>
        </w:tc>
        <w:tc>
          <w:tcPr>
            <w:tcW w:w="4465" w:type="dxa"/>
            <w:vMerge w:val="continue"/>
            <w:tcBorders>
              <w:top w:val="nil"/>
            </w:tcBorders>
            <w:vAlign w:val="top"/>
          </w:tcPr>
          <w:p w14:paraId="76042C7F">
            <w:pPr>
              <w:rPr>
                <w:rFonts w:ascii="Arial"/>
                <w:sz w:val="21"/>
              </w:rPr>
            </w:pPr>
          </w:p>
        </w:tc>
        <w:tc>
          <w:tcPr>
            <w:tcW w:w="1897" w:type="dxa"/>
            <w:vMerge w:val="continue"/>
            <w:tcBorders>
              <w:top w:val="nil"/>
              <w:right w:val="single" w:color="000000" w:sz="10" w:space="0"/>
            </w:tcBorders>
            <w:vAlign w:val="top"/>
          </w:tcPr>
          <w:p w14:paraId="394E2363">
            <w:pPr>
              <w:rPr>
                <w:rFonts w:ascii="Arial"/>
                <w:sz w:val="21"/>
              </w:rPr>
            </w:pPr>
          </w:p>
        </w:tc>
      </w:tr>
      <w:tr w14:paraId="5C2BE1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9" w:hRule="atLeast"/>
        </w:trPr>
        <w:tc>
          <w:tcPr>
            <w:tcW w:w="547" w:type="dxa"/>
            <w:tcBorders>
              <w:left w:val="single" w:color="000000" w:sz="10" w:space="0"/>
            </w:tcBorders>
            <w:vAlign w:val="top"/>
          </w:tcPr>
          <w:p w14:paraId="62526007">
            <w:pPr>
              <w:rPr>
                <w:rFonts w:ascii="Arial"/>
                <w:sz w:val="21"/>
              </w:rPr>
            </w:pPr>
          </w:p>
        </w:tc>
        <w:tc>
          <w:tcPr>
            <w:tcW w:w="1273" w:type="dxa"/>
            <w:vAlign w:val="top"/>
          </w:tcPr>
          <w:p w14:paraId="5C1C1771">
            <w:pPr>
              <w:pStyle w:val="6"/>
              <w:spacing w:before="34" w:line="251" w:lineRule="auto"/>
              <w:ind w:left="102" w:right="49" w:firstLine="15"/>
              <w:rPr>
                <w:sz w:val="20"/>
                <w:szCs w:val="20"/>
              </w:rPr>
            </w:pPr>
            <w:r>
              <w:rPr>
                <w:spacing w:val="-13"/>
                <w:sz w:val="20"/>
                <w:szCs w:val="20"/>
              </w:rPr>
              <w:t>资规〔</w:t>
            </w:r>
            <w:r>
              <w:rPr>
                <w:rFonts w:ascii="Times New Roman" w:hAnsi="Times New Roman" w:eastAsia="Times New Roman" w:cs="Times New Roman"/>
                <w:spacing w:val="-13"/>
                <w:sz w:val="20"/>
                <w:szCs w:val="20"/>
              </w:rPr>
              <w:t>2023</w:t>
            </w:r>
            <w:r>
              <w:rPr>
                <w:spacing w:val="-13"/>
                <w:sz w:val="20"/>
                <w:szCs w:val="20"/>
              </w:rPr>
              <w:t>〕</w:t>
            </w:r>
            <w:r>
              <w:rPr>
                <w:spacing w:val="3"/>
                <w:sz w:val="20"/>
                <w:szCs w:val="20"/>
              </w:rPr>
              <w:t xml:space="preserve"> </w:t>
            </w:r>
            <w:r>
              <w:rPr>
                <w:rFonts w:ascii="Times New Roman" w:hAnsi="Times New Roman" w:eastAsia="Times New Roman" w:cs="Times New Roman"/>
                <w:spacing w:val="-5"/>
                <w:sz w:val="20"/>
                <w:szCs w:val="20"/>
              </w:rPr>
              <w:t>6</w:t>
            </w:r>
            <w:r>
              <w:rPr>
                <w:rFonts w:ascii="Times New Roman" w:hAnsi="Times New Roman" w:eastAsia="Times New Roman" w:cs="Times New Roman"/>
                <w:spacing w:val="22"/>
                <w:w w:val="101"/>
                <w:sz w:val="20"/>
                <w:szCs w:val="20"/>
              </w:rPr>
              <w:t xml:space="preserve"> </w:t>
            </w:r>
            <w:r>
              <w:rPr>
                <w:spacing w:val="-5"/>
                <w:sz w:val="20"/>
                <w:szCs w:val="20"/>
              </w:rPr>
              <w:t>号）</w:t>
            </w:r>
          </w:p>
        </w:tc>
        <w:tc>
          <w:tcPr>
            <w:tcW w:w="6289" w:type="dxa"/>
            <w:vAlign w:val="top"/>
          </w:tcPr>
          <w:p w14:paraId="2A4E28AB">
            <w:pPr>
              <w:pStyle w:val="6"/>
              <w:spacing w:before="32" w:line="239" w:lineRule="auto"/>
              <w:ind w:left="110" w:right="105" w:firstLine="3"/>
              <w:jc w:val="both"/>
              <w:rPr>
                <w:sz w:val="20"/>
                <w:szCs w:val="20"/>
              </w:rPr>
            </w:pPr>
            <w:r>
              <w:rPr>
                <w:spacing w:val="9"/>
                <w:sz w:val="20"/>
                <w:szCs w:val="20"/>
              </w:rPr>
              <w:t>草等审批事项和管理政策的衔接，以便矿业权出让后，矿业权人能</w:t>
            </w:r>
            <w:r>
              <w:rPr>
                <w:spacing w:val="2"/>
                <w:sz w:val="20"/>
                <w:szCs w:val="20"/>
              </w:rPr>
              <w:t xml:space="preserve"> </w:t>
            </w:r>
            <w:r>
              <w:rPr>
                <w:spacing w:val="9"/>
                <w:sz w:val="20"/>
                <w:szCs w:val="20"/>
              </w:rPr>
              <w:t>够依法依规办理用地用海用林用草审批手续，正常开展勘查开采工</w:t>
            </w:r>
            <w:r>
              <w:rPr>
                <w:spacing w:val="5"/>
                <w:sz w:val="20"/>
                <w:szCs w:val="20"/>
              </w:rPr>
              <w:t xml:space="preserve"> </w:t>
            </w:r>
            <w:r>
              <w:rPr>
                <w:spacing w:val="-3"/>
                <w:sz w:val="20"/>
                <w:szCs w:val="20"/>
              </w:rPr>
              <w:t>作。</w:t>
            </w:r>
          </w:p>
        </w:tc>
        <w:tc>
          <w:tcPr>
            <w:tcW w:w="4465" w:type="dxa"/>
            <w:vAlign w:val="top"/>
          </w:tcPr>
          <w:p w14:paraId="082C0196">
            <w:pPr>
              <w:rPr>
                <w:rFonts w:ascii="Arial"/>
                <w:sz w:val="21"/>
              </w:rPr>
            </w:pPr>
          </w:p>
        </w:tc>
        <w:tc>
          <w:tcPr>
            <w:tcW w:w="1897" w:type="dxa"/>
            <w:tcBorders>
              <w:right w:val="single" w:color="000000" w:sz="10" w:space="0"/>
            </w:tcBorders>
            <w:vAlign w:val="top"/>
          </w:tcPr>
          <w:p w14:paraId="57C90D24">
            <w:pPr>
              <w:rPr>
                <w:rFonts w:ascii="Arial"/>
                <w:sz w:val="21"/>
              </w:rPr>
            </w:pPr>
          </w:p>
        </w:tc>
      </w:tr>
      <w:tr w14:paraId="7937DB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5" w:hRule="atLeast"/>
        </w:trPr>
        <w:tc>
          <w:tcPr>
            <w:tcW w:w="547" w:type="dxa"/>
            <w:tcBorders>
              <w:left w:val="single" w:color="000000" w:sz="10" w:space="0"/>
            </w:tcBorders>
            <w:vAlign w:val="top"/>
          </w:tcPr>
          <w:p w14:paraId="7F68B378">
            <w:pPr>
              <w:spacing w:line="275" w:lineRule="auto"/>
              <w:rPr>
                <w:rFonts w:ascii="Arial"/>
                <w:sz w:val="21"/>
              </w:rPr>
            </w:pPr>
          </w:p>
          <w:p w14:paraId="2CED2ECF">
            <w:pPr>
              <w:spacing w:line="275" w:lineRule="auto"/>
              <w:rPr>
                <w:rFonts w:ascii="Arial"/>
                <w:sz w:val="21"/>
              </w:rPr>
            </w:pPr>
          </w:p>
          <w:p w14:paraId="10493B90">
            <w:pPr>
              <w:spacing w:line="276" w:lineRule="auto"/>
              <w:rPr>
                <w:rFonts w:ascii="Arial"/>
                <w:sz w:val="21"/>
              </w:rPr>
            </w:pPr>
          </w:p>
          <w:p w14:paraId="41C50AEF">
            <w:pPr>
              <w:spacing w:before="58" w:line="195" w:lineRule="auto"/>
              <w:ind w:left="17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1273" w:type="dxa"/>
            <w:vAlign w:val="top"/>
          </w:tcPr>
          <w:p w14:paraId="2FB26085">
            <w:pPr>
              <w:spacing w:line="323" w:lineRule="auto"/>
              <w:rPr>
                <w:rFonts w:ascii="Arial"/>
                <w:sz w:val="21"/>
              </w:rPr>
            </w:pPr>
          </w:p>
          <w:p w14:paraId="6FCA1EDE">
            <w:pPr>
              <w:spacing w:line="324" w:lineRule="auto"/>
              <w:rPr>
                <w:rFonts w:ascii="Arial"/>
                <w:sz w:val="21"/>
              </w:rPr>
            </w:pPr>
          </w:p>
          <w:p w14:paraId="1FCC3753">
            <w:pPr>
              <w:pStyle w:val="6"/>
              <w:spacing w:before="65" w:line="231" w:lineRule="auto"/>
              <w:ind w:left="106"/>
              <w:rPr>
                <w:sz w:val="20"/>
                <w:szCs w:val="20"/>
              </w:rPr>
            </w:pPr>
            <w:r>
              <w:rPr>
                <w:spacing w:val="7"/>
                <w:sz w:val="20"/>
                <w:szCs w:val="20"/>
              </w:rPr>
              <w:t>《基本农田</w:t>
            </w:r>
          </w:p>
          <w:p w14:paraId="250DD2F9">
            <w:pPr>
              <w:pStyle w:val="6"/>
              <w:spacing w:before="21" w:line="229" w:lineRule="auto"/>
              <w:ind w:left="107"/>
              <w:rPr>
                <w:sz w:val="20"/>
                <w:szCs w:val="20"/>
              </w:rPr>
            </w:pPr>
            <w:r>
              <w:rPr>
                <w:spacing w:val="4"/>
                <w:sz w:val="20"/>
                <w:szCs w:val="20"/>
              </w:rPr>
              <w:t>保护条例》</w:t>
            </w:r>
          </w:p>
        </w:tc>
        <w:tc>
          <w:tcPr>
            <w:tcW w:w="6289" w:type="dxa"/>
            <w:vAlign w:val="top"/>
          </w:tcPr>
          <w:p w14:paraId="4D969795">
            <w:pPr>
              <w:pStyle w:val="6"/>
              <w:spacing w:before="35" w:line="229" w:lineRule="auto"/>
              <w:ind w:left="110"/>
              <w:rPr>
                <w:sz w:val="20"/>
                <w:szCs w:val="20"/>
              </w:rPr>
            </w:pPr>
            <w:r>
              <w:rPr>
                <w:spacing w:val="9"/>
                <w:sz w:val="20"/>
                <w:szCs w:val="20"/>
              </w:rPr>
              <w:t>基本农田保护区经依法划定后，任何单位和个人不得改变或者占</w:t>
            </w:r>
          </w:p>
          <w:p w14:paraId="60F99C33">
            <w:pPr>
              <w:pStyle w:val="6"/>
              <w:spacing w:before="25" w:line="251" w:lineRule="auto"/>
              <w:ind w:left="110" w:right="105"/>
              <w:rPr>
                <w:sz w:val="20"/>
                <w:szCs w:val="20"/>
              </w:rPr>
            </w:pPr>
            <w:r>
              <w:rPr>
                <w:spacing w:val="8"/>
                <w:sz w:val="20"/>
                <w:szCs w:val="20"/>
              </w:rPr>
              <w:t>用。</w:t>
            </w:r>
            <w:r>
              <w:rPr>
                <w:spacing w:val="-57"/>
                <w:sz w:val="20"/>
                <w:szCs w:val="20"/>
              </w:rPr>
              <w:t xml:space="preserve"> </w:t>
            </w:r>
            <w:r>
              <w:rPr>
                <w:spacing w:val="8"/>
                <w:sz w:val="20"/>
                <w:szCs w:val="20"/>
              </w:rPr>
              <w:t>国家能源、交通、水利、军事设施等重点</w:t>
            </w:r>
            <w:r>
              <w:rPr>
                <w:spacing w:val="7"/>
                <w:sz w:val="20"/>
                <w:szCs w:val="20"/>
              </w:rPr>
              <w:t>建设项目选址确实无</w:t>
            </w:r>
            <w:r>
              <w:rPr>
                <w:sz w:val="20"/>
                <w:szCs w:val="20"/>
              </w:rPr>
              <w:t xml:space="preserve"> </w:t>
            </w:r>
            <w:r>
              <w:rPr>
                <w:spacing w:val="9"/>
                <w:sz w:val="20"/>
                <w:szCs w:val="20"/>
              </w:rPr>
              <w:t>法避开基本农田保护区，需要占用基本农田，涉及农用地转用或者</w:t>
            </w:r>
            <w:r>
              <w:rPr>
                <w:spacing w:val="5"/>
                <w:sz w:val="20"/>
                <w:szCs w:val="20"/>
              </w:rPr>
              <w:t xml:space="preserve"> </w:t>
            </w:r>
            <w:r>
              <w:rPr>
                <w:spacing w:val="8"/>
                <w:sz w:val="20"/>
                <w:szCs w:val="20"/>
              </w:rPr>
              <w:t>征用土地的，必须经国务院批准。</w:t>
            </w:r>
          </w:p>
          <w:p w14:paraId="4859F2A2">
            <w:pPr>
              <w:pStyle w:val="6"/>
              <w:spacing w:before="3" w:line="236" w:lineRule="auto"/>
              <w:ind w:left="112" w:right="37" w:firstLine="4"/>
              <w:rPr>
                <w:sz w:val="20"/>
                <w:szCs w:val="20"/>
              </w:rPr>
            </w:pPr>
            <w:r>
              <w:rPr>
                <w:spacing w:val="4"/>
                <w:sz w:val="20"/>
                <w:szCs w:val="20"/>
              </w:rPr>
              <w:t>禁止任何单位和个人在基本农田保护区内建窑、建房、建坟、挖砂、</w:t>
            </w:r>
            <w:r>
              <w:rPr>
                <w:spacing w:val="8"/>
                <w:sz w:val="20"/>
                <w:szCs w:val="20"/>
              </w:rPr>
              <w:t xml:space="preserve"> </w:t>
            </w:r>
            <w:r>
              <w:rPr>
                <w:spacing w:val="9"/>
                <w:sz w:val="20"/>
                <w:szCs w:val="20"/>
              </w:rPr>
              <w:t>采石、采矿、取土、堆放固体废弃物或者进行其他破坏基本农田的</w:t>
            </w:r>
            <w:r>
              <w:rPr>
                <w:spacing w:val="4"/>
                <w:sz w:val="20"/>
                <w:szCs w:val="20"/>
              </w:rPr>
              <w:t xml:space="preserve"> </w:t>
            </w:r>
            <w:r>
              <w:rPr>
                <w:sz w:val="20"/>
                <w:szCs w:val="20"/>
              </w:rPr>
              <w:t>活动。</w:t>
            </w:r>
          </w:p>
        </w:tc>
        <w:tc>
          <w:tcPr>
            <w:tcW w:w="4465" w:type="dxa"/>
            <w:vMerge w:val="restart"/>
            <w:tcBorders>
              <w:bottom w:val="nil"/>
            </w:tcBorders>
            <w:vAlign w:val="top"/>
          </w:tcPr>
          <w:p w14:paraId="4E7566C2">
            <w:pPr>
              <w:spacing w:line="245" w:lineRule="auto"/>
              <w:rPr>
                <w:rFonts w:ascii="Arial"/>
                <w:sz w:val="21"/>
              </w:rPr>
            </w:pPr>
          </w:p>
          <w:p w14:paraId="5694993C">
            <w:pPr>
              <w:spacing w:line="245" w:lineRule="auto"/>
              <w:rPr>
                <w:rFonts w:ascii="Arial"/>
                <w:sz w:val="21"/>
              </w:rPr>
            </w:pPr>
          </w:p>
          <w:p w14:paraId="72DDBE80">
            <w:pPr>
              <w:spacing w:line="245" w:lineRule="auto"/>
              <w:rPr>
                <w:rFonts w:ascii="Arial"/>
                <w:sz w:val="21"/>
              </w:rPr>
            </w:pPr>
          </w:p>
          <w:p w14:paraId="2DFBE4E8">
            <w:pPr>
              <w:spacing w:line="245" w:lineRule="auto"/>
              <w:rPr>
                <w:rFonts w:ascii="Arial"/>
                <w:sz w:val="21"/>
              </w:rPr>
            </w:pPr>
          </w:p>
          <w:p w14:paraId="4F319B44">
            <w:pPr>
              <w:spacing w:line="245" w:lineRule="auto"/>
              <w:rPr>
                <w:rFonts w:ascii="Arial"/>
                <w:sz w:val="21"/>
              </w:rPr>
            </w:pPr>
          </w:p>
          <w:p w14:paraId="02EB5CC2">
            <w:pPr>
              <w:spacing w:line="245" w:lineRule="auto"/>
              <w:rPr>
                <w:rFonts w:ascii="Arial"/>
                <w:sz w:val="21"/>
              </w:rPr>
            </w:pPr>
          </w:p>
          <w:p w14:paraId="32582A34">
            <w:pPr>
              <w:spacing w:line="245" w:lineRule="auto"/>
              <w:rPr>
                <w:rFonts w:ascii="Arial"/>
                <w:sz w:val="21"/>
              </w:rPr>
            </w:pPr>
          </w:p>
          <w:p w14:paraId="7F3B4E36">
            <w:pPr>
              <w:spacing w:line="246" w:lineRule="auto"/>
              <w:rPr>
                <w:rFonts w:ascii="Arial"/>
                <w:sz w:val="21"/>
              </w:rPr>
            </w:pPr>
          </w:p>
          <w:p w14:paraId="4FC33738">
            <w:pPr>
              <w:spacing w:line="246" w:lineRule="auto"/>
              <w:rPr>
                <w:rFonts w:ascii="Arial"/>
                <w:sz w:val="21"/>
              </w:rPr>
            </w:pPr>
          </w:p>
          <w:p w14:paraId="7DAECED7">
            <w:pPr>
              <w:spacing w:line="246" w:lineRule="auto"/>
              <w:rPr>
                <w:rFonts w:ascii="Arial"/>
                <w:sz w:val="21"/>
              </w:rPr>
            </w:pPr>
          </w:p>
          <w:p w14:paraId="30574C39">
            <w:pPr>
              <w:spacing w:line="246" w:lineRule="auto"/>
              <w:rPr>
                <w:rFonts w:ascii="Arial"/>
                <w:sz w:val="21"/>
              </w:rPr>
            </w:pPr>
          </w:p>
          <w:p w14:paraId="2097596D">
            <w:pPr>
              <w:pStyle w:val="6"/>
              <w:spacing w:before="62" w:line="249" w:lineRule="auto"/>
              <w:ind w:left="65" w:right="41" w:firstLine="350"/>
              <w:rPr>
                <w:sz w:val="19"/>
                <w:szCs w:val="19"/>
              </w:rPr>
            </w:pPr>
            <w:r>
              <w:rPr>
                <w:rFonts w:ascii="Times New Roman" w:hAnsi="Times New Roman" w:eastAsia="Times New Roman" w:cs="Times New Roman"/>
                <w:sz w:val="19"/>
                <w:szCs w:val="19"/>
              </w:rPr>
              <w:t>KQ</w:t>
            </w:r>
            <w:r>
              <w:rPr>
                <w:rFonts w:ascii="Times New Roman" w:hAnsi="Times New Roman" w:eastAsia="Times New Roman" w:cs="Times New Roman"/>
                <w:spacing w:val="6"/>
                <w:sz w:val="19"/>
                <w:szCs w:val="19"/>
              </w:rPr>
              <w:t>004</w:t>
            </w:r>
            <w:r>
              <w:rPr>
                <w:rFonts w:ascii="Times New Roman" w:hAnsi="Times New Roman" w:eastAsia="Times New Roman" w:cs="Times New Roman"/>
                <w:spacing w:val="-9"/>
                <w:sz w:val="19"/>
                <w:szCs w:val="19"/>
              </w:rPr>
              <w:t xml:space="preserve"> </w:t>
            </w:r>
            <w:r>
              <w:rPr>
                <w:spacing w:val="6"/>
                <w:sz w:val="19"/>
                <w:szCs w:val="19"/>
              </w:rPr>
              <w:t>、</w:t>
            </w:r>
            <w:r>
              <w:rPr>
                <w:rFonts w:ascii="Times New Roman" w:hAnsi="Times New Roman" w:eastAsia="Times New Roman" w:cs="Times New Roman"/>
                <w:sz w:val="19"/>
                <w:szCs w:val="19"/>
              </w:rPr>
              <w:t>KQ</w:t>
            </w:r>
            <w:r>
              <w:rPr>
                <w:rFonts w:ascii="Times New Roman" w:hAnsi="Times New Roman" w:eastAsia="Times New Roman" w:cs="Times New Roman"/>
                <w:spacing w:val="6"/>
                <w:sz w:val="19"/>
                <w:szCs w:val="19"/>
              </w:rPr>
              <w:t>009</w:t>
            </w:r>
            <w:r>
              <w:rPr>
                <w:rFonts w:ascii="Times New Roman" w:hAnsi="Times New Roman" w:eastAsia="Times New Roman" w:cs="Times New Roman"/>
                <w:spacing w:val="16"/>
                <w:sz w:val="19"/>
                <w:szCs w:val="19"/>
              </w:rPr>
              <w:t xml:space="preserve"> </w:t>
            </w:r>
            <w:r>
              <w:rPr>
                <w:spacing w:val="6"/>
                <w:sz w:val="19"/>
                <w:szCs w:val="19"/>
              </w:rPr>
              <w:t>部分占用永久基本农田，其余</w:t>
            </w:r>
            <w:r>
              <w:rPr>
                <w:sz w:val="19"/>
                <w:szCs w:val="19"/>
              </w:rPr>
              <w:t xml:space="preserve"> </w:t>
            </w:r>
            <w:r>
              <w:rPr>
                <w:spacing w:val="7"/>
                <w:sz w:val="19"/>
                <w:szCs w:val="19"/>
              </w:rPr>
              <w:t>均不占用永久基本农田。</w:t>
            </w:r>
          </w:p>
        </w:tc>
        <w:tc>
          <w:tcPr>
            <w:tcW w:w="1897" w:type="dxa"/>
            <w:vMerge w:val="restart"/>
            <w:tcBorders>
              <w:bottom w:val="nil"/>
              <w:right w:val="single" w:color="000000" w:sz="10" w:space="0"/>
            </w:tcBorders>
            <w:vAlign w:val="top"/>
          </w:tcPr>
          <w:p w14:paraId="7F09FFFD">
            <w:pPr>
              <w:spacing w:line="243" w:lineRule="auto"/>
              <w:rPr>
                <w:rFonts w:ascii="Arial"/>
                <w:sz w:val="21"/>
              </w:rPr>
            </w:pPr>
          </w:p>
          <w:p w14:paraId="1C2723D0">
            <w:pPr>
              <w:spacing w:line="243" w:lineRule="auto"/>
              <w:rPr>
                <w:rFonts w:ascii="Arial"/>
                <w:sz w:val="21"/>
              </w:rPr>
            </w:pPr>
          </w:p>
          <w:p w14:paraId="27972755">
            <w:pPr>
              <w:spacing w:line="244" w:lineRule="auto"/>
              <w:rPr>
                <w:rFonts w:ascii="Arial"/>
                <w:sz w:val="21"/>
              </w:rPr>
            </w:pPr>
          </w:p>
          <w:p w14:paraId="7491D582">
            <w:pPr>
              <w:spacing w:line="244" w:lineRule="auto"/>
              <w:rPr>
                <w:rFonts w:ascii="Arial"/>
                <w:sz w:val="21"/>
              </w:rPr>
            </w:pPr>
          </w:p>
          <w:p w14:paraId="1B40BD5C">
            <w:pPr>
              <w:spacing w:line="244" w:lineRule="auto"/>
              <w:rPr>
                <w:rFonts w:ascii="Arial"/>
                <w:sz w:val="21"/>
              </w:rPr>
            </w:pPr>
          </w:p>
          <w:p w14:paraId="29319C4A">
            <w:pPr>
              <w:spacing w:line="244" w:lineRule="auto"/>
              <w:rPr>
                <w:rFonts w:ascii="Arial"/>
                <w:sz w:val="21"/>
              </w:rPr>
            </w:pPr>
          </w:p>
          <w:p w14:paraId="76A08F9C">
            <w:pPr>
              <w:spacing w:line="244" w:lineRule="auto"/>
              <w:rPr>
                <w:rFonts w:ascii="Arial"/>
                <w:sz w:val="21"/>
              </w:rPr>
            </w:pPr>
          </w:p>
          <w:p w14:paraId="57B2C15B">
            <w:pPr>
              <w:spacing w:line="244" w:lineRule="auto"/>
              <w:rPr>
                <w:rFonts w:ascii="Arial"/>
                <w:sz w:val="21"/>
              </w:rPr>
            </w:pPr>
          </w:p>
          <w:p w14:paraId="6EA0BD15">
            <w:pPr>
              <w:spacing w:line="244" w:lineRule="auto"/>
              <w:rPr>
                <w:rFonts w:ascii="Arial"/>
                <w:sz w:val="21"/>
              </w:rPr>
            </w:pPr>
          </w:p>
          <w:p w14:paraId="0031F5D7">
            <w:pPr>
              <w:spacing w:line="244" w:lineRule="auto"/>
              <w:rPr>
                <w:rFonts w:ascii="Arial"/>
                <w:sz w:val="21"/>
              </w:rPr>
            </w:pPr>
          </w:p>
          <w:p w14:paraId="2A0CB97D">
            <w:pPr>
              <w:spacing w:line="244" w:lineRule="auto"/>
              <w:rPr>
                <w:rFonts w:ascii="Arial"/>
                <w:sz w:val="21"/>
              </w:rPr>
            </w:pPr>
          </w:p>
          <w:p w14:paraId="29CA5AE5">
            <w:pPr>
              <w:pStyle w:val="6"/>
              <w:spacing w:before="65" w:line="231" w:lineRule="auto"/>
              <w:ind w:left="255"/>
              <w:rPr>
                <w:sz w:val="20"/>
                <w:szCs w:val="20"/>
              </w:rPr>
            </w:pPr>
            <w:r>
              <w:rPr>
                <w:spacing w:val="7"/>
                <w:sz w:val="20"/>
                <w:szCs w:val="20"/>
              </w:rPr>
              <w:t>优化调整建议见</w:t>
            </w:r>
          </w:p>
          <w:p w14:paraId="64D0A3F1">
            <w:pPr>
              <w:pStyle w:val="6"/>
              <w:spacing w:before="21" w:line="230" w:lineRule="auto"/>
              <w:ind w:left="430"/>
              <w:rPr>
                <w:sz w:val="20"/>
                <w:szCs w:val="20"/>
              </w:rPr>
            </w:pPr>
            <w:r>
              <w:rPr>
                <w:rFonts w:ascii="Times New Roman" w:hAnsi="Times New Roman" w:eastAsia="Times New Roman" w:cs="Times New Roman"/>
                <w:spacing w:val="2"/>
                <w:sz w:val="20"/>
                <w:szCs w:val="20"/>
              </w:rPr>
              <w:t>2.3.5</w:t>
            </w:r>
            <w:r>
              <w:rPr>
                <w:rFonts w:ascii="Times New Roman" w:hAnsi="Times New Roman" w:eastAsia="Times New Roman" w:cs="Times New Roman"/>
                <w:spacing w:val="19"/>
                <w:sz w:val="20"/>
                <w:szCs w:val="20"/>
              </w:rPr>
              <w:t xml:space="preserve"> </w:t>
            </w:r>
            <w:r>
              <w:rPr>
                <w:spacing w:val="2"/>
                <w:sz w:val="20"/>
                <w:szCs w:val="20"/>
              </w:rPr>
              <w:t>章节。</w:t>
            </w:r>
          </w:p>
        </w:tc>
      </w:tr>
      <w:tr w14:paraId="4C11AF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9" w:hRule="atLeast"/>
        </w:trPr>
        <w:tc>
          <w:tcPr>
            <w:tcW w:w="547" w:type="dxa"/>
            <w:tcBorders>
              <w:left w:val="single" w:color="000000" w:sz="10" w:space="0"/>
            </w:tcBorders>
            <w:vAlign w:val="top"/>
          </w:tcPr>
          <w:p w14:paraId="492D0389">
            <w:pPr>
              <w:spacing w:line="273" w:lineRule="auto"/>
              <w:rPr>
                <w:rFonts w:ascii="Arial"/>
                <w:sz w:val="21"/>
              </w:rPr>
            </w:pPr>
          </w:p>
          <w:p w14:paraId="6BCA4853">
            <w:pPr>
              <w:spacing w:line="273" w:lineRule="auto"/>
              <w:rPr>
                <w:rFonts w:ascii="Arial"/>
                <w:sz w:val="21"/>
              </w:rPr>
            </w:pPr>
          </w:p>
          <w:p w14:paraId="0A12CA65">
            <w:pPr>
              <w:spacing w:line="273" w:lineRule="auto"/>
              <w:rPr>
                <w:rFonts w:ascii="Arial"/>
                <w:sz w:val="21"/>
              </w:rPr>
            </w:pPr>
          </w:p>
          <w:p w14:paraId="7F96B56E">
            <w:pPr>
              <w:spacing w:line="274" w:lineRule="auto"/>
              <w:rPr>
                <w:rFonts w:ascii="Arial"/>
                <w:sz w:val="21"/>
              </w:rPr>
            </w:pPr>
          </w:p>
          <w:p w14:paraId="43CC7803">
            <w:pPr>
              <w:spacing w:line="274" w:lineRule="auto"/>
              <w:rPr>
                <w:rFonts w:ascii="Arial"/>
                <w:sz w:val="21"/>
              </w:rPr>
            </w:pPr>
          </w:p>
          <w:p w14:paraId="59A19081">
            <w:pPr>
              <w:spacing w:line="274" w:lineRule="auto"/>
              <w:rPr>
                <w:rFonts w:ascii="Arial"/>
                <w:sz w:val="21"/>
              </w:rPr>
            </w:pPr>
          </w:p>
          <w:p w14:paraId="214EC48C">
            <w:pPr>
              <w:spacing w:line="274" w:lineRule="auto"/>
              <w:rPr>
                <w:rFonts w:ascii="Arial"/>
                <w:sz w:val="21"/>
              </w:rPr>
            </w:pPr>
          </w:p>
          <w:p w14:paraId="09D8FC96">
            <w:pPr>
              <w:spacing w:before="57" w:line="195" w:lineRule="auto"/>
              <w:ind w:left="17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1273" w:type="dxa"/>
            <w:vAlign w:val="top"/>
          </w:tcPr>
          <w:p w14:paraId="49AA9356">
            <w:pPr>
              <w:spacing w:line="327" w:lineRule="auto"/>
              <w:rPr>
                <w:rFonts w:ascii="Arial"/>
                <w:sz w:val="21"/>
              </w:rPr>
            </w:pPr>
          </w:p>
          <w:p w14:paraId="14C2BF4A">
            <w:pPr>
              <w:spacing w:line="327" w:lineRule="auto"/>
              <w:rPr>
                <w:rFonts w:ascii="Arial"/>
                <w:sz w:val="21"/>
              </w:rPr>
            </w:pPr>
          </w:p>
          <w:p w14:paraId="7F402FEA">
            <w:pPr>
              <w:pStyle w:val="6"/>
              <w:spacing w:before="65" w:line="251" w:lineRule="auto"/>
              <w:ind w:left="106" w:right="125"/>
              <w:jc w:val="both"/>
              <w:rPr>
                <w:sz w:val="20"/>
                <w:szCs w:val="20"/>
              </w:rPr>
            </w:pPr>
            <w:r>
              <w:rPr>
                <w:spacing w:val="7"/>
                <w:sz w:val="20"/>
                <w:szCs w:val="20"/>
              </w:rPr>
              <w:t>《自然资源</w:t>
            </w:r>
            <w:r>
              <w:rPr>
                <w:sz w:val="20"/>
                <w:szCs w:val="20"/>
              </w:rPr>
              <w:t xml:space="preserve"> </w:t>
            </w:r>
            <w:r>
              <w:rPr>
                <w:spacing w:val="2"/>
                <w:sz w:val="20"/>
                <w:szCs w:val="20"/>
              </w:rPr>
              <w:t>部</w:t>
            </w:r>
            <w:r>
              <w:rPr>
                <w:spacing w:val="23"/>
                <w:sz w:val="20"/>
                <w:szCs w:val="20"/>
              </w:rPr>
              <w:t xml:space="preserve"> </w:t>
            </w:r>
            <w:r>
              <w:rPr>
                <w:spacing w:val="2"/>
                <w:sz w:val="20"/>
                <w:szCs w:val="20"/>
              </w:rPr>
              <w:t>农业农</w:t>
            </w:r>
            <w:r>
              <w:rPr>
                <w:sz w:val="20"/>
                <w:szCs w:val="20"/>
              </w:rPr>
              <w:t xml:space="preserve">  </w:t>
            </w:r>
            <w:r>
              <w:rPr>
                <w:spacing w:val="7"/>
                <w:sz w:val="20"/>
                <w:szCs w:val="20"/>
              </w:rPr>
              <w:t>村部关于加</w:t>
            </w:r>
          </w:p>
          <w:p w14:paraId="3AAB0876">
            <w:pPr>
              <w:pStyle w:val="6"/>
              <w:spacing w:before="1" w:line="231" w:lineRule="auto"/>
              <w:ind w:left="113"/>
              <w:rPr>
                <w:sz w:val="20"/>
                <w:szCs w:val="20"/>
              </w:rPr>
            </w:pPr>
            <w:r>
              <w:rPr>
                <w:spacing w:val="5"/>
                <w:sz w:val="20"/>
                <w:szCs w:val="20"/>
              </w:rPr>
              <w:t>强和改进永</w:t>
            </w:r>
          </w:p>
          <w:p w14:paraId="2455D9B4">
            <w:pPr>
              <w:pStyle w:val="6"/>
              <w:spacing w:before="20" w:line="231" w:lineRule="auto"/>
              <w:ind w:left="108"/>
              <w:rPr>
                <w:sz w:val="20"/>
                <w:szCs w:val="20"/>
              </w:rPr>
            </w:pPr>
            <w:r>
              <w:rPr>
                <w:spacing w:val="6"/>
                <w:sz w:val="20"/>
                <w:szCs w:val="20"/>
              </w:rPr>
              <w:t>久基本农田</w:t>
            </w:r>
          </w:p>
          <w:p w14:paraId="3AC0459E">
            <w:pPr>
              <w:pStyle w:val="6"/>
              <w:spacing w:before="20" w:line="229" w:lineRule="auto"/>
              <w:ind w:left="107"/>
              <w:rPr>
                <w:sz w:val="20"/>
                <w:szCs w:val="20"/>
              </w:rPr>
            </w:pPr>
            <w:r>
              <w:rPr>
                <w:spacing w:val="6"/>
                <w:sz w:val="20"/>
                <w:szCs w:val="20"/>
              </w:rPr>
              <w:t>保护工作的</w:t>
            </w:r>
          </w:p>
          <w:p w14:paraId="6818335D">
            <w:pPr>
              <w:pStyle w:val="6"/>
              <w:spacing w:before="26" w:line="251" w:lineRule="auto"/>
              <w:ind w:left="113" w:right="125" w:hanging="2"/>
              <w:rPr>
                <w:sz w:val="20"/>
                <w:szCs w:val="20"/>
              </w:rPr>
            </w:pPr>
            <w:r>
              <w:rPr>
                <w:spacing w:val="-11"/>
                <w:sz w:val="20"/>
                <w:szCs w:val="20"/>
              </w:rPr>
              <w:t>通知》（</w:t>
            </w:r>
            <w:r>
              <w:rPr>
                <w:spacing w:val="-15"/>
                <w:sz w:val="20"/>
                <w:szCs w:val="20"/>
              </w:rPr>
              <w:t xml:space="preserve"> </w:t>
            </w:r>
            <w:r>
              <w:rPr>
                <w:spacing w:val="-11"/>
                <w:sz w:val="20"/>
                <w:szCs w:val="20"/>
              </w:rPr>
              <w:t>自</w:t>
            </w:r>
            <w:r>
              <w:rPr>
                <w:sz w:val="20"/>
                <w:szCs w:val="20"/>
              </w:rPr>
              <w:t xml:space="preserve"> </w:t>
            </w:r>
            <w:r>
              <w:rPr>
                <w:spacing w:val="2"/>
                <w:sz w:val="20"/>
                <w:szCs w:val="20"/>
              </w:rPr>
              <w:t>然资规</w:t>
            </w:r>
          </w:p>
          <w:p w14:paraId="27B6E8CB">
            <w:pPr>
              <w:pStyle w:val="6"/>
              <w:spacing w:before="1" w:line="251" w:lineRule="auto"/>
              <w:ind w:left="112" w:right="230" w:firstLine="17"/>
              <w:rPr>
                <w:sz w:val="20"/>
                <w:szCs w:val="20"/>
              </w:rPr>
            </w:pPr>
            <w:r>
              <w:rPr>
                <w:spacing w:val="1"/>
                <w:sz w:val="20"/>
                <w:szCs w:val="20"/>
              </w:rPr>
              <w:t>〔</w:t>
            </w:r>
            <w:r>
              <w:rPr>
                <w:rFonts w:ascii="Times New Roman" w:hAnsi="Times New Roman" w:eastAsia="Times New Roman" w:cs="Times New Roman"/>
                <w:spacing w:val="1"/>
                <w:sz w:val="20"/>
                <w:szCs w:val="20"/>
              </w:rPr>
              <w:t>2019</w:t>
            </w:r>
            <w:r>
              <w:rPr>
                <w:spacing w:val="1"/>
                <w:sz w:val="20"/>
                <w:szCs w:val="20"/>
              </w:rPr>
              <w:t>〕</w:t>
            </w: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 xml:space="preserve"> </w:t>
            </w:r>
            <w:r>
              <w:rPr>
                <w:spacing w:val="-5"/>
                <w:sz w:val="20"/>
                <w:szCs w:val="20"/>
              </w:rPr>
              <w:t>号）</w:t>
            </w:r>
          </w:p>
        </w:tc>
        <w:tc>
          <w:tcPr>
            <w:tcW w:w="6289" w:type="dxa"/>
            <w:vAlign w:val="top"/>
          </w:tcPr>
          <w:p w14:paraId="65BEC278">
            <w:pPr>
              <w:pStyle w:val="6"/>
              <w:spacing w:before="41" w:line="251" w:lineRule="auto"/>
              <w:ind w:left="110" w:right="37" w:firstLine="7"/>
              <w:jc w:val="both"/>
              <w:rPr>
                <w:sz w:val="20"/>
                <w:szCs w:val="20"/>
              </w:rPr>
            </w:pPr>
            <w:r>
              <w:rPr>
                <w:spacing w:val="4"/>
                <w:sz w:val="20"/>
                <w:szCs w:val="20"/>
              </w:rPr>
              <w:t>非战略性矿产，申请新设矿业权，应避让永久基本农田，其中地热、</w:t>
            </w:r>
            <w:r>
              <w:rPr>
                <w:spacing w:val="7"/>
                <w:sz w:val="20"/>
                <w:szCs w:val="20"/>
              </w:rPr>
              <w:t xml:space="preserve"> </w:t>
            </w:r>
            <w:r>
              <w:rPr>
                <w:spacing w:val="9"/>
                <w:sz w:val="20"/>
                <w:szCs w:val="20"/>
              </w:rPr>
              <w:t>矿泉水勘查开采，不造成永久基本农田损毁、塌陷破坏的，可申请</w:t>
            </w:r>
            <w:r>
              <w:rPr>
                <w:spacing w:val="6"/>
                <w:sz w:val="20"/>
                <w:szCs w:val="20"/>
              </w:rPr>
              <w:t xml:space="preserve"> </w:t>
            </w:r>
            <w:r>
              <w:rPr>
                <w:spacing w:val="5"/>
                <w:sz w:val="20"/>
                <w:szCs w:val="20"/>
              </w:rPr>
              <w:t>新设矿业权。</w:t>
            </w:r>
          </w:p>
          <w:p w14:paraId="57DA3A7F">
            <w:pPr>
              <w:pStyle w:val="6"/>
              <w:spacing w:before="2" w:line="251" w:lineRule="auto"/>
              <w:ind w:left="111" w:right="105" w:firstLine="5"/>
              <w:jc w:val="both"/>
              <w:rPr>
                <w:sz w:val="20"/>
                <w:szCs w:val="20"/>
              </w:rPr>
            </w:pPr>
            <w:r>
              <w:rPr>
                <w:spacing w:val="9"/>
                <w:sz w:val="20"/>
                <w:szCs w:val="20"/>
              </w:rPr>
              <w:t>非油气战略性矿产，矿业权人申请采矿权涉及永久基本农田的，根</w:t>
            </w:r>
            <w:r>
              <w:rPr>
                <w:sz w:val="20"/>
                <w:szCs w:val="20"/>
              </w:rPr>
              <w:t xml:space="preserve"> </w:t>
            </w:r>
            <w:r>
              <w:rPr>
                <w:spacing w:val="9"/>
                <w:sz w:val="20"/>
                <w:szCs w:val="20"/>
              </w:rPr>
              <w:t>据露天、井下开采方式实行差别化管理。对于井下方式开采，矿产</w:t>
            </w:r>
            <w:r>
              <w:rPr>
                <w:spacing w:val="5"/>
                <w:sz w:val="20"/>
                <w:szCs w:val="20"/>
              </w:rPr>
              <w:t xml:space="preserve"> </w:t>
            </w:r>
            <w:r>
              <w:rPr>
                <w:spacing w:val="9"/>
                <w:sz w:val="20"/>
                <w:szCs w:val="20"/>
              </w:rPr>
              <w:t>资源开发利用与生态保护修复方案应落实保护性开发措施。井下开</w:t>
            </w:r>
            <w:r>
              <w:rPr>
                <w:spacing w:val="5"/>
                <w:sz w:val="20"/>
                <w:szCs w:val="20"/>
              </w:rPr>
              <w:t xml:space="preserve"> </w:t>
            </w:r>
            <w:r>
              <w:rPr>
                <w:spacing w:val="9"/>
                <w:sz w:val="20"/>
                <w:szCs w:val="20"/>
              </w:rPr>
              <w:t>采方式所配套建设的地面工业广场等设施，要符合占用永久基本农</w:t>
            </w:r>
            <w:r>
              <w:rPr>
                <w:spacing w:val="5"/>
                <w:sz w:val="20"/>
                <w:szCs w:val="20"/>
              </w:rPr>
              <w:t xml:space="preserve"> </w:t>
            </w:r>
            <w:r>
              <w:rPr>
                <w:spacing w:val="7"/>
                <w:sz w:val="20"/>
                <w:szCs w:val="20"/>
              </w:rPr>
              <w:t>田重大建设项目用地要求。</w:t>
            </w:r>
          </w:p>
          <w:p w14:paraId="778CA993">
            <w:pPr>
              <w:pStyle w:val="6"/>
              <w:spacing w:before="6" w:line="243" w:lineRule="auto"/>
              <w:ind w:left="110" w:right="31" w:firstLine="27"/>
              <w:jc w:val="both"/>
              <w:rPr>
                <w:sz w:val="20"/>
                <w:szCs w:val="20"/>
              </w:rPr>
            </w:pPr>
            <w:r>
              <w:rPr>
                <w:spacing w:val="8"/>
                <w:sz w:val="20"/>
                <w:szCs w:val="20"/>
              </w:rPr>
              <w:t>已设矿业权与永久基本农田空间重叠的，各级地方自然资源主管部</w:t>
            </w:r>
            <w:r>
              <w:rPr>
                <w:spacing w:val="7"/>
                <w:sz w:val="20"/>
                <w:szCs w:val="20"/>
              </w:rPr>
              <w:t xml:space="preserve"> </w:t>
            </w:r>
            <w:r>
              <w:rPr>
                <w:spacing w:val="9"/>
                <w:sz w:val="20"/>
                <w:szCs w:val="20"/>
              </w:rPr>
              <w:t>门要加强永久基本农田保护、土地复垦等日常监管，允许在原矿业</w:t>
            </w:r>
            <w:r>
              <w:rPr>
                <w:spacing w:val="6"/>
                <w:sz w:val="20"/>
                <w:szCs w:val="20"/>
              </w:rPr>
              <w:t xml:space="preserve"> </w:t>
            </w:r>
            <w:r>
              <w:rPr>
                <w:spacing w:val="9"/>
                <w:sz w:val="20"/>
                <w:szCs w:val="20"/>
              </w:rPr>
              <w:t>权范围内办理延续变更等登记手续。矿业权人申请扩大勘查区块范</w:t>
            </w:r>
            <w:r>
              <w:rPr>
                <w:spacing w:val="6"/>
                <w:sz w:val="20"/>
                <w:szCs w:val="20"/>
              </w:rPr>
              <w:t xml:space="preserve"> </w:t>
            </w:r>
            <w:r>
              <w:rPr>
                <w:spacing w:val="8"/>
                <w:sz w:val="20"/>
                <w:szCs w:val="20"/>
              </w:rPr>
              <w:t>围或扩大矿区范围、</w:t>
            </w:r>
            <w:r>
              <w:rPr>
                <w:spacing w:val="-56"/>
                <w:sz w:val="20"/>
                <w:szCs w:val="20"/>
              </w:rPr>
              <w:t xml:space="preserve"> </w:t>
            </w:r>
            <w:r>
              <w:rPr>
                <w:spacing w:val="8"/>
                <w:sz w:val="20"/>
                <w:szCs w:val="20"/>
              </w:rPr>
              <w:t>申请将勘查或开采矿种由</w:t>
            </w:r>
            <w:r>
              <w:rPr>
                <w:spacing w:val="7"/>
                <w:sz w:val="20"/>
                <w:szCs w:val="20"/>
              </w:rPr>
              <w:t>战略性矿产变更为非</w:t>
            </w:r>
            <w:r>
              <w:rPr>
                <w:sz w:val="20"/>
                <w:szCs w:val="20"/>
              </w:rPr>
              <w:t xml:space="preserve"> </w:t>
            </w:r>
            <w:r>
              <w:rPr>
                <w:spacing w:val="5"/>
                <w:sz w:val="20"/>
                <w:szCs w:val="20"/>
              </w:rPr>
              <w:t>战略性矿产，涉及与永久基本农田空间重叠的</w:t>
            </w:r>
            <w:r>
              <w:rPr>
                <w:spacing w:val="4"/>
                <w:sz w:val="20"/>
                <w:szCs w:val="20"/>
              </w:rPr>
              <w:t>，按新设矿业权处理。</w:t>
            </w:r>
            <w:r>
              <w:rPr>
                <w:sz w:val="20"/>
                <w:szCs w:val="20"/>
              </w:rPr>
              <w:t xml:space="preserve"> </w:t>
            </w:r>
            <w:r>
              <w:rPr>
                <w:spacing w:val="9"/>
                <w:sz w:val="20"/>
                <w:szCs w:val="20"/>
              </w:rPr>
              <w:t>矿业权人不依法履行土地复垦义务的，不得批准新设矿业权，不得</w:t>
            </w:r>
            <w:r>
              <w:rPr>
                <w:spacing w:val="6"/>
                <w:sz w:val="20"/>
                <w:szCs w:val="20"/>
              </w:rPr>
              <w:t xml:space="preserve"> </w:t>
            </w:r>
            <w:r>
              <w:rPr>
                <w:spacing w:val="7"/>
                <w:sz w:val="20"/>
                <w:szCs w:val="20"/>
              </w:rPr>
              <w:t>批准新的建设用地。</w:t>
            </w:r>
          </w:p>
        </w:tc>
        <w:tc>
          <w:tcPr>
            <w:tcW w:w="4465" w:type="dxa"/>
            <w:vMerge w:val="continue"/>
            <w:tcBorders>
              <w:top w:val="nil"/>
            </w:tcBorders>
            <w:vAlign w:val="top"/>
          </w:tcPr>
          <w:p w14:paraId="43FD656E">
            <w:pPr>
              <w:rPr>
                <w:rFonts w:ascii="Arial"/>
                <w:sz w:val="21"/>
              </w:rPr>
            </w:pPr>
          </w:p>
        </w:tc>
        <w:tc>
          <w:tcPr>
            <w:tcW w:w="1897" w:type="dxa"/>
            <w:vMerge w:val="continue"/>
            <w:tcBorders>
              <w:top w:val="nil"/>
              <w:right w:val="single" w:color="000000" w:sz="10" w:space="0"/>
            </w:tcBorders>
            <w:vAlign w:val="top"/>
          </w:tcPr>
          <w:p w14:paraId="62507AD2">
            <w:pPr>
              <w:rPr>
                <w:rFonts w:ascii="Arial"/>
                <w:sz w:val="21"/>
              </w:rPr>
            </w:pPr>
          </w:p>
        </w:tc>
      </w:tr>
      <w:tr w14:paraId="068B27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1" w:hRule="atLeast"/>
        </w:trPr>
        <w:tc>
          <w:tcPr>
            <w:tcW w:w="547" w:type="dxa"/>
            <w:tcBorders>
              <w:left w:val="single" w:color="000000" w:sz="10" w:space="0"/>
              <w:bottom w:val="single" w:color="000000" w:sz="10" w:space="0"/>
            </w:tcBorders>
            <w:vAlign w:val="top"/>
          </w:tcPr>
          <w:p w14:paraId="405A4901">
            <w:pPr>
              <w:spacing w:line="410" w:lineRule="auto"/>
              <w:rPr>
                <w:rFonts w:ascii="Arial"/>
                <w:sz w:val="21"/>
              </w:rPr>
            </w:pPr>
          </w:p>
          <w:p w14:paraId="57035414">
            <w:pPr>
              <w:spacing w:before="58" w:line="195" w:lineRule="auto"/>
              <w:ind w:left="1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273" w:type="dxa"/>
            <w:tcBorders>
              <w:bottom w:val="single" w:color="000000" w:sz="10" w:space="0"/>
            </w:tcBorders>
            <w:vAlign w:val="top"/>
          </w:tcPr>
          <w:p w14:paraId="48C3DA18">
            <w:pPr>
              <w:pStyle w:val="6"/>
              <w:spacing w:before="52" w:line="230" w:lineRule="auto"/>
              <w:ind w:left="137"/>
              <w:rPr>
                <w:sz w:val="19"/>
                <w:szCs w:val="19"/>
              </w:rPr>
            </w:pPr>
            <w:r>
              <w:rPr>
                <w:spacing w:val="7"/>
                <w:sz w:val="19"/>
                <w:szCs w:val="19"/>
              </w:rPr>
              <w:t>《铝行业规</w:t>
            </w:r>
          </w:p>
          <w:p w14:paraId="67B58AA9">
            <w:pPr>
              <w:pStyle w:val="6"/>
              <w:spacing w:before="22" w:line="231" w:lineRule="auto"/>
              <w:ind w:left="64"/>
              <w:rPr>
                <w:sz w:val="19"/>
                <w:szCs w:val="19"/>
              </w:rPr>
            </w:pPr>
            <w:r>
              <w:rPr>
                <w:sz w:val="19"/>
                <w:szCs w:val="19"/>
              </w:rPr>
              <w:t>范条件》（工</w:t>
            </w:r>
          </w:p>
          <w:p w14:paraId="5FC2AAB9">
            <w:pPr>
              <w:pStyle w:val="6"/>
              <w:spacing w:before="20" w:line="231" w:lineRule="auto"/>
              <w:ind w:left="235"/>
              <w:rPr>
                <w:sz w:val="19"/>
                <w:szCs w:val="19"/>
              </w:rPr>
            </w:pPr>
            <w:r>
              <w:rPr>
                <w:spacing w:val="6"/>
                <w:sz w:val="19"/>
                <w:szCs w:val="19"/>
              </w:rPr>
              <w:t>信部公告</w:t>
            </w:r>
          </w:p>
          <w:p w14:paraId="78FB1750">
            <w:pPr>
              <w:pStyle w:val="6"/>
              <w:spacing w:before="22" w:line="231" w:lineRule="auto"/>
              <w:ind w:left="12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2020</w:t>
            </w:r>
            <w:r>
              <w:rPr>
                <w:rFonts w:ascii="Times New Roman" w:hAnsi="Times New Roman" w:eastAsia="Times New Roman" w:cs="Times New Roman"/>
                <w:spacing w:val="20"/>
                <w:sz w:val="19"/>
                <w:szCs w:val="19"/>
              </w:rPr>
              <w:t xml:space="preserve"> </w:t>
            </w:r>
            <w:r>
              <w:rPr>
                <w:spacing w:val="2"/>
                <w:sz w:val="19"/>
                <w:szCs w:val="19"/>
              </w:rPr>
              <w:t>年第</w:t>
            </w:r>
            <w:r>
              <w:rPr>
                <w:spacing w:val="-34"/>
                <w:sz w:val="19"/>
                <w:szCs w:val="19"/>
              </w:rPr>
              <w:t xml:space="preserve"> </w:t>
            </w:r>
            <w:r>
              <w:rPr>
                <w:rFonts w:ascii="Times New Roman" w:hAnsi="Times New Roman" w:eastAsia="Times New Roman" w:cs="Times New Roman"/>
                <w:spacing w:val="2"/>
                <w:sz w:val="19"/>
                <w:szCs w:val="19"/>
              </w:rPr>
              <w:t>6</w:t>
            </w:r>
          </w:p>
        </w:tc>
        <w:tc>
          <w:tcPr>
            <w:tcW w:w="6289" w:type="dxa"/>
            <w:tcBorders>
              <w:bottom w:val="single" w:color="000000" w:sz="10" w:space="0"/>
            </w:tcBorders>
            <w:vAlign w:val="top"/>
          </w:tcPr>
          <w:p w14:paraId="409EC46D">
            <w:pPr>
              <w:pStyle w:val="6"/>
              <w:spacing w:before="51" w:line="252" w:lineRule="auto"/>
              <w:ind w:left="54" w:right="50" w:firstLine="360"/>
              <w:jc w:val="both"/>
              <w:rPr>
                <w:sz w:val="19"/>
                <w:szCs w:val="19"/>
              </w:rPr>
            </w:pPr>
            <w:r>
              <w:rPr>
                <w:spacing w:val="10"/>
                <w:sz w:val="19"/>
                <w:szCs w:val="19"/>
              </w:rPr>
              <w:t>矿山企业须依法取得采矿许可证和安全生产许可证，勘查开采人应</w:t>
            </w:r>
            <w:r>
              <w:rPr>
                <w:spacing w:val="17"/>
                <w:sz w:val="19"/>
                <w:szCs w:val="19"/>
              </w:rPr>
              <w:t xml:space="preserve"> </w:t>
            </w:r>
            <w:r>
              <w:rPr>
                <w:spacing w:val="9"/>
                <w:sz w:val="19"/>
                <w:szCs w:val="19"/>
              </w:rPr>
              <w:t>按照批准的开发利用方案、初步设计和安全设施设计进行矿山建设和开</w:t>
            </w:r>
            <w:r>
              <w:rPr>
                <w:spacing w:val="8"/>
                <w:sz w:val="19"/>
                <w:szCs w:val="19"/>
              </w:rPr>
              <w:t xml:space="preserve"> </w:t>
            </w:r>
            <w:r>
              <w:rPr>
                <w:spacing w:val="9"/>
                <w:sz w:val="19"/>
                <w:szCs w:val="19"/>
              </w:rPr>
              <w:t>发，严禁无证开采、乱采滥挖和破坏环境、浪费</w:t>
            </w:r>
            <w:r>
              <w:rPr>
                <w:spacing w:val="8"/>
                <w:sz w:val="19"/>
                <w:szCs w:val="19"/>
              </w:rPr>
              <w:t>资源。</w:t>
            </w:r>
          </w:p>
          <w:p w14:paraId="096B62FD">
            <w:pPr>
              <w:pStyle w:val="6"/>
              <w:spacing w:line="231" w:lineRule="auto"/>
              <w:ind w:left="415"/>
              <w:rPr>
                <w:sz w:val="19"/>
                <w:szCs w:val="19"/>
              </w:rPr>
            </w:pPr>
            <w:r>
              <w:rPr>
                <w:spacing w:val="10"/>
                <w:sz w:val="19"/>
                <w:szCs w:val="19"/>
              </w:rPr>
              <w:t>铝土矿企业的开采回采率、选矿回收率和综合利用率等三项指标应</w:t>
            </w:r>
          </w:p>
        </w:tc>
        <w:tc>
          <w:tcPr>
            <w:tcW w:w="4465" w:type="dxa"/>
            <w:tcBorders>
              <w:bottom w:val="single" w:color="000000" w:sz="10" w:space="0"/>
            </w:tcBorders>
            <w:vAlign w:val="top"/>
          </w:tcPr>
          <w:p w14:paraId="4A6C65BD">
            <w:pPr>
              <w:pStyle w:val="6"/>
              <w:spacing w:before="51" w:line="250" w:lineRule="auto"/>
              <w:ind w:left="65" w:right="41" w:firstLine="361"/>
              <w:jc w:val="both"/>
              <w:rPr>
                <w:sz w:val="19"/>
                <w:szCs w:val="19"/>
              </w:rPr>
            </w:pPr>
            <w:r>
              <w:rPr>
                <w:spacing w:val="7"/>
                <w:sz w:val="19"/>
                <w:szCs w:val="19"/>
              </w:rPr>
              <w:t>本次《规划调整》</w:t>
            </w:r>
            <w:r>
              <w:rPr>
                <w:spacing w:val="-45"/>
                <w:sz w:val="19"/>
                <w:szCs w:val="19"/>
              </w:rPr>
              <w:t xml:space="preserve"> </w:t>
            </w:r>
            <w:r>
              <w:rPr>
                <w:spacing w:val="7"/>
                <w:sz w:val="19"/>
                <w:szCs w:val="19"/>
              </w:rPr>
              <w:t>中取消了一个铝土矿开采区</w:t>
            </w:r>
            <w:r>
              <w:rPr>
                <w:sz w:val="19"/>
                <w:szCs w:val="19"/>
              </w:rPr>
              <w:t xml:space="preserve"> </w:t>
            </w:r>
            <w:r>
              <w:rPr>
                <w:spacing w:val="7"/>
                <w:sz w:val="19"/>
                <w:szCs w:val="19"/>
              </w:rPr>
              <w:t>块，调整了一个铝土矿勘查区块。新建矿山按绿色</w:t>
            </w:r>
            <w:r>
              <w:rPr>
                <w:spacing w:val="17"/>
                <w:sz w:val="19"/>
                <w:szCs w:val="19"/>
              </w:rPr>
              <w:t xml:space="preserve"> </w:t>
            </w:r>
            <w:r>
              <w:rPr>
                <w:spacing w:val="7"/>
                <w:sz w:val="19"/>
                <w:szCs w:val="19"/>
              </w:rPr>
              <w:t>矿山建设，铝土矿勘查开采时应严格遵守《铝行业</w:t>
            </w:r>
            <w:r>
              <w:rPr>
                <w:spacing w:val="17"/>
                <w:sz w:val="19"/>
                <w:szCs w:val="19"/>
              </w:rPr>
              <w:t xml:space="preserve"> </w:t>
            </w:r>
            <w:r>
              <w:rPr>
                <w:spacing w:val="3"/>
                <w:sz w:val="19"/>
                <w:szCs w:val="19"/>
              </w:rPr>
              <w:t>规范条件》</w:t>
            </w:r>
            <w:r>
              <w:rPr>
                <w:spacing w:val="-55"/>
                <w:sz w:val="19"/>
                <w:szCs w:val="19"/>
              </w:rPr>
              <w:t xml:space="preserve"> </w:t>
            </w:r>
            <w:r>
              <w:rPr>
                <w:spacing w:val="3"/>
                <w:sz w:val="19"/>
                <w:szCs w:val="19"/>
              </w:rPr>
              <w:t>。符合</w:t>
            </w:r>
          </w:p>
        </w:tc>
        <w:tc>
          <w:tcPr>
            <w:tcW w:w="1897" w:type="dxa"/>
            <w:tcBorders>
              <w:bottom w:val="single" w:color="000000" w:sz="10" w:space="0"/>
              <w:right w:val="single" w:color="000000" w:sz="10" w:space="0"/>
            </w:tcBorders>
            <w:vAlign w:val="top"/>
          </w:tcPr>
          <w:p w14:paraId="56EA90C6">
            <w:pPr>
              <w:spacing w:line="414" w:lineRule="auto"/>
              <w:rPr>
                <w:rFonts w:ascii="Arial"/>
                <w:sz w:val="21"/>
              </w:rPr>
            </w:pPr>
          </w:p>
          <w:p w14:paraId="1C3223C5">
            <w:pPr>
              <w:spacing w:before="55" w:line="199" w:lineRule="auto"/>
              <w:ind w:left="923"/>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r>
    </w:tbl>
    <w:p w14:paraId="1F51A450">
      <w:pPr>
        <w:pStyle w:val="2"/>
        <w:spacing w:line="165" w:lineRule="exact"/>
        <w:rPr>
          <w:sz w:val="14"/>
        </w:rPr>
      </w:pPr>
    </w:p>
    <w:p w14:paraId="0DA2A51D">
      <w:pPr>
        <w:spacing w:line="165" w:lineRule="exact"/>
        <w:rPr>
          <w:sz w:val="14"/>
          <w:szCs w:val="14"/>
        </w:rPr>
        <w:sectPr>
          <w:footerReference r:id="rId78" w:type="default"/>
          <w:pgSz w:w="16839" w:h="11906"/>
          <w:pgMar w:top="1116" w:right="1023" w:bottom="1480" w:left="1317" w:header="683" w:footer="1318" w:gutter="0"/>
          <w:cols w:space="720" w:num="1"/>
        </w:sectPr>
      </w:pPr>
    </w:p>
    <w:p w14:paraId="3871188E">
      <w:pPr>
        <w:spacing w:before="229"/>
      </w:pPr>
    </w:p>
    <w:tbl>
      <w:tblPr>
        <w:tblStyle w:val="5"/>
        <w:tblW w:w="1447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7"/>
        <w:gridCol w:w="1273"/>
        <w:gridCol w:w="6289"/>
        <w:gridCol w:w="4465"/>
        <w:gridCol w:w="1897"/>
      </w:tblGrid>
      <w:tr w14:paraId="65FBA7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47" w:type="dxa"/>
            <w:vMerge w:val="restart"/>
            <w:tcBorders>
              <w:top w:val="single" w:color="000000" w:sz="10" w:space="0"/>
              <w:left w:val="single" w:color="000000" w:sz="10" w:space="0"/>
              <w:bottom w:val="nil"/>
            </w:tcBorders>
            <w:vAlign w:val="top"/>
          </w:tcPr>
          <w:p w14:paraId="651041EA">
            <w:pPr>
              <w:pStyle w:val="6"/>
              <w:spacing w:before="251" w:line="231" w:lineRule="auto"/>
              <w:ind w:left="69"/>
              <w:rPr>
                <w:sz w:val="19"/>
                <w:szCs w:val="19"/>
              </w:rPr>
            </w:pPr>
            <w:r>
              <w:rPr>
                <w:spacing w:val="2"/>
                <w:sz w:val="19"/>
                <w:szCs w:val="19"/>
              </w:rPr>
              <w:t>序号</w:t>
            </w:r>
          </w:p>
        </w:tc>
        <w:tc>
          <w:tcPr>
            <w:tcW w:w="7562" w:type="dxa"/>
            <w:gridSpan w:val="2"/>
            <w:tcBorders>
              <w:top w:val="single" w:color="000000" w:sz="10" w:space="0"/>
            </w:tcBorders>
            <w:vAlign w:val="top"/>
          </w:tcPr>
          <w:p w14:paraId="51D8404C">
            <w:pPr>
              <w:pStyle w:val="6"/>
              <w:spacing w:before="75" w:line="231" w:lineRule="auto"/>
              <w:ind w:left="2908"/>
              <w:rPr>
                <w:sz w:val="19"/>
                <w:szCs w:val="19"/>
              </w:rPr>
            </w:pPr>
            <w:r>
              <w:rPr>
                <w:spacing w:val="5"/>
                <w:sz w:val="19"/>
                <w:szCs w:val="19"/>
              </w:rPr>
              <w:t>国家重大政策及规划</w:t>
            </w:r>
          </w:p>
        </w:tc>
        <w:tc>
          <w:tcPr>
            <w:tcW w:w="4465" w:type="dxa"/>
            <w:vMerge w:val="restart"/>
            <w:tcBorders>
              <w:top w:val="single" w:color="000000" w:sz="10" w:space="0"/>
              <w:bottom w:val="nil"/>
            </w:tcBorders>
            <w:vAlign w:val="top"/>
          </w:tcPr>
          <w:p w14:paraId="13C4806C">
            <w:pPr>
              <w:pStyle w:val="6"/>
              <w:spacing w:before="250" w:line="229" w:lineRule="auto"/>
              <w:ind w:left="949"/>
              <w:rPr>
                <w:sz w:val="19"/>
                <w:szCs w:val="19"/>
              </w:rPr>
            </w:pPr>
            <w:r>
              <w:rPr>
                <w:spacing w:val="8"/>
                <w:sz w:val="19"/>
                <w:szCs w:val="19"/>
              </w:rPr>
              <w:t>本《规划调整》的符合性分析</w:t>
            </w:r>
          </w:p>
        </w:tc>
        <w:tc>
          <w:tcPr>
            <w:tcW w:w="1897" w:type="dxa"/>
            <w:vMerge w:val="restart"/>
            <w:tcBorders>
              <w:top w:val="single" w:color="000000" w:sz="10" w:space="0"/>
              <w:bottom w:val="nil"/>
              <w:right w:val="single" w:color="000000" w:sz="10" w:space="0"/>
            </w:tcBorders>
            <w:vAlign w:val="top"/>
          </w:tcPr>
          <w:p w14:paraId="78A33965">
            <w:pPr>
              <w:pStyle w:val="6"/>
              <w:spacing w:before="250" w:line="230" w:lineRule="auto"/>
              <w:ind w:left="373"/>
              <w:rPr>
                <w:sz w:val="19"/>
                <w:szCs w:val="19"/>
              </w:rPr>
            </w:pPr>
            <w:r>
              <w:rPr>
                <w:spacing w:val="5"/>
                <w:sz w:val="19"/>
                <w:szCs w:val="19"/>
              </w:rPr>
              <w:t>简要优化建议</w:t>
            </w:r>
          </w:p>
        </w:tc>
      </w:tr>
      <w:tr w14:paraId="437520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547" w:type="dxa"/>
            <w:vMerge w:val="continue"/>
            <w:tcBorders>
              <w:top w:val="nil"/>
              <w:left w:val="single" w:color="000000" w:sz="10" w:space="0"/>
            </w:tcBorders>
            <w:vAlign w:val="top"/>
          </w:tcPr>
          <w:p w14:paraId="4F2D7435">
            <w:pPr>
              <w:rPr>
                <w:rFonts w:ascii="Arial"/>
                <w:sz w:val="21"/>
              </w:rPr>
            </w:pPr>
          </w:p>
        </w:tc>
        <w:tc>
          <w:tcPr>
            <w:tcW w:w="1273" w:type="dxa"/>
            <w:vAlign w:val="top"/>
          </w:tcPr>
          <w:p w14:paraId="4C7E7626">
            <w:pPr>
              <w:pStyle w:val="6"/>
              <w:spacing w:before="75" w:line="230" w:lineRule="auto"/>
              <w:ind w:left="438"/>
              <w:rPr>
                <w:sz w:val="19"/>
                <w:szCs w:val="19"/>
              </w:rPr>
            </w:pPr>
            <w:r>
              <w:rPr>
                <w:spacing w:val="2"/>
                <w:sz w:val="19"/>
                <w:szCs w:val="19"/>
              </w:rPr>
              <w:t>名称</w:t>
            </w:r>
          </w:p>
        </w:tc>
        <w:tc>
          <w:tcPr>
            <w:tcW w:w="6289" w:type="dxa"/>
            <w:vAlign w:val="top"/>
          </w:tcPr>
          <w:p w14:paraId="6C2906EB">
            <w:pPr>
              <w:pStyle w:val="6"/>
              <w:spacing w:before="75" w:line="231" w:lineRule="auto"/>
              <w:ind w:left="2754"/>
              <w:rPr>
                <w:sz w:val="19"/>
                <w:szCs w:val="19"/>
              </w:rPr>
            </w:pPr>
            <w:r>
              <w:rPr>
                <w:spacing w:val="6"/>
                <w:sz w:val="19"/>
                <w:szCs w:val="19"/>
              </w:rPr>
              <w:t>相关内容</w:t>
            </w:r>
          </w:p>
        </w:tc>
        <w:tc>
          <w:tcPr>
            <w:tcW w:w="4465" w:type="dxa"/>
            <w:vMerge w:val="continue"/>
            <w:tcBorders>
              <w:top w:val="nil"/>
            </w:tcBorders>
            <w:vAlign w:val="top"/>
          </w:tcPr>
          <w:p w14:paraId="1548EF2B">
            <w:pPr>
              <w:rPr>
                <w:rFonts w:ascii="Arial"/>
                <w:sz w:val="21"/>
              </w:rPr>
            </w:pPr>
          </w:p>
        </w:tc>
        <w:tc>
          <w:tcPr>
            <w:tcW w:w="1897" w:type="dxa"/>
            <w:vMerge w:val="continue"/>
            <w:tcBorders>
              <w:top w:val="nil"/>
              <w:right w:val="single" w:color="000000" w:sz="10" w:space="0"/>
            </w:tcBorders>
            <w:vAlign w:val="top"/>
          </w:tcPr>
          <w:p w14:paraId="69953E50">
            <w:pPr>
              <w:rPr>
                <w:rFonts w:ascii="Arial"/>
                <w:sz w:val="21"/>
              </w:rPr>
            </w:pPr>
          </w:p>
        </w:tc>
      </w:tr>
      <w:tr w14:paraId="56CE6D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8" w:hRule="atLeast"/>
        </w:trPr>
        <w:tc>
          <w:tcPr>
            <w:tcW w:w="547" w:type="dxa"/>
            <w:tcBorders>
              <w:left w:val="single" w:color="000000" w:sz="10" w:space="0"/>
              <w:bottom w:val="single" w:color="000000" w:sz="10" w:space="0"/>
            </w:tcBorders>
            <w:vAlign w:val="top"/>
          </w:tcPr>
          <w:p w14:paraId="3FBED6F0">
            <w:pPr>
              <w:rPr>
                <w:rFonts w:ascii="Arial"/>
                <w:sz w:val="21"/>
              </w:rPr>
            </w:pPr>
          </w:p>
        </w:tc>
        <w:tc>
          <w:tcPr>
            <w:tcW w:w="1273" w:type="dxa"/>
            <w:tcBorders>
              <w:bottom w:val="single" w:color="000000" w:sz="10" w:space="0"/>
            </w:tcBorders>
            <w:vAlign w:val="top"/>
          </w:tcPr>
          <w:p w14:paraId="395EC8F0">
            <w:pPr>
              <w:pStyle w:val="6"/>
              <w:spacing w:before="39" w:line="233" w:lineRule="auto"/>
              <w:ind w:left="442"/>
              <w:rPr>
                <w:sz w:val="19"/>
                <w:szCs w:val="19"/>
              </w:rPr>
            </w:pPr>
            <w:r>
              <w:rPr>
                <w:spacing w:val="-5"/>
                <w:sz w:val="19"/>
                <w:szCs w:val="19"/>
              </w:rPr>
              <w:t>号）</w:t>
            </w:r>
          </w:p>
        </w:tc>
        <w:tc>
          <w:tcPr>
            <w:tcW w:w="6289" w:type="dxa"/>
            <w:tcBorders>
              <w:bottom w:val="single" w:color="000000" w:sz="10" w:space="0"/>
            </w:tcBorders>
            <w:vAlign w:val="top"/>
          </w:tcPr>
          <w:p w14:paraId="3FE2A2E1">
            <w:pPr>
              <w:pStyle w:val="6"/>
              <w:spacing w:before="38" w:line="252" w:lineRule="auto"/>
              <w:ind w:left="59"/>
              <w:jc w:val="both"/>
              <w:rPr>
                <w:sz w:val="19"/>
                <w:szCs w:val="19"/>
              </w:rPr>
            </w:pPr>
            <w:r>
              <w:rPr>
                <w:spacing w:val="8"/>
                <w:sz w:val="19"/>
                <w:szCs w:val="19"/>
              </w:rPr>
              <w:t>符合原国土资源部颁布的《关于锰、铬、铝土矿、钨、钼、硫铁</w:t>
            </w:r>
            <w:r>
              <w:rPr>
                <w:spacing w:val="7"/>
                <w:sz w:val="19"/>
                <w:szCs w:val="19"/>
              </w:rPr>
              <w:t>矿、石</w:t>
            </w:r>
            <w:r>
              <w:rPr>
                <w:sz w:val="19"/>
                <w:szCs w:val="19"/>
              </w:rPr>
              <w:t xml:space="preserve">  </w:t>
            </w:r>
            <w:r>
              <w:rPr>
                <w:spacing w:val="5"/>
                <w:sz w:val="19"/>
                <w:szCs w:val="19"/>
              </w:rPr>
              <w:t>墨和石棉等矿产资源合理开发利用</w:t>
            </w:r>
            <w:r>
              <w:rPr>
                <w:rFonts w:ascii="Times New Roman" w:hAnsi="Times New Roman" w:eastAsia="Times New Roman" w:cs="Times New Roman"/>
                <w:spacing w:val="5"/>
                <w:sz w:val="19"/>
                <w:szCs w:val="19"/>
              </w:rPr>
              <w:t>“</w:t>
            </w:r>
            <w:r>
              <w:rPr>
                <w:spacing w:val="5"/>
                <w:sz w:val="19"/>
                <w:szCs w:val="19"/>
              </w:rPr>
              <w:t>三率</w:t>
            </w:r>
            <w:r>
              <w:rPr>
                <w:rFonts w:ascii="Times New Roman" w:hAnsi="Times New Roman" w:eastAsia="Times New Roman" w:cs="Times New Roman"/>
                <w:spacing w:val="5"/>
                <w:sz w:val="19"/>
                <w:szCs w:val="19"/>
              </w:rPr>
              <w:t>”</w:t>
            </w:r>
            <w:r>
              <w:rPr>
                <w:spacing w:val="5"/>
                <w:sz w:val="19"/>
                <w:szCs w:val="19"/>
              </w:rPr>
              <w:t>最低指标要求（试行）》的公告</w:t>
            </w:r>
            <w:r>
              <w:rPr>
                <w:sz w:val="19"/>
                <w:szCs w:val="19"/>
              </w:rPr>
              <w:t xml:space="preserve"> （</w:t>
            </w:r>
            <w:r>
              <w:rPr>
                <w:rFonts w:ascii="Times New Roman" w:hAnsi="Times New Roman" w:eastAsia="Times New Roman" w:cs="Times New Roman"/>
                <w:sz w:val="19"/>
                <w:szCs w:val="19"/>
              </w:rPr>
              <w:t>2014</w:t>
            </w:r>
            <w:r>
              <w:rPr>
                <w:rFonts w:ascii="Times New Roman" w:hAnsi="Times New Roman" w:eastAsia="Times New Roman" w:cs="Times New Roman"/>
                <w:spacing w:val="28"/>
                <w:w w:val="101"/>
                <w:sz w:val="19"/>
                <w:szCs w:val="19"/>
              </w:rPr>
              <w:t xml:space="preserve"> </w:t>
            </w:r>
            <w:r>
              <w:rPr>
                <w:sz w:val="19"/>
                <w:szCs w:val="19"/>
              </w:rPr>
              <w:t>年第</w:t>
            </w:r>
            <w:r>
              <w:rPr>
                <w:spacing w:val="-37"/>
                <w:sz w:val="19"/>
                <w:szCs w:val="19"/>
              </w:rPr>
              <w:t xml:space="preserve"> </w:t>
            </w:r>
            <w:r>
              <w:rPr>
                <w:rFonts w:ascii="Times New Roman" w:hAnsi="Times New Roman" w:eastAsia="Times New Roman" w:cs="Times New Roman"/>
                <w:sz w:val="19"/>
                <w:szCs w:val="19"/>
              </w:rPr>
              <w:t>31</w:t>
            </w:r>
            <w:r>
              <w:rPr>
                <w:rFonts w:ascii="Times New Roman" w:hAnsi="Times New Roman" w:eastAsia="Times New Roman" w:cs="Times New Roman"/>
                <w:spacing w:val="19"/>
                <w:w w:val="101"/>
                <w:sz w:val="19"/>
                <w:szCs w:val="19"/>
              </w:rPr>
              <w:t xml:space="preserve"> </w:t>
            </w:r>
            <w:r>
              <w:rPr>
                <w:sz w:val="19"/>
                <w:szCs w:val="19"/>
              </w:rPr>
              <w:t>号）</w:t>
            </w:r>
            <w:r>
              <w:rPr>
                <w:spacing w:val="-46"/>
                <w:sz w:val="19"/>
                <w:szCs w:val="19"/>
              </w:rPr>
              <w:t xml:space="preserve"> </w:t>
            </w:r>
            <w:r>
              <w:rPr>
                <w:sz w:val="19"/>
                <w:szCs w:val="19"/>
              </w:rPr>
              <w:t>中的相关要求。</w:t>
            </w:r>
          </w:p>
          <w:p w14:paraId="33FF6D4C">
            <w:pPr>
              <w:pStyle w:val="6"/>
              <w:spacing w:before="3" w:line="239" w:lineRule="auto"/>
              <w:ind w:left="55" w:firstLine="358"/>
              <w:jc w:val="both"/>
              <w:rPr>
                <w:sz w:val="19"/>
                <w:szCs w:val="19"/>
              </w:rPr>
            </w:pPr>
            <w:r>
              <w:rPr>
                <w:spacing w:val="4"/>
                <w:sz w:val="19"/>
                <w:szCs w:val="19"/>
              </w:rPr>
              <w:t>铝土矿企业应按照《有色金属行业绿色矿山建设规范》（</w:t>
            </w:r>
            <w:r>
              <w:rPr>
                <w:rFonts w:ascii="Times New Roman" w:hAnsi="Times New Roman" w:eastAsia="Times New Roman" w:cs="Times New Roman"/>
                <w:sz w:val="19"/>
                <w:szCs w:val="19"/>
              </w:rPr>
              <w:t>DZ</w:t>
            </w:r>
            <w:r>
              <w:rPr>
                <w:rFonts w:ascii="Times New Roman" w:hAnsi="Times New Roman" w:eastAsia="Times New Roman" w:cs="Times New Roman"/>
                <w:spacing w:val="4"/>
                <w:sz w:val="19"/>
                <w:szCs w:val="19"/>
              </w:rPr>
              <w:t>/T0320</w:t>
            </w:r>
            <w:r>
              <w:rPr>
                <w:spacing w:val="4"/>
                <w:sz w:val="19"/>
                <w:szCs w:val="19"/>
              </w:rPr>
              <w:t>）</w:t>
            </w:r>
            <w:r>
              <w:rPr>
                <w:sz w:val="19"/>
                <w:szCs w:val="19"/>
              </w:rPr>
              <w:t xml:space="preserve"> </w:t>
            </w:r>
            <w:r>
              <w:rPr>
                <w:spacing w:val="8"/>
                <w:sz w:val="19"/>
                <w:szCs w:val="19"/>
              </w:rPr>
              <w:t>要求，开展绿色矿山建设，最大限度减少对自然环境的扰动和破坏，贯</w:t>
            </w:r>
            <w:r>
              <w:rPr>
                <w:spacing w:val="3"/>
                <w:sz w:val="19"/>
                <w:szCs w:val="19"/>
              </w:rPr>
              <w:t xml:space="preserve">  </w:t>
            </w:r>
            <w:r>
              <w:rPr>
                <w:spacing w:val="6"/>
                <w:sz w:val="19"/>
                <w:szCs w:val="19"/>
              </w:rPr>
              <w:t>彻</w:t>
            </w:r>
            <w:r>
              <w:rPr>
                <w:rFonts w:ascii="Times New Roman" w:hAnsi="Times New Roman" w:eastAsia="Times New Roman" w:cs="Times New Roman"/>
                <w:spacing w:val="6"/>
                <w:sz w:val="19"/>
                <w:szCs w:val="19"/>
              </w:rPr>
              <w:t>“</w:t>
            </w:r>
            <w:r>
              <w:rPr>
                <w:spacing w:val="6"/>
                <w:sz w:val="19"/>
                <w:szCs w:val="19"/>
              </w:rPr>
              <w:t>边开采、边治理</w:t>
            </w:r>
            <w:r>
              <w:rPr>
                <w:rFonts w:ascii="Times New Roman" w:hAnsi="Times New Roman" w:eastAsia="Times New Roman" w:cs="Times New Roman"/>
                <w:spacing w:val="6"/>
                <w:sz w:val="19"/>
                <w:szCs w:val="19"/>
              </w:rPr>
              <w:t>”</w:t>
            </w:r>
            <w:r>
              <w:rPr>
                <w:spacing w:val="6"/>
                <w:sz w:val="19"/>
                <w:szCs w:val="19"/>
              </w:rPr>
              <w:t>的原则。</w:t>
            </w:r>
          </w:p>
        </w:tc>
        <w:tc>
          <w:tcPr>
            <w:tcW w:w="4465" w:type="dxa"/>
            <w:tcBorders>
              <w:bottom w:val="single" w:color="000000" w:sz="10" w:space="0"/>
            </w:tcBorders>
            <w:vAlign w:val="top"/>
          </w:tcPr>
          <w:p w14:paraId="67434807">
            <w:pPr>
              <w:rPr>
                <w:rFonts w:ascii="Arial"/>
                <w:sz w:val="21"/>
              </w:rPr>
            </w:pPr>
          </w:p>
        </w:tc>
        <w:tc>
          <w:tcPr>
            <w:tcW w:w="1897" w:type="dxa"/>
            <w:tcBorders>
              <w:bottom w:val="single" w:color="000000" w:sz="10" w:space="0"/>
              <w:right w:val="single" w:color="000000" w:sz="10" w:space="0"/>
            </w:tcBorders>
            <w:vAlign w:val="top"/>
          </w:tcPr>
          <w:p w14:paraId="1324B8B3">
            <w:pPr>
              <w:rPr>
                <w:rFonts w:ascii="Arial"/>
                <w:sz w:val="21"/>
              </w:rPr>
            </w:pPr>
          </w:p>
        </w:tc>
      </w:tr>
    </w:tbl>
    <w:p w14:paraId="0A26D5D2">
      <w:pPr>
        <w:pStyle w:val="2"/>
      </w:pPr>
    </w:p>
    <w:p w14:paraId="5E73E0DE">
      <w:pPr>
        <w:sectPr>
          <w:footerReference r:id="rId79" w:type="default"/>
          <w:pgSz w:w="16839" w:h="11906"/>
          <w:pgMar w:top="1116" w:right="1023" w:bottom="1480" w:left="1317" w:header="683" w:footer="1318" w:gutter="0"/>
          <w:cols w:space="720" w:num="1"/>
        </w:sectPr>
      </w:pPr>
    </w:p>
    <w:p w14:paraId="39B7E8BE">
      <w:pPr>
        <w:pStyle w:val="2"/>
        <w:spacing w:line="252" w:lineRule="auto"/>
      </w:pPr>
    </w:p>
    <w:p w14:paraId="56070944">
      <w:pPr>
        <w:pStyle w:val="2"/>
        <w:spacing w:line="253" w:lineRule="auto"/>
      </w:pPr>
    </w:p>
    <w:p w14:paraId="3220724D">
      <w:pPr>
        <w:spacing w:before="81" w:line="227" w:lineRule="auto"/>
        <w:ind w:left="135"/>
        <w:outlineLvl w:val="2"/>
        <w:rPr>
          <w:rFonts w:ascii="仿宋" w:hAnsi="仿宋" w:eastAsia="仿宋" w:cs="仿宋"/>
          <w:sz w:val="25"/>
          <w:szCs w:val="25"/>
        </w:rPr>
      </w:pPr>
      <w:r>
        <w:rPr>
          <w:rFonts w:ascii="Times New Roman" w:hAnsi="Times New Roman" w:eastAsia="Times New Roman" w:cs="Times New Roman"/>
          <w:b/>
          <w:bCs/>
          <w:spacing w:val="7"/>
          <w:sz w:val="25"/>
          <w:szCs w:val="25"/>
        </w:rPr>
        <w:t xml:space="preserve">2.3.2  </w:t>
      </w:r>
      <w:r>
        <w:rPr>
          <w:rFonts w:ascii="仿宋" w:hAnsi="仿宋" w:eastAsia="仿宋" w:cs="仿宋"/>
          <w:b/>
          <w:bCs/>
          <w:spacing w:val="7"/>
          <w:sz w:val="25"/>
          <w:szCs w:val="25"/>
        </w:rPr>
        <w:t>相关的地方性法规、政策、规</w:t>
      </w:r>
      <w:r>
        <w:rPr>
          <w:rFonts w:ascii="仿宋" w:hAnsi="仿宋" w:eastAsia="仿宋" w:cs="仿宋"/>
          <w:b/>
          <w:bCs/>
          <w:spacing w:val="6"/>
          <w:sz w:val="25"/>
          <w:szCs w:val="25"/>
        </w:rPr>
        <w:t>划等符合性分析</w:t>
      </w:r>
    </w:p>
    <w:p w14:paraId="50E058A3">
      <w:pPr>
        <w:spacing w:before="273" w:line="338" w:lineRule="auto"/>
        <w:ind w:left="149" w:right="130" w:firstLine="477"/>
        <w:rPr>
          <w:rFonts w:ascii="仿宋" w:hAnsi="仿宋" w:eastAsia="仿宋" w:cs="仿宋"/>
          <w:sz w:val="25"/>
          <w:szCs w:val="25"/>
        </w:rPr>
      </w:pPr>
      <w:r>
        <w:rPr>
          <w:rFonts w:ascii="仿宋" w:hAnsi="仿宋" w:eastAsia="仿宋" w:cs="仿宋"/>
          <w:spacing w:val="11"/>
          <w:sz w:val="25"/>
          <w:szCs w:val="25"/>
        </w:rPr>
        <w:t>本《规划调整》与相关的上层规划、地方性法规、规范</w:t>
      </w:r>
      <w:r>
        <w:rPr>
          <w:rFonts w:ascii="仿宋" w:hAnsi="仿宋" w:eastAsia="仿宋" w:cs="仿宋"/>
          <w:spacing w:val="10"/>
          <w:sz w:val="25"/>
          <w:szCs w:val="25"/>
        </w:rPr>
        <w:t>性文件、政策及规</w:t>
      </w:r>
      <w:r>
        <w:rPr>
          <w:rFonts w:ascii="仿宋" w:hAnsi="仿宋" w:eastAsia="仿宋" w:cs="仿宋"/>
          <w:sz w:val="25"/>
          <w:szCs w:val="25"/>
        </w:rPr>
        <w:t xml:space="preserve"> </w:t>
      </w:r>
      <w:r>
        <w:rPr>
          <w:rFonts w:ascii="仿宋" w:hAnsi="仿宋" w:eastAsia="仿宋" w:cs="仿宋"/>
          <w:spacing w:val="3"/>
          <w:sz w:val="25"/>
          <w:szCs w:val="25"/>
        </w:rPr>
        <w:t>划详见表</w:t>
      </w:r>
      <w:r>
        <w:rPr>
          <w:rFonts w:ascii="仿宋" w:hAnsi="仿宋" w:eastAsia="仿宋" w:cs="仿宋"/>
          <w:spacing w:val="-34"/>
          <w:sz w:val="25"/>
          <w:szCs w:val="25"/>
        </w:rPr>
        <w:t xml:space="preserve"> </w:t>
      </w:r>
      <w:r>
        <w:rPr>
          <w:rFonts w:ascii="Times New Roman" w:hAnsi="Times New Roman" w:eastAsia="Times New Roman" w:cs="Times New Roman"/>
          <w:spacing w:val="3"/>
          <w:sz w:val="25"/>
          <w:szCs w:val="25"/>
        </w:rPr>
        <w:t>2.3-3</w:t>
      </w:r>
      <w:r>
        <w:rPr>
          <w:rFonts w:ascii="Times New Roman" w:hAnsi="Times New Roman" w:eastAsia="Times New Roman" w:cs="Times New Roman"/>
          <w:spacing w:val="-27"/>
          <w:sz w:val="25"/>
          <w:szCs w:val="25"/>
        </w:rPr>
        <w:t xml:space="preserve"> </w:t>
      </w:r>
      <w:r>
        <w:rPr>
          <w:rFonts w:ascii="仿宋" w:hAnsi="仿宋" w:eastAsia="仿宋" w:cs="仿宋"/>
          <w:spacing w:val="3"/>
          <w:sz w:val="25"/>
          <w:szCs w:val="25"/>
        </w:rPr>
        <w:t>，符合性分析见表</w:t>
      </w:r>
      <w:r>
        <w:rPr>
          <w:rFonts w:ascii="仿宋" w:hAnsi="仿宋" w:eastAsia="仿宋" w:cs="仿宋"/>
          <w:spacing w:val="-52"/>
          <w:sz w:val="25"/>
          <w:szCs w:val="25"/>
        </w:rPr>
        <w:t xml:space="preserve"> </w:t>
      </w:r>
      <w:r>
        <w:rPr>
          <w:rFonts w:ascii="Times New Roman" w:hAnsi="Times New Roman" w:eastAsia="Times New Roman" w:cs="Times New Roman"/>
          <w:spacing w:val="3"/>
          <w:sz w:val="25"/>
          <w:szCs w:val="25"/>
        </w:rPr>
        <w:t>2.3-4</w:t>
      </w:r>
      <w:r>
        <w:rPr>
          <w:rFonts w:ascii="仿宋" w:hAnsi="仿宋" w:eastAsia="仿宋" w:cs="仿宋"/>
          <w:spacing w:val="3"/>
          <w:sz w:val="25"/>
          <w:szCs w:val="25"/>
        </w:rPr>
        <w:t>。</w:t>
      </w:r>
    </w:p>
    <w:p w14:paraId="40E29AE0">
      <w:pPr>
        <w:spacing w:before="4" w:line="339" w:lineRule="auto"/>
        <w:ind w:left="152" w:right="130" w:firstLine="473"/>
        <w:rPr>
          <w:rFonts w:ascii="仿宋" w:hAnsi="仿宋" w:eastAsia="仿宋" w:cs="仿宋"/>
          <w:sz w:val="25"/>
          <w:szCs w:val="25"/>
        </w:rPr>
      </w:pPr>
      <w:r>
        <w:rPr>
          <w:rFonts w:ascii="仿宋" w:hAnsi="仿宋" w:eastAsia="仿宋" w:cs="仿宋"/>
          <w:spacing w:val="5"/>
          <w:sz w:val="25"/>
          <w:szCs w:val="25"/>
        </w:rPr>
        <w:t>从表</w:t>
      </w:r>
      <w:r>
        <w:rPr>
          <w:rFonts w:ascii="仿宋" w:hAnsi="仿宋" w:eastAsia="仿宋" w:cs="仿宋"/>
          <w:spacing w:val="-52"/>
          <w:sz w:val="25"/>
          <w:szCs w:val="25"/>
        </w:rPr>
        <w:t xml:space="preserve"> </w:t>
      </w:r>
      <w:r>
        <w:rPr>
          <w:rFonts w:ascii="Times New Roman" w:hAnsi="Times New Roman" w:eastAsia="Times New Roman" w:cs="Times New Roman"/>
          <w:spacing w:val="5"/>
          <w:sz w:val="25"/>
          <w:szCs w:val="25"/>
        </w:rPr>
        <w:t>2.3-4</w:t>
      </w:r>
      <w:r>
        <w:rPr>
          <w:rFonts w:ascii="Times New Roman" w:hAnsi="Times New Roman" w:eastAsia="Times New Roman" w:cs="Times New Roman"/>
          <w:spacing w:val="24"/>
          <w:sz w:val="25"/>
          <w:szCs w:val="25"/>
        </w:rPr>
        <w:t xml:space="preserve"> </w:t>
      </w:r>
      <w:r>
        <w:rPr>
          <w:rFonts w:ascii="仿宋" w:hAnsi="仿宋" w:eastAsia="仿宋" w:cs="仿宋"/>
          <w:spacing w:val="5"/>
          <w:sz w:val="25"/>
          <w:szCs w:val="25"/>
        </w:rPr>
        <w:t>可看出，本《规划调整》的目标与定位、结</w:t>
      </w:r>
      <w:r>
        <w:rPr>
          <w:rFonts w:ascii="仿宋" w:hAnsi="仿宋" w:eastAsia="仿宋" w:cs="仿宋"/>
          <w:spacing w:val="4"/>
          <w:sz w:val="25"/>
          <w:szCs w:val="25"/>
        </w:rPr>
        <w:t>构与布局总体符合地</w:t>
      </w:r>
      <w:r>
        <w:rPr>
          <w:rFonts w:ascii="仿宋" w:hAnsi="仿宋" w:eastAsia="仿宋" w:cs="仿宋"/>
          <w:sz w:val="25"/>
          <w:szCs w:val="25"/>
        </w:rPr>
        <w:t xml:space="preserve"> </w:t>
      </w:r>
      <w:r>
        <w:rPr>
          <w:rFonts w:ascii="仿宋" w:hAnsi="仿宋" w:eastAsia="仿宋" w:cs="仿宋"/>
          <w:spacing w:val="8"/>
          <w:sz w:val="25"/>
          <w:szCs w:val="25"/>
        </w:rPr>
        <w:t>方重大政策及规划，与地方相关要求不存在显著冲突。</w:t>
      </w:r>
    </w:p>
    <w:p w14:paraId="1B83B8C2">
      <w:pPr>
        <w:spacing w:before="42" w:line="229" w:lineRule="auto"/>
        <w:ind w:left="2424"/>
        <w:rPr>
          <w:rFonts w:ascii="仿宋" w:hAnsi="仿宋" w:eastAsia="仿宋" w:cs="仿宋"/>
          <w:sz w:val="20"/>
          <w:szCs w:val="20"/>
        </w:rPr>
      </w:pPr>
      <w:r>
        <w:rPr>
          <w:rFonts w:ascii="仿宋" w:hAnsi="仿宋" w:eastAsia="仿宋" w:cs="仿宋"/>
          <w:b/>
          <w:bCs/>
          <w:spacing w:val="6"/>
          <w:sz w:val="20"/>
          <w:szCs w:val="20"/>
        </w:rPr>
        <w:t>表</w:t>
      </w:r>
      <w:r>
        <w:rPr>
          <w:rFonts w:ascii="仿宋" w:hAnsi="仿宋" w:eastAsia="仿宋" w:cs="仿宋"/>
          <w:spacing w:val="-40"/>
          <w:sz w:val="20"/>
          <w:szCs w:val="20"/>
        </w:rPr>
        <w:t xml:space="preserve"> </w:t>
      </w:r>
      <w:r>
        <w:rPr>
          <w:rFonts w:ascii="Times New Roman" w:hAnsi="Times New Roman" w:eastAsia="Times New Roman" w:cs="Times New Roman"/>
          <w:b/>
          <w:bCs/>
          <w:spacing w:val="6"/>
          <w:sz w:val="20"/>
          <w:szCs w:val="20"/>
        </w:rPr>
        <w:t xml:space="preserve">2.3-3    </w:t>
      </w:r>
      <w:r>
        <w:rPr>
          <w:rFonts w:ascii="仿宋" w:hAnsi="仿宋" w:eastAsia="仿宋" w:cs="仿宋"/>
          <w:b/>
          <w:bCs/>
          <w:spacing w:val="6"/>
          <w:sz w:val="20"/>
          <w:szCs w:val="20"/>
        </w:rPr>
        <w:t>相关的地方性法规、政策、</w:t>
      </w:r>
      <w:r>
        <w:rPr>
          <w:rFonts w:ascii="仿宋" w:hAnsi="仿宋" w:eastAsia="仿宋" w:cs="仿宋"/>
          <w:b/>
          <w:bCs/>
          <w:spacing w:val="5"/>
          <w:sz w:val="20"/>
          <w:szCs w:val="20"/>
        </w:rPr>
        <w:t>规划汇总</w:t>
      </w:r>
    </w:p>
    <w:p w14:paraId="3F6E8A3C">
      <w:pPr>
        <w:spacing w:line="24" w:lineRule="exact"/>
      </w:pPr>
    </w:p>
    <w:tbl>
      <w:tblPr>
        <w:tblStyle w:val="5"/>
        <w:tblW w:w="9077"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7"/>
        <w:gridCol w:w="8160"/>
      </w:tblGrid>
      <w:tr w14:paraId="228773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917" w:type="dxa"/>
            <w:tcBorders>
              <w:top w:val="single" w:color="000000" w:sz="10" w:space="0"/>
              <w:left w:val="single" w:color="000000" w:sz="10" w:space="0"/>
            </w:tcBorders>
            <w:vAlign w:val="top"/>
          </w:tcPr>
          <w:p w14:paraId="09258FC6">
            <w:pPr>
              <w:pStyle w:val="6"/>
              <w:spacing w:before="36" w:line="216" w:lineRule="auto"/>
              <w:ind w:left="247"/>
              <w:rPr>
                <w:sz w:val="20"/>
                <w:szCs w:val="20"/>
              </w:rPr>
            </w:pPr>
            <w:r>
              <w:rPr>
                <w:spacing w:val="2"/>
                <w:sz w:val="20"/>
                <w:szCs w:val="20"/>
              </w:rPr>
              <w:t>序号</w:t>
            </w:r>
          </w:p>
        </w:tc>
        <w:tc>
          <w:tcPr>
            <w:tcW w:w="8160" w:type="dxa"/>
            <w:tcBorders>
              <w:top w:val="single" w:color="000000" w:sz="10" w:space="0"/>
              <w:right w:val="single" w:color="000000" w:sz="10" w:space="0"/>
            </w:tcBorders>
            <w:vAlign w:val="top"/>
          </w:tcPr>
          <w:p w14:paraId="06BC9CF2">
            <w:pPr>
              <w:pStyle w:val="6"/>
              <w:spacing w:before="36" w:line="216" w:lineRule="auto"/>
              <w:ind w:left="3037"/>
              <w:rPr>
                <w:sz w:val="20"/>
                <w:szCs w:val="20"/>
              </w:rPr>
            </w:pPr>
            <w:r>
              <w:rPr>
                <w:spacing w:val="8"/>
                <w:sz w:val="20"/>
                <w:szCs w:val="20"/>
              </w:rPr>
              <w:t>名称及编号或颁布时间</w:t>
            </w:r>
          </w:p>
        </w:tc>
      </w:tr>
      <w:tr w14:paraId="26804A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917" w:type="dxa"/>
            <w:tcBorders>
              <w:left w:val="single" w:color="000000" w:sz="10" w:space="0"/>
            </w:tcBorders>
            <w:vAlign w:val="top"/>
          </w:tcPr>
          <w:p w14:paraId="74F2C229">
            <w:pPr>
              <w:spacing w:before="205" w:line="195" w:lineRule="auto"/>
              <w:ind w:left="41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8160" w:type="dxa"/>
            <w:tcBorders>
              <w:right w:val="single" w:color="000000" w:sz="10" w:space="0"/>
            </w:tcBorders>
            <w:vAlign w:val="top"/>
          </w:tcPr>
          <w:p w14:paraId="6B25E83E">
            <w:pPr>
              <w:pStyle w:val="6"/>
              <w:spacing w:before="32" w:line="233" w:lineRule="auto"/>
              <w:ind w:left="111" w:right="281" w:hanging="1"/>
              <w:rPr>
                <w:sz w:val="20"/>
                <w:szCs w:val="20"/>
              </w:rPr>
            </w:pPr>
            <w:r>
              <w:rPr>
                <w:spacing w:val="9"/>
                <w:sz w:val="20"/>
                <w:szCs w:val="20"/>
              </w:rPr>
              <w:t xml:space="preserve">《重庆市规划和自然资源局 重庆市生态环境局 关于进一步规范矿产资源规划实施管 </w:t>
            </w:r>
            <w:r>
              <w:rPr>
                <w:spacing w:val="5"/>
                <w:sz w:val="20"/>
                <w:szCs w:val="20"/>
              </w:rPr>
              <w:t>理的通知》（渝规资〔</w:t>
            </w:r>
            <w:r>
              <w:rPr>
                <w:rFonts w:ascii="Times New Roman" w:hAnsi="Times New Roman" w:eastAsia="Times New Roman" w:cs="Times New Roman"/>
                <w:spacing w:val="5"/>
                <w:sz w:val="20"/>
                <w:szCs w:val="20"/>
              </w:rPr>
              <w:t>2025</w:t>
            </w:r>
            <w:r>
              <w:rPr>
                <w:spacing w:val="5"/>
                <w:sz w:val="20"/>
                <w:szCs w:val="20"/>
              </w:rPr>
              <w:t>〕</w:t>
            </w:r>
            <w:r>
              <w:rPr>
                <w:rFonts w:ascii="Times New Roman" w:hAnsi="Times New Roman" w:eastAsia="Times New Roman" w:cs="Times New Roman"/>
                <w:spacing w:val="5"/>
                <w:sz w:val="20"/>
                <w:szCs w:val="20"/>
              </w:rPr>
              <w:t>119</w:t>
            </w:r>
            <w:r>
              <w:rPr>
                <w:rFonts w:ascii="Times New Roman" w:hAnsi="Times New Roman" w:eastAsia="Times New Roman" w:cs="Times New Roman"/>
                <w:spacing w:val="38"/>
                <w:w w:val="101"/>
                <w:sz w:val="20"/>
                <w:szCs w:val="20"/>
              </w:rPr>
              <w:t xml:space="preserve"> </w:t>
            </w:r>
            <w:r>
              <w:rPr>
                <w:spacing w:val="5"/>
                <w:sz w:val="20"/>
                <w:szCs w:val="20"/>
              </w:rPr>
              <w:t>号）</w:t>
            </w:r>
          </w:p>
        </w:tc>
      </w:tr>
      <w:tr w14:paraId="2DCCF6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917" w:type="dxa"/>
            <w:tcBorders>
              <w:left w:val="single" w:color="000000" w:sz="10" w:space="0"/>
            </w:tcBorders>
            <w:vAlign w:val="top"/>
          </w:tcPr>
          <w:p w14:paraId="19AD21EF">
            <w:pPr>
              <w:spacing w:before="73" w:line="195" w:lineRule="auto"/>
              <w:ind w:left="39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8160" w:type="dxa"/>
            <w:tcBorders>
              <w:right w:val="single" w:color="000000" w:sz="10" w:space="0"/>
            </w:tcBorders>
            <w:vAlign w:val="top"/>
          </w:tcPr>
          <w:p w14:paraId="34461530">
            <w:pPr>
              <w:pStyle w:val="6"/>
              <w:spacing w:before="37" w:line="211" w:lineRule="auto"/>
              <w:ind w:left="110"/>
              <w:rPr>
                <w:sz w:val="20"/>
                <w:szCs w:val="20"/>
              </w:rPr>
            </w:pPr>
            <w:r>
              <w:rPr>
                <w:spacing w:val="4"/>
                <w:sz w:val="20"/>
                <w:szCs w:val="20"/>
              </w:rPr>
              <w:t>《重庆市公益林管理办法》（重庆市人民政府令第</w:t>
            </w:r>
            <w:r>
              <w:rPr>
                <w:spacing w:val="-33"/>
                <w:sz w:val="20"/>
                <w:szCs w:val="20"/>
              </w:rPr>
              <w:t xml:space="preserve"> </w:t>
            </w:r>
            <w:r>
              <w:rPr>
                <w:rFonts w:ascii="Times New Roman" w:hAnsi="Times New Roman" w:eastAsia="Times New Roman" w:cs="Times New Roman"/>
                <w:spacing w:val="4"/>
                <w:sz w:val="20"/>
                <w:szCs w:val="20"/>
              </w:rPr>
              <w:t>312</w:t>
            </w:r>
            <w:r>
              <w:rPr>
                <w:rFonts w:ascii="Times New Roman" w:hAnsi="Times New Roman" w:eastAsia="Times New Roman" w:cs="Times New Roman"/>
                <w:spacing w:val="23"/>
                <w:sz w:val="20"/>
                <w:szCs w:val="20"/>
              </w:rPr>
              <w:t xml:space="preserve"> </w:t>
            </w:r>
            <w:r>
              <w:rPr>
                <w:spacing w:val="4"/>
                <w:sz w:val="20"/>
                <w:szCs w:val="20"/>
              </w:rPr>
              <w:t>号，</w:t>
            </w:r>
            <w:r>
              <w:rPr>
                <w:rFonts w:ascii="Times New Roman" w:hAnsi="Times New Roman" w:eastAsia="Times New Roman" w:cs="Times New Roman"/>
                <w:spacing w:val="4"/>
                <w:sz w:val="20"/>
                <w:szCs w:val="20"/>
              </w:rPr>
              <w:t>2017</w:t>
            </w:r>
            <w:r>
              <w:rPr>
                <w:rFonts w:ascii="Times New Roman" w:hAnsi="Times New Roman" w:eastAsia="Times New Roman" w:cs="Times New Roman"/>
                <w:spacing w:val="17"/>
                <w:w w:val="101"/>
                <w:sz w:val="20"/>
                <w:szCs w:val="20"/>
              </w:rPr>
              <w:t xml:space="preserve"> </w:t>
            </w:r>
            <w:r>
              <w:rPr>
                <w:spacing w:val="4"/>
                <w:sz w:val="20"/>
                <w:szCs w:val="20"/>
              </w:rPr>
              <w:t>年</w:t>
            </w:r>
            <w:r>
              <w:rPr>
                <w:spacing w:val="-37"/>
                <w:sz w:val="20"/>
                <w:szCs w:val="20"/>
              </w:rPr>
              <w:t xml:space="preserve"> </w:t>
            </w:r>
            <w:r>
              <w:rPr>
                <w:rFonts w:ascii="Times New Roman" w:hAnsi="Times New Roman" w:eastAsia="Times New Roman" w:cs="Times New Roman"/>
                <w:spacing w:val="4"/>
                <w:sz w:val="20"/>
                <w:szCs w:val="20"/>
              </w:rPr>
              <w:t>3</w:t>
            </w:r>
            <w:r>
              <w:rPr>
                <w:rFonts w:ascii="Times New Roman" w:hAnsi="Times New Roman" w:eastAsia="Times New Roman" w:cs="Times New Roman"/>
                <w:spacing w:val="25"/>
                <w:w w:val="101"/>
                <w:sz w:val="20"/>
                <w:szCs w:val="20"/>
              </w:rPr>
              <w:t xml:space="preserve"> </w:t>
            </w:r>
            <w:r>
              <w:rPr>
                <w:spacing w:val="4"/>
                <w:sz w:val="20"/>
                <w:szCs w:val="20"/>
              </w:rPr>
              <w:t>月</w:t>
            </w:r>
            <w:r>
              <w:rPr>
                <w:spacing w:val="-21"/>
                <w:sz w:val="20"/>
                <w:szCs w:val="20"/>
              </w:rPr>
              <w:t xml:space="preserve"> </w:t>
            </w:r>
            <w:r>
              <w:rPr>
                <w:rFonts w:ascii="Times New Roman" w:hAnsi="Times New Roman" w:eastAsia="Times New Roman" w:cs="Times New Roman"/>
                <w:spacing w:val="4"/>
                <w:sz w:val="20"/>
                <w:szCs w:val="20"/>
              </w:rPr>
              <w:t xml:space="preserve">1  </w:t>
            </w:r>
            <w:r>
              <w:rPr>
                <w:spacing w:val="4"/>
                <w:sz w:val="20"/>
                <w:szCs w:val="20"/>
              </w:rPr>
              <w:t>日起施行）</w:t>
            </w:r>
          </w:p>
        </w:tc>
      </w:tr>
      <w:tr w14:paraId="35550A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17" w:type="dxa"/>
            <w:tcBorders>
              <w:left w:val="single" w:color="000000" w:sz="10" w:space="0"/>
            </w:tcBorders>
            <w:vAlign w:val="top"/>
          </w:tcPr>
          <w:p w14:paraId="0D355E40">
            <w:pPr>
              <w:spacing w:before="72" w:line="195" w:lineRule="auto"/>
              <w:ind w:left="39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8160" w:type="dxa"/>
            <w:tcBorders>
              <w:right w:val="single" w:color="000000" w:sz="10" w:space="0"/>
            </w:tcBorders>
            <w:vAlign w:val="top"/>
          </w:tcPr>
          <w:p w14:paraId="3E94BDFC">
            <w:pPr>
              <w:pStyle w:val="6"/>
              <w:spacing w:before="37" w:line="212" w:lineRule="auto"/>
              <w:ind w:left="110"/>
              <w:rPr>
                <w:sz w:val="20"/>
                <w:szCs w:val="20"/>
              </w:rPr>
            </w:pPr>
            <w:r>
              <w:rPr>
                <w:spacing w:val="1"/>
                <w:sz w:val="20"/>
                <w:szCs w:val="20"/>
              </w:rPr>
              <w:t>《重庆市水污染防治条例》（</w:t>
            </w:r>
            <w:r>
              <w:rPr>
                <w:rFonts w:ascii="Times New Roman" w:hAnsi="Times New Roman" w:eastAsia="Times New Roman" w:cs="Times New Roman"/>
                <w:spacing w:val="1"/>
                <w:sz w:val="20"/>
                <w:szCs w:val="20"/>
              </w:rPr>
              <w:t>2020</w:t>
            </w:r>
            <w:r>
              <w:rPr>
                <w:rFonts w:ascii="Times New Roman" w:hAnsi="Times New Roman" w:eastAsia="Times New Roman" w:cs="Times New Roman"/>
                <w:spacing w:val="29"/>
                <w:w w:val="101"/>
                <w:sz w:val="20"/>
                <w:szCs w:val="20"/>
              </w:rPr>
              <w:t xml:space="preserve"> </w:t>
            </w:r>
            <w:r>
              <w:rPr>
                <w:spacing w:val="1"/>
                <w:sz w:val="20"/>
                <w:szCs w:val="20"/>
              </w:rPr>
              <w:t>年</w:t>
            </w:r>
            <w:r>
              <w:rPr>
                <w:spacing w:val="-37"/>
                <w:sz w:val="20"/>
                <w:szCs w:val="20"/>
              </w:rPr>
              <w:t xml:space="preserve"> </w:t>
            </w:r>
            <w:r>
              <w:rPr>
                <w:rFonts w:ascii="Times New Roman" w:hAnsi="Times New Roman" w:eastAsia="Times New Roman" w:cs="Times New Roman"/>
                <w:spacing w:val="1"/>
                <w:sz w:val="20"/>
                <w:szCs w:val="20"/>
              </w:rPr>
              <w:t>7</w:t>
            </w:r>
            <w:r>
              <w:rPr>
                <w:rFonts w:ascii="Times New Roman" w:hAnsi="Times New Roman" w:eastAsia="Times New Roman" w:cs="Times New Roman"/>
                <w:spacing w:val="25"/>
                <w:sz w:val="20"/>
                <w:szCs w:val="20"/>
              </w:rPr>
              <w:t xml:space="preserve"> </w:t>
            </w:r>
            <w:r>
              <w:rPr>
                <w:spacing w:val="1"/>
                <w:sz w:val="20"/>
                <w:szCs w:val="20"/>
              </w:rPr>
              <w:t>月</w:t>
            </w:r>
            <w:r>
              <w:rPr>
                <w:spacing w:val="-37"/>
                <w:sz w:val="20"/>
                <w:szCs w:val="20"/>
              </w:rPr>
              <w:t xml:space="preserve"> </w:t>
            </w:r>
            <w:r>
              <w:rPr>
                <w:rFonts w:ascii="Times New Roman" w:hAnsi="Times New Roman" w:eastAsia="Times New Roman" w:cs="Times New Roman"/>
                <w:spacing w:val="1"/>
                <w:sz w:val="20"/>
                <w:szCs w:val="20"/>
              </w:rPr>
              <w:t xml:space="preserve">30  </w:t>
            </w:r>
            <w:r>
              <w:rPr>
                <w:spacing w:val="1"/>
                <w:sz w:val="20"/>
                <w:szCs w:val="20"/>
              </w:rPr>
              <w:t>日发布，</w:t>
            </w:r>
            <w:r>
              <w:rPr>
                <w:rFonts w:ascii="Times New Roman" w:hAnsi="Times New Roman" w:eastAsia="Times New Roman" w:cs="Times New Roman"/>
                <w:spacing w:val="1"/>
                <w:sz w:val="20"/>
                <w:szCs w:val="20"/>
              </w:rPr>
              <w:t>2020</w:t>
            </w:r>
            <w:r>
              <w:rPr>
                <w:rFonts w:ascii="Times New Roman" w:hAnsi="Times New Roman" w:eastAsia="Times New Roman" w:cs="Times New Roman"/>
                <w:spacing w:val="22"/>
                <w:w w:val="101"/>
                <w:sz w:val="20"/>
                <w:szCs w:val="20"/>
              </w:rPr>
              <w:t xml:space="preserve"> </w:t>
            </w:r>
            <w:r>
              <w:rPr>
                <w:spacing w:val="1"/>
                <w:sz w:val="20"/>
                <w:szCs w:val="20"/>
              </w:rPr>
              <w:t>年</w:t>
            </w:r>
            <w:r>
              <w:rPr>
                <w:spacing w:val="-23"/>
                <w:sz w:val="20"/>
                <w:szCs w:val="20"/>
              </w:rPr>
              <w:t xml:space="preserve"> </w:t>
            </w:r>
            <w:r>
              <w:rPr>
                <w:rFonts w:ascii="Times New Roman" w:hAnsi="Times New Roman" w:eastAsia="Times New Roman" w:cs="Times New Roman"/>
                <w:spacing w:val="1"/>
                <w:sz w:val="20"/>
                <w:szCs w:val="20"/>
              </w:rPr>
              <w:t>10</w:t>
            </w:r>
            <w:r>
              <w:rPr>
                <w:rFonts w:ascii="Times New Roman" w:hAnsi="Times New Roman" w:eastAsia="Times New Roman" w:cs="Times New Roman"/>
                <w:spacing w:val="27"/>
                <w:w w:val="101"/>
                <w:sz w:val="20"/>
                <w:szCs w:val="20"/>
              </w:rPr>
              <w:t xml:space="preserve"> </w:t>
            </w:r>
            <w:r>
              <w:rPr>
                <w:spacing w:val="1"/>
                <w:sz w:val="20"/>
                <w:szCs w:val="20"/>
              </w:rPr>
              <w:t>月</w:t>
            </w:r>
            <w:r>
              <w:rPr>
                <w:spacing w:val="-23"/>
                <w:sz w:val="20"/>
                <w:szCs w:val="20"/>
              </w:rPr>
              <w:t xml:space="preserve"> </w:t>
            </w:r>
            <w:r>
              <w:rPr>
                <w:rFonts w:ascii="Times New Roman" w:hAnsi="Times New Roman" w:eastAsia="Times New Roman" w:cs="Times New Roman"/>
                <w:spacing w:val="1"/>
                <w:sz w:val="20"/>
                <w:szCs w:val="20"/>
              </w:rPr>
              <w:t xml:space="preserve">1  </w:t>
            </w:r>
            <w:r>
              <w:rPr>
                <w:spacing w:val="1"/>
                <w:sz w:val="20"/>
                <w:szCs w:val="20"/>
              </w:rPr>
              <w:t>日起实施）</w:t>
            </w:r>
          </w:p>
        </w:tc>
      </w:tr>
      <w:tr w14:paraId="3CB7A0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917" w:type="dxa"/>
            <w:tcBorders>
              <w:left w:val="single" w:color="000000" w:sz="10" w:space="0"/>
            </w:tcBorders>
            <w:vAlign w:val="top"/>
          </w:tcPr>
          <w:p w14:paraId="23E57C98">
            <w:pPr>
              <w:spacing w:before="208" w:line="195" w:lineRule="auto"/>
              <w:ind w:left="39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8160" w:type="dxa"/>
            <w:tcBorders>
              <w:right w:val="single" w:color="000000" w:sz="10" w:space="0"/>
            </w:tcBorders>
            <w:vAlign w:val="top"/>
          </w:tcPr>
          <w:p w14:paraId="467B616A">
            <w:pPr>
              <w:pStyle w:val="6"/>
              <w:spacing w:before="37" w:line="230" w:lineRule="auto"/>
              <w:ind w:left="120" w:right="99" w:hanging="10"/>
              <w:rPr>
                <w:sz w:val="20"/>
                <w:szCs w:val="20"/>
              </w:rPr>
            </w:pPr>
            <w:r>
              <w:rPr>
                <w:spacing w:val="9"/>
                <w:sz w:val="20"/>
                <w:szCs w:val="20"/>
              </w:rPr>
              <w:t>《重庆市发展和改革委员会关于印发重庆市产业投资准入工作手册的</w:t>
            </w:r>
            <w:r>
              <w:rPr>
                <w:spacing w:val="8"/>
                <w:sz w:val="20"/>
                <w:szCs w:val="20"/>
              </w:rPr>
              <w:t>通知》（渝发改投</w:t>
            </w:r>
            <w:r>
              <w:rPr>
                <w:sz w:val="20"/>
                <w:szCs w:val="20"/>
              </w:rPr>
              <w:t xml:space="preserve"> </w:t>
            </w:r>
            <w:r>
              <w:rPr>
                <w:spacing w:val="2"/>
                <w:sz w:val="20"/>
                <w:szCs w:val="20"/>
              </w:rPr>
              <w:t>资〔</w:t>
            </w:r>
            <w:r>
              <w:rPr>
                <w:rFonts w:ascii="Times New Roman" w:hAnsi="Times New Roman" w:eastAsia="Times New Roman" w:cs="Times New Roman"/>
                <w:spacing w:val="2"/>
                <w:sz w:val="20"/>
                <w:szCs w:val="20"/>
              </w:rPr>
              <w:t>2022</w:t>
            </w:r>
            <w:r>
              <w:rPr>
                <w:spacing w:val="2"/>
                <w:sz w:val="20"/>
                <w:szCs w:val="20"/>
              </w:rPr>
              <w:t>〕</w:t>
            </w:r>
            <w:r>
              <w:rPr>
                <w:rFonts w:ascii="Times New Roman" w:hAnsi="Times New Roman" w:eastAsia="Times New Roman" w:cs="Times New Roman"/>
                <w:spacing w:val="2"/>
                <w:sz w:val="20"/>
                <w:szCs w:val="20"/>
              </w:rPr>
              <w:t>1436</w:t>
            </w:r>
            <w:r>
              <w:rPr>
                <w:rFonts w:ascii="Times New Roman" w:hAnsi="Times New Roman" w:eastAsia="Times New Roman" w:cs="Times New Roman"/>
                <w:spacing w:val="29"/>
                <w:sz w:val="20"/>
                <w:szCs w:val="20"/>
              </w:rPr>
              <w:t xml:space="preserve"> </w:t>
            </w:r>
            <w:r>
              <w:rPr>
                <w:spacing w:val="2"/>
                <w:sz w:val="20"/>
                <w:szCs w:val="20"/>
              </w:rPr>
              <w:t>号）</w:t>
            </w:r>
          </w:p>
        </w:tc>
      </w:tr>
      <w:tr w14:paraId="45811A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17" w:type="dxa"/>
            <w:tcBorders>
              <w:left w:val="single" w:color="000000" w:sz="10" w:space="0"/>
            </w:tcBorders>
            <w:vAlign w:val="top"/>
          </w:tcPr>
          <w:p w14:paraId="2BEAB441">
            <w:pPr>
              <w:spacing w:before="80" w:line="192" w:lineRule="auto"/>
              <w:ind w:left="39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8160" w:type="dxa"/>
            <w:tcBorders>
              <w:right w:val="single" w:color="000000" w:sz="10" w:space="0"/>
            </w:tcBorders>
            <w:vAlign w:val="top"/>
          </w:tcPr>
          <w:p w14:paraId="1F7902EB">
            <w:pPr>
              <w:pStyle w:val="6"/>
              <w:spacing w:before="41" w:line="208" w:lineRule="auto"/>
              <w:ind w:left="110"/>
              <w:rPr>
                <w:sz w:val="20"/>
                <w:szCs w:val="20"/>
              </w:rPr>
            </w:pPr>
            <w:r>
              <w:rPr>
                <w:spacing w:val="7"/>
                <w:sz w:val="20"/>
                <w:szCs w:val="20"/>
              </w:rPr>
              <w:t>《重庆市地质灾害防治条例》（</w:t>
            </w:r>
            <w:r>
              <w:rPr>
                <w:rFonts w:ascii="Times New Roman" w:hAnsi="Times New Roman" w:eastAsia="Times New Roman" w:cs="Times New Roman"/>
                <w:spacing w:val="7"/>
                <w:sz w:val="20"/>
                <w:szCs w:val="20"/>
              </w:rPr>
              <w:t xml:space="preserve">2020.6.5 </w:t>
            </w:r>
            <w:r>
              <w:rPr>
                <w:spacing w:val="7"/>
                <w:sz w:val="20"/>
                <w:szCs w:val="20"/>
              </w:rPr>
              <w:t>修</w:t>
            </w:r>
            <w:r>
              <w:rPr>
                <w:spacing w:val="6"/>
                <w:sz w:val="20"/>
                <w:szCs w:val="20"/>
              </w:rPr>
              <w:t>订）</w:t>
            </w:r>
          </w:p>
        </w:tc>
      </w:tr>
      <w:tr w14:paraId="52CB8F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917" w:type="dxa"/>
            <w:tcBorders>
              <w:left w:val="single" w:color="000000" w:sz="10" w:space="0"/>
            </w:tcBorders>
            <w:vAlign w:val="top"/>
          </w:tcPr>
          <w:p w14:paraId="70A63128">
            <w:pPr>
              <w:spacing w:before="71" w:line="189" w:lineRule="auto"/>
              <w:ind w:left="398"/>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8160" w:type="dxa"/>
            <w:tcBorders>
              <w:right w:val="single" w:color="000000" w:sz="10" w:space="0"/>
            </w:tcBorders>
            <w:vAlign w:val="top"/>
          </w:tcPr>
          <w:p w14:paraId="51FF7EF0">
            <w:pPr>
              <w:pStyle w:val="6"/>
              <w:spacing w:before="42" w:line="205" w:lineRule="auto"/>
              <w:rPr>
                <w:sz w:val="19"/>
                <w:szCs w:val="19"/>
              </w:rPr>
            </w:pPr>
            <w:r>
              <w:rPr>
                <w:spacing w:val="7"/>
                <w:sz w:val="19"/>
                <w:szCs w:val="19"/>
              </w:rPr>
              <w:t>《重庆市生态环境保护“十四五</w:t>
            </w:r>
            <w:r>
              <w:rPr>
                <w:spacing w:val="-69"/>
                <w:sz w:val="19"/>
                <w:szCs w:val="19"/>
              </w:rPr>
              <w:t xml:space="preserve"> </w:t>
            </w:r>
            <w:r>
              <w:rPr>
                <w:spacing w:val="7"/>
                <w:sz w:val="19"/>
                <w:szCs w:val="19"/>
              </w:rPr>
              <w:t>”规划（</w:t>
            </w:r>
            <w:r>
              <w:rPr>
                <w:rFonts w:ascii="Times New Roman" w:hAnsi="Times New Roman" w:eastAsia="Times New Roman" w:cs="Times New Roman"/>
                <w:spacing w:val="7"/>
                <w:sz w:val="19"/>
                <w:szCs w:val="19"/>
              </w:rPr>
              <w:t>2</w:t>
            </w:r>
            <w:r>
              <w:rPr>
                <w:rFonts w:ascii="Times New Roman" w:hAnsi="Times New Roman" w:eastAsia="Times New Roman" w:cs="Times New Roman"/>
                <w:spacing w:val="6"/>
                <w:sz w:val="19"/>
                <w:szCs w:val="19"/>
              </w:rPr>
              <w:t>021</w:t>
            </w:r>
            <w:r>
              <w:rPr>
                <w:spacing w:val="6"/>
                <w:sz w:val="19"/>
                <w:szCs w:val="19"/>
              </w:rPr>
              <w:t>—</w:t>
            </w:r>
            <w:r>
              <w:rPr>
                <w:rFonts w:ascii="Times New Roman" w:hAnsi="Times New Roman" w:eastAsia="Times New Roman" w:cs="Times New Roman"/>
                <w:spacing w:val="6"/>
                <w:sz w:val="19"/>
                <w:szCs w:val="19"/>
              </w:rPr>
              <w:t>2025</w:t>
            </w:r>
            <w:r>
              <w:rPr>
                <w:rFonts w:ascii="Times New Roman" w:hAnsi="Times New Roman" w:eastAsia="Times New Roman" w:cs="Times New Roman"/>
                <w:spacing w:val="19"/>
                <w:w w:val="101"/>
                <w:sz w:val="19"/>
                <w:szCs w:val="19"/>
              </w:rPr>
              <w:t xml:space="preserve"> </w:t>
            </w:r>
            <w:r>
              <w:rPr>
                <w:spacing w:val="6"/>
                <w:sz w:val="19"/>
                <w:szCs w:val="19"/>
              </w:rPr>
              <w:t>年）》（渝府发〔</w:t>
            </w:r>
            <w:r>
              <w:rPr>
                <w:rFonts w:ascii="Times New Roman" w:hAnsi="Times New Roman" w:eastAsia="Times New Roman" w:cs="Times New Roman"/>
                <w:spacing w:val="6"/>
                <w:sz w:val="19"/>
                <w:szCs w:val="19"/>
              </w:rPr>
              <w:t>2022</w:t>
            </w:r>
            <w:r>
              <w:rPr>
                <w:spacing w:val="6"/>
                <w:sz w:val="19"/>
                <w:szCs w:val="19"/>
              </w:rPr>
              <w:t>〕</w:t>
            </w:r>
            <w:r>
              <w:rPr>
                <w:rFonts w:ascii="Times New Roman" w:hAnsi="Times New Roman" w:eastAsia="Times New Roman" w:cs="Times New Roman"/>
                <w:spacing w:val="6"/>
                <w:sz w:val="19"/>
                <w:szCs w:val="19"/>
              </w:rPr>
              <w:t>11</w:t>
            </w:r>
            <w:r>
              <w:rPr>
                <w:rFonts w:ascii="Times New Roman" w:hAnsi="Times New Roman" w:eastAsia="Times New Roman" w:cs="Times New Roman"/>
                <w:spacing w:val="20"/>
                <w:sz w:val="19"/>
                <w:szCs w:val="19"/>
              </w:rPr>
              <w:t xml:space="preserve"> </w:t>
            </w:r>
            <w:r>
              <w:rPr>
                <w:spacing w:val="6"/>
                <w:sz w:val="19"/>
                <w:szCs w:val="19"/>
              </w:rPr>
              <w:t>号）</w:t>
            </w:r>
          </w:p>
        </w:tc>
      </w:tr>
      <w:tr w14:paraId="4B23A1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917" w:type="dxa"/>
            <w:tcBorders>
              <w:left w:val="single" w:color="000000" w:sz="10" w:space="0"/>
            </w:tcBorders>
            <w:vAlign w:val="top"/>
          </w:tcPr>
          <w:p w14:paraId="039A4090">
            <w:pPr>
              <w:spacing w:before="75" w:line="186" w:lineRule="auto"/>
              <w:ind w:left="397"/>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8160" w:type="dxa"/>
            <w:tcBorders>
              <w:right w:val="single" w:color="000000" w:sz="10" w:space="0"/>
            </w:tcBorders>
            <w:vAlign w:val="top"/>
          </w:tcPr>
          <w:p w14:paraId="747E9B37">
            <w:pPr>
              <w:pStyle w:val="6"/>
              <w:spacing w:before="41" w:line="206" w:lineRule="auto"/>
              <w:rPr>
                <w:sz w:val="19"/>
                <w:szCs w:val="19"/>
              </w:rPr>
            </w:pPr>
            <w:r>
              <w:rPr>
                <w:spacing w:val="7"/>
                <w:sz w:val="19"/>
                <w:szCs w:val="19"/>
              </w:rPr>
              <w:t>《黔江区生态环境保护“十四五</w:t>
            </w:r>
            <w:r>
              <w:rPr>
                <w:spacing w:val="-68"/>
                <w:sz w:val="19"/>
                <w:szCs w:val="19"/>
              </w:rPr>
              <w:t xml:space="preserve"> </w:t>
            </w:r>
            <w:r>
              <w:rPr>
                <w:spacing w:val="7"/>
                <w:sz w:val="19"/>
                <w:szCs w:val="19"/>
              </w:rPr>
              <w:t>”规划》（黔江府发〔</w:t>
            </w:r>
            <w:r>
              <w:rPr>
                <w:rFonts w:ascii="Times New Roman" w:hAnsi="Times New Roman" w:eastAsia="Times New Roman" w:cs="Times New Roman"/>
                <w:spacing w:val="7"/>
                <w:sz w:val="19"/>
                <w:szCs w:val="19"/>
              </w:rPr>
              <w:t>2022</w:t>
            </w:r>
            <w:r>
              <w:rPr>
                <w:spacing w:val="7"/>
                <w:sz w:val="19"/>
                <w:szCs w:val="19"/>
              </w:rPr>
              <w:t>〕</w:t>
            </w:r>
            <w:r>
              <w:rPr>
                <w:rFonts w:ascii="Times New Roman" w:hAnsi="Times New Roman" w:eastAsia="Times New Roman" w:cs="Times New Roman"/>
                <w:spacing w:val="7"/>
                <w:sz w:val="19"/>
                <w:szCs w:val="19"/>
              </w:rPr>
              <w:t>4</w:t>
            </w:r>
            <w:r>
              <w:rPr>
                <w:rFonts w:ascii="Times New Roman" w:hAnsi="Times New Roman" w:eastAsia="Times New Roman" w:cs="Times New Roman"/>
                <w:spacing w:val="19"/>
                <w:w w:val="101"/>
                <w:sz w:val="19"/>
                <w:szCs w:val="19"/>
              </w:rPr>
              <w:t xml:space="preserve"> </w:t>
            </w:r>
            <w:r>
              <w:rPr>
                <w:spacing w:val="7"/>
                <w:sz w:val="19"/>
                <w:szCs w:val="19"/>
              </w:rPr>
              <w:t>号）</w:t>
            </w:r>
          </w:p>
        </w:tc>
      </w:tr>
      <w:tr w14:paraId="6621F4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917" w:type="dxa"/>
            <w:tcBorders>
              <w:left w:val="single" w:color="000000" w:sz="10" w:space="0"/>
            </w:tcBorders>
            <w:vAlign w:val="top"/>
          </w:tcPr>
          <w:p w14:paraId="360E35E9">
            <w:pPr>
              <w:spacing w:before="71" w:line="189" w:lineRule="auto"/>
              <w:ind w:left="402"/>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8160" w:type="dxa"/>
            <w:tcBorders>
              <w:right w:val="single" w:color="000000" w:sz="10" w:space="0"/>
            </w:tcBorders>
            <w:vAlign w:val="top"/>
          </w:tcPr>
          <w:p w14:paraId="485A3EB6">
            <w:pPr>
              <w:pStyle w:val="6"/>
              <w:spacing w:before="42" w:line="205" w:lineRule="auto"/>
              <w:rPr>
                <w:sz w:val="19"/>
                <w:szCs w:val="19"/>
              </w:rPr>
            </w:pPr>
            <w:r>
              <w:rPr>
                <w:spacing w:val="7"/>
                <w:sz w:val="19"/>
                <w:szCs w:val="19"/>
              </w:rPr>
              <w:t>《黔江区水安全保障“十四五</w:t>
            </w:r>
            <w:r>
              <w:rPr>
                <w:spacing w:val="-68"/>
                <w:sz w:val="19"/>
                <w:szCs w:val="19"/>
              </w:rPr>
              <w:t xml:space="preserve"> </w:t>
            </w:r>
            <w:r>
              <w:rPr>
                <w:spacing w:val="7"/>
                <w:sz w:val="19"/>
                <w:szCs w:val="19"/>
              </w:rPr>
              <w:t>”规划》（黔江府发〔</w:t>
            </w:r>
            <w:r>
              <w:rPr>
                <w:rFonts w:ascii="Times New Roman" w:hAnsi="Times New Roman" w:eastAsia="Times New Roman" w:cs="Times New Roman"/>
                <w:spacing w:val="7"/>
                <w:sz w:val="19"/>
                <w:szCs w:val="19"/>
              </w:rPr>
              <w:t>2021</w:t>
            </w:r>
            <w:r>
              <w:rPr>
                <w:spacing w:val="7"/>
                <w:sz w:val="19"/>
                <w:szCs w:val="19"/>
              </w:rPr>
              <w:t>〕</w:t>
            </w:r>
            <w:r>
              <w:rPr>
                <w:rFonts w:ascii="Times New Roman" w:hAnsi="Times New Roman" w:eastAsia="Times New Roman" w:cs="Times New Roman"/>
                <w:spacing w:val="6"/>
                <w:sz w:val="19"/>
                <w:szCs w:val="19"/>
              </w:rPr>
              <w:t>67</w:t>
            </w:r>
            <w:r>
              <w:rPr>
                <w:rFonts w:ascii="Times New Roman" w:hAnsi="Times New Roman" w:eastAsia="Times New Roman" w:cs="Times New Roman"/>
                <w:spacing w:val="20"/>
                <w:sz w:val="19"/>
                <w:szCs w:val="19"/>
              </w:rPr>
              <w:t xml:space="preserve"> </w:t>
            </w:r>
            <w:r>
              <w:rPr>
                <w:spacing w:val="6"/>
                <w:sz w:val="19"/>
                <w:szCs w:val="19"/>
              </w:rPr>
              <w:t>号）</w:t>
            </w:r>
          </w:p>
        </w:tc>
      </w:tr>
      <w:tr w14:paraId="74CCEB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917" w:type="dxa"/>
            <w:tcBorders>
              <w:left w:val="single" w:color="000000" w:sz="10" w:space="0"/>
            </w:tcBorders>
            <w:vAlign w:val="top"/>
          </w:tcPr>
          <w:p w14:paraId="581822D2">
            <w:pPr>
              <w:spacing w:before="72" w:line="188" w:lineRule="auto"/>
              <w:ind w:left="397"/>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8160" w:type="dxa"/>
            <w:tcBorders>
              <w:right w:val="single" w:color="000000" w:sz="10" w:space="0"/>
            </w:tcBorders>
            <w:vAlign w:val="top"/>
          </w:tcPr>
          <w:p w14:paraId="236002F2">
            <w:pPr>
              <w:pStyle w:val="6"/>
              <w:spacing w:before="43" w:line="204" w:lineRule="auto"/>
              <w:rPr>
                <w:sz w:val="19"/>
                <w:szCs w:val="19"/>
              </w:rPr>
            </w:pPr>
            <w:r>
              <w:rPr>
                <w:spacing w:val="7"/>
                <w:sz w:val="19"/>
                <w:szCs w:val="19"/>
              </w:rPr>
              <w:t>《黔江区综合交通运输“十四五</w:t>
            </w:r>
            <w:r>
              <w:rPr>
                <w:spacing w:val="-63"/>
                <w:sz w:val="19"/>
                <w:szCs w:val="19"/>
              </w:rPr>
              <w:t xml:space="preserve"> </w:t>
            </w:r>
            <w:r>
              <w:rPr>
                <w:spacing w:val="7"/>
                <w:sz w:val="19"/>
                <w:szCs w:val="19"/>
              </w:rPr>
              <w:t>”发展规划》（黔江府发〔</w:t>
            </w:r>
            <w:r>
              <w:rPr>
                <w:rFonts w:ascii="Times New Roman" w:hAnsi="Times New Roman" w:eastAsia="Times New Roman" w:cs="Times New Roman"/>
                <w:spacing w:val="7"/>
                <w:sz w:val="19"/>
                <w:szCs w:val="19"/>
              </w:rPr>
              <w:t>2021</w:t>
            </w:r>
            <w:r>
              <w:rPr>
                <w:spacing w:val="7"/>
                <w:sz w:val="19"/>
                <w:szCs w:val="19"/>
              </w:rPr>
              <w:t>〕</w:t>
            </w:r>
            <w:r>
              <w:rPr>
                <w:rFonts w:ascii="Times New Roman" w:hAnsi="Times New Roman" w:eastAsia="Times New Roman" w:cs="Times New Roman"/>
                <w:spacing w:val="7"/>
                <w:sz w:val="19"/>
                <w:szCs w:val="19"/>
              </w:rPr>
              <w:t>55</w:t>
            </w:r>
            <w:r>
              <w:rPr>
                <w:rFonts w:ascii="Times New Roman" w:hAnsi="Times New Roman" w:eastAsia="Times New Roman" w:cs="Times New Roman"/>
                <w:spacing w:val="20"/>
                <w:sz w:val="19"/>
                <w:szCs w:val="19"/>
              </w:rPr>
              <w:t xml:space="preserve"> </w:t>
            </w:r>
            <w:r>
              <w:rPr>
                <w:spacing w:val="7"/>
                <w:sz w:val="19"/>
                <w:szCs w:val="19"/>
              </w:rPr>
              <w:t>号）</w:t>
            </w:r>
          </w:p>
        </w:tc>
      </w:tr>
      <w:tr w14:paraId="0F18E4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917" w:type="dxa"/>
            <w:tcBorders>
              <w:left w:val="single" w:color="000000" w:sz="10" w:space="0"/>
            </w:tcBorders>
            <w:vAlign w:val="top"/>
          </w:tcPr>
          <w:p w14:paraId="4AF01CA0">
            <w:pPr>
              <w:spacing w:before="205" w:line="195"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8160" w:type="dxa"/>
            <w:tcBorders>
              <w:right w:val="single" w:color="000000" w:sz="10" w:space="0"/>
            </w:tcBorders>
            <w:vAlign w:val="top"/>
          </w:tcPr>
          <w:p w14:paraId="70CEF3E2">
            <w:pPr>
              <w:pStyle w:val="6"/>
              <w:spacing w:before="45" w:line="226" w:lineRule="auto"/>
              <w:ind w:left="113" w:right="98" w:hanging="4"/>
              <w:rPr>
                <w:sz w:val="19"/>
                <w:szCs w:val="19"/>
              </w:rPr>
            </w:pPr>
            <w:r>
              <w:rPr>
                <w:spacing w:val="-1"/>
                <w:sz w:val="19"/>
                <w:szCs w:val="19"/>
              </w:rPr>
              <w:t>《四川省、重庆市长江经济带发展负面清单实施细则（试行，</w:t>
            </w:r>
            <w:r>
              <w:rPr>
                <w:rFonts w:ascii="Times New Roman" w:hAnsi="Times New Roman" w:eastAsia="Times New Roman" w:cs="Times New Roman"/>
                <w:spacing w:val="-1"/>
                <w:sz w:val="19"/>
                <w:szCs w:val="19"/>
              </w:rPr>
              <w:t>2022</w:t>
            </w:r>
            <w:r>
              <w:rPr>
                <w:rFonts w:ascii="Times New Roman" w:hAnsi="Times New Roman" w:eastAsia="Times New Roman" w:cs="Times New Roman"/>
                <w:spacing w:val="19"/>
                <w:w w:val="101"/>
                <w:sz w:val="19"/>
                <w:szCs w:val="19"/>
              </w:rPr>
              <w:t xml:space="preserve"> </w:t>
            </w:r>
            <w:r>
              <w:rPr>
                <w:spacing w:val="-1"/>
                <w:sz w:val="19"/>
                <w:szCs w:val="19"/>
              </w:rPr>
              <w:t>年版）》（川长江办</w:t>
            </w:r>
            <w:r>
              <w:rPr>
                <w:rFonts w:ascii="Times New Roman" w:hAnsi="Times New Roman" w:eastAsia="Times New Roman" w:cs="Times New Roman"/>
                <w:spacing w:val="-1"/>
                <w:sz w:val="19"/>
                <w:szCs w:val="19"/>
              </w:rPr>
              <w:t>[2022]17</w:t>
            </w:r>
            <w:r>
              <w:rPr>
                <w:rFonts w:ascii="Times New Roman" w:hAnsi="Times New Roman" w:eastAsia="Times New Roman" w:cs="Times New Roman"/>
                <w:sz w:val="19"/>
                <w:szCs w:val="19"/>
              </w:rPr>
              <w:t xml:space="preserve"> </w:t>
            </w:r>
            <w:r>
              <w:rPr>
                <w:spacing w:val="-5"/>
                <w:sz w:val="19"/>
                <w:szCs w:val="19"/>
              </w:rPr>
              <w:t>号）</w:t>
            </w:r>
          </w:p>
        </w:tc>
      </w:tr>
      <w:tr w14:paraId="33A733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917" w:type="dxa"/>
            <w:tcBorders>
              <w:left w:val="single" w:color="000000" w:sz="10" w:space="0"/>
            </w:tcBorders>
            <w:vAlign w:val="top"/>
          </w:tcPr>
          <w:p w14:paraId="6FEC20AC">
            <w:pPr>
              <w:spacing w:before="85" w:line="188"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11</w:t>
            </w:r>
          </w:p>
        </w:tc>
        <w:tc>
          <w:tcPr>
            <w:tcW w:w="8160" w:type="dxa"/>
            <w:tcBorders>
              <w:right w:val="single" w:color="000000" w:sz="10" w:space="0"/>
            </w:tcBorders>
            <w:vAlign w:val="top"/>
          </w:tcPr>
          <w:p w14:paraId="0030EEC7">
            <w:pPr>
              <w:pStyle w:val="6"/>
              <w:spacing w:before="49" w:line="200" w:lineRule="auto"/>
              <w:ind w:left="110"/>
              <w:rPr>
                <w:rFonts w:ascii="Times New Roman" w:hAnsi="Times New Roman" w:eastAsia="Times New Roman" w:cs="Times New Roman"/>
                <w:sz w:val="20"/>
                <w:szCs w:val="20"/>
              </w:rPr>
            </w:pPr>
            <w:r>
              <w:rPr>
                <w:spacing w:val="8"/>
                <w:sz w:val="20"/>
                <w:szCs w:val="20"/>
              </w:rPr>
              <w:t>《重庆市深入打好长江保护修复攻坚战行动方案》</w:t>
            </w:r>
            <w:r>
              <w:rPr>
                <w:rFonts w:ascii="Times New Roman" w:hAnsi="Times New Roman" w:eastAsia="Times New Roman" w:cs="Times New Roman"/>
                <w:spacing w:val="8"/>
                <w:sz w:val="20"/>
                <w:szCs w:val="20"/>
              </w:rPr>
              <w:t>(</w:t>
            </w:r>
            <w:r>
              <w:rPr>
                <w:spacing w:val="8"/>
                <w:sz w:val="20"/>
                <w:szCs w:val="20"/>
              </w:rPr>
              <w:t>渝环规〔</w:t>
            </w:r>
            <w:r>
              <w:rPr>
                <w:rFonts w:ascii="Times New Roman" w:hAnsi="Times New Roman" w:eastAsia="Times New Roman" w:cs="Times New Roman"/>
                <w:spacing w:val="8"/>
                <w:sz w:val="20"/>
                <w:szCs w:val="20"/>
              </w:rPr>
              <w:t>20</w:t>
            </w:r>
            <w:r>
              <w:rPr>
                <w:rFonts w:ascii="Times New Roman" w:hAnsi="Times New Roman" w:eastAsia="Times New Roman" w:cs="Times New Roman"/>
                <w:spacing w:val="7"/>
                <w:sz w:val="20"/>
                <w:szCs w:val="20"/>
              </w:rPr>
              <w:t>23</w:t>
            </w:r>
            <w:r>
              <w:rPr>
                <w:spacing w:val="7"/>
                <w:sz w:val="20"/>
                <w:szCs w:val="20"/>
              </w:rPr>
              <w:t>〕</w:t>
            </w:r>
            <w:r>
              <w:rPr>
                <w:rFonts w:ascii="Times New Roman" w:hAnsi="Times New Roman" w:eastAsia="Times New Roman" w:cs="Times New Roman"/>
                <w:spacing w:val="7"/>
                <w:sz w:val="20"/>
                <w:szCs w:val="20"/>
              </w:rPr>
              <w:t>1</w:t>
            </w:r>
            <w:r>
              <w:rPr>
                <w:rFonts w:ascii="Times New Roman" w:hAnsi="Times New Roman" w:eastAsia="Times New Roman" w:cs="Times New Roman"/>
                <w:spacing w:val="23"/>
                <w:w w:val="101"/>
                <w:sz w:val="20"/>
                <w:szCs w:val="20"/>
              </w:rPr>
              <w:t xml:space="preserve"> </w:t>
            </w:r>
            <w:r>
              <w:rPr>
                <w:spacing w:val="7"/>
                <w:sz w:val="20"/>
                <w:szCs w:val="20"/>
              </w:rPr>
              <w:t>号</w:t>
            </w:r>
            <w:r>
              <w:rPr>
                <w:rFonts w:ascii="Times New Roman" w:hAnsi="Times New Roman" w:eastAsia="Times New Roman" w:cs="Times New Roman"/>
                <w:spacing w:val="7"/>
                <w:sz w:val="20"/>
                <w:szCs w:val="20"/>
              </w:rPr>
              <w:t>)</w:t>
            </w:r>
          </w:p>
        </w:tc>
      </w:tr>
      <w:tr w14:paraId="349B3C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917" w:type="dxa"/>
            <w:tcBorders>
              <w:left w:val="single" w:color="000000" w:sz="10" w:space="0"/>
            </w:tcBorders>
            <w:vAlign w:val="top"/>
          </w:tcPr>
          <w:p w14:paraId="392B9E6E">
            <w:pPr>
              <w:spacing w:before="221" w:line="195"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8160" w:type="dxa"/>
            <w:tcBorders>
              <w:right w:val="single" w:color="000000" w:sz="10" w:space="0"/>
            </w:tcBorders>
            <w:vAlign w:val="top"/>
          </w:tcPr>
          <w:p w14:paraId="50AC9788">
            <w:pPr>
              <w:pStyle w:val="6"/>
              <w:spacing w:before="51" w:line="224" w:lineRule="auto"/>
              <w:ind w:left="115" w:right="279" w:hanging="5"/>
              <w:rPr>
                <w:sz w:val="20"/>
                <w:szCs w:val="20"/>
              </w:rPr>
            </w:pPr>
            <w:r>
              <w:rPr>
                <w:spacing w:val="10"/>
                <w:sz w:val="20"/>
                <w:szCs w:val="20"/>
              </w:rPr>
              <w:t>《重庆市规划和自然资源局重庆市农业农村委员</w:t>
            </w:r>
            <w:r>
              <w:rPr>
                <w:spacing w:val="9"/>
                <w:sz w:val="20"/>
                <w:szCs w:val="20"/>
              </w:rPr>
              <w:t>会关于加强和改进永久基本农田保护</w:t>
            </w:r>
            <w:r>
              <w:rPr>
                <w:sz w:val="20"/>
                <w:szCs w:val="20"/>
              </w:rPr>
              <w:t xml:space="preserve"> </w:t>
            </w:r>
            <w:r>
              <w:rPr>
                <w:spacing w:val="6"/>
                <w:sz w:val="20"/>
                <w:szCs w:val="20"/>
              </w:rPr>
              <w:t>工作的实施意见》（渝规资规范〔</w:t>
            </w:r>
            <w:r>
              <w:rPr>
                <w:rFonts w:ascii="Times New Roman" w:hAnsi="Times New Roman" w:eastAsia="Times New Roman" w:cs="Times New Roman"/>
                <w:spacing w:val="6"/>
                <w:sz w:val="20"/>
                <w:szCs w:val="20"/>
              </w:rPr>
              <w:t>2020</w:t>
            </w:r>
            <w:r>
              <w:rPr>
                <w:spacing w:val="6"/>
                <w:sz w:val="20"/>
                <w:szCs w:val="20"/>
              </w:rPr>
              <w:t>〕</w:t>
            </w:r>
            <w:r>
              <w:rPr>
                <w:rFonts w:ascii="Times New Roman" w:hAnsi="Times New Roman" w:eastAsia="Times New Roman" w:cs="Times New Roman"/>
                <w:spacing w:val="6"/>
                <w:sz w:val="20"/>
                <w:szCs w:val="20"/>
              </w:rPr>
              <w:t>1</w:t>
            </w:r>
            <w:r>
              <w:rPr>
                <w:rFonts w:ascii="Times New Roman" w:hAnsi="Times New Roman" w:eastAsia="Times New Roman" w:cs="Times New Roman"/>
                <w:spacing w:val="37"/>
                <w:sz w:val="20"/>
                <w:szCs w:val="20"/>
              </w:rPr>
              <w:t xml:space="preserve"> </w:t>
            </w:r>
            <w:r>
              <w:rPr>
                <w:spacing w:val="6"/>
                <w:sz w:val="20"/>
                <w:szCs w:val="20"/>
              </w:rPr>
              <w:t>号）</w:t>
            </w:r>
          </w:p>
        </w:tc>
      </w:tr>
      <w:tr w14:paraId="7D6D3F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917" w:type="dxa"/>
            <w:tcBorders>
              <w:left w:val="single" w:color="000000" w:sz="10" w:space="0"/>
            </w:tcBorders>
            <w:vAlign w:val="top"/>
          </w:tcPr>
          <w:p w14:paraId="0EBFA1AD">
            <w:pPr>
              <w:spacing w:before="224" w:line="195"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8160" w:type="dxa"/>
            <w:tcBorders>
              <w:right w:val="single" w:color="000000" w:sz="10" w:space="0"/>
            </w:tcBorders>
            <w:vAlign w:val="top"/>
          </w:tcPr>
          <w:p w14:paraId="62D435A3">
            <w:pPr>
              <w:pStyle w:val="6"/>
              <w:spacing w:before="53" w:line="223" w:lineRule="auto"/>
              <w:ind w:left="121" w:right="99" w:hanging="11"/>
              <w:rPr>
                <w:sz w:val="20"/>
                <w:szCs w:val="20"/>
              </w:rPr>
            </w:pPr>
            <w:r>
              <w:rPr>
                <w:spacing w:val="9"/>
                <w:sz w:val="20"/>
                <w:szCs w:val="20"/>
              </w:rPr>
              <w:t>《重庆市规划和自然资源局关于进一步加强占用永久基本农田管理的</w:t>
            </w:r>
            <w:r>
              <w:rPr>
                <w:spacing w:val="8"/>
                <w:sz w:val="20"/>
                <w:szCs w:val="20"/>
              </w:rPr>
              <w:t>通知》（渝规资规</w:t>
            </w:r>
            <w:r>
              <w:rPr>
                <w:sz w:val="20"/>
                <w:szCs w:val="20"/>
              </w:rPr>
              <w:t xml:space="preserve"> </w:t>
            </w:r>
            <w:r>
              <w:rPr>
                <w:spacing w:val="1"/>
                <w:sz w:val="20"/>
                <w:szCs w:val="20"/>
              </w:rPr>
              <w:t>范〔</w:t>
            </w:r>
            <w:r>
              <w:rPr>
                <w:rFonts w:ascii="Times New Roman" w:hAnsi="Times New Roman" w:eastAsia="Times New Roman" w:cs="Times New Roman"/>
                <w:spacing w:val="1"/>
                <w:sz w:val="20"/>
                <w:szCs w:val="20"/>
              </w:rPr>
              <w:t>2020</w:t>
            </w:r>
            <w:r>
              <w:rPr>
                <w:spacing w:val="1"/>
                <w:sz w:val="20"/>
                <w:szCs w:val="20"/>
              </w:rPr>
              <w:t>〕</w:t>
            </w:r>
            <w:r>
              <w:rPr>
                <w:rFonts w:ascii="Times New Roman" w:hAnsi="Times New Roman" w:eastAsia="Times New Roman" w:cs="Times New Roman"/>
                <w:spacing w:val="1"/>
                <w:sz w:val="20"/>
                <w:szCs w:val="20"/>
              </w:rPr>
              <w:t>9</w:t>
            </w:r>
            <w:r>
              <w:rPr>
                <w:rFonts w:ascii="Times New Roman" w:hAnsi="Times New Roman" w:eastAsia="Times New Roman" w:cs="Times New Roman"/>
                <w:spacing w:val="29"/>
                <w:w w:val="101"/>
                <w:sz w:val="20"/>
                <w:szCs w:val="20"/>
              </w:rPr>
              <w:t xml:space="preserve"> </w:t>
            </w:r>
            <w:r>
              <w:rPr>
                <w:spacing w:val="1"/>
                <w:sz w:val="20"/>
                <w:szCs w:val="20"/>
              </w:rPr>
              <w:t>号）</w:t>
            </w:r>
          </w:p>
        </w:tc>
      </w:tr>
      <w:tr w14:paraId="661A45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917" w:type="dxa"/>
            <w:tcBorders>
              <w:left w:val="single" w:color="000000" w:sz="10" w:space="0"/>
              <w:bottom w:val="single" w:color="000000" w:sz="10" w:space="0"/>
            </w:tcBorders>
            <w:vAlign w:val="top"/>
          </w:tcPr>
          <w:p w14:paraId="11F82B57">
            <w:pPr>
              <w:spacing w:before="87" w:line="195" w:lineRule="auto"/>
              <w:ind w:left="364"/>
              <w:rPr>
                <w:rFonts w:ascii="Times New Roman" w:hAnsi="Times New Roman" w:eastAsia="Times New Roman" w:cs="Times New Roman"/>
                <w:sz w:val="19"/>
                <w:szCs w:val="19"/>
              </w:rPr>
            </w:pPr>
            <w:r>
              <w:rPr>
                <w:rFonts w:ascii="Times New Roman" w:hAnsi="Times New Roman" w:eastAsia="Times New Roman" w:cs="Times New Roman"/>
                <w:spacing w:val="-7"/>
                <w:sz w:val="19"/>
                <w:szCs w:val="19"/>
              </w:rPr>
              <w:t>14</w:t>
            </w:r>
          </w:p>
        </w:tc>
        <w:tc>
          <w:tcPr>
            <w:tcW w:w="8160" w:type="dxa"/>
            <w:tcBorders>
              <w:bottom w:val="single" w:color="000000" w:sz="10" w:space="0"/>
              <w:right w:val="single" w:color="000000" w:sz="10" w:space="0"/>
            </w:tcBorders>
            <w:vAlign w:val="top"/>
          </w:tcPr>
          <w:p w14:paraId="070498D4">
            <w:pPr>
              <w:pStyle w:val="6"/>
              <w:spacing w:before="55" w:line="215" w:lineRule="auto"/>
              <w:ind w:left="109"/>
              <w:rPr>
                <w:sz w:val="19"/>
                <w:szCs w:val="19"/>
              </w:rPr>
            </w:pPr>
            <w:r>
              <w:rPr>
                <w:spacing w:val="8"/>
                <w:sz w:val="19"/>
                <w:szCs w:val="19"/>
              </w:rPr>
              <w:t>《重庆市空气质量持续改善行动实施方案》（渝府发〔</w:t>
            </w:r>
            <w:r>
              <w:rPr>
                <w:rFonts w:ascii="Times New Roman" w:hAnsi="Times New Roman" w:eastAsia="Times New Roman" w:cs="Times New Roman"/>
                <w:spacing w:val="8"/>
                <w:sz w:val="19"/>
                <w:szCs w:val="19"/>
              </w:rPr>
              <w:t>20</w:t>
            </w:r>
            <w:r>
              <w:rPr>
                <w:rFonts w:ascii="Times New Roman" w:hAnsi="Times New Roman" w:eastAsia="Times New Roman" w:cs="Times New Roman"/>
                <w:spacing w:val="7"/>
                <w:sz w:val="19"/>
                <w:szCs w:val="19"/>
              </w:rPr>
              <w:t>24</w:t>
            </w:r>
            <w:r>
              <w:rPr>
                <w:spacing w:val="7"/>
                <w:sz w:val="19"/>
                <w:szCs w:val="19"/>
              </w:rPr>
              <w:t>〕</w:t>
            </w:r>
            <w:r>
              <w:rPr>
                <w:rFonts w:ascii="Times New Roman" w:hAnsi="Times New Roman" w:eastAsia="Times New Roman" w:cs="Times New Roman"/>
                <w:spacing w:val="7"/>
                <w:sz w:val="19"/>
                <w:szCs w:val="19"/>
              </w:rPr>
              <w:t>15</w:t>
            </w:r>
            <w:r>
              <w:rPr>
                <w:rFonts w:ascii="Times New Roman" w:hAnsi="Times New Roman" w:eastAsia="Times New Roman" w:cs="Times New Roman"/>
                <w:spacing w:val="20"/>
                <w:sz w:val="19"/>
                <w:szCs w:val="19"/>
              </w:rPr>
              <w:t xml:space="preserve"> </w:t>
            </w:r>
            <w:r>
              <w:rPr>
                <w:spacing w:val="7"/>
                <w:sz w:val="19"/>
                <w:szCs w:val="19"/>
              </w:rPr>
              <w:t>号）</w:t>
            </w:r>
          </w:p>
        </w:tc>
      </w:tr>
    </w:tbl>
    <w:p w14:paraId="70FAE801">
      <w:pPr>
        <w:pStyle w:val="2"/>
      </w:pPr>
    </w:p>
    <w:p w14:paraId="054672ED">
      <w:pPr>
        <w:sectPr>
          <w:headerReference r:id="rId80" w:type="default"/>
          <w:footerReference r:id="rId81" w:type="default"/>
          <w:pgSz w:w="11906" w:h="16839"/>
          <w:pgMar w:top="1116" w:right="1345" w:bottom="1480" w:left="1457" w:header="683" w:footer="1318" w:gutter="0"/>
          <w:cols w:space="720" w:num="1"/>
        </w:sectPr>
      </w:pPr>
    </w:p>
    <w:p w14:paraId="0673A044">
      <w:pPr>
        <w:pStyle w:val="2"/>
        <w:spacing w:line="294" w:lineRule="auto"/>
      </w:pPr>
    </w:p>
    <w:p w14:paraId="652E736F">
      <w:pPr>
        <w:pStyle w:val="2"/>
        <w:spacing w:line="295" w:lineRule="auto"/>
      </w:pPr>
    </w:p>
    <w:p w14:paraId="001A3931">
      <w:pPr>
        <w:spacing w:before="65" w:line="229" w:lineRule="auto"/>
        <w:ind w:left="4553"/>
        <w:rPr>
          <w:rFonts w:ascii="仿宋" w:hAnsi="仿宋" w:eastAsia="仿宋" w:cs="仿宋"/>
          <w:sz w:val="20"/>
          <w:szCs w:val="20"/>
        </w:rPr>
      </w:pPr>
      <w:r>
        <w:rPr>
          <w:rFonts w:ascii="仿宋" w:hAnsi="仿宋" w:eastAsia="仿宋" w:cs="仿宋"/>
          <w:b/>
          <w:bCs/>
          <w:spacing w:val="6"/>
          <w:sz w:val="20"/>
          <w:szCs w:val="20"/>
        </w:rPr>
        <w:t>表</w:t>
      </w:r>
      <w:r>
        <w:rPr>
          <w:rFonts w:ascii="仿宋" w:hAnsi="仿宋" w:eastAsia="仿宋" w:cs="仿宋"/>
          <w:spacing w:val="-34"/>
          <w:sz w:val="20"/>
          <w:szCs w:val="20"/>
        </w:rPr>
        <w:t xml:space="preserve"> </w:t>
      </w:r>
      <w:r>
        <w:rPr>
          <w:rFonts w:ascii="Times New Roman" w:hAnsi="Times New Roman" w:eastAsia="Times New Roman" w:cs="Times New Roman"/>
          <w:b/>
          <w:bCs/>
          <w:spacing w:val="6"/>
          <w:sz w:val="20"/>
          <w:szCs w:val="20"/>
        </w:rPr>
        <w:t xml:space="preserve">2.3-4    </w:t>
      </w:r>
      <w:r>
        <w:rPr>
          <w:rFonts w:ascii="仿宋" w:hAnsi="仿宋" w:eastAsia="仿宋" w:cs="仿宋"/>
          <w:b/>
          <w:bCs/>
          <w:spacing w:val="6"/>
          <w:sz w:val="20"/>
          <w:szCs w:val="20"/>
        </w:rPr>
        <w:t>与上层位规划和主体功能区规划等符合性分析</w:t>
      </w:r>
    </w:p>
    <w:p w14:paraId="4BC67952">
      <w:pPr>
        <w:spacing w:line="24" w:lineRule="exact"/>
      </w:pPr>
    </w:p>
    <w:tbl>
      <w:tblPr>
        <w:tblStyle w:val="5"/>
        <w:tblW w:w="1447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1"/>
        <w:gridCol w:w="1744"/>
        <w:gridCol w:w="5943"/>
        <w:gridCol w:w="4386"/>
        <w:gridCol w:w="1897"/>
      </w:tblGrid>
      <w:tr w14:paraId="3493EF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501" w:type="dxa"/>
            <w:vMerge w:val="restart"/>
            <w:tcBorders>
              <w:top w:val="single" w:color="000000" w:sz="10" w:space="0"/>
              <w:left w:val="single" w:color="000000" w:sz="10" w:space="0"/>
              <w:bottom w:val="nil"/>
            </w:tcBorders>
            <w:textDirection w:val="tbRlV"/>
            <w:vAlign w:val="top"/>
          </w:tcPr>
          <w:p w14:paraId="474A2D03">
            <w:pPr>
              <w:pStyle w:val="6"/>
              <w:spacing w:before="153" w:line="210" w:lineRule="auto"/>
              <w:ind w:left="174"/>
              <w:rPr>
                <w:sz w:val="19"/>
                <w:szCs w:val="19"/>
              </w:rPr>
            </w:pPr>
            <w:r>
              <w:rPr>
                <w:spacing w:val="13"/>
                <w:sz w:val="19"/>
                <w:szCs w:val="19"/>
              </w:rPr>
              <w:t>序</w:t>
            </w:r>
            <w:r>
              <w:rPr>
                <w:spacing w:val="-40"/>
                <w:sz w:val="19"/>
                <w:szCs w:val="19"/>
              </w:rPr>
              <w:t xml:space="preserve"> </w:t>
            </w:r>
            <w:r>
              <w:rPr>
                <w:spacing w:val="13"/>
                <w:sz w:val="19"/>
                <w:szCs w:val="19"/>
              </w:rPr>
              <w:t>号</w:t>
            </w:r>
          </w:p>
        </w:tc>
        <w:tc>
          <w:tcPr>
            <w:tcW w:w="7687" w:type="dxa"/>
            <w:gridSpan w:val="2"/>
            <w:tcBorders>
              <w:top w:val="single" w:color="000000" w:sz="10" w:space="0"/>
            </w:tcBorders>
            <w:vAlign w:val="top"/>
          </w:tcPr>
          <w:p w14:paraId="3980B995">
            <w:pPr>
              <w:pStyle w:val="6"/>
              <w:spacing w:before="75" w:line="231" w:lineRule="auto"/>
              <w:ind w:left="2551"/>
              <w:rPr>
                <w:sz w:val="19"/>
                <w:szCs w:val="19"/>
              </w:rPr>
            </w:pPr>
            <w:r>
              <w:rPr>
                <w:spacing w:val="8"/>
                <w:sz w:val="19"/>
                <w:szCs w:val="19"/>
              </w:rPr>
              <w:t>上层位规划和主体功能区规划</w:t>
            </w:r>
          </w:p>
        </w:tc>
        <w:tc>
          <w:tcPr>
            <w:tcW w:w="4386" w:type="dxa"/>
            <w:vMerge w:val="restart"/>
            <w:tcBorders>
              <w:top w:val="single" w:color="000000" w:sz="10" w:space="0"/>
              <w:bottom w:val="nil"/>
            </w:tcBorders>
            <w:vAlign w:val="top"/>
          </w:tcPr>
          <w:p w14:paraId="6B0316CA">
            <w:pPr>
              <w:spacing w:line="241" w:lineRule="auto"/>
              <w:rPr>
                <w:rFonts w:ascii="Arial"/>
                <w:sz w:val="21"/>
              </w:rPr>
            </w:pPr>
          </w:p>
          <w:p w14:paraId="47E0D3F3">
            <w:pPr>
              <w:pStyle w:val="6"/>
              <w:spacing w:before="62" w:line="229" w:lineRule="auto"/>
              <w:ind w:left="909"/>
              <w:rPr>
                <w:sz w:val="19"/>
                <w:szCs w:val="19"/>
              </w:rPr>
            </w:pPr>
            <w:r>
              <w:rPr>
                <w:spacing w:val="9"/>
                <w:sz w:val="19"/>
                <w:szCs w:val="19"/>
              </w:rPr>
              <w:t>本《规划调整》的符合性分析</w:t>
            </w:r>
          </w:p>
        </w:tc>
        <w:tc>
          <w:tcPr>
            <w:tcW w:w="1897" w:type="dxa"/>
            <w:vMerge w:val="restart"/>
            <w:tcBorders>
              <w:top w:val="single" w:color="000000" w:sz="10" w:space="0"/>
              <w:bottom w:val="nil"/>
              <w:right w:val="single" w:color="000000" w:sz="10" w:space="0"/>
            </w:tcBorders>
            <w:vAlign w:val="top"/>
          </w:tcPr>
          <w:p w14:paraId="58FA22FD">
            <w:pPr>
              <w:spacing w:line="241" w:lineRule="auto"/>
              <w:rPr>
                <w:rFonts w:ascii="Arial"/>
                <w:sz w:val="21"/>
              </w:rPr>
            </w:pPr>
          </w:p>
          <w:p w14:paraId="67C4FD24">
            <w:pPr>
              <w:pStyle w:val="6"/>
              <w:spacing w:before="62" w:line="231" w:lineRule="auto"/>
              <w:ind w:left="362"/>
              <w:rPr>
                <w:sz w:val="19"/>
                <w:szCs w:val="19"/>
              </w:rPr>
            </w:pPr>
            <w:r>
              <w:rPr>
                <w:spacing w:val="7"/>
                <w:sz w:val="19"/>
                <w:szCs w:val="19"/>
              </w:rPr>
              <w:t>优化调整建议</w:t>
            </w:r>
          </w:p>
        </w:tc>
      </w:tr>
      <w:tr w14:paraId="3DE6A1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501" w:type="dxa"/>
            <w:vMerge w:val="continue"/>
            <w:tcBorders>
              <w:top w:val="nil"/>
              <w:left w:val="single" w:color="000000" w:sz="10" w:space="0"/>
            </w:tcBorders>
            <w:textDirection w:val="tbRlV"/>
            <w:vAlign w:val="top"/>
          </w:tcPr>
          <w:p w14:paraId="14A9FBFA">
            <w:pPr>
              <w:rPr>
                <w:rFonts w:ascii="Arial"/>
                <w:sz w:val="21"/>
              </w:rPr>
            </w:pPr>
          </w:p>
        </w:tc>
        <w:tc>
          <w:tcPr>
            <w:tcW w:w="1744" w:type="dxa"/>
            <w:vAlign w:val="top"/>
          </w:tcPr>
          <w:p w14:paraId="1DE66F31">
            <w:pPr>
              <w:pStyle w:val="6"/>
              <w:spacing w:before="125" w:line="230" w:lineRule="auto"/>
              <w:ind w:left="673"/>
              <w:rPr>
                <w:sz w:val="19"/>
                <w:szCs w:val="19"/>
              </w:rPr>
            </w:pPr>
            <w:r>
              <w:rPr>
                <w:spacing w:val="2"/>
                <w:sz w:val="19"/>
                <w:szCs w:val="19"/>
              </w:rPr>
              <w:t>名称</w:t>
            </w:r>
          </w:p>
        </w:tc>
        <w:tc>
          <w:tcPr>
            <w:tcW w:w="5943" w:type="dxa"/>
            <w:vAlign w:val="top"/>
          </w:tcPr>
          <w:p w14:paraId="4DED8035">
            <w:pPr>
              <w:pStyle w:val="6"/>
              <w:spacing w:before="125" w:line="231" w:lineRule="auto"/>
              <w:ind w:left="1785"/>
              <w:rPr>
                <w:sz w:val="19"/>
                <w:szCs w:val="19"/>
              </w:rPr>
            </w:pPr>
            <w:r>
              <w:rPr>
                <w:spacing w:val="8"/>
                <w:sz w:val="19"/>
                <w:szCs w:val="19"/>
              </w:rPr>
              <w:t>与本《规划调整》相关内容</w:t>
            </w:r>
          </w:p>
        </w:tc>
        <w:tc>
          <w:tcPr>
            <w:tcW w:w="4386" w:type="dxa"/>
            <w:vMerge w:val="continue"/>
            <w:tcBorders>
              <w:top w:val="nil"/>
            </w:tcBorders>
            <w:vAlign w:val="top"/>
          </w:tcPr>
          <w:p w14:paraId="63EA3854">
            <w:pPr>
              <w:rPr>
                <w:rFonts w:ascii="Arial"/>
                <w:sz w:val="21"/>
              </w:rPr>
            </w:pPr>
          </w:p>
        </w:tc>
        <w:tc>
          <w:tcPr>
            <w:tcW w:w="1897" w:type="dxa"/>
            <w:vMerge w:val="continue"/>
            <w:tcBorders>
              <w:top w:val="nil"/>
              <w:right w:val="single" w:color="000000" w:sz="10" w:space="0"/>
            </w:tcBorders>
            <w:vAlign w:val="top"/>
          </w:tcPr>
          <w:p w14:paraId="03991429">
            <w:pPr>
              <w:rPr>
                <w:rFonts w:ascii="Arial"/>
                <w:sz w:val="21"/>
              </w:rPr>
            </w:pPr>
          </w:p>
        </w:tc>
      </w:tr>
      <w:tr w14:paraId="79C944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4" w:hRule="atLeast"/>
        </w:trPr>
        <w:tc>
          <w:tcPr>
            <w:tcW w:w="501" w:type="dxa"/>
            <w:tcBorders>
              <w:left w:val="single" w:color="000000" w:sz="10" w:space="0"/>
            </w:tcBorders>
            <w:vAlign w:val="top"/>
          </w:tcPr>
          <w:p w14:paraId="105CBE3E">
            <w:pPr>
              <w:spacing w:line="259" w:lineRule="auto"/>
              <w:rPr>
                <w:rFonts w:ascii="Arial"/>
                <w:sz w:val="21"/>
              </w:rPr>
            </w:pPr>
          </w:p>
          <w:p w14:paraId="3AAA5797">
            <w:pPr>
              <w:spacing w:line="259" w:lineRule="auto"/>
              <w:rPr>
                <w:rFonts w:ascii="Arial"/>
                <w:sz w:val="21"/>
              </w:rPr>
            </w:pPr>
          </w:p>
          <w:p w14:paraId="6E95E274">
            <w:pPr>
              <w:spacing w:line="259" w:lineRule="auto"/>
              <w:rPr>
                <w:rFonts w:ascii="Arial"/>
                <w:sz w:val="21"/>
              </w:rPr>
            </w:pPr>
          </w:p>
          <w:p w14:paraId="09564991">
            <w:pPr>
              <w:spacing w:line="260" w:lineRule="auto"/>
              <w:rPr>
                <w:rFonts w:ascii="Arial"/>
                <w:sz w:val="21"/>
              </w:rPr>
            </w:pPr>
          </w:p>
          <w:p w14:paraId="28DC01D7">
            <w:pPr>
              <w:spacing w:line="260" w:lineRule="auto"/>
              <w:rPr>
                <w:rFonts w:ascii="Arial"/>
                <w:sz w:val="21"/>
              </w:rPr>
            </w:pPr>
          </w:p>
          <w:p w14:paraId="4D90BE4B">
            <w:pPr>
              <w:spacing w:line="260" w:lineRule="auto"/>
              <w:rPr>
                <w:rFonts w:ascii="Arial"/>
                <w:sz w:val="21"/>
              </w:rPr>
            </w:pPr>
          </w:p>
          <w:p w14:paraId="35AE5A66">
            <w:pPr>
              <w:spacing w:line="260" w:lineRule="auto"/>
              <w:rPr>
                <w:rFonts w:ascii="Arial"/>
                <w:sz w:val="21"/>
              </w:rPr>
            </w:pPr>
          </w:p>
          <w:p w14:paraId="39C09FD8">
            <w:pPr>
              <w:spacing w:before="55" w:line="195" w:lineRule="auto"/>
              <w:ind w:left="207"/>
              <w:rPr>
                <w:rFonts w:ascii="Times New Roman" w:hAnsi="Times New Roman" w:eastAsia="Times New Roman" w:cs="Times New Roman"/>
                <w:sz w:val="19"/>
                <w:szCs w:val="19"/>
              </w:rPr>
            </w:pPr>
            <w:r>
              <w:rPr>
                <w:rFonts w:ascii="Times New Roman" w:hAnsi="Times New Roman" w:eastAsia="Times New Roman" w:cs="Times New Roman"/>
                <w:sz w:val="19"/>
                <w:szCs w:val="19"/>
              </w:rPr>
              <w:t>1</w:t>
            </w:r>
          </w:p>
        </w:tc>
        <w:tc>
          <w:tcPr>
            <w:tcW w:w="1744" w:type="dxa"/>
            <w:vAlign w:val="top"/>
          </w:tcPr>
          <w:p w14:paraId="3DB4307D">
            <w:pPr>
              <w:spacing w:line="291" w:lineRule="auto"/>
              <w:rPr>
                <w:rFonts w:ascii="Arial"/>
                <w:sz w:val="21"/>
              </w:rPr>
            </w:pPr>
          </w:p>
          <w:p w14:paraId="49560F86">
            <w:pPr>
              <w:spacing w:line="292" w:lineRule="auto"/>
              <w:rPr>
                <w:rFonts w:ascii="Arial"/>
                <w:sz w:val="21"/>
              </w:rPr>
            </w:pPr>
          </w:p>
          <w:p w14:paraId="209239AE">
            <w:pPr>
              <w:spacing w:line="292" w:lineRule="auto"/>
              <w:rPr>
                <w:rFonts w:ascii="Arial"/>
                <w:sz w:val="21"/>
              </w:rPr>
            </w:pPr>
          </w:p>
          <w:p w14:paraId="48505B22">
            <w:pPr>
              <w:pStyle w:val="6"/>
              <w:spacing w:before="62" w:line="252" w:lineRule="auto"/>
              <w:ind w:left="106" w:right="114"/>
              <w:jc w:val="both"/>
              <w:rPr>
                <w:sz w:val="19"/>
                <w:szCs w:val="19"/>
              </w:rPr>
            </w:pPr>
            <w:r>
              <w:rPr>
                <w:spacing w:val="26"/>
                <w:sz w:val="19"/>
                <w:szCs w:val="19"/>
              </w:rPr>
              <w:t>《重庆市规划和</w:t>
            </w:r>
            <w:r>
              <w:rPr>
                <w:spacing w:val="4"/>
                <w:sz w:val="19"/>
                <w:szCs w:val="19"/>
              </w:rPr>
              <w:t xml:space="preserve"> </w:t>
            </w:r>
            <w:r>
              <w:rPr>
                <w:spacing w:val="8"/>
                <w:sz w:val="19"/>
                <w:szCs w:val="19"/>
              </w:rPr>
              <w:t>自然资源局</w:t>
            </w:r>
            <w:r>
              <w:rPr>
                <w:spacing w:val="34"/>
                <w:sz w:val="19"/>
                <w:szCs w:val="19"/>
              </w:rPr>
              <w:t xml:space="preserve"> </w:t>
            </w:r>
            <w:r>
              <w:rPr>
                <w:spacing w:val="8"/>
                <w:sz w:val="19"/>
                <w:szCs w:val="19"/>
              </w:rPr>
              <w:t>重庆</w:t>
            </w:r>
            <w:r>
              <w:rPr>
                <w:sz w:val="19"/>
                <w:szCs w:val="19"/>
              </w:rPr>
              <w:t xml:space="preserve"> </w:t>
            </w:r>
            <w:r>
              <w:rPr>
                <w:spacing w:val="8"/>
                <w:sz w:val="19"/>
                <w:szCs w:val="19"/>
              </w:rPr>
              <w:t>市生态环境局</w:t>
            </w:r>
            <w:r>
              <w:rPr>
                <w:spacing w:val="34"/>
                <w:sz w:val="19"/>
                <w:szCs w:val="19"/>
              </w:rPr>
              <w:t xml:space="preserve"> </w:t>
            </w:r>
            <w:r>
              <w:rPr>
                <w:spacing w:val="8"/>
                <w:sz w:val="19"/>
                <w:szCs w:val="19"/>
              </w:rPr>
              <w:t>关</w:t>
            </w:r>
            <w:r>
              <w:rPr>
                <w:sz w:val="19"/>
                <w:szCs w:val="19"/>
              </w:rPr>
              <w:t xml:space="preserve"> </w:t>
            </w:r>
            <w:r>
              <w:rPr>
                <w:spacing w:val="26"/>
                <w:sz w:val="19"/>
                <w:szCs w:val="19"/>
              </w:rPr>
              <w:t>于进一步规范矿</w:t>
            </w:r>
            <w:r>
              <w:rPr>
                <w:spacing w:val="5"/>
                <w:sz w:val="19"/>
                <w:szCs w:val="19"/>
              </w:rPr>
              <w:t xml:space="preserve"> </w:t>
            </w:r>
            <w:r>
              <w:rPr>
                <w:spacing w:val="26"/>
                <w:sz w:val="19"/>
                <w:szCs w:val="19"/>
              </w:rPr>
              <w:t>产资源规划实施</w:t>
            </w:r>
            <w:r>
              <w:rPr>
                <w:spacing w:val="5"/>
                <w:sz w:val="19"/>
                <w:szCs w:val="19"/>
              </w:rPr>
              <w:t xml:space="preserve"> </w:t>
            </w:r>
            <w:r>
              <w:rPr>
                <w:spacing w:val="-1"/>
                <w:sz w:val="19"/>
                <w:szCs w:val="19"/>
              </w:rPr>
              <w:t>管理的通知》（渝</w:t>
            </w:r>
            <w:r>
              <w:rPr>
                <w:spacing w:val="5"/>
                <w:sz w:val="19"/>
                <w:szCs w:val="19"/>
              </w:rPr>
              <w:t xml:space="preserve"> 规资〔</w:t>
            </w:r>
            <w:r>
              <w:rPr>
                <w:rFonts w:ascii="Times New Roman" w:hAnsi="Times New Roman" w:eastAsia="Times New Roman" w:cs="Times New Roman"/>
                <w:spacing w:val="5"/>
                <w:sz w:val="19"/>
                <w:szCs w:val="19"/>
              </w:rPr>
              <w:t>2025</w:t>
            </w:r>
            <w:r>
              <w:rPr>
                <w:spacing w:val="5"/>
                <w:sz w:val="19"/>
                <w:szCs w:val="19"/>
              </w:rPr>
              <w:t>〕</w:t>
            </w:r>
            <w:r>
              <w:rPr>
                <w:rFonts w:ascii="Times New Roman" w:hAnsi="Times New Roman" w:eastAsia="Times New Roman" w:cs="Times New Roman"/>
                <w:spacing w:val="5"/>
                <w:sz w:val="19"/>
                <w:szCs w:val="19"/>
              </w:rPr>
              <w:t>119</w:t>
            </w:r>
            <w:r>
              <w:rPr>
                <w:rFonts w:ascii="Times New Roman" w:hAnsi="Times New Roman" w:eastAsia="Times New Roman" w:cs="Times New Roman"/>
                <w:spacing w:val="3"/>
                <w:sz w:val="19"/>
                <w:szCs w:val="19"/>
              </w:rPr>
              <w:t xml:space="preserve">  </w:t>
            </w:r>
            <w:r>
              <w:rPr>
                <w:spacing w:val="-2"/>
                <w:sz w:val="19"/>
                <w:szCs w:val="19"/>
              </w:rPr>
              <w:t>号）</w:t>
            </w:r>
          </w:p>
        </w:tc>
        <w:tc>
          <w:tcPr>
            <w:tcW w:w="5943" w:type="dxa"/>
            <w:vAlign w:val="top"/>
          </w:tcPr>
          <w:p w14:paraId="2FB2D1DB">
            <w:pPr>
              <w:pStyle w:val="6"/>
              <w:spacing w:before="33" w:line="252" w:lineRule="auto"/>
              <w:ind w:left="109" w:right="47" w:firstLine="5"/>
              <w:jc w:val="both"/>
              <w:rPr>
                <w:sz w:val="19"/>
                <w:szCs w:val="19"/>
              </w:rPr>
            </w:pPr>
            <w:r>
              <w:rPr>
                <w:spacing w:val="9"/>
                <w:sz w:val="19"/>
                <w:szCs w:val="19"/>
              </w:rPr>
              <w:t>（二）有下列情形之一的，可开展勘查开采规划区块调整：地质勘</w:t>
            </w:r>
            <w:r>
              <w:rPr>
                <w:spacing w:val="3"/>
                <w:sz w:val="19"/>
                <w:szCs w:val="19"/>
              </w:rPr>
              <w:t xml:space="preserve"> </w:t>
            </w:r>
            <w:r>
              <w:rPr>
                <w:spacing w:val="9"/>
                <w:sz w:val="19"/>
                <w:szCs w:val="19"/>
              </w:rPr>
              <w:t>查有新发现、新成果，需新增或修改勘查开采规划区块的；为满足</w:t>
            </w:r>
            <w:r>
              <w:rPr>
                <w:spacing w:val="8"/>
                <w:sz w:val="19"/>
                <w:szCs w:val="19"/>
              </w:rPr>
              <w:t xml:space="preserve"> </w:t>
            </w:r>
            <w:r>
              <w:rPr>
                <w:spacing w:val="6"/>
                <w:sz w:val="19"/>
                <w:szCs w:val="19"/>
              </w:rPr>
              <w:t>产业发展、</w:t>
            </w:r>
            <w:r>
              <w:rPr>
                <w:spacing w:val="-47"/>
                <w:sz w:val="19"/>
                <w:szCs w:val="19"/>
              </w:rPr>
              <w:t xml:space="preserve"> </w:t>
            </w:r>
            <w:r>
              <w:rPr>
                <w:spacing w:val="6"/>
                <w:sz w:val="19"/>
                <w:szCs w:val="19"/>
              </w:rPr>
              <w:t>国家或市级重大工程建设项目、乡村振兴、</w:t>
            </w:r>
            <w:r>
              <w:rPr>
                <w:spacing w:val="-50"/>
                <w:sz w:val="19"/>
                <w:szCs w:val="19"/>
              </w:rPr>
              <w:t xml:space="preserve"> </w:t>
            </w:r>
            <w:r>
              <w:rPr>
                <w:spacing w:val="6"/>
                <w:sz w:val="19"/>
                <w:szCs w:val="19"/>
              </w:rPr>
              <w:t>民生基础建</w:t>
            </w:r>
            <w:r>
              <w:rPr>
                <w:sz w:val="19"/>
                <w:szCs w:val="19"/>
              </w:rPr>
              <w:t xml:space="preserve"> </w:t>
            </w:r>
            <w:r>
              <w:rPr>
                <w:spacing w:val="9"/>
                <w:sz w:val="19"/>
                <w:szCs w:val="19"/>
              </w:rPr>
              <w:t>设等需要，需增加用矿需求的；其他需要调整的情</w:t>
            </w:r>
            <w:r>
              <w:rPr>
                <w:spacing w:val="8"/>
                <w:sz w:val="19"/>
                <w:szCs w:val="19"/>
              </w:rPr>
              <w:t>形。</w:t>
            </w:r>
          </w:p>
          <w:p w14:paraId="5D49B5CE">
            <w:pPr>
              <w:pStyle w:val="6"/>
              <w:spacing w:before="6" w:line="247" w:lineRule="auto"/>
              <w:ind w:left="109" w:firstLine="401"/>
              <w:rPr>
                <w:sz w:val="19"/>
                <w:szCs w:val="19"/>
              </w:rPr>
            </w:pPr>
            <w:r>
              <w:rPr>
                <w:spacing w:val="9"/>
                <w:sz w:val="19"/>
                <w:szCs w:val="19"/>
              </w:rPr>
              <w:t>开展勘查开采规划区块调整的，按照规定编制勘查开采规</w:t>
            </w:r>
            <w:r>
              <w:rPr>
                <w:spacing w:val="8"/>
                <w:sz w:val="19"/>
                <w:szCs w:val="19"/>
              </w:rPr>
              <w:t>划区</w:t>
            </w:r>
            <w:r>
              <w:rPr>
                <w:sz w:val="19"/>
                <w:szCs w:val="19"/>
              </w:rPr>
              <w:t xml:space="preserve"> </w:t>
            </w:r>
            <w:r>
              <w:rPr>
                <w:spacing w:val="9"/>
                <w:sz w:val="19"/>
                <w:szCs w:val="19"/>
              </w:rPr>
              <w:t>块调整方案及规划补充环境影响报告书。规划补充环境影响报告书</w:t>
            </w:r>
            <w:r>
              <w:rPr>
                <w:spacing w:val="1"/>
                <w:sz w:val="19"/>
                <w:szCs w:val="19"/>
              </w:rPr>
              <w:t xml:space="preserve"> </w:t>
            </w:r>
            <w:r>
              <w:rPr>
                <w:spacing w:val="9"/>
                <w:sz w:val="19"/>
                <w:szCs w:val="19"/>
              </w:rPr>
              <w:t>经市生态环境部门审查后，与经区县人民政府审核后的勘查开采规</w:t>
            </w:r>
            <w:r>
              <w:rPr>
                <w:spacing w:val="1"/>
                <w:sz w:val="19"/>
                <w:szCs w:val="19"/>
              </w:rPr>
              <w:t xml:space="preserve"> </w:t>
            </w:r>
            <w:r>
              <w:rPr>
                <w:spacing w:val="10"/>
                <w:sz w:val="19"/>
                <w:szCs w:val="19"/>
              </w:rPr>
              <w:t>划区块调整方案一并报市规划自然资源部门检查通过后上图入库。</w:t>
            </w:r>
            <w:r>
              <w:rPr>
                <w:spacing w:val="1"/>
                <w:sz w:val="19"/>
                <w:szCs w:val="19"/>
              </w:rPr>
              <w:t xml:space="preserve"> </w:t>
            </w:r>
            <w:r>
              <w:rPr>
                <w:spacing w:val="4"/>
                <w:sz w:val="19"/>
                <w:szCs w:val="19"/>
              </w:rPr>
              <w:t>（三）有下列情形之一的，应当开展规划调整：调增规划矿山数量，</w:t>
            </w:r>
            <w:r>
              <w:rPr>
                <w:spacing w:val="7"/>
                <w:sz w:val="19"/>
                <w:szCs w:val="19"/>
              </w:rPr>
              <w:t xml:space="preserve"> </w:t>
            </w:r>
            <w:r>
              <w:rPr>
                <w:spacing w:val="9"/>
                <w:sz w:val="19"/>
                <w:szCs w:val="19"/>
              </w:rPr>
              <w:t>调增约束性指标，新增重点勘查区、重点开采区、砂石土矿集中开</w:t>
            </w:r>
            <w:r>
              <w:rPr>
                <w:spacing w:val="1"/>
                <w:sz w:val="19"/>
                <w:szCs w:val="19"/>
              </w:rPr>
              <w:t xml:space="preserve"> </w:t>
            </w:r>
            <w:r>
              <w:rPr>
                <w:spacing w:val="9"/>
                <w:sz w:val="19"/>
                <w:szCs w:val="19"/>
              </w:rPr>
              <w:t>采区，在砂石土矿集中开采区外新增普通建筑用砂石土矿开采规划</w:t>
            </w:r>
            <w:r>
              <w:rPr>
                <w:spacing w:val="1"/>
                <w:sz w:val="19"/>
                <w:szCs w:val="19"/>
              </w:rPr>
              <w:t xml:space="preserve"> </w:t>
            </w:r>
            <w:r>
              <w:rPr>
                <w:spacing w:val="9"/>
                <w:sz w:val="19"/>
                <w:szCs w:val="19"/>
              </w:rPr>
              <w:t>区块。其中涉及新增重点勘查区、重点开采区、砂石土矿集中开采</w:t>
            </w:r>
            <w:r>
              <w:rPr>
                <w:spacing w:val="1"/>
                <w:sz w:val="19"/>
                <w:szCs w:val="19"/>
              </w:rPr>
              <w:t xml:space="preserve"> </w:t>
            </w:r>
            <w:r>
              <w:rPr>
                <w:spacing w:val="9"/>
                <w:sz w:val="19"/>
                <w:szCs w:val="19"/>
              </w:rPr>
              <w:t>区，在砂石土矿集中开采区外新增普通建筑用砂石土矿开采规划区</w:t>
            </w:r>
            <w:r>
              <w:rPr>
                <w:spacing w:val="3"/>
                <w:sz w:val="19"/>
                <w:szCs w:val="19"/>
              </w:rPr>
              <w:t xml:space="preserve"> </w:t>
            </w:r>
            <w:r>
              <w:rPr>
                <w:spacing w:val="9"/>
                <w:sz w:val="19"/>
                <w:szCs w:val="19"/>
              </w:rPr>
              <w:t>块等情形的，应编制规划补充环境影响报告书。涉及调增规划矿山</w:t>
            </w:r>
            <w:r>
              <w:rPr>
                <w:spacing w:val="1"/>
                <w:sz w:val="19"/>
                <w:szCs w:val="19"/>
              </w:rPr>
              <w:t xml:space="preserve"> </w:t>
            </w:r>
            <w:r>
              <w:rPr>
                <w:spacing w:val="9"/>
                <w:sz w:val="19"/>
                <w:szCs w:val="19"/>
              </w:rPr>
              <w:t>数量、调增约束性指标的情形，应重新编制规划环境影响报告书。</w:t>
            </w:r>
          </w:p>
        </w:tc>
        <w:tc>
          <w:tcPr>
            <w:tcW w:w="4386" w:type="dxa"/>
            <w:vAlign w:val="top"/>
          </w:tcPr>
          <w:p w14:paraId="3C8CA531">
            <w:pPr>
              <w:spacing w:line="274" w:lineRule="auto"/>
              <w:rPr>
                <w:rFonts w:ascii="Arial"/>
                <w:sz w:val="21"/>
              </w:rPr>
            </w:pPr>
          </w:p>
          <w:p w14:paraId="54FDC111">
            <w:pPr>
              <w:spacing w:line="275" w:lineRule="auto"/>
              <w:rPr>
                <w:rFonts w:ascii="Arial"/>
                <w:sz w:val="21"/>
              </w:rPr>
            </w:pPr>
          </w:p>
          <w:p w14:paraId="28906CA2">
            <w:pPr>
              <w:spacing w:line="275" w:lineRule="auto"/>
              <w:rPr>
                <w:rFonts w:ascii="Arial"/>
                <w:sz w:val="21"/>
              </w:rPr>
            </w:pPr>
          </w:p>
          <w:p w14:paraId="6DFD0CB2">
            <w:pPr>
              <w:spacing w:line="275" w:lineRule="auto"/>
              <w:rPr>
                <w:rFonts w:ascii="Arial"/>
                <w:sz w:val="21"/>
              </w:rPr>
            </w:pPr>
          </w:p>
          <w:p w14:paraId="02C00FA5">
            <w:pPr>
              <w:spacing w:line="275" w:lineRule="auto"/>
              <w:rPr>
                <w:rFonts w:ascii="Arial"/>
                <w:sz w:val="21"/>
              </w:rPr>
            </w:pPr>
          </w:p>
          <w:p w14:paraId="6B79ACC0">
            <w:pPr>
              <w:pStyle w:val="6"/>
              <w:spacing w:before="62" w:line="252" w:lineRule="auto"/>
              <w:ind w:left="122" w:right="40" w:firstLine="398"/>
              <w:jc w:val="both"/>
              <w:rPr>
                <w:sz w:val="19"/>
                <w:szCs w:val="19"/>
              </w:rPr>
            </w:pPr>
            <w:r>
              <w:rPr>
                <w:spacing w:val="9"/>
                <w:sz w:val="19"/>
                <w:szCs w:val="19"/>
              </w:rPr>
              <w:t>本《规划调整》调整</w:t>
            </w:r>
            <w:r>
              <w:rPr>
                <w:spacing w:val="-17"/>
                <w:sz w:val="19"/>
                <w:szCs w:val="19"/>
              </w:rPr>
              <w:t xml:space="preserve"> </w:t>
            </w:r>
            <w:r>
              <w:rPr>
                <w:rFonts w:ascii="Times New Roman" w:hAnsi="Times New Roman" w:eastAsia="Times New Roman" w:cs="Times New Roman"/>
                <w:spacing w:val="9"/>
                <w:sz w:val="19"/>
                <w:szCs w:val="19"/>
              </w:rPr>
              <w:t>1</w:t>
            </w:r>
            <w:r>
              <w:rPr>
                <w:rFonts w:ascii="Times New Roman" w:hAnsi="Times New Roman" w:eastAsia="Times New Roman" w:cs="Times New Roman"/>
                <w:spacing w:val="23"/>
                <w:w w:val="101"/>
                <w:sz w:val="19"/>
                <w:szCs w:val="19"/>
              </w:rPr>
              <w:t xml:space="preserve"> </w:t>
            </w:r>
            <w:r>
              <w:rPr>
                <w:spacing w:val="9"/>
                <w:sz w:val="19"/>
                <w:szCs w:val="19"/>
              </w:rPr>
              <w:t>个勘查区块，新增</w:t>
            </w:r>
            <w:r>
              <w:rPr>
                <w:spacing w:val="-16"/>
                <w:sz w:val="19"/>
                <w:szCs w:val="19"/>
              </w:rPr>
              <w:t xml:space="preserve"> </w:t>
            </w:r>
            <w:r>
              <w:rPr>
                <w:rFonts w:ascii="Times New Roman" w:hAnsi="Times New Roman" w:eastAsia="Times New Roman" w:cs="Times New Roman"/>
                <w:spacing w:val="9"/>
                <w:sz w:val="19"/>
                <w:szCs w:val="19"/>
              </w:rPr>
              <w:t>1</w:t>
            </w:r>
            <w:r>
              <w:rPr>
                <w:rFonts w:ascii="Times New Roman" w:hAnsi="Times New Roman" w:eastAsia="Times New Roman" w:cs="Times New Roman"/>
                <w:sz w:val="19"/>
                <w:szCs w:val="19"/>
              </w:rPr>
              <w:t xml:space="preserve"> </w:t>
            </w:r>
            <w:r>
              <w:rPr>
                <w:spacing w:val="8"/>
                <w:sz w:val="19"/>
                <w:szCs w:val="19"/>
              </w:rPr>
              <w:t>个勘查区块，取消</w:t>
            </w:r>
            <w:r>
              <w:rPr>
                <w:spacing w:val="-6"/>
                <w:sz w:val="19"/>
                <w:szCs w:val="19"/>
              </w:rPr>
              <w:t xml:space="preserve"> </w:t>
            </w:r>
            <w:r>
              <w:rPr>
                <w:rFonts w:ascii="Times New Roman" w:hAnsi="Times New Roman" w:eastAsia="Times New Roman" w:cs="Times New Roman"/>
                <w:spacing w:val="8"/>
                <w:sz w:val="19"/>
                <w:szCs w:val="19"/>
              </w:rPr>
              <w:t>1</w:t>
            </w:r>
            <w:r>
              <w:rPr>
                <w:rFonts w:ascii="Times New Roman" w:hAnsi="Times New Roman" w:eastAsia="Times New Roman" w:cs="Times New Roman"/>
                <w:spacing w:val="16"/>
                <w:w w:val="101"/>
                <w:sz w:val="19"/>
                <w:szCs w:val="19"/>
              </w:rPr>
              <w:t xml:space="preserve"> </w:t>
            </w:r>
            <w:r>
              <w:rPr>
                <w:spacing w:val="8"/>
                <w:sz w:val="19"/>
                <w:szCs w:val="19"/>
              </w:rPr>
              <w:t>个开采区块，无约束性指标</w:t>
            </w:r>
            <w:r>
              <w:rPr>
                <w:sz w:val="19"/>
                <w:szCs w:val="19"/>
              </w:rPr>
              <w:t xml:space="preserve"> </w:t>
            </w:r>
            <w:r>
              <w:rPr>
                <w:spacing w:val="10"/>
                <w:sz w:val="19"/>
                <w:szCs w:val="19"/>
              </w:rPr>
              <w:t>变化，属于上述矿产资源规划可调整情形，应编</w:t>
            </w:r>
            <w:r>
              <w:rPr>
                <w:spacing w:val="15"/>
                <w:sz w:val="19"/>
                <w:szCs w:val="19"/>
              </w:rPr>
              <w:t xml:space="preserve"> </w:t>
            </w:r>
            <w:r>
              <w:rPr>
                <w:spacing w:val="10"/>
                <w:sz w:val="19"/>
                <w:szCs w:val="19"/>
              </w:rPr>
              <w:t>制规划补充环境影响报告书，不属于重新编制规</w:t>
            </w:r>
            <w:r>
              <w:rPr>
                <w:spacing w:val="15"/>
                <w:sz w:val="19"/>
                <w:szCs w:val="19"/>
              </w:rPr>
              <w:t xml:space="preserve"> </w:t>
            </w:r>
            <w:r>
              <w:rPr>
                <w:spacing w:val="8"/>
                <w:sz w:val="19"/>
                <w:szCs w:val="19"/>
              </w:rPr>
              <w:t>划环境影响报告书情形。符合。</w:t>
            </w:r>
          </w:p>
        </w:tc>
        <w:tc>
          <w:tcPr>
            <w:tcW w:w="1897" w:type="dxa"/>
            <w:tcBorders>
              <w:right w:val="single" w:color="000000" w:sz="10" w:space="0"/>
            </w:tcBorders>
            <w:vAlign w:val="top"/>
          </w:tcPr>
          <w:p w14:paraId="322AA5A5">
            <w:pPr>
              <w:spacing w:line="259" w:lineRule="auto"/>
              <w:rPr>
                <w:rFonts w:ascii="Arial"/>
                <w:sz w:val="21"/>
              </w:rPr>
            </w:pPr>
          </w:p>
          <w:p w14:paraId="6D7601F7">
            <w:pPr>
              <w:spacing w:line="259" w:lineRule="auto"/>
              <w:rPr>
                <w:rFonts w:ascii="Arial"/>
                <w:sz w:val="21"/>
              </w:rPr>
            </w:pPr>
          </w:p>
          <w:p w14:paraId="5A222299">
            <w:pPr>
              <w:spacing w:line="259" w:lineRule="auto"/>
              <w:rPr>
                <w:rFonts w:ascii="Arial"/>
                <w:sz w:val="21"/>
              </w:rPr>
            </w:pPr>
          </w:p>
          <w:p w14:paraId="3ACF8B2D">
            <w:pPr>
              <w:spacing w:line="259" w:lineRule="auto"/>
              <w:rPr>
                <w:rFonts w:ascii="Arial"/>
                <w:sz w:val="21"/>
              </w:rPr>
            </w:pPr>
          </w:p>
          <w:p w14:paraId="2934F8EF">
            <w:pPr>
              <w:spacing w:line="259" w:lineRule="auto"/>
              <w:rPr>
                <w:rFonts w:ascii="Arial"/>
                <w:sz w:val="21"/>
              </w:rPr>
            </w:pPr>
          </w:p>
          <w:p w14:paraId="29C199DC">
            <w:pPr>
              <w:spacing w:line="259" w:lineRule="auto"/>
              <w:rPr>
                <w:rFonts w:ascii="Arial"/>
                <w:sz w:val="21"/>
              </w:rPr>
            </w:pPr>
          </w:p>
          <w:p w14:paraId="09621E5A">
            <w:pPr>
              <w:spacing w:line="259" w:lineRule="auto"/>
              <w:rPr>
                <w:rFonts w:ascii="Arial"/>
                <w:sz w:val="21"/>
              </w:rPr>
            </w:pPr>
          </w:p>
          <w:p w14:paraId="67DE5306">
            <w:pPr>
              <w:spacing w:before="55" w:line="199" w:lineRule="auto"/>
              <w:ind w:left="949"/>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r>
      <w:tr w14:paraId="036F85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8" w:hRule="atLeast"/>
        </w:trPr>
        <w:tc>
          <w:tcPr>
            <w:tcW w:w="501" w:type="dxa"/>
            <w:tcBorders>
              <w:left w:val="single" w:color="000000" w:sz="10" w:space="0"/>
            </w:tcBorders>
            <w:vAlign w:val="top"/>
          </w:tcPr>
          <w:p w14:paraId="6AA4A959">
            <w:pPr>
              <w:spacing w:line="270" w:lineRule="auto"/>
              <w:rPr>
                <w:rFonts w:ascii="Arial"/>
                <w:sz w:val="21"/>
              </w:rPr>
            </w:pPr>
          </w:p>
          <w:p w14:paraId="1B741041">
            <w:pPr>
              <w:spacing w:line="270" w:lineRule="auto"/>
              <w:rPr>
                <w:rFonts w:ascii="Arial"/>
                <w:sz w:val="21"/>
              </w:rPr>
            </w:pPr>
          </w:p>
          <w:p w14:paraId="2C2AECA5">
            <w:pPr>
              <w:spacing w:before="55" w:line="195" w:lineRule="auto"/>
              <w:ind w:left="187"/>
              <w:rPr>
                <w:rFonts w:ascii="Times New Roman" w:hAnsi="Times New Roman" w:eastAsia="Times New Roman" w:cs="Times New Roman"/>
                <w:sz w:val="19"/>
                <w:szCs w:val="19"/>
              </w:rPr>
            </w:pPr>
            <w:r>
              <w:rPr>
                <w:rFonts w:ascii="Times New Roman" w:hAnsi="Times New Roman" w:eastAsia="Times New Roman" w:cs="Times New Roman"/>
                <w:sz w:val="19"/>
                <w:szCs w:val="19"/>
              </w:rPr>
              <w:t>2</w:t>
            </w:r>
          </w:p>
        </w:tc>
        <w:tc>
          <w:tcPr>
            <w:tcW w:w="1744" w:type="dxa"/>
            <w:vAlign w:val="top"/>
          </w:tcPr>
          <w:p w14:paraId="6D1B89EA">
            <w:pPr>
              <w:pStyle w:val="6"/>
              <w:spacing w:before="45" w:line="252" w:lineRule="auto"/>
              <w:ind w:left="74" w:right="80" w:hanging="1"/>
              <w:jc w:val="both"/>
              <w:rPr>
                <w:rFonts w:ascii="Times New Roman" w:hAnsi="Times New Roman" w:eastAsia="Times New Roman" w:cs="Times New Roman"/>
                <w:sz w:val="19"/>
                <w:szCs w:val="19"/>
              </w:rPr>
            </w:pPr>
            <w:r>
              <w:rPr>
                <w:spacing w:val="8"/>
                <w:sz w:val="19"/>
                <w:szCs w:val="19"/>
              </w:rPr>
              <w:t>《重庆市公益林管</w:t>
            </w:r>
            <w:r>
              <w:rPr>
                <w:sz w:val="19"/>
                <w:szCs w:val="19"/>
              </w:rPr>
              <w:t xml:space="preserve"> </w:t>
            </w:r>
            <w:r>
              <w:rPr>
                <w:spacing w:val="7"/>
                <w:sz w:val="19"/>
                <w:szCs w:val="19"/>
              </w:rPr>
              <w:t>理办法》（重庆市</w:t>
            </w:r>
            <w:r>
              <w:rPr>
                <w:spacing w:val="6"/>
                <w:sz w:val="19"/>
                <w:szCs w:val="19"/>
              </w:rPr>
              <w:t xml:space="preserve"> </w:t>
            </w:r>
            <w:r>
              <w:rPr>
                <w:spacing w:val="8"/>
                <w:sz w:val="19"/>
                <w:szCs w:val="19"/>
              </w:rPr>
              <w:t>人民政府令第</w:t>
            </w:r>
            <w:r>
              <w:rPr>
                <w:spacing w:val="-35"/>
                <w:sz w:val="19"/>
                <w:szCs w:val="19"/>
              </w:rPr>
              <w:t xml:space="preserve"> </w:t>
            </w:r>
            <w:r>
              <w:rPr>
                <w:rFonts w:ascii="Times New Roman" w:hAnsi="Times New Roman" w:eastAsia="Times New Roman" w:cs="Times New Roman"/>
                <w:spacing w:val="8"/>
                <w:sz w:val="19"/>
                <w:szCs w:val="19"/>
              </w:rPr>
              <w:t>312</w:t>
            </w:r>
          </w:p>
          <w:p w14:paraId="5B1C56C7">
            <w:pPr>
              <w:pStyle w:val="6"/>
              <w:spacing w:line="231" w:lineRule="auto"/>
              <w:ind w:left="56"/>
              <w:rPr>
                <w:rFonts w:ascii="Times New Roman" w:hAnsi="Times New Roman" w:eastAsia="Times New Roman" w:cs="Times New Roman"/>
                <w:sz w:val="19"/>
                <w:szCs w:val="19"/>
              </w:rPr>
            </w:pPr>
            <w:r>
              <w:rPr>
                <w:spacing w:val="-1"/>
                <w:sz w:val="19"/>
                <w:szCs w:val="19"/>
              </w:rPr>
              <w:t>号，</w:t>
            </w:r>
            <w:r>
              <w:rPr>
                <w:rFonts w:ascii="Times New Roman" w:hAnsi="Times New Roman" w:eastAsia="Times New Roman" w:cs="Times New Roman"/>
                <w:spacing w:val="-1"/>
                <w:sz w:val="19"/>
                <w:szCs w:val="19"/>
              </w:rPr>
              <w:t>2017</w:t>
            </w:r>
            <w:r>
              <w:rPr>
                <w:rFonts w:ascii="Times New Roman" w:hAnsi="Times New Roman" w:eastAsia="Times New Roman" w:cs="Times New Roman"/>
                <w:spacing w:val="27"/>
                <w:sz w:val="19"/>
                <w:szCs w:val="19"/>
              </w:rPr>
              <w:t xml:space="preserve"> </w:t>
            </w:r>
            <w:r>
              <w:rPr>
                <w:spacing w:val="-1"/>
                <w:sz w:val="19"/>
                <w:szCs w:val="19"/>
              </w:rPr>
              <w:t>年</w:t>
            </w:r>
            <w:r>
              <w:rPr>
                <w:spacing w:val="-36"/>
                <w:sz w:val="19"/>
                <w:szCs w:val="19"/>
              </w:rPr>
              <w:t xml:space="preserve"> </w:t>
            </w:r>
            <w:r>
              <w:rPr>
                <w:rFonts w:ascii="Times New Roman" w:hAnsi="Times New Roman" w:eastAsia="Times New Roman" w:cs="Times New Roman"/>
                <w:spacing w:val="-1"/>
                <w:sz w:val="19"/>
                <w:szCs w:val="19"/>
              </w:rPr>
              <w:t>3</w:t>
            </w:r>
            <w:r>
              <w:rPr>
                <w:rFonts w:ascii="Times New Roman" w:hAnsi="Times New Roman" w:eastAsia="Times New Roman" w:cs="Times New Roman"/>
                <w:spacing w:val="24"/>
                <w:w w:val="101"/>
                <w:sz w:val="19"/>
                <w:szCs w:val="19"/>
              </w:rPr>
              <w:t xml:space="preserve"> </w:t>
            </w:r>
            <w:r>
              <w:rPr>
                <w:spacing w:val="-1"/>
                <w:sz w:val="19"/>
                <w:szCs w:val="19"/>
              </w:rPr>
              <w:t>月</w:t>
            </w:r>
            <w:r>
              <w:rPr>
                <w:spacing w:val="-22"/>
                <w:sz w:val="19"/>
                <w:szCs w:val="19"/>
              </w:rPr>
              <w:t xml:space="preserve"> </w:t>
            </w:r>
            <w:r>
              <w:rPr>
                <w:rFonts w:ascii="Times New Roman" w:hAnsi="Times New Roman" w:eastAsia="Times New Roman" w:cs="Times New Roman"/>
                <w:spacing w:val="-1"/>
                <w:sz w:val="19"/>
                <w:szCs w:val="19"/>
              </w:rPr>
              <w:t>1</w:t>
            </w:r>
          </w:p>
          <w:p w14:paraId="7EAAE8FD">
            <w:pPr>
              <w:pStyle w:val="6"/>
              <w:spacing w:before="21" w:line="200" w:lineRule="auto"/>
              <w:ind w:left="415"/>
              <w:rPr>
                <w:sz w:val="19"/>
                <w:szCs w:val="19"/>
              </w:rPr>
            </w:pPr>
            <w:r>
              <w:rPr>
                <w:spacing w:val="-4"/>
                <w:sz w:val="19"/>
                <w:szCs w:val="19"/>
              </w:rPr>
              <w:t>日起施行）</w:t>
            </w:r>
          </w:p>
        </w:tc>
        <w:tc>
          <w:tcPr>
            <w:tcW w:w="5943" w:type="dxa"/>
            <w:vAlign w:val="top"/>
          </w:tcPr>
          <w:p w14:paraId="4F5971FD">
            <w:pPr>
              <w:pStyle w:val="6"/>
              <w:spacing w:before="302" w:line="231" w:lineRule="auto"/>
              <w:ind w:left="519"/>
              <w:rPr>
                <w:sz w:val="19"/>
                <w:szCs w:val="19"/>
              </w:rPr>
            </w:pPr>
            <w:r>
              <w:rPr>
                <w:spacing w:val="8"/>
                <w:sz w:val="19"/>
                <w:szCs w:val="19"/>
              </w:rPr>
              <w:t>第二条  公益林分为国家级公益林和地方公益林。</w:t>
            </w:r>
          </w:p>
          <w:p w14:paraId="71B7E137">
            <w:pPr>
              <w:pStyle w:val="6"/>
              <w:spacing w:before="21" w:line="241" w:lineRule="auto"/>
              <w:ind w:left="55" w:firstLine="407"/>
              <w:rPr>
                <w:sz w:val="19"/>
                <w:szCs w:val="19"/>
              </w:rPr>
            </w:pPr>
            <w:r>
              <w:rPr>
                <w:spacing w:val="5"/>
                <w:sz w:val="19"/>
                <w:szCs w:val="19"/>
              </w:rPr>
              <w:t>第十九条  建设工程应当不占或者少占公益林林地。确需占用、</w:t>
            </w:r>
            <w:r>
              <w:rPr>
                <w:spacing w:val="8"/>
                <w:sz w:val="19"/>
                <w:szCs w:val="19"/>
              </w:rPr>
              <w:t xml:space="preserve"> 征收公益林林地的，应当依法办理用地审核、林木采伐审批手续。</w:t>
            </w:r>
          </w:p>
        </w:tc>
        <w:tc>
          <w:tcPr>
            <w:tcW w:w="4386" w:type="dxa"/>
            <w:vAlign w:val="top"/>
          </w:tcPr>
          <w:p w14:paraId="70E6A1D6">
            <w:pPr>
              <w:pStyle w:val="6"/>
              <w:spacing w:before="176" w:line="251" w:lineRule="auto"/>
              <w:ind w:left="56" w:right="41" w:firstLine="370"/>
              <w:jc w:val="both"/>
              <w:rPr>
                <w:sz w:val="19"/>
                <w:szCs w:val="19"/>
              </w:rPr>
            </w:pPr>
            <w:r>
              <w:rPr>
                <w:spacing w:val="7"/>
                <w:sz w:val="19"/>
                <w:szCs w:val="19"/>
              </w:rPr>
              <w:t>本次评价的</w:t>
            </w:r>
            <w:r>
              <w:rPr>
                <w:spacing w:val="-43"/>
                <w:sz w:val="19"/>
                <w:szCs w:val="19"/>
              </w:rPr>
              <w:t xml:space="preserve"> </w:t>
            </w:r>
            <w:r>
              <w:rPr>
                <w:rFonts w:ascii="Times New Roman" w:hAnsi="Times New Roman" w:eastAsia="Times New Roman" w:cs="Times New Roman"/>
                <w:spacing w:val="7"/>
                <w:sz w:val="19"/>
                <w:szCs w:val="19"/>
              </w:rPr>
              <w:t xml:space="preserve">3 </w:t>
            </w:r>
            <w:r>
              <w:rPr>
                <w:spacing w:val="7"/>
                <w:sz w:val="19"/>
                <w:szCs w:val="19"/>
              </w:rPr>
              <w:t>个勘查区块和</w:t>
            </w:r>
            <w:r>
              <w:rPr>
                <w:rFonts w:ascii="Times New Roman" w:hAnsi="Times New Roman" w:eastAsia="Times New Roman" w:cs="Times New Roman"/>
                <w:spacing w:val="7"/>
                <w:sz w:val="19"/>
                <w:szCs w:val="19"/>
              </w:rPr>
              <w:t xml:space="preserve">1 </w:t>
            </w:r>
            <w:r>
              <w:rPr>
                <w:spacing w:val="7"/>
                <w:sz w:val="19"/>
                <w:szCs w:val="19"/>
              </w:rPr>
              <w:t>个开采区块开采</w:t>
            </w:r>
            <w:r>
              <w:rPr>
                <w:sz w:val="19"/>
                <w:szCs w:val="19"/>
              </w:rPr>
              <w:t xml:space="preserve"> </w:t>
            </w:r>
            <w:r>
              <w:rPr>
                <w:spacing w:val="29"/>
                <w:sz w:val="19"/>
                <w:szCs w:val="19"/>
              </w:rPr>
              <w:t>区块与一级级国家级公益林均无重叠</w:t>
            </w:r>
            <w:r>
              <w:rPr>
                <w:spacing w:val="-25"/>
                <w:sz w:val="19"/>
                <w:szCs w:val="19"/>
              </w:rPr>
              <w:t xml:space="preserve"> </w:t>
            </w:r>
            <w:r>
              <w:rPr>
                <w:spacing w:val="29"/>
                <w:sz w:val="19"/>
                <w:szCs w:val="19"/>
              </w:rPr>
              <w:t>，</w:t>
            </w:r>
            <w:r>
              <w:rPr>
                <w:spacing w:val="-45"/>
                <w:sz w:val="19"/>
                <w:szCs w:val="19"/>
              </w:rPr>
              <w:t xml:space="preserve"> </w:t>
            </w:r>
            <w:r>
              <w:rPr>
                <w:spacing w:val="29"/>
                <w:sz w:val="19"/>
                <w:szCs w:val="19"/>
              </w:rPr>
              <w:t>其中</w:t>
            </w:r>
            <w:r>
              <w:rPr>
                <w:sz w:val="19"/>
                <w:szCs w:val="19"/>
              </w:rPr>
              <w:t xml:space="preserve"> </w:t>
            </w:r>
            <w:r>
              <w:rPr>
                <w:rFonts w:ascii="Times New Roman" w:hAnsi="Times New Roman" w:eastAsia="Times New Roman" w:cs="Times New Roman"/>
                <w:sz w:val="19"/>
                <w:szCs w:val="19"/>
              </w:rPr>
              <w:t>KQ</w:t>
            </w:r>
            <w:r>
              <w:rPr>
                <w:rFonts w:ascii="Times New Roman" w:hAnsi="Times New Roman" w:eastAsia="Times New Roman" w:cs="Times New Roman"/>
                <w:spacing w:val="8"/>
                <w:sz w:val="19"/>
                <w:szCs w:val="19"/>
              </w:rPr>
              <w:t>004</w:t>
            </w:r>
            <w:r>
              <w:rPr>
                <w:rFonts w:ascii="Times New Roman" w:hAnsi="Times New Roman" w:eastAsia="Times New Roman" w:cs="Times New Roman"/>
                <w:spacing w:val="31"/>
                <w:w w:val="101"/>
                <w:sz w:val="19"/>
                <w:szCs w:val="19"/>
              </w:rPr>
              <w:t xml:space="preserve"> </w:t>
            </w:r>
            <w:r>
              <w:rPr>
                <w:spacing w:val="8"/>
                <w:sz w:val="19"/>
                <w:szCs w:val="19"/>
              </w:rPr>
              <w:t>部分占用二级国家级公益林地，</w:t>
            </w:r>
            <w:r>
              <w:rPr>
                <w:rFonts w:ascii="Times New Roman" w:hAnsi="Times New Roman" w:eastAsia="Times New Roman" w:cs="Times New Roman"/>
                <w:sz w:val="19"/>
                <w:szCs w:val="19"/>
              </w:rPr>
              <w:t>KQ</w:t>
            </w:r>
            <w:r>
              <w:rPr>
                <w:rFonts w:ascii="Times New Roman" w:hAnsi="Times New Roman" w:eastAsia="Times New Roman" w:cs="Times New Roman"/>
                <w:spacing w:val="8"/>
                <w:sz w:val="19"/>
                <w:szCs w:val="19"/>
              </w:rPr>
              <w:t>009</w:t>
            </w:r>
            <w:r>
              <w:rPr>
                <w:rFonts w:ascii="Times New Roman" w:hAnsi="Times New Roman" w:eastAsia="Times New Roman" w:cs="Times New Roman"/>
                <w:spacing w:val="18"/>
                <w:w w:val="101"/>
                <w:sz w:val="19"/>
                <w:szCs w:val="19"/>
              </w:rPr>
              <w:t xml:space="preserve"> </w:t>
            </w:r>
            <w:r>
              <w:rPr>
                <w:spacing w:val="8"/>
                <w:sz w:val="19"/>
                <w:szCs w:val="19"/>
              </w:rPr>
              <w:t>部</w:t>
            </w:r>
            <w:r>
              <w:rPr>
                <w:sz w:val="19"/>
                <w:szCs w:val="19"/>
              </w:rPr>
              <w:t xml:space="preserve"> </w:t>
            </w:r>
            <w:r>
              <w:rPr>
                <w:spacing w:val="8"/>
                <w:sz w:val="19"/>
                <w:szCs w:val="19"/>
              </w:rPr>
              <w:t>分占用地方公益林。</w:t>
            </w:r>
          </w:p>
        </w:tc>
        <w:tc>
          <w:tcPr>
            <w:tcW w:w="1897" w:type="dxa"/>
            <w:tcBorders>
              <w:right w:val="single" w:color="000000" w:sz="10" w:space="0"/>
            </w:tcBorders>
            <w:vAlign w:val="top"/>
          </w:tcPr>
          <w:p w14:paraId="4B2B1E51">
            <w:pPr>
              <w:spacing w:line="368" w:lineRule="auto"/>
              <w:rPr>
                <w:rFonts w:ascii="Arial"/>
                <w:sz w:val="21"/>
              </w:rPr>
            </w:pPr>
          </w:p>
          <w:p w14:paraId="71C72DBF">
            <w:pPr>
              <w:pStyle w:val="6"/>
              <w:spacing w:before="61" w:line="231" w:lineRule="auto"/>
              <w:ind w:left="290"/>
              <w:rPr>
                <w:sz w:val="19"/>
                <w:szCs w:val="19"/>
              </w:rPr>
            </w:pPr>
            <w:r>
              <w:rPr>
                <w:spacing w:val="7"/>
                <w:sz w:val="19"/>
                <w:szCs w:val="19"/>
              </w:rPr>
              <w:t>优化调整建议见</w:t>
            </w:r>
          </w:p>
          <w:p w14:paraId="40DABF25">
            <w:pPr>
              <w:pStyle w:val="6"/>
              <w:spacing w:before="20" w:line="231" w:lineRule="auto"/>
              <w:ind w:left="456"/>
              <w:rPr>
                <w:sz w:val="19"/>
                <w:szCs w:val="19"/>
              </w:rPr>
            </w:pPr>
            <w:r>
              <w:rPr>
                <w:rFonts w:ascii="Times New Roman" w:hAnsi="Times New Roman" w:eastAsia="Times New Roman" w:cs="Times New Roman"/>
                <w:spacing w:val="2"/>
                <w:sz w:val="19"/>
                <w:szCs w:val="19"/>
              </w:rPr>
              <w:t>2.3.5</w:t>
            </w:r>
            <w:r>
              <w:rPr>
                <w:rFonts w:ascii="Times New Roman" w:hAnsi="Times New Roman" w:eastAsia="Times New Roman" w:cs="Times New Roman"/>
                <w:spacing w:val="18"/>
                <w:sz w:val="19"/>
                <w:szCs w:val="19"/>
              </w:rPr>
              <w:t xml:space="preserve"> </w:t>
            </w:r>
            <w:r>
              <w:rPr>
                <w:spacing w:val="2"/>
                <w:sz w:val="19"/>
                <w:szCs w:val="19"/>
              </w:rPr>
              <w:t>章节。</w:t>
            </w:r>
          </w:p>
        </w:tc>
      </w:tr>
      <w:tr w14:paraId="19B3EC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95" w:hRule="atLeast"/>
        </w:trPr>
        <w:tc>
          <w:tcPr>
            <w:tcW w:w="501" w:type="dxa"/>
            <w:tcBorders>
              <w:left w:val="single" w:color="000000" w:sz="10" w:space="0"/>
              <w:bottom w:val="single" w:color="000000" w:sz="10" w:space="0"/>
            </w:tcBorders>
            <w:vAlign w:val="top"/>
          </w:tcPr>
          <w:p w14:paraId="64BA1D67">
            <w:pPr>
              <w:spacing w:line="309" w:lineRule="auto"/>
              <w:rPr>
                <w:rFonts w:ascii="Arial"/>
                <w:sz w:val="21"/>
              </w:rPr>
            </w:pPr>
          </w:p>
          <w:p w14:paraId="0BACA8E7">
            <w:pPr>
              <w:spacing w:line="310" w:lineRule="auto"/>
              <w:rPr>
                <w:rFonts w:ascii="Arial"/>
                <w:sz w:val="21"/>
              </w:rPr>
            </w:pPr>
          </w:p>
          <w:p w14:paraId="4BCAD3E4">
            <w:pPr>
              <w:spacing w:line="310" w:lineRule="auto"/>
              <w:rPr>
                <w:rFonts w:ascii="Arial"/>
                <w:sz w:val="21"/>
              </w:rPr>
            </w:pPr>
          </w:p>
          <w:p w14:paraId="14AABF10">
            <w:pPr>
              <w:spacing w:before="54" w:line="195" w:lineRule="auto"/>
              <w:ind w:left="191"/>
              <w:rPr>
                <w:rFonts w:ascii="Times New Roman" w:hAnsi="Times New Roman" w:eastAsia="Times New Roman" w:cs="Times New Roman"/>
                <w:sz w:val="19"/>
                <w:szCs w:val="19"/>
              </w:rPr>
            </w:pPr>
            <w:r>
              <w:rPr>
                <w:rFonts w:ascii="Times New Roman" w:hAnsi="Times New Roman" w:eastAsia="Times New Roman" w:cs="Times New Roman"/>
                <w:sz w:val="19"/>
                <w:szCs w:val="19"/>
              </w:rPr>
              <w:t>3</w:t>
            </w:r>
          </w:p>
        </w:tc>
        <w:tc>
          <w:tcPr>
            <w:tcW w:w="1744" w:type="dxa"/>
            <w:tcBorders>
              <w:bottom w:val="single" w:color="000000" w:sz="10" w:space="0"/>
            </w:tcBorders>
            <w:vAlign w:val="top"/>
          </w:tcPr>
          <w:p w14:paraId="0EBEC8E8">
            <w:pPr>
              <w:spacing w:line="373" w:lineRule="auto"/>
              <w:rPr>
                <w:rFonts w:ascii="Arial"/>
                <w:sz w:val="21"/>
              </w:rPr>
            </w:pPr>
          </w:p>
          <w:p w14:paraId="6BE72833">
            <w:pPr>
              <w:pStyle w:val="6"/>
              <w:spacing w:before="62" w:line="251" w:lineRule="auto"/>
              <w:ind w:left="54" w:right="59" w:firstLine="18"/>
              <w:jc w:val="both"/>
              <w:rPr>
                <w:sz w:val="19"/>
                <w:szCs w:val="19"/>
              </w:rPr>
            </w:pPr>
            <w:r>
              <w:rPr>
                <w:spacing w:val="8"/>
                <w:sz w:val="19"/>
                <w:szCs w:val="19"/>
              </w:rPr>
              <w:t>《重庆市水污染防</w:t>
            </w:r>
            <w:r>
              <w:rPr>
                <w:sz w:val="19"/>
                <w:szCs w:val="19"/>
              </w:rPr>
              <w:t xml:space="preserve"> </w:t>
            </w:r>
            <w:r>
              <w:rPr>
                <w:spacing w:val="3"/>
                <w:sz w:val="19"/>
                <w:szCs w:val="19"/>
              </w:rPr>
              <w:t>治条例》（</w:t>
            </w:r>
            <w:r>
              <w:rPr>
                <w:rFonts w:ascii="Times New Roman" w:hAnsi="Times New Roman" w:eastAsia="Times New Roman" w:cs="Times New Roman"/>
                <w:spacing w:val="3"/>
                <w:sz w:val="19"/>
                <w:szCs w:val="19"/>
              </w:rPr>
              <w:t>2020</w:t>
            </w:r>
            <w:r>
              <w:rPr>
                <w:rFonts w:ascii="Times New Roman" w:hAnsi="Times New Roman" w:eastAsia="Times New Roman" w:cs="Times New Roman"/>
                <w:spacing w:val="26"/>
                <w:w w:val="101"/>
                <w:sz w:val="19"/>
                <w:szCs w:val="19"/>
              </w:rPr>
              <w:t xml:space="preserve"> </w:t>
            </w:r>
            <w:r>
              <w:rPr>
                <w:spacing w:val="3"/>
                <w:sz w:val="19"/>
                <w:szCs w:val="19"/>
              </w:rPr>
              <w:t>年</w:t>
            </w:r>
            <w:r>
              <w:rPr>
                <w:sz w:val="19"/>
                <w:szCs w:val="19"/>
              </w:rPr>
              <w:t xml:space="preserve"> </w:t>
            </w:r>
            <w:r>
              <w:rPr>
                <w:rFonts w:ascii="Times New Roman" w:hAnsi="Times New Roman" w:eastAsia="Times New Roman" w:cs="Times New Roman"/>
                <w:spacing w:val="5"/>
                <w:sz w:val="19"/>
                <w:szCs w:val="19"/>
              </w:rPr>
              <w:t>7</w:t>
            </w:r>
            <w:r>
              <w:rPr>
                <w:rFonts w:ascii="Times New Roman" w:hAnsi="Times New Roman" w:eastAsia="Times New Roman" w:cs="Times New Roman"/>
                <w:spacing w:val="30"/>
                <w:sz w:val="19"/>
                <w:szCs w:val="19"/>
              </w:rPr>
              <w:t xml:space="preserve"> </w:t>
            </w:r>
            <w:r>
              <w:rPr>
                <w:spacing w:val="5"/>
                <w:sz w:val="19"/>
                <w:szCs w:val="19"/>
              </w:rPr>
              <w:t>月</w:t>
            </w:r>
            <w:r>
              <w:rPr>
                <w:spacing w:val="-34"/>
                <w:sz w:val="19"/>
                <w:szCs w:val="19"/>
              </w:rPr>
              <w:t xml:space="preserve"> </w:t>
            </w:r>
            <w:r>
              <w:rPr>
                <w:rFonts w:ascii="Times New Roman" w:hAnsi="Times New Roman" w:eastAsia="Times New Roman" w:cs="Times New Roman"/>
                <w:spacing w:val="5"/>
                <w:sz w:val="19"/>
                <w:szCs w:val="19"/>
              </w:rPr>
              <w:t xml:space="preserve">30  </w:t>
            </w:r>
            <w:r>
              <w:rPr>
                <w:spacing w:val="5"/>
                <w:sz w:val="19"/>
                <w:szCs w:val="19"/>
              </w:rPr>
              <w:t>日发布，</w:t>
            </w:r>
          </w:p>
          <w:p w14:paraId="659720BF">
            <w:pPr>
              <w:pStyle w:val="6"/>
              <w:spacing w:before="4" w:line="231" w:lineRule="auto"/>
              <w:ind w:left="88"/>
              <w:rPr>
                <w:sz w:val="19"/>
                <w:szCs w:val="19"/>
              </w:rPr>
            </w:pPr>
            <w:r>
              <w:rPr>
                <w:rFonts w:ascii="Times New Roman" w:hAnsi="Times New Roman" w:eastAsia="Times New Roman" w:cs="Times New Roman"/>
                <w:spacing w:val="-4"/>
                <w:sz w:val="19"/>
                <w:szCs w:val="19"/>
              </w:rPr>
              <w:t>2020</w:t>
            </w:r>
            <w:r>
              <w:rPr>
                <w:rFonts w:ascii="Times New Roman" w:hAnsi="Times New Roman" w:eastAsia="Times New Roman" w:cs="Times New Roman"/>
                <w:spacing w:val="22"/>
                <w:sz w:val="19"/>
                <w:szCs w:val="19"/>
              </w:rPr>
              <w:t xml:space="preserve"> </w:t>
            </w:r>
            <w:r>
              <w:rPr>
                <w:spacing w:val="-4"/>
                <w:sz w:val="19"/>
                <w:szCs w:val="19"/>
              </w:rPr>
              <w:t>年</w:t>
            </w:r>
            <w:r>
              <w:rPr>
                <w:spacing w:val="-21"/>
                <w:sz w:val="19"/>
                <w:szCs w:val="19"/>
              </w:rPr>
              <w:t xml:space="preserve"> </w:t>
            </w:r>
            <w:r>
              <w:rPr>
                <w:rFonts w:ascii="Times New Roman" w:hAnsi="Times New Roman" w:eastAsia="Times New Roman" w:cs="Times New Roman"/>
                <w:spacing w:val="-4"/>
                <w:sz w:val="19"/>
                <w:szCs w:val="19"/>
              </w:rPr>
              <w:t>10</w:t>
            </w:r>
            <w:r>
              <w:rPr>
                <w:rFonts w:ascii="Times New Roman" w:hAnsi="Times New Roman" w:eastAsia="Times New Roman" w:cs="Times New Roman"/>
                <w:spacing w:val="24"/>
                <w:sz w:val="19"/>
                <w:szCs w:val="19"/>
              </w:rPr>
              <w:t xml:space="preserve"> </w:t>
            </w:r>
            <w:r>
              <w:rPr>
                <w:spacing w:val="-4"/>
                <w:sz w:val="19"/>
                <w:szCs w:val="19"/>
              </w:rPr>
              <w:t>月</w:t>
            </w:r>
            <w:r>
              <w:rPr>
                <w:spacing w:val="-21"/>
                <w:sz w:val="19"/>
                <w:szCs w:val="19"/>
              </w:rPr>
              <w:t xml:space="preserve"> </w:t>
            </w:r>
            <w:r>
              <w:rPr>
                <w:rFonts w:ascii="Times New Roman" w:hAnsi="Times New Roman" w:eastAsia="Times New Roman" w:cs="Times New Roman"/>
                <w:spacing w:val="-4"/>
                <w:sz w:val="19"/>
                <w:szCs w:val="19"/>
              </w:rPr>
              <w:t>1</w:t>
            </w:r>
            <w:r>
              <w:rPr>
                <w:rFonts w:ascii="Times New Roman" w:hAnsi="Times New Roman" w:eastAsia="Times New Roman" w:cs="Times New Roman"/>
                <w:spacing w:val="6"/>
                <w:sz w:val="19"/>
                <w:szCs w:val="19"/>
              </w:rPr>
              <w:t xml:space="preserve">  </w:t>
            </w:r>
            <w:r>
              <w:rPr>
                <w:spacing w:val="-4"/>
                <w:sz w:val="19"/>
                <w:szCs w:val="19"/>
              </w:rPr>
              <w:t>日</w:t>
            </w:r>
          </w:p>
          <w:p w14:paraId="36903F1B">
            <w:pPr>
              <w:pStyle w:val="6"/>
              <w:spacing w:before="21" w:line="231" w:lineRule="auto"/>
              <w:ind w:left="472"/>
              <w:rPr>
                <w:sz w:val="19"/>
                <w:szCs w:val="19"/>
              </w:rPr>
            </w:pPr>
            <w:r>
              <w:rPr>
                <w:spacing w:val="3"/>
                <w:sz w:val="19"/>
                <w:szCs w:val="19"/>
              </w:rPr>
              <w:t>起实施）</w:t>
            </w:r>
          </w:p>
        </w:tc>
        <w:tc>
          <w:tcPr>
            <w:tcW w:w="5943" w:type="dxa"/>
            <w:tcBorders>
              <w:bottom w:val="single" w:color="000000" w:sz="10" w:space="0"/>
            </w:tcBorders>
            <w:vAlign w:val="top"/>
          </w:tcPr>
          <w:p w14:paraId="5C43F75D">
            <w:pPr>
              <w:pStyle w:val="6"/>
              <w:spacing w:before="46" w:line="252" w:lineRule="auto"/>
              <w:ind w:left="54" w:right="50" w:firstLine="409"/>
              <w:rPr>
                <w:sz w:val="19"/>
                <w:szCs w:val="19"/>
              </w:rPr>
            </w:pPr>
            <w:r>
              <w:rPr>
                <w:spacing w:val="7"/>
                <w:sz w:val="19"/>
                <w:szCs w:val="19"/>
              </w:rPr>
              <w:t>第五十四条 在饮用水水源一级保护区内，除遵守准保护区、二</w:t>
            </w:r>
            <w:r>
              <w:rPr>
                <w:spacing w:val="1"/>
                <w:sz w:val="19"/>
                <w:szCs w:val="19"/>
              </w:rPr>
              <w:t xml:space="preserve"> </w:t>
            </w:r>
            <w:r>
              <w:rPr>
                <w:spacing w:val="12"/>
                <w:sz w:val="19"/>
                <w:szCs w:val="19"/>
              </w:rPr>
              <w:t>级保护区管理规定外，还应当禁止下列行为</w:t>
            </w:r>
            <w:r>
              <w:rPr>
                <w:spacing w:val="-1"/>
                <w:sz w:val="19"/>
                <w:szCs w:val="19"/>
              </w:rPr>
              <w:t>：（</w:t>
            </w:r>
            <w:r>
              <w:rPr>
                <w:spacing w:val="12"/>
                <w:sz w:val="19"/>
                <w:szCs w:val="19"/>
              </w:rPr>
              <w:t>一）新建、改建、</w:t>
            </w:r>
            <w:r>
              <w:rPr>
                <w:sz w:val="19"/>
                <w:szCs w:val="19"/>
              </w:rPr>
              <w:t xml:space="preserve"> </w:t>
            </w:r>
            <w:r>
              <w:rPr>
                <w:spacing w:val="8"/>
                <w:sz w:val="19"/>
                <w:szCs w:val="19"/>
              </w:rPr>
              <w:t>扩建与供水设施和保护水源无关的建设项目；</w:t>
            </w:r>
          </w:p>
          <w:p w14:paraId="7D47E0B5">
            <w:pPr>
              <w:pStyle w:val="6"/>
              <w:spacing w:before="4" w:line="244" w:lineRule="auto"/>
              <w:ind w:left="54" w:right="50" w:firstLine="402"/>
              <w:jc w:val="both"/>
              <w:rPr>
                <w:sz w:val="19"/>
                <w:szCs w:val="19"/>
              </w:rPr>
            </w:pPr>
            <w:r>
              <w:rPr>
                <w:spacing w:val="11"/>
                <w:sz w:val="19"/>
                <w:szCs w:val="19"/>
              </w:rPr>
              <w:t>在饮用水水源二级保护区内，除遵守准保护区管理规定外，还</w:t>
            </w:r>
            <w:r>
              <w:rPr>
                <w:spacing w:val="2"/>
                <w:sz w:val="19"/>
                <w:szCs w:val="19"/>
              </w:rPr>
              <w:t xml:space="preserve"> </w:t>
            </w:r>
            <w:r>
              <w:rPr>
                <w:spacing w:val="12"/>
                <w:sz w:val="19"/>
                <w:szCs w:val="19"/>
              </w:rPr>
              <w:t>应当禁止下列行为</w:t>
            </w:r>
            <w:r>
              <w:rPr>
                <w:spacing w:val="-2"/>
                <w:sz w:val="19"/>
                <w:szCs w:val="19"/>
              </w:rPr>
              <w:t>：（</w:t>
            </w:r>
            <w:r>
              <w:rPr>
                <w:spacing w:val="12"/>
                <w:sz w:val="19"/>
                <w:szCs w:val="19"/>
              </w:rPr>
              <w:t>一）新建、改建、扩建排放污染物的建设项</w:t>
            </w:r>
            <w:r>
              <w:rPr>
                <w:spacing w:val="1"/>
                <w:sz w:val="19"/>
                <w:szCs w:val="19"/>
              </w:rPr>
              <w:t xml:space="preserve"> </w:t>
            </w:r>
            <w:r>
              <w:rPr>
                <w:spacing w:val="11"/>
                <w:sz w:val="19"/>
                <w:szCs w:val="19"/>
              </w:rPr>
              <w:t>目</w:t>
            </w:r>
            <w:r>
              <w:rPr>
                <w:spacing w:val="-14"/>
                <w:sz w:val="19"/>
                <w:szCs w:val="19"/>
              </w:rPr>
              <w:t>；（</w:t>
            </w:r>
            <w:r>
              <w:rPr>
                <w:spacing w:val="-43"/>
                <w:sz w:val="19"/>
                <w:szCs w:val="19"/>
              </w:rPr>
              <w:t xml:space="preserve"> </w:t>
            </w:r>
            <w:r>
              <w:rPr>
                <w:spacing w:val="11"/>
                <w:sz w:val="19"/>
                <w:szCs w:val="19"/>
              </w:rPr>
              <w:t>二）设置从事危险化学品、煤炭、矿砂、水泥等装卸作业的</w:t>
            </w:r>
            <w:r>
              <w:rPr>
                <w:sz w:val="19"/>
                <w:szCs w:val="19"/>
              </w:rPr>
              <w:t xml:space="preserve"> </w:t>
            </w:r>
            <w:r>
              <w:rPr>
                <w:spacing w:val="11"/>
                <w:sz w:val="19"/>
                <w:szCs w:val="19"/>
              </w:rPr>
              <w:t>货运码头、建筑物、构筑物</w:t>
            </w:r>
            <w:r>
              <w:rPr>
                <w:spacing w:val="-18"/>
                <w:sz w:val="19"/>
                <w:szCs w:val="19"/>
              </w:rPr>
              <w:t>；（</w:t>
            </w:r>
            <w:r>
              <w:rPr>
                <w:spacing w:val="-27"/>
                <w:sz w:val="19"/>
                <w:szCs w:val="19"/>
              </w:rPr>
              <w:t xml:space="preserve"> </w:t>
            </w:r>
            <w:r>
              <w:rPr>
                <w:spacing w:val="11"/>
                <w:sz w:val="19"/>
                <w:szCs w:val="19"/>
              </w:rPr>
              <w:t>四）从事采砂、</w:t>
            </w:r>
            <w:r>
              <w:rPr>
                <w:spacing w:val="10"/>
                <w:sz w:val="19"/>
                <w:szCs w:val="19"/>
              </w:rPr>
              <w:t>对水体有污染的水</w:t>
            </w:r>
            <w:r>
              <w:rPr>
                <w:sz w:val="19"/>
                <w:szCs w:val="19"/>
              </w:rPr>
              <w:t xml:space="preserve"> </w:t>
            </w:r>
            <w:r>
              <w:rPr>
                <w:spacing w:val="7"/>
                <w:sz w:val="19"/>
                <w:szCs w:val="19"/>
              </w:rPr>
              <w:t>产养殖、放养畜禽等活动；</w:t>
            </w:r>
          </w:p>
        </w:tc>
        <w:tc>
          <w:tcPr>
            <w:tcW w:w="4386" w:type="dxa"/>
            <w:tcBorders>
              <w:bottom w:val="single" w:color="000000" w:sz="10" w:space="0"/>
            </w:tcBorders>
            <w:vAlign w:val="top"/>
          </w:tcPr>
          <w:p w14:paraId="4AAE1529">
            <w:pPr>
              <w:spacing w:line="323" w:lineRule="auto"/>
              <w:rPr>
                <w:rFonts w:ascii="Arial"/>
                <w:sz w:val="21"/>
              </w:rPr>
            </w:pPr>
          </w:p>
          <w:p w14:paraId="05352FF5">
            <w:pPr>
              <w:spacing w:line="324" w:lineRule="auto"/>
              <w:rPr>
                <w:rFonts w:ascii="Arial"/>
                <w:sz w:val="21"/>
              </w:rPr>
            </w:pPr>
          </w:p>
          <w:p w14:paraId="2E2AFAD4">
            <w:pPr>
              <w:pStyle w:val="6"/>
              <w:spacing w:before="62" w:line="251" w:lineRule="auto"/>
              <w:ind w:left="122" w:right="97" w:firstLine="397"/>
              <w:rPr>
                <w:sz w:val="19"/>
                <w:szCs w:val="19"/>
              </w:rPr>
            </w:pPr>
            <w:r>
              <w:rPr>
                <w:spacing w:val="6"/>
                <w:sz w:val="19"/>
                <w:szCs w:val="19"/>
              </w:rPr>
              <w:t>本次评价的</w:t>
            </w:r>
            <w:r>
              <w:rPr>
                <w:spacing w:val="-43"/>
                <w:sz w:val="19"/>
                <w:szCs w:val="19"/>
              </w:rPr>
              <w:t xml:space="preserve"> </w:t>
            </w:r>
            <w:r>
              <w:rPr>
                <w:rFonts w:ascii="Times New Roman" w:hAnsi="Times New Roman" w:eastAsia="Times New Roman" w:cs="Times New Roman"/>
                <w:spacing w:val="6"/>
                <w:sz w:val="19"/>
                <w:szCs w:val="19"/>
              </w:rPr>
              <w:t xml:space="preserve">3 </w:t>
            </w:r>
            <w:r>
              <w:rPr>
                <w:spacing w:val="6"/>
                <w:sz w:val="19"/>
                <w:szCs w:val="19"/>
              </w:rPr>
              <w:t>个勘查区块和</w:t>
            </w:r>
            <w:r>
              <w:rPr>
                <w:spacing w:val="-26"/>
                <w:sz w:val="19"/>
                <w:szCs w:val="19"/>
              </w:rPr>
              <w:t xml:space="preserve"> </w:t>
            </w:r>
            <w:r>
              <w:rPr>
                <w:rFonts w:ascii="Times New Roman" w:hAnsi="Times New Roman" w:eastAsia="Times New Roman" w:cs="Times New Roman"/>
                <w:spacing w:val="6"/>
                <w:sz w:val="19"/>
                <w:szCs w:val="19"/>
              </w:rPr>
              <w:t xml:space="preserve">1 </w:t>
            </w:r>
            <w:r>
              <w:rPr>
                <w:spacing w:val="6"/>
                <w:sz w:val="19"/>
                <w:szCs w:val="19"/>
              </w:rPr>
              <w:t>个开采区块开</w:t>
            </w:r>
            <w:r>
              <w:rPr>
                <w:sz w:val="19"/>
                <w:szCs w:val="19"/>
              </w:rPr>
              <w:t xml:space="preserve"> </w:t>
            </w:r>
            <w:r>
              <w:rPr>
                <w:spacing w:val="8"/>
                <w:sz w:val="19"/>
                <w:szCs w:val="19"/>
              </w:rPr>
              <w:t>采区块均不占用饮用水源保护区。符合。</w:t>
            </w:r>
          </w:p>
        </w:tc>
        <w:tc>
          <w:tcPr>
            <w:tcW w:w="1897" w:type="dxa"/>
            <w:tcBorders>
              <w:bottom w:val="single" w:color="000000" w:sz="10" w:space="0"/>
              <w:right w:val="single" w:color="000000" w:sz="10" w:space="0"/>
            </w:tcBorders>
            <w:vAlign w:val="top"/>
          </w:tcPr>
          <w:p w14:paraId="30880F85">
            <w:pPr>
              <w:spacing w:line="308" w:lineRule="auto"/>
              <w:rPr>
                <w:rFonts w:ascii="Arial"/>
                <w:sz w:val="21"/>
              </w:rPr>
            </w:pPr>
          </w:p>
          <w:p w14:paraId="01F8E807">
            <w:pPr>
              <w:spacing w:line="308" w:lineRule="auto"/>
              <w:rPr>
                <w:rFonts w:ascii="Arial"/>
                <w:sz w:val="21"/>
              </w:rPr>
            </w:pPr>
          </w:p>
          <w:p w14:paraId="3F06FE70">
            <w:pPr>
              <w:spacing w:line="309" w:lineRule="auto"/>
              <w:rPr>
                <w:rFonts w:ascii="Arial"/>
                <w:sz w:val="21"/>
              </w:rPr>
            </w:pPr>
          </w:p>
          <w:p w14:paraId="657F2B32">
            <w:pPr>
              <w:spacing w:before="55" w:line="199" w:lineRule="auto"/>
              <w:ind w:left="923"/>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r>
    </w:tbl>
    <w:p w14:paraId="05F93913">
      <w:pPr>
        <w:pStyle w:val="2"/>
        <w:spacing w:line="220" w:lineRule="exact"/>
        <w:rPr>
          <w:sz w:val="19"/>
        </w:rPr>
      </w:pPr>
    </w:p>
    <w:p w14:paraId="6FF5DF57">
      <w:pPr>
        <w:spacing w:line="220" w:lineRule="exact"/>
        <w:rPr>
          <w:sz w:val="19"/>
          <w:szCs w:val="19"/>
        </w:rPr>
        <w:sectPr>
          <w:headerReference r:id="rId82" w:type="default"/>
          <w:footerReference r:id="rId83" w:type="default"/>
          <w:pgSz w:w="16839" w:h="11906"/>
          <w:pgMar w:top="1116" w:right="1023" w:bottom="1480" w:left="1317" w:header="683" w:footer="1318" w:gutter="0"/>
          <w:cols w:space="720" w:num="1"/>
        </w:sectPr>
      </w:pPr>
    </w:p>
    <w:p w14:paraId="0E381C85">
      <w:pPr>
        <w:spacing w:before="229"/>
      </w:pPr>
    </w:p>
    <w:tbl>
      <w:tblPr>
        <w:tblStyle w:val="5"/>
        <w:tblW w:w="1447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1"/>
        <w:gridCol w:w="1744"/>
        <w:gridCol w:w="5943"/>
        <w:gridCol w:w="4386"/>
        <w:gridCol w:w="1897"/>
      </w:tblGrid>
      <w:tr w14:paraId="6204F4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501" w:type="dxa"/>
            <w:vMerge w:val="restart"/>
            <w:tcBorders>
              <w:top w:val="single" w:color="000000" w:sz="10" w:space="0"/>
              <w:left w:val="single" w:color="000000" w:sz="10" w:space="0"/>
              <w:bottom w:val="nil"/>
            </w:tcBorders>
            <w:textDirection w:val="tbRlV"/>
            <w:vAlign w:val="top"/>
          </w:tcPr>
          <w:p w14:paraId="22C1A91D">
            <w:pPr>
              <w:pStyle w:val="6"/>
              <w:spacing w:before="153" w:line="210" w:lineRule="auto"/>
              <w:ind w:left="174"/>
              <w:rPr>
                <w:sz w:val="19"/>
                <w:szCs w:val="19"/>
              </w:rPr>
            </w:pPr>
            <w:r>
              <w:rPr>
                <w:spacing w:val="13"/>
                <w:sz w:val="19"/>
                <w:szCs w:val="19"/>
              </w:rPr>
              <w:t>序</w:t>
            </w:r>
            <w:r>
              <w:rPr>
                <w:spacing w:val="-40"/>
                <w:sz w:val="19"/>
                <w:szCs w:val="19"/>
              </w:rPr>
              <w:t xml:space="preserve"> </w:t>
            </w:r>
            <w:r>
              <w:rPr>
                <w:spacing w:val="13"/>
                <w:sz w:val="19"/>
                <w:szCs w:val="19"/>
              </w:rPr>
              <w:t>号</w:t>
            </w:r>
          </w:p>
        </w:tc>
        <w:tc>
          <w:tcPr>
            <w:tcW w:w="7687" w:type="dxa"/>
            <w:gridSpan w:val="2"/>
            <w:tcBorders>
              <w:top w:val="single" w:color="000000" w:sz="10" w:space="0"/>
            </w:tcBorders>
            <w:vAlign w:val="top"/>
          </w:tcPr>
          <w:p w14:paraId="7CCE7125">
            <w:pPr>
              <w:pStyle w:val="6"/>
              <w:spacing w:before="75" w:line="231" w:lineRule="auto"/>
              <w:ind w:left="2551"/>
              <w:rPr>
                <w:sz w:val="19"/>
                <w:szCs w:val="19"/>
              </w:rPr>
            </w:pPr>
            <w:r>
              <w:rPr>
                <w:spacing w:val="8"/>
                <w:sz w:val="19"/>
                <w:szCs w:val="19"/>
              </w:rPr>
              <w:t>上层位规划和主体功能区规划</w:t>
            </w:r>
          </w:p>
        </w:tc>
        <w:tc>
          <w:tcPr>
            <w:tcW w:w="4386" w:type="dxa"/>
            <w:vMerge w:val="restart"/>
            <w:tcBorders>
              <w:top w:val="single" w:color="000000" w:sz="10" w:space="0"/>
              <w:bottom w:val="nil"/>
            </w:tcBorders>
            <w:vAlign w:val="top"/>
          </w:tcPr>
          <w:p w14:paraId="03E098EF">
            <w:pPr>
              <w:spacing w:line="242" w:lineRule="auto"/>
              <w:rPr>
                <w:rFonts w:ascii="Arial"/>
                <w:sz w:val="21"/>
              </w:rPr>
            </w:pPr>
          </w:p>
          <w:p w14:paraId="1242FD08">
            <w:pPr>
              <w:pStyle w:val="6"/>
              <w:spacing w:before="62" w:line="229" w:lineRule="auto"/>
              <w:ind w:left="909"/>
              <w:rPr>
                <w:sz w:val="19"/>
                <w:szCs w:val="19"/>
              </w:rPr>
            </w:pPr>
            <w:r>
              <w:rPr>
                <w:spacing w:val="9"/>
                <w:sz w:val="19"/>
                <w:szCs w:val="19"/>
              </w:rPr>
              <w:t>本《规划调整》的符合性分析</w:t>
            </w:r>
          </w:p>
        </w:tc>
        <w:tc>
          <w:tcPr>
            <w:tcW w:w="1897" w:type="dxa"/>
            <w:vMerge w:val="restart"/>
            <w:tcBorders>
              <w:top w:val="single" w:color="000000" w:sz="10" w:space="0"/>
              <w:bottom w:val="nil"/>
              <w:right w:val="single" w:color="000000" w:sz="10" w:space="0"/>
            </w:tcBorders>
            <w:vAlign w:val="top"/>
          </w:tcPr>
          <w:p w14:paraId="2096A299">
            <w:pPr>
              <w:spacing w:line="243" w:lineRule="auto"/>
              <w:rPr>
                <w:rFonts w:ascii="Arial"/>
                <w:sz w:val="21"/>
              </w:rPr>
            </w:pPr>
          </w:p>
          <w:p w14:paraId="46DFD715">
            <w:pPr>
              <w:pStyle w:val="6"/>
              <w:spacing w:before="61" w:line="231" w:lineRule="auto"/>
              <w:ind w:left="362"/>
              <w:rPr>
                <w:sz w:val="19"/>
                <w:szCs w:val="19"/>
              </w:rPr>
            </w:pPr>
            <w:r>
              <w:rPr>
                <w:spacing w:val="7"/>
                <w:sz w:val="19"/>
                <w:szCs w:val="19"/>
              </w:rPr>
              <w:t>优化调整建议</w:t>
            </w:r>
          </w:p>
        </w:tc>
      </w:tr>
      <w:tr w14:paraId="726372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501" w:type="dxa"/>
            <w:vMerge w:val="continue"/>
            <w:tcBorders>
              <w:top w:val="nil"/>
              <w:left w:val="single" w:color="000000" w:sz="10" w:space="0"/>
            </w:tcBorders>
            <w:textDirection w:val="tbRlV"/>
            <w:vAlign w:val="top"/>
          </w:tcPr>
          <w:p w14:paraId="50F4F681">
            <w:pPr>
              <w:rPr>
                <w:rFonts w:ascii="Arial"/>
                <w:sz w:val="21"/>
              </w:rPr>
            </w:pPr>
          </w:p>
        </w:tc>
        <w:tc>
          <w:tcPr>
            <w:tcW w:w="1744" w:type="dxa"/>
            <w:vAlign w:val="top"/>
          </w:tcPr>
          <w:p w14:paraId="61816FD9">
            <w:pPr>
              <w:pStyle w:val="6"/>
              <w:spacing w:before="124" w:line="230" w:lineRule="auto"/>
              <w:ind w:left="673"/>
              <w:rPr>
                <w:sz w:val="19"/>
                <w:szCs w:val="19"/>
              </w:rPr>
            </w:pPr>
            <w:r>
              <w:rPr>
                <w:spacing w:val="2"/>
                <w:sz w:val="19"/>
                <w:szCs w:val="19"/>
              </w:rPr>
              <w:t>名称</w:t>
            </w:r>
          </w:p>
        </w:tc>
        <w:tc>
          <w:tcPr>
            <w:tcW w:w="5943" w:type="dxa"/>
            <w:vAlign w:val="top"/>
          </w:tcPr>
          <w:p w14:paraId="4BD339DB">
            <w:pPr>
              <w:pStyle w:val="6"/>
              <w:spacing w:before="124" w:line="231" w:lineRule="auto"/>
              <w:ind w:left="1785"/>
              <w:rPr>
                <w:sz w:val="19"/>
                <w:szCs w:val="19"/>
              </w:rPr>
            </w:pPr>
            <w:r>
              <w:rPr>
                <w:spacing w:val="8"/>
                <w:sz w:val="19"/>
                <w:szCs w:val="19"/>
              </w:rPr>
              <w:t>与本《规划调整》相关内容</w:t>
            </w:r>
          </w:p>
        </w:tc>
        <w:tc>
          <w:tcPr>
            <w:tcW w:w="4386" w:type="dxa"/>
            <w:vMerge w:val="continue"/>
            <w:tcBorders>
              <w:top w:val="nil"/>
            </w:tcBorders>
            <w:vAlign w:val="top"/>
          </w:tcPr>
          <w:p w14:paraId="70716A2C">
            <w:pPr>
              <w:rPr>
                <w:rFonts w:ascii="Arial"/>
                <w:sz w:val="21"/>
              </w:rPr>
            </w:pPr>
          </w:p>
        </w:tc>
        <w:tc>
          <w:tcPr>
            <w:tcW w:w="1897" w:type="dxa"/>
            <w:vMerge w:val="continue"/>
            <w:tcBorders>
              <w:top w:val="nil"/>
              <w:right w:val="single" w:color="000000" w:sz="10" w:space="0"/>
            </w:tcBorders>
            <w:vAlign w:val="top"/>
          </w:tcPr>
          <w:p w14:paraId="23A95ACB">
            <w:pPr>
              <w:rPr>
                <w:rFonts w:ascii="Arial"/>
                <w:sz w:val="21"/>
              </w:rPr>
            </w:pPr>
          </w:p>
        </w:tc>
      </w:tr>
      <w:tr w14:paraId="1A8580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0" w:hRule="atLeast"/>
        </w:trPr>
        <w:tc>
          <w:tcPr>
            <w:tcW w:w="501" w:type="dxa"/>
            <w:tcBorders>
              <w:left w:val="single" w:color="000000" w:sz="10" w:space="0"/>
            </w:tcBorders>
            <w:vAlign w:val="top"/>
          </w:tcPr>
          <w:p w14:paraId="210D7828">
            <w:pPr>
              <w:rPr>
                <w:rFonts w:ascii="Arial"/>
                <w:sz w:val="21"/>
              </w:rPr>
            </w:pPr>
          </w:p>
        </w:tc>
        <w:tc>
          <w:tcPr>
            <w:tcW w:w="1744" w:type="dxa"/>
            <w:vAlign w:val="top"/>
          </w:tcPr>
          <w:p w14:paraId="1B426BA1">
            <w:pPr>
              <w:rPr>
                <w:rFonts w:ascii="Arial"/>
                <w:sz w:val="21"/>
              </w:rPr>
            </w:pPr>
          </w:p>
        </w:tc>
        <w:tc>
          <w:tcPr>
            <w:tcW w:w="5943" w:type="dxa"/>
            <w:vAlign w:val="top"/>
          </w:tcPr>
          <w:p w14:paraId="7E3317D6">
            <w:pPr>
              <w:pStyle w:val="6"/>
              <w:spacing w:before="33" w:line="242" w:lineRule="auto"/>
              <w:ind w:left="54" w:right="50" w:firstLine="402"/>
              <w:rPr>
                <w:sz w:val="19"/>
                <w:szCs w:val="19"/>
              </w:rPr>
            </w:pPr>
            <w:r>
              <w:rPr>
                <w:spacing w:val="10"/>
                <w:sz w:val="19"/>
                <w:szCs w:val="19"/>
              </w:rPr>
              <w:t>在饮用水水源准保护区内禁止下列行为</w:t>
            </w:r>
            <w:r>
              <w:rPr>
                <w:spacing w:val="-12"/>
                <w:sz w:val="19"/>
                <w:szCs w:val="19"/>
              </w:rPr>
              <w:t>：</w:t>
            </w:r>
            <w:r>
              <w:rPr>
                <w:spacing w:val="-74"/>
                <w:sz w:val="19"/>
                <w:szCs w:val="19"/>
              </w:rPr>
              <w:t xml:space="preserve"> </w:t>
            </w:r>
            <w:r>
              <w:rPr>
                <w:spacing w:val="-12"/>
                <w:sz w:val="19"/>
                <w:szCs w:val="19"/>
              </w:rPr>
              <w:t>（</w:t>
            </w:r>
            <w:r>
              <w:rPr>
                <w:spacing w:val="10"/>
                <w:sz w:val="19"/>
                <w:szCs w:val="19"/>
              </w:rPr>
              <w:t>一）设置排污</w:t>
            </w:r>
            <w:r>
              <w:rPr>
                <w:spacing w:val="-43"/>
                <w:sz w:val="19"/>
                <w:szCs w:val="19"/>
              </w:rPr>
              <w:t xml:space="preserve"> </w:t>
            </w:r>
            <w:r>
              <w:rPr>
                <w:spacing w:val="10"/>
                <w:sz w:val="19"/>
                <w:szCs w:val="19"/>
              </w:rPr>
              <w:t>口；</w:t>
            </w:r>
            <w:r>
              <w:rPr>
                <w:sz w:val="19"/>
                <w:szCs w:val="19"/>
              </w:rPr>
              <w:t xml:space="preserve"> </w:t>
            </w:r>
            <w:r>
              <w:rPr>
                <w:spacing w:val="11"/>
                <w:sz w:val="19"/>
                <w:szCs w:val="19"/>
              </w:rPr>
              <w:t>（二）新建、扩建对水体污染严重的建设项目，改建增加排污量的</w:t>
            </w:r>
            <w:r>
              <w:rPr>
                <w:spacing w:val="2"/>
                <w:sz w:val="19"/>
                <w:szCs w:val="19"/>
              </w:rPr>
              <w:t xml:space="preserve"> </w:t>
            </w:r>
            <w:r>
              <w:rPr>
                <w:spacing w:val="13"/>
                <w:sz w:val="19"/>
                <w:szCs w:val="19"/>
              </w:rPr>
              <w:t>建设项目</w:t>
            </w:r>
            <w:r>
              <w:rPr>
                <w:spacing w:val="-18"/>
                <w:sz w:val="19"/>
                <w:szCs w:val="19"/>
              </w:rPr>
              <w:t>；（</w:t>
            </w:r>
            <w:r>
              <w:rPr>
                <w:spacing w:val="13"/>
                <w:sz w:val="19"/>
                <w:szCs w:val="19"/>
              </w:rPr>
              <w:t>三）堆放、存贮可能造成水体污染的物品</w:t>
            </w:r>
            <w:r>
              <w:rPr>
                <w:spacing w:val="-18"/>
                <w:sz w:val="19"/>
                <w:szCs w:val="19"/>
              </w:rPr>
              <w:t>；（</w:t>
            </w:r>
            <w:r>
              <w:rPr>
                <w:spacing w:val="-27"/>
                <w:sz w:val="19"/>
                <w:szCs w:val="19"/>
              </w:rPr>
              <w:t xml:space="preserve"> </w:t>
            </w:r>
            <w:r>
              <w:rPr>
                <w:spacing w:val="13"/>
                <w:sz w:val="19"/>
                <w:szCs w:val="19"/>
              </w:rPr>
              <w:t>四）违</w:t>
            </w:r>
            <w:r>
              <w:rPr>
                <w:sz w:val="19"/>
                <w:szCs w:val="19"/>
              </w:rPr>
              <w:t xml:space="preserve"> </w:t>
            </w:r>
            <w:r>
              <w:rPr>
                <w:spacing w:val="8"/>
                <w:sz w:val="19"/>
                <w:szCs w:val="19"/>
              </w:rPr>
              <w:t>反法律、法规规定的其他行为。</w:t>
            </w:r>
          </w:p>
        </w:tc>
        <w:tc>
          <w:tcPr>
            <w:tcW w:w="4386" w:type="dxa"/>
            <w:vAlign w:val="top"/>
          </w:tcPr>
          <w:p w14:paraId="7E1B0AEC">
            <w:pPr>
              <w:rPr>
                <w:rFonts w:ascii="Arial"/>
                <w:sz w:val="21"/>
              </w:rPr>
            </w:pPr>
          </w:p>
        </w:tc>
        <w:tc>
          <w:tcPr>
            <w:tcW w:w="1897" w:type="dxa"/>
            <w:tcBorders>
              <w:right w:val="single" w:color="000000" w:sz="10" w:space="0"/>
            </w:tcBorders>
            <w:vAlign w:val="top"/>
          </w:tcPr>
          <w:p w14:paraId="5246D1BE">
            <w:pPr>
              <w:rPr>
                <w:rFonts w:ascii="Arial"/>
                <w:sz w:val="21"/>
              </w:rPr>
            </w:pPr>
          </w:p>
        </w:tc>
      </w:tr>
      <w:tr w14:paraId="0DFD70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1" w:hRule="atLeast"/>
        </w:trPr>
        <w:tc>
          <w:tcPr>
            <w:tcW w:w="501" w:type="dxa"/>
            <w:tcBorders>
              <w:left w:val="single" w:color="000000" w:sz="10" w:space="0"/>
            </w:tcBorders>
            <w:vAlign w:val="top"/>
          </w:tcPr>
          <w:p w14:paraId="7914471E">
            <w:pPr>
              <w:spacing w:line="259" w:lineRule="auto"/>
              <w:rPr>
                <w:rFonts w:ascii="Arial"/>
                <w:sz w:val="21"/>
              </w:rPr>
            </w:pPr>
          </w:p>
          <w:p w14:paraId="07E744C4">
            <w:pPr>
              <w:spacing w:line="259" w:lineRule="auto"/>
              <w:rPr>
                <w:rFonts w:ascii="Arial"/>
                <w:sz w:val="21"/>
              </w:rPr>
            </w:pPr>
          </w:p>
          <w:p w14:paraId="741C7B12">
            <w:pPr>
              <w:spacing w:line="260" w:lineRule="auto"/>
              <w:rPr>
                <w:rFonts w:ascii="Arial"/>
                <w:sz w:val="21"/>
              </w:rPr>
            </w:pPr>
          </w:p>
          <w:p w14:paraId="176EFE35">
            <w:pPr>
              <w:spacing w:line="260" w:lineRule="auto"/>
              <w:rPr>
                <w:rFonts w:ascii="Arial"/>
                <w:sz w:val="21"/>
              </w:rPr>
            </w:pPr>
          </w:p>
          <w:p w14:paraId="0CF27160">
            <w:pPr>
              <w:spacing w:line="260" w:lineRule="auto"/>
              <w:rPr>
                <w:rFonts w:ascii="Arial"/>
                <w:sz w:val="21"/>
              </w:rPr>
            </w:pPr>
          </w:p>
          <w:p w14:paraId="00B39767">
            <w:pPr>
              <w:spacing w:line="260" w:lineRule="auto"/>
              <w:rPr>
                <w:rFonts w:ascii="Arial"/>
                <w:sz w:val="21"/>
              </w:rPr>
            </w:pPr>
          </w:p>
          <w:p w14:paraId="4FACBD0E">
            <w:pPr>
              <w:spacing w:line="260" w:lineRule="auto"/>
              <w:rPr>
                <w:rFonts w:ascii="Arial"/>
                <w:sz w:val="21"/>
              </w:rPr>
            </w:pPr>
          </w:p>
          <w:p w14:paraId="60B5F463">
            <w:pPr>
              <w:spacing w:line="260" w:lineRule="auto"/>
              <w:rPr>
                <w:rFonts w:ascii="Arial"/>
                <w:sz w:val="21"/>
              </w:rPr>
            </w:pPr>
          </w:p>
          <w:p w14:paraId="517BC1DA">
            <w:pPr>
              <w:spacing w:before="54" w:line="195" w:lineRule="auto"/>
              <w:ind w:left="186"/>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4</w:t>
            </w:r>
          </w:p>
        </w:tc>
        <w:tc>
          <w:tcPr>
            <w:tcW w:w="1744" w:type="dxa"/>
            <w:vAlign w:val="top"/>
          </w:tcPr>
          <w:p w14:paraId="509A442A">
            <w:pPr>
              <w:spacing w:line="278" w:lineRule="auto"/>
              <w:rPr>
                <w:rFonts w:ascii="Arial"/>
                <w:sz w:val="21"/>
              </w:rPr>
            </w:pPr>
          </w:p>
          <w:p w14:paraId="54E167D2">
            <w:pPr>
              <w:spacing w:line="278" w:lineRule="auto"/>
              <w:rPr>
                <w:rFonts w:ascii="Arial"/>
                <w:sz w:val="21"/>
              </w:rPr>
            </w:pPr>
          </w:p>
          <w:p w14:paraId="1771BC05">
            <w:pPr>
              <w:spacing w:line="279" w:lineRule="auto"/>
              <w:rPr>
                <w:rFonts w:ascii="Arial"/>
                <w:sz w:val="21"/>
              </w:rPr>
            </w:pPr>
          </w:p>
          <w:p w14:paraId="3E8D9A42">
            <w:pPr>
              <w:spacing w:line="279" w:lineRule="auto"/>
              <w:rPr>
                <w:rFonts w:ascii="Arial"/>
                <w:sz w:val="21"/>
              </w:rPr>
            </w:pPr>
          </w:p>
          <w:p w14:paraId="7A8BB5BD">
            <w:pPr>
              <w:spacing w:line="279" w:lineRule="auto"/>
              <w:rPr>
                <w:rFonts w:ascii="Arial"/>
                <w:sz w:val="21"/>
              </w:rPr>
            </w:pPr>
          </w:p>
          <w:p w14:paraId="418953B0">
            <w:pPr>
              <w:pStyle w:val="6"/>
              <w:spacing w:before="62" w:line="252" w:lineRule="auto"/>
              <w:ind w:left="73" w:right="67"/>
              <w:jc w:val="both"/>
              <w:rPr>
                <w:sz w:val="19"/>
                <w:szCs w:val="19"/>
              </w:rPr>
            </w:pPr>
            <w:r>
              <w:rPr>
                <w:spacing w:val="8"/>
                <w:sz w:val="19"/>
                <w:szCs w:val="19"/>
              </w:rPr>
              <w:t>《重庆市发展和改</w:t>
            </w:r>
            <w:r>
              <w:rPr>
                <w:sz w:val="19"/>
                <w:szCs w:val="19"/>
              </w:rPr>
              <w:t xml:space="preserve"> </w:t>
            </w:r>
            <w:r>
              <w:rPr>
                <w:spacing w:val="8"/>
                <w:sz w:val="19"/>
                <w:szCs w:val="19"/>
              </w:rPr>
              <w:t>革委员会关于印发</w:t>
            </w:r>
            <w:r>
              <w:rPr>
                <w:sz w:val="19"/>
                <w:szCs w:val="19"/>
              </w:rPr>
              <w:t xml:space="preserve"> </w:t>
            </w:r>
            <w:r>
              <w:rPr>
                <w:spacing w:val="8"/>
                <w:sz w:val="19"/>
                <w:szCs w:val="19"/>
              </w:rPr>
              <w:t>重庆市产业投资准</w:t>
            </w:r>
            <w:r>
              <w:rPr>
                <w:sz w:val="19"/>
                <w:szCs w:val="19"/>
              </w:rPr>
              <w:t xml:space="preserve"> </w:t>
            </w:r>
            <w:r>
              <w:rPr>
                <w:spacing w:val="22"/>
                <w:sz w:val="19"/>
                <w:szCs w:val="19"/>
              </w:rPr>
              <w:t>入工作手册的通</w:t>
            </w:r>
            <w:r>
              <w:rPr>
                <w:sz w:val="19"/>
                <w:szCs w:val="19"/>
              </w:rPr>
              <w:t xml:space="preserve">  </w:t>
            </w:r>
            <w:r>
              <w:rPr>
                <w:spacing w:val="8"/>
                <w:sz w:val="19"/>
                <w:szCs w:val="19"/>
              </w:rPr>
              <w:t>知》（渝发改投资</w:t>
            </w:r>
            <w:r>
              <w:rPr>
                <w:sz w:val="19"/>
                <w:szCs w:val="19"/>
              </w:rPr>
              <w:t xml:space="preserve"> 〔</w:t>
            </w:r>
            <w:r>
              <w:rPr>
                <w:rFonts w:ascii="Times New Roman" w:hAnsi="Times New Roman" w:eastAsia="Times New Roman" w:cs="Times New Roman"/>
                <w:sz w:val="19"/>
                <w:szCs w:val="19"/>
              </w:rPr>
              <w:t>2022</w:t>
            </w:r>
            <w:r>
              <w:rPr>
                <w:sz w:val="19"/>
                <w:szCs w:val="19"/>
              </w:rPr>
              <w:t>〕</w:t>
            </w:r>
            <w:r>
              <w:rPr>
                <w:rFonts w:ascii="Times New Roman" w:hAnsi="Times New Roman" w:eastAsia="Times New Roman" w:cs="Times New Roman"/>
                <w:sz w:val="19"/>
                <w:szCs w:val="19"/>
              </w:rPr>
              <w:t>1436</w:t>
            </w:r>
            <w:r>
              <w:rPr>
                <w:rFonts w:ascii="Times New Roman" w:hAnsi="Times New Roman" w:eastAsia="Times New Roman" w:cs="Times New Roman"/>
                <w:spacing w:val="30"/>
                <w:sz w:val="19"/>
                <w:szCs w:val="19"/>
              </w:rPr>
              <w:t xml:space="preserve"> </w:t>
            </w:r>
            <w:r>
              <w:rPr>
                <w:sz w:val="19"/>
                <w:szCs w:val="19"/>
              </w:rPr>
              <w:t>号）</w:t>
            </w:r>
          </w:p>
        </w:tc>
        <w:tc>
          <w:tcPr>
            <w:tcW w:w="5943" w:type="dxa"/>
            <w:vAlign w:val="top"/>
          </w:tcPr>
          <w:p w14:paraId="53F9A788">
            <w:pPr>
              <w:pStyle w:val="6"/>
              <w:spacing w:before="35" w:line="231" w:lineRule="auto"/>
              <w:ind w:left="461"/>
              <w:rPr>
                <w:sz w:val="19"/>
                <w:szCs w:val="19"/>
              </w:rPr>
            </w:pPr>
            <w:r>
              <w:rPr>
                <w:spacing w:val="7"/>
                <w:sz w:val="19"/>
                <w:szCs w:val="19"/>
              </w:rPr>
              <w:t>二、不予准入类</w:t>
            </w:r>
          </w:p>
          <w:p w14:paraId="1AE414F0">
            <w:pPr>
              <w:pStyle w:val="6"/>
              <w:spacing w:before="21" w:line="231" w:lineRule="auto"/>
              <w:ind w:left="460"/>
              <w:rPr>
                <w:sz w:val="19"/>
                <w:szCs w:val="19"/>
              </w:rPr>
            </w:pPr>
            <w:r>
              <w:rPr>
                <w:spacing w:val="8"/>
                <w:sz w:val="19"/>
                <w:szCs w:val="19"/>
              </w:rPr>
              <w:t>（一）全市范围内不予准入的产业</w:t>
            </w:r>
          </w:p>
          <w:p w14:paraId="1A9E4333">
            <w:pPr>
              <w:pStyle w:val="6"/>
              <w:spacing w:before="21" w:line="231" w:lineRule="auto"/>
              <w:ind w:left="465"/>
              <w:rPr>
                <w:sz w:val="19"/>
                <w:szCs w:val="19"/>
              </w:rPr>
            </w:pPr>
            <w:r>
              <w:rPr>
                <w:rFonts w:ascii="Times New Roman" w:hAnsi="Times New Roman" w:eastAsia="Times New Roman" w:cs="Times New Roman"/>
                <w:spacing w:val="5"/>
                <w:sz w:val="19"/>
                <w:szCs w:val="19"/>
              </w:rPr>
              <w:t>1</w:t>
            </w:r>
            <w:r>
              <w:rPr>
                <w:rFonts w:ascii="Times New Roman" w:hAnsi="Times New Roman" w:eastAsia="Times New Roman" w:cs="Times New Roman"/>
                <w:spacing w:val="-18"/>
                <w:sz w:val="19"/>
                <w:szCs w:val="19"/>
              </w:rPr>
              <w:t xml:space="preserve"> </w:t>
            </w:r>
            <w:r>
              <w:rPr>
                <w:spacing w:val="5"/>
                <w:sz w:val="19"/>
                <w:szCs w:val="19"/>
              </w:rPr>
              <w:t>．</w:t>
            </w:r>
            <w:r>
              <w:rPr>
                <w:spacing w:val="-52"/>
                <w:sz w:val="19"/>
                <w:szCs w:val="19"/>
              </w:rPr>
              <w:t xml:space="preserve"> </w:t>
            </w:r>
            <w:r>
              <w:rPr>
                <w:spacing w:val="5"/>
                <w:sz w:val="19"/>
                <w:szCs w:val="19"/>
              </w:rPr>
              <w:t>国家产业结构调整指导目录中的淘汰类</w:t>
            </w:r>
            <w:r>
              <w:rPr>
                <w:spacing w:val="4"/>
                <w:sz w:val="19"/>
                <w:szCs w:val="19"/>
              </w:rPr>
              <w:t>项目。</w:t>
            </w:r>
          </w:p>
          <w:p w14:paraId="1B93998D">
            <w:pPr>
              <w:pStyle w:val="6"/>
              <w:spacing w:before="23" w:line="229" w:lineRule="auto"/>
              <w:ind w:left="446"/>
              <w:rPr>
                <w:sz w:val="19"/>
                <w:szCs w:val="19"/>
              </w:rPr>
            </w:pPr>
            <w:r>
              <w:rPr>
                <w:rFonts w:ascii="Times New Roman" w:hAnsi="Times New Roman" w:eastAsia="Times New Roman" w:cs="Times New Roman"/>
                <w:spacing w:val="5"/>
                <w:sz w:val="19"/>
                <w:szCs w:val="19"/>
              </w:rPr>
              <w:t>2</w:t>
            </w:r>
            <w:r>
              <w:rPr>
                <w:rFonts w:ascii="Times New Roman" w:hAnsi="Times New Roman" w:eastAsia="Times New Roman" w:cs="Times New Roman"/>
                <w:spacing w:val="-13"/>
                <w:sz w:val="19"/>
                <w:szCs w:val="19"/>
              </w:rPr>
              <w:t xml:space="preserve"> </w:t>
            </w:r>
            <w:r>
              <w:rPr>
                <w:spacing w:val="5"/>
                <w:sz w:val="19"/>
                <w:szCs w:val="19"/>
              </w:rPr>
              <w:t>．天然林商业性采伐。</w:t>
            </w:r>
          </w:p>
          <w:p w14:paraId="278686FE">
            <w:pPr>
              <w:pStyle w:val="6"/>
              <w:spacing w:before="20" w:line="231" w:lineRule="auto"/>
              <w:ind w:left="450"/>
              <w:rPr>
                <w:sz w:val="19"/>
                <w:szCs w:val="19"/>
              </w:rPr>
            </w:pPr>
            <w:r>
              <w:rPr>
                <w:rFonts w:ascii="Times New Roman" w:hAnsi="Times New Roman" w:eastAsia="Times New Roman" w:cs="Times New Roman"/>
                <w:spacing w:val="7"/>
                <w:sz w:val="19"/>
                <w:szCs w:val="19"/>
              </w:rPr>
              <w:t>3</w:t>
            </w:r>
            <w:r>
              <w:rPr>
                <w:rFonts w:ascii="Times New Roman" w:hAnsi="Times New Roman" w:eastAsia="Times New Roman" w:cs="Times New Roman"/>
                <w:spacing w:val="-3"/>
                <w:sz w:val="19"/>
                <w:szCs w:val="19"/>
              </w:rPr>
              <w:t xml:space="preserve"> </w:t>
            </w:r>
            <w:r>
              <w:rPr>
                <w:spacing w:val="7"/>
                <w:sz w:val="19"/>
                <w:szCs w:val="19"/>
              </w:rPr>
              <w:t>．法律法规和相关政策明令不予准入的其他项目。</w:t>
            </w:r>
          </w:p>
          <w:p w14:paraId="42D39329">
            <w:pPr>
              <w:pStyle w:val="6"/>
              <w:spacing w:before="22" w:line="231" w:lineRule="auto"/>
              <w:ind w:left="460"/>
              <w:rPr>
                <w:sz w:val="19"/>
                <w:szCs w:val="19"/>
              </w:rPr>
            </w:pPr>
            <w:r>
              <w:rPr>
                <w:spacing w:val="8"/>
                <w:sz w:val="19"/>
                <w:szCs w:val="19"/>
              </w:rPr>
              <w:t>（二）重点区域不予准入的产业</w:t>
            </w:r>
          </w:p>
          <w:p w14:paraId="5ADA7BB2">
            <w:pPr>
              <w:pStyle w:val="6"/>
              <w:spacing w:before="24" w:line="242" w:lineRule="auto"/>
              <w:ind w:left="54" w:right="50" w:firstLine="396"/>
              <w:rPr>
                <w:sz w:val="19"/>
                <w:szCs w:val="19"/>
              </w:rPr>
            </w:pPr>
            <w:r>
              <w:rPr>
                <w:rFonts w:ascii="Times New Roman" w:hAnsi="Times New Roman" w:eastAsia="Times New Roman" w:cs="Times New Roman"/>
                <w:spacing w:val="7"/>
                <w:sz w:val="19"/>
                <w:szCs w:val="19"/>
              </w:rPr>
              <w:t>3</w:t>
            </w:r>
            <w:r>
              <w:rPr>
                <w:spacing w:val="7"/>
                <w:sz w:val="19"/>
                <w:szCs w:val="19"/>
              </w:rPr>
              <w:t>．在自然保护区核心区、缓冲区的岸线和河段范围内投资建设</w:t>
            </w:r>
            <w:r>
              <w:rPr>
                <w:spacing w:val="15"/>
                <w:sz w:val="19"/>
                <w:szCs w:val="19"/>
              </w:rPr>
              <w:t xml:space="preserve"> </w:t>
            </w:r>
            <w:r>
              <w:rPr>
                <w:spacing w:val="7"/>
                <w:sz w:val="19"/>
                <w:szCs w:val="19"/>
              </w:rPr>
              <w:t>旅游和生产经营项目。</w:t>
            </w:r>
          </w:p>
          <w:p w14:paraId="75BB148B">
            <w:pPr>
              <w:pStyle w:val="6"/>
              <w:spacing w:before="20" w:line="248" w:lineRule="auto"/>
              <w:ind w:left="54" w:right="50" w:firstLine="391"/>
              <w:rPr>
                <w:sz w:val="19"/>
                <w:szCs w:val="19"/>
              </w:rPr>
            </w:pPr>
            <w:r>
              <w:rPr>
                <w:rFonts w:ascii="Times New Roman" w:hAnsi="Times New Roman" w:eastAsia="Times New Roman" w:cs="Times New Roman"/>
                <w:spacing w:val="6"/>
                <w:sz w:val="19"/>
                <w:szCs w:val="19"/>
              </w:rPr>
              <w:t>4</w:t>
            </w:r>
            <w:r>
              <w:rPr>
                <w:rFonts w:ascii="Times New Roman" w:hAnsi="Times New Roman" w:eastAsia="Times New Roman" w:cs="Times New Roman"/>
                <w:sz w:val="19"/>
                <w:szCs w:val="19"/>
              </w:rPr>
              <w:t xml:space="preserve"> </w:t>
            </w:r>
            <w:r>
              <w:rPr>
                <w:spacing w:val="6"/>
                <w:sz w:val="19"/>
                <w:szCs w:val="19"/>
              </w:rPr>
              <w:t>．饮用水水源一级保护区的岸线和河段范围内新建、改建、扩</w:t>
            </w:r>
            <w:r>
              <w:rPr>
                <w:sz w:val="19"/>
                <w:szCs w:val="19"/>
              </w:rPr>
              <w:t xml:space="preserve"> </w:t>
            </w:r>
            <w:r>
              <w:rPr>
                <w:spacing w:val="10"/>
                <w:sz w:val="19"/>
                <w:szCs w:val="19"/>
              </w:rPr>
              <w:t>建与供水设施和保护水源无关的项目，以及</w:t>
            </w:r>
            <w:r>
              <w:rPr>
                <w:spacing w:val="9"/>
                <w:sz w:val="19"/>
                <w:szCs w:val="19"/>
              </w:rPr>
              <w:t>网箱养殖、畜禽养殖、</w:t>
            </w:r>
            <w:r>
              <w:rPr>
                <w:sz w:val="19"/>
                <w:szCs w:val="19"/>
              </w:rPr>
              <w:t xml:space="preserve"> </w:t>
            </w:r>
            <w:r>
              <w:rPr>
                <w:spacing w:val="11"/>
                <w:sz w:val="19"/>
                <w:szCs w:val="19"/>
              </w:rPr>
              <w:t>放养畜禽、旅游等可能污染饮用水水体的投资建设项目。在饮用水</w:t>
            </w:r>
            <w:r>
              <w:rPr>
                <w:spacing w:val="3"/>
                <w:sz w:val="19"/>
                <w:szCs w:val="19"/>
              </w:rPr>
              <w:t xml:space="preserve"> </w:t>
            </w:r>
            <w:r>
              <w:rPr>
                <w:spacing w:val="11"/>
                <w:sz w:val="19"/>
                <w:szCs w:val="19"/>
              </w:rPr>
              <w:t>水源二级保护区的岸线和河段范围内新建、改建、扩建排放污染物</w:t>
            </w:r>
            <w:r>
              <w:rPr>
                <w:spacing w:val="3"/>
                <w:sz w:val="19"/>
                <w:szCs w:val="19"/>
              </w:rPr>
              <w:t xml:space="preserve"> </w:t>
            </w:r>
            <w:r>
              <w:rPr>
                <w:spacing w:val="7"/>
                <w:sz w:val="19"/>
                <w:szCs w:val="19"/>
              </w:rPr>
              <w:t>的投资建设项目。</w:t>
            </w:r>
          </w:p>
          <w:p w14:paraId="0F870B90">
            <w:pPr>
              <w:pStyle w:val="6"/>
              <w:spacing w:before="20" w:line="241" w:lineRule="auto"/>
              <w:ind w:left="55" w:right="50" w:firstLine="395"/>
              <w:rPr>
                <w:sz w:val="19"/>
                <w:szCs w:val="19"/>
              </w:rPr>
            </w:pPr>
            <w:r>
              <w:rPr>
                <w:rFonts w:ascii="Times New Roman" w:hAnsi="Times New Roman" w:eastAsia="Times New Roman" w:cs="Times New Roman"/>
                <w:spacing w:val="7"/>
                <w:sz w:val="19"/>
                <w:szCs w:val="19"/>
              </w:rPr>
              <w:t>6</w:t>
            </w:r>
            <w:r>
              <w:rPr>
                <w:spacing w:val="7"/>
                <w:sz w:val="19"/>
                <w:szCs w:val="19"/>
              </w:rPr>
              <w:t>．在风景名胜区核心景区的岸线和河段范围内投资建设与风景</w:t>
            </w:r>
            <w:r>
              <w:rPr>
                <w:spacing w:val="14"/>
                <w:sz w:val="19"/>
                <w:szCs w:val="19"/>
              </w:rPr>
              <w:t xml:space="preserve"> </w:t>
            </w:r>
            <w:r>
              <w:rPr>
                <w:spacing w:val="7"/>
                <w:sz w:val="19"/>
                <w:szCs w:val="19"/>
              </w:rPr>
              <w:t>名胜资源保护无关的项目。</w:t>
            </w:r>
          </w:p>
          <w:p w14:paraId="31C055EA">
            <w:pPr>
              <w:pStyle w:val="6"/>
              <w:spacing w:before="23" w:line="226" w:lineRule="auto"/>
              <w:ind w:left="59" w:right="50" w:firstLine="390"/>
              <w:rPr>
                <w:sz w:val="19"/>
                <w:szCs w:val="19"/>
              </w:rPr>
            </w:pPr>
            <w:r>
              <w:rPr>
                <w:rFonts w:ascii="Times New Roman" w:hAnsi="Times New Roman" w:eastAsia="Times New Roman" w:cs="Times New Roman"/>
                <w:spacing w:val="6"/>
                <w:sz w:val="19"/>
                <w:szCs w:val="19"/>
              </w:rPr>
              <w:t>7</w:t>
            </w:r>
            <w:r>
              <w:rPr>
                <w:rFonts w:ascii="Times New Roman" w:hAnsi="Times New Roman" w:eastAsia="Times New Roman" w:cs="Times New Roman"/>
                <w:spacing w:val="-4"/>
                <w:sz w:val="19"/>
                <w:szCs w:val="19"/>
              </w:rPr>
              <w:t xml:space="preserve"> </w:t>
            </w:r>
            <w:r>
              <w:rPr>
                <w:spacing w:val="6"/>
                <w:sz w:val="19"/>
                <w:szCs w:val="19"/>
              </w:rPr>
              <w:t>．在国家湿地公园的岸线和河段范围内挖沙、采矿，以及任何</w:t>
            </w:r>
            <w:r>
              <w:rPr>
                <w:sz w:val="19"/>
                <w:szCs w:val="19"/>
              </w:rPr>
              <w:t xml:space="preserve"> </w:t>
            </w:r>
            <w:r>
              <w:rPr>
                <w:spacing w:val="8"/>
                <w:sz w:val="19"/>
                <w:szCs w:val="19"/>
              </w:rPr>
              <w:t>不符合主体功能定位的投资建设项目。</w:t>
            </w:r>
          </w:p>
        </w:tc>
        <w:tc>
          <w:tcPr>
            <w:tcW w:w="4386" w:type="dxa"/>
            <w:vAlign w:val="top"/>
          </w:tcPr>
          <w:p w14:paraId="1B671CDB">
            <w:pPr>
              <w:rPr>
                <w:rFonts w:ascii="Arial"/>
                <w:sz w:val="21"/>
              </w:rPr>
            </w:pPr>
          </w:p>
          <w:p w14:paraId="09C9BEE6">
            <w:pPr>
              <w:rPr>
                <w:rFonts w:ascii="Arial"/>
                <w:sz w:val="21"/>
              </w:rPr>
            </w:pPr>
          </w:p>
          <w:p w14:paraId="4FA5DE1F">
            <w:pPr>
              <w:rPr>
                <w:rFonts w:ascii="Arial"/>
                <w:sz w:val="21"/>
              </w:rPr>
            </w:pPr>
          </w:p>
          <w:p w14:paraId="5034A3D0">
            <w:pPr>
              <w:rPr>
                <w:rFonts w:ascii="Arial"/>
                <w:sz w:val="21"/>
              </w:rPr>
            </w:pPr>
          </w:p>
          <w:p w14:paraId="6631347F">
            <w:pPr>
              <w:rPr>
                <w:rFonts w:ascii="Arial"/>
                <w:sz w:val="21"/>
              </w:rPr>
            </w:pPr>
          </w:p>
          <w:p w14:paraId="00CBA8C6">
            <w:pPr>
              <w:rPr>
                <w:rFonts w:ascii="Arial"/>
                <w:sz w:val="21"/>
              </w:rPr>
            </w:pPr>
          </w:p>
          <w:p w14:paraId="671CD47C">
            <w:pPr>
              <w:spacing w:line="241" w:lineRule="auto"/>
              <w:rPr>
                <w:rFonts w:ascii="Arial"/>
                <w:sz w:val="21"/>
              </w:rPr>
            </w:pPr>
          </w:p>
          <w:p w14:paraId="2AF1DDCD">
            <w:pPr>
              <w:spacing w:line="241" w:lineRule="auto"/>
              <w:rPr>
                <w:rFonts w:ascii="Arial"/>
                <w:sz w:val="21"/>
              </w:rPr>
            </w:pPr>
          </w:p>
          <w:p w14:paraId="722DB32B">
            <w:pPr>
              <w:pStyle w:val="6"/>
              <w:spacing w:before="61" w:line="230" w:lineRule="auto"/>
              <w:ind w:left="519"/>
              <w:rPr>
                <w:sz w:val="19"/>
                <w:szCs w:val="19"/>
              </w:rPr>
            </w:pPr>
            <w:r>
              <w:rPr>
                <w:spacing w:val="8"/>
                <w:sz w:val="19"/>
                <w:szCs w:val="19"/>
              </w:rPr>
              <w:t>《规划调整》不涉及不予准入类项目。符合</w:t>
            </w:r>
          </w:p>
        </w:tc>
        <w:tc>
          <w:tcPr>
            <w:tcW w:w="1897" w:type="dxa"/>
            <w:tcBorders>
              <w:right w:val="single" w:color="000000" w:sz="10" w:space="0"/>
            </w:tcBorders>
            <w:vAlign w:val="top"/>
          </w:tcPr>
          <w:p w14:paraId="61A06501">
            <w:pPr>
              <w:spacing w:line="259" w:lineRule="auto"/>
              <w:rPr>
                <w:rFonts w:ascii="Arial"/>
                <w:sz w:val="21"/>
              </w:rPr>
            </w:pPr>
          </w:p>
          <w:p w14:paraId="10731275">
            <w:pPr>
              <w:spacing w:line="259" w:lineRule="auto"/>
              <w:rPr>
                <w:rFonts w:ascii="Arial"/>
                <w:sz w:val="21"/>
              </w:rPr>
            </w:pPr>
          </w:p>
          <w:p w14:paraId="5A37871B">
            <w:pPr>
              <w:spacing w:line="259" w:lineRule="auto"/>
              <w:rPr>
                <w:rFonts w:ascii="Arial"/>
                <w:sz w:val="21"/>
              </w:rPr>
            </w:pPr>
          </w:p>
          <w:p w14:paraId="53F6C048">
            <w:pPr>
              <w:spacing w:line="259" w:lineRule="auto"/>
              <w:rPr>
                <w:rFonts w:ascii="Arial"/>
                <w:sz w:val="21"/>
              </w:rPr>
            </w:pPr>
          </w:p>
          <w:p w14:paraId="25F71BEF">
            <w:pPr>
              <w:spacing w:line="259" w:lineRule="auto"/>
              <w:rPr>
                <w:rFonts w:ascii="Arial"/>
                <w:sz w:val="21"/>
              </w:rPr>
            </w:pPr>
          </w:p>
          <w:p w14:paraId="130CDD22">
            <w:pPr>
              <w:spacing w:line="259" w:lineRule="auto"/>
              <w:rPr>
                <w:rFonts w:ascii="Arial"/>
                <w:sz w:val="21"/>
              </w:rPr>
            </w:pPr>
          </w:p>
          <w:p w14:paraId="2149BAA0">
            <w:pPr>
              <w:spacing w:line="260" w:lineRule="auto"/>
              <w:rPr>
                <w:rFonts w:ascii="Arial"/>
                <w:sz w:val="21"/>
              </w:rPr>
            </w:pPr>
          </w:p>
          <w:p w14:paraId="3723A960">
            <w:pPr>
              <w:spacing w:line="260" w:lineRule="auto"/>
              <w:rPr>
                <w:rFonts w:ascii="Arial"/>
                <w:sz w:val="21"/>
              </w:rPr>
            </w:pPr>
          </w:p>
          <w:p w14:paraId="3901D6ED">
            <w:pPr>
              <w:spacing w:before="55" w:line="199" w:lineRule="auto"/>
              <w:ind w:left="923"/>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r>
      <w:tr w14:paraId="6AB26E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4" w:hRule="atLeast"/>
        </w:trPr>
        <w:tc>
          <w:tcPr>
            <w:tcW w:w="501" w:type="dxa"/>
            <w:tcBorders>
              <w:left w:val="single" w:color="000000" w:sz="10" w:space="0"/>
              <w:bottom w:val="single" w:color="000000" w:sz="10" w:space="0"/>
            </w:tcBorders>
            <w:vAlign w:val="top"/>
          </w:tcPr>
          <w:p w14:paraId="4F8D7CC6">
            <w:pPr>
              <w:spacing w:line="265" w:lineRule="auto"/>
              <w:rPr>
                <w:rFonts w:ascii="Arial"/>
                <w:sz w:val="21"/>
              </w:rPr>
            </w:pPr>
          </w:p>
          <w:p w14:paraId="2F2E8315">
            <w:pPr>
              <w:spacing w:line="265" w:lineRule="auto"/>
              <w:rPr>
                <w:rFonts w:ascii="Arial"/>
                <w:sz w:val="21"/>
              </w:rPr>
            </w:pPr>
          </w:p>
          <w:p w14:paraId="44543CC4">
            <w:pPr>
              <w:spacing w:line="266" w:lineRule="auto"/>
              <w:rPr>
                <w:rFonts w:ascii="Arial"/>
                <w:sz w:val="21"/>
              </w:rPr>
            </w:pPr>
          </w:p>
          <w:p w14:paraId="7C3A8A4F">
            <w:pPr>
              <w:spacing w:line="266" w:lineRule="auto"/>
              <w:rPr>
                <w:rFonts w:ascii="Arial"/>
                <w:sz w:val="21"/>
              </w:rPr>
            </w:pPr>
          </w:p>
          <w:p w14:paraId="6D9C3516">
            <w:pPr>
              <w:spacing w:before="55" w:line="192" w:lineRule="auto"/>
              <w:ind w:left="193"/>
              <w:rPr>
                <w:rFonts w:ascii="Times New Roman" w:hAnsi="Times New Roman" w:eastAsia="Times New Roman" w:cs="Times New Roman"/>
                <w:sz w:val="19"/>
                <w:szCs w:val="19"/>
              </w:rPr>
            </w:pPr>
            <w:r>
              <w:rPr>
                <w:rFonts w:ascii="Times New Roman" w:hAnsi="Times New Roman" w:eastAsia="Times New Roman" w:cs="Times New Roman"/>
                <w:sz w:val="19"/>
                <w:szCs w:val="19"/>
              </w:rPr>
              <w:t>5</w:t>
            </w:r>
          </w:p>
        </w:tc>
        <w:tc>
          <w:tcPr>
            <w:tcW w:w="1744" w:type="dxa"/>
            <w:tcBorders>
              <w:bottom w:val="single" w:color="000000" w:sz="10" w:space="0"/>
            </w:tcBorders>
            <w:vAlign w:val="top"/>
          </w:tcPr>
          <w:p w14:paraId="39D9F24B">
            <w:pPr>
              <w:spacing w:line="252" w:lineRule="auto"/>
              <w:rPr>
                <w:rFonts w:ascii="Arial"/>
                <w:sz w:val="21"/>
              </w:rPr>
            </w:pPr>
          </w:p>
          <w:p w14:paraId="529B175B">
            <w:pPr>
              <w:spacing w:line="253" w:lineRule="auto"/>
              <w:rPr>
                <w:rFonts w:ascii="Arial"/>
                <w:sz w:val="21"/>
              </w:rPr>
            </w:pPr>
          </w:p>
          <w:p w14:paraId="1D8FE945">
            <w:pPr>
              <w:spacing w:line="253" w:lineRule="auto"/>
              <w:rPr>
                <w:rFonts w:ascii="Arial"/>
                <w:sz w:val="21"/>
              </w:rPr>
            </w:pPr>
          </w:p>
          <w:p w14:paraId="02EF0CC1">
            <w:pPr>
              <w:pStyle w:val="6"/>
              <w:spacing w:before="62" w:line="231" w:lineRule="auto"/>
              <w:ind w:left="73"/>
              <w:rPr>
                <w:sz w:val="19"/>
                <w:szCs w:val="19"/>
              </w:rPr>
            </w:pPr>
            <w:r>
              <w:rPr>
                <w:spacing w:val="8"/>
                <w:sz w:val="19"/>
                <w:szCs w:val="19"/>
              </w:rPr>
              <w:t>《重庆市地质灾害</w:t>
            </w:r>
          </w:p>
          <w:p w14:paraId="469113A7">
            <w:pPr>
              <w:pStyle w:val="6"/>
              <w:spacing w:before="21" w:line="231" w:lineRule="auto"/>
              <w:ind w:left="386"/>
              <w:rPr>
                <w:sz w:val="19"/>
                <w:szCs w:val="19"/>
              </w:rPr>
            </w:pPr>
            <w:r>
              <w:rPr>
                <w:spacing w:val="2"/>
                <w:sz w:val="19"/>
                <w:szCs w:val="19"/>
              </w:rPr>
              <w:t>防治条例》</w:t>
            </w:r>
          </w:p>
          <w:p w14:paraId="5F0ACCA3">
            <w:pPr>
              <w:pStyle w:val="6"/>
              <w:spacing w:before="21" w:line="231" w:lineRule="auto"/>
              <w:ind w:left="101"/>
              <w:rPr>
                <w:sz w:val="19"/>
                <w:szCs w:val="19"/>
              </w:rPr>
            </w:pPr>
            <w:r>
              <w:rPr>
                <w:spacing w:val="2"/>
                <w:sz w:val="19"/>
                <w:szCs w:val="19"/>
              </w:rPr>
              <w:t>（</w:t>
            </w:r>
            <w:r>
              <w:rPr>
                <w:rFonts w:ascii="Times New Roman" w:hAnsi="Times New Roman" w:eastAsia="Times New Roman" w:cs="Times New Roman"/>
                <w:spacing w:val="2"/>
                <w:sz w:val="19"/>
                <w:szCs w:val="19"/>
              </w:rPr>
              <w:t>2020.6.5</w:t>
            </w:r>
            <w:r>
              <w:rPr>
                <w:rFonts w:ascii="Times New Roman" w:hAnsi="Times New Roman" w:eastAsia="Times New Roman" w:cs="Times New Roman"/>
                <w:spacing w:val="23"/>
                <w:sz w:val="19"/>
                <w:szCs w:val="19"/>
              </w:rPr>
              <w:t xml:space="preserve"> </w:t>
            </w:r>
            <w:r>
              <w:rPr>
                <w:spacing w:val="2"/>
                <w:sz w:val="19"/>
                <w:szCs w:val="19"/>
              </w:rPr>
              <w:t>修订）</w:t>
            </w:r>
          </w:p>
        </w:tc>
        <w:tc>
          <w:tcPr>
            <w:tcW w:w="5943" w:type="dxa"/>
            <w:tcBorders>
              <w:bottom w:val="single" w:color="000000" w:sz="10" w:space="0"/>
            </w:tcBorders>
            <w:vAlign w:val="top"/>
          </w:tcPr>
          <w:p w14:paraId="49E1F29D">
            <w:pPr>
              <w:pStyle w:val="6"/>
              <w:spacing w:before="48" w:line="242" w:lineRule="auto"/>
              <w:ind w:left="55" w:firstLine="407"/>
              <w:rPr>
                <w:sz w:val="19"/>
                <w:szCs w:val="19"/>
              </w:rPr>
            </w:pPr>
            <w:r>
              <w:rPr>
                <w:spacing w:val="2"/>
                <w:sz w:val="19"/>
                <w:szCs w:val="19"/>
              </w:rPr>
              <w:t>第十四条 地质灾害易发区分为高易发区、中易发区、低易发区。</w:t>
            </w:r>
            <w:r>
              <w:rPr>
                <w:spacing w:val="1"/>
                <w:sz w:val="19"/>
                <w:szCs w:val="19"/>
              </w:rPr>
              <w:t xml:space="preserve"> </w:t>
            </w:r>
            <w:r>
              <w:rPr>
                <w:spacing w:val="6"/>
                <w:sz w:val="19"/>
                <w:szCs w:val="19"/>
              </w:rPr>
              <w:t>地质灾害风险区分为极高风险区、高风险区、中风险区、低风险区。</w:t>
            </w:r>
          </w:p>
          <w:p w14:paraId="2E71F802">
            <w:pPr>
              <w:pStyle w:val="6"/>
              <w:spacing w:before="19" w:line="247" w:lineRule="auto"/>
              <w:ind w:left="54" w:right="47" w:firstLine="409"/>
              <w:rPr>
                <w:sz w:val="19"/>
                <w:szCs w:val="19"/>
              </w:rPr>
            </w:pPr>
            <w:r>
              <w:rPr>
                <w:spacing w:val="7"/>
                <w:sz w:val="19"/>
                <w:szCs w:val="19"/>
              </w:rPr>
              <w:t>第二十四条 对出现地质灾害前兆、可能造成人员伤亡或者重大</w:t>
            </w:r>
            <w:r>
              <w:rPr>
                <w:spacing w:val="4"/>
                <w:sz w:val="19"/>
                <w:szCs w:val="19"/>
              </w:rPr>
              <w:t xml:space="preserve"> </w:t>
            </w:r>
            <w:r>
              <w:rPr>
                <w:spacing w:val="5"/>
                <w:sz w:val="19"/>
                <w:szCs w:val="19"/>
              </w:rPr>
              <w:t>财产损失的区域和地段，</w:t>
            </w:r>
            <w:r>
              <w:rPr>
                <w:spacing w:val="-56"/>
                <w:sz w:val="19"/>
                <w:szCs w:val="19"/>
              </w:rPr>
              <w:t xml:space="preserve"> </w:t>
            </w:r>
            <w:r>
              <w:rPr>
                <w:spacing w:val="5"/>
                <w:sz w:val="19"/>
                <w:szCs w:val="19"/>
              </w:rPr>
              <w:t>区县（ 自治县）人</w:t>
            </w:r>
            <w:r>
              <w:rPr>
                <w:spacing w:val="4"/>
                <w:sz w:val="19"/>
                <w:szCs w:val="19"/>
              </w:rPr>
              <w:t>民政府应当及时划定为</w:t>
            </w:r>
            <w:r>
              <w:rPr>
                <w:sz w:val="19"/>
                <w:szCs w:val="19"/>
              </w:rPr>
              <w:t xml:space="preserve"> </w:t>
            </w:r>
            <w:r>
              <w:rPr>
                <w:spacing w:val="9"/>
                <w:sz w:val="19"/>
                <w:szCs w:val="19"/>
              </w:rPr>
              <w:t>地质灾害危险区，予以公告，并在地质灾害危险区的边界设置明显</w:t>
            </w:r>
            <w:r>
              <w:rPr>
                <w:spacing w:val="13"/>
                <w:sz w:val="19"/>
                <w:szCs w:val="19"/>
              </w:rPr>
              <w:t xml:space="preserve"> </w:t>
            </w:r>
            <w:r>
              <w:rPr>
                <w:spacing w:val="5"/>
                <w:sz w:val="19"/>
                <w:szCs w:val="19"/>
              </w:rPr>
              <w:t>警示标志。</w:t>
            </w:r>
          </w:p>
          <w:p w14:paraId="6265677D">
            <w:pPr>
              <w:pStyle w:val="6"/>
              <w:spacing w:before="22" w:line="239" w:lineRule="auto"/>
              <w:ind w:left="109" w:right="105" w:firstLine="210"/>
              <w:rPr>
                <w:sz w:val="19"/>
                <w:szCs w:val="19"/>
              </w:rPr>
            </w:pPr>
            <w:r>
              <w:rPr>
                <w:spacing w:val="9"/>
                <w:sz w:val="19"/>
                <w:szCs w:val="19"/>
              </w:rPr>
              <w:t>第二十七条 在地质灾害危险区内，禁止从事与地质灾害防</w:t>
            </w:r>
            <w:r>
              <w:rPr>
                <w:spacing w:val="8"/>
                <w:sz w:val="19"/>
                <w:szCs w:val="19"/>
              </w:rPr>
              <w:t>治工</w:t>
            </w:r>
            <w:r>
              <w:rPr>
                <w:sz w:val="19"/>
                <w:szCs w:val="19"/>
              </w:rPr>
              <w:t xml:space="preserve"> </w:t>
            </w:r>
            <w:r>
              <w:rPr>
                <w:spacing w:val="7"/>
                <w:sz w:val="19"/>
                <w:szCs w:val="19"/>
              </w:rPr>
              <w:t>作无关的爆破、削坡、工程建设以及其他可能引发或者加剧地质灾</w:t>
            </w:r>
            <w:r>
              <w:rPr>
                <w:spacing w:val="8"/>
                <w:sz w:val="19"/>
                <w:szCs w:val="19"/>
              </w:rPr>
              <w:t xml:space="preserve"> </w:t>
            </w:r>
            <w:r>
              <w:rPr>
                <w:spacing w:val="5"/>
                <w:sz w:val="19"/>
                <w:szCs w:val="19"/>
              </w:rPr>
              <w:t>害的活动。</w:t>
            </w:r>
          </w:p>
        </w:tc>
        <w:tc>
          <w:tcPr>
            <w:tcW w:w="4386" w:type="dxa"/>
            <w:tcBorders>
              <w:bottom w:val="single" w:color="000000" w:sz="10" w:space="0"/>
            </w:tcBorders>
            <w:vAlign w:val="top"/>
          </w:tcPr>
          <w:p w14:paraId="676CC2F7">
            <w:pPr>
              <w:spacing w:line="296" w:lineRule="auto"/>
              <w:rPr>
                <w:rFonts w:ascii="Arial"/>
                <w:sz w:val="21"/>
              </w:rPr>
            </w:pPr>
          </w:p>
          <w:p w14:paraId="38793231">
            <w:pPr>
              <w:spacing w:line="296" w:lineRule="auto"/>
              <w:rPr>
                <w:rFonts w:ascii="Arial"/>
                <w:sz w:val="21"/>
              </w:rPr>
            </w:pPr>
          </w:p>
          <w:p w14:paraId="0D6E6E6A">
            <w:pPr>
              <w:spacing w:line="297" w:lineRule="auto"/>
              <w:rPr>
                <w:rFonts w:ascii="Arial"/>
                <w:sz w:val="21"/>
              </w:rPr>
            </w:pPr>
          </w:p>
          <w:p w14:paraId="11017D95">
            <w:pPr>
              <w:pStyle w:val="6"/>
              <w:spacing w:before="62" w:line="249" w:lineRule="auto"/>
              <w:ind w:left="126" w:right="127" w:firstLine="356"/>
              <w:rPr>
                <w:sz w:val="19"/>
                <w:szCs w:val="19"/>
              </w:rPr>
            </w:pPr>
            <w:r>
              <w:rPr>
                <w:spacing w:val="8"/>
                <w:sz w:val="19"/>
                <w:szCs w:val="19"/>
              </w:rPr>
              <w:t>本次评价的勘查均不涉及地质灾害危险区。</w:t>
            </w:r>
            <w:r>
              <w:rPr>
                <w:spacing w:val="7"/>
                <w:sz w:val="19"/>
                <w:szCs w:val="19"/>
              </w:rPr>
              <w:t xml:space="preserve"> </w:t>
            </w:r>
            <w:r>
              <w:rPr>
                <w:sz w:val="19"/>
                <w:szCs w:val="19"/>
              </w:rPr>
              <w:t>符合。</w:t>
            </w:r>
          </w:p>
        </w:tc>
        <w:tc>
          <w:tcPr>
            <w:tcW w:w="1897" w:type="dxa"/>
            <w:tcBorders>
              <w:bottom w:val="single" w:color="000000" w:sz="10" w:space="0"/>
              <w:right w:val="single" w:color="000000" w:sz="10" w:space="0"/>
            </w:tcBorders>
            <w:vAlign w:val="top"/>
          </w:tcPr>
          <w:p w14:paraId="5E3D7447">
            <w:pPr>
              <w:spacing w:line="264" w:lineRule="auto"/>
              <w:rPr>
                <w:rFonts w:ascii="Arial"/>
                <w:sz w:val="21"/>
              </w:rPr>
            </w:pPr>
          </w:p>
          <w:p w14:paraId="6D8647FC">
            <w:pPr>
              <w:spacing w:line="264" w:lineRule="auto"/>
              <w:rPr>
                <w:rFonts w:ascii="Arial"/>
                <w:sz w:val="21"/>
              </w:rPr>
            </w:pPr>
          </w:p>
          <w:p w14:paraId="176EF8B6">
            <w:pPr>
              <w:spacing w:line="264" w:lineRule="auto"/>
              <w:rPr>
                <w:rFonts w:ascii="Arial"/>
                <w:sz w:val="21"/>
              </w:rPr>
            </w:pPr>
          </w:p>
          <w:p w14:paraId="233E40DD">
            <w:pPr>
              <w:spacing w:line="264" w:lineRule="auto"/>
              <w:rPr>
                <w:rFonts w:ascii="Arial"/>
                <w:sz w:val="21"/>
              </w:rPr>
            </w:pPr>
          </w:p>
          <w:p w14:paraId="1536D9B9">
            <w:pPr>
              <w:spacing w:before="55" w:line="199" w:lineRule="auto"/>
              <w:ind w:left="923"/>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r>
    </w:tbl>
    <w:p w14:paraId="3021484C">
      <w:pPr>
        <w:pStyle w:val="2"/>
        <w:spacing w:line="162" w:lineRule="exact"/>
        <w:rPr>
          <w:sz w:val="14"/>
        </w:rPr>
      </w:pPr>
    </w:p>
    <w:p w14:paraId="762F1BC9">
      <w:pPr>
        <w:spacing w:line="162" w:lineRule="exact"/>
        <w:rPr>
          <w:sz w:val="14"/>
          <w:szCs w:val="14"/>
        </w:rPr>
        <w:sectPr>
          <w:footerReference r:id="rId84" w:type="default"/>
          <w:pgSz w:w="16839" w:h="11906"/>
          <w:pgMar w:top="1116" w:right="1023" w:bottom="1480" w:left="1317" w:header="683" w:footer="1318" w:gutter="0"/>
          <w:cols w:space="720" w:num="1"/>
        </w:sectPr>
      </w:pPr>
    </w:p>
    <w:p w14:paraId="4036EA2D">
      <w:pPr>
        <w:spacing w:before="229"/>
      </w:pPr>
    </w:p>
    <w:tbl>
      <w:tblPr>
        <w:tblStyle w:val="5"/>
        <w:tblW w:w="1447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1"/>
        <w:gridCol w:w="1744"/>
        <w:gridCol w:w="5943"/>
        <w:gridCol w:w="4386"/>
        <w:gridCol w:w="1897"/>
      </w:tblGrid>
      <w:tr w14:paraId="3104E1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501" w:type="dxa"/>
            <w:vMerge w:val="restart"/>
            <w:tcBorders>
              <w:top w:val="single" w:color="000000" w:sz="10" w:space="0"/>
              <w:left w:val="single" w:color="000000" w:sz="10" w:space="0"/>
              <w:bottom w:val="nil"/>
            </w:tcBorders>
            <w:textDirection w:val="tbRlV"/>
            <w:vAlign w:val="top"/>
          </w:tcPr>
          <w:p w14:paraId="2FD8578A">
            <w:pPr>
              <w:pStyle w:val="6"/>
              <w:spacing w:before="153" w:line="210" w:lineRule="auto"/>
              <w:ind w:left="174"/>
              <w:rPr>
                <w:sz w:val="19"/>
                <w:szCs w:val="19"/>
              </w:rPr>
            </w:pPr>
            <w:r>
              <w:rPr>
                <w:spacing w:val="13"/>
                <w:sz w:val="19"/>
                <w:szCs w:val="19"/>
              </w:rPr>
              <w:t>序</w:t>
            </w:r>
            <w:r>
              <w:rPr>
                <w:spacing w:val="-40"/>
                <w:sz w:val="19"/>
                <w:szCs w:val="19"/>
              </w:rPr>
              <w:t xml:space="preserve"> </w:t>
            </w:r>
            <w:r>
              <w:rPr>
                <w:spacing w:val="13"/>
                <w:sz w:val="19"/>
                <w:szCs w:val="19"/>
              </w:rPr>
              <w:t>号</w:t>
            </w:r>
          </w:p>
        </w:tc>
        <w:tc>
          <w:tcPr>
            <w:tcW w:w="7687" w:type="dxa"/>
            <w:gridSpan w:val="2"/>
            <w:tcBorders>
              <w:top w:val="single" w:color="000000" w:sz="10" w:space="0"/>
            </w:tcBorders>
            <w:vAlign w:val="top"/>
          </w:tcPr>
          <w:p w14:paraId="547477E7">
            <w:pPr>
              <w:pStyle w:val="6"/>
              <w:spacing w:before="75" w:line="231" w:lineRule="auto"/>
              <w:ind w:left="2551"/>
              <w:rPr>
                <w:sz w:val="19"/>
                <w:szCs w:val="19"/>
              </w:rPr>
            </w:pPr>
            <w:r>
              <w:rPr>
                <w:spacing w:val="8"/>
                <w:sz w:val="19"/>
                <w:szCs w:val="19"/>
              </w:rPr>
              <w:t>上层位规划和主体功能区规划</w:t>
            </w:r>
          </w:p>
        </w:tc>
        <w:tc>
          <w:tcPr>
            <w:tcW w:w="4386" w:type="dxa"/>
            <w:vMerge w:val="restart"/>
            <w:tcBorders>
              <w:top w:val="single" w:color="000000" w:sz="10" w:space="0"/>
              <w:bottom w:val="nil"/>
            </w:tcBorders>
            <w:vAlign w:val="top"/>
          </w:tcPr>
          <w:p w14:paraId="474BC996">
            <w:pPr>
              <w:spacing w:line="242" w:lineRule="auto"/>
              <w:rPr>
                <w:rFonts w:ascii="Arial"/>
                <w:sz w:val="21"/>
              </w:rPr>
            </w:pPr>
          </w:p>
          <w:p w14:paraId="040B3137">
            <w:pPr>
              <w:pStyle w:val="6"/>
              <w:spacing w:before="62" w:line="229" w:lineRule="auto"/>
              <w:ind w:left="909"/>
              <w:rPr>
                <w:sz w:val="19"/>
                <w:szCs w:val="19"/>
              </w:rPr>
            </w:pPr>
            <w:r>
              <w:rPr>
                <w:spacing w:val="9"/>
                <w:sz w:val="19"/>
                <w:szCs w:val="19"/>
              </w:rPr>
              <w:t>本《规划调整》的符合性分析</w:t>
            </w:r>
          </w:p>
        </w:tc>
        <w:tc>
          <w:tcPr>
            <w:tcW w:w="1897" w:type="dxa"/>
            <w:vMerge w:val="restart"/>
            <w:tcBorders>
              <w:top w:val="single" w:color="000000" w:sz="10" w:space="0"/>
              <w:bottom w:val="nil"/>
              <w:right w:val="single" w:color="000000" w:sz="10" w:space="0"/>
            </w:tcBorders>
            <w:vAlign w:val="top"/>
          </w:tcPr>
          <w:p w14:paraId="3ADA7D73">
            <w:pPr>
              <w:spacing w:line="243" w:lineRule="auto"/>
              <w:rPr>
                <w:rFonts w:ascii="Arial"/>
                <w:sz w:val="21"/>
              </w:rPr>
            </w:pPr>
          </w:p>
          <w:p w14:paraId="5996E1D7">
            <w:pPr>
              <w:pStyle w:val="6"/>
              <w:spacing w:before="61" w:line="231" w:lineRule="auto"/>
              <w:ind w:left="362"/>
              <w:rPr>
                <w:sz w:val="19"/>
                <w:szCs w:val="19"/>
              </w:rPr>
            </w:pPr>
            <w:r>
              <w:rPr>
                <w:spacing w:val="7"/>
                <w:sz w:val="19"/>
                <w:szCs w:val="19"/>
              </w:rPr>
              <w:t>优化调整建议</w:t>
            </w:r>
          </w:p>
        </w:tc>
      </w:tr>
      <w:tr w14:paraId="43DD69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501" w:type="dxa"/>
            <w:vMerge w:val="continue"/>
            <w:tcBorders>
              <w:top w:val="nil"/>
              <w:left w:val="single" w:color="000000" w:sz="10" w:space="0"/>
            </w:tcBorders>
            <w:textDirection w:val="tbRlV"/>
            <w:vAlign w:val="top"/>
          </w:tcPr>
          <w:p w14:paraId="69710A2D">
            <w:pPr>
              <w:rPr>
                <w:rFonts w:ascii="Arial"/>
                <w:sz w:val="21"/>
              </w:rPr>
            </w:pPr>
          </w:p>
        </w:tc>
        <w:tc>
          <w:tcPr>
            <w:tcW w:w="1744" w:type="dxa"/>
            <w:vAlign w:val="top"/>
          </w:tcPr>
          <w:p w14:paraId="614731F0">
            <w:pPr>
              <w:pStyle w:val="6"/>
              <w:spacing w:before="124" w:line="230" w:lineRule="auto"/>
              <w:ind w:left="673"/>
              <w:rPr>
                <w:sz w:val="19"/>
                <w:szCs w:val="19"/>
              </w:rPr>
            </w:pPr>
            <w:r>
              <w:rPr>
                <w:spacing w:val="2"/>
                <w:sz w:val="19"/>
                <w:szCs w:val="19"/>
              </w:rPr>
              <w:t>名称</w:t>
            </w:r>
          </w:p>
        </w:tc>
        <w:tc>
          <w:tcPr>
            <w:tcW w:w="5943" w:type="dxa"/>
            <w:vAlign w:val="top"/>
          </w:tcPr>
          <w:p w14:paraId="5941C4E1">
            <w:pPr>
              <w:pStyle w:val="6"/>
              <w:spacing w:before="124" w:line="231" w:lineRule="auto"/>
              <w:ind w:left="1785"/>
              <w:rPr>
                <w:sz w:val="19"/>
                <w:szCs w:val="19"/>
              </w:rPr>
            </w:pPr>
            <w:r>
              <w:rPr>
                <w:spacing w:val="8"/>
                <w:sz w:val="19"/>
                <w:szCs w:val="19"/>
              </w:rPr>
              <w:t>与本《规划调整》相关内容</w:t>
            </w:r>
          </w:p>
        </w:tc>
        <w:tc>
          <w:tcPr>
            <w:tcW w:w="4386" w:type="dxa"/>
            <w:vMerge w:val="continue"/>
            <w:tcBorders>
              <w:top w:val="nil"/>
            </w:tcBorders>
            <w:vAlign w:val="top"/>
          </w:tcPr>
          <w:p w14:paraId="692E9688">
            <w:pPr>
              <w:rPr>
                <w:rFonts w:ascii="Arial"/>
                <w:sz w:val="21"/>
              </w:rPr>
            </w:pPr>
          </w:p>
        </w:tc>
        <w:tc>
          <w:tcPr>
            <w:tcW w:w="1897" w:type="dxa"/>
            <w:vMerge w:val="continue"/>
            <w:tcBorders>
              <w:top w:val="nil"/>
              <w:right w:val="single" w:color="000000" w:sz="10" w:space="0"/>
            </w:tcBorders>
            <w:vAlign w:val="top"/>
          </w:tcPr>
          <w:p w14:paraId="57E7891B">
            <w:pPr>
              <w:rPr>
                <w:rFonts w:ascii="Arial"/>
                <w:sz w:val="21"/>
              </w:rPr>
            </w:pPr>
          </w:p>
        </w:tc>
      </w:tr>
      <w:tr w14:paraId="661A9B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1" w:hRule="atLeast"/>
        </w:trPr>
        <w:tc>
          <w:tcPr>
            <w:tcW w:w="501" w:type="dxa"/>
            <w:tcBorders>
              <w:left w:val="single" w:color="000000" w:sz="10" w:space="0"/>
            </w:tcBorders>
            <w:vAlign w:val="top"/>
          </w:tcPr>
          <w:p w14:paraId="2E1B42DF">
            <w:pPr>
              <w:spacing w:line="259" w:lineRule="auto"/>
              <w:rPr>
                <w:rFonts w:ascii="Arial"/>
                <w:sz w:val="21"/>
              </w:rPr>
            </w:pPr>
          </w:p>
          <w:p w14:paraId="51285602">
            <w:pPr>
              <w:spacing w:line="259" w:lineRule="auto"/>
              <w:rPr>
                <w:rFonts w:ascii="Arial"/>
                <w:sz w:val="21"/>
              </w:rPr>
            </w:pPr>
          </w:p>
          <w:p w14:paraId="76E2B186">
            <w:pPr>
              <w:spacing w:line="259" w:lineRule="auto"/>
              <w:rPr>
                <w:rFonts w:ascii="Arial"/>
                <w:sz w:val="21"/>
              </w:rPr>
            </w:pPr>
          </w:p>
          <w:p w14:paraId="2B61620E">
            <w:pPr>
              <w:spacing w:line="259" w:lineRule="auto"/>
              <w:rPr>
                <w:rFonts w:ascii="Arial"/>
                <w:sz w:val="21"/>
              </w:rPr>
            </w:pPr>
          </w:p>
          <w:p w14:paraId="4EDBFAE8">
            <w:pPr>
              <w:spacing w:line="259" w:lineRule="auto"/>
              <w:rPr>
                <w:rFonts w:ascii="Arial"/>
                <w:sz w:val="21"/>
              </w:rPr>
            </w:pPr>
          </w:p>
          <w:p w14:paraId="0DB32E48">
            <w:pPr>
              <w:spacing w:line="259" w:lineRule="auto"/>
              <w:rPr>
                <w:rFonts w:ascii="Arial"/>
                <w:sz w:val="21"/>
              </w:rPr>
            </w:pPr>
          </w:p>
          <w:p w14:paraId="0DF4E296">
            <w:pPr>
              <w:spacing w:line="260" w:lineRule="auto"/>
              <w:rPr>
                <w:rFonts w:ascii="Arial"/>
                <w:sz w:val="21"/>
              </w:rPr>
            </w:pPr>
          </w:p>
          <w:p w14:paraId="32D50B42">
            <w:pPr>
              <w:spacing w:line="260" w:lineRule="auto"/>
              <w:rPr>
                <w:rFonts w:ascii="Arial"/>
                <w:sz w:val="21"/>
              </w:rPr>
            </w:pPr>
          </w:p>
          <w:p w14:paraId="66A498E8">
            <w:pPr>
              <w:spacing w:before="54" w:line="195" w:lineRule="auto"/>
              <w:ind w:left="192"/>
              <w:rPr>
                <w:rFonts w:ascii="Times New Roman" w:hAnsi="Times New Roman" w:eastAsia="Times New Roman" w:cs="Times New Roman"/>
                <w:sz w:val="19"/>
                <w:szCs w:val="19"/>
              </w:rPr>
            </w:pPr>
            <w:r>
              <w:rPr>
                <w:rFonts w:ascii="Times New Roman" w:hAnsi="Times New Roman" w:eastAsia="Times New Roman" w:cs="Times New Roman"/>
                <w:sz w:val="19"/>
                <w:szCs w:val="19"/>
              </w:rPr>
              <w:t>6</w:t>
            </w:r>
          </w:p>
        </w:tc>
        <w:tc>
          <w:tcPr>
            <w:tcW w:w="1744" w:type="dxa"/>
            <w:vAlign w:val="top"/>
          </w:tcPr>
          <w:p w14:paraId="50E4A31C">
            <w:pPr>
              <w:spacing w:line="253" w:lineRule="auto"/>
              <w:rPr>
                <w:rFonts w:ascii="Arial"/>
                <w:sz w:val="21"/>
              </w:rPr>
            </w:pPr>
          </w:p>
          <w:p w14:paraId="33250941">
            <w:pPr>
              <w:spacing w:line="253" w:lineRule="auto"/>
              <w:rPr>
                <w:rFonts w:ascii="Arial"/>
                <w:sz w:val="21"/>
              </w:rPr>
            </w:pPr>
          </w:p>
          <w:p w14:paraId="0826571D">
            <w:pPr>
              <w:spacing w:line="253" w:lineRule="auto"/>
              <w:rPr>
                <w:rFonts w:ascii="Arial"/>
                <w:sz w:val="21"/>
              </w:rPr>
            </w:pPr>
          </w:p>
          <w:p w14:paraId="6F36520C">
            <w:pPr>
              <w:spacing w:line="253" w:lineRule="auto"/>
              <w:rPr>
                <w:rFonts w:ascii="Arial"/>
                <w:sz w:val="21"/>
              </w:rPr>
            </w:pPr>
          </w:p>
          <w:p w14:paraId="24DD2138">
            <w:pPr>
              <w:spacing w:line="253" w:lineRule="auto"/>
              <w:rPr>
                <w:rFonts w:ascii="Arial"/>
                <w:sz w:val="21"/>
              </w:rPr>
            </w:pPr>
          </w:p>
          <w:p w14:paraId="3DCCE32B">
            <w:pPr>
              <w:spacing w:line="253" w:lineRule="auto"/>
              <w:rPr>
                <w:rFonts w:ascii="Arial"/>
                <w:sz w:val="21"/>
              </w:rPr>
            </w:pPr>
          </w:p>
          <w:p w14:paraId="113850EC">
            <w:pPr>
              <w:pStyle w:val="6"/>
              <w:spacing w:before="61" w:line="231" w:lineRule="auto"/>
              <w:ind w:left="73"/>
              <w:rPr>
                <w:sz w:val="19"/>
                <w:szCs w:val="19"/>
              </w:rPr>
            </w:pPr>
            <w:r>
              <w:rPr>
                <w:spacing w:val="8"/>
                <w:sz w:val="19"/>
                <w:szCs w:val="19"/>
              </w:rPr>
              <w:t>《重庆市生态环境</w:t>
            </w:r>
          </w:p>
          <w:p w14:paraId="08488578">
            <w:pPr>
              <w:pStyle w:val="6"/>
              <w:spacing w:before="21" w:line="230" w:lineRule="auto"/>
              <w:rPr>
                <w:sz w:val="19"/>
                <w:szCs w:val="19"/>
              </w:rPr>
            </w:pPr>
            <w:r>
              <w:rPr>
                <w:spacing w:val="-1"/>
                <w:sz w:val="19"/>
                <w:szCs w:val="19"/>
              </w:rPr>
              <w:t>保护“十四五</w:t>
            </w:r>
            <w:r>
              <w:rPr>
                <w:spacing w:val="-65"/>
                <w:sz w:val="19"/>
                <w:szCs w:val="19"/>
              </w:rPr>
              <w:t xml:space="preserve"> </w:t>
            </w:r>
            <w:r>
              <w:rPr>
                <w:spacing w:val="-1"/>
                <w:sz w:val="19"/>
                <w:szCs w:val="19"/>
              </w:rPr>
              <w:t>”规划</w:t>
            </w:r>
          </w:p>
          <w:p w14:paraId="49F4B510">
            <w:pPr>
              <w:pStyle w:val="6"/>
              <w:spacing w:before="22" w:line="231" w:lineRule="auto"/>
              <w:jc w:val="right"/>
              <w:rPr>
                <w:sz w:val="19"/>
                <w:szCs w:val="19"/>
              </w:rPr>
            </w:pPr>
            <w:r>
              <w:rPr>
                <w:spacing w:val="-3"/>
                <w:sz w:val="19"/>
                <w:szCs w:val="19"/>
              </w:rPr>
              <w:t>（</w:t>
            </w:r>
            <w:r>
              <w:rPr>
                <w:rFonts w:ascii="Times New Roman" w:hAnsi="Times New Roman" w:eastAsia="Times New Roman" w:cs="Times New Roman"/>
                <w:spacing w:val="-3"/>
                <w:sz w:val="19"/>
                <w:szCs w:val="19"/>
              </w:rPr>
              <w:t>2021</w:t>
            </w:r>
            <w:r>
              <w:rPr>
                <w:spacing w:val="-3"/>
                <w:sz w:val="19"/>
                <w:szCs w:val="19"/>
              </w:rPr>
              <w:t>—</w:t>
            </w:r>
            <w:r>
              <w:rPr>
                <w:rFonts w:ascii="Times New Roman" w:hAnsi="Times New Roman" w:eastAsia="Times New Roman" w:cs="Times New Roman"/>
                <w:spacing w:val="-3"/>
                <w:sz w:val="19"/>
                <w:szCs w:val="19"/>
              </w:rPr>
              <w:t>2025</w:t>
            </w:r>
            <w:r>
              <w:rPr>
                <w:rFonts w:ascii="Times New Roman" w:hAnsi="Times New Roman" w:eastAsia="Times New Roman" w:cs="Times New Roman"/>
                <w:spacing w:val="18"/>
                <w:w w:val="101"/>
                <w:sz w:val="19"/>
                <w:szCs w:val="19"/>
              </w:rPr>
              <w:t xml:space="preserve"> </w:t>
            </w:r>
            <w:r>
              <w:rPr>
                <w:spacing w:val="-3"/>
                <w:sz w:val="19"/>
                <w:szCs w:val="19"/>
              </w:rPr>
              <w:t>年）》</w:t>
            </w:r>
          </w:p>
          <w:p w14:paraId="524947E5">
            <w:pPr>
              <w:pStyle w:val="6"/>
              <w:spacing w:before="23" w:line="231" w:lineRule="auto"/>
              <w:rPr>
                <w:rFonts w:ascii="Times New Roman" w:hAnsi="Times New Roman" w:eastAsia="Times New Roman" w:cs="Times New Roman"/>
                <w:sz w:val="19"/>
                <w:szCs w:val="19"/>
              </w:rPr>
            </w:pPr>
            <w:r>
              <w:rPr>
                <w:spacing w:val="1"/>
                <w:sz w:val="19"/>
                <w:szCs w:val="19"/>
              </w:rPr>
              <w:t>（渝府发〔</w:t>
            </w:r>
            <w:r>
              <w:rPr>
                <w:rFonts w:ascii="Times New Roman" w:hAnsi="Times New Roman" w:eastAsia="Times New Roman" w:cs="Times New Roman"/>
                <w:spacing w:val="1"/>
                <w:sz w:val="19"/>
                <w:szCs w:val="19"/>
              </w:rPr>
              <w:t>2022</w:t>
            </w:r>
            <w:r>
              <w:rPr>
                <w:spacing w:val="1"/>
                <w:sz w:val="19"/>
                <w:szCs w:val="19"/>
              </w:rPr>
              <w:t>〕</w:t>
            </w:r>
            <w:r>
              <w:rPr>
                <w:rFonts w:ascii="Times New Roman" w:hAnsi="Times New Roman" w:eastAsia="Times New Roman" w:cs="Times New Roman"/>
                <w:spacing w:val="1"/>
                <w:sz w:val="19"/>
                <w:szCs w:val="19"/>
              </w:rPr>
              <w:t>11</w:t>
            </w:r>
          </w:p>
          <w:p w14:paraId="6B337707">
            <w:pPr>
              <w:pStyle w:val="6"/>
              <w:spacing w:before="21" w:line="233" w:lineRule="auto"/>
              <w:ind w:left="677"/>
              <w:rPr>
                <w:sz w:val="19"/>
                <w:szCs w:val="19"/>
              </w:rPr>
            </w:pPr>
            <w:r>
              <w:rPr>
                <w:spacing w:val="-5"/>
                <w:sz w:val="19"/>
                <w:szCs w:val="19"/>
              </w:rPr>
              <w:t>号）</w:t>
            </w:r>
          </w:p>
        </w:tc>
        <w:tc>
          <w:tcPr>
            <w:tcW w:w="5943" w:type="dxa"/>
            <w:vAlign w:val="top"/>
          </w:tcPr>
          <w:p w14:paraId="6CF79C53">
            <w:pPr>
              <w:pStyle w:val="6"/>
              <w:spacing w:before="32" w:line="252" w:lineRule="auto"/>
              <w:ind w:left="55" w:right="48" w:firstLine="447"/>
              <w:jc w:val="both"/>
              <w:rPr>
                <w:sz w:val="19"/>
                <w:szCs w:val="19"/>
              </w:rPr>
            </w:pPr>
            <w:r>
              <w:rPr>
                <w:spacing w:val="9"/>
                <w:sz w:val="19"/>
                <w:szCs w:val="19"/>
              </w:rPr>
              <w:t>强化国土空间规划和用途管控，落实生态保护红线、永久基本</w:t>
            </w:r>
            <w:r>
              <w:rPr>
                <w:spacing w:val="13"/>
                <w:sz w:val="19"/>
                <w:szCs w:val="19"/>
              </w:rPr>
              <w:t xml:space="preserve"> </w:t>
            </w:r>
            <w:r>
              <w:rPr>
                <w:spacing w:val="9"/>
                <w:sz w:val="19"/>
                <w:szCs w:val="19"/>
              </w:rPr>
              <w:t>农</w:t>
            </w:r>
            <w:r>
              <w:rPr>
                <w:spacing w:val="-35"/>
                <w:sz w:val="19"/>
                <w:szCs w:val="19"/>
              </w:rPr>
              <w:t xml:space="preserve"> </w:t>
            </w:r>
            <w:r>
              <w:rPr>
                <w:spacing w:val="9"/>
                <w:sz w:val="19"/>
                <w:szCs w:val="19"/>
              </w:rPr>
              <w:t>田、城镇开发边界等功能空间控制线。根据生态保护需要，结合</w:t>
            </w:r>
            <w:r>
              <w:rPr>
                <w:sz w:val="19"/>
                <w:szCs w:val="19"/>
              </w:rPr>
              <w:t xml:space="preserve"> </w:t>
            </w:r>
            <w:r>
              <w:rPr>
                <w:spacing w:val="11"/>
                <w:sz w:val="19"/>
                <w:szCs w:val="19"/>
              </w:rPr>
              <w:t>土地综合整治、工矿废弃地复垦利用、矿山环境恢复治理等各类工</w:t>
            </w:r>
            <w:r>
              <w:rPr>
                <w:spacing w:val="2"/>
                <w:sz w:val="19"/>
                <w:szCs w:val="19"/>
              </w:rPr>
              <w:t xml:space="preserve"> </w:t>
            </w:r>
            <w:r>
              <w:rPr>
                <w:spacing w:val="7"/>
                <w:sz w:val="19"/>
                <w:szCs w:val="19"/>
              </w:rPr>
              <w:t>程实施，</w:t>
            </w:r>
            <w:r>
              <w:rPr>
                <w:spacing w:val="-44"/>
                <w:sz w:val="19"/>
                <w:szCs w:val="19"/>
              </w:rPr>
              <w:t xml:space="preserve"> </w:t>
            </w:r>
            <w:r>
              <w:rPr>
                <w:spacing w:val="7"/>
                <w:sz w:val="19"/>
                <w:szCs w:val="19"/>
              </w:rPr>
              <w:t>因地制宜促进生态空间内建设用地逐步有序退出。</w:t>
            </w:r>
          </w:p>
          <w:p w14:paraId="03B9F037">
            <w:pPr>
              <w:pStyle w:val="6"/>
              <w:spacing w:before="3" w:line="251" w:lineRule="auto"/>
              <w:ind w:left="54" w:right="48" w:firstLine="441"/>
              <w:jc w:val="both"/>
              <w:rPr>
                <w:sz w:val="19"/>
                <w:szCs w:val="19"/>
              </w:rPr>
            </w:pPr>
            <w:r>
              <w:rPr>
                <w:spacing w:val="7"/>
                <w:sz w:val="19"/>
                <w:szCs w:val="19"/>
              </w:rPr>
              <w:t>加强生态保护红线管控。生态保护红线内，</w:t>
            </w:r>
            <w:r>
              <w:rPr>
                <w:spacing w:val="-21"/>
                <w:sz w:val="19"/>
                <w:szCs w:val="19"/>
              </w:rPr>
              <w:t xml:space="preserve"> </w:t>
            </w:r>
            <w:r>
              <w:rPr>
                <w:spacing w:val="7"/>
                <w:sz w:val="19"/>
                <w:szCs w:val="19"/>
              </w:rPr>
              <w:t>自然保护地核心保</w:t>
            </w:r>
            <w:r>
              <w:rPr>
                <w:sz w:val="19"/>
                <w:szCs w:val="19"/>
              </w:rPr>
              <w:t xml:space="preserve"> </w:t>
            </w:r>
            <w:r>
              <w:rPr>
                <w:spacing w:val="11"/>
                <w:sz w:val="19"/>
                <w:szCs w:val="19"/>
              </w:rPr>
              <w:t>护区原则上禁止人为活动，其他区域严格禁止开发性、生产性建设</w:t>
            </w:r>
            <w:r>
              <w:rPr>
                <w:spacing w:val="3"/>
                <w:sz w:val="19"/>
                <w:szCs w:val="19"/>
              </w:rPr>
              <w:t xml:space="preserve"> </w:t>
            </w:r>
            <w:r>
              <w:rPr>
                <w:spacing w:val="11"/>
                <w:sz w:val="19"/>
                <w:szCs w:val="19"/>
              </w:rPr>
              <w:t>活动，在符合现行法律法规前提下，除国家重大战略项目外，仅允</w:t>
            </w:r>
            <w:r>
              <w:rPr>
                <w:spacing w:val="3"/>
                <w:sz w:val="19"/>
                <w:szCs w:val="19"/>
              </w:rPr>
              <w:t xml:space="preserve"> </w:t>
            </w:r>
            <w:r>
              <w:rPr>
                <w:spacing w:val="8"/>
                <w:sz w:val="19"/>
                <w:szCs w:val="19"/>
              </w:rPr>
              <w:t>许对生态功能不造成破坏的有限人为活动。</w:t>
            </w:r>
          </w:p>
          <w:p w14:paraId="7CDDEB29">
            <w:pPr>
              <w:pStyle w:val="6"/>
              <w:spacing w:before="1" w:line="252" w:lineRule="auto"/>
              <w:ind w:left="45" w:right="48" w:firstLine="453"/>
              <w:jc w:val="both"/>
              <w:rPr>
                <w:sz w:val="19"/>
                <w:szCs w:val="19"/>
              </w:rPr>
            </w:pPr>
            <w:r>
              <w:rPr>
                <w:spacing w:val="9"/>
                <w:sz w:val="19"/>
                <w:szCs w:val="19"/>
              </w:rPr>
              <w:t>治理修复矿山生态环境。深化历史遗留和关闭矿山地质环境治</w:t>
            </w:r>
            <w:r>
              <w:rPr>
                <w:spacing w:val="16"/>
                <w:sz w:val="19"/>
                <w:szCs w:val="19"/>
              </w:rPr>
              <w:t xml:space="preserve"> </w:t>
            </w:r>
            <w:r>
              <w:rPr>
                <w:spacing w:val="11"/>
                <w:sz w:val="19"/>
                <w:szCs w:val="19"/>
              </w:rPr>
              <w:t xml:space="preserve">理恢复与土地复垦工作，优先实施自然保护地、生态保护红线范围 内矿山地质环境治理恢复与土地复垦。加强新建和在建矿山地质环 境的保护和修复监管力度。依法依规关闭污染环境、破坏生态、乱 </w:t>
            </w:r>
            <w:r>
              <w:rPr>
                <w:spacing w:val="7"/>
                <w:sz w:val="19"/>
                <w:szCs w:val="19"/>
              </w:rPr>
              <w:t>采滥挖的矿山。到</w:t>
            </w:r>
            <w:r>
              <w:rPr>
                <w:spacing w:val="-38"/>
                <w:sz w:val="19"/>
                <w:szCs w:val="19"/>
              </w:rPr>
              <w:t xml:space="preserve"> </w:t>
            </w:r>
            <w:r>
              <w:rPr>
                <w:rFonts w:ascii="Times New Roman" w:hAnsi="Times New Roman" w:eastAsia="Times New Roman" w:cs="Times New Roman"/>
                <w:spacing w:val="7"/>
                <w:sz w:val="19"/>
                <w:szCs w:val="19"/>
              </w:rPr>
              <w:t>2025</w:t>
            </w:r>
            <w:r>
              <w:rPr>
                <w:rFonts w:ascii="Times New Roman" w:hAnsi="Times New Roman" w:eastAsia="Times New Roman" w:cs="Times New Roman"/>
                <w:spacing w:val="19"/>
                <w:w w:val="101"/>
                <w:sz w:val="19"/>
                <w:szCs w:val="19"/>
              </w:rPr>
              <w:t xml:space="preserve"> </w:t>
            </w:r>
            <w:r>
              <w:rPr>
                <w:spacing w:val="7"/>
                <w:sz w:val="19"/>
                <w:szCs w:val="19"/>
              </w:rPr>
              <w:t>年，完成历史遗留和</w:t>
            </w:r>
            <w:r>
              <w:rPr>
                <w:spacing w:val="6"/>
                <w:sz w:val="19"/>
                <w:szCs w:val="19"/>
              </w:rPr>
              <w:t>关闭矿山生态修复面积</w:t>
            </w:r>
            <w:r>
              <w:rPr>
                <w:sz w:val="19"/>
                <w:szCs w:val="19"/>
              </w:rPr>
              <w:t xml:space="preserve"> </w:t>
            </w:r>
            <w:r>
              <w:rPr>
                <w:rFonts w:ascii="Times New Roman" w:hAnsi="Times New Roman" w:eastAsia="Times New Roman" w:cs="Times New Roman"/>
                <w:spacing w:val="9"/>
                <w:sz w:val="19"/>
                <w:szCs w:val="19"/>
              </w:rPr>
              <w:t xml:space="preserve">24.5 </w:t>
            </w:r>
            <w:r>
              <w:rPr>
                <w:spacing w:val="9"/>
                <w:sz w:val="19"/>
                <w:szCs w:val="19"/>
              </w:rPr>
              <w:t>平方公里，累计完成总任务量的</w:t>
            </w:r>
            <w:r>
              <w:rPr>
                <w:spacing w:val="-30"/>
                <w:sz w:val="19"/>
                <w:szCs w:val="19"/>
              </w:rPr>
              <w:t xml:space="preserve"> </w:t>
            </w:r>
            <w:r>
              <w:rPr>
                <w:rFonts w:ascii="Times New Roman" w:hAnsi="Times New Roman" w:eastAsia="Times New Roman" w:cs="Times New Roman"/>
                <w:spacing w:val="9"/>
                <w:sz w:val="19"/>
                <w:szCs w:val="19"/>
              </w:rPr>
              <w:t>85%</w:t>
            </w:r>
            <w:r>
              <w:rPr>
                <w:spacing w:val="9"/>
                <w:sz w:val="19"/>
                <w:szCs w:val="19"/>
              </w:rPr>
              <w:t>以上。积极推进绿色矿山</w:t>
            </w:r>
            <w:r>
              <w:rPr>
                <w:sz w:val="19"/>
                <w:szCs w:val="19"/>
              </w:rPr>
              <w:t xml:space="preserve"> </w:t>
            </w:r>
            <w:r>
              <w:rPr>
                <w:spacing w:val="11"/>
                <w:sz w:val="19"/>
                <w:szCs w:val="19"/>
              </w:rPr>
              <w:t xml:space="preserve">建设，依法依规开展绿色矿山第三方评估，强化市级绿色矿山名录 </w:t>
            </w:r>
            <w:r>
              <w:rPr>
                <w:spacing w:val="4"/>
                <w:sz w:val="19"/>
                <w:szCs w:val="19"/>
              </w:rPr>
              <w:t>管理。</w:t>
            </w:r>
          </w:p>
          <w:p w14:paraId="716FED3C">
            <w:pPr>
              <w:pStyle w:val="6"/>
              <w:spacing w:line="201" w:lineRule="auto"/>
              <w:ind w:left="496"/>
              <w:rPr>
                <w:sz w:val="19"/>
                <w:szCs w:val="19"/>
              </w:rPr>
            </w:pPr>
            <w:r>
              <w:rPr>
                <w:spacing w:val="7"/>
                <w:sz w:val="19"/>
                <w:szCs w:val="19"/>
              </w:rPr>
              <w:t>开展关闭煤矿矿井水治理。</w:t>
            </w:r>
          </w:p>
        </w:tc>
        <w:tc>
          <w:tcPr>
            <w:tcW w:w="4386" w:type="dxa"/>
            <w:vMerge w:val="restart"/>
            <w:tcBorders>
              <w:bottom w:val="nil"/>
            </w:tcBorders>
            <w:vAlign w:val="top"/>
          </w:tcPr>
          <w:p w14:paraId="592C5E5E">
            <w:pPr>
              <w:spacing w:line="254" w:lineRule="auto"/>
              <w:rPr>
                <w:rFonts w:ascii="Arial"/>
                <w:sz w:val="21"/>
              </w:rPr>
            </w:pPr>
          </w:p>
          <w:p w14:paraId="20975F93">
            <w:pPr>
              <w:spacing w:line="254" w:lineRule="auto"/>
              <w:rPr>
                <w:rFonts w:ascii="Arial"/>
                <w:sz w:val="21"/>
              </w:rPr>
            </w:pPr>
          </w:p>
          <w:p w14:paraId="60BBE128">
            <w:pPr>
              <w:spacing w:line="254" w:lineRule="auto"/>
              <w:rPr>
                <w:rFonts w:ascii="Arial"/>
                <w:sz w:val="21"/>
              </w:rPr>
            </w:pPr>
          </w:p>
          <w:p w14:paraId="3E74C327">
            <w:pPr>
              <w:spacing w:line="254" w:lineRule="auto"/>
              <w:rPr>
                <w:rFonts w:ascii="Arial"/>
                <w:sz w:val="21"/>
              </w:rPr>
            </w:pPr>
          </w:p>
          <w:p w14:paraId="1C1F11E9">
            <w:pPr>
              <w:spacing w:line="254" w:lineRule="auto"/>
              <w:rPr>
                <w:rFonts w:ascii="Arial"/>
                <w:sz w:val="21"/>
              </w:rPr>
            </w:pPr>
          </w:p>
          <w:p w14:paraId="416CF1BF">
            <w:pPr>
              <w:spacing w:line="255" w:lineRule="auto"/>
              <w:rPr>
                <w:rFonts w:ascii="Arial"/>
                <w:sz w:val="21"/>
              </w:rPr>
            </w:pPr>
          </w:p>
          <w:p w14:paraId="50A445EE">
            <w:pPr>
              <w:spacing w:line="255" w:lineRule="auto"/>
              <w:rPr>
                <w:rFonts w:ascii="Arial"/>
                <w:sz w:val="21"/>
              </w:rPr>
            </w:pPr>
          </w:p>
          <w:p w14:paraId="62590F9A">
            <w:pPr>
              <w:spacing w:line="255" w:lineRule="auto"/>
              <w:rPr>
                <w:rFonts w:ascii="Arial"/>
                <w:sz w:val="21"/>
              </w:rPr>
            </w:pPr>
          </w:p>
          <w:p w14:paraId="30F62B1B">
            <w:pPr>
              <w:pStyle w:val="6"/>
              <w:spacing w:before="61" w:line="252" w:lineRule="auto"/>
              <w:ind w:left="66" w:right="41" w:firstLine="440"/>
              <w:jc w:val="both"/>
              <w:rPr>
                <w:sz w:val="19"/>
                <w:szCs w:val="19"/>
              </w:rPr>
            </w:pPr>
            <w:r>
              <w:rPr>
                <w:spacing w:val="11"/>
                <w:sz w:val="19"/>
                <w:szCs w:val="19"/>
              </w:rPr>
              <w:t>严格落实相关法律法规和政策要求，与生态</w:t>
            </w:r>
            <w:r>
              <w:rPr>
                <w:spacing w:val="12"/>
                <w:sz w:val="19"/>
                <w:szCs w:val="19"/>
              </w:rPr>
              <w:t xml:space="preserve"> </w:t>
            </w:r>
            <w:r>
              <w:rPr>
                <w:spacing w:val="13"/>
                <w:sz w:val="19"/>
                <w:szCs w:val="19"/>
              </w:rPr>
              <w:t>保护红线、城镇开发边界、永久基本农田等控制</w:t>
            </w:r>
            <w:r>
              <w:rPr>
                <w:spacing w:val="9"/>
                <w:sz w:val="19"/>
                <w:szCs w:val="19"/>
              </w:rPr>
              <w:t xml:space="preserve"> </w:t>
            </w:r>
            <w:r>
              <w:rPr>
                <w:spacing w:val="13"/>
                <w:sz w:val="19"/>
                <w:szCs w:val="19"/>
              </w:rPr>
              <w:t>线充分衔接。除依法报经有关主管部门批准外，</w:t>
            </w:r>
            <w:r>
              <w:rPr>
                <w:spacing w:val="9"/>
                <w:sz w:val="19"/>
                <w:szCs w:val="19"/>
              </w:rPr>
              <w:t xml:space="preserve"> </w:t>
            </w:r>
            <w:r>
              <w:rPr>
                <w:spacing w:val="13"/>
                <w:sz w:val="19"/>
                <w:szCs w:val="19"/>
              </w:rPr>
              <w:t>不得在生态敏感区、生态保护红线、城镇开发边</w:t>
            </w:r>
            <w:r>
              <w:rPr>
                <w:spacing w:val="9"/>
                <w:sz w:val="19"/>
                <w:szCs w:val="19"/>
              </w:rPr>
              <w:t xml:space="preserve"> </w:t>
            </w:r>
            <w:r>
              <w:rPr>
                <w:spacing w:val="11"/>
                <w:sz w:val="19"/>
                <w:szCs w:val="19"/>
              </w:rPr>
              <w:t>界、永久基本农田范围内以及重大基础设施安</w:t>
            </w:r>
            <w:r>
              <w:rPr>
                <w:sz w:val="19"/>
                <w:szCs w:val="19"/>
              </w:rPr>
              <w:t xml:space="preserve"> </w:t>
            </w:r>
            <w:r>
              <w:rPr>
                <w:spacing w:val="8"/>
                <w:sz w:val="19"/>
                <w:szCs w:val="19"/>
              </w:rPr>
              <w:t>全管控范围内新规划布局勘查开采规划区块。</w:t>
            </w:r>
          </w:p>
          <w:p w14:paraId="7BE600A6">
            <w:pPr>
              <w:pStyle w:val="6"/>
              <w:spacing w:before="2" w:line="252" w:lineRule="auto"/>
              <w:ind w:left="66" w:right="41" w:firstLine="448"/>
              <w:jc w:val="both"/>
              <w:rPr>
                <w:sz w:val="19"/>
                <w:szCs w:val="19"/>
              </w:rPr>
            </w:pPr>
            <w:r>
              <w:rPr>
                <w:spacing w:val="11"/>
                <w:sz w:val="19"/>
                <w:szCs w:val="19"/>
              </w:rPr>
              <w:t>落实生产矿山生态修复主体责任。坚持“边</w:t>
            </w:r>
            <w:r>
              <w:rPr>
                <w:spacing w:val="4"/>
                <w:sz w:val="19"/>
                <w:szCs w:val="19"/>
              </w:rPr>
              <w:t xml:space="preserve"> </w:t>
            </w:r>
            <w:r>
              <w:rPr>
                <w:spacing w:val="12"/>
                <w:sz w:val="19"/>
                <w:szCs w:val="19"/>
              </w:rPr>
              <w:t>开采、边治理</w:t>
            </w:r>
            <w:r>
              <w:rPr>
                <w:spacing w:val="-63"/>
                <w:sz w:val="19"/>
                <w:szCs w:val="19"/>
              </w:rPr>
              <w:t xml:space="preserve"> </w:t>
            </w:r>
            <w:r>
              <w:rPr>
                <w:spacing w:val="12"/>
                <w:sz w:val="19"/>
                <w:szCs w:val="19"/>
              </w:rPr>
              <w:t>”，督促采矿权人采取消除地</w:t>
            </w:r>
            <w:r>
              <w:rPr>
                <w:spacing w:val="11"/>
                <w:sz w:val="19"/>
                <w:szCs w:val="19"/>
              </w:rPr>
              <w:t>质灾</w:t>
            </w:r>
            <w:r>
              <w:rPr>
                <w:sz w:val="19"/>
                <w:szCs w:val="19"/>
              </w:rPr>
              <w:t xml:space="preserve"> </w:t>
            </w:r>
            <w:r>
              <w:rPr>
                <w:spacing w:val="13"/>
                <w:sz w:val="19"/>
                <w:szCs w:val="19"/>
              </w:rPr>
              <w:t>害隐患、土地复垦、恢复植被等措施，切实履行</w:t>
            </w:r>
            <w:r>
              <w:rPr>
                <w:spacing w:val="9"/>
                <w:sz w:val="19"/>
                <w:szCs w:val="19"/>
              </w:rPr>
              <w:t xml:space="preserve"> </w:t>
            </w:r>
            <w:r>
              <w:rPr>
                <w:spacing w:val="13"/>
                <w:sz w:val="19"/>
                <w:szCs w:val="19"/>
              </w:rPr>
              <w:t>矿山生态修复责任。全面推进绿色矿山建设，总</w:t>
            </w:r>
            <w:r>
              <w:rPr>
                <w:spacing w:val="9"/>
                <w:sz w:val="19"/>
                <w:szCs w:val="19"/>
              </w:rPr>
              <w:t xml:space="preserve"> </w:t>
            </w:r>
            <w:r>
              <w:rPr>
                <w:spacing w:val="13"/>
                <w:sz w:val="19"/>
                <w:szCs w:val="19"/>
              </w:rPr>
              <w:t>结绿色矿山建设经验，健全绿色矿山建设长效机</w:t>
            </w:r>
            <w:r>
              <w:rPr>
                <w:spacing w:val="9"/>
                <w:sz w:val="19"/>
                <w:szCs w:val="19"/>
              </w:rPr>
              <w:t xml:space="preserve"> </w:t>
            </w:r>
            <w:r>
              <w:rPr>
                <w:spacing w:val="8"/>
                <w:sz w:val="19"/>
                <w:szCs w:val="19"/>
              </w:rPr>
              <w:t>制，形成常态化监管体系。符合。</w:t>
            </w:r>
          </w:p>
        </w:tc>
        <w:tc>
          <w:tcPr>
            <w:tcW w:w="1897" w:type="dxa"/>
            <w:tcBorders>
              <w:right w:val="single" w:color="000000" w:sz="10" w:space="0"/>
            </w:tcBorders>
            <w:vAlign w:val="top"/>
          </w:tcPr>
          <w:p w14:paraId="0C57FD97">
            <w:pPr>
              <w:spacing w:line="258" w:lineRule="auto"/>
              <w:rPr>
                <w:rFonts w:ascii="Arial"/>
                <w:sz w:val="21"/>
              </w:rPr>
            </w:pPr>
          </w:p>
          <w:p w14:paraId="056EEDA1">
            <w:pPr>
              <w:spacing w:line="258" w:lineRule="auto"/>
              <w:rPr>
                <w:rFonts w:ascii="Arial"/>
                <w:sz w:val="21"/>
              </w:rPr>
            </w:pPr>
          </w:p>
          <w:p w14:paraId="09030EFF">
            <w:pPr>
              <w:spacing w:line="259" w:lineRule="auto"/>
              <w:rPr>
                <w:rFonts w:ascii="Arial"/>
                <w:sz w:val="21"/>
              </w:rPr>
            </w:pPr>
          </w:p>
          <w:p w14:paraId="1BFD25B3">
            <w:pPr>
              <w:spacing w:line="259" w:lineRule="auto"/>
              <w:rPr>
                <w:rFonts w:ascii="Arial"/>
                <w:sz w:val="21"/>
              </w:rPr>
            </w:pPr>
          </w:p>
          <w:p w14:paraId="408050D1">
            <w:pPr>
              <w:spacing w:line="259" w:lineRule="auto"/>
              <w:rPr>
                <w:rFonts w:ascii="Arial"/>
                <w:sz w:val="21"/>
              </w:rPr>
            </w:pPr>
          </w:p>
          <w:p w14:paraId="52ABADF0">
            <w:pPr>
              <w:spacing w:line="259" w:lineRule="auto"/>
              <w:rPr>
                <w:rFonts w:ascii="Arial"/>
                <w:sz w:val="21"/>
              </w:rPr>
            </w:pPr>
          </w:p>
          <w:p w14:paraId="6C622A6B">
            <w:pPr>
              <w:spacing w:line="259" w:lineRule="auto"/>
              <w:rPr>
                <w:rFonts w:ascii="Arial"/>
                <w:sz w:val="21"/>
              </w:rPr>
            </w:pPr>
          </w:p>
          <w:p w14:paraId="77032361">
            <w:pPr>
              <w:spacing w:line="259" w:lineRule="auto"/>
              <w:rPr>
                <w:rFonts w:ascii="Arial"/>
                <w:sz w:val="21"/>
              </w:rPr>
            </w:pPr>
          </w:p>
          <w:p w14:paraId="7FD0661D">
            <w:pPr>
              <w:spacing w:before="55" w:line="199" w:lineRule="auto"/>
              <w:ind w:left="949"/>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r>
      <w:tr w14:paraId="72CA1D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1" w:hRule="atLeast"/>
        </w:trPr>
        <w:tc>
          <w:tcPr>
            <w:tcW w:w="501" w:type="dxa"/>
            <w:tcBorders>
              <w:left w:val="single" w:color="000000" w:sz="10" w:space="0"/>
            </w:tcBorders>
            <w:vAlign w:val="top"/>
          </w:tcPr>
          <w:p w14:paraId="13189D8A">
            <w:pPr>
              <w:spacing w:line="263" w:lineRule="auto"/>
              <w:rPr>
                <w:rFonts w:ascii="Arial"/>
                <w:sz w:val="21"/>
              </w:rPr>
            </w:pPr>
          </w:p>
          <w:p w14:paraId="63D1FC89">
            <w:pPr>
              <w:spacing w:line="263" w:lineRule="auto"/>
              <w:rPr>
                <w:rFonts w:ascii="Arial"/>
                <w:sz w:val="21"/>
              </w:rPr>
            </w:pPr>
          </w:p>
          <w:p w14:paraId="45A6A00B">
            <w:pPr>
              <w:spacing w:line="263" w:lineRule="auto"/>
              <w:rPr>
                <w:rFonts w:ascii="Arial"/>
                <w:sz w:val="21"/>
              </w:rPr>
            </w:pPr>
          </w:p>
          <w:p w14:paraId="02943402">
            <w:pPr>
              <w:spacing w:line="263" w:lineRule="auto"/>
              <w:rPr>
                <w:rFonts w:ascii="Arial"/>
                <w:sz w:val="21"/>
              </w:rPr>
            </w:pPr>
          </w:p>
          <w:p w14:paraId="0BD5E5BC">
            <w:pPr>
              <w:spacing w:line="264" w:lineRule="auto"/>
              <w:rPr>
                <w:rFonts w:ascii="Arial"/>
                <w:sz w:val="21"/>
              </w:rPr>
            </w:pPr>
          </w:p>
          <w:p w14:paraId="618C2125">
            <w:pPr>
              <w:spacing w:before="55" w:line="192" w:lineRule="auto"/>
              <w:ind w:left="191"/>
              <w:rPr>
                <w:rFonts w:ascii="Times New Roman" w:hAnsi="Times New Roman" w:eastAsia="Times New Roman" w:cs="Times New Roman"/>
                <w:sz w:val="19"/>
                <w:szCs w:val="19"/>
              </w:rPr>
            </w:pPr>
            <w:r>
              <w:rPr>
                <w:rFonts w:ascii="Times New Roman" w:hAnsi="Times New Roman" w:eastAsia="Times New Roman" w:cs="Times New Roman"/>
                <w:sz w:val="19"/>
                <w:szCs w:val="19"/>
              </w:rPr>
              <w:t>7</w:t>
            </w:r>
          </w:p>
        </w:tc>
        <w:tc>
          <w:tcPr>
            <w:tcW w:w="1744" w:type="dxa"/>
            <w:vAlign w:val="top"/>
          </w:tcPr>
          <w:p w14:paraId="4F6624F2">
            <w:pPr>
              <w:spacing w:line="295" w:lineRule="auto"/>
              <w:rPr>
                <w:rFonts w:ascii="Arial"/>
                <w:sz w:val="21"/>
              </w:rPr>
            </w:pPr>
          </w:p>
          <w:p w14:paraId="1DE6261A">
            <w:pPr>
              <w:spacing w:line="295" w:lineRule="auto"/>
              <w:rPr>
                <w:rFonts w:ascii="Arial"/>
                <w:sz w:val="21"/>
              </w:rPr>
            </w:pPr>
          </w:p>
          <w:p w14:paraId="671C0964">
            <w:pPr>
              <w:spacing w:line="296" w:lineRule="auto"/>
              <w:rPr>
                <w:rFonts w:ascii="Arial"/>
                <w:sz w:val="21"/>
              </w:rPr>
            </w:pPr>
          </w:p>
          <w:p w14:paraId="55C3435B">
            <w:pPr>
              <w:pStyle w:val="6"/>
              <w:spacing w:before="62" w:line="251" w:lineRule="auto"/>
              <w:ind w:firstLine="72"/>
              <w:rPr>
                <w:sz w:val="19"/>
                <w:szCs w:val="19"/>
              </w:rPr>
            </w:pPr>
            <w:r>
              <w:rPr>
                <w:spacing w:val="-2"/>
                <w:sz w:val="19"/>
                <w:szCs w:val="19"/>
              </w:rPr>
              <w:t>《黔江区生态环境</w:t>
            </w:r>
            <w:r>
              <w:rPr>
                <w:spacing w:val="3"/>
                <w:sz w:val="19"/>
                <w:szCs w:val="19"/>
              </w:rPr>
              <w:t xml:space="preserve">  </w:t>
            </w:r>
            <w:r>
              <w:rPr>
                <w:spacing w:val="-19"/>
                <w:sz w:val="19"/>
                <w:szCs w:val="19"/>
              </w:rPr>
              <w:t>保护“十四五</w:t>
            </w:r>
            <w:r>
              <w:rPr>
                <w:spacing w:val="-67"/>
                <w:sz w:val="19"/>
                <w:szCs w:val="19"/>
              </w:rPr>
              <w:t xml:space="preserve"> </w:t>
            </w:r>
            <w:r>
              <w:rPr>
                <w:spacing w:val="-19"/>
                <w:sz w:val="19"/>
                <w:szCs w:val="19"/>
              </w:rPr>
              <w:t>”规划》</w:t>
            </w:r>
          </w:p>
          <w:p w14:paraId="748A4D0E">
            <w:pPr>
              <w:pStyle w:val="6"/>
              <w:spacing w:line="232" w:lineRule="auto"/>
              <w:jc w:val="right"/>
              <w:rPr>
                <w:sz w:val="19"/>
                <w:szCs w:val="19"/>
              </w:rPr>
            </w:pPr>
            <w:r>
              <w:rPr>
                <w:spacing w:val="2"/>
                <w:sz w:val="19"/>
                <w:szCs w:val="19"/>
              </w:rPr>
              <w:t>（黔江府发〔</w:t>
            </w:r>
            <w:r>
              <w:rPr>
                <w:rFonts w:ascii="Times New Roman" w:hAnsi="Times New Roman" w:eastAsia="Times New Roman" w:cs="Times New Roman"/>
                <w:spacing w:val="2"/>
                <w:sz w:val="19"/>
                <w:szCs w:val="19"/>
              </w:rPr>
              <w:t>2022</w:t>
            </w:r>
            <w:r>
              <w:rPr>
                <w:spacing w:val="2"/>
                <w:sz w:val="19"/>
                <w:szCs w:val="19"/>
              </w:rPr>
              <w:t>〕</w:t>
            </w:r>
          </w:p>
          <w:p w14:paraId="5EEE7D4F">
            <w:pPr>
              <w:pStyle w:val="6"/>
              <w:spacing w:before="20" w:line="233" w:lineRule="auto"/>
              <w:ind w:left="586"/>
              <w:rPr>
                <w:sz w:val="19"/>
                <w:szCs w:val="19"/>
              </w:rPr>
            </w:pPr>
            <w:r>
              <w:rPr>
                <w:rFonts w:ascii="Times New Roman" w:hAnsi="Times New Roman" w:eastAsia="Times New Roman" w:cs="Times New Roman"/>
                <w:spacing w:val="-3"/>
                <w:sz w:val="19"/>
                <w:szCs w:val="19"/>
              </w:rPr>
              <w:t>4</w:t>
            </w:r>
            <w:r>
              <w:rPr>
                <w:rFonts w:ascii="Times New Roman" w:hAnsi="Times New Roman" w:eastAsia="Times New Roman" w:cs="Times New Roman"/>
                <w:spacing w:val="22"/>
                <w:w w:val="101"/>
                <w:sz w:val="19"/>
                <w:szCs w:val="19"/>
              </w:rPr>
              <w:t xml:space="preserve"> </w:t>
            </w:r>
            <w:r>
              <w:rPr>
                <w:spacing w:val="-3"/>
                <w:sz w:val="19"/>
                <w:szCs w:val="19"/>
              </w:rPr>
              <w:t>号）</w:t>
            </w:r>
          </w:p>
        </w:tc>
        <w:tc>
          <w:tcPr>
            <w:tcW w:w="5943" w:type="dxa"/>
            <w:vAlign w:val="top"/>
          </w:tcPr>
          <w:p w14:paraId="75DABF41">
            <w:pPr>
              <w:pStyle w:val="6"/>
              <w:spacing w:before="43" w:line="252" w:lineRule="auto"/>
              <w:ind w:left="54" w:firstLine="441"/>
              <w:rPr>
                <w:sz w:val="19"/>
                <w:szCs w:val="19"/>
              </w:rPr>
            </w:pPr>
            <w:r>
              <w:rPr>
                <w:spacing w:val="10"/>
                <w:sz w:val="19"/>
                <w:szCs w:val="19"/>
              </w:rPr>
              <w:t>科学划定全区生态保护红线、永久基本农田和城镇开发</w:t>
            </w:r>
            <w:r>
              <w:rPr>
                <w:spacing w:val="9"/>
                <w:sz w:val="19"/>
                <w:szCs w:val="19"/>
              </w:rPr>
              <w:t>边界，</w:t>
            </w:r>
            <w:r>
              <w:rPr>
                <w:sz w:val="19"/>
                <w:szCs w:val="19"/>
              </w:rPr>
              <w:t xml:space="preserve"> </w:t>
            </w:r>
            <w:r>
              <w:rPr>
                <w:spacing w:val="6"/>
                <w:sz w:val="19"/>
                <w:szCs w:val="19"/>
              </w:rPr>
              <w:t>强化生态空间用途管制，守住自然生态安全边界。统筹保护好森林、</w:t>
            </w:r>
            <w:r>
              <w:rPr>
                <w:spacing w:val="2"/>
                <w:sz w:val="19"/>
                <w:szCs w:val="19"/>
              </w:rPr>
              <w:t xml:space="preserve"> </w:t>
            </w:r>
            <w:r>
              <w:rPr>
                <w:spacing w:val="11"/>
                <w:sz w:val="19"/>
                <w:szCs w:val="19"/>
              </w:rPr>
              <w:t>湿地等重要生态系统，加大生物多样性保护力度，修复水土流水、</w:t>
            </w:r>
            <w:r>
              <w:rPr>
                <w:spacing w:val="8"/>
                <w:sz w:val="19"/>
                <w:szCs w:val="19"/>
              </w:rPr>
              <w:t xml:space="preserve"> </w:t>
            </w:r>
            <w:r>
              <w:rPr>
                <w:spacing w:val="10"/>
                <w:sz w:val="19"/>
                <w:szCs w:val="19"/>
              </w:rPr>
              <w:t>石漠化、采矿区等生态退化区域，进一步提升生态系统质量和稳定</w:t>
            </w:r>
            <w:r>
              <w:rPr>
                <w:spacing w:val="17"/>
                <w:sz w:val="19"/>
                <w:szCs w:val="19"/>
              </w:rPr>
              <w:t xml:space="preserve"> </w:t>
            </w:r>
            <w:r>
              <w:rPr>
                <w:spacing w:val="-3"/>
                <w:sz w:val="19"/>
                <w:szCs w:val="19"/>
              </w:rPr>
              <w:t>性。</w:t>
            </w:r>
          </w:p>
          <w:p w14:paraId="607AFA12">
            <w:pPr>
              <w:pStyle w:val="6"/>
              <w:spacing w:line="243" w:lineRule="auto"/>
              <w:ind w:left="54" w:right="48" w:firstLine="441"/>
              <w:jc w:val="both"/>
              <w:rPr>
                <w:sz w:val="19"/>
                <w:szCs w:val="19"/>
              </w:rPr>
            </w:pPr>
            <w:r>
              <w:rPr>
                <w:spacing w:val="10"/>
                <w:sz w:val="19"/>
                <w:szCs w:val="19"/>
              </w:rPr>
              <w:t>加大矿山生态修复力度。加强历史遗留、关闭</w:t>
            </w:r>
            <w:r>
              <w:rPr>
                <w:spacing w:val="9"/>
                <w:sz w:val="19"/>
                <w:szCs w:val="19"/>
              </w:rPr>
              <w:t>矿山的矿山地质</w:t>
            </w:r>
            <w:r>
              <w:rPr>
                <w:sz w:val="19"/>
                <w:szCs w:val="19"/>
              </w:rPr>
              <w:t xml:space="preserve"> </w:t>
            </w:r>
            <w:r>
              <w:rPr>
                <w:spacing w:val="11"/>
                <w:sz w:val="19"/>
                <w:szCs w:val="19"/>
              </w:rPr>
              <w:t>环境恢复治理及土地复垦，对生产在建的露天矿山实施边开采、边</w:t>
            </w:r>
            <w:r>
              <w:rPr>
                <w:spacing w:val="2"/>
                <w:sz w:val="19"/>
                <w:szCs w:val="19"/>
              </w:rPr>
              <w:t xml:space="preserve"> </w:t>
            </w:r>
            <w:r>
              <w:rPr>
                <w:spacing w:val="10"/>
                <w:sz w:val="19"/>
                <w:szCs w:val="19"/>
              </w:rPr>
              <w:t>治理、边恢复。加快推进绿色矿山建设，深化矿山“三废</w:t>
            </w:r>
            <w:r>
              <w:rPr>
                <w:spacing w:val="-63"/>
                <w:sz w:val="19"/>
                <w:szCs w:val="19"/>
              </w:rPr>
              <w:t xml:space="preserve"> </w:t>
            </w:r>
            <w:r>
              <w:rPr>
                <w:spacing w:val="10"/>
                <w:sz w:val="19"/>
                <w:szCs w:val="19"/>
              </w:rPr>
              <w:t>”污染治</w:t>
            </w:r>
            <w:r>
              <w:rPr>
                <w:sz w:val="19"/>
                <w:szCs w:val="19"/>
              </w:rPr>
              <w:t xml:space="preserve"> </w:t>
            </w:r>
            <w:r>
              <w:rPr>
                <w:spacing w:val="11"/>
                <w:sz w:val="19"/>
                <w:szCs w:val="19"/>
              </w:rPr>
              <w:t>理，推动绿色矿业发展，形成绿色矿业发展新格局，新建矿山全部</w:t>
            </w:r>
            <w:r>
              <w:rPr>
                <w:spacing w:val="2"/>
                <w:sz w:val="19"/>
                <w:szCs w:val="19"/>
              </w:rPr>
              <w:t xml:space="preserve"> </w:t>
            </w:r>
            <w:r>
              <w:rPr>
                <w:spacing w:val="11"/>
                <w:sz w:val="19"/>
                <w:szCs w:val="19"/>
              </w:rPr>
              <w:t>达到绿色矿山建设标准，鼓励小型生产矿山加快改造升级，逐步达</w:t>
            </w:r>
            <w:r>
              <w:rPr>
                <w:spacing w:val="2"/>
                <w:sz w:val="19"/>
                <w:szCs w:val="19"/>
              </w:rPr>
              <w:t xml:space="preserve"> </w:t>
            </w:r>
            <w:r>
              <w:rPr>
                <w:spacing w:val="7"/>
                <w:sz w:val="19"/>
                <w:szCs w:val="19"/>
              </w:rPr>
              <w:t>到绿色矿山建设标准。</w:t>
            </w:r>
          </w:p>
        </w:tc>
        <w:tc>
          <w:tcPr>
            <w:tcW w:w="4386" w:type="dxa"/>
            <w:vMerge w:val="continue"/>
            <w:tcBorders>
              <w:top w:val="nil"/>
            </w:tcBorders>
            <w:vAlign w:val="top"/>
          </w:tcPr>
          <w:p w14:paraId="60374570">
            <w:pPr>
              <w:rPr>
                <w:rFonts w:ascii="Arial"/>
                <w:sz w:val="21"/>
              </w:rPr>
            </w:pPr>
          </w:p>
        </w:tc>
        <w:tc>
          <w:tcPr>
            <w:tcW w:w="1897" w:type="dxa"/>
            <w:tcBorders>
              <w:right w:val="single" w:color="000000" w:sz="10" w:space="0"/>
            </w:tcBorders>
            <w:vAlign w:val="top"/>
          </w:tcPr>
          <w:p w14:paraId="1CA0AF45">
            <w:pPr>
              <w:spacing w:line="262" w:lineRule="auto"/>
              <w:rPr>
                <w:rFonts w:ascii="Arial"/>
                <w:sz w:val="21"/>
              </w:rPr>
            </w:pPr>
          </w:p>
          <w:p w14:paraId="16FFAF43">
            <w:pPr>
              <w:spacing w:line="262" w:lineRule="auto"/>
              <w:rPr>
                <w:rFonts w:ascii="Arial"/>
                <w:sz w:val="21"/>
              </w:rPr>
            </w:pPr>
          </w:p>
          <w:p w14:paraId="37C08D69">
            <w:pPr>
              <w:spacing w:line="262" w:lineRule="auto"/>
              <w:rPr>
                <w:rFonts w:ascii="Arial"/>
                <w:sz w:val="21"/>
              </w:rPr>
            </w:pPr>
          </w:p>
          <w:p w14:paraId="125B0D33">
            <w:pPr>
              <w:spacing w:line="262" w:lineRule="auto"/>
              <w:rPr>
                <w:rFonts w:ascii="Arial"/>
                <w:sz w:val="21"/>
              </w:rPr>
            </w:pPr>
          </w:p>
          <w:p w14:paraId="21AE0D76">
            <w:pPr>
              <w:spacing w:line="262" w:lineRule="auto"/>
              <w:rPr>
                <w:rFonts w:ascii="Arial"/>
                <w:sz w:val="21"/>
              </w:rPr>
            </w:pPr>
          </w:p>
          <w:p w14:paraId="4CC78FE3">
            <w:pPr>
              <w:spacing w:before="54" w:line="199" w:lineRule="auto"/>
              <w:ind w:left="923"/>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r>
      <w:tr w14:paraId="75C9B3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501" w:type="dxa"/>
            <w:tcBorders>
              <w:left w:val="single" w:color="000000" w:sz="10" w:space="0"/>
              <w:bottom w:val="single" w:color="000000" w:sz="10" w:space="0"/>
            </w:tcBorders>
            <w:vAlign w:val="top"/>
          </w:tcPr>
          <w:p w14:paraId="41FB12B4">
            <w:pPr>
              <w:spacing w:before="217" w:line="195" w:lineRule="auto"/>
              <w:ind w:left="195"/>
              <w:rPr>
                <w:rFonts w:ascii="Times New Roman" w:hAnsi="Times New Roman" w:eastAsia="Times New Roman" w:cs="Times New Roman"/>
                <w:sz w:val="19"/>
                <w:szCs w:val="19"/>
              </w:rPr>
            </w:pPr>
            <w:r>
              <w:rPr>
                <w:rFonts w:ascii="Times New Roman" w:hAnsi="Times New Roman" w:eastAsia="Times New Roman" w:cs="Times New Roman"/>
                <w:sz w:val="19"/>
                <w:szCs w:val="19"/>
              </w:rPr>
              <w:t>8</w:t>
            </w:r>
          </w:p>
        </w:tc>
        <w:tc>
          <w:tcPr>
            <w:tcW w:w="1744" w:type="dxa"/>
            <w:tcBorders>
              <w:bottom w:val="single" w:color="000000" w:sz="10" w:space="0"/>
            </w:tcBorders>
            <w:vAlign w:val="top"/>
          </w:tcPr>
          <w:p w14:paraId="631E21FA">
            <w:pPr>
              <w:pStyle w:val="6"/>
              <w:spacing w:before="53" w:line="233" w:lineRule="auto"/>
              <w:ind w:left="7" w:firstLine="64"/>
              <w:rPr>
                <w:sz w:val="19"/>
                <w:szCs w:val="19"/>
              </w:rPr>
            </w:pPr>
            <w:r>
              <w:rPr>
                <w:spacing w:val="4"/>
                <w:sz w:val="19"/>
                <w:szCs w:val="19"/>
              </w:rPr>
              <w:t>《黔江区水安全保</w:t>
            </w:r>
            <w:r>
              <w:rPr>
                <w:spacing w:val="1"/>
                <w:sz w:val="19"/>
                <w:szCs w:val="19"/>
              </w:rPr>
              <w:t xml:space="preserve">  </w:t>
            </w:r>
            <w:r>
              <w:rPr>
                <w:spacing w:val="-1"/>
                <w:sz w:val="19"/>
                <w:szCs w:val="19"/>
              </w:rPr>
              <w:t>障“十四五</w:t>
            </w:r>
            <w:r>
              <w:rPr>
                <w:spacing w:val="-66"/>
                <w:sz w:val="19"/>
                <w:szCs w:val="19"/>
              </w:rPr>
              <w:t xml:space="preserve"> </w:t>
            </w:r>
            <w:r>
              <w:rPr>
                <w:spacing w:val="-1"/>
                <w:sz w:val="19"/>
                <w:szCs w:val="19"/>
              </w:rPr>
              <w:t>”规划》</w:t>
            </w:r>
          </w:p>
        </w:tc>
        <w:tc>
          <w:tcPr>
            <w:tcW w:w="5943" w:type="dxa"/>
            <w:tcBorders>
              <w:bottom w:val="single" w:color="000000" w:sz="10" w:space="0"/>
            </w:tcBorders>
            <w:vAlign w:val="top"/>
          </w:tcPr>
          <w:p w14:paraId="1BD21790">
            <w:pPr>
              <w:pStyle w:val="6"/>
              <w:spacing w:before="53" w:line="230" w:lineRule="auto"/>
              <w:ind w:left="504"/>
              <w:rPr>
                <w:sz w:val="19"/>
                <w:szCs w:val="19"/>
              </w:rPr>
            </w:pPr>
            <w:r>
              <w:rPr>
                <w:spacing w:val="8"/>
                <w:sz w:val="19"/>
                <w:szCs w:val="19"/>
              </w:rPr>
              <w:t>第二节  提升供水保障能力，建设重点水源工程</w:t>
            </w:r>
          </w:p>
          <w:p w14:paraId="20BCB20E">
            <w:pPr>
              <w:pStyle w:val="6"/>
              <w:spacing w:before="22" w:line="214" w:lineRule="auto"/>
              <w:jc w:val="right"/>
              <w:rPr>
                <w:sz w:val="19"/>
                <w:szCs w:val="19"/>
              </w:rPr>
            </w:pPr>
            <w:r>
              <w:rPr>
                <w:spacing w:val="3"/>
                <w:sz w:val="19"/>
                <w:szCs w:val="19"/>
              </w:rPr>
              <w:t>黔江区“十四五</w:t>
            </w:r>
            <w:r>
              <w:rPr>
                <w:spacing w:val="-63"/>
                <w:sz w:val="19"/>
                <w:szCs w:val="19"/>
              </w:rPr>
              <w:t xml:space="preserve"> </w:t>
            </w:r>
            <w:r>
              <w:rPr>
                <w:spacing w:val="3"/>
                <w:sz w:val="19"/>
                <w:szCs w:val="19"/>
              </w:rPr>
              <w:t>”期间规划开展渔滩水库、嘉禾水库前期工作；</w:t>
            </w:r>
          </w:p>
        </w:tc>
        <w:tc>
          <w:tcPr>
            <w:tcW w:w="4386" w:type="dxa"/>
            <w:tcBorders>
              <w:bottom w:val="single" w:color="000000" w:sz="10" w:space="0"/>
            </w:tcBorders>
            <w:vAlign w:val="top"/>
          </w:tcPr>
          <w:p w14:paraId="3CC7A6D1">
            <w:pPr>
              <w:pStyle w:val="6"/>
              <w:spacing w:before="53" w:line="233" w:lineRule="auto"/>
              <w:ind w:left="89" w:right="41" w:firstLine="337"/>
              <w:rPr>
                <w:sz w:val="19"/>
                <w:szCs w:val="19"/>
              </w:rPr>
            </w:pPr>
            <w:r>
              <w:rPr>
                <w:spacing w:val="5"/>
                <w:sz w:val="19"/>
                <w:szCs w:val="19"/>
              </w:rPr>
              <w:t>本次规划调整勘查开采区块不涉及黔江区“十</w:t>
            </w:r>
            <w:r>
              <w:rPr>
                <w:spacing w:val="11"/>
                <w:sz w:val="19"/>
                <w:szCs w:val="19"/>
              </w:rPr>
              <w:t xml:space="preserve"> </w:t>
            </w:r>
            <w:r>
              <w:rPr>
                <w:spacing w:val="3"/>
                <w:sz w:val="19"/>
                <w:szCs w:val="19"/>
              </w:rPr>
              <w:t>四五</w:t>
            </w:r>
            <w:r>
              <w:rPr>
                <w:spacing w:val="-67"/>
                <w:sz w:val="19"/>
                <w:szCs w:val="19"/>
              </w:rPr>
              <w:t xml:space="preserve"> </w:t>
            </w:r>
            <w:r>
              <w:rPr>
                <w:spacing w:val="3"/>
                <w:sz w:val="19"/>
                <w:szCs w:val="19"/>
              </w:rPr>
              <w:t>”期间规划的水库。</w:t>
            </w:r>
          </w:p>
        </w:tc>
        <w:tc>
          <w:tcPr>
            <w:tcW w:w="1897" w:type="dxa"/>
            <w:tcBorders>
              <w:bottom w:val="single" w:color="000000" w:sz="10" w:space="0"/>
              <w:right w:val="single" w:color="000000" w:sz="10" w:space="0"/>
            </w:tcBorders>
            <w:vAlign w:val="top"/>
          </w:tcPr>
          <w:p w14:paraId="6346202B">
            <w:pPr>
              <w:rPr>
                <w:rFonts w:ascii="Arial"/>
                <w:sz w:val="21"/>
              </w:rPr>
            </w:pPr>
          </w:p>
        </w:tc>
      </w:tr>
    </w:tbl>
    <w:p w14:paraId="5A3DF58D">
      <w:pPr>
        <w:pStyle w:val="2"/>
        <w:spacing w:line="162" w:lineRule="exact"/>
        <w:rPr>
          <w:sz w:val="14"/>
        </w:rPr>
      </w:pPr>
    </w:p>
    <w:p w14:paraId="18471AA3">
      <w:pPr>
        <w:spacing w:line="162" w:lineRule="exact"/>
        <w:rPr>
          <w:sz w:val="14"/>
          <w:szCs w:val="14"/>
        </w:rPr>
        <w:sectPr>
          <w:footerReference r:id="rId85" w:type="default"/>
          <w:pgSz w:w="16839" w:h="11906"/>
          <w:pgMar w:top="1116" w:right="1023" w:bottom="1480" w:left="1317" w:header="683" w:footer="1318" w:gutter="0"/>
          <w:cols w:space="720" w:num="1"/>
        </w:sectPr>
      </w:pPr>
    </w:p>
    <w:p w14:paraId="6FEC03F6">
      <w:pPr>
        <w:spacing w:before="229"/>
      </w:pPr>
    </w:p>
    <w:tbl>
      <w:tblPr>
        <w:tblStyle w:val="5"/>
        <w:tblW w:w="1447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1"/>
        <w:gridCol w:w="1744"/>
        <w:gridCol w:w="5943"/>
        <w:gridCol w:w="4386"/>
        <w:gridCol w:w="1897"/>
      </w:tblGrid>
      <w:tr w14:paraId="355599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501" w:type="dxa"/>
            <w:vMerge w:val="restart"/>
            <w:tcBorders>
              <w:top w:val="single" w:color="000000" w:sz="10" w:space="0"/>
              <w:left w:val="single" w:color="000000" w:sz="10" w:space="0"/>
              <w:bottom w:val="nil"/>
            </w:tcBorders>
            <w:textDirection w:val="tbRlV"/>
            <w:vAlign w:val="top"/>
          </w:tcPr>
          <w:p w14:paraId="164A5D76">
            <w:pPr>
              <w:pStyle w:val="6"/>
              <w:spacing w:before="153" w:line="210" w:lineRule="auto"/>
              <w:ind w:left="174"/>
              <w:rPr>
                <w:sz w:val="19"/>
                <w:szCs w:val="19"/>
              </w:rPr>
            </w:pPr>
            <w:r>
              <w:rPr>
                <w:spacing w:val="13"/>
                <w:sz w:val="19"/>
                <w:szCs w:val="19"/>
              </w:rPr>
              <w:t>序</w:t>
            </w:r>
            <w:r>
              <w:rPr>
                <w:spacing w:val="-40"/>
                <w:sz w:val="19"/>
                <w:szCs w:val="19"/>
              </w:rPr>
              <w:t xml:space="preserve"> </w:t>
            </w:r>
            <w:r>
              <w:rPr>
                <w:spacing w:val="13"/>
                <w:sz w:val="19"/>
                <w:szCs w:val="19"/>
              </w:rPr>
              <w:t>号</w:t>
            </w:r>
          </w:p>
        </w:tc>
        <w:tc>
          <w:tcPr>
            <w:tcW w:w="7687" w:type="dxa"/>
            <w:gridSpan w:val="2"/>
            <w:tcBorders>
              <w:top w:val="single" w:color="000000" w:sz="10" w:space="0"/>
            </w:tcBorders>
            <w:vAlign w:val="top"/>
          </w:tcPr>
          <w:p w14:paraId="7881D4A3">
            <w:pPr>
              <w:pStyle w:val="6"/>
              <w:spacing w:before="75" w:line="231" w:lineRule="auto"/>
              <w:ind w:left="2551"/>
              <w:rPr>
                <w:sz w:val="19"/>
                <w:szCs w:val="19"/>
              </w:rPr>
            </w:pPr>
            <w:r>
              <w:rPr>
                <w:spacing w:val="8"/>
                <w:sz w:val="19"/>
                <w:szCs w:val="19"/>
              </w:rPr>
              <w:t>上层位规划和主体功能区规划</w:t>
            </w:r>
          </w:p>
        </w:tc>
        <w:tc>
          <w:tcPr>
            <w:tcW w:w="4386" w:type="dxa"/>
            <w:vMerge w:val="restart"/>
            <w:tcBorders>
              <w:top w:val="single" w:color="000000" w:sz="10" w:space="0"/>
              <w:bottom w:val="nil"/>
            </w:tcBorders>
            <w:vAlign w:val="top"/>
          </w:tcPr>
          <w:p w14:paraId="35B85DF5">
            <w:pPr>
              <w:spacing w:line="242" w:lineRule="auto"/>
              <w:rPr>
                <w:rFonts w:ascii="Arial"/>
                <w:sz w:val="21"/>
              </w:rPr>
            </w:pPr>
          </w:p>
          <w:p w14:paraId="3542F888">
            <w:pPr>
              <w:pStyle w:val="6"/>
              <w:spacing w:before="62" w:line="229" w:lineRule="auto"/>
              <w:ind w:left="909"/>
              <w:rPr>
                <w:sz w:val="19"/>
                <w:szCs w:val="19"/>
              </w:rPr>
            </w:pPr>
            <w:r>
              <w:rPr>
                <w:spacing w:val="9"/>
                <w:sz w:val="19"/>
                <w:szCs w:val="19"/>
              </w:rPr>
              <w:t>本《规划调整》的符合性分析</w:t>
            </w:r>
          </w:p>
        </w:tc>
        <w:tc>
          <w:tcPr>
            <w:tcW w:w="1897" w:type="dxa"/>
            <w:vMerge w:val="restart"/>
            <w:tcBorders>
              <w:top w:val="single" w:color="000000" w:sz="10" w:space="0"/>
              <w:bottom w:val="nil"/>
              <w:right w:val="single" w:color="000000" w:sz="10" w:space="0"/>
            </w:tcBorders>
            <w:vAlign w:val="top"/>
          </w:tcPr>
          <w:p w14:paraId="3790CC1E">
            <w:pPr>
              <w:spacing w:line="243" w:lineRule="auto"/>
              <w:rPr>
                <w:rFonts w:ascii="Arial"/>
                <w:sz w:val="21"/>
              </w:rPr>
            </w:pPr>
          </w:p>
          <w:p w14:paraId="5727CEBD">
            <w:pPr>
              <w:pStyle w:val="6"/>
              <w:spacing w:before="61" w:line="231" w:lineRule="auto"/>
              <w:ind w:left="362"/>
              <w:rPr>
                <w:sz w:val="19"/>
                <w:szCs w:val="19"/>
              </w:rPr>
            </w:pPr>
            <w:r>
              <w:rPr>
                <w:spacing w:val="7"/>
                <w:sz w:val="19"/>
                <w:szCs w:val="19"/>
              </w:rPr>
              <w:t>优化调整建议</w:t>
            </w:r>
          </w:p>
        </w:tc>
      </w:tr>
      <w:tr w14:paraId="32A897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501" w:type="dxa"/>
            <w:vMerge w:val="continue"/>
            <w:tcBorders>
              <w:top w:val="nil"/>
              <w:left w:val="single" w:color="000000" w:sz="10" w:space="0"/>
            </w:tcBorders>
            <w:textDirection w:val="tbRlV"/>
            <w:vAlign w:val="top"/>
          </w:tcPr>
          <w:p w14:paraId="4724CD58">
            <w:pPr>
              <w:rPr>
                <w:rFonts w:ascii="Arial"/>
                <w:sz w:val="21"/>
              </w:rPr>
            </w:pPr>
          </w:p>
        </w:tc>
        <w:tc>
          <w:tcPr>
            <w:tcW w:w="1744" w:type="dxa"/>
            <w:vAlign w:val="top"/>
          </w:tcPr>
          <w:p w14:paraId="1434A0DE">
            <w:pPr>
              <w:pStyle w:val="6"/>
              <w:spacing w:before="125" w:line="230" w:lineRule="auto"/>
              <w:ind w:left="673"/>
              <w:rPr>
                <w:sz w:val="19"/>
                <w:szCs w:val="19"/>
              </w:rPr>
            </w:pPr>
            <w:r>
              <w:rPr>
                <w:spacing w:val="2"/>
                <w:sz w:val="19"/>
                <w:szCs w:val="19"/>
              </w:rPr>
              <w:t>名称</w:t>
            </w:r>
          </w:p>
        </w:tc>
        <w:tc>
          <w:tcPr>
            <w:tcW w:w="5943" w:type="dxa"/>
            <w:vAlign w:val="top"/>
          </w:tcPr>
          <w:p w14:paraId="7224CD0C">
            <w:pPr>
              <w:pStyle w:val="6"/>
              <w:spacing w:before="125" w:line="231" w:lineRule="auto"/>
              <w:ind w:left="1785"/>
              <w:rPr>
                <w:sz w:val="19"/>
                <w:szCs w:val="19"/>
              </w:rPr>
            </w:pPr>
            <w:r>
              <w:rPr>
                <w:spacing w:val="8"/>
                <w:sz w:val="19"/>
                <w:szCs w:val="19"/>
              </w:rPr>
              <w:t>与本《规划调整》相关内容</w:t>
            </w:r>
          </w:p>
        </w:tc>
        <w:tc>
          <w:tcPr>
            <w:tcW w:w="4386" w:type="dxa"/>
            <w:vMerge w:val="continue"/>
            <w:tcBorders>
              <w:top w:val="nil"/>
            </w:tcBorders>
            <w:vAlign w:val="top"/>
          </w:tcPr>
          <w:p w14:paraId="2D6A3D30">
            <w:pPr>
              <w:rPr>
                <w:rFonts w:ascii="Arial"/>
                <w:sz w:val="21"/>
              </w:rPr>
            </w:pPr>
          </w:p>
        </w:tc>
        <w:tc>
          <w:tcPr>
            <w:tcW w:w="1897" w:type="dxa"/>
            <w:vMerge w:val="continue"/>
            <w:tcBorders>
              <w:top w:val="nil"/>
              <w:right w:val="single" w:color="000000" w:sz="10" w:space="0"/>
            </w:tcBorders>
            <w:vAlign w:val="top"/>
          </w:tcPr>
          <w:p w14:paraId="3DDE7BB3">
            <w:pPr>
              <w:rPr>
                <w:rFonts w:ascii="Arial"/>
                <w:sz w:val="21"/>
              </w:rPr>
            </w:pPr>
          </w:p>
        </w:tc>
      </w:tr>
      <w:tr w14:paraId="0C54E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1" w:hRule="atLeast"/>
        </w:trPr>
        <w:tc>
          <w:tcPr>
            <w:tcW w:w="501" w:type="dxa"/>
            <w:tcBorders>
              <w:left w:val="single" w:color="000000" w:sz="10" w:space="0"/>
            </w:tcBorders>
            <w:vAlign w:val="top"/>
          </w:tcPr>
          <w:p w14:paraId="132663A1">
            <w:pPr>
              <w:rPr>
                <w:rFonts w:ascii="Arial"/>
                <w:sz w:val="21"/>
              </w:rPr>
            </w:pPr>
          </w:p>
        </w:tc>
        <w:tc>
          <w:tcPr>
            <w:tcW w:w="1744" w:type="dxa"/>
            <w:vAlign w:val="top"/>
          </w:tcPr>
          <w:p w14:paraId="43240B81">
            <w:pPr>
              <w:pStyle w:val="6"/>
              <w:spacing w:before="34" w:line="232" w:lineRule="auto"/>
              <w:jc w:val="right"/>
              <w:rPr>
                <w:sz w:val="19"/>
                <w:szCs w:val="19"/>
              </w:rPr>
            </w:pPr>
            <w:r>
              <w:rPr>
                <w:spacing w:val="2"/>
                <w:sz w:val="19"/>
                <w:szCs w:val="19"/>
              </w:rPr>
              <w:t>（黔江府发〔</w:t>
            </w:r>
            <w:r>
              <w:rPr>
                <w:rFonts w:ascii="Times New Roman" w:hAnsi="Times New Roman" w:eastAsia="Times New Roman" w:cs="Times New Roman"/>
                <w:spacing w:val="2"/>
                <w:sz w:val="19"/>
                <w:szCs w:val="19"/>
              </w:rPr>
              <w:t>2021</w:t>
            </w:r>
            <w:r>
              <w:rPr>
                <w:spacing w:val="2"/>
                <w:sz w:val="19"/>
                <w:szCs w:val="19"/>
              </w:rPr>
              <w:t>〕</w:t>
            </w:r>
          </w:p>
          <w:p w14:paraId="28831417">
            <w:pPr>
              <w:pStyle w:val="6"/>
              <w:spacing w:before="20" w:line="233" w:lineRule="auto"/>
              <w:ind w:left="543"/>
              <w:rPr>
                <w:sz w:val="19"/>
                <w:szCs w:val="19"/>
              </w:rPr>
            </w:pPr>
            <w:r>
              <w:rPr>
                <w:rFonts w:ascii="Times New Roman" w:hAnsi="Times New Roman" w:eastAsia="Times New Roman" w:cs="Times New Roman"/>
                <w:spacing w:val="-2"/>
                <w:sz w:val="19"/>
                <w:szCs w:val="19"/>
              </w:rPr>
              <w:t>67</w:t>
            </w:r>
            <w:r>
              <w:rPr>
                <w:rFonts w:ascii="Times New Roman" w:hAnsi="Times New Roman" w:eastAsia="Times New Roman" w:cs="Times New Roman"/>
                <w:spacing w:val="19"/>
                <w:w w:val="101"/>
                <w:sz w:val="19"/>
                <w:szCs w:val="19"/>
              </w:rPr>
              <w:t xml:space="preserve"> </w:t>
            </w:r>
            <w:r>
              <w:rPr>
                <w:spacing w:val="-2"/>
                <w:sz w:val="19"/>
                <w:szCs w:val="19"/>
              </w:rPr>
              <w:t>号）</w:t>
            </w:r>
          </w:p>
        </w:tc>
        <w:tc>
          <w:tcPr>
            <w:tcW w:w="5943" w:type="dxa"/>
            <w:vAlign w:val="top"/>
          </w:tcPr>
          <w:p w14:paraId="7A315F20">
            <w:pPr>
              <w:pStyle w:val="6"/>
              <w:spacing w:before="36" w:line="238" w:lineRule="auto"/>
              <w:ind w:left="54"/>
              <w:rPr>
                <w:sz w:val="19"/>
                <w:szCs w:val="19"/>
              </w:rPr>
            </w:pPr>
            <w:r>
              <w:rPr>
                <w:spacing w:val="10"/>
                <w:sz w:val="19"/>
                <w:szCs w:val="19"/>
              </w:rPr>
              <w:t>续建罗家堡水库、太极水库、瓦窑堡水库等</w:t>
            </w:r>
            <w:r>
              <w:rPr>
                <w:spacing w:val="-33"/>
                <w:sz w:val="19"/>
                <w:szCs w:val="19"/>
              </w:rPr>
              <w:t xml:space="preserve"> </w:t>
            </w:r>
            <w:r>
              <w:rPr>
                <w:rFonts w:ascii="Times New Roman" w:hAnsi="Times New Roman" w:eastAsia="Times New Roman" w:cs="Times New Roman"/>
                <w:spacing w:val="10"/>
                <w:sz w:val="19"/>
                <w:szCs w:val="19"/>
              </w:rPr>
              <w:t>3</w:t>
            </w:r>
            <w:r>
              <w:rPr>
                <w:rFonts w:ascii="Times New Roman" w:hAnsi="Times New Roman" w:eastAsia="Times New Roman" w:cs="Times New Roman"/>
                <w:spacing w:val="22"/>
                <w:sz w:val="19"/>
                <w:szCs w:val="19"/>
              </w:rPr>
              <w:t xml:space="preserve"> </w:t>
            </w:r>
            <w:r>
              <w:rPr>
                <w:spacing w:val="10"/>
                <w:sz w:val="19"/>
                <w:szCs w:val="19"/>
              </w:rPr>
              <w:t>座中小型水源工程；</w:t>
            </w:r>
            <w:r>
              <w:rPr>
                <w:sz w:val="19"/>
                <w:szCs w:val="19"/>
              </w:rPr>
              <w:t xml:space="preserve"> </w:t>
            </w:r>
            <w:r>
              <w:rPr>
                <w:spacing w:val="6"/>
                <w:sz w:val="19"/>
                <w:szCs w:val="19"/>
              </w:rPr>
              <w:t>开工建设茶园水库、陈家寨水库、甘溪水库、高坪水库、黄桥水库、</w:t>
            </w:r>
            <w:r>
              <w:rPr>
                <w:spacing w:val="2"/>
                <w:sz w:val="19"/>
                <w:szCs w:val="19"/>
              </w:rPr>
              <w:t xml:space="preserve"> </w:t>
            </w:r>
            <w:r>
              <w:rPr>
                <w:spacing w:val="6"/>
                <w:sz w:val="19"/>
                <w:szCs w:val="19"/>
              </w:rPr>
              <w:t>早化水库及关里水库等</w:t>
            </w:r>
            <w:r>
              <w:rPr>
                <w:spacing w:val="-25"/>
                <w:sz w:val="19"/>
                <w:szCs w:val="19"/>
              </w:rPr>
              <w:t xml:space="preserve"> </w:t>
            </w:r>
            <w:r>
              <w:rPr>
                <w:rFonts w:ascii="Times New Roman" w:hAnsi="Times New Roman" w:eastAsia="Times New Roman" w:cs="Times New Roman"/>
                <w:spacing w:val="6"/>
                <w:sz w:val="19"/>
                <w:szCs w:val="19"/>
              </w:rPr>
              <w:t>7</w:t>
            </w:r>
            <w:r>
              <w:rPr>
                <w:rFonts w:ascii="Times New Roman" w:hAnsi="Times New Roman" w:eastAsia="Times New Roman" w:cs="Times New Roman"/>
                <w:spacing w:val="20"/>
                <w:sz w:val="19"/>
                <w:szCs w:val="19"/>
              </w:rPr>
              <w:t xml:space="preserve"> </w:t>
            </w:r>
            <w:r>
              <w:rPr>
                <w:spacing w:val="6"/>
                <w:sz w:val="19"/>
                <w:szCs w:val="19"/>
              </w:rPr>
              <w:t>座水库小型水库。</w:t>
            </w:r>
          </w:p>
        </w:tc>
        <w:tc>
          <w:tcPr>
            <w:tcW w:w="4386" w:type="dxa"/>
            <w:vAlign w:val="top"/>
          </w:tcPr>
          <w:p w14:paraId="00DC5AFF">
            <w:pPr>
              <w:rPr>
                <w:rFonts w:ascii="Arial"/>
                <w:sz w:val="21"/>
              </w:rPr>
            </w:pPr>
          </w:p>
        </w:tc>
        <w:tc>
          <w:tcPr>
            <w:tcW w:w="1897" w:type="dxa"/>
            <w:tcBorders>
              <w:right w:val="single" w:color="000000" w:sz="10" w:space="0"/>
            </w:tcBorders>
            <w:vAlign w:val="top"/>
          </w:tcPr>
          <w:p w14:paraId="3AE4570A">
            <w:pPr>
              <w:rPr>
                <w:rFonts w:ascii="Arial"/>
                <w:sz w:val="21"/>
              </w:rPr>
            </w:pPr>
          </w:p>
        </w:tc>
      </w:tr>
      <w:tr w14:paraId="4AB363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5" w:hRule="atLeast"/>
        </w:trPr>
        <w:tc>
          <w:tcPr>
            <w:tcW w:w="501" w:type="dxa"/>
            <w:tcBorders>
              <w:left w:val="single" w:color="000000" w:sz="10" w:space="0"/>
            </w:tcBorders>
            <w:vAlign w:val="top"/>
          </w:tcPr>
          <w:p w14:paraId="7AA1F1BA">
            <w:pPr>
              <w:spacing w:line="260" w:lineRule="auto"/>
              <w:rPr>
                <w:rFonts w:ascii="Arial"/>
                <w:sz w:val="21"/>
              </w:rPr>
            </w:pPr>
          </w:p>
          <w:p w14:paraId="52CAFCE1">
            <w:pPr>
              <w:spacing w:line="260" w:lineRule="auto"/>
              <w:rPr>
                <w:rFonts w:ascii="Arial"/>
                <w:sz w:val="21"/>
              </w:rPr>
            </w:pPr>
          </w:p>
          <w:p w14:paraId="3887DA87">
            <w:pPr>
              <w:spacing w:line="260" w:lineRule="auto"/>
              <w:rPr>
                <w:rFonts w:ascii="Arial"/>
                <w:sz w:val="21"/>
              </w:rPr>
            </w:pPr>
          </w:p>
          <w:p w14:paraId="78EA6E69">
            <w:pPr>
              <w:spacing w:line="260" w:lineRule="auto"/>
              <w:rPr>
                <w:rFonts w:ascii="Arial"/>
                <w:sz w:val="21"/>
              </w:rPr>
            </w:pPr>
          </w:p>
          <w:p w14:paraId="375F15EF">
            <w:pPr>
              <w:spacing w:line="260" w:lineRule="auto"/>
              <w:rPr>
                <w:rFonts w:ascii="Arial"/>
                <w:sz w:val="21"/>
              </w:rPr>
            </w:pPr>
          </w:p>
          <w:p w14:paraId="5BB58D4F">
            <w:pPr>
              <w:spacing w:line="260" w:lineRule="auto"/>
              <w:rPr>
                <w:rFonts w:ascii="Arial"/>
                <w:sz w:val="21"/>
              </w:rPr>
            </w:pPr>
          </w:p>
          <w:p w14:paraId="2668F761">
            <w:pPr>
              <w:spacing w:line="261" w:lineRule="auto"/>
              <w:rPr>
                <w:rFonts w:ascii="Arial"/>
                <w:sz w:val="21"/>
              </w:rPr>
            </w:pPr>
          </w:p>
          <w:p w14:paraId="1E0A29D3">
            <w:pPr>
              <w:spacing w:before="54" w:line="195" w:lineRule="auto"/>
              <w:ind w:left="191"/>
              <w:rPr>
                <w:rFonts w:ascii="Times New Roman" w:hAnsi="Times New Roman" w:eastAsia="Times New Roman" w:cs="Times New Roman"/>
                <w:sz w:val="19"/>
                <w:szCs w:val="19"/>
              </w:rPr>
            </w:pPr>
            <w:r>
              <w:rPr>
                <w:rFonts w:ascii="Times New Roman" w:hAnsi="Times New Roman" w:eastAsia="Times New Roman" w:cs="Times New Roman"/>
                <w:sz w:val="19"/>
                <w:szCs w:val="19"/>
              </w:rPr>
              <w:t>9</w:t>
            </w:r>
          </w:p>
        </w:tc>
        <w:tc>
          <w:tcPr>
            <w:tcW w:w="1744" w:type="dxa"/>
            <w:vAlign w:val="top"/>
          </w:tcPr>
          <w:p w14:paraId="07E8846F">
            <w:pPr>
              <w:spacing w:line="278" w:lineRule="auto"/>
              <w:rPr>
                <w:rFonts w:ascii="Arial"/>
                <w:sz w:val="21"/>
              </w:rPr>
            </w:pPr>
          </w:p>
          <w:p w14:paraId="44EAD1EB">
            <w:pPr>
              <w:spacing w:line="278" w:lineRule="auto"/>
              <w:rPr>
                <w:rFonts w:ascii="Arial"/>
                <w:sz w:val="21"/>
              </w:rPr>
            </w:pPr>
          </w:p>
          <w:p w14:paraId="6DAD5FB5">
            <w:pPr>
              <w:spacing w:line="279" w:lineRule="auto"/>
              <w:rPr>
                <w:rFonts w:ascii="Arial"/>
                <w:sz w:val="21"/>
              </w:rPr>
            </w:pPr>
          </w:p>
          <w:p w14:paraId="3DA11529">
            <w:pPr>
              <w:spacing w:line="279" w:lineRule="auto"/>
              <w:rPr>
                <w:rFonts w:ascii="Arial"/>
                <w:sz w:val="21"/>
              </w:rPr>
            </w:pPr>
          </w:p>
          <w:p w14:paraId="7861EE6F">
            <w:pPr>
              <w:spacing w:line="279" w:lineRule="auto"/>
              <w:rPr>
                <w:rFonts w:ascii="Arial"/>
                <w:sz w:val="21"/>
              </w:rPr>
            </w:pPr>
          </w:p>
          <w:p w14:paraId="6C79FB8F">
            <w:pPr>
              <w:pStyle w:val="6"/>
              <w:spacing w:before="61" w:line="233" w:lineRule="auto"/>
              <w:ind w:left="73"/>
              <w:rPr>
                <w:sz w:val="19"/>
                <w:szCs w:val="19"/>
              </w:rPr>
            </w:pPr>
            <w:r>
              <w:rPr>
                <w:spacing w:val="8"/>
                <w:sz w:val="19"/>
                <w:szCs w:val="19"/>
              </w:rPr>
              <w:t>《黔江区综合交通</w:t>
            </w:r>
          </w:p>
          <w:p w14:paraId="057B49B1">
            <w:pPr>
              <w:pStyle w:val="6"/>
              <w:spacing w:before="19" w:line="231" w:lineRule="auto"/>
              <w:rPr>
                <w:sz w:val="19"/>
                <w:szCs w:val="19"/>
              </w:rPr>
            </w:pPr>
            <w:r>
              <w:rPr>
                <w:spacing w:val="-1"/>
                <w:sz w:val="19"/>
                <w:szCs w:val="19"/>
              </w:rPr>
              <w:t>运输“十四五</w:t>
            </w:r>
            <w:r>
              <w:rPr>
                <w:spacing w:val="-65"/>
                <w:sz w:val="19"/>
                <w:szCs w:val="19"/>
              </w:rPr>
              <w:t xml:space="preserve"> </w:t>
            </w:r>
            <w:r>
              <w:rPr>
                <w:spacing w:val="-1"/>
                <w:sz w:val="19"/>
                <w:szCs w:val="19"/>
              </w:rPr>
              <w:t>”发展</w:t>
            </w:r>
          </w:p>
          <w:p w14:paraId="3C872C5F">
            <w:pPr>
              <w:pStyle w:val="6"/>
              <w:spacing w:before="18" w:line="232" w:lineRule="auto"/>
              <w:ind w:left="72"/>
              <w:rPr>
                <w:sz w:val="19"/>
                <w:szCs w:val="19"/>
              </w:rPr>
            </w:pPr>
            <w:r>
              <w:rPr>
                <w:spacing w:val="8"/>
                <w:sz w:val="19"/>
                <w:szCs w:val="19"/>
              </w:rPr>
              <w:t>规划》（黔江府发</w:t>
            </w:r>
          </w:p>
          <w:p w14:paraId="42E878AE">
            <w:pPr>
              <w:pStyle w:val="6"/>
              <w:spacing w:before="23" w:line="233" w:lineRule="auto"/>
              <w:ind w:left="169"/>
              <w:rPr>
                <w:sz w:val="19"/>
                <w:szCs w:val="19"/>
              </w:rPr>
            </w:pPr>
            <w:r>
              <w:rPr>
                <w:sz w:val="19"/>
                <w:szCs w:val="19"/>
              </w:rPr>
              <w:t>〔</w:t>
            </w:r>
            <w:r>
              <w:rPr>
                <w:rFonts w:ascii="Times New Roman" w:hAnsi="Times New Roman" w:eastAsia="Times New Roman" w:cs="Times New Roman"/>
                <w:sz w:val="19"/>
                <w:szCs w:val="19"/>
              </w:rPr>
              <w:t>2021</w:t>
            </w:r>
            <w:r>
              <w:rPr>
                <w:sz w:val="19"/>
                <w:szCs w:val="19"/>
              </w:rPr>
              <w:t>〕</w:t>
            </w:r>
            <w:r>
              <w:rPr>
                <w:rFonts w:ascii="Times New Roman" w:hAnsi="Times New Roman" w:eastAsia="Times New Roman" w:cs="Times New Roman"/>
                <w:sz w:val="19"/>
                <w:szCs w:val="19"/>
              </w:rPr>
              <w:t>55</w:t>
            </w:r>
            <w:r>
              <w:rPr>
                <w:rFonts w:ascii="Times New Roman" w:hAnsi="Times New Roman" w:eastAsia="Times New Roman" w:cs="Times New Roman"/>
                <w:spacing w:val="24"/>
                <w:w w:val="101"/>
                <w:sz w:val="19"/>
                <w:szCs w:val="19"/>
              </w:rPr>
              <w:t xml:space="preserve"> </w:t>
            </w:r>
            <w:r>
              <w:rPr>
                <w:sz w:val="19"/>
                <w:szCs w:val="19"/>
              </w:rPr>
              <w:t>号）</w:t>
            </w:r>
          </w:p>
        </w:tc>
        <w:tc>
          <w:tcPr>
            <w:tcW w:w="5943" w:type="dxa"/>
            <w:vAlign w:val="top"/>
          </w:tcPr>
          <w:p w14:paraId="1409566E">
            <w:pPr>
              <w:pStyle w:val="6"/>
              <w:spacing w:before="35" w:line="252" w:lineRule="auto"/>
              <w:ind w:left="56" w:right="50" w:firstLine="444"/>
              <w:jc w:val="both"/>
              <w:rPr>
                <w:sz w:val="19"/>
                <w:szCs w:val="19"/>
              </w:rPr>
            </w:pPr>
            <w:r>
              <w:rPr>
                <w:spacing w:val="7"/>
                <w:sz w:val="19"/>
                <w:szCs w:val="19"/>
              </w:rPr>
              <w:t>全面构建“</w:t>
            </w:r>
            <w:r>
              <w:rPr>
                <w:rFonts w:ascii="Times New Roman" w:hAnsi="Times New Roman" w:eastAsia="Times New Roman" w:cs="Times New Roman"/>
                <w:spacing w:val="7"/>
                <w:sz w:val="19"/>
                <w:szCs w:val="19"/>
              </w:rPr>
              <w:t>4</w:t>
            </w:r>
            <w:r>
              <w:rPr>
                <w:rFonts w:ascii="Times New Roman" w:hAnsi="Times New Roman" w:eastAsia="Times New Roman" w:cs="Times New Roman"/>
                <w:spacing w:val="26"/>
                <w:w w:val="101"/>
                <w:sz w:val="19"/>
                <w:szCs w:val="19"/>
              </w:rPr>
              <w:t xml:space="preserve"> </w:t>
            </w:r>
            <w:r>
              <w:rPr>
                <w:spacing w:val="7"/>
                <w:sz w:val="19"/>
                <w:szCs w:val="19"/>
              </w:rPr>
              <w:t>高</w:t>
            </w:r>
            <w:r>
              <w:rPr>
                <w:spacing w:val="-34"/>
                <w:sz w:val="19"/>
                <w:szCs w:val="19"/>
              </w:rPr>
              <w:t xml:space="preserve"> </w:t>
            </w:r>
            <w:r>
              <w:rPr>
                <w:rFonts w:ascii="Times New Roman" w:hAnsi="Times New Roman" w:eastAsia="Times New Roman" w:cs="Times New Roman"/>
                <w:spacing w:val="7"/>
                <w:sz w:val="19"/>
                <w:szCs w:val="19"/>
              </w:rPr>
              <w:t>6</w:t>
            </w:r>
            <w:r>
              <w:rPr>
                <w:rFonts w:ascii="Times New Roman" w:hAnsi="Times New Roman" w:eastAsia="Times New Roman" w:cs="Times New Roman"/>
                <w:spacing w:val="23"/>
                <w:sz w:val="19"/>
                <w:szCs w:val="19"/>
              </w:rPr>
              <w:t xml:space="preserve"> </w:t>
            </w:r>
            <w:r>
              <w:rPr>
                <w:spacing w:val="7"/>
                <w:sz w:val="19"/>
                <w:szCs w:val="19"/>
              </w:rPr>
              <w:t>铁</w:t>
            </w:r>
            <w:r>
              <w:rPr>
                <w:spacing w:val="-66"/>
                <w:sz w:val="19"/>
                <w:szCs w:val="19"/>
              </w:rPr>
              <w:t xml:space="preserve"> </w:t>
            </w:r>
            <w:r>
              <w:rPr>
                <w:spacing w:val="7"/>
                <w:sz w:val="19"/>
                <w:szCs w:val="19"/>
              </w:rPr>
              <w:t>”黔江铁路网。“十四五</w:t>
            </w:r>
            <w:r>
              <w:rPr>
                <w:spacing w:val="-66"/>
                <w:sz w:val="19"/>
                <w:szCs w:val="19"/>
              </w:rPr>
              <w:t xml:space="preserve"> </w:t>
            </w:r>
            <w:r>
              <w:rPr>
                <w:spacing w:val="6"/>
                <w:sz w:val="19"/>
                <w:szCs w:val="19"/>
              </w:rPr>
              <w:t>”加快推进渝湘</w:t>
            </w:r>
            <w:r>
              <w:rPr>
                <w:sz w:val="19"/>
                <w:szCs w:val="19"/>
              </w:rPr>
              <w:t xml:space="preserve"> </w:t>
            </w:r>
            <w:r>
              <w:rPr>
                <w:spacing w:val="11"/>
                <w:sz w:val="19"/>
                <w:szCs w:val="19"/>
              </w:rPr>
              <w:t>高铁重庆至黔江段建成通车，开工建设黔江至吉首高铁联络线，力</w:t>
            </w:r>
            <w:r>
              <w:rPr>
                <w:spacing w:val="1"/>
                <w:sz w:val="19"/>
                <w:szCs w:val="19"/>
              </w:rPr>
              <w:t xml:space="preserve"> </w:t>
            </w:r>
            <w:r>
              <w:rPr>
                <w:spacing w:val="9"/>
                <w:sz w:val="19"/>
                <w:szCs w:val="19"/>
              </w:rPr>
              <w:t>争开工万（州）黔（江）高铁，积极推进黔张常高铁研究论证。</w:t>
            </w:r>
          </w:p>
          <w:p w14:paraId="2A69ED56">
            <w:pPr>
              <w:pStyle w:val="6"/>
              <w:spacing w:before="3" w:line="251" w:lineRule="auto"/>
              <w:ind w:left="56" w:right="48" w:firstLine="441"/>
              <w:rPr>
                <w:sz w:val="19"/>
                <w:szCs w:val="19"/>
              </w:rPr>
            </w:pPr>
            <w:r>
              <w:rPr>
                <w:spacing w:val="9"/>
                <w:sz w:val="19"/>
                <w:szCs w:val="19"/>
              </w:rPr>
              <w:t>进一步完善普速铁路网。规划广垫忠黔铁路；规划黔江至恩施</w:t>
            </w:r>
            <w:r>
              <w:rPr>
                <w:spacing w:val="18"/>
                <w:sz w:val="19"/>
                <w:szCs w:val="19"/>
              </w:rPr>
              <w:t xml:space="preserve"> </w:t>
            </w:r>
            <w:r>
              <w:rPr>
                <w:spacing w:val="11"/>
                <w:sz w:val="19"/>
                <w:szCs w:val="19"/>
              </w:rPr>
              <w:t>铁路、黔江至遵义铁路。规划的两条铁路与渝湘高铁、渝怀铁路、</w:t>
            </w:r>
            <w:r>
              <w:rPr>
                <w:spacing w:val="3"/>
                <w:sz w:val="19"/>
                <w:szCs w:val="19"/>
              </w:rPr>
              <w:t xml:space="preserve"> </w:t>
            </w:r>
            <w:r>
              <w:rPr>
                <w:spacing w:val="11"/>
                <w:sz w:val="19"/>
                <w:szCs w:val="19"/>
              </w:rPr>
              <w:t>渝怀铁路二线在黔江形成西部陆海新通道与丝绸之路经济带的重要</w:t>
            </w:r>
            <w:r>
              <w:rPr>
                <w:spacing w:val="1"/>
                <w:sz w:val="19"/>
                <w:szCs w:val="19"/>
              </w:rPr>
              <w:t xml:space="preserve"> </w:t>
            </w:r>
            <w:r>
              <w:rPr>
                <w:spacing w:val="8"/>
                <w:sz w:val="19"/>
                <w:szCs w:val="19"/>
              </w:rPr>
              <w:t>交汇节点，形成全市“一区两群</w:t>
            </w:r>
            <w:r>
              <w:rPr>
                <w:spacing w:val="-68"/>
                <w:sz w:val="19"/>
                <w:szCs w:val="19"/>
              </w:rPr>
              <w:t xml:space="preserve"> </w:t>
            </w:r>
            <w:r>
              <w:rPr>
                <w:spacing w:val="8"/>
                <w:sz w:val="19"/>
                <w:szCs w:val="19"/>
              </w:rPr>
              <w:t>”协调发展重要交通纽</w:t>
            </w:r>
            <w:r>
              <w:rPr>
                <w:spacing w:val="7"/>
                <w:sz w:val="19"/>
                <w:szCs w:val="19"/>
              </w:rPr>
              <w:t>带。</w:t>
            </w:r>
          </w:p>
          <w:p w14:paraId="6D060498">
            <w:pPr>
              <w:pStyle w:val="6"/>
              <w:spacing w:before="6" w:line="245" w:lineRule="auto"/>
              <w:ind w:left="53" w:right="48" w:firstLine="444"/>
              <w:jc w:val="both"/>
              <w:rPr>
                <w:sz w:val="19"/>
                <w:szCs w:val="19"/>
              </w:rPr>
            </w:pPr>
            <w:r>
              <w:rPr>
                <w:spacing w:val="7"/>
                <w:sz w:val="19"/>
                <w:szCs w:val="19"/>
              </w:rPr>
              <w:t>布局形成“</w:t>
            </w:r>
            <w:r>
              <w:rPr>
                <w:spacing w:val="-64"/>
                <w:sz w:val="19"/>
                <w:szCs w:val="19"/>
              </w:rPr>
              <w:t xml:space="preserve"> </w:t>
            </w:r>
            <w:r>
              <w:rPr>
                <w:rFonts w:ascii="Times New Roman" w:hAnsi="Times New Roman" w:eastAsia="Times New Roman" w:cs="Times New Roman"/>
                <w:spacing w:val="7"/>
                <w:sz w:val="19"/>
                <w:szCs w:val="19"/>
              </w:rPr>
              <w:t>1</w:t>
            </w:r>
            <w:r>
              <w:rPr>
                <w:rFonts w:ascii="Times New Roman" w:hAnsi="Times New Roman" w:eastAsia="Times New Roman" w:cs="Times New Roman"/>
                <w:spacing w:val="20"/>
                <w:sz w:val="19"/>
                <w:szCs w:val="19"/>
              </w:rPr>
              <w:t xml:space="preserve"> </w:t>
            </w:r>
            <w:r>
              <w:rPr>
                <w:spacing w:val="7"/>
                <w:sz w:val="19"/>
                <w:szCs w:val="19"/>
              </w:rPr>
              <w:t>环</w:t>
            </w:r>
            <w:r>
              <w:rPr>
                <w:spacing w:val="-30"/>
                <w:sz w:val="19"/>
                <w:szCs w:val="19"/>
              </w:rPr>
              <w:t xml:space="preserve"> </w:t>
            </w:r>
            <w:r>
              <w:rPr>
                <w:rFonts w:ascii="Times New Roman" w:hAnsi="Times New Roman" w:eastAsia="Times New Roman" w:cs="Times New Roman"/>
                <w:spacing w:val="7"/>
                <w:sz w:val="19"/>
                <w:szCs w:val="19"/>
              </w:rPr>
              <w:t>8</w:t>
            </w:r>
            <w:r>
              <w:rPr>
                <w:rFonts w:ascii="Times New Roman" w:hAnsi="Times New Roman" w:eastAsia="Times New Roman" w:cs="Times New Roman"/>
                <w:spacing w:val="19"/>
                <w:w w:val="101"/>
                <w:sz w:val="19"/>
                <w:szCs w:val="19"/>
              </w:rPr>
              <w:t xml:space="preserve"> </w:t>
            </w:r>
            <w:r>
              <w:rPr>
                <w:spacing w:val="7"/>
                <w:sz w:val="19"/>
                <w:szCs w:val="19"/>
              </w:rPr>
              <w:t>射</w:t>
            </w:r>
            <w:r>
              <w:rPr>
                <w:spacing w:val="-66"/>
                <w:sz w:val="19"/>
                <w:szCs w:val="19"/>
              </w:rPr>
              <w:t xml:space="preserve"> </w:t>
            </w:r>
            <w:r>
              <w:rPr>
                <w:spacing w:val="7"/>
                <w:sz w:val="19"/>
                <w:szCs w:val="19"/>
              </w:rPr>
              <w:t>”高速公路网，全面推进黔石高速公路全</w:t>
            </w:r>
            <w:r>
              <w:rPr>
                <w:sz w:val="19"/>
                <w:szCs w:val="19"/>
              </w:rPr>
              <w:t xml:space="preserve"> </w:t>
            </w:r>
            <w:r>
              <w:rPr>
                <w:spacing w:val="10"/>
                <w:sz w:val="19"/>
                <w:szCs w:val="19"/>
              </w:rPr>
              <w:t>线通车。加快推进黔利高速公路前期工作，力争“十四五</w:t>
            </w:r>
            <w:r>
              <w:rPr>
                <w:spacing w:val="-62"/>
                <w:sz w:val="19"/>
                <w:szCs w:val="19"/>
              </w:rPr>
              <w:t xml:space="preserve"> </w:t>
            </w:r>
            <w:r>
              <w:rPr>
                <w:spacing w:val="10"/>
                <w:sz w:val="19"/>
                <w:szCs w:val="19"/>
              </w:rPr>
              <w:t>”开工建</w:t>
            </w:r>
            <w:r>
              <w:rPr>
                <w:sz w:val="19"/>
                <w:szCs w:val="19"/>
              </w:rPr>
              <w:t xml:space="preserve"> </w:t>
            </w:r>
            <w:r>
              <w:rPr>
                <w:spacing w:val="10"/>
                <w:sz w:val="19"/>
                <w:szCs w:val="19"/>
              </w:rPr>
              <w:t>设。加快推进黔务高速公路前期工作，力争“十四五</w:t>
            </w:r>
            <w:r>
              <w:rPr>
                <w:spacing w:val="-62"/>
                <w:sz w:val="19"/>
                <w:szCs w:val="19"/>
              </w:rPr>
              <w:t xml:space="preserve"> </w:t>
            </w:r>
            <w:r>
              <w:rPr>
                <w:spacing w:val="10"/>
                <w:sz w:val="19"/>
                <w:szCs w:val="19"/>
              </w:rPr>
              <w:t>”期间达到开</w:t>
            </w:r>
            <w:r>
              <w:rPr>
                <w:sz w:val="19"/>
                <w:szCs w:val="19"/>
              </w:rPr>
              <w:t xml:space="preserve"> </w:t>
            </w:r>
            <w:r>
              <w:rPr>
                <w:spacing w:val="11"/>
                <w:sz w:val="19"/>
                <w:szCs w:val="19"/>
              </w:rPr>
              <w:t>工条件，与黔利高速公路衔接成通道接入国家高速公路网。加快推</w:t>
            </w:r>
            <w:r>
              <w:rPr>
                <w:spacing w:val="4"/>
                <w:sz w:val="19"/>
                <w:szCs w:val="19"/>
              </w:rPr>
              <w:t xml:space="preserve"> </w:t>
            </w:r>
            <w:r>
              <w:rPr>
                <w:spacing w:val="11"/>
                <w:sz w:val="19"/>
                <w:szCs w:val="19"/>
              </w:rPr>
              <w:t>进黔江至永顺高速公路方案研究工作，远期谋划黔江至涪陵高速公</w:t>
            </w:r>
            <w:r>
              <w:rPr>
                <w:spacing w:val="4"/>
                <w:sz w:val="19"/>
                <w:szCs w:val="19"/>
              </w:rPr>
              <w:t xml:space="preserve"> </w:t>
            </w:r>
            <w:r>
              <w:rPr>
                <w:spacing w:val="7"/>
                <w:sz w:val="19"/>
                <w:szCs w:val="19"/>
              </w:rPr>
              <w:t>路，形成“广安、黔江、涪陵、渝北、长寿、</w:t>
            </w:r>
            <w:r>
              <w:rPr>
                <w:spacing w:val="6"/>
                <w:sz w:val="19"/>
                <w:szCs w:val="19"/>
              </w:rPr>
              <w:t>合川、垫江、忠县</w:t>
            </w:r>
            <w:r>
              <w:rPr>
                <w:spacing w:val="-66"/>
                <w:sz w:val="19"/>
                <w:szCs w:val="19"/>
              </w:rPr>
              <w:t xml:space="preserve"> </w:t>
            </w:r>
            <w:r>
              <w:rPr>
                <w:spacing w:val="6"/>
                <w:sz w:val="19"/>
                <w:szCs w:val="19"/>
              </w:rPr>
              <w:t>”</w:t>
            </w:r>
            <w:r>
              <w:rPr>
                <w:rFonts w:ascii="Times New Roman" w:hAnsi="Times New Roman" w:eastAsia="Times New Roman" w:cs="Times New Roman"/>
                <w:spacing w:val="6"/>
                <w:sz w:val="19"/>
                <w:szCs w:val="19"/>
              </w:rPr>
              <w:t>8</w:t>
            </w:r>
            <w:r>
              <w:rPr>
                <w:rFonts w:ascii="Times New Roman" w:hAnsi="Times New Roman" w:eastAsia="Times New Roman" w:cs="Times New Roman"/>
                <w:sz w:val="19"/>
                <w:szCs w:val="19"/>
              </w:rPr>
              <w:t xml:space="preserve"> </w:t>
            </w:r>
            <w:r>
              <w:rPr>
                <w:spacing w:val="11"/>
                <w:sz w:val="19"/>
                <w:szCs w:val="19"/>
              </w:rPr>
              <w:t>个拟建成渝地区双城经济圈交通一体化融合发展先行示范区城市全</w:t>
            </w:r>
            <w:r>
              <w:rPr>
                <w:spacing w:val="4"/>
                <w:sz w:val="19"/>
                <w:szCs w:val="19"/>
              </w:rPr>
              <w:t xml:space="preserve"> 面联网。</w:t>
            </w:r>
          </w:p>
        </w:tc>
        <w:tc>
          <w:tcPr>
            <w:tcW w:w="4386" w:type="dxa"/>
            <w:vAlign w:val="top"/>
          </w:tcPr>
          <w:p w14:paraId="3FFB96EB">
            <w:pPr>
              <w:spacing w:line="275" w:lineRule="auto"/>
              <w:rPr>
                <w:rFonts w:ascii="Arial"/>
                <w:sz w:val="21"/>
              </w:rPr>
            </w:pPr>
          </w:p>
          <w:p w14:paraId="0717DBC0">
            <w:pPr>
              <w:spacing w:line="275" w:lineRule="auto"/>
              <w:rPr>
                <w:rFonts w:ascii="Arial"/>
                <w:sz w:val="21"/>
              </w:rPr>
            </w:pPr>
          </w:p>
          <w:p w14:paraId="2508E0FC">
            <w:pPr>
              <w:spacing w:line="275" w:lineRule="auto"/>
              <w:rPr>
                <w:rFonts w:ascii="Arial"/>
                <w:sz w:val="21"/>
              </w:rPr>
            </w:pPr>
          </w:p>
          <w:p w14:paraId="36776A4E">
            <w:pPr>
              <w:spacing w:line="275" w:lineRule="auto"/>
              <w:rPr>
                <w:rFonts w:ascii="Arial"/>
                <w:sz w:val="21"/>
              </w:rPr>
            </w:pPr>
          </w:p>
          <w:p w14:paraId="5741B14B">
            <w:pPr>
              <w:spacing w:line="275" w:lineRule="auto"/>
              <w:rPr>
                <w:rFonts w:ascii="Arial"/>
                <w:sz w:val="21"/>
              </w:rPr>
            </w:pPr>
          </w:p>
          <w:p w14:paraId="18FE27C3">
            <w:pPr>
              <w:spacing w:line="275" w:lineRule="auto"/>
              <w:rPr>
                <w:rFonts w:ascii="Arial"/>
                <w:sz w:val="21"/>
              </w:rPr>
            </w:pPr>
          </w:p>
          <w:p w14:paraId="4356C814">
            <w:pPr>
              <w:pStyle w:val="6"/>
              <w:spacing w:before="62" w:line="250" w:lineRule="auto"/>
              <w:ind w:left="90" w:right="41" w:firstLine="335"/>
              <w:rPr>
                <w:sz w:val="19"/>
                <w:szCs w:val="19"/>
              </w:rPr>
            </w:pPr>
            <w:r>
              <w:rPr>
                <w:spacing w:val="15"/>
                <w:sz w:val="19"/>
                <w:szCs w:val="19"/>
              </w:rPr>
              <w:t>规划调整区块均不在铁路、高速等可视范围</w:t>
            </w:r>
            <w:r>
              <w:rPr>
                <w:spacing w:val="17"/>
                <w:sz w:val="19"/>
                <w:szCs w:val="19"/>
              </w:rPr>
              <w:t xml:space="preserve"> </w:t>
            </w:r>
            <w:r>
              <w:rPr>
                <w:spacing w:val="-15"/>
                <w:sz w:val="19"/>
                <w:szCs w:val="19"/>
              </w:rPr>
              <w:t>内。</w:t>
            </w:r>
          </w:p>
        </w:tc>
        <w:tc>
          <w:tcPr>
            <w:tcW w:w="1897" w:type="dxa"/>
            <w:tcBorders>
              <w:right w:val="single" w:color="000000" w:sz="10" w:space="0"/>
            </w:tcBorders>
            <w:vAlign w:val="top"/>
          </w:tcPr>
          <w:p w14:paraId="53D40771">
            <w:pPr>
              <w:spacing w:line="259" w:lineRule="auto"/>
              <w:rPr>
                <w:rFonts w:ascii="Arial"/>
                <w:sz w:val="21"/>
              </w:rPr>
            </w:pPr>
          </w:p>
          <w:p w14:paraId="1C30DF7B">
            <w:pPr>
              <w:spacing w:line="259" w:lineRule="auto"/>
              <w:rPr>
                <w:rFonts w:ascii="Arial"/>
                <w:sz w:val="21"/>
              </w:rPr>
            </w:pPr>
          </w:p>
          <w:p w14:paraId="0915AF43">
            <w:pPr>
              <w:spacing w:line="259" w:lineRule="auto"/>
              <w:rPr>
                <w:rFonts w:ascii="Arial"/>
                <w:sz w:val="21"/>
              </w:rPr>
            </w:pPr>
          </w:p>
          <w:p w14:paraId="548962A5">
            <w:pPr>
              <w:spacing w:line="260" w:lineRule="auto"/>
              <w:rPr>
                <w:rFonts w:ascii="Arial"/>
                <w:sz w:val="21"/>
              </w:rPr>
            </w:pPr>
          </w:p>
          <w:p w14:paraId="4FD0C5D0">
            <w:pPr>
              <w:spacing w:line="260" w:lineRule="auto"/>
              <w:rPr>
                <w:rFonts w:ascii="Arial"/>
                <w:sz w:val="21"/>
              </w:rPr>
            </w:pPr>
          </w:p>
          <w:p w14:paraId="59A4C838">
            <w:pPr>
              <w:spacing w:line="260" w:lineRule="auto"/>
              <w:rPr>
                <w:rFonts w:ascii="Arial"/>
                <w:sz w:val="21"/>
              </w:rPr>
            </w:pPr>
          </w:p>
          <w:p w14:paraId="1F00BDF7">
            <w:pPr>
              <w:spacing w:line="260" w:lineRule="auto"/>
              <w:rPr>
                <w:rFonts w:ascii="Arial"/>
                <w:sz w:val="21"/>
              </w:rPr>
            </w:pPr>
          </w:p>
          <w:p w14:paraId="356240B2">
            <w:pPr>
              <w:spacing w:before="55" w:line="199" w:lineRule="auto"/>
              <w:ind w:left="923"/>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r>
      <w:tr w14:paraId="298171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0" w:hRule="atLeast"/>
        </w:trPr>
        <w:tc>
          <w:tcPr>
            <w:tcW w:w="501" w:type="dxa"/>
            <w:tcBorders>
              <w:left w:val="single" w:color="000000" w:sz="10" w:space="0"/>
              <w:bottom w:val="single" w:color="000000" w:sz="10" w:space="0"/>
            </w:tcBorders>
            <w:vAlign w:val="top"/>
          </w:tcPr>
          <w:p w14:paraId="7030C15B">
            <w:pPr>
              <w:rPr>
                <w:rFonts w:ascii="Arial"/>
                <w:sz w:val="21"/>
              </w:rPr>
            </w:pPr>
          </w:p>
          <w:p w14:paraId="4D0B2907">
            <w:pPr>
              <w:rPr>
                <w:rFonts w:ascii="Arial"/>
                <w:sz w:val="21"/>
              </w:rPr>
            </w:pPr>
          </w:p>
          <w:p w14:paraId="0A74A770">
            <w:pPr>
              <w:spacing w:line="241" w:lineRule="auto"/>
              <w:rPr>
                <w:rFonts w:ascii="Arial"/>
                <w:sz w:val="21"/>
              </w:rPr>
            </w:pPr>
          </w:p>
          <w:p w14:paraId="5252C3F1">
            <w:pPr>
              <w:spacing w:line="241" w:lineRule="auto"/>
              <w:rPr>
                <w:rFonts w:ascii="Arial"/>
                <w:sz w:val="21"/>
              </w:rPr>
            </w:pPr>
          </w:p>
          <w:p w14:paraId="42DF448C">
            <w:pPr>
              <w:spacing w:line="241" w:lineRule="auto"/>
              <w:rPr>
                <w:rFonts w:ascii="Arial"/>
                <w:sz w:val="21"/>
              </w:rPr>
            </w:pPr>
          </w:p>
          <w:p w14:paraId="13FA5322">
            <w:pPr>
              <w:spacing w:line="241" w:lineRule="auto"/>
              <w:rPr>
                <w:rFonts w:ascii="Arial"/>
                <w:sz w:val="21"/>
              </w:rPr>
            </w:pPr>
          </w:p>
          <w:p w14:paraId="5A0E085D">
            <w:pPr>
              <w:spacing w:before="55" w:line="195" w:lineRule="auto"/>
              <w:ind w:left="156"/>
              <w:rPr>
                <w:rFonts w:ascii="Times New Roman" w:hAnsi="Times New Roman" w:eastAsia="Times New Roman" w:cs="Times New Roman"/>
                <w:sz w:val="19"/>
                <w:szCs w:val="19"/>
              </w:rPr>
            </w:pPr>
            <w:r>
              <w:rPr>
                <w:rFonts w:ascii="Times New Roman" w:hAnsi="Times New Roman" w:eastAsia="Times New Roman" w:cs="Times New Roman"/>
                <w:spacing w:val="-7"/>
                <w:sz w:val="19"/>
                <w:szCs w:val="19"/>
              </w:rPr>
              <w:t>10</w:t>
            </w:r>
          </w:p>
        </w:tc>
        <w:tc>
          <w:tcPr>
            <w:tcW w:w="1744" w:type="dxa"/>
            <w:tcBorders>
              <w:bottom w:val="single" w:color="000000" w:sz="10" w:space="0"/>
            </w:tcBorders>
            <w:vAlign w:val="top"/>
          </w:tcPr>
          <w:p w14:paraId="010EEADA">
            <w:pPr>
              <w:spacing w:line="252" w:lineRule="auto"/>
              <w:rPr>
                <w:rFonts w:ascii="Arial"/>
                <w:sz w:val="21"/>
              </w:rPr>
            </w:pPr>
          </w:p>
          <w:p w14:paraId="6DE0C9D9">
            <w:pPr>
              <w:spacing w:line="253" w:lineRule="auto"/>
              <w:rPr>
                <w:rFonts w:ascii="Arial"/>
                <w:sz w:val="21"/>
              </w:rPr>
            </w:pPr>
          </w:p>
          <w:p w14:paraId="41834E4B">
            <w:pPr>
              <w:spacing w:line="253" w:lineRule="auto"/>
              <w:rPr>
                <w:rFonts w:ascii="Arial"/>
                <w:sz w:val="21"/>
              </w:rPr>
            </w:pPr>
          </w:p>
          <w:p w14:paraId="7C1C722F">
            <w:pPr>
              <w:pStyle w:val="6"/>
              <w:spacing w:before="61" w:line="250" w:lineRule="auto"/>
              <w:ind w:left="106" w:right="114"/>
              <w:rPr>
                <w:sz w:val="19"/>
                <w:szCs w:val="19"/>
              </w:rPr>
            </w:pPr>
            <w:r>
              <w:rPr>
                <w:spacing w:val="-1"/>
                <w:sz w:val="19"/>
                <w:szCs w:val="19"/>
              </w:rPr>
              <w:t>《四川省、重庆市</w:t>
            </w:r>
            <w:r>
              <w:rPr>
                <w:spacing w:val="4"/>
                <w:sz w:val="19"/>
                <w:szCs w:val="19"/>
              </w:rPr>
              <w:t xml:space="preserve"> </w:t>
            </w:r>
            <w:r>
              <w:rPr>
                <w:spacing w:val="7"/>
                <w:sz w:val="19"/>
                <w:szCs w:val="19"/>
              </w:rPr>
              <w:t>长江经济带发展</w:t>
            </w:r>
            <w:r>
              <w:rPr>
                <w:spacing w:val="2"/>
                <w:sz w:val="19"/>
                <w:szCs w:val="19"/>
              </w:rPr>
              <w:t xml:space="preserve">  </w:t>
            </w:r>
            <w:r>
              <w:rPr>
                <w:spacing w:val="7"/>
                <w:sz w:val="19"/>
                <w:szCs w:val="19"/>
              </w:rPr>
              <w:t>负面清单实施细</w:t>
            </w:r>
            <w:r>
              <w:rPr>
                <w:spacing w:val="2"/>
                <w:sz w:val="19"/>
                <w:szCs w:val="19"/>
              </w:rPr>
              <w:t xml:space="preserve">  </w:t>
            </w:r>
            <w:r>
              <w:rPr>
                <w:spacing w:val="6"/>
                <w:sz w:val="19"/>
                <w:szCs w:val="19"/>
              </w:rPr>
              <w:t>则（试行，</w:t>
            </w:r>
            <w:r>
              <w:rPr>
                <w:rFonts w:ascii="Times New Roman" w:hAnsi="Times New Roman" w:eastAsia="Times New Roman" w:cs="Times New Roman"/>
                <w:spacing w:val="6"/>
                <w:sz w:val="19"/>
                <w:szCs w:val="19"/>
              </w:rPr>
              <w:t>2022</w:t>
            </w:r>
            <w:r>
              <w:rPr>
                <w:rFonts w:ascii="Times New Roman" w:hAnsi="Times New Roman" w:eastAsia="Times New Roman" w:cs="Times New Roman"/>
                <w:sz w:val="19"/>
                <w:szCs w:val="19"/>
              </w:rPr>
              <w:t xml:space="preserve">    </w:t>
            </w:r>
            <w:r>
              <w:rPr>
                <w:spacing w:val="-1"/>
                <w:sz w:val="19"/>
                <w:szCs w:val="19"/>
              </w:rPr>
              <w:t>年版）》（川长江</w:t>
            </w:r>
            <w:r>
              <w:rPr>
                <w:spacing w:val="4"/>
                <w:sz w:val="19"/>
                <w:szCs w:val="19"/>
              </w:rPr>
              <w:t xml:space="preserve"> </w:t>
            </w:r>
            <w:r>
              <w:rPr>
                <w:spacing w:val="2"/>
                <w:sz w:val="19"/>
                <w:szCs w:val="19"/>
              </w:rPr>
              <w:t>办</w:t>
            </w:r>
            <w:r>
              <w:rPr>
                <w:rFonts w:ascii="Times New Roman" w:hAnsi="Times New Roman" w:eastAsia="Times New Roman" w:cs="Times New Roman"/>
                <w:spacing w:val="2"/>
                <w:sz w:val="19"/>
                <w:szCs w:val="19"/>
              </w:rPr>
              <w:t>[2022]17</w:t>
            </w:r>
            <w:r>
              <w:rPr>
                <w:rFonts w:ascii="Times New Roman" w:hAnsi="Times New Roman" w:eastAsia="Times New Roman" w:cs="Times New Roman"/>
                <w:spacing w:val="22"/>
                <w:w w:val="101"/>
                <w:sz w:val="19"/>
                <w:szCs w:val="19"/>
              </w:rPr>
              <w:t xml:space="preserve"> </w:t>
            </w:r>
            <w:r>
              <w:rPr>
                <w:spacing w:val="2"/>
                <w:sz w:val="19"/>
                <w:szCs w:val="19"/>
              </w:rPr>
              <w:t>号）</w:t>
            </w:r>
          </w:p>
        </w:tc>
        <w:tc>
          <w:tcPr>
            <w:tcW w:w="5943" w:type="dxa"/>
            <w:tcBorders>
              <w:bottom w:val="single" w:color="000000" w:sz="10" w:space="0"/>
            </w:tcBorders>
            <w:vAlign w:val="top"/>
          </w:tcPr>
          <w:p w14:paraId="3A6D4971">
            <w:pPr>
              <w:pStyle w:val="6"/>
              <w:spacing w:before="45" w:line="245" w:lineRule="auto"/>
              <w:ind w:left="114" w:right="105" w:firstLine="404"/>
              <w:rPr>
                <w:sz w:val="19"/>
                <w:szCs w:val="19"/>
              </w:rPr>
            </w:pPr>
            <w:r>
              <w:rPr>
                <w:spacing w:val="9"/>
                <w:sz w:val="19"/>
                <w:szCs w:val="19"/>
              </w:rPr>
              <w:t>第七条 禁止在自然保护区核心区、缓冲区的岸线和河段</w:t>
            </w:r>
            <w:r>
              <w:rPr>
                <w:spacing w:val="8"/>
                <w:sz w:val="19"/>
                <w:szCs w:val="19"/>
              </w:rPr>
              <w:t>范围</w:t>
            </w:r>
            <w:r>
              <w:rPr>
                <w:sz w:val="19"/>
                <w:szCs w:val="19"/>
              </w:rPr>
              <w:t xml:space="preserve"> </w:t>
            </w:r>
            <w:r>
              <w:rPr>
                <w:spacing w:val="7"/>
                <w:sz w:val="19"/>
                <w:szCs w:val="19"/>
              </w:rPr>
              <w:t>内投资建设旅游和生产经营项目，自然保护区的内部未分区的，依</w:t>
            </w:r>
            <w:r>
              <w:rPr>
                <w:spacing w:val="3"/>
                <w:sz w:val="19"/>
                <w:szCs w:val="19"/>
              </w:rPr>
              <w:t xml:space="preserve"> </w:t>
            </w:r>
            <w:r>
              <w:rPr>
                <w:spacing w:val="8"/>
                <w:sz w:val="19"/>
                <w:szCs w:val="19"/>
              </w:rPr>
              <w:t>照本实施细则核心区和缓冲区的规定管控。</w:t>
            </w:r>
          </w:p>
          <w:p w14:paraId="29C8CD39">
            <w:pPr>
              <w:pStyle w:val="6"/>
              <w:spacing w:before="21" w:line="248" w:lineRule="auto"/>
              <w:ind w:left="109" w:right="103" w:firstLine="409"/>
              <w:rPr>
                <w:sz w:val="19"/>
                <w:szCs w:val="19"/>
              </w:rPr>
            </w:pPr>
            <w:r>
              <w:rPr>
                <w:spacing w:val="9"/>
                <w:sz w:val="19"/>
                <w:szCs w:val="19"/>
              </w:rPr>
              <w:t>第八条 禁止违反风景名胜区规划，在风景名胜区内设立</w:t>
            </w:r>
            <w:r>
              <w:rPr>
                <w:spacing w:val="8"/>
                <w:sz w:val="19"/>
                <w:szCs w:val="19"/>
              </w:rPr>
              <w:t>各类</w:t>
            </w:r>
            <w:r>
              <w:rPr>
                <w:sz w:val="19"/>
                <w:szCs w:val="19"/>
              </w:rPr>
              <w:t xml:space="preserve"> </w:t>
            </w:r>
            <w:r>
              <w:rPr>
                <w:spacing w:val="9"/>
                <w:sz w:val="19"/>
                <w:szCs w:val="19"/>
              </w:rPr>
              <w:t>开发区。禁止在风景名胜区核心景区的岸线和河段范围内建设宾</w:t>
            </w:r>
            <w:r>
              <w:rPr>
                <w:spacing w:val="6"/>
                <w:sz w:val="19"/>
                <w:szCs w:val="19"/>
              </w:rPr>
              <w:t xml:space="preserve">  </w:t>
            </w:r>
            <w:r>
              <w:rPr>
                <w:spacing w:val="7"/>
                <w:sz w:val="19"/>
                <w:szCs w:val="19"/>
              </w:rPr>
              <w:t>馆、招待所、培训中心、疗养院以及与风景名胜资源保护无关的项</w:t>
            </w:r>
            <w:r>
              <w:rPr>
                <w:spacing w:val="10"/>
                <w:sz w:val="19"/>
                <w:szCs w:val="19"/>
              </w:rPr>
              <w:t xml:space="preserve"> </w:t>
            </w:r>
            <w:r>
              <w:rPr>
                <w:spacing w:val="-3"/>
                <w:sz w:val="19"/>
                <w:szCs w:val="19"/>
              </w:rPr>
              <w:t>目。</w:t>
            </w:r>
          </w:p>
          <w:p w14:paraId="1E3B9DD1">
            <w:pPr>
              <w:pStyle w:val="6"/>
              <w:spacing w:before="17" w:line="228" w:lineRule="auto"/>
              <w:ind w:left="519"/>
              <w:rPr>
                <w:sz w:val="19"/>
                <w:szCs w:val="19"/>
              </w:rPr>
            </w:pPr>
            <w:r>
              <w:rPr>
                <w:spacing w:val="9"/>
                <w:sz w:val="19"/>
                <w:szCs w:val="19"/>
              </w:rPr>
              <w:t>第九条 禁止在饮用水水源准保护区的岸线和河段范</w:t>
            </w:r>
            <w:r>
              <w:rPr>
                <w:spacing w:val="8"/>
                <w:sz w:val="19"/>
                <w:szCs w:val="19"/>
              </w:rPr>
              <w:t>围内新</w:t>
            </w:r>
          </w:p>
          <w:p w14:paraId="63854BF9">
            <w:pPr>
              <w:pStyle w:val="6"/>
              <w:spacing w:before="25" w:line="242" w:lineRule="auto"/>
              <w:ind w:left="109" w:right="103"/>
              <w:rPr>
                <w:sz w:val="19"/>
                <w:szCs w:val="19"/>
              </w:rPr>
            </w:pPr>
            <w:r>
              <w:rPr>
                <w:spacing w:val="7"/>
                <w:sz w:val="19"/>
                <w:szCs w:val="19"/>
              </w:rPr>
              <w:t>建、扩建对水体污染严重的建设项目，禁止改建增加排污量的建设</w:t>
            </w:r>
            <w:r>
              <w:rPr>
                <w:spacing w:val="10"/>
                <w:sz w:val="19"/>
                <w:szCs w:val="19"/>
              </w:rPr>
              <w:t xml:space="preserve"> </w:t>
            </w:r>
            <w:r>
              <w:rPr>
                <w:spacing w:val="1"/>
                <w:sz w:val="19"/>
                <w:szCs w:val="19"/>
              </w:rPr>
              <w:t>项目。</w:t>
            </w:r>
          </w:p>
          <w:p w14:paraId="54D1C53F">
            <w:pPr>
              <w:pStyle w:val="6"/>
              <w:spacing w:before="20" w:line="233" w:lineRule="auto"/>
              <w:ind w:left="121" w:right="103" w:firstLine="397"/>
              <w:rPr>
                <w:sz w:val="19"/>
                <w:szCs w:val="19"/>
              </w:rPr>
            </w:pPr>
            <w:r>
              <w:rPr>
                <w:spacing w:val="9"/>
                <w:sz w:val="19"/>
                <w:szCs w:val="19"/>
              </w:rPr>
              <w:t>第十条 饮用水水源二级保护区的岸线和河段范围内，除</w:t>
            </w:r>
            <w:r>
              <w:rPr>
                <w:spacing w:val="8"/>
                <w:sz w:val="19"/>
                <w:szCs w:val="19"/>
              </w:rPr>
              <w:t>应遵</w:t>
            </w:r>
            <w:r>
              <w:rPr>
                <w:sz w:val="19"/>
                <w:szCs w:val="19"/>
              </w:rPr>
              <w:t xml:space="preserve"> </w:t>
            </w:r>
            <w:r>
              <w:rPr>
                <w:spacing w:val="7"/>
                <w:sz w:val="19"/>
                <w:szCs w:val="19"/>
              </w:rPr>
              <w:t>守准保护区规定外，禁止新建、改建、扩建排放污染物的投资建设</w:t>
            </w:r>
          </w:p>
        </w:tc>
        <w:tc>
          <w:tcPr>
            <w:tcW w:w="4386" w:type="dxa"/>
            <w:tcBorders>
              <w:bottom w:val="single" w:color="000000" w:sz="10" w:space="0"/>
            </w:tcBorders>
            <w:vAlign w:val="top"/>
          </w:tcPr>
          <w:p w14:paraId="5ECE775E">
            <w:pPr>
              <w:spacing w:line="285" w:lineRule="auto"/>
              <w:rPr>
                <w:rFonts w:ascii="Arial"/>
                <w:sz w:val="21"/>
              </w:rPr>
            </w:pPr>
          </w:p>
          <w:p w14:paraId="607F8329">
            <w:pPr>
              <w:spacing w:line="285" w:lineRule="auto"/>
              <w:rPr>
                <w:rFonts w:ascii="Arial"/>
                <w:sz w:val="21"/>
              </w:rPr>
            </w:pPr>
          </w:p>
          <w:p w14:paraId="6CE1553F">
            <w:pPr>
              <w:spacing w:line="286" w:lineRule="auto"/>
              <w:rPr>
                <w:rFonts w:ascii="Arial"/>
                <w:sz w:val="21"/>
              </w:rPr>
            </w:pPr>
          </w:p>
          <w:p w14:paraId="2B03BF2C">
            <w:pPr>
              <w:spacing w:line="286" w:lineRule="auto"/>
              <w:rPr>
                <w:rFonts w:ascii="Arial"/>
                <w:sz w:val="21"/>
              </w:rPr>
            </w:pPr>
          </w:p>
          <w:p w14:paraId="354AA41E">
            <w:pPr>
              <w:pStyle w:val="6"/>
              <w:spacing w:before="61" w:line="252" w:lineRule="auto"/>
              <w:ind w:left="120" w:right="96" w:firstLine="399"/>
              <w:jc w:val="both"/>
              <w:rPr>
                <w:sz w:val="19"/>
                <w:szCs w:val="19"/>
              </w:rPr>
            </w:pPr>
            <w:r>
              <w:rPr>
                <w:spacing w:val="6"/>
                <w:sz w:val="19"/>
                <w:szCs w:val="19"/>
              </w:rPr>
              <w:t>本次评价的</w:t>
            </w:r>
            <w:r>
              <w:rPr>
                <w:spacing w:val="-43"/>
                <w:sz w:val="19"/>
                <w:szCs w:val="19"/>
              </w:rPr>
              <w:t xml:space="preserve"> </w:t>
            </w:r>
            <w:r>
              <w:rPr>
                <w:rFonts w:ascii="Times New Roman" w:hAnsi="Times New Roman" w:eastAsia="Times New Roman" w:cs="Times New Roman"/>
                <w:spacing w:val="6"/>
                <w:sz w:val="19"/>
                <w:szCs w:val="19"/>
              </w:rPr>
              <w:t xml:space="preserve">3 </w:t>
            </w:r>
            <w:r>
              <w:rPr>
                <w:spacing w:val="6"/>
                <w:sz w:val="19"/>
                <w:szCs w:val="19"/>
              </w:rPr>
              <w:t>个勘查区块和</w:t>
            </w:r>
            <w:r>
              <w:rPr>
                <w:spacing w:val="-26"/>
                <w:sz w:val="19"/>
                <w:szCs w:val="19"/>
              </w:rPr>
              <w:t xml:space="preserve"> </w:t>
            </w:r>
            <w:r>
              <w:rPr>
                <w:rFonts w:ascii="Times New Roman" w:hAnsi="Times New Roman" w:eastAsia="Times New Roman" w:cs="Times New Roman"/>
                <w:spacing w:val="6"/>
                <w:sz w:val="19"/>
                <w:szCs w:val="19"/>
              </w:rPr>
              <w:t xml:space="preserve">1 </w:t>
            </w:r>
            <w:r>
              <w:rPr>
                <w:spacing w:val="6"/>
                <w:sz w:val="19"/>
                <w:szCs w:val="19"/>
              </w:rPr>
              <w:t>个开采区块均</w:t>
            </w:r>
            <w:r>
              <w:rPr>
                <w:sz w:val="19"/>
                <w:szCs w:val="19"/>
              </w:rPr>
              <w:t xml:space="preserve"> </w:t>
            </w:r>
            <w:r>
              <w:rPr>
                <w:spacing w:val="8"/>
                <w:sz w:val="19"/>
                <w:szCs w:val="19"/>
              </w:rPr>
              <w:t>不占用自然保护区、风景名胜区、森林公园以及</w:t>
            </w:r>
            <w:r>
              <w:rPr>
                <w:spacing w:val="4"/>
                <w:sz w:val="19"/>
                <w:szCs w:val="19"/>
              </w:rPr>
              <w:t xml:space="preserve"> </w:t>
            </w:r>
            <w:r>
              <w:rPr>
                <w:spacing w:val="7"/>
                <w:sz w:val="19"/>
                <w:szCs w:val="19"/>
              </w:rPr>
              <w:t>饮用水源保护区。符合。</w:t>
            </w:r>
          </w:p>
        </w:tc>
        <w:tc>
          <w:tcPr>
            <w:tcW w:w="1897" w:type="dxa"/>
            <w:tcBorders>
              <w:bottom w:val="single" w:color="000000" w:sz="10" w:space="0"/>
              <w:right w:val="single" w:color="000000" w:sz="10" w:space="0"/>
            </w:tcBorders>
            <w:vAlign w:val="top"/>
          </w:tcPr>
          <w:p w14:paraId="32A5501B">
            <w:pPr>
              <w:rPr>
                <w:rFonts w:ascii="Arial"/>
                <w:sz w:val="21"/>
              </w:rPr>
            </w:pPr>
          </w:p>
        </w:tc>
      </w:tr>
    </w:tbl>
    <w:p w14:paraId="7CB03CF1">
      <w:pPr>
        <w:pStyle w:val="2"/>
        <w:spacing w:line="162" w:lineRule="exact"/>
        <w:rPr>
          <w:sz w:val="14"/>
        </w:rPr>
      </w:pPr>
    </w:p>
    <w:p w14:paraId="52EE14CF">
      <w:pPr>
        <w:spacing w:line="162" w:lineRule="exact"/>
        <w:rPr>
          <w:sz w:val="14"/>
          <w:szCs w:val="14"/>
        </w:rPr>
        <w:sectPr>
          <w:footerReference r:id="rId86" w:type="default"/>
          <w:pgSz w:w="16839" w:h="11906"/>
          <w:pgMar w:top="1116" w:right="1023" w:bottom="1480" w:left="1317" w:header="683" w:footer="1318" w:gutter="0"/>
          <w:cols w:space="720" w:num="1"/>
        </w:sectPr>
      </w:pPr>
    </w:p>
    <w:p w14:paraId="61BD238E">
      <w:pPr>
        <w:spacing w:before="229"/>
      </w:pPr>
    </w:p>
    <w:tbl>
      <w:tblPr>
        <w:tblStyle w:val="5"/>
        <w:tblW w:w="1447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1"/>
        <w:gridCol w:w="1744"/>
        <w:gridCol w:w="5943"/>
        <w:gridCol w:w="4386"/>
        <w:gridCol w:w="1897"/>
      </w:tblGrid>
      <w:tr w14:paraId="24525D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501" w:type="dxa"/>
            <w:vMerge w:val="restart"/>
            <w:tcBorders>
              <w:top w:val="single" w:color="000000" w:sz="10" w:space="0"/>
              <w:left w:val="single" w:color="000000" w:sz="10" w:space="0"/>
              <w:bottom w:val="nil"/>
            </w:tcBorders>
            <w:textDirection w:val="tbRlV"/>
            <w:vAlign w:val="top"/>
          </w:tcPr>
          <w:p w14:paraId="6A486DE6">
            <w:pPr>
              <w:pStyle w:val="6"/>
              <w:spacing w:before="153" w:line="210" w:lineRule="auto"/>
              <w:ind w:left="174"/>
              <w:rPr>
                <w:sz w:val="19"/>
                <w:szCs w:val="19"/>
              </w:rPr>
            </w:pPr>
            <w:r>
              <w:rPr>
                <w:spacing w:val="13"/>
                <w:sz w:val="19"/>
                <w:szCs w:val="19"/>
              </w:rPr>
              <w:t>序</w:t>
            </w:r>
            <w:r>
              <w:rPr>
                <w:spacing w:val="-40"/>
                <w:sz w:val="19"/>
                <w:szCs w:val="19"/>
              </w:rPr>
              <w:t xml:space="preserve"> </w:t>
            </w:r>
            <w:r>
              <w:rPr>
                <w:spacing w:val="13"/>
                <w:sz w:val="19"/>
                <w:szCs w:val="19"/>
              </w:rPr>
              <w:t>号</w:t>
            </w:r>
          </w:p>
        </w:tc>
        <w:tc>
          <w:tcPr>
            <w:tcW w:w="7687" w:type="dxa"/>
            <w:gridSpan w:val="2"/>
            <w:tcBorders>
              <w:top w:val="single" w:color="000000" w:sz="10" w:space="0"/>
            </w:tcBorders>
            <w:vAlign w:val="top"/>
          </w:tcPr>
          <w:p w14:paraId="46394F6D">
            <w:pPr>
              <w:pStyle w:val="6"/>
              <w:spacing w:before="75" w:line="231" w:lineRule="auto"/>
              <w:ind w:left="2551"/>
              <w:rPr>
                <w:sz w:val="19"/>
                <w:szCs w:val="19"/>
              </w:rPr>
            </w:pPr>
            <w:r>
              <w:rPr>
                <w:spacing w:val="8"/>
                <w:sz w:val="19"/>
                <w:szCs w:val="19"/>
              </w:rPr>
              <w:t>上层位规划和主体功能区规划</w:t>
            </w:r>
          </w:p>
        </w:tc>
        <w:tc>
          <w:tcPr>
            <w:tcW w:w="4386" w:type="dxa"/>
            <w:vMerge w:val="restart"/>
            <w:tcBorders>
              <w:top w:val="single" w:color="000000" w:sz="10" w:space="0"/>
              <w:bottom w:val="nil"/>
            </w:tcBorders>
            <w:vAlign w:val="top"/>
          </w:tcPr>
          <w:p w14:paraId="63C31D55">
            <w:pPr>
              <w:spacing w:line="242" w:lineRule="auto"/>
              <w:rPr>
                <w:rFonts w:ascii="Arial"/>
                <w:sz w:val="21"/>
              </w:rPr>
            </w:pPr>
          </w:p>
          <w:p w14:paraId="5F95B286">
            <w:pPr>
              <w:pStyle w:val="6"/>
              <w:spacing w:before="62" w:line="229" w:lineRule="auto"/>
              <w:ind w:left="909"/>
              <w:rPr>
                <w:sz w:val="19"/>
                <w:szCs w:val="19"/>
              </w:rPr>
            </w:pPr>
            <w:r>
              <w:rPr>
                <w:spacing w:val="9"/>
                <w:sz w:val="19"/>
                <w:szCs w:val="19"/>
              </w:rPr>
              <w:t>本《规划调整》的符合性分析</w:t>
            </w:r>
          </w:p>
        </w:tc>
        <w:tc>
          <w:tcPr>
            <w:tcW w:w="1897" w:type="dxa"/>
            <w:vMerge w:val="restart"/>
            <w:tcBorders>
              <w:top w:val="single" w:color="000000" w:sz="10" w:space="0"/>
              <w:bottom w:val="nil"/>
              <w:right w:val="single" w:color="000000" w:sz="10" w:space="0"/>
            </w:tcBorders>
            <w:vAlign w:val="top"/>
          </w:tcPr>
          <w:p w14:paraId="5B20DD7B">
            <w:pPr>
              <w:spacing w:line="243" w:lineRule="auto"/>
              <w:rPr>
                <w:rFonts w:ascii="Arial"/>
                <w:sz w:val="21"/>
              </w:rPr>
            </w:pPr>
          </w:p>
          <w:p w14:paraId="19DEF2E1">
            <w:pPr>
              <w:pStyle w:val="6"/>
              <w:spacing w:before="61" w:line="231" w:lineRule="auto"/>
              <w:ind w:left="362"/>
              <w:rPr>
                <w:sz w:val="19"/>
                <w:szCs w:val="19"/>
              </w:rPr>
            </w:pPr>
            <w:r>
              <w:rPr>
                <w:spacing w:val="7"/>
                <w:sz w:val="19"/>
                <w:szCs w:val="19"/>
              </w:rPr>
              <w:t>优化调整建议</w:t>
            </w:r>
          </w:p>
        </w:tc>
      </w:tr>
      <w:tr w14:paraId="5536F6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501" w:type="dxa"/>
            <w:vMerge w:val="continue"/>
            <w:tcBorders>
              <w:top w:val="nil"/>
              <w:left w:val="single" w:color="000000" w:sz="10" w:space="0"/>
            </w:tcBorders>
            <w:textDirection w:val="tbRlV"/>
            <w:vAlign w:val="top"/>
          </w:tcPr>
          <w:p w14:paraId="2304306A">
            <w:pPr>
              <w:rPr>
                <w:rFonts w:ascii="Arial"/>
                <w:sz w:val="21"/>
              </w:rPr>
            </w:pPr>
          </w:p>
        </w:tc>
        <w:tc>
          <w:tcPr>
            <w:tcW w:w="1744" w:type="dxa"/>
            <w:vAlign w:val="top"/>
          </w:tcPr>
          <w:p w14:paraId="1001AE56">
            <w:pPr>
              <w:pStyle w:val="6"/>
              <w:spacing w:before="124" w:line="230" w:lineRule="auto"/>
              <w:ind w:left="673"/>
              <w:rPr>
                <w:sz w:val="19"/>
                <w:szCs w:val="19"/>
              </w:rPr>
            </w:pPr>
            <w:r>
              <w:rPr>
                <w:spacing w:val="2"/>
                <w:sz w:val="19"/>
                <w:szCs w:val="19"/>
              </w:rPr>
              <w:t>名称</w:t>
            </w:r>
          </w:p>
        </w:tc>
        <w:tc>
          <w:tcPr>
            <w:tcW w:w="5943" w:type="dxa"/>
            <w:vAlign w:val="top"/>
          </w:tcPr>
          <w:p w14:paraId="7B9820FA">
            <w:pPr>
              <w:pStyle w:val="6"/>
              <w:spacing w:before="124" w:line="231" w:lineRule="auto"/>
              <w:ind w:left="1785"/>
              <w:rPr>
                <w:sz w:val="19"/>
                <w:szCs w:val="19"/>
              </w:rPr>
            </w:pPr>
            <w:r>
              <w:rPr>
                <w:spacing w:val="8"/>
                <w:sz w:val="19"/>
                <w:szCs w:val="19"/>
              </w:rPr>
              <w:t>与本《规划调整》相关内容</w:t>
            </w:r>
          </w:p>
        </w:tc>
        <w:tc>
          <w:tcPr>
            <w:tcW w:w="4386" w:type="dxa"/>
            <w:vMerge w:val="continue"/>
            <w:tcBorders>
              <w:top w:val="nil"/>
            </w:tcBorders>
            <w:vAlign w:val="top"/>
          </w:tcPr>
          <w:p w14:paraId="604C9CB5">
            <w:pPr>
              <w:rPr>
                <w:rFonts w:ascii="Arial"/>
                <w:sz w:val="21"/>
              </w:rPr>
            </w:pPr>
          </w:p>
        </w:tc>
        <w:tc>
          <w:tcPr>
            <w:tcW w:w="1897" w:type="dxa"/>
            <w:vMerge w:val="continue"/>
            <w:tcBorders>
              <w:top w:val="nil"/>
              <w:right w:val="single" w:color="000000" w:sz="10" w:space="0"/>
            </w:tcBorders>
            <w:vAlign w:val="top"/>
          </w:tcPr>
          <w:p w14:paraId="424863A0">
            <w:pPr>
              <w:rPr>
                <w:rFonts w:ascii="Arial"/>
                <w:sz w:val="21"/>
              </w:rPr>
            </w:pPr>
          </w:p>
        </w:tc>
      </w:tr>
      <w:tr w14:paraId="68AEB5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6" w:hRule="atLeast"/>
        </w:trPr>
        <w:tc>
          <w:tcPr>
            <w:tcW w:w="501" w:type="dxa"/>
            <w:tcBorders>
              <w:left w:val="single" w:color="000000" w:sz="10" w:space="0"/>
            </w:tcBorders>
            <w:vAlign w:val="top"/>
          </w:tcPr>
          <w:p w14:paraId="0FC204FE">
            <w:pPr>
              <w:rPr>
                <w:rFonts w:ascii="Arial"/>
                <w:sz w:val="21"/>
              </w:rPr>
            </w:pPr>
          </w:p>
        </w:tc>
        <w:tc>
          <w:tcPr>
            <w:tcW w:w="1744" w:type="dxa"/>
            <w:vAlign w:val="top"/>
          </w:tcPr>
          <w:p w14:paraId="0A4D8C89">
            <w:pPr>
              <w:rPr>
                <w:rFonts w:ascii="Arial"/>
                <w:sz w:val="21"/>
              </w:rPr>
            </w:pPr>
          </w:p>
        </w:tc>
        <w:tc>
          <w:tcPr>
            <w:tcW w:w="5943" w:type="dxa"/>
            <w:vAlign w:val="top"/>
          </w:tcPr>
          <w:p w14:paraId="1C428D29">
            <w:pPr>
              <w:pStyle w:val="6"/>
              <w:spacing w:before="33" w:line="230" w:lineRule="auto"/>
              <w:ind w:left="110"/>
              <w:rPr>
                <w:sz w:val="19"/>
                <w:szCs w:val="19"/>
              </w:rPr>
            </w:pPr>
            <w:r>
              <w:rPr>
                <w:spacing w:val="7"/>
                <w:sz w:val="19"/>
                <w:szCs w:val="19"/>
              </w:rPr>
              <w:t>项目；禁止从事采石（砂）</w:t>
            </w:r>
            <w:r>
              <w:rPr>
                <w:spacing w:val="-37"/>
                <w:sz w:val="19"/>
                <w:szCs w:val="19"/>
              </w:rPr>
              <w:t xml:space="preserve"> </w:t>
            </w:r>
            <w:r>
              <w:rPr>
                <w:spacing w:val="7"/>
                <w:sz w:val="19"/>
                <w:szCs w:val="19"/>
              </w:rPr>
              <w:t>、对水体有污染的水产养殖等活动。</w:t>
            </w:r>
          </w:p>
          <w:p w14:paraId="2851ECC3">
            <w:pPr>
              <w:pStyle w:val="6"/>
              <w:spacing w:before="21" w:line="245" w:lineRule="auto"/>
              <w:ind w:left="108" w:right="103" w:firstLine="410"/>
              <w:rPr>
                <w:sz w:val="19"/>
                <w:szCs w:val="19"/>
              </w:rPr>
            </w:pPr>
            <w:r>
              <w:rPr>
                <w:spacing w:val="9"/>
                <w:sz w:val="19"/>
                <w:szCs w:val="19"/>
              </w:rPr>
              <w:t>第十一条 饮用水水源一级保护区的岸线和河段范围内，</w:t>
            </w:r>
            <w:r>
              <w:rPr>
                <w:spacing w:val="8"/>
                <w:sz w:val="19"/>
                <w:szCs w:val="19"/>
              </w:rPr>
              <w:t>除应</w:t>
            </w:r>
            <w:r>
              <w:rPr>
                <w:sz w:val="19"/>
                <w:szCs w:val="19"/>
              </w:rPr>
              <w:t xml:space="preserve"> </w:t>
            </w:r>
            <w:r>
              <w:rPr>
                <w:spacing w:val="7"/>
                <w:sz w:val="19"/>
                <w:szCs w:val="19"/>
              </w:rPr>
              <w:t>遵守二级保护区规定外，禁止新建、改建、扩建与供（取）水设施</w:t>
            </w:r>
            <w:r>
              <w:rPr>
                <w:spacing w:val="12"/>
                <w:sz w:val="19"/>
                <w:szCs w:val="19"/>
              </w:rPr>
              <w:t xml:space="preserve"> </w:t>
            </w:r>
            <w:r>
              <w:rPr>
                <w:spacing w:val="8"/>
                <w:sz w:val="19"/>
                <w:szCs w:val="19"/>
              </w:rPr>
              <w:t>和保护水源无关的项目</w:t>
            </w:r>
          </w:p>
          <w:p w14:paraId="6E3D733B">
            <w:pPr>
              <w:pStyle w:val="6"/>
              <w:spacing w:before="22" w:line="231" w:lineRule="auto"/>
              <w:ind w:left="114" w:right="159" w:firstLine="404"/>
              <w:rPr>
                <w:rFonts w:ascii="Times New Roman" w:hAnsi="Times New Roman" w:eastAsia="Times New Roman" w:cs="Times New Roman"/>
                <w:sz w:val="19"/>
                <w:szCs w:val="19"/>
              </w:rPr>
            </w:pPr>
            <w:r>
              <w:rPr>
                <w:spacing w:val="8"/>
                <w:sz w:val="19"/>
                <w:szCs w:val="19"/>
              </w:rPr>
              <w:t>第十三条 禁止在国家湿地公园的岸线和河段范围内开（围）</w:t>
            </w:r>
            <w:r>
              <w:rPr>
                <w:spacing w:val="7"/>
                <w:sz w:val="19"/>
                <w:szCs w:val="19"/>
              </w:rPr>
              <w:t xml:space="preserve"> </w:t>
            </w:r>
            <w:r>
              <w:rPr>
                <w:spacing w:val="8"/>
                <w:sz w:val="19"/>
                <w:szCs w:val="19"/>
              </w:rPr>
              <w:t>垦、填埋或者排干湿地，截断湿地水源，挖沙、采矿</w:t>
            </w:r>
            <w:r>
              <w:rPr>
                <w:rFonts w:ascii="Times New Roman" w:hAnsi="Times New Roman" w:eastAsia="Times New Roman" w:cs="Times New Roman"/>
                <w:spacing w:val="8"/>
                <w:sz w:val="19"/>
                <w:szCs w:val="19"/>
              </w:rPr>
              <w:t>......</w:t>
            </w:r>
          </w:p>
        </w:tc>
        <w:tc>
          <w:tcPr>
            <w:tcW w:w="4386" w:type="dxa"/>
            <w:vAlign w:val="top"/>
          </w:tcPr>
          <w:p w14:paraId="567795D8">
            <w:pPr>
              <w:rPr>
                <w:rFonts w:ascii="Arial"/>
                <w:sz w:val="21"/>
              </w:rPr>
            </w:pPr>
          </w:p>
        </w:tc>
        <w:tc>
          <w:tcPr>
            <w:tcW w:w="1897" w:type="dxa"/>
            <w:tcBorders>
              <w:right w:val="single" w:color="000000" w:sz="10" w:space="0"/>
            </w:tcBorders>
            <w:vAlign w:val="top"/>
          </w:tcPr>
          <w:p w14:paraId="4264D5A0">
            <w:pPr>
              <w:rPr>
                <w:rFonts w:ascii="Arial"/>
                <w:sz w:val="21"/>
              </w:rPr>
            </w:pPr>
          </w:p>
        </w:tc>
      </w:tr>
      <w:tr w14:paraId="583871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33" w:hRule="atLeast"/>
        </w:trPr>
        <w:tc>
          <w:tcPr>
            <w:tcW w:w="501" w:type="dxa"/>
            <w:tcBorders>
              <w:left w:val="single" w:color="000000" w:sz="10" w:space="0"/>
            </w:tcBorders>
            <w:vAlign w:val="top"/>
          </w:tcPr>
          <w:p w14:paraId="40C62132">
            <w:pPr>
              <w:spacing w:line="262" w:lineRule="auto"/>
              <w:rPr>
                <w:rFonts w:ascii="Arial"/>
                <w:sz w:val="21"/>
              </w:rPr>
            </w:pPr>
          </w:p>
          <w:p w14:paraId="2ED71126">
            <w:pPr>
              <w:spacing w:line="262" w:lineRule="auto"/>
              <w:rPr>
                <w:rFonts w:ascii="Arial"/>
                <w:sz w:val="21"/>
              </w:rPr>
            </w:pPr>
          </w:p>
          <w:p w14:paraId="33D372EC">
            <w:pPr>
              <w:spacing w:line="263" w:lineRule="auto"/>
              <w:rPr>
                <w:rFonts w:ascii="Arial"/>
                <w:sz w:val="21"/>
              </w:rPr>
            </w:pPr>
          </w:p>
          <w:p w14:paraId="48D5554D">
            <w:pPr>
              <w:spacing w:line="263" w:lineRule="auto"/>
              <w:rPr>
                <w:rFonts w:ascii="Arial"/>
                <w:sz w:val="21"/>
              </w:rPr>
            </w:pPr>
          </w:p>
          <w:p w14:paraId="64A78787">
            <w:pPr>
              <w:spacing w:before="54" w:line="195" w:lineRule="auto"/>
              <w:ind w:left="156"/>
              <w:rPr>
                <w:rFonts w:ascii="Times New Roman" w:hAnsi="Times New Roman" w:eastAsia="Times New Roman" w:cs="Times New Roman"/>
                <w:sz w:val="19"/>
                <w:szCs w:val="19"/>
              </w:rPr>
            </w:pPr>
            <w:r>
              <w:rPr>
                <w:rFonts w:ascii="Times New Roman" w:hAnsi="Times New Roman" w:eastAsia="Times New Roman" w:cs="Times New Roman"/>
                <w:spacing w:val="-7"/>
                <w:sz w:val="19"/>
                <w:szCs w:val="19"/>
              </w:rPr>
              <w:t>11</w:t>
            </w:r>
          </w:p>
        </w:tc>
        <w:tc>
          <w:tcPr>
            <w:tcW w:w="1744" w:type="dxa"/>
            <w:vAlign w:val="top"/>
          </w:tcPr>
          <w:p w14:paraId="0D593C63">
            <w:pPr>
              <w:spacing w:line="244" w:lineRule="auto"/>
              <w:rPr>
                <w:rFonts w:ascii="Arial"/>
                <w:sz w:val="21"/>
              </w:rPr>
            </w:pPr>
          </w:p>
          <w:p w14:paraId="0125E517">
            <w:pPr>
              <w:spacing w:line="245" w:lineRule="auto"/>
              <w:rPr>
                <w:rFonts w:ascii="Arial"/>
                <w:sz w:val="21"/>
              </w:rPr>
            </w:pPr>
          </w:p>
          <w:p w14:paraId="0260E7B7">
            <w:pPr>
              <w:pStyle w:val="6"/>
              <w:spacing w:before="62" w:line="250" w:lineRule="auto"/>
              <w:ind w:left="101" w:right="57" w:firstLine="4"/>
              <w:rPr>
                <w:rFonts w:ascii="Times New Roman" w:hAnsi="Times New Roman" w:eastAsia="Times New Roman" w:cs="Times New Roman"/>
                <w:sz w:val="19"/>
                <w:szCs w:val="19"/>
              </w:rPr>
            </w:pPr>
            <w:r>
              <w:rPr>
                <w:spacing w:val="7"/>
                <w:sz w:val="19"/>
                <w:szCs w:val="19"/>
              </w:rPr>
              <w:t>《重庆市深入打</w:t>
            </w:r>
            <w:r>
              <w:rPr>
                <w:spacing w:val="1"/>
                <w:sz w:val="19"/>
                <w:szCs w:val="19"/>
              </w:rPr>
              <w:t xml:space="preserve">   </w:t>
            </w:r>
            <w:r>
              <w:rPr>
                <w:spacing w:val="8"/>
                <w:sz w:val="19"/>
                <w:szCs w:val="19"/>
              </w:rPr>
              <w:t>好长江保护修复</w:t>
            </w:r>
            <w:r>
              <w:rPr>
                <w:spacing w:val="1"/>
                <w:sz w:val="19"/>
                <w:szCs w:val="19"/>
              </w:rPr>
              <w:t xml:space="preserve">   </w:t>
            </w:r>
            <w:r>
              <w:rPr>
                <w:spacing w:val="7"/>
                <w:sz w:val="19"/>
                <w:szCs w:val="19"/>
              </w:rPr>
              <w:t>攻坚战行动方案》</w:t>
            </w:r>
            <w:r>
              <w:rPr>
                <w:spacing w:val="3"/>
                <w:sz w:val="19"/>
                <w:szCs w:val="19"/>
              </w:rPr>
              <w:t xml:space="preserve"> </w:t>
            </w:r>
            <w:r>
              <w:rPr>
                <w:rFonts w:ascii="Times New Roman" w:hAnsi="Times New Roman" w:eastAsia="Times New Roman" w:cs="Times New Roman"/>
                <w:spacing w:val="3"/>
                <w:sz w:val="19"/>
                <w:szCs w:val="19"/>
              </w:rPr>
              <w:t>(</w:t>
            </w:r>
            <w:r>
              <w:rPr>
                <w:spacing w:val="3"/>
                <w:sz w:val="19"/>
                <w:szCs w:val="19"/>
              </w:rPr>
              <w:t>渝环规〔</w:t>
            </w:r>
            <w:r>
              <w:rPr>
                <w:rFonts w:ascii="Times New Roman" w:hAnsi="Times New Roman" w:eastAsia="Times New Roman" w:cs="Times New Roman"/>
                <w:spacing w:val="3"/>
                <w:sz w:val="19"/>
                <w:szCs w:val="19"/>
              </w:rPr>
              <w:t>2023</w:t>
            </w:r>
            <w:r>
              <w:rPr>
                <w:spacing w:val="3"/>
                <w:sz w:val="19"/>
                <w:szCs w:val="19"/>
              </w:rPr>
              <w:t>〕</w:t>
            </w:r>
            <w:r>
              <w:rPr>
                <w:rFonts w:ascii="Times New Roman" w:hAnsi="Times New Roman" w:eastAsia="Times New Roman" w:cs="Times New Roman"/>
                <w:spacing w:val="3"/>
                <w:sz w:val="19"/>
                <w:szCs w:val="19"/>
              </w:rPr>
              <w:t>1</w:t>
            </w:r>
            <w:r>
              <w:rPr>
                <w:rFonts w:ascii="Times New Roman" w:hAnsi="Times New Roman" w:eastAsia="Times New Roman" w:cs="Times New Roman"/>
                <w:sz w:val="19"/>
                <w:szCs w:val="19"/>
              </w:rPr>
              <w:t xml:space="preserve">  </w:t>
            </w:r>
            <w:r>
              <w:rPr>
                <w:spacing w:val="3"/>
                <w:sz w:val="19"/>
                <w:szCs w:val="19"/>
              </w:rPr>
              <w:t>号</w:t>
            </w:r>
            <w:r>
              <w:rPr>
                <w:rFonts w:ascii="Times New Roman" w:hAnsi="Times New Roman" w:eastAsia="Times New Roman" w:cs="Times New Roman"/>
                <w:spacing w:val="3"/>
                <w:sz w:val="19"/>
                <w:szCs w:val="19"/>
              </w:rPr>
              <w:t>)</w:t>
            </w:r>
          </w:p>
        </w:tc>
        <w:tc>
          <w:tcPr>
            <w:tcW w:w="5943" w:type="dxa"/>
            <w:vAlign w:val="top"/>
          </w:tcPr>
          <w:p w14:paraId="590BF290">
            <w:pPr>
              <w:pStyle w:val="6"/>
              <w:spacing w:before="40" w:line="251" w:lineRule="auto"/>
              <w:ind w:left="117" w:right="105" w:firstLine="393"/>
              <w:jc w:val="both"/>
              <w:rPr>
                <w:sz w:val="19"/>
                <w:szCs w:val="19"/>
              </w:rPr>
            </w:pPr>
            <w:r>
              <w:rPr>
                <w:spacing w:val="7"/>
                <w:sz w:val="19"/>
                <w:szCs w:val="19"/>
              </w:rPr>
              <w:t>加强重点地区生态修复。推进大巴山区、武陵山区、大娄山区</w:t>
            </w:r>
            <w:r>
              <w:rPr>
                <w:spacing w:val="2"/>
                <w:sz w:val="19"/>
                <w:szCs w:val="19"/>
              </w:rPr>
              <w:t xml:space="preserve"> </w:t>
            </w:r>
            <w:r>
              <w:rPr>
                <w:spacing w:val="7"/>
                <w:sz w:val="19"/>
                <w:szCs w:val="19"/>
              </w:rPr>
              <w:t>等国家重要生态功能区生态保护和修复，实施重庆三峡库区腹心地</w:t>
            </w:r>
            <w:r>
              <w:rPr>
                <w:spacing w:val="1"/>
                <w:sz w:val="19"/>
                <w:szCs w:val="19"/>
              </w:rPr>
              <w:t xml:space="preserve"> </w:t>
            </w:r>
            <w:r>
              <w:rPr>
                <w:spacing w:val="7"/>
                <w:sz w:val="19"/>
                <w:szCs w:val="19"/>
              </w:rPr>
              <w:t>带山水林田湖草沙一体化保护和修复工程，推进三峡库区消落区生</w:t>
            </w:r>
            <w:r>
              <w:rPr>
                <w:spacing w:val="1"/>
                <w:sz w:val="19"/>
                <w:szCs w:val="19"/>
              </w:rPr>
              <w:t xml:space="preserve"> </w:t>
            </w:r>
            <w:r>
              <w:rPr>
                <w:spacing w:val="9"/>
                <w:sz w:val="19"/>
                <w:szCs w:val="19"/>
              </w:rPr>
              <w:t>态保护与修复，持续提升长江流域生态系统</w:t>
            </w:r>
            <w:r>
              <w:rPr>
                <w:spacing w:val="8"/>
                <w:sz w:val="19"/>
                <w:szCs w:val="19"/>
              </w:rPr>
              <w:t>质量和稳定性。</w:t>
            </w:r>
          </w:p>
          <w:p w14:paraId="602C5251">
            <w:pPr>
              <w:pStyle w:val="6"/>
              <w:spacing w:before="3" w:line="242" w:lineRule="auto"/>
              <w:ind w:left="100" w:right="103" w:firstLine="409"/>
              <w:rPr>
                <w:sz w:val="19"/>
                <w:szCs w:val="19"/>
              </w:rPr>
            </w:pPr>
            <w:r>
              <w:rPr>
                <w:spacing w:val="7"/>
                <w:sz w:val="19"/>
                <w:szCs w:val="19"/>
              </w:rPr>
              <w:t>加强水土流失综合治理。以长江、嘉陵江、乌江及其重要支流</w:t>
            </w:r>
            <w:r>
              <w:rPr>
                <w:spacing w:val="2"/>
                <w:sz w:val="19"/>
                <w:szCs w:val="19"/>
              </w:rPr>
              <w:t xml:space="preserve"> </w:t>
            </w:r>
            <w:r>
              <w:rPr>
                <w:spacing w:val="8"/>
                <w:sz w:val="19"/>
                <w:szCs w:val="19"/>
              </w:rPr>
              <w:t>水土流失区、坡耕（园）地集中区域、石漠</w:t>
            </w:r>
            <w:r>
              <w:rPr>
                <w:spacing w:val="7"/>
                <w:sz w:val="19"/>
                <w:szCs w:val="19"/>
              </w:rPr>
              <w:t>化区域、疏幼林地等为</w:t>
            </w:r>
            <w:r>
              <w:rPr>
                <w:sz w:val="19"/>
                <w:szCs w:val="19"/>
              </w:rPr>
              <w:t xml:space="preserve"> </w:t>
            </w:r>
            <w:r>
              <w:rPr>
                <w:spacing w:val="8"/>
                <w:sz w:val="19"/>
                <w:szCs w:val="19"/>
              </w:rPr>
              <w:t>重点，推进小流域水土流失综合治理，开展</w:t>
            </w:r>
            <w:r>
              <w:rPr>
                <w:spacing w:val="7"/>
                <w:sz w:val="19"/>
                <w:szCs w:val="19"/>
              </w:rPr>
              <w:t>坡耕地水土流失综合整</w:t>
            </w:r>
            <w:r>
              <w:rPr>
                <w:sz w:val="19"/>
                <w:szCs w:val="19"/>
              </w:rPr>
              <w:t xml:space="preserve"> </w:t>
            </w:r>
            <w:r>
              <w:rPr>
                <w:spacing w:val="10"/>
                <w:sz w:val="19"/>
                <w:szCs w:val="19"/>
              </w:rPr>
              <w:t>治，持续推进石漠化综合治理，加快提升林地水</w:t>
            </w:r>
            <w:r>
              <w:rPr>
                <w:spacing w:val="9"/>
                <w:sz w:val="19"/>
                <w:szCs w:val="19"/>
              </w:rPr>
              <w:t>土保持效应。到</w:t>
            </w:r>
            <w:r>
              <w:rPr>
                <w:sz w:val="19"/>
                <w:szCs w:val="19"/>
              </w:rPr>
              <w:t xml:space="preserve">  </w:t>
            </w:r>
            <w:r>
              <w:rPr>
                <w:rFonts w:ascii="Times New Roman" w:hAnsi="Times New Roman" w:eastAsia="Times New Roman" w:cs="Times New Roman"/>
                <w:spacing w:val="6"/>
                <w:sz w:val="19"/>
                <w:szCs w:val="19"/>
              </w:rPr>
              <w:t>2025</w:t>
            </w:r>
            <w:r>
              <w:rPr>
                <w:rFonts w:ascii="Times New Roman" w:hAnsi="Times New Roman" w:eastAsia="Times New Roman" w:cs="Times New Roman"/>
                <w:spacing w:val="30"/>
                <w:w w:val="101"/>
                <w:sz w:val="19"/>
                <w:szCs w:val="19"/>
              </w:rPr>
              <w:t xml:space="preserve"> </w:t>
            </w:r>
            <w:r>
              <w:rPr>
                <w:spacing w:val="6"/>
                <w:sz w:val="19"/>
                <w:szCs w:val="19"/>
              </w:rPr>
              <w:t>年年底，全市水土保持率提高到</w:t>
            </w:r>
            <w:r>
              <w:rPr>
                <w:spacing w:val="-37"/>
                <w:sz w:val="19"/>
                <w:szCs w:val="19"/>
              </w:rPr>
              <w:t xml:space="preserve"> </w:t>
            </w:r>
            <w:r>
              <w:rPr>
                <w:rFonts w:ascii="Times New Roman" w:hAnsi="Times New Roman" w:eastAsia="Times New Roman" w:cs="Times New Roman"/>
                <w:spacing w:val="6"/>
                <w:sz w:val="19"/>
                <w:szCs w:val="19"/>
              </w:rPr>
              <w:t>72.2%</w:t>
            </w:r>
            <w:r>
              <w:rPr>
                <w:spacing w:val="6"/>
                <w:sz w:val="19"/>
                <w:szCs w:val="19"/>
              </w:rPr>
              <w:t>。</w:t>
            </w:r>
          </w:p>
        </w:tc>
        <w:tc>
          <w:tcPr>
            <w:tcW w:w="4386" w:type="dxa"/>
            <w:vAlign w:val="top"/>
          </w:tcPr>
          <w:p w14:paraId="06577CE8">
            <w:pPr>
              <w:spacing w:line="293" w:lineRule="auto"/>
              <w:rPr>
                <w:rFonts w:ascii="Arial"/>
                <w:sz w:val="21"/>
              </w:rPr>
            </w:pPr>
          </w:p>
          <w:p w14:paraId="38ACF13D">
            <w:pPr>
              <w:spacing w:line="293" w:lineRule="auto"/>
              <w:rPr>
                <w:rFonts w:ascii="Arial"/>
                <w:sz w:val="21"/>
              </w:rPr>
            </w:pPr>
          </w:p>
          <w:p w14:paraId="7A093CED">
            <w:pPr>
              <w:spacing w:line="294" w:lineRule="auto"/>
              <w:rPr>
                <w:rFonts w:ascii="Arial"/>
                <w:sz w:val="21"/>
              </w:rPr>
            </w:pPr>
          </w:p>
          <w:p w14:paraId="6CE6190F">
            <w:pPr>
              <w:pStyle w:val="6"/>
              <w:spacing w:before="62" w:line="249" w:lineRule="auto"/>
              <w:ind w:left="122" w:right="96" w:firstLine="398"/>
              <w:rPr>
                <w:sz w:val="19"/>
                <w:szCs w:val="19"/>
              </w:rPr>
            </w:pPr>
            <w:r>
              <w:rPr>
                <w:spacing w:val="6"/>
                <w:sz w:val="19"/>
                <w:szCs w:val="19"/>
              </w:rPr>
              <w:t>本次评价的</w:t>
            </w:r>
            <w:r>
              <w:rPr>
                <w:spacing w:val="-43"/>
                <w:sz w:val="19"/>
                <w:szCs w:val="19"/>
              </w:rPr>
              <w:t xml:space="preserve"> </w:t>
            </w:r>
            <w:r>
              <w:rPr>
                <w:rFonts w:ascii="Times New Roman" w:hAnsi="Times New Roman" w:eastAsia="Times New Roman" w:cs="Times New Roman"/>
                <w:spacing w:val="6"/>
                <w:sz w:val="19"/>
                <w:szCs w:val="19"/>
              </w:rPr>
              <w:t xml:space="preserve">3 </w:t>
            </w:r>
            <w:r>
              <w:rPr>
                <w:spacing w:val="6"/>
                <w:sz w:val="19"/>
                <w:szCs w:val="19"/>
              </w:rPr>
              <w:t>个勘查区块和</w:t>
            </w:r>
            <w:r>
              <w:rPr>
                <w:spacing w:val="-26"/>
                <w:sz w:val="19"/>
                <w:szCs w:val="19"/>
              </w:rPr>
              <w:t xml:space="preserve"> </w:t>
            </w:r>
            <w:r>
              <w:rPr>
                <w:rFonts w:ascii="Times New Roman" w:hAnsi="Times New Roman" w:eastAsia="Times New Roman" w:cs="Times New Roman"/>
                <w:spacing w:val="6"/>
                <w:sz w:val="19"/>
                <w:szCs w:val="19"/>
              </w:rPr>
              <w:t xml:space="preserve">1 </w:t>
            </w:r>
            <w:r>
              <w:rPr>
                <w:spacing w:val="6"/>
                <w:sz w:val="19"/>
                <w:szCs w:val="19"/>
              </w:rPr>
              <w:t>个开采区块均</w:t>
            </w:r>
            <w:r>
              <w:rPr>
                <w:sz w:val="19"/>
                <w:szCs w:val="19"/>
              </w:rPr>
              <w:t xml:space="preserve"> </w:t>
            </w:r>
            <w:r>
              <w:rPr>
                <w:spacing w:val="8"/>
                <w:sz w:val="19"/>
                <w:szCs w:val="19"/>
              </w:rPr>
              <w:t>位于黔江区水土流失重点治理区内。</w:t>
            </w:r>
          </w:p>
        </w:tc>
        <w:tc>
          <w:tcPr>
            <w:tcW w:w="1897" w:type="dxa"/>
            <w:tcBorders>
              <w:right w:val="single" w:color="000000" w:sz="10" w:space="0"/>
            </w:tcBorders>
            <w:vAlign w:val="top"/>
          </w:tcPr>
          <w:p w14:paraId="72303FC1">
            <w:pPr>
              <w:pStyle w:val="6"/>
              <w:spacing w:before="44" w:line="246" w:lineRule="auto"/>
              <w:ind w:left="127" w:right="100"/>
              <w:jc w:val="both"/>
              <w:rPr>
                <w:sz w:val="19"/>
                <w:szCs w:val="19"/>
              </w:rPr>
            </w:pPr>
            <w:r>
              <w:rPr>
                <w:spacing w:val="16"/>
                <w:sz w:val="19"/>
                <w:szCs w:val="19"/>
              </w:rPr>
              <w:t>按照相关规定和要</w:t>
            </w:r>
            <w:r>
              <w:rPr>
                <w:spacing w:val="5"/>
                <w:sz w:val="19"/>
                <w:szCs w:val="19"/>
              </w:rPr>
              <w:t xml:space="preserve"> </w:t>
            </w:r>
            <w:r>
              <w:rPr>
                <w:spacing w:val="16"/>
                <w:sz w:val="19"/>
                <w:szCs w:val="19"/>
              </w:rPr>
              <w:t>求加快推进绿色矿</w:t>
            </w:r>
            <w:r>
              <w:rPr>
                <w:spacing w:val="4"/>
                <w:sz w:val="19"/>
                <w:szCs w:val="19"/>
              </w:rPr>
              <w:t xml:space="preserve"> </w:t>
            </w:r>
            <w:r>
              <w:rPr>
                <w:spacing w:val="11"/>
                <w:sz w:val="19"/>
                <w:szCs w:val="19"/>
              </w:rPr>
              <w:t>山建设，</w:t>
            </w:r>
            <w:r>
              <w:rPr>
                <w:spacing w:val="-51"/>
                <w:sz w:val="19"/>
                <w:szCs w:val="19"/>
              </w:rPr>
              <w:t xml:space="preserve"> </w:t>
            </w:r>
            <w:r>
              <w:rPr>
                <w:spacing w:val="11"/>
                <w:sz w:val="19"/>
                <w:szCs w:val="19"/>
              </w:rPr>
              <w:t>落实矿山</w:t>
            </w:r>
            <w:r>
              <w:rPr>
                <w:sz w:val="19"/>
                <w:szCs w:val="19"/>
              </w:rPr>
              <w:t xml:space="preserve"> </w:t>
            </w:r>
            <w:r>
              <w:rPr>
                <w:spacing w:val="16"/>
                <w:sz w:val="19"/>
                <w:szCs w:val="19"/>
              </w:rPr>
              <w:t>地质环境恢复治理</w:t>
            </w:r>
            <w:r>
              <w:rPr>
                <w:spacing w:val="4"/>
                <w:sz w:val="19"/>
                <w:szCs w:val="19"/>
              </w:rPr>
              <w:t xml:space="preserve"> </w:t>
            </w:r>
            <w:r>
              <w:rPr>
                <w:spacing w:val="16"/>
                <w:sz w:val="19"/>
                <w:szCs w:val="19"/>
              </w:rPr>
              <w:t>及土地复垦工作，</w:t>
            </w:r>
            <w:r>
              <w:rPr>
                <w:spacing w:val="4"/>
                <w:sz w:val="19"/>
                <w:szCs w:val="19"/>
              </w:rPr>
              <w:t xml:space="preserve"> </w:t>
            </w:r>
            <w:r>
              <w:rPr>
                <w:spacing w:val="16"/>
                <w:sz w:val="19"/>
                <w:szCs w:val="19"/>
              </w:rPr>
              <w:t>采取积极有效水土</w:t>
            </w:r>
            <w:r>
              <w:rPr>
                <w:spacing w:val="4"/>
                <w:sz w:val="19"/>
                <w:szCs w:val="19"/>
              </w:rPr>
              <w:t xml:space="preserve"> </w:t>
            </w:r>
            <w:r>
              <w:rPr>
                <w:spacing w:val="11"/>
                <w:sz w:val="19"/>
                <w:szCs w:val="19"/>
              </w:rPr>
              <w:t>保持措施</w:t>
            </w:r>
            <w:r>
              <w:rPr>
                <w:spacing w:val="-51"/>
                <w:sz w:val="19"/>
                <w:szCs w:val="19"/>
              </w:rPr>
              <w:t xml:space="preserve"> </w:t>
            </w:r>
            <w:r>
              <w:rPr>
                <w:spacing w:val="11"/>
                <w:sz w:val="19"/>
                <w:szCs w:val="19"/>
              </w:rPr>
              <w:t>，将采矿</w:t>
            </w:r>
            <w:r>
              <w:rPr>
                <w:sz w:val="19"/>
                <w:szCs w:val="19"/>
              </w:rPr>
              <w:t xml:space="preserve"> </w:t>
            </w:r>
            <w:r>
              <w:rPr>
                <w:spacing w:val="16"/>
                <w:sz w:val="19"/>
                <w:szCs w:val="19"/>
              </w:rPr>
              <w:t>活动带来的水土流</w:t>
            </w:r>
            <w:r>
              <w:rPr>
                <w:spacing w:val="4"/>
                <w:sz w:val="19"/>
                <w:szCs w:val="19"/>
              </w:rPr>
              <w:t xml:space="preserve"> </w:t>
            </w:r>
            <w:r>
              <w:rPr>
                <w:spacing w:val="6"/>
                <w:sz w:val="19"/>
                <w:szCs w:val="19"/>
              </w:rPr>
              <w:t>失影响降至最低。</w:t>
            </w:r>
          </w:p>
        </w:tc>
      </w:tr>
      <w:tr w14:paraId="539164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6" w:hRule="atLeast"/>
        </w:trPr>
        <w:tc>
          <w:tcPr>
            <w:tcW w:w="501" w:type="dxa"/>
            <w:tcBorders>
              <w:left w:val="single" w:color="000000" w:sz="10" w:space="0"/>
              <w:bottom w:val="single" w:color="000000" w:sz="10" w:space="0"/>
            </w:tcBorders>
            <w:vAlign w:val="top"/>
          </w:tcPr>
          <w:p w14:paraId="016C7053">
            <w:pPr>
              <w:spacing w:line="261" w:lineRule="auto"/>
              <w:rPr>
                <w:rFonts w:ascii="Arial"/>
                <w:sz w:val="21"/>
              </w:rPr>
            </w:pPr>
          </w:p>
          <w:p w14:paraId="26FEF4D4">
            <w:pPr>
              <w:spacing w:line="261" w:lineRule="auto"/>
              <w:rPr>
                <w:rFonts w:ascii="Arial"/>
                <w:sz w:val="21"/>
              </w:rPr>
            </w:pPr>
          </w:p>
          <w:p w14:paraId="002501A0">
            <w:pPr>
              <w:spacing w:line="261" w:lineRule="auto"/>
              <w:rPr>
                <w:rFonts w:ascii="Arial"/>
                <w:sz w:val="21"/>
              </w:rPr>
            </w:pPr>
          </w:p>
          <w:p w14:paraId="46124B36">
            <w:pPr>
              <w:spacing w:line="261" w:lineRule="auto"/>
              <w:rPr>
                <w:rFonts w:ascii="Arial"/>
                <w:sz w:val="21"/>
              </w:rPr>
            </w:pPr>
          </w:p>
          <w:p w14:paraId="5CC4296D">
            <w:pPr>
              <w:spacing w:line="261" w:lineRule="auto"/>
              <w:rPr>
                <w:rFonts w:ascii="Arial"/>
                <w:sz w:val="21"/>
              </w:rPr>
            </w:pPr>
          </w:p>
          <w:p w14:paraId="4926A614">
            <w:pPr>
              <w:spacing w:line="262" w:lineRule="auto"/>
              <w:rPr>
                <w:rFonts w:ascii="Arial"/>
                <w:sz w:val="21"/>
              </w:rPr>
            </w:pPr>
          </w:p>
          <w:p w14:paraId="2BA6E509">
            <w:pPr>
              <w:spacing w:line="262" w:lineRule="auto"/>
              <w:rPr>
                <w:rFonts w:ascii="Arial"/>
                <w:sz w:val="21"/>
              </w:rPr>
            </w:pPr>
          </w:p>
          <w:p w14:paraId="1659A7F7">
            <w:pPr>
              <w:spacing w:before="55" w:line="195" w:lineRule="auto"/>
              <w:ind w:left="156"/>
              <w:rPr>
                <w:rFonts w:ascii="Times New Roman" w:hAnsi="Times New Roman" w:eastAsia="Times New Roman" w:cs="Times New Roman"/>
                <w:sz w:val="19"/>
                <w:szCs w:val="19"/>
              </w:rPr>
            </w:pPr>
            <w:r>
              <w:rPr>
                <w:rFonts w:ascii="Times New Roman" w:hAnsi="Times New Roman" w:eastAsia="Times New Roman" w:cs="Times New Roman"/>
                <w:spacing w:val="-7"/>
                <w:sz w:val="19"/>
                <w:szCs w:val="19"/>
              </w:rPr>
              <w:t>12</w:t>
            </w:r>
          </w:p>
        </w:tc>
        <w:tc>
          <w:tcPr>
            <w:tcW w:w="1744" w:type="dxa"/>
            <w:tcBorders>
              <w:bottom w:val="single" w:color="000000" w:sz="10" w:space="0"/>
            </w:tcBorders>
            <w:vAlign w:val="top"/>
          </w:tcPr>
          <w:p w14:paraId="452B5131">
            <w:pPr>
              <w:spacing w:line="295" w:lineRule="auto"/>
              <w:rPr>
                <w:rFonts w:ascii="Arial"/>
                <w:sz w:val="21"/>
              </w:rPr>
            </w:pPr>
          </w:p>
          <w:p w14:paraId="386AEAAA">
            <w:pPr>
              <w:spacing w:line="295" w:lineRule="auto"/>
              <w:rPr>
                <w:rFonts w:ascii="Arial"/>
                <w:sz w:val="21"/>
              </w:rPr>
            </w:pPr>
          </w:p>
          <w:p w14:paraId="0DA95C03">
            <w:pPr>
              <w:spacing w:line="295" w:lineRule="auto"/>
              <w:rPr>
                <w:rFonts w:ascii="Arial"/>
                <w:sz w:val="21"/>
              </w:rPr>
            </w:pPr>
          </w:p>
          <w:p w14:paraId="424C9EDB">
            <w:pPr>
              <w:pStyle w:val="6"/>
              <w:spacing w:before="61" w:line="252" w:lineRule="auto"/>
              <w:ind w:left="106" w:right="112"/>
              <w:rPr>
                <w:sz w:val="19"/>
                <w:szCs w:val="19"/>
              </w:rPr>
            </w:pPr>
            <w:r>
              <w:rPr>
                <w:spacing w:val="7"/>
                <w:sz w:val="19"/>
                <w:szCs w:val="19"/>
              </w:rPr>
              <w:t>《重庆市规划和</w:t>
            </w:r>
            <w:r>
              <w:rPr>
                <w:spacing w:val="2"/>
                <w:sz w:val="19"/>
                <w:szCs w:val="19"/>
              </w:rPr>
              <w:t xml:space="preserve">  </w:t>
            </w:r>
            <w:r>
              <w:rPr>
                <w:spacing w:val="7"/>
                <w:sz w:val="19"/>
                <w:szCs w:val="19"/>
              </w:rPr>
              <w:t>自然资源局重庆</w:t>
            </w:r>
            <w:r>
              <w:rPr>
                <w:spacing w:val="2"/>
                <w:sz w:val="19"/>
                <w:szCs w:val="19"/>
              </w:rPr>
              <w:t xml:space="preserve">  </w:t>
            </w:r>
            <w:r>
              <w:rPr>
                <w:spacing w:val="7"/>
                <w:sz w:val="19"/>
                <w:szCs w:val="19"/>
              </w:rPr>
              <w:t>市农业农村委员</w:t>
            </w:r>
            <w:r>
              <w:rPr>
                <w:spacing w:val="2"/>
                <w:sz w:val="19"/>
                <w:szCs w:val="19"/>
              </w:rPr>
              <w:t xml:space="preserve">  </w:t>
            </w:r>
            <w:r>
              <w:rPr>
                <w:spacing w:val="7"/>
                <w:sz w:val="19"/>
                <w:szCs w:val="19"/>
              </w:rPr>
              <w:t>会关于加强和改</w:t>
            </w:r>
            <w:r>
              <w:rPr>
                <w:spacing w:val="2"/>
                <w:sz w:val="19"/>
                <w:szCs w:val="19"/>
              </w:rPr>
              <w:t xml:space="preserve">  </w:t>
            </w:r>
            <w:r>
              <w:rPr>
                <w:spacing w:val="7"/>
                <w:sz w:val="19"/>
                <w:szCs w:val="19"/>
              </w:rPr>
              <w:t>进永久基本农田</w:t>
            </w:r>
            <w:r>
              <w:rPr>
                <w:spacing w:val="2"/>
                <w:sz w:val="19"/>
                <w:szCs w:val="19"/>
              </w:rPr>
              <w:t xml:space="preserve">  </w:t>
            </w:r>
            <w:r>
              <w:rPr>
                <w:spacing w:val="7"/>
                <w:sz w:val="19"/>
                <w:szCs w:val="19"/>
              </w:rPr>
              <w:t>保护工作的实施</w:t>
            </w:r>
            <w:r>
              <w:rPr>
                <w:spacing w:val="2"/>
                <w:sz w:val="19"/>
                <w:szCs w:val="19"/>
              </w:rPr>
              <w:t xml:space="preserve">  </w:t>
            </w:r>
            <w:r>
              <w:rPr>
                <w:spacing w:val="-1"/>
                <w:sz w:val="19"/>
                <w:szCs w:val="19"/>
              </w:rPr>
              <w:t>意见》（渝规资规</w:t>
            </w:r>
            <w:r>
              <w:rPr>
                <w:spacing w:val="4"/>
                <w:sz w:val="19"/>
                <w:szCs w:val="19"/>
              </w:rPr>
              <w:t xml:space="preserve"> </w:t>
            </w:r>
            <w:r>
              <w:rPr>
                <w:spacing w:val="2"/>
                <w:sz w:val="19"/>
                <w:szCs w:val="19"/>
              </w:rPr>
              <w:t>范〔</w:t>
            </w:r>
            <w:r>
              <w:rPr>
                <w:rFonts w:ascii="Times New Roman" w:hAnsi="Times New Roman" w:eastAsia="Times New Roman" w:cs="Times New Roman"/>
                <w:spacing w:val="2"/>
                <w:sz w:val="19"/>
                <w:szCs w:val="19"/>
              </w:rPr>
              <w:t>2020</w:t>
            </w:r>
            <w:r>
              <w:rPr>
                <w:spacing w:val="2"/>
                <w:sz w:val="19"/>
                <w:szCs w:val="19"/>
              </w:rPr>
              <w:t>〕</w:t>
            </w:r>
            <w:r>
              <w:rPr>
                <w:rFonts w:ascii="Times New Roman" w:hAnsi="Times New Roman" w:eastAsia="Times New Roman" w:cs="Times New Roman"/>
                <w:spacing w:val="2"/>
                <w:sz w:val="19"/>
                <w:szCs w:val="19"/>
              </w:rPr>
              <w:t>1</w:t>
            </w:r>
            <w:r>
              <w:rPr>
                <w:rFonts w:ascii="Times New Roman" w:hAnsi="Times New Roman" w:eastAsia="Times New Roman" w:cs="Times New Roman"/>
                <w:spacing w:val="25"/>
                <w:sz w:val="19"/>
                <w:szCs w:val="19"/>
              </w:rPr>
              <w:t xml:space="preserve"> </w:t>
            </w:r>
            <w:r>
              <w:rPr>
                <w:spacing w:val="2"/>
                <w:sz w:val="19"/>
                <w:szCs w:val="19"/>
              </w:rPr>
              <w:t>号）</w:t>
            </w:r>
          </w:p>
        </w:tc>
        <w:tc>
          <w:tcPr>
            <w:tcW w:w="5943" w:type="dxa"/>
            <w:tcBorders>
              <w:bottom w:val="single" w:color="000000" w:sz="10" w:space="0"/>
            </w:tcBorders>
            <w:vAlign w:val="top"/>
          </w:tcPr>
          <w:p w14:paraId="5321B990">
            <w:pPr>
              <w:pStyle w:val="6"/>
              <w:spacing w:before="46" w:line="249" w:lineRule="auto"/>
              <w:ind w:left="109" w:right="50" w:firstLine="6"/>
              <w:rPr>
                <w:sz w:val="19"/>
                <w:szCs w:val="19"/>
              </w:rPr>
            </w:pPr>
            <w:r>
              <w:rPr>
                <w:spacing w:val="7"/>
                <w:sz w:val="19"/>
                <w:szCs w:val="19"/>
              </w:rPr>
              <w:t>二、（九）</w:t>
            </w:r>
            <w:r>
              <w:rPr>
                <w:spacing w:val="-55"/>
                <w:sz w:val="19"/>
                <w:szCs w:val="19"/>
              </w:rPr>
              <w:t xml:space="preserve"> </w:t>
            </w:r>
            <w:r>
              <w:rPr>
                <w:spacing w:val="7"/>
                <w:sz w:val="19"/>
                <w:szCs w:val="19"/>
              </w:rPr>
              <w:t>、</w:t>
            </w:r>
            <w:r>
              <w:rPr>
                <w:rFonts w:ascii="Times New Roman" w:hAnsi="Times New Roman" w:eastAsia="Times New Roman" w:cs="Times New Roman"/>
                <w:spacing w:val="7"/>
                <w:sz w:val="19"/>
                <w:szCs w:val="19"/>
              </w:rPr>
              <w:t>1</w:t>
            </w:r>
            <w:r>
              <w:rPr>
                <w:rFonts w:ascii="Times New Roman" w:hAnsi="Times New Roman" w:eastAsia="Times New Roman" w:cs="Times New Roman"/>
                <w:spacing w:val="-18"/>
                <w:sz w:val="19"/>
                <w:szCs w:val="19"/>
              </w:rPr>
              <w:t xml:space="preserve"> </w:t>
            </w:r>
            <w:r>
              <w:rPr>
                <w:spacing w:val="7"/>
                <w:sz w:val="19"/>
                <w:szCs w:val="19"/>
              </w:rPr>
              <w:t>．战略性矿产。煤炭等非油气</w:t>
            </w:r>
            <w:r>
              <w:rPr>
                <w:spacing w:val="6"/>
                <w:sz w:val="19"/>
                <w:szCs w:val="19"/>
              </w:rPr>
              <w:t>战略性矿产申请采矿</w:t>
            </w:r>
            <w:r>
              <w:rPr>
                <w:sz w:val="19"/>
                <w:szCs w:val="19"/>
              </w:rPr>
              <w:t xml:space="preserve">  </w:t>
            </w:r>
            <w:r>
              <w:rPr>
                <w:spacing w:val="7"/>
                <w:sz w:val="19"/>
                <w:szCs w:val="19"/>
              </w:rPr>
              <w:t>权涉及永久基本农田的，采取露天方式开采的应符合占用永久基本</w:t>
            </w:r>
            <w:r>
              <w:rPr>
                <w:spacing w:val="11"/>
                <w:sz w:val="19"/>
                <w:szCs w:val="19"/>
              </w:rPr>
              <w:t xml:space="preserve"> </w:t>
            </w:r>
            <w:r>
              <w:rPr>
                <w:spacing w:val="7"/>
                <w:sz w:val="19"/>
                <w:szCs w:val="19"/>
              </w:rPr>
              <w:t>农田重大建设项目用地要求；采取井下方式开采的，按有关规定落</w:t>
            </w:r>
            <w:r>
              <w:rPr>
                <w:spacing w:val="11"/>
                <w:sz w:val="19"/>
                <w:szCs w:val="19"/>
              </w:rPr>
              <w:t xml:space="preserve"> </w:t>
            </w:r>
            <w:r>
              <w:rPr>
                <w:spacing w:val="7"/>
                <w:sz w:val="19"/>
                <w:szCs w:val="19"/>
              </w:rPr>
              <w:t>实保护性开发措施。井下开采方式所配套建设的地面工业广场等设</w:t>
            </w:r>
            <w:r>
              <w:rPr>
                <w:spacing w:val="9"/>
                <w:sz w:val="19"/>
                <w:szCs w:val="19"/>
              </w:rPr>
              <w:t xml:space="preserve"> </w:t>
            </w:r>
            <w:r>
              <w:rPr>
                <w:spacing w:val="8"/>
                <w:sz w:val="19"/>
                <w:szCs w:val="19"/>
              </w:rPr>
              <w:t>施，要符合占用永久基本农田重大建设项目用地要求。</w:t>
            </w:r>
            <w:r>
              <w:rPr>
                <w:rFonts w:ascii="Times New Roman" w:hAnsi="Times New Roman" w:eastAsia="Times New Roman" w:cs="Times New Roman"/>
                <w:spacing w:val="8"/>
                <w:sz w:val="19"/>
                <w:szCs w:val="19"/>
              </w:rPr>
              <w:t>2</w:t>
            </w:r>
            <w:r>
              <w:rPr>
                <w:rFonts w:ascii="Times New Roman" w:hAnsi="Times New Roman" w:eastAsia="Times New Roman" w:cs="Times New Roman"/>
                <w:spacing w:val="-9"/>
                <w:sz w:val="19"/>
                <w:szCs w:val="19"/>
              </w:rPr>
              <w:t xml:space="preserve"> </w:t>
            </w:r>
            <w:r>
              <w:rPr>
                <w:spacing w:val="8"/>
                <w:sz w:val="19"/>
                <w:szCs w:val="19"/>
              </w:rPr>
              <w:t>．非战略</w:t>
            </w:r>
            <w:r>
              <w:rPr>
                <w:sz w:val="19"/>
                <w:szCs w:val="19"/>
              </w:rPr>
              <w:t xml:space="preserve">  </w:t>
            </w:r>
            <w:r>
              <w:rPr>
                <w:spacing w:val="7"/>
                <w:sz w:val="19"/>
                <w:szCs w:val="19"/>
              </w:rPr>
              <w:t>性矿产。非战略性矿产申请新设矿业权时应避让永久基本农田，其</w:t>
            </w:r>
            <w:r>
              <w:rPr>
                <w:spacing w:val="9"/>
                <w:sz w:val="19"/>
                <w:szCs w:val="19"/>
              </w:rPr>
              <w:t xml:space="preserve"> </w:t>
            </w:r>
            <w:r>
              <w:rPr>
                <w:spacing w:val="2"/>
                <w:sz w:val="19"/>
                <w:szCs w:val="19"/>
              </w:rPr>
              <w:t>中地热、矿泉水勘查开采，不造成永久基本农田损毁、塌陷破坏的，</w:t>
            </w:r>
            <w:r>
              <w:rPr>
                <w:spacing w:val="17"/>
                <w:sz w:val="19"/>
                <w:szCs w:val="19"/>
              </w:rPr>
              <w:t xml:space="preserve"> </w:t>
            </w:r>
            <w:r>
              <w:rPr>
                <w:spacing w:val="7"/>
                <w:sz w:val="19"/>
                <w:szCs w:val="19"/>
              </w:rPr>
              <w:t>可申请新设矿业权。</w:t>
            </w:r>
          </w:p>
          <w:p w14:paraId="664C0C56">
            <w:pPr>
              <w:pStyle w:val="6"/>
              <w:spacing w:before="22" w:line="248" w:lineRule="auto"/>
              <w:ind w:left="110" w:right="105" w:firstLine="4"/>
              <w:rPr>
                <w:sz w:val="19"/>
                <w:szCs w:val="19"/>
              </w:rPr>
            </w:pPr>
            <w:r>
              <w:rPr>
                <w:spacing w:val="8"/>
                <w:sz w:val="19"/>
                <w:szCs w:val="19"/>
              </w:rPr>
              <w:t>三、（八）</w:t>
            </w:r>
            <w:r>
              <w:rPr>
                <w:rFonts w:ascii="Times New Roman" w:hAnsi="Times New Roman" w:eastAsia="Times New Roman" w:cs="Times New Roman"/>
                <w:spacing w:val="8"/>
                <w:sz w:val="19"/>
                <w:szCs w:val="19"/>
              </w:rPr>
              <w:t>1.</w:t>
            </w:r>
            <w:r>
              <w:rPr>
                <w:rFonts w:ascii="Times New Roman" w:hAnsi="Times New Roman" w:eastAsia="Times New Roman" w:cs="Times New Roman"/>
                <w:spacing w:val="-25"/>
                <w:sz w:val="19"/>
                <w:szCs w:val="19"/>
              </w:rPr>
              <w:t xml:space="preserve"> </w:t>
            </w:r>
            <w:r>
              <w:rPr>
                <w:spacing w:val="8"/>
                <w:sz w:val="19"/>
                <w:szCs w:val="19"/>
              </w:rPr>
              <w:t>临时用地申请范围。临时用地</w:t>
            </w:r>
            <w:r>
              <w:rPr>
                <w:spacing w:val="7"/>
                <w:sz w:val="19"/>
                <w:szCs w:val="19"/>
              </w:rPr>
              <w:t>一般不得占用永久基本</w:t>
            </w:r>
            <w:r>
              <w:rPr>
                <w:sz w:val="19"/>
                <w:szCs w:val="19"/>
              </w:rPr>
              <w:t xml:space="preserve"> </w:t>
            </w:r>
            <w:r>
              <w:rPr>
                <w:spacing w:val="7"/>
                <w:sz w:val="19"/>
                <w:szCs w:val="19"/>
              </w:rPr>
              <w:t xml:space="preserve">农田，建设项目施工和地质勘查需要临时用地、选址确实难以避让 永久基本农田的，在不修建永久性建（构）筑物、经复垦能恢复原 种植条件的前提下，土地使用者按法定程序申请临时用地并编制土 </w:t>
            </w:r>
            <w:r>
              <w:rPr>
                <w:spacing w:val="5"/>
                <w:sz w:val="19"/>
                <w:szCs w:val="19"/>
              </w:rPr>
              <w:t>地复垦方案。</w:t>
            </w:r>
          </w:p>
          <w:p w14:paraId="3695BEBB">
            <w:pPr>
              <w:pStyle w:val="6"/>
              <w:spacing w:before="20" w:line="233" w:lineRule="auto"/>
              <w:ind w:left="109" w:right="141" w:firstLine="3"/>
              <w:rPr>
                <w:sz w:val="19"/>
                <w:szCs w:val="19"/>
              </w:rPr>
            </w:pPr>
            <w:r>
              <w:rPr>
                <w:spacing w:val="8"/>
                <w:sz w:val="19"/>
                <w:szCs w:val="19"/>
              </w:rPr>
              <w:t>五、（十二）</w:t>
            </w:r>
            <w:r>
              <w:rPr>
                <w:rFonts w:ascii="Times New Roman" w:hAnsi="Times New Roman" w:eastAsia="Times New Roman" w:cs="Times New Roman"/>
                <w:spacing w:val="8"/>
                <w:sz w:val="19"/>
                <w:szCs w:val="19"/>
              </w:rPr>
              <w:t>2</w:t>
            </w:r>
            <w:r>
              <w:rPr>
                <w:rFonts w:ascii="Times New Roman" w:hAnsi="Times New Roman" w:eastAsia="Times New Roman" w:cs="Times New Roman"/>
                <w:spacing w:val="-13"/>
                <w:sz w:val="19"/>
                <w:szCs w:val="19"/>
              </w:rPr>
              <w:t xml:space="preserve"> </w:t>
            </w:r>
            <w:r>
              <w:rPr>
                <w:spacing w:val="8"/>
                <w:sz w:val="19"/>
                <w:szCs w:val="19"/>
              </w:rPr>
              <w:t>．耕作层土壤剥离再利用。严格按照土地复垦方案</w:t>
            </w:r>
            <w:r>
              <w:rPr>
                <w:sz w:val="19"/>
                <w:szCs w:val="19"/>
              </w:rPr>
              <w:t xml:space="preserve"> </w:t>
            </w:r>
            <w:r>
              <w:rPr>
                <w:spacing w:val="9"/>
                <w:sz w:val="19"/>
                <w:szCs w:val="19"/>
              </w:rPr>
              <w:t>开展重大建设项目和临时用地占用永久基本农田耕作层土壤剥离</w:t>
            </w:r>
          </w:p>
        </w:tc>
        <w:tc>
          <w:tcPr>
            <w:tcW w:w="4386" w:type="dxa"/>
            <w:tcBorders>
              <w:bottom w:val="single" w:color="000000" w:sz="10" w:space="0"/>
            </w:tcBorders>
            <w:vAlign w:val="top"/>
          </w:tcPr>
          <w:p w14:paraId="5F858914">
            <w:pPr>
              <w:spacing w:line="255" w:lineRule="auto"/>
              <w:rPr>
                <w:rFonts w:ascii="Arial"/>
                <w:sz w:val="21"/>
              </w:rPr>
            </w:pPr>
          </w:p>
          <w:p w14:paraId="2308626C">
            <w:pPr>
              <w:spacing w:line="255" w:lineRule="auto"/>
              <w:rPr>
                <w:rFonts w:ascii="Arial"/>
                <w:sz w:val="21"/>
              </w:rPr>
            </w:pPr>
          </w:p>
          <w:p w14:paraId="64DB0537">
            <w:pPr>
              <w:spacing w:line="255" w:lineRule="auto"/>
              <w:rPr>
                <w:rFonts w:ascii="Arial"/>
                <w:sz w:val="21"/>
              </w:rPr>
            </w:pPr>
          </w:p>
          <w:p w14:paraId="31D72675">
            <w:pPr>
              <w:spacing w:line="255" w:lineRule="auto"/>
              <w:rPr>
                <w:rFonts w:ascii="Arial"/>
                <w:sz w:val="21"/>
              </w:rPr>
            </w:pPr>
          </w:p>
          <w:p w14:paraId="4CA0D46C">
            <w:pPr>
              <w:spacing w:line="256" w:lineRule="auto"/>
              <w:rPr>
                <w:rFonts w:ascii="Arial"/>
                <w:sz w:val="21"/>
              </w:rPr>
            </w:pPr>
          </w:p>
          <w:p w14:paraId="3487C81F">
            <w:pPr>
              <w:spacing w:line="256" w:lineRule="auto"/>
              <w:rPr>
                <w:rFonts w:ascii="Arial"/>
                <w:sz w:val="21"/>
              </w:rPr>
            </w:pPr>
          </w:p>
          <w:p w14:paraId="2CC02020">
            <w:pPr>
              <w:spacing w:line="256" w:lineRule="auto"/>
              <w:rPr>
                <w:rFonts w:ascii="Arial"/>
                <w:sz w:val="21"/>
              </w:rPr>
            </w:pPr>
          </w:p>
          <w:p w14:paraId="4C084AD0">
            <w:pPr>
              <w:pStyle w:val="6"/>
              <w:spacing w:before="62" w:line="221" w:lineRule="auto"/>
              <w:ind w:left="416"/>
              <w:rPr>
                <w:sz w:val="19"/>
                <w:szCs w:val="19"/>
              </w:rPr>
            </w:pPr>
            <w:r>
              <w:rPr>
                <w:rFonts w:ascii="Times New Roman" w:hAnsi="Times New Roman" w:eastAsia="Times New Roman" w:cs="Times New Roman"/>
                <w:sz w:val="19"/>
                <w:szCs w:val="19"/>
              </w:rPr>
              <w:t>KQ</w:t>
            </w:r>
            <w:r>
              <w:rPr>
                <w:rFonts w:ascii="Times New Roman" w:hAnsi="Times New Roman" w:eastAsia="Times New Roman" w:cs="Times New Roman"/>
                <w:spacing w:val="6"/>
                <w:sz w:val="19"/>
                <w:szCs w:val="19"/>
              </w:rPr>
              <w:t>004</w:t>
            </w:r>
            <w:r>
              <w:rPr>
                <w:rFonts w:ascii="Times New Roman" w:hAnsi="Times New Roman" w:eastAsia="Times New Roman" w:cs="Times New Roman"/>
                <w:spacing w:val="-17"/>
                <w:sz w:val="19"/>
                <w:szCs w:val="19"/>
              </w:rPr>
              <w:t xml:space="preserve"> </w:t>
            </w:r>
            <w:r>
              <w:rPr>
                <w:spacing w:val="6"/>
                <w:sz w:val="19"/>
                <w:szCs w:val="19"/>
              </w:rPr>
              <w:t>、</w:t>
            </w:r>
            <w:r>
              <w:rPr>
                <w:rFonts w:ascii="Times New Roman" w:hAnsi="Times New Roman" w:eastAsia="Times New Roman" w:cs="Times New Roman"/>
                <w:sz w:val="19"/>
                <w:szCs w:val="19"/>
              </w:rPr>
              <w:t>KQ</w:t>
            </w:r>
            <w:r>
              <w:rPr>
                <w:rFonts w:ascii="Times New Roman" w:hAnsi="Times New Roman" w:eastAsia="Times New Roman" w:cs="Times New Roman"/>
                <w:spacing w:val="6"/>
                <w:sz w:val="19"/>
                <w:szCs w:val="19"/>
              </w:rPr>
              <w:t>009</w:t>
            </w:r>
            <w:r>
              <w:rPr>
                <w:rFonts w:ascii="Times New Roman" w:hAnsi="Times New Roman" w:eastAsia="Times New Roman" w:cs="Times New Roman"/>
                <w:spacing w:val="16"/>
                <w:w w:val="101"/>
                <w:sz w:val="19"/>
                <w:szCs w:val="19"/>
              </w:rPr>
              <w:t xml:space="preserve"> </w:t>
            </w:r>
            <w:r>
              <w:rPr>
                <w:spacing w:val="6"/>
                <w:sz w:val="19"/>
                <w:szCs w:val="19"/>
              </w:rPr>
              <w:t>部分占用基本农田。</w:t>
            </w:r>
          </w:p>
        </w:tc>
        <w:tc>
          <w:tcPr>
            <w:tcW w:w="1897" w:type="dxa"/>
            <w:tcBorders>
              <w:bottom w:val="single" w:color="000000" w:sz="10" w:space="0"/>
              <w:right w:val="single" w:color="000000" w:sz="10" w:space="0"/>
            </w:tcBorders>
            <w:vAlign w:val="top"/>
          </w:tcPr>
          <w:p w14:paraId="0F399616">
            <w:pPr>
              <w:spacing w:line="276" w:lineRule="auto"/>
              <w:rPr>
                <w:rFonts w:ascii="Arial"/>
                <w:sz w:val="21"/>
              </w:rPr>
            </w:pPr>
          </w:p>
          <w:p w14:paraId="318D22F1">
            <w:pPr>
              <w:spacing w:line="276" w:lineRule="auto"/>
              <w:rPr>
                <w:rFonts w:ascii="Arial"/>
                <w:sz w:val="21"/>
              </w:rPr>
            </w:pPr>
          </w:p>
          <w:p w14:paraId="68DDE3C9">
            <w:pPr>
              <w:spacing w:line="276" w:lineRule="auto"/>
              <w:rPr>
                <w:rFonts w:ascii="Arial"/>
                <w:sz w:val="21"/>
              </w:rPr>
            </w:pPr>
          </w:p>
          <w:p w14:paraId="58FC1258">
            <w:pPr>
              <w:spacing w:line="276" w:lineRule="auto"/>
              <w:rPr>
                <w:rFonts w:ascii="Arial"/>
                <w:sz w:val="21"/>
              </w:rPr>
            </w:pPr>
          </w:p>
          <w:p w14:paraId="0413A917">
            <w:pPr>
              <w:spacing w:line="276" w:lineRule="auto"/>
              <w:rPr>
                <w:rFonts w:ascii="Arial"/>
                <w:sz w:val="21"/>
              </w:rPr>
            </w:pPr>
          </w:p>
          <w:p w14:paraId="07A1BBB8">
            <w:pPr>
              <w:spacing w:line="277" w:lineRule="auto"/>
              <w:rPr>
                <w:rFonts w:ascii="Arial"/>
                <w:sz w:val="21"/>
              </w:rPr>
            </w:pPr>
          </w:p>
          <w:p w14:paraId="7EAE3553">
            <w:pPr>
              <w:pStyle w:val="6"/>
              <w:spacing w:before="62" w:line="231" w:lineRule="auto"/>
              <w:ind w:left="290"/>
              <w:rPr>
                <w:sz w:val="19"/>
                <w:szCs w:val="19"/>
              </w:rPr>
            </w:pPr>
            <w:r>
              <w:rPr>
                <w:spacing w:val="7"/>
                <w:sz w:val="19"/>
                <w:szCs w:val="19"/>
              </w:rPr>
              <w:t>优化调整建议见</w:t>
            </w:r>
          </w:p>
          <w:p w14:paraId="5717DBBC">
            <w:pPr>
              <w:pStyle w:val="6"/>
              <w:spacing w:before="20" w:line="231" w:lineRule="auto"/>
              <w:ind w:left="456"/>
              <w:rPr>
                <w:sz w:val="19"/>
                <w:szCs w:val="19"/>
              </w:rPr>
            </w:pPr>
            <w:r>
              <w:rPr>
                <w:rFonts w:ascii="Times New Roman" w:hAnsi="Times New Roman" w:eastAsia="Times New Roman" w:cs="Times New Roman"/>
                <w:spacing w:val="2"/>
                <w:sz w:val="19"/>
                <w:szCs w:val="19"/>
              </w:rPr>
              <w:t>2.3.5</w:t>
            </w:r>
            <w:r>
              <w:rPr>
                <w:rFonts w:ascii="Times New Roman" w:hAnsi="Times New Roman" w:eastAsia="Times New Roman" w:cs="Times New Roman"/>
                <w:spacing w:val="18"/>
                <w:sz w:val="19"/>
                <w:szCs w:val="19"/>
              </w:rPr>
              <w:t xml:space="preserve"> </w:t>
            </w:r>
            <w:r>
              <w:rPr>
                <w:spacing w:val="2"/>
                <w:sz w:val="19"/>
                <w:szCs w:val="19"/>
              </w:rPr>
              <w:t>章节。</w:t>
            </w:r>
          </w:p>
        </w:tc>
      </w:tr>
    </w:tbl>
    <w:p w14:paraId="7AF47F3C">
      <w:pPr>
        <w:pStyle w:val="2"/>
        <w:spacing w:line="162" w:lineRule="exact"/>
        <w:rPr>
          <w:sz w:val="14"/>
        </w:rPr>
      </w:pPr>
    </w:p>
    <w:p w14:paraId="67C25283">
      <w:pPr>
        <w:spacing w:line="162" w:lineRule="exact"/>
        <w:rPr>
          <w:sz w:val="14"/>
          <w:szCs w:val="14"/>
        </w:rPr>
        <w:sectPr>
          <w:footerReference r:id="rId87" w:type="default"/>
          <w:pgSz w:w="16839" w:h="11906"/>
          <w:pgMar w:top="1116" w:right="1023" w:bottom="1480" w:left="1317" w:header="683" w:footer="1318" w:gutter="0"/>
          <w:cols w:space="720" w:num="1"/>
        </w:sectPr>
      </w:pPr>
    </w:p>
    <w:p w14:paraId="495E0306">
      <w:pPr>
        <w:spacing w:before="229"/>
      </w:pPr>
    </w:p>
    <w:tbl>
      <w:tblPr>
        <w:tblStyle w:val="5"/>
        <w:tblW w:w="1447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1"/>
        <w:gridCol w:w="1744"/>
        <w:gridCol w:w="5943"/>
        <w:gridCol w:w="4386"/>
        <w:gridCol w:w="1897"/>
      </w:tblGrid>
      <w:tr w14:paraId="7C85C5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501" w:type="dxa"/>
            <w:vMerge w:val="restart"/>
            <w:tcBorders>
              <w:top w:val="single" w:color="000000" w:sz="10" w:space="0"/>
              <w:left w:val="single" w:color="000000" w:sz="10" w:space="0"/>
              <w:bottom w:val="nil"/>
            </w:tcBorders>
            <w:textDirection w:val="tbRlV"/>
            <w:vAlign w:val="top"/>
          </w:tcPr>
          <w:p w14:paraId="1092D0AC">
            <w:pPr>
              <w:pStyle w:val="6"/>
              <w:spacing w:before="153" w:line="210" w:lineRule="auto"/>
              <w:ind w:left="174"/>
              <w:rPr>
                <w:sz w:val="19"/>
                <w:szCs w:val="19"/>
              </w:rPr>
            </w:pPr>
            <w:r>
              <w:rPr>
                <w:spacing w:val="13"/>
                <w:sz w:val="19"/>
                <w:szCs w:val="19"/>
              </w:rPr>
              <w:t>序</w:t>
            </w:r>
            <w:r>
              <w:rPr>
                <w:spacing w:val="-40"/>
                <w:sz w:val="19"/>
                <w:szCs w:val="19"/>
              </w:rPr>
              <w:t xml:space="preserve"> </w:t>
            </w:r>
            <w:r>
              <w:rPr>
                <w:spacing w:val="13"/>
                <w:sz w:val="19"/>
                <w:szCs w:val="19"/>
              </w:rPr>
              <w:t>号</w:t>
            </w:r>
          </w:p>
        </w:tc>
        <w:tc>
          <w:tcPr>
            <w:tcW w:w="7687" w:type="dxa"/>
            <w:gridSpan w:val="2"/>
            <w:tcBorders>
              <w:top w:val="single" w:color="000000" w:sz="10" w:space="0"/>
            </w:tcBorders>
            <w:vAlign w:val="top"/>
          </w:tcPr>
          <w:p w14:paraId="59E73698">
            <w:pPr>
              <w:pStyle w:val="6"/>
              <w:spacing w:before="75" w:line="231" w:lineRule="auto"/>
              <w:ind w:left="2551"/>
              <w:rPr>
                <w:sz w:val="19"/>
                <w:szCs w:val="19"/>
              </w:rPr>
            </w:pPr>
            <w:r>
              <w:rPr>
                <w:spacing w:val="8"/>
                <w:sz w:val="19"/>
                <w:szCs w:val="19"/>
              </w:rPr>
              <w:t>上层位规划和主体功能区规划</w:t>
            </w:r>
          </w:p>
        </w:tc>
        <w:tc>
          <w:tcPr>
            <w:tcW w:w="4386" w:type="dxa"/>
            <w:vMerge w:val="restart"/>
            <w:tcBorders>
              <w:top w:val="single" w:color="000000" w:sz="10" w:space="0"/>
              <w:bottom w:val="nil"/>
            </w:tcBorders>
            <w:vAlign w:val="top"/>
          </w:tcPr>
          <w:p w14:paraId="3105D1CB">
            <w:pPr>
              <w:spacing w:line="242" w:lineRule="auto"/>
              <w:rPr>
                <w:rFonts w:ascii="Arial"/>
                <w:sz w:val="21"/>
              </w:rPr>
            </w:pPr>
          </w:p>
          <w:p w14:paraId="70DBDA84">
            <w:pPr>
              <w:pStyle w:val="6"/>
              <w:spacing w:before="62" w:line="229" w:lineRule="auto"/>
              <w:ind w:left="909"/>
              <w:rPr>
                <w:sz w:val="19"/>
                <w:szCs w:val="19"/>
              </w:rPr>
            </w:pPr>
            <w:r>
              <w:rPr>
                <w:spacing w:val="9"/>
                <w:sz w:val="19"/>
                <w:szCs w:val="19"/>
              </w:rPr>
              <w:t>本《规划调整》的符合性分析</w:t>
            </w:r>
          </w:p>
        </w:tc>
        <w:tc>
          <w:tcPr>
            <w:tcW w:w="1897" w:type="dxa"/>
            <w:vMerge w:val="restart"/>
            <w:tcBorders>
              <w:top w:val="single" w:color="000000" w:sz="10" w:space="0"/>
              <w:bottom w:val="nil"/>
              <w:right w:val="single" w:color="000000" w:sz="10" w:space="0"/>
            </w:tcBorders>
            <w:vAlign w:val="top"/>
          </w:tcPr>
          <w:p w14:paraId="1221A9A8">
            <w:pPr>
              <w:spacing w:line="243" w:lineRule="auto"/>
              <w:rPr>
                <w:rFonts w:ascii="Arial"/>
                <w:sz w:val="21"/>
              </w:rPr>
            </w:pPr>
          </w:p>
          <w:p w14:paraId="0118CD57">
            <w:pPr>
              <w:pStyle w:val="6"/>
              <w:spacing w:before="61" w:line="231" w:lineRule="auto"/>
              <w:ind w:left="362"/>
              <w:rPr>
                <w:sz w:val="19"/>
                <w:szCs w:val="19"/>
              </w:rPr>
            </w:pPr>
            <w:r>
              <w:rPr>
                <w:spacing w:val="7"/>
                <w:sz w:val="19"/>
                <w:szCs w:val="19"/>
              </w:rPr>
              <w:t>优化调整建议</w:t>
            </w:r>
          </w:p>
        </w:tc>
      </w:tr>
      <w:tr w14:paraId="5201C6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501" w:type="dxa"/>
            <w:vMerge w:val="continue"/>
            <w:tcBorders>
              <w:top w:val="nil"/>
              <w:left w:val="single" w:color="000000" w:sz="10" w:space="0"/>
            </w:tcBorders>
            <w:textDirection w:val="tbRlV"/>
            <w:vAlign w:val="top"/>
          </w:tcPr>
          <w:p w14:paraId="2F6D67E6">
            <w:pPr>
              <w:rPr>
                <w:rFonts w:ascii="Arial"/>
                <w:sz w:val="21"/>
              </w:rPr>
            </w:pPr>
          </w:p>
        </w:tc>
        <w:tc>
          <w:tcPr>
            <w:tcW w:w="1744" w:type="dxa"/>
            <w:vAlign w:val="top"/>
          </w:tcPr>
          <w:p w14:paraId="7673B859">
            <w:pPr>
              <w:pStyle w:val="6"/>
              <w:spacing w:before="125" w:line="230" w:lineRule="auto"/>
              <w:ind w:left="673"/>
              <w:rPr>
                <w:sz w:val="19"/>
                <w:szCs w:val="19"/>
              </w:rPr>
            </w:pPr>
            <w:r>
              <w:rPr>
                <w:spacing w:val="2"/>
                <w:sz w:val="19"/>
                <w:szCs w:val="19"/>
              </w:rPr>
              <w:t>名称</w:t>
            </w:r>
          </w:p>
        </w:tc>
        <w:tc>
          <w:tcPr>
            <w:tcW w:w="5943" w:type="dxa"/>
            <w:vAlign w:val="top"/>
          </w:tcPr>
          <w:p w14:paraId="32D08615">
            <w:pPr>
              <w:pStyle w:val="6"/>
              <w:spacing w:before="125" w:line="231" w:lineRule="auto"/>
              <w:ind w:left="1785"/>
              <w:rPr>
                <w:sz w:val="19"/>
                <w:szCs w:val="19"/>
              </w:rPr>
            </w:pPr>
            <w:r>
              <w:rPr>
                <w:spacing w:val="8"/>
                <w:sz w:val="19"/>
                <w:szCs w:val="19"/>
              </w:rPr>
              <w:t>与本《规划调整》相关内容</w:t>
            </w:r>
          </w:p>
        </w:tc>
        <w:tc>
          <w:tcPr>
            <w:tcW w:w="4386" w:type="dxa"/>
            <w:vMerge w:val="continue"/>
            <w:tcBorders>
              <w:top w:val="nil"/>
            </w:tcBorders>
            <w:vAlign w:val="top"/>
          </w:tcPr>
          <w:p w14:paraId="13C2C1E8">
            <w:pPr>
              <w:rPr>
                <w:rFonts w:ascii="Arial"/>
                <w:sz w:val="21"/>
              </w:rPr>
            </w:pPr>
          </w:p>
        </w:tc>
        <w:tc>
          <w:tcPr>
            <w:tcW w:w="1897" w:type="dxa"/>
            <w:vMerge w:val="continue"/>
            <w:tcBorders>
              <w:top w:val="nil"/>
              <w:right w:val="single" w:color="000000" w:sz="10" w:space="0"/>
            </w:tcBorders>
            <w:vAlign w:val="top"/>
          </w:tcPr>
          <w:p w14:paraId="76B5EE39">
            <w:pPr>
              <w:rPr>
                <w:rFonts w:ascii="Arial"/>
                <w:sz w:val="21"/>
              </w:rPr>
            </w:pPr>
          </w:p>
        </w:tc>
      </w:tr>
      <w:tr w14:paraId="427BCC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501" w:type="dxa"/>
            <w:tcBorders>
              <w:left w:val="single" w:color="000000" w:sz="10" w:space="0"/>
            </w:tcBorders>
            <w:vAlign w:val="top"/>
          </w:tcPr>
          <w:p w14:paraId="5D803290">
            <w:pPr>
              <w:rPr>
                <w:rFonts w:ascii="Arial"/>
                <w:sz w:val="21"/>
              </w:rPr>
            </w:pPr>
          </w:p>
        </w:tc>
        <w:tc>
          <w:tcPr>
            <w:tcW w:w="1744" w:type="dxa"/>
            <w:vAlign w:val="top"/>
          </w:tcPr>
          <w:p w14:paraId="21E64BA8">
            <w:pPr>
              <w:rPr>
                <w:rFonts w:ascii="Arial"/>
                <w:sz w:val="21"/>
              </w:rPr>
            </w:pPr>
          </w:p>
        </w:tc>
        <w:tc>
          <w:tcPr>
            <w:tcW w:w="5943" w:type="dxa"/>
            <w:vAlign w:val="top"/>
          </w:tcPr>
          <w:p w14:paraId="2BF0629D">
            <w:pPr>
              <w:pStyle w:val="6"/>
              <w:spacing w:before="34" w:line="232" w:lineRule="auto"/>
              <w:ind w:left="110" w:right="105" w:firstLine="1"/>
              <w:rPr>
                <w:sz w:val="19"/>
                <w:szCs w:val="19"/>
              </w:rPr>
            </w:pPr>
            <w:r>
              <w:rPr>
                <w:spacing w:val="7"/>
                <w:sz w:val="19"/>
                <w:szCs w:val="19"/>
              </w:rPr>
              <w:t>再利用，减少对耕作层的破坏。剥离的土壤优先用于土地整治、土</w:t>
            </w:r>
            <w:r>
              <w:rPr>
                <w:spacing w:val="6"/>
                <w:sz w:val="19"/>
                <w:szCs w:val="19"/>
              </w:rPr>
              <w:t xml:space="preserve"> </w:t>
            </w:r>
            <w:r>
              <w:rPr>
                <w:spacing w:val="7"/>
                <w:sz w:val="19"/>
                <w:szCs w:val="19"/>
              </w:rPr>
              <w:t>地复垦项目的土壤改良。</w:t>
            </w:r>
          </w:p>
        </w:tc>
        <w:tc>
          <w:tcPr>
            <w:tcW w:w="4386" w:type="dxa"/>
            <w:vMerge w:val="restart"/>
            <w:tcBorders>
              <w:bottom w:val="nil"/>
            </w:tcBorders>
            <w:vAlign w:val="top"/>
          </w:tcPr>
          <w:p w14:paraId="3DCECB75">
            <w:pPr>
              <w:rPr>
                <w:rFonts w:ascii="Arial"/>
                <w:sz w:val="21"/>
              </w:rPr>
            </w:pPr>
          </w:p>
        </w:tc>
        <w:tc>
          <w:tcPr>
            <w:tcW w:w="1897" w:type="dxa"/>
            <w:vMerge w:val="restart"/>
            <w:tcBorders>
              <w:bottom w:val="nil"/>
              <w:right w:val="single" w:color="000000" w:sz="10" w:space="0"/>
            </w:tcBorders>
            <w:vAlign w:val="top"/>
          </w:tcPr>
          <w:p w14:paraId="30456872">
            <w:pPr>
              <w:rPr>
                <w:rFonts w:ascii="Arial"/>
                <w:sz w:val="21"/>
              </w:rPr>
            </w:pPr>
          </w:p>
        </w:tc>
      </w:tr>
      <w:tr w14:paraId="5EB07F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13" w:hRule="atLeast"/>
        </w:trPr>
        <w:tc>
          <w:tcPr>
            <w:tcW w:w="501" w:type="dxa"/>
            <w:tcBorders>
              <w:left w:val="single" w:color="000000" w:sz="10" w:space="0"/>
            </w:tcBorders>
            <w:vAlign w:val="top"/>
          </w:tcPr>
          <w:p w14:paraId="4D2E1E7F">
            <w:pPr>
              <w:spacing w:line="262" w:lineRule="auto"/>
              <w:rPr>
                <w:rFonts w:ascii="Arial"/>
                <w:sz w:val="21"/>
              </w:rPr>
            </w:pPr>
          </w:p>
          <w:p w14:paraId="31328371">
            <w:pPr>
              <w:spacing w:line="263" w:lineRule="auto"/>
              <w:rPr>
                <w:rFonts w:ascii="Arial"/>
                <w:sz w:val="21"/>
              </w:rPr>
            </w:pPr>
          </w:p>
          <w:p w14:paraId="741B8F75">
            <w:pPr>
              <w:spacing w:line="263" w:lineRule="auto"/>
              <w:rPr>
                <w:rFonts w:ascii="Arial"/>
                <w:sz w:val="21"/>
              </w:rPr>
            </w:pPr>
          </w:p>
          <w:p w14:paraId="5DB80352">
            <w:pPr>
              <w:spacing w:before="54" w:line="195" w:lineRule="auto"/>
              <w:ind w:left="156"/>
              <w:rPr>
                <w:rFonts w:ascii="Times New Roman" w:hAnsi="Times New Roman" w:eastAsia="Times New Roman" w:cs="Times New Roman"/>
                <w:sz w:val="19"/>
                <w:szCs w:val="19"/>
              </w:rPr>
            </w:pPr>
            <w:r>
              <w:rPr>
                <w:rFonts w:ascii="Times New Roman" w:hAnsi="Times New Roman" w:eastAsia="Times New Roman" w:cs="Times New Roman"/>
                <w:spacing w:val="-7"/>
                <w:sz w:val="19"/>
                <w:szCs w:val="19"/>
              </w:rPr>
              <w:t>13</w:t>
            </w:r>
          </w:p>
        </w:tc>
        <w:tc>
          <w:tcPr>
            <w:tcW w:w="1744" w:type="dxa"/>
            <w:vAlign w:val="top"/>
          </w:tcPr>
          <w:p w14:paraId="03E4924A">
            <w:pPr>
              <w:pStyle w:val="6"/>
              <w:spacing w:before="37" w:line="245" w:lineRule="auto"/>
              <w:ind w:left="107" w:right="114" w:hanging="1"/>
              <w:rPr>
                <w:sz w:val="19"/>
                <w:szCs w:val="19"/>
              </w:rPr>
            </w:pPr>
            <w:r>
              <w:rPr>
                <w:spacing w:val="7"/>
                <w:sz w:val="19"/>
                <w:szCs w:val="19"/>
              </w:rPr>
              <w:t>《重庆市规划和</w:t>
            </w:r>
            <w:r>
              <w:rPr>
                <w:spacing w:val="2"/>
                <w:sz w:val="19"/>
                <w:szCs w:val="19"/>
              </w:rPr>
              <w:t xml:space="preserve">  </w:t>
            </w:r>
            <w:r>
              <w:rPr>
                <w:spacing w:val="7"/>
                <w:sz w:val="19"/>
                <w:szCs w:val="19"/>
              </w:rPr>
              <w:t>自然资源局关于</w:t>
            </w:r>
            <w:r>
              <w:rPr>
                <w:spacing w:val="2"/>
                <w:sz w:val="19"/>
                <w:szCs w:val="19"/>
              </w:rPr>
              <w:t xml:space="preserve">  </w:t>
            </w:r>
            <w:r>
              <w:rPr>
                <w:spacing w:val="7"/>
                <w:sz w:val="19"/>
                <w:szCs w:val="19"/>
              </w:rPr>
              <w:t>进一步加强占用</w:t>
            </w:r>
            <w:r>
              <w:rPr>
                <w:spacing w:val="2"/>
                <w:sz w:val="19"/>
                <w:szCs w:val="19"/>
              </w:rPr>
              <w:t xml:space="preserve">  </w:t>
            </w:r>
            <w:r>
              <w:rPr>
                <w:spacing w:val="7"/>
                <w:sz w:val="19"/>
                <w:szCs w:val="19"/>
              </w:rPr>
              <w:t>永久基本农田管</w:t>
            </w:r>
            <w:r>
              <w:rPr>
                <w:spacing w:val="2"/>
                <w:sz w:val="19"/>
                <w:szCs w:val="19"/>
              </w:rPr>
              <w:t xml:space="preserve">  </w:t>
            </w:r>
            <w:r>
              <w:rPr>
                <w:spacing w:val="-1"/>
                <w:sz w:val="19"/>
                <w:szCs w:val="19"/>
              </w:rPr>
              <w:t>理的通知》（渝规</w:t>
            </w:r>
            <w:r>
              <w:rPr>
                <w:spacing w:val="3"/>
                <w:sz w:val="19"/>
                <w:szCs w:val="19"/>
              </w:rPr>
              <w:t xml:space="preserve"> </w:t>
            </w:r>
            <w:r>
              <w:rPr>
                <w:spacing w:val="6"/>
                <w:sz w:val="19"/>
                <w:szCs w:val="19"/>
              </w:rPr>
              <w:t>资规范〔</w:t>
            </w:r>
            <w:r>
              <w:rPr>
                <w:rFonts w:ascii="Times New Roman" w:hAnsi="Times New Roman" w:eastAsia="Times New Roman" w:cs="Times New Roman"/>
                <w:spacing w:val="6"/>
                <w:sz w:val="19"/>
                <w:szCs w:val="19"/>
              </w:rPr>
              <w:t>2020</w:t>
            </w:r>
            <w:r>
              <w:rPr>
                <w:spacing w:val="6"/>
                <w:sz w:val="19"/>
                <w:szCs w:val="19"/>
              </w:rPr>
              <w:t>〕</w:t>
            </w:r>
            <w:r>
              <w:rPr>
                <w:rFonts w:ascii="Times New Roman" w:hAnsi="Times New Roman" w:eastAsia="Times New Roman" w:cs="Times New Roman"/>
                <w:spacing w:val="6"/>
                <w:sz w:val="19"/>
                <w:szCs w:val="19"/>
              </w:rPr>
              <w:t>9</w:t>
            </w:r>
            <w:r>
              <w:rPr>
                <w:rFonts w:ascii="Times New Roman" w:hAnsi="Times New Roman" w:eastAsia="Times New Roman" w:cs="Times New Roman"/>
                <w:sz w:val="19"/>
                <w:szCs w:val="19"/>
              </w:rPr>
              <w:t xml:space="preserve">  </w:t>
            </w:r>
            <w:r>
              <w:rPr>
                <w:spacing w:val="-3"/>
                <w:sz w:val="19"/>
                <w:szCs w:val="19"/>
              </w:rPr>
              <w:t>号）</w:t>
            </w:r>
          </w:p>
        </w:tc>
        <w:tc>
          <w:tcPr>
            <w:tcW w:w="5943" w:type="dxa"/>
            <w:vAlign w:val="top"/>
          </w:tcPr>
          <w:p w14:paraId="45DC0ABE">
            <w:pPr>
              <w:pStyle w:val="6"/>
              <w:spacing w:before="162" w:line="252" w:lineRule="auto"/>
              <w:ind w:left="111" w:right="58" w:firstLine="4"/>
              <w:jc w:val="both"/>
              <w:rPr>
                <w:sz w:val="19"/>
                <w:szCs w:val="19"/>
              </w:rPr>
            </w:pPr>
            <w:r>
              <w:rPr>
                <w:spacing w:val="7"/>
                <w:sz w:val="19"/>
                <w:szCs w:val="19"/>
              </w:rPr>
              <w:t>二、（一）临时用地申请范围。临时用地一般不得占用永久基本农</w:t>
            </w:r>
            <w:r>
              <w:rPr>
                <w:spacing w:val="4"/>
                <w:sz w:val="19"/>
                <w:szCs w:val="19"/>
              </w:rPr>
              <w:t xml:space="preserve"> </w:t>
            </w:r>
            <w:r>
              <w:rPr>
                <w:spacing w:val="9"/>
                <w:sz w:val="19"/>
                <w:szCs w:val="19"/>
              </w:rPr>
              <w:t>田，建设项目施工和地质勘查用地确实无法避让永久基本</w:t>
            </w:r>
            <w:r>
              <w:rPr>
                <w:spacing w:val="8"/>
                <w:sz w:val="19"/>
                <w:szCs w:val="19"/>
              </w:rPr>
              <w:t>农田的，</w:t>
            </w:r>
            <w:r>
              <w:rPr>
                <w:sz w:val="19"/>
                <w:szCs w:val="19"/>
              </w:rPr>
              <w:t xml:space="preserve"> </w:t>
            </w:r>
            <w:r>
              <w:rPr>
                <w:spacing w:val="9"/>
                <w:sz w:val="19"/>
                <w:szCs w:val="19"/>
              </w:rPr>
              <w:t>在不修建永久建（构）筑物、经复垦能恢复原种植条件的</w:t>
            </w:r>
            <w:r>
              <w:rPr>
                <w:spacing w:val="8"/>
                <w:sz w:val="19"/>
                <w:szCs w:val="19"/>
              </w:rPr>
              <w:t>前提下，</w:t>
            </w:r>
            <w:r>
              <w:rPr>
                <w:sz w:val="19"/>
                <w:szCs w:val="19"/>
              </w:rPr>
              <w:t xml:space="preserve"> </w:t>
            </w:r>
            <w:r>
              <w:rPr>
                <w:spacing w:val="6"/>
                <w:sz w:val="19"/>
                <w:szCs w:val="19"/>
              </w:rPr>
              <w:t>土地使用者按法定程序申请临时用地并编制土地复垦方案。（</w:t>
            </w:r>
            <w:r>
              <w:rPr>
                <w:spacing w:val="-12"/>
                <w:sz w:val="19"/>
                <w:szCs w:val="19"/>
              </w:rPr>
              <w:t xml:space="preserve"> </w:t>
            </w:r>
            <w:r>
              <w:rPr>
                <w:spacing w:val="6"/>
                <w:sz w:val="19"/>
                <w:szCs w:val="19"/>
              </w:rPr>
              <w:t>四）</w:t>
            </w:r>
            <w:r>
              <w:rPr>
                <w:sz w:val="19"/>
                <w:szCs w:val="19"/>
              </w:rPr>
              <w:t xml:space="preserve"> </w:t>
            </w:r>
            <w:r>
              <w:rPr>
                <w:spacing w:val="7"/>
                <w:sz w:val="19"/>
                <w:szCs w:val="19"/>
              </w:rPr>
              <w:t>临时用地复垦监管要求。临时用地使用前，应通过耕地耕作层土壤</w:t>
            </w:r>
            <w:r>
              <w:rPr>
                <w:spacing w:val="6"/>
                <w:sz w:val="19"/>
                <w:szCs w:val="19"/>
              </w:rPr>
              <w:t xml:space="preserve"> </w:t>
            </w:r>
            <w:r>
              <w:rPr>
                <w:spacing w:val="9"/>
                <w:sz w:val="19"/>
                <w:szCs w:val="19"/>
              </w:rPr>
              <w:t>剥离再利用等工程技术措施，减少对耕作层</w:t>
            </w:r>
            <w:r>
              <w:rPr>
                <w:spacing w:val="8"/>
                <w:sz w:val="19"/>
                <w:szCs w:val="19"/>
              </w:rPr>
              <w:t>的破坏。</w:t>
            </w:r>
          </w:p>
        </w:tc>
        <w:tc>
          <w:tcPr>
            <w:tcW w:w="4386" w:type="dxa"/>
            <w:vMerge w:val="continue"/>
            <w:tcBorders>
              <w:top w:val="nil"/>
            </w:tcBorders>
            <w:vAlign w:val="top"/>
          </w:tcPr>
          <w:p w14:paraId="756FD4C2">
            <w:pPr>
              <w:rPr>
                <w:rFonts w:ascii="Arial"/>
                <w:sz w:val="21"/>
              </w:rPr>
            </w:pPr>
          </w:p>
        </w:tc>
        <w:tc>
          <w:tcPr>
            <w:tcW w:w="1897" w:type="dxa"/>
            <w:vMerge w:val="continue"/>
            <w:tcBorders>
              <w:top w:val="nil"/>
              <w:right w:val="single" w:color="000000" w:sz="10" w:space="0"/>
            </w:tcBorders>
            <w:vAlign w:val="top"/>
          </w:tcPr>
          <w:p w14:paraId="3DE55355">
            <w:pPr>
              <w:rPr>
                <w:rFonts w:ascii="Arial"/>
                <w:sz w:val="21"/>
              </w:rPr>
            </w:pPr>
          </w:p>
        </w:tc>
      </w:tr>
      <w:tr w14:paraId="50F845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9" w:hRule="atLeast"/>
        </w:trPr>
        <w:tc>
          <w:tcPr>
            <w:tcW w:w="501" w:type="dxa"/>
            <w:tcBorders>
              <w:left w:val="single" w:color="000000" w:sz="10" w:space="0"/>
              <w:bottom w:val="single" w:color="000000" w:sz="10" w:space="0"/>
            </w:tcBorders>
            <w:vAlign w:val="top"/>
          </w:tcPr>
          <w:p w14:paraId="61A703C2">
            <w:pPr>
              <w:rPr>
                <w:rFonts w:ascii="Arial"/>
                <w:sz w:val="21"/>
              </w:rPr>
            </w:pPr>
          </w:p>
          <w:p w14:paraId="72D925A3">
            <w:pPr>
              <w:rPr>
                <w:rFonts w:ascii="Arial"/>
                <w:sz w:val="21"/>
              </w:rPr>
            </w:pPr>
          </w:p>
          <w:p w14:paraId="22B1D458">
            <w:pPr>
              <w:rPr>
                <w:rFonts w:ascii="Arial"/>
                <w:sz w:val="21"/>
              </w:rPr>
            </w:pPr>
          </w:p>
          <w:p w14:paraId="21DCA54E">
            <w:pPr>
              <w:rPr>
                <w:rFonts w:ascii="Arial"/>
                <w:sz w:val="21"/>
              </w:rPr>
            </w:pPr>
          </w:p>
          <w:p w14:paraId="085BA4C2">
            <w:pPr>
              <w:rPr>
                <w:rFonts w:ascii="Arial"/>
                <w:sz w:val="21"/>
              </w:rPr>
            </w:pPr>
          </w:p>
          <w:p w14:paraId="5F21A6DC">
            <w:pPr>
              <w:rPr>
                <w:rFonts w:ascii="Arial"/>
                <w:sz w:val="21"/>
              </w:rPr>
            </w:pPr>
          </w:p>
          <w:p w14:paraId="22E26830">
            <w:pPr>
              <w:spacing w:before="55" w:line="195" w:lineRule="auto"/>
              <w:ind w:left="156"/>
              <w:rPr>
                <w:rFonts w:ascii="Times New Roman" w:hAnsi="Times New Roman" w:eastAsia="Times New Roman" w:cs="Times New Roman"/>
                <w:sz w:val="19"/>
                <w:szCs w:val="19"/>
              </w:rPr>
            </w:pPr>
            <w:r>
              <w:rPr>
                <w:rFonts w:ascii="Times New Roman" w:hAnsi="Times New Roman" w:eastAsia="Times New Roman" w:cs="Times New Roman"/>
                <w:spacing w:val="-7"/>
                <w:sz w:val="19"/>
                <w:szCs w:val="19"/>
              </w:rPr>
              <w:t>14</w:t>
            </w:r>
          </w:p>
        </w:tc>
        <w:tc>
          <w:tcPr>
            <w:tcW w:w="1744" w:type="dxa"/>
            <w:tcBorders>
              <w:bottom w:val="single" w:color="000000" w:sz="10" w:space="0"/>
            </w:tcBorders>
            <w:vAlign w:val="top"/>
          </w:tcPr>
          <w:p w14:paraId="50C6D235">
            <w:pPr>
              <w:spacing w:line="253" w:lineRule="auto"/>
              <w:rPr>
                <w:rFonts w:ascii="Arial"/>
                <w:sz w:val="21"/>
              </w:rPr>
            </w:pPr>
          </w:p>
          <w:p w14:paraId="2C0C7B0F">
            <w:pPr>
              <w:spacing w:line="253" w:lineRule="auto"/>
              <w:rPr>
                <w:rFonts w:ascii="Arial"/>
                <w:sz w:val="21"/>
              </w:rPr>
            </w:pPr>
          </w:p>
          <w:p w14:paraId="20D638DA">
            <w:pPr>
              <w:spacing w:line="254" w:lineRule="auto"/>
              <w:rPr>
                <w:rFonts w:ascii="Arial"/>
                <w:sz w:val="21"/>
              </w:rPr>
            </w:pPr>
          </w:p>
          <w:p w14:paraId="5D1DD18A">
            <w:pPr>
              <w:spacing w:line="254" w:lineRule="auto"/>
              <w:rPr>
                <w:rFonts w:ascii="Arial"/>
                <w:sz w:val="21"/>
              </w:rPr>
            </w:pPr>
          </w:p>
          <w:p w14:paraId="48D899A1">
            <w:pPr>
              <w:pStyle w:val="6"/>
              <w:spacing w:before="62" w:line="252" w:lineRule="auto"/>
              <w:ind w:left="110" w:right="31" w:firstLine="60"/>
              <w:jc w:val="both"/>
              <w:rPr>
                <w:sz w:val="19"/>
                <w:szCs w:val="19"/>
              </w:rPr>
            </w:pPr>
            <w:r>
              <w:rPr>
                <w:spacing w:val="8"/>
                <w:sz w:val="19"/>
                <w:szCs w:val="19"/>
              </w:rPr>
              <w:t>《重庆市空气质</w:t>
            </w:r>
            <w:r>
              <w:rPr>
                <w:sz w:val="19"/>
                <w:szCs w:val="19"/>
              </w:rPr>
              <w:t xml:space="preserve">  </w:t>
            </w:r>
            <w:r>
              <w:rPr>
                <w:spacing w:val="16"/>
                <w:sz w:val="19"/>
                <w:szCs w:val="19"/>
              </w:rPr>
              <w:t>量持续改善行动</w:t>
            </w:r>
            <w:r>
              <w:rPr>
                <w:spacing w:val="1"/>
                <w:sz w:val="19"/>
                <w:szCs w:val="19"/>
              </w:rPr>
              <w:t xml:space="preserve">  </w:t>
            </w:r>
            <w:r>
              <w:rPr>
                <w:spacing w:val="-1"/>
                <w:sz w:val="19"/>
                <w:szCs w:val="19"/>
              </w:rPr>
              <w:t>实施方案》（渝府</w:t>
            </w:r>
            <w:r>
              <w:rPr>
                <w:sz w:val="19"/>
                <w:szCs w:val="19"/>
              </w:rPr>
              <w:t xml:space="preserve">  发〔</w:t>
            </w:r>
            <w:r>
              <w:rPr>
                <w:rFonts w:ascii="Times New Roman" w:hAnsi="Times New Roman" w:eastAsia="Times New Roman" w:cs="Times New Roman"/>
                <w:sz w:val="19"/>
                <w:szCs w:val="19"/>
              </w:rPr>
              <w:t>2024</w:t>
            </w:r>
            <w:r>
              <w:rPr>
                <w:sz w:val="19"/>
                <w:szCs w:val="19"/>
              </w:rPr>
              <w:t>〕</w:t>
            </w:r>
            <w:r>
              <w:rPr>
                <w:rFonts w:ascii="Times New Roman" w:hAnsi="Times New Roman" w:eastAsia="Times New Roman" w:cs="Times New Roman"/>
                <w:sz w:val="19"/>
                <w:szCs w:val="19"/>
              </w:rPr>
              <w:t>15</w:t>
            </w:r>
            <w:r>
              <w:rPr>
                <w:rFonts w:ascii="Times New Roman" w:hAnsi="Times New Roman" w:eastAsia="Times New Roman" w:cs="Times New Roman"/>
                <w:spacing w:val="28"/>
                <w:w w:val="101"/>
                <w:sz w:val="19"/>
                <w:szCs w:val="19"/>
              </w:rPr>
              <w:t xml:space="preserve"> </w:t>
            </w:r>
            <w:r>
              <w:rPr>
                <w:sz w:val="19"/>
                <w:szCs w:val="19"/>
              </w:rPr>
              <w:t>号）</w:t>
            </w:r>
          </w:p>
        </w:tc>
        <w:tc>
          <w:tcPr>
            <w:tcW w:w="5943" w:type="dxa"/>
            <w:tcBorders>
              <w:bottom w:val="single" w:color="000000" w:sz="10" w:space="0"/>
            </w:tcBorders>
            <w:vAlign w:val="top"/>
          </w:tcPr>
          <w:p w14:paraId="26AFA304">
            <w:pPr>
              <w:pStyle w:val="6"/>
              <w:spacing w:before="43" w:line="252" w:lineRule="auto"/>
              <w:ind w:left="113" w:right="103" w:firstLine="200"/>
              <w:jc w:val="both"/>
              <w:rPr>
                <w:sz w:val="19"/>
                <w:szCs w:val="19"/>
              </w:rPr>
            </w:pPr>
            <w:r>
              <w:rPr>
                <w:spacing w:val="7"/>
                <w:sz w:val="19"/>
                <w:szCs w:val="19"/>
              </w:rPr>
              <w:t>推动重点区域水泥、玻璃、陶瓷、砖瓦企业整合升级。重点区域</w:t>
            </w:r>
            <w:r>
              <w:rPr>
                <w:spacing w:val="2"/>
                <w:sz w:val="19"/>
                <w:szCs w:val="19"/>
              </w:rPr>
              <w:t xml:space="preserve"> </w:t>
            </w:r>
            <w:r>
              <w:rPr>
                <w:spacing w:val="7"/>
                <w:sz w:val="19"/>
                <w:szCs w:val="19"/>
              </w:rPr>
              <w:t>区县根据实际情况制定中小微企业大气污染专项整治方案，依法淘 汰关停一批、搬迁入园一批、就地改造一批、做优做强一批，严防</w:t>
            </w:r>
            <w:r>
              <w:rPr>
                <w:spacing w:val="5"/>
                <w:sz w:val="19"/>
                <w:szCs w:val="19"/>
              </w:rPr>
              <w:t xml:space="preserve"> </w:t>
            </w:r>
            <w:r>
              <w:rPr>
                <w:spacing w:val="4"/>
                <w:sz w:val="19"/>
                <w:szCs w:val="19"/>
              </w:rPr>
              <w:t>污染下乡。</w:t>
            </w:r>
          </w:p>
          <w:p w14:paraId="3B7214AD">
            <w:pPr>
              <w:pStyle w:val="6"/>
              <w:spacing w:before="2" w:line="251" w:lineRule="auto"/>
              <w:ind w:left="109" w:right="105" w:firstLine="206"/>
              <w:jc w:val="both"/>
              <w:rPr>
                <w:sz w:val="19"/>
                <w:szCs w:val="19"/>
              </w:rPr>
            </w:pPr>
            <w:r>
              <w:rPr>
                <w:spacing w:val="7"/>
                <w:sz w:val="19"/>
                <w:szCs w:val="19"/>
              </w:rPr>
              <w:t>实施重点行业污染深度治理。实施重点行业提标改造工程，推动</w:t>
            </w:r>
            <w:r>
              <w:rPr>
                <w:sz w:val="19"/>
                <w:szCs w:val="19"/>
              </w:rPr>
              <w:t xml:space="preserve"> </w:t>
            </w:r>
            <w:r>
              <w:rPr>
                <w:spacing w:val="8"/>
                <w:sz w:val="19"/>
                <w:szCs w:val="19"/>
              </w:rPr>
              <w:t>工业企业稳定达标排放和深度治理。推动企业自备电厂、</w:t>
            </w:r>
            <w:r>
              <w:rPr>
                <w:rFonts w:ascii="Times New Roman" w:hAnsi="Times New Roman" w:eastAsia="Times New Roman" w:cs="Times New Roman"/>
                <w:spacing w:val="8"/>
                <w:sz w:val="19"/>
                <w:szCs w:val="19"/>
              </w:rPr>
              <w:t>65</w:t>
            </w:r>
            <w:r>
              <w:rPr>
                <w:rFonts w:ascii="Times New Roman" w:hAnsi="Times New Roman" w:eastAsia="Times New Roman" w:cs="Times New Roman"/>
                <w:spacing w:val="31"/>
                <w:w w:val="101"/>
                <w:sz w:val="19"/>
                <w:szCs w:val="19"/>
              </w:rPr>
              <w:t xml:space="preserve"> </w:t>
            </w:r>
            <w:r>
              <w:rPr>
                <w:spacing w:val="8"/>
                <w:sz w:val="19"/>
                <w:szCs w:val="19"/>
              </w:rPr>
              <w:t>蒸吨</w:t>
            </w:r>
            <w:r>
              <w:rPr>
                <w:rFonts w:ascii="Times New Roman" w:hAnsi="Times New Roman" w:eastAsia="Times New Roman" w:cs="Times New Roman"/>
                <w:spacing w:val="8"/>
                <w:sz w:val="19"/>
                <w:szCs w:val="19"/>
              </w:rPr>
              <w:t>/</w:t>
            </w:r>
            <w:r>
              <w:rPr>
                <w:rFonts w:ascii="Times New Roman" w:hAnsi="Times New Roman" w:eastAsia="Times New Roman" w:cs="Times New Roman"/>
                <w:sz w:val="19"/>
                <w:szCs w:val="19"/>
              </w:rPr>
              <w:t xml:space="preserve">  </w:t>
            </w:r>
            <w:r>
              <w:rPr>
                <w:spacing w:val="7"/>
                <w:sz w:val="19"/>
                <w:szCs w:val="19"/>
              </w:rPr>
              <w:t>小时及以上的燃煤锅炉超低排放改造。大力推进水泥、钢铁、焦化</w:t>
            </w:r>
            <w:r>
              <w:rPr>
                <w:spacing w:val="9"/>
                <w:sz w:val="19"/>
                <w:szCs w:val="19"/>
              </w:rPr>
              <w:t xml:space="preserve"> </w:t>
            </w:r>
            <w:r>
              <w:rPr>
                <w:spacing w:val="7"/>
                <w:sz w:val="19"/>
                <w:szCs w:val="19"/>
              </w:rPr>
              <w:t>等重点行业超低排放改造。以渝西地区为重点，加快推进水泥、玻</w:t>
            </w:r>
            <w:r>
              <w:rPr>
                <w:spacing w:val="9"/>
                <w:sz w:val="19"/>
                <w:szCs w:val="19"/>
              </w:rPr>
              <w:t xml:space="preserve"> </w:t>
            </w:r>
            <w:r>
              <w:rPr>
                <w:spacing w:val="7"/>
                <w:sz w:val="19"/>
                <w:szCs w:val="19"/>
              </w:rPr>
              <w:t>璃、陶瓷、砖瓦企业深度治理和提标改造，强化工业源烟气脱硫脱</w:t>
            </w:r>
            <w:r>
              <w:rPr>
                <w:spacing w:val="9"/>
                <w:sz w:val="19"/>
                <w:szCs w:val="19"/>
              </w:rPr>
              <w:t xml:space="preserve"> </w:t>
            </w:r>
            <w:r>
              <w:rPr>
                <w:spacing w:val="6"/>
                <w:sz w:val="19"/>
                <w:szCs w:val="19"/>
              </w:rPr>
              <w:t>硝氨逃逸防控。</w:t>
            </w:r>
          </w:p>
          <w:p w14:paraId="733E4E74">
            <w:pPr>
              <w:pStyle w:val="6"/>
              <w:spacing w:before="1" w:line="235" w:lineRule="auto"/>
              <w:ind w:left="113" w:right="105" w:firstLine="200"/>
              <w:rPr>
                <w:sz w:val="19"/>
                <w:szCs w:val="19"/>
              </w:rPr>
            </w:pPr>
            <w:r>
              <w:rPr>
                <w:spacing w:val="7"/>
                <w:sz w:val="19"/>
                <w:szCs w:val="19"/>
              </w:rPr>
              <w:t>深化扬尘污染综合治理。新建矿山原则上要同步建设铁路专用线</w:t>
            </w:r>
            <w:r>
              <w:rPr>
                <w:spacing w:val="2"/>
                <w:sz w:val="19"/>
                <w:szCs w:val="19"/>
              </w:rPr>
              <w:t xml:space="preserve"> </w:t>
            </w:r>
            <w:r>
              <w:rPr>
                <w:spacing w:val="7"/>
                <w:sz w:val="19"/>
                <w:szCs w:val="19"/>
              </w:rPr>
              <w:t>或采用其他清洁运输方式。</w:t>
            </w:r>
          </w:p>
        </w:tc>
        <w:tc>
          <w:tcPr>
            <w:tcW w:w="4386" w:type="dxa"/>
            <w:tcBorders>
              <w:bottom w:val="single" w:color="000000" w:sz="10" w:space="0"/>
            </w:tcBorders>
            <w:vAlign w:val="top"/>
          </w:tcPr>
          <w:p w14:paraId="17FA9358">
            <w:pPr>
              <w:pStyle w:val="6"/>
              <w:spacing w:before="43" w:line="249" w:lineRule="auto"/>
              <w:ind w:left="120" w:right="97" w:firstLine="203"/>
              <w:rPr>
                <w:sz w:val="19"/>
                <w:szCs w:val="19"/>
              </w:rPr>
            </w:pPr>
            <w:r>
              <w:rPr>
                <w:spacing w:val="7"/>
                <w:sz w:val="19"/>
                <w:szCs w:val="19"/>
              </w:rPr>
              <w:t>黔江区为重点区域，黔江区按照《</w:t>
            </w:r>
            <w:r>
              <w:rPr>
                <w:rFonts w:ascii="Times New Roman" w:hAnsi="Times New Roman" w:eastAsia="Times New Roman" w:cs="Times New Roman"/>
                <w:spacing w:val="7"/>
                <w:sz w:val="19"/>
                <w:szCs w:val="19"/>
              </w:rPr>
              <w:t xml:space="preserve">2024  </w:t>
            </w:r>
            <w:r>
              <w:rPr>
                <w:spacing w:val="7"/>
                <w:sz w:val="19"/>
                <w:szCs w:val="19"/>
              </w:rPr>
              <w:t>年重</w:t>
            </w:r>
            <w:r>
              <w:rPr>
                <w:spacing w:val="6"/>
                <w:sz w:val="19"/>
                <w:szCs w:val="19"/>
              </w:rPr>
              <w:t xml:space="preserve">  </w:t>
            </w:r>
            <w:r>
              <w:rPr>
                <w:spacing w:val="8"/>
                <w:sz w:val="19"/>
                <w:szCs w:val="19"/>
              </w:rPr>
              <w:t>庆市夏秋季</w:t>
            </w:r>
            <w:r>
              <w:rPr>
                <w:rFonts w:ascii="Times New Roman" w:hAnsi="Times New Roman" w:eastAsia="Times New Roman" w:cs="Times New Roman"/>
                <w:spacing w:val="8"/>
                <w:sz w:val="19"/>
                <w:szCs w:val="19"/>
              </w:rPr>
              <w:t>“</w:t>
            </w:r>
            <w:r>
              <w:rPr>
                <w:spacing w:val="8"/>
                <w:sz w:val="19"/>
                <w:szCs w:val="19"/>
              </w:rPr>
              <w:t>治气</w:t>
            </w:r>
            <w:r>
              <w:rPr>
                <w:rFonts w:ascii="Times New Roman" w:hAnsi="Times New Roman" w:eastAsia="Times New Roman" w:cs="Times New Roman"/>
                <w:spacing w:val="8"/>
                <w:sz w:val="19"/>
                <w:szCs w:val="19"/>
              </w:rPr>
              <w:t>”</w:t>
            </w:r>
            <w:r>
              <w:rPr>
                <w:spacing w:val="8"/>
                <w:sz w:val="19"/>
                <w:szCs w:val="19"/>
              </w:rPr>
              <w:t>攻坚工作方案》等文件要求，</w:t>
            </w:r>
            <w:r>
              <w:rPr>
                <w:spacing w:val="17"/>
                <w:sz w:val="19"/>
                <w:szCs w:val="19"/>
              </w:rPr>
              <w:t xml:space="preserve"> </w:t>
            </w:r>
            <w:r>
              <w:rPr>
                <w:spacing w:val="8"/>
                <w:sz w:val="19"/>
                <w:szCs w:val="19"/>
              </w:rPr>
              <w:t>通过开展低效失效治理设施排查整治专项行动、</w:t>
            </w:r>
            <w:r>
              <w:rPr>
                <w:spacing w:val="4"/>
                <w:sz w:val="19"/>
                <w:szCs w:val="19"/>
              </w:rPr>
              <w:t xml:space="preserve"> </w:t>
            </w:r>
            <w:r>
              <w:rPr>
                <w:spacing w:val="8"/>
                <w:sz w:val="19"/>
                <w:szCs w:val="19"/>
              </w:rPr>
              <w:t>活性炭治理设施专项整治行动、交通源污染防治</w:t>
            </w:r>
            <w:r>
              <w:rPr>
                <w:spacing w:val="4"/>
                <w:sz w:val="19"/>
                <w:szCs w:val="19"/>
              </w:rPr>
              <w:t xml:space="preserve"> </w:t>
            </w:r>
            <w:r>
              <w:rPr>
                <w:spacing w:val="8"/>
                <w:sz w:val="19"/>
                <w:szCs w:val="19"/>
              </w:rPr>
              <w:t>专项行动、生活源专项治理行动、扬尘污染防治</w:t>
            </w:r>
            <w:r>
              <w:rPr>
                <w:spacing w:val="4"/>
                <w:sz w:val="19"/>
                <w:szCs w:val="19"/>
              </w:rPr>
              <w:t xml:space="preserve"> </w:t>
            </w:r>
            <w:r>
              <w:rPr>
                <w:spacing w:val="9"/>
                <w:sz w:val="19"/>
                <w:szCs w:val="19"/>
              </w:rPr>
              <w:t>专项行动以及强化实施空气污染预警应急应对</w:t>
            </w:r>
            <w:r>
              <w:rPr>
                <w:spacing w:val="1"/>
                <w:sz w:val="19"/>
                <w:szCs w:val="19"/>
              </w:rPr>
              <w:t xml:space="preserve">   </w:t>
            </w:r>
            <w:r>
              <w:rPr>
                <w:spacing w:val="8"/>
                <w:sz w:val="19"/>
                <w:szCs w:val="19"/>
              </w:rPr>
              <w:t>行动等</w:t>
            </w:r>
            <w:r>
              <w:rPr>
                <w:rFonts w:ascii="Times New Roman" w:hAnsi="Times New Roman" w:eastAsia="Times New Roman" w:cs="Times New Roman"/>
                <w:spacing w:val="8"/>
                <w:sz w:val="19"/>
                <w:szCs w:val="19"/>
              </w:rPr>
              <w:t>“5+1”</w:t>
            </w:r>
            <w:r>
              <w:rPr>
                <w:spacing w:val="8"/>
                <w:sz w:val="19"/>
                <w:szCs w:val="19"/>
              </w:rPr>
              <w:t xml:space="preserve">专项行动，将有效降低区域 </w:t>
            </w:r>
            <w:r>
              <w:rPr>
                <w:rFonts w:ascii="Times New Roman" w:hAnsi="Times New Roman" w:eastAsia="Times New Roman" w:cs="Times New Roman"/>
                <w:sz w:val="19"/>
                <w:szCs w:val="19"/>
              </w:rPr>
              <w:t>PM</w:t>
            </w:r>
            <w:r>
              <w:rPr>
                <w:rFonts w:ascii="Times New Roman" w:hAnsi="Times New Roman" w:eastAsia="Times New Roman" w:cs="Times New Roman"/>
                <w:spacing w:val="8"/>
                <w:position w:val="-1"/>
                <w:sz w:val="12"/>
                <w:szCs w:val="12"/>
              </w:rPr>
              <w:t>2</w:t>
            </w:r>
            <w:r>
              <w:rPr>
                <w:rFonts w:ascii="Times New Roman" w:hAnsi="Times New Roman" w:eastAsia="Times New Roman" w:cs="Times New Roman"/>
                <w:spacing w:val="7"/>
                <w:position w:val="-1"/>
                <w:sz w:val="12"/>
                <w:szCs w:val="12"/>
              </w:rPr>
              <w:t>.5</w:t>
            </w:r>
            <w:r>
              <w:rPr>
                <w:rFonts w:ascii="Times New Roman" w:hAnsi="Times New Roman" w:eastAsia="Times New Roman" w:cs="Times New Roman"/>
                <w:position w:val="-1"/>
                <w:sz w:val="12"/>
                <w:szCs w:val="12"/>
              </w:rPr>
              <w:t xml:space="preserve">      </w:t>
            </w:r>
            <w:r>
              <w:rPr>
                <w:spacing w:val="4"/>
                <w:sz w:val="19"/>
                <w:szCs w:val="19"/>
              </w:rPr>
              <w:t>浓度，实现空气质量持续改善，</w:t>
            </w:r>
            <w:r>
              <w:rPr>
                <w:rFonts w:ascii="Times New Roman" w:hAnsi="Times New Roman" w:eastAsia="Times New Roman" w:cs="Times New Roman"/>
                <w:spacing w:val="4"/>
                <w:sz w:val="19"/>
                <w:szCs w:val="19"/>
              </w:rPr>
              <w:t>2024</w:t>
            </w:r>
            <w:r>
              <w:rPr>
                <w:rFonts w:ascii="Times New Roman" w:hAnsi="Times New Roman" w:eastAsia="Times New Roman" w:cs="Times New Roman"/>
                <w:spacing w:val="32"/>
                <w:w w:val="101"/>
                <w:sz w:val="19"/>
                <w:szCs w:val="19"/>
              </w:rPr>
              <w:t xml:space="preserve"> </w:t>
            </w:r>
            <w:r>
              <w:rPr>
                <w:spacing w:val="4"/>
                <w:sz w:val="19"/>
                <w:szCs w:val="19"/>
              </w:rPr>
              <w:t>年黔江区为</w:t>
            </w:r>
            <w:r>
              <w:rPr>
                <w:sz w:val="19"/>
                <w:szCs w:val="19"/>
              </w:rPr>
              <w:t xml:space="preserve"> </w:t>
            </w:r>
            <w:r>
              <w:rPr>
                <w:spacing w:val="8"/>
                <w:sz w:val="19"/>
                <w:szCs w:val="19"/>
              </w:rPr>
              <w:t>达标区。评价要求，本次规划评价区块，矿山建</w:t>
            </w:r>
            <w:r>
              <w:rPr>
                <w:spacing w:val="4"/>
                <w:sz w:val="19"/>
                <w:szCs w:val="19"/>
              </w:rPr>
              <w:t xml:space="preserve"> </w:t>
            </w:r>
            <w:r>
              <w:rPr>
                <w:spacing w:val="8"/>
                <w:sz w:val="19"/>
                <w:szCs w:val="19"/>
              </w:rPr>
              <w:t>设时深化扬尘污染综合治理，同步建设铁路专用</w:t>
            </w:r>
            <w:r>
              <w:rPr>
                <w:spacing w:val="4"/>
                <w:sz w:val="19"/>
                <w:szCs w:val="19"/>
              </w:rPr>
              <w:t xml:space="preserve"> </w:t>
            </w:r>
            <w:r>
              <w:rPr>
                <w:spacing w:val="8"/>
                <w:sz w:val="19"/>
                <w:szCs w:val="19"/>
              </w:rPr>
              <w:t>线或采用其他清洁运输方式，减少运输扬尘对周</w:t>
            </w:r>
            <w:r>
              <w:rPr>
                <w:spacing w:val="4"/>
                <w:sz w:val="19"/>
                <w:szCs w:val="19"/>
              </w:rPr>
              <w:t xml:space="preserve"> </w:t>
            </w:r>
            <w:r>
              <w:rPr>
                <w:spacing w:val="7"/>
                <w:sz w:val="19"/>
                <w:szCs w:val="19"/>
              </w:rPr>
              <w:t>边环境的影响。符合。</w:t>
            </w:r>
          </w:p>
        </w:tc>
        <w:tc>
          <w:tcPr>
            <w:tcW w:w="1897" w:type="dxa"/>
            <w:tcBorders>
              <w:bottom w:val="single" w:color="000000" w:sz="10" w:space="0"/>
              <w:right w:val="single" w:color="000000" w:sz="10" w:space="0"/>
            </w:tcBorders>
            <w:vAlign w:val="top"/>
          </w:tcPr>
          <w:p w14:paraId="3A0428B2">
            <w:pPr>
              <w:spacing w:line="287" w:lineRule="auto"/>
              <w:rPr>
                <w:rFonts w:ascii="Arial"/>
                <w:sz w:val="21"/>
              </w:rPr>
            </w:pPr>
          </w:p>
          <w:p w14:paraId="39122036">
            <w:pPr>
              <w:spacing w:line="287" w:lineRule="auto"/>
              <w:rPr>
                <w:rFonts w:ascii="Arial"/>
                <w:sz w:val="21"/>
              </w:rPr>
            </w:pPr>
          </w:p>
          <w:p w14:paraId="181AD64C">
            <w:pPr>
              <w:spacing w:line="287" w:lineRule="auto"/>
              <w:rPr>
                <w:rFonts w:ascii="Arial"/>
                <w:sz w:val="21"/>
              </w:rPr>
            </w:pPr>
          </w:p>
          <w:p w14:paraId="695FCBED">
            <w:pPr>
              <w:spacing w:line="288" w:lineRule="auto"/>
              <w:rPr>
                <w:rFonts w:ascii="Arial"/>
                <w:sz w:val="21"/>
              </w:rPr>
            </w:pPr>
          </w:p>
          <w:p w14:paraId="187F8294">
            <w:pPr>
              <w:spacing w:line="288" w:lineRule="auto"/>
              <w:rPr>
                <w:rFonts w:ascii="Arial"/>
                <w:sz w:val="21"/>
              </w:rPr>
            </w:pPr>
          </w:p>
          <w:p w14:paraId="18A3D893">
            <w:pPr>
              <w:spacing w:before="54" w:line="199" w:lineRule="auto"/>
              <w:ind w:left="923"/>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r>
    </w:tbl>
    <w:p w14:paraId="4105997C">
      <w:pPr>
        <w:spacing w:before="264" w:line="227" w:lineRule="auto"/>
        <w:ind w:left="128"/>
        <w:outlineLvl w:val="2"/>
        <w:rPr>
          <w:rFonts w:ascii="仿宋" w:hAnsi="仿宋" w:eastAsia="仿宋" w:cs="仿宋"/>
          <w:sz w:val="25"/>
          <w:szCs w:val="25"/>
        </w:rPr>
      </w:pPr>
      <w:r>
        <w:rPr>
          <w:rFonts w:ascii="Times New Roman" w:hAnsi="Times New Roman" w:eastAsia="Times New Roman" w:cs="Times New Roman"/>
          <w:b/>
          <w:bCs/>
          <w:spacing w:val="6"/>
          <w:sz w:val="25"/>
          <w:szCs w:val="25"/>
        </w:rPr>
        <w:t>2.3.3</w:t>
      </w:r>
      <w:r>
        <w:rPr>
          <w:rFonts w:ascii="Times New Roman" w:hAnsi="Times New Roman" w:eastAsia="Times New Roman" w:cs="Times New Roman"/>
          <w:b/>
          <w:bCs/>
          <w:spacing w:val="36"/>
          <w:w w:val="101"/>
          <w:sz w:val="25"/>
          <w:szCs w:val="25"/>
        </w:rPr>
        <w:t xml:space="preserve"> </w:t>
      </w:r>
      <w:r>
        <w:rPr>
          <w:rFonts w:ascii="仿宋" w:hAnsi="仿宋" w:eastAsia="仿宋" w:cs="仿宋"/>
          <w:b/>
          <w:bCs/>
          <w:spacing w:val="6"/>
          <w:sz w:val="25"/>
          <w:szCs w:val="25"/>
        </w:rPr>
        <w:t>与重庆市及黔江区生态环境分区管控的符合性分析</w:t>
      </w:r>
    </w:p>
    <w:p w14:paraId="6DB56C4B">
      <w:pPr>
        <w:spacing w:before="272" w:line="340" w:lineRule="auto"/>
        <w:ind w:left="144" w:right="416" w:firstLine="520"/>
        <w:rPr>
          <w:rFonts w:ascii="仿宋" w:hAnsi="仿宋" w:eastAsia="仿宋" w:cs="仿宋"/>
          <w:sz w:val="25"/>
          <w:szCs w:val="25"/>
        </w:rPr>
      </w:pPr>
      <w:r>
        <w:rPr>
          <w:rFonts w:ascii="仿宋" w:hAnsi="仿宋" w:eastAsia="仿宋" w:cs="仿宋"/>
          <w:spacing w:val="-2"/>
          <w:sz w:val="25"/>
          <w:szCs w:val="25"/>
        </w:rPr>
        <w:t>结合《重庆市</w:t>
      </w:r>
      <w:r>
        <w:rPr>
          <w:rFonts w:ascii="Times New Roman" w:hAnsi="Times New Roman" w:eastAsia="Times New Roman" w:cs="Times New Roman"/>
          <w:spacing w:val="-2"/>
          <w:sz w:val="25"/>
          <w:szCs w:val="25"/>
        </w:rPr>
        <w:t>“</w:t>
      </w:r>
      <w:r>
        <w:rPr>
          <w:rFonts w:ascii="仿宋" w:hAnsi="仿宋" w:eastAsia="仿宋" w:cs="仿宋"/>
          <w:spacing w:val="-2"/>
          <w:sz w:val="25"/>
          <w:szCs w:val="25"/>
        </w:rPr>
        <w:t>三线一单</w:t>
      </w:r>
      <w:r>
        <w:rPr>
          <w:rFonts w:ascii="Times New Roman" w:hAnsi="Times New Roman" w:eastAsia="Times New Roman" w:cs="Times New Roman"/>
          <w:spacing w:val="-2"/>
          <w:sz w:val="25"/>
          <w:szCs w:val="25"/>
        </w:rPr>
        <w:t>”</w:t>
      </w:r>
      <w:r>
        <w:rPr>
          <w:rFonts w:ascii="仿宋" w:hAnsi="仿宋" w:eastAsia="仿宋" w:cs="仿宋"/>
          <w:spacing w:val="-2"/>
          <w:sz w:val="25"/>
          <w:szCs w:val="25"/>
        </w:rPr>
        <w:t>生态环境分区管控调整方案（</w:t>
      </w:r>
      <w:r>
        <w:rPr>
          <w:rFonts w:ascii="Times New Roman" w:hAnsi="Times New Roman" w:eastAsia="Times New Roman" w:cs="Times New Roman"/>
          <w:spacing w:val="-2"/>
          <w:sz w:val="25"/>
          <w:szCs w:val="25"/>
        </w:rPr>
        <w:t>2023</w:t>
      </w:r>
      <w:r>
        <w:rPr>
          <w:rFonts w:ascii="Times New Roman" w:hAnsi="Times New Roman" w:eastAsia="Times New Roman" w:cs="Times New Roman"/>
          <w:spacing w:val="27"/>
          <w:w w:val="101"/>
          <w:sz w:val="25"/>
          <w:szCs w:val="25"/>
        </w:rPr>
        <w:t xml:space="preserve"> </w:t>
      </w:r>
      <w:r>
        <w:rPr>
          <w:rFonts w:ascii="仿宋" w:hAnsi="仿宋" w:eastAsia="仿宋" w:cs="仿宋"/>
          <w:spacing w:val="-2"/>
          <w:sz w:val="25"/>
          <w:szCs w:val="25"/>
        </w:rPr>
        <w:t>年）》、《黔江区</w:t>
      </w:r>
      <w:r>
        <w:rPr>
          <w:rFonts w:ascii="Times New Roman" w:hAnsi="Times New Roman" w:eastAsia="Times New Roman" w:cs="Times New Roman"/>
          <w:spacing w:val="-2"/>
          <w:sz w:val="25"/>
          <w:szCs w:val="25"/>
        </w:rPr>
        <w:t>“</w:t>
      </w:r>
      <w:r>
        <w:rPr>
          <w:rFonts w:ascii="仿宋" w:hAnsi="仿宋" w:eastAsia="仿宋" w:cs="仿宋"/>
          <w:spacing w:val="-2"/>
          <w:sz w:val="25"/>
          <w:szCs w:val="25"/>
        </w:rPr>
        <w:t>三线一单</w:t>
      </w:r>
      <w:r>
        <w:rPr>
          <w:rFonts w:ascii="Times New Roman" w:hAnsi="Times New Roman" w:eastAsia="Times New Roman" w:cs="Times New Roman"/>
          <w:spacing w:val="-2"/>
          <w:sz w:val="25"/>
          <w:szCs w:val="25"/>
        </w:rPr>
        <w:t>”</w:t>
      </w:r>
      <w:r>
        <w:rPr>
          <w:rFonts w:ascii="仿宋" w:hAnsi="仿宋" w:eastAsia="仿宋" w:cs="仿宋"/>
          <w:spacing w:val="-2"/>
          <w:sz w:val="25"/>
          <w:szCs w:val="25"/>
        </w:rPr>
        <w:t>生态环境分区管控调整方案（</w:t>
      </w:r>
      <w:r>
        <w:rPr>
          <w:rFonts w:ascii="Times New Roman" w:hAnsi="Times New Roman" w:eastAsia="Times New Roman" w:cs="Times New Roman"/>
          <w:spacing w:val="-2"/>
          <w:sz w:val="25"/>
          <w:szCs w:val="25"/>
        </w:rPr>
        <w:t>2023</w:t>
      </w:r>
      <w:r>
        <w:rPr>
          <w:rFonts w:ascii="Times New Roman" w:hAnsi="Times New Roman" w:eastAsia="Times New Roman" w:cs="Times New Roman"/>
          <w:sz w:val="25"/>
          <w:szCs w:val="25"/>
        </w:rPr>
        <w:t xml:space="preserve"> </w:t>
      </w:r>
      <w:r>
        <w:rPr>
          <w:rFonts w:ascii="仿宋" w:hAnsi="仿宋" w:eastAsia="仿宋" w:cs="仿宋"/>
          <w:spacing w:val="5"/>
          <w:sz w:val="25"/>
          <w:szCs w:val="25"/>
        </w:rPr>
        <w:t>年）》，分析规划调整与</w:t>
      </w:r>
      <w:r>
        <w:rPr>
          <w:rFonts w:ascii="Times New Roman" w:hAnsi="Times New Roman" w:eastAsia="Times New Roman" w:cs="Times New Roman"/>
          <w:spacing w:val="5"/>
          <w:sz w:val="25"/>
          <w:szCs w:val="25"/>
        </w:rPr>
        <w:t>“</w:t>
      </w:r>
      <w:r>
        <w:rPr>
          <w:rFonts w:ascii="仿宋" w:hAnsi="仿宋" w:eastAsia="仿宋" w:cs="仿宋"/>
          <w:spacing w:val="5"/>
          <w:sz w:val="25"/>
          <w:szCs w:val="25"/>
        </w:rPr>
        <w:t>三线一单</w:t>
      </w:r>
      <w:r>
        <w:rPr>
          <w:rFonts w:ascii="Times New Roman" w:hAnsi="Times New Roman" w:eastAsia="Times New Roman" w:cs="Times New Roman"/>
          <w:spacing w:val="5"/>
          <w:sz w:val="25"/>
          <w:szCs w:val="25"/>
        </w:rPr>
        <w:t>”</w:t>
      </w:r>
      <w:r>
        <w:rPr>
          <w:rFonts w:ascii="仿宋" w:hAnsi="仿宋" w:eastAsia="仿宋" w:cs="仿宋"/>
          <w:spacing w:val="5"/>
          <w:sz w:val="25"/>
          <w:szCs w:val="25"/>
        </w:rPr>
        <w:t>符合性，见表</w:t>
      </w:r>
      <w:r>
        <w:rPr>
          <w:rFonts w:ascii="仿宋" w:hAnsi="仿宋" w:eastAsia="仿宋" w:cs="仿宋"/>
          <w:spacing w:val="-44"/>
          <w:sz w:val="25"/>
          <w:szCs w:val="25"/>
        </w:rPr>
        <w:t xml:space="preserve"> </w:t>
      </w:r>
      <w:r>
        <w:rPr>
          <w:rFonts w:ascii="Times New Roman" w:hAnsi="Times New Roman" w:eastAsia="Times New Roman" w:cs="Times New Roman"/>
          <w:spacing w:val="5"/>
          <w:sz w:val="25"/>
          <w:szCs w:val="25"/>
        </w:rPr>
        <w:t>2.3-5</w:t>
      </w:r>
      <w:r>
        <w:rPr>
          <w:rFonts w:ascii="Times New Roman" w:hAnsi="Times New Roman" w:eastAsia="Times New Roman" w:cs="Times New Roman"/>
          <w:spacing w:val="25"/>
          <w:w w:val="101"/>
          <w:sz w:val="25"/>
          <w:szCs w:val="25"/>
        </w:rPr>
        <w:t xml:space="preserve"> </w:t>
      </w:r>
      <w:r>
        <w:rPr>
          <w:rFonts w:ascii="仿宋" w:hAnsi="仿宋" w:eastAsia="仿宋" w:cs="仿宋"/>
          <w:spacing w:val="5"/>
          <w:sz w:val="25"/>
          <w:szCs w:val="25"/>
        </w:rPr>
        <w:t>及表</w:t>
      </w:r>
      <w:r>
        <w:rPr>
          <w:rFonts w:ascii="仿宋" w:hAnsi="仿宋" w:eastAsia="仿宋" w:cs="仿宋"/>
          <w:spacing w:val="-52"/>
          <w:sz w:val="25"/>
          <w:szCs w:val="25"/>
        </w:rPr>
        <w:t xml:space="preserve"> </w:t>
      </w:r>
      <w:r>
        <w:rPr>
          <w:rFonts w:ascii="Times New Roman" w:hAnsi="Times New Roman" w:eastAsia="Times New Roman" w:cs="Times New Roman"/>
          <w:spacing w:val="5"/>
          <w:sz w:val="25"/>
          <w:szCs w:val="25"/>
        </w:rPr>
        <w:t>2.3-6</w:t>
      </w:r>
      <w:r>
        <w:rPr>
          <w:rFonts w:ascii="Times New Roman" w:hAnsi="Times New Roman" w:eastAsia="Times New Roman" w:cs="Times New Roman"/>
          <w:spacing w:val="-27"/>
          <w:sz w:val="25"/>
          <w:szCs w:val="25"/>
        </w:rPr>
        <w:t xml:space="preserve"> </w:t>
      </w:r>
      <w:r>
        <w:rPr>
          <w:rFonts w:ascii="仿宋" w:hAnsi="仿宋" w:eastAsia="仿宋" w:cs="仿宋"/>
          <w:spacing w:val="5"/>
          <w:sz w:val="25"/>
          <w:szCs w:val="25"/>
        </w:rPr>
        <w:t>，附图</w:t>
      </w:r>
      <w:r>
        <w:rPr>
          <w:rFonts w:ascii="仿宋" w:hAnsi="仿宋" w:eastAsia="仿宋" w:cs="仿宋"/>
          <w:spacing w:val="-55"/>
          <w:sz w:val="25"/>
          <w:szCs w:val="25"/>
        </w:rPr>
        <w:t xml:space="preserve"> </w:t>
      </w:r>
      <w:r>
        <w:rPr>
          <w:rFonts w:ascii="Times New Roman" w:hAnsi="Times New Roman" w:eastAsia="Times New Roman" w:cs="Times New Roman"/>
          <w:spacing w:val="5"/>
          <w:sz w:val="25"/>
          <w:szCs w:val="25"/>
        </w:rPr>
        <w:t>2-3</w:t>
      </w:r>
      <w:r>
        <w:rPr>
          <w:rFonts w:ascii="仿宋" w:hAnsi="仿宋" w:eastAsia="仿宋" w:cs="仿宋"/>
          <w:spacing w:val="5"/>
          <w:sz w:val="25"/>
          <w:szCs w:val="25"/>
        </w:rPr>
        <w:t>。</w:t>
      </w:r>
    </w:p>
    <w:p w14:paraId="246539CA">
      <w:pPr>
        <w:spacing w:before="41" w:line="229" w:lineRule="auto"/>
        <w:ind w:left="3920"/>
        <w:rPr>
          <w:rFonts w:ascii="仿宋" w:hAnsi="仿宋" w:eastAsia="仿宋" w:cs="仿宋"/>
          <w:sz w:val="20"/>
          <w:szCs w:val="20"/>
        </w:rPr>
      </w:pPr>
      <w:r>
        <w:rPr>
          <w:rFonts w:ascii="仿宋" w:hAnsi="仿宋" w:eastAsia="仿宋" w:cs="仿宋"/>
          <w:b/>
          <w:bCs/>
          <w:spacing w:val="5"/>
          <w:sz w:val="20"/>
          <w:szCs w:val="20"/>
        </w:rPr>
        <w:t>表</w:t>
      </w:r>
      <w:r>
        <w:rPr>
          <w:rFonts w:ascii="仿宋" w:hAnsi="仿宋" w:eastAsia="仿宋" w:cs="仿宋"/>
          <w:spacing w:val="-37"/>
          <w:sz w:val="20"/>
          <w:szCs w:val="20"/>
        </w:rPr>
        <w:t xml:space="preserve"> </w:t>
      </w:r>
      <w:r>
        <w:rPr>
          <w:rFonts w:ascii="Times New Roman" w:hAnsi="Times New Roman" w:eastAsia="Times New Roman" w:cs="Times New Roman"/>
          <w:b/>
          <w:bCs/>
          <w:spacing w:val="5"/>
          <w:sz w:val="20"/>
          <w:szCs w:val="20"/>
        </w:rPr>
        <w:t xml:space="preserve">2.3-5    </w:t>
      </w:r>
      <w:r>
        <w:rPr>
          <w:rFonts w:ascii="仿宋" w:hAnsi="仿宋" w:eastAsia="仿宋" w:cs="仿宋"/>
          <w:b/>
          <w:bCs/>
          <w:spacing w:val="5"/>
          <w:sz w:val="20"/>
          <w:szCs w:val="20"/>
        </w:rPr>
        <w:t>《规划调整》</w:t>
      </w:r>
      <w:r>
        <w:rPr>
          <w:rFonts w:ascii="仿宋" w:hAnsi="仿宋" w:eastAsia="仿宋" w:cs="仿宋"/>
          <w:spacing w:val="-47"/>
          <w:sz w:val="20"/>
          <w:szCs w:val="20"/>
        </w:rPr>
        <w:t xml:space="preserve"> </w:t>
      </w:r>
      <w:r>
        <w:rPr>
          <w:rFonts w:ascii="仿宋" w:hAnsi="仿宋" w:eastAsia="仿宋" w:cs="仿宋"/>
          <w:b/>
          <w:bCs/>
          <w:spacing w:val="5"/>
          <w:sz w:val="20"/>
          <w:szCs w:val="20"/>
        </w:rPr>
        <w:t>内容与重庆市</w:t>
      </w:r>
      <w:r>
        <w:rPr>
          <w:rFonts w:ascii="Times New Roman" w:hAnsi="Times New Roman" w:eastAsia="Times New Roman" w:cs="Times New Roman"/>
          <w:b/>
          <w:bCs/>
          <w:spacing w:val="5"/>
          <w:sz w:val="20"/>
          <w:szCs w:val="20"/>
        </w:rPr>
        <w:t>“</w:t>
      </w:r>
      <w:r>
        <w:rPr>
          <w:rFonts w:ascii="仿宋" w:hAnsi="仿宋" w:eastAsia="仿宋" w:cs="仿宋"/>
          <w:b/>
          <w:bCs/>
          <w:spacing w:val="5"/>
          <w:sz w:val="20"/>
          <w:szCs w:val="20"/>
        </w:rPr>
        <w:t>三线一单</w:t>
      </w:r>
      <w:r>
        <w:rPr>
          <w:rFonts w:ascii="Times New Roman" w:hAnsi="Times New Roman" w:eastAsia="Times New Roman" w:cs="Times New Roman"/>
          <w:b/>
          <w:bCs/>
          <w:spacing w:val="5"/>
          <w:sz w:val="20"/>
          <w:szCs w:val="20"/>
        </w:rPr>
        <w:t>”</w:t>
      </w:r>
      <w:r>
        <w:rPr>
          <w:rFonts w:ascii="仿宋" w:hAnsi="仿宋" w:eastAsia="仿宋" w:cs="仿宋"/>
          <w:b/>
          <w:bCs/>
          <w:spacing w:val="5"/>
          <w:sz w:val="20"/>
          <w:szCs w:val="20"/>
        </w:rPr>
        <w:t>最新成果符合性分析</w:t>
      </w:r>
    </w:p>
    <w:p w14:paraId="3229D610">
      <w:pPr>
        <w:spacing w:line="229" w:lineRule="auto"/>
        <w:rPr>
          <w:rFonts w:ascii="仿宋" w:hAnsi="仿宋" w:eastAsia="仿宋" w:cs="仿宋"/>
          <w:sz w:val="20"/>
          <w:szCs w:val="20"/>
        </w:rPr>
        <w:sectPr>
          <w:footerReference r:id="rId88" w:type="default"/>
          <w:pgSz w:w="16839" w:h="11906"/>
          <w:pgMar w:top="1116" w:right="1023" w:bottom="1480" w:left="1317" w:header="683" w:footer="1318" w:gutter="0"/>
          <w:cols w:space="720" w:num="1"/>
        </w:sectPr>
      </w:pPr>
    </w:p>
    <w:p w14:paraId="59399745">
      <w:pPr>
        <w:spacing w:before="229"/>
      </w:pPr>
    </w:p>
    <w:tbl>
      <w:tblPr>
        <w:tblStyle w:val="5"/>
        <w:tblW w:w="1405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5"/>
        <w:gridCol w:w="636"/>
        <w:gridCol w:w="436"/>
        <w:gridCol w:w="1315"/>
        <w:gridCol w:w="7253"/>
        <w:gridCol w:w="2082"/>
        <w:gridCol w:w="1826"/>
      </w:tblGrid>
      <w:tr w14:paraId="74EDB4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05" w:type="dxa"/>
            <w:tcBorders>
              <w:top w:val="single" w:color="000000" w:sz="10" w:space="0"/>
              <w:left w:val="single" w:color="000000" w:sz="10" w:space="0"/>
            </w:tcBorders>
            <w:vAlign w:val="top"/>
          </w:tcPr>
          <w:p w14:paraId="368EE2AB">
            <w:pPr>
              <w:pStyle w:val="6"/>
              <w:spacing w:before="214" w:line="233" w:lineRule="auto"/>
              <w:ind w:left="55"/>
              <w:rPr>
                <w:sz w:val="19"/>
                <w:szCs w:val="19"/>
              </w:rPr>
            </w:pPr>
            <w:r>
              <w:rPr>
                <w:spacing w:val="1"/>
                <w:sz w:val="19"/>
                <w:szCs w:val="19"/>
              </w:rPr>
              <w:t>分区</w:t>
            </w:r>
          </w:p>
        </w:tc>
        <w:tc>
          <w:tcPr>
            <w:tcW w:w="636" w:type="dxa"/>
            <w:tcBorders>
              <w:top w:val="single" w:color="000000" w:sz="10" w:space="0"/>
            </w:tcBorders>
            <w:vAlign w:val="top"/>
          </w:tcPr>
          <w:p w14:paraId="17ED1D1D">
            <w:pPr>
              <w:pStyle w:val="6"/>
              <w:spacing w:before="88" w:line="254" w:lineRule="auto"/>
              <w:ind w:left="220" w:right="27" w:hanging="193"/>
              <w:rPr>
                <w:sz w:val="19"/>
                <w:szCs w:val="19"/>
              </w:rPr>
            </w:pPr>
            <w:r>
              <w:rPr>
                <w:spacing w:val="1"/>
                <w:sz w:val="19"/>
                <w:szCs w:val="19"/>
              </w:rPr>
              <w:t xml:space="preserve">管控单 </w:t>
            </w:r>
            <w:r>
              <w:rPr>
                <w:sz w:val="19"/>
                <w:szCs w:val="19"/>
              </w:rPr>
              <w:t>元</w:t>
            </w:r>
          </w:p>
        </w:tc>
        <w:tc>
          <w:tcPr>
            <w:tcW w:w="1751" w:type="dxa"/>
            <w:gridSpan w:val="2"/>
            <w:tcBorders>
              <w:top w:val="single" w:color="000000" w:sz="10" w:space="0"/>
            </w:tcBorders>
            <w:vAlign w:val="top"/>
          </w:tcPr>
          <w:p w14:paraId="770D2B7B">
            <w:pPr>
              <w:pStyle w:val="6"/>
              <w:spacing w:before="214" w:line="232" w:lineRule="auto"/>
              <w:ind w:left="488"/>
              <w:rPr>
                <w:sz w:val="19"/>
                <w:szCs w:val="19"/>
              </w:rPr>
            </w:pPr>
            <w:r>
              <w:rPr>
                <w:spacing w:val="3"/>
                <w:sz w:val="19"/>
                <w:szCs w:val="19"/>
              </w:rPr>
              <w:t>管控类型</w:t>
            </w:r>
          </w:p>
        </w:tc>
        <w:tc>
          <w:tcPr>
            <w:tcW w:w="7253" w:type="dxa"/>
            <w:tcBorders>
              <w:top w:val="single" w:color="000000" w:sz="10" w:space="0"/>
            </w:tcBorders>
            <w:vAlign w:val="top"/>
          </w:tcPr>
          <w:p w14:paraId="070BA0EA">
            <w:pPr>
              <w:pStyle w:val="6"/>
              <w:spacing w:before="215" w:line="231" w:lineRule="auto"/>
              <w:ind w:left="3247"/>
              <w:rPr>
                <w:sz w:val="19"/>
                <w:szCs w:val="19"/>
              </w:rPr>
            </w:pPr>
            <w:r>
              <w:rPr>
                <w:spacing w:val="3"/>
                <w:sz w:val="19"/>
                <w:szCs w:val="19"/>
              </w:rPr>
              <w:t>管控要求</w:t>
            </w:r>
          </w:p>
        </w:tc>
        <w:tc>
          <w:tcPr>
            <w:tcW w:w="2082" w:type="dxa"/>
            <w:tcBorders>
              <w:top w:val="single" w:color="000000" w:sz="10" w:space="0"/>
            </w:tcBorders>
            <w:vAlign w:val="top"/>
          </w:tcPr>
          <w:p w14:paraId="707AE4CA">
            <w:pPr>
              <w:pStyle w:val="6"/>
              <w:spacing w:before="215" w:line="231" w:lineRule="auto"/>
              <w:ind w:left="260"/>
              <w:rPr>
                <w:sz w:val="19"/>
                <w:szCs w:val="19"/>
              </w:rPr>
            </w:pPr>
            <w:r>
              <w:rPr>
                <w:spacing w:val="8"/>
                <w:sz w:val="19"/>
                <w:szCs w:val="19"/>
              </w:rPr>
              <w:t>本次规划调整内容</w:t>
            </w:r>
          </w:p>
        </w:tc>
        <w:tc>
          <w:tcPr>
            <w:tcW w:w="1826" w:type="dxa"/>
            <w:tcBorders>
              <w:top w:val="single" w:color="000000" w:sz="10" w:space="0"/>
              <w:right w:val="single" w:color="000000" w:sz="10" w:space="0"/>
            </w:tcBorders>
            <w:vAlign w:val="top"/>
          </w:tcPr>
          <w:p w14:paraId="58816124">
            <w:pPr>
              <w:pStyle w:val="6"/>
              <w:spacing w:before="214" w:line="229" w:lineRule="auto"/>
              <w:ind w:left="431"/>
              <w:rPr>
                <w:sz w:val="19"/>
                <w:szCs w:val="19"/>
              </w:rPr>
            </w:pPr>
            <w:r>
              <w:rPr>
                <w:spacing w:val="6"/>
                <w:sz w:val="19"/>
                <w:szCs w:val="19"/>
              </w:rPr>
              <w:t>符合性分析</w:t>
            </w:r>
          </w:p>
        </w:tc>
      </w:tr>
      <w:tr w14:paraId="7F33B9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505" w:type="dxa"/>
            <w:vMerge w:val="restart"/>
            <w:tcBorders>
              <w:left w:val="single" w:color="000000" w:sz="10" w:space="0"/>
              <w:bottom w:val="nil"/>
            </w:tcBorders>
            <w:vAlign w:val="top"/>
          </w:tcPr>
          <w:p w14:paraId="0D3B932D">
            <w:pPr>
              <w:spacing w:line="243" w:lineRule="auto"/>
              <w:rPr>
                <w:rFonts w:ascii="Arial"/>
                <w:sz w:val="21"/>
              </w:rPr>
            </w:pPr>
          </w:p>
          <w:p w14:paraId="42D3322A">
            <w:pPr>
              <w:spacing w:line="243" w:lineRule="auto"/>
              <w:rPr>
                <w:rFonts w:ascii="Arial"/>
                <w:sz w:val="21"/>
              </w:rPr>
            </w:pPr>
          </w:p>
          <w:p w14:paraId="2FC397C8">
            <w:pPr>
              <w:spacing w:line="243" w:lineRule="auto"/>
              <w:rPr>
                <w:rFonts w:ascii="Arial"/>
                <w:sz w:val="21"/>
              </w:rPr>
            </w:pPr>
          </w:p>
          <w:p w14:paraId="58E72A9E">
            <w:pPr>
              <w:spacing w:line="243" w:lineRule="auto"/>
              <w:rPr>
                <w:rFonts w:ascii="Arial"/>
                <w:sz w:val="21"/>
              </w:rPr>
            </w:pPr>
          </w:p>
          <w:p w14:paraId="3CFF7E41">
            <w:pPr>
              <w:spacing w:line="243" w:lineRule="auto"/>
              <w:rPr>
                <w:rFonts w:ascii="Arial"/>
                <w:sz w:val="21"/>
              </w:rPr>
            </w:pPr>
          </w:p>
          <w:p w14:paraId="5CB65D52">
            <w:pPr>
              <w:spacing w:line="243" w:lineRule="auto"/>
              <w:rPr>
                <w:rFonts w:ascii="Arial"/>
                <w:sz w:val="21"/>
              </w:rPr>
            </w:pPr>
          </w:p>
          <w:p w14:paraId="6990E2E2">
            <w:pPr>
              <w:spacing w:line="243" w:lineRule="auto"/>
              <w:rPr>
                <w:rFonts w:ascii="Arial"/>
                <w:sz w:val="21"/>
              </w:rPr>
            </w:pPr>
          </w:p>
          <w:p w14:paraId="4E6BDE87">
            <w:pPr>
              <w:spacing w:line="243" w:lineRule="auto"/>
              <w:rPr>
                <w:rFonts w:ascii="Arial"/>
                <w:sz w:val="21"/>
              </w:rPr>
            </w:pPr>
          </w:p>
          <w:p w14:paraId="1568C1A4">
            <w:pPr>
              <w:spacing w:line="243" w:lineRule="auto"/>
              <w:rPr>
                <w:rFonts w:ascii="Arial"/>
                <w:sz w:val="21"/>
              </w:rPr>
            </w:pPr>
          </w:p>
          <w:p w14:paraId="7393E703">
            <w:pPr>
              <w:spacing w:line="243" w:lineRule="auto"/>
              <w:rPr>
                <w:rFonts w:ascii="Arial"/>
                <w:sz w:val="21"/>
              </w:rPr>
            </w:pPr>
          </w:p>
          <w:p w14:paraId="4F851272">
            <w:pPr>
              <w:spacing w:line="243" w:lineRule="auto"/>
              <w:rPr>
                <w:rFonts w:ascii="Arial"/>
                <w:sz w:val="21"/>
              </w:rPr>
            </w:pPr>
          </w:p>
          <w:p w14:paraId="7F5761DD">
            <w:pPr>
              <w:spacing w:line="243" w:lineRule="auto"/>
              <w:rPr>
                <w:rFonts w:ascii="Arial"/>
                <w:sz w:val="21"/>
              </w:rPr>
            </w:pPr>
          </w:p>
          <w:p w14:paraId="2271212C">
            <w:pPr>
              <w:spacing w:line="244" w:lineRule="auto"/>
              <w:rPr>
                <w:rFonts w:ascii="Arial"/>
                <w:sz w:val="21"/>
              </w:rPr>
            </w:pPr>
          </w:p>
          <w:p w14:paraId="7B3CC09F">
            <w:pPr>
              <w:spacing w:line="244" w:lineRule="auto"/>
              <w:rPr>
                <w:rFonts w:ascii="Arial"/>
                <w:sz w:val="21"/>
              </w:rPr>
            </w:pPr>
          </w:p>
          <w:p w14:paraId="0B5D2CAF">
            <w:pPr>
              <w:spacing w:line="244" w:lineRule="auto"/>
              <w:rPr>
                <w:rFonts w:ascii="Arial"/>
                <w:sz w:val="21"/>
              </w:rPr>
            </w:pPr>
          </w:p>
          <w:p w14:paraId="02D620FF">
            <w:pPr>
              <w:pStyle w:val="6"/>
              <w:spacing w:before="62" w:line="252" w:lineRule="auto"/>
              <w:ind w:left="156" w:right="51" w:hanging="97"/>
              <w:rPr>
                <w:sz w:val="19"/>
                <w:szCs w:val="19"/>
              </w:rPr>
            </w:pPr>
            <w:r>
              <w:rPr>
                <w:spacing w:val="-1"/>
                <w:sz w:val="19"/>
                <w:szCs w:val="19"/>
              </w:rPr>
              <w:t>重庆</w:t>
            </w:r>
            <w:r>
              <w:rPr>
                <w:sz w:val="19"/>
                <w:szCs w:val="19"/>
              </w:rPr>
              <w:t xml:space="preserve"> 市</w:t>
            </w:r>
          </w:p>
        </w:tc>
        <w:tc>
          <w:tcPr>
            <w:tcW w:w="636" w:type="dxa"/>
            <w:vMerge w:val="restart"/>
            <w:tcBorders>
              <w:bottom w:val="nil"/>
            </w:tcBorders>
            <w:vAlign w:val="top"/>
          </w:tcPr>
          <w:p w14:paraId="7FD4D74A">
            <w:pPr>
              <w:spacing w:line="256" w:lineRule="auto"/>
              <w:rPr>
                <w:rFonts w:ascii="Arial"/>
                <w:sz w:val="21"/>
              </w:rPr>
            </w:pPr>
          </w:p>
          <w:p w14:paraId="15584037">
            <w:pPr>
              <w:spacing w:line="256" w:lineRule="auto"/>
              <w:rPr>
                <w:rFonts w:ascii="Arial"/>
                <w:sz w:val="21"/>
              </w:rPr>
            </w:pPr>
          </w:p>
          <w:p w14:paraId="4D3FE9F1">
            <w:pPr>
              <w:spacing w:line="256" w:lineRule="auto"/>
              <w:rPr>
                <w:rFonts w:ascii="Arial"/>
                <w:sz w:val="21"/>
              </w:rPr>
            </w:pPr>
          </w:p>
          <w:p w14:paraId="28CC731B">
            <w:pPr>
              <w:spacing w:line="256" w:lineRule="auto"/>
              <w:rPr>
                <w:rFonts w:ascii="Arial"/>
                <w:sz w:val="21"/>
              </w:rPr>
            </w:pPr>
          </w:p>
          <w:p w14:paraId="72F54C3D">
            <w:pPr>
              <w:spacing w:line="256" w:lineRule="auto"/>
              <w:rPr>
                <w:rFonts w:ascii="Arial"/>
                <w:sz w:val="21"/>
              </w:rPr>
            </w:pPr>
          </w:p>
          <w:p w14:paraId="600174A1">
            <w:pPr>
              <w:spacing w:line="256" w:lineRule="auto"/>
              <w:rPr>
                <w:rFonts w:ascii="Arial"/>
                <w:sz w:val="21"/>
              </w:rPr>
            </w:pPr>
          </w:p>
          <w:p w14:paraId="14B48F8E">
            <w:pPr>
              <w:spacing w:line="256" w:lineRule="auto"/>
              <w:rPr>
                <w:rFonts w:ascii="Arial"/>
                <w:sz w:val="21"/>
              </w:rPr>
            </w:pPr>
          </w:p>
          <w:p w14:paraId="4DE4410E">
            <w:pPr>
              <w:spacing w:line="256" w:lineRule="auto"/>
              <w:rPr>
                <w:rFonts w:ascii="Arial"/>
                <w:sz w:val="21"/>
              </w:rPr>
            </w:pPr>
          </w:p>
          <w:p w14:paraId="496902E2">
            <w:pPr>
              <w:spacing w:line="257" w:lineRule="auto"/>
              <w:rPr>
                <w:rFonts w:ascii="Arial"/>
                <w:sz w:val="21"/>
              </w:rPr>
            </w:pPr>
          </w:p>
          <w:p w14:paraId="092314EC">
            <w:pPr>
              <w:spacing w:line="257" w:lineRule="auto"/>
              <w:rPr>
                <w:rFonts w:ascii="Arial"/>
                <w:sz w:val="21"/>
              </w:rPr>
            </w:pPr>
          </w:p>
          <w:p w14:paraId="21C17B70">
            <w:pPr>
              <w:spacing w:line="257" w:lineRule="auto"/>
              <w:rPr>
                <w:rFonts w:ascii="Arial"/>
                <w:sz w:val="21"/>
              </w:rPr>
            </w:pPr>
          </w:p>
          <w:p w14:paraId="0EEA5B7C">
            <w:pPr>
              <w:spacing w:line="257" w:lineRule="auto"/>
              <w:rPr>
                <w:rFonts w:ascii="Arial"/>
                <w:sz w:val="21"/>
              </w:rPr>
            </w:pPr>
          </w:p>
          <w:p w14:paraId="4FF7DAC2">
            <w:pPr>
              <w:spacing w:line="257" w:lineRule="auto"/>
              <w:rPr>
                <w:rFonts w:ascii="Arial"/>
                <w:sz w:val="21"/>
              </w:rPr>
            </w:pPr>
          </w:p>
          <w:p w14:paraId="124BFD32">
            <w:pPr>
              <w:pStyle w:val="6"/>
              <w:spacing w:before="62" w:line="230" w:lineRule="auto"/>
              <w:ind w:left="16"/>
              <w:rPr>
                <w:sz w:val="19"/>
                <w:szCs w:val="19"/>
              </w:rPr>
            </w:pPr>
            <w:r>
              <w:rPr>
                <w:spacing w:val="5"/>
                <w:sz w:val="19"/>
                <w:szCs w:val="19"/>
              </w:rPr>
              <w:t>优先保</w:t>
            </w:r>
          </w:p>
          <w:p w14:paraId="6D89EA79">
            <w:pPr>
              <w:pStyle w:val="6"/>
              <w:spacing w:before="22" w:line="230" w:lineRule="auto"/>
              <w:ind w:left="16"/>
              <w:rPr>
                <w:sz w:val="19"/>
                <w:szCs w:val="19"/>
              </w:rPr>
            </w:pPr>
            <w:r>
              <w:rPr>
                <w:spacing w:val="5"/>
                <w:sz w:val="19"/>
                <w:szCs w:val="19"/>
              </w:rPr>
              <w:t>护单元</w:t>
            </w:r>
          </w:p>
        </w:tc>
        <w:tc>
          <w:tcPr>
            <w:tcW w:w="436" w:type="dxa"/>
            <w:vMerge w:val="restart"/>
            <w:tcBorders>
              <w:bottom w:val="nil"/>
            </w:tcBorders>
            <w:vAlign w:val="top"/>
          </w:tcPr>
          <w:p w14:paraId="074C4C88">
            <w:pPr>
              <w:spacing w:line="246" w:lineRule="auto"/>
              <w:rPr>
                <w:rFonts w:ascii="Arial"/>
                <w:sz w:val="21"/>
              </w:rPr>
            </w:pPr>
          </w:p>
          <w:p w14:paraId="003B6447">
            <w:pPr>
              <w:spacing w:line="246" w:lineRule="auto"/>
              <w:rPr>
                <w:rFonts w:ascii="Arial"/>
                <w:sz w:val="21"/>
              </w:rPr>
            </w:pPr>
          </w:p>
          <w:p w14:paraId="11CAABE8">
            <w:pPr>
              <w:spacing w:line="246" w:lineRule="auto"/>
              <w:rPr>
                <w:rFonts w:ascii="Arial"/>
                <w:sz w:val="21"/>
              </w:rPr>
            </w:pPr>
          </w:p>
          <w:p w14:paraId="1E48A53C">
            <w:pPr>
              <w:spacing w:line="246" w:lineRule="auto"/>
              <w:rPr>
                <w:rFonts w:ascii="Arial"/>
                <w:sz w:val="21"/>
              </w:rPr>
            </w:pPr>
          </w:p>
          <w:p w14:paraId="7289917C">
            <w:pPr>
              <w:spacing w:line="246" w:lineRule="auto"/>
              <w:rPr>
                <w:rFonts w:ascii="Arial"/>
                <w:sz w:val="21"/>
              </w:rPr>
            </w:pPr>
          </w:p>
          <w:p w14:paraId="0A538F46">
            <w:pPr>
              <w:spacing w:line="246" w:lineRule="auto"/>
              <w:rPr>
                <w:rFonts w:ascii="Arial"/>
                <w:sz w:val="21"/>
              </w:rPr>
            </w:pPr>
          </w:p>
          <w:p w14:paraId="052C9135">
            <w:pPr>
              <w:spacing w:line="246" w:lineRule="auto"/>
              <w:rPr>
                <w:rFonts w:ascii="Arial"/>
                <w:sz w:val="21"/>
              </w:rPr>
            </w:pPr>
          </w:p>
          <w:p w14:paraId="23945BC7">
            <w:pPr>
              <w:spacing w:line="247" w:lineRule="auto"/>
              <w:rPr>
                <w:rFonts w:ascii="Arial"/>
                <w:sz w:val="21"/>
              </w:rPr>
            </w:pPr>
          </w:p>
          <w:p w14:paraId="142CBBD3">
            <w:pPr>
              <w:spacing w:line="247" w:lineRule="auto"/>
              <w:rPr>
                <w:rFonts w:ascii="Arial"/>
                <w:sz w:val="21"/>
              </w:rPr>
            </w:pPr>
          </w:p>
          <w:p w14:paraId="6EE07249">
            <w:pPr>
              <w:spacing w:line="247" w:lineRule="auto"/>
              <w:rPr>
                <w:rFonts w:ascii="Arial"/>
                <w:sz w:val="21"/>
              </w:rPr>
            </w:pPr>
          </w:p>
          <w:p w14:paraId="228D72A3">
            <w:pPr>
              <w:spacing w:line="247" w:lineRule="auto"/>
              <w:rPr>
                <w:rFonts w:ascii="Arial"/>
                <w:sz w:val="21"/>
              </w:rPr>
            </w:pPr>
          </w:p>
          <w:p w14:paraId="7764EE8E">
            <w:pPr>
              <w:spacing w:line="247" w:lineRule="auto"/>
              <w:rPr>
                <w:rFonts w:ascii="Arial"/>
                <w:sz w:val="21"/>
              </w:rPr>
            </w:pPr>
          </w:p>
          <w:p w14:paraId="6E89A5B7">
            <w:pPr>
              <w:spacing w:line="247" w:lineRule="auto"/>
              <w:rPr>
                <w:rFonts w:ascii="Arial"/>
                <w:sz w:val="21"/>
              </w:rPr>
            </w:pPr>
          </w:p>
          <w:p w14:paraId="42F73258">
            <w:pPr>
              <w:pStyle w:val="6"/>
              <w:spacing w:before="62" w:line="232" w:lineRule="auto"/>
              <w:ind w:left="30"/>
              <w:rPr>
                <w:sz w:val="19"/>
                <w:szCs w:val="19"/>
              </w:rPr>
            </w:pPr>
            <w:r>
              <w:rPr>
                <w:spacing w:val="-3"/>
                <w:sz w:val="19"/>
                <w:szCs w:val="19"/>
              </w:rPr>
              <w:t>空间</w:t>
            </w:r>
          </w:p>
          <w:p w14:paraId="5712833D">
            <w:pPr>
              <w:pStyle w:val="6"/>
              <w:spacing w:before="20" w:line="229" w:lineRule="auto"/>
              <w:ind w:left="20"/>
              <w:rPr>
                <w:sz w:val="19"/>
                <w:szCs w:val="19"/>
              </w:rPr>
            </w:pPr>
            <w:r>
              <w:rPr>
                <w:spacing w:val="1"/>
                <w:sz w:val="19"/>
                <w:szCs w:val="19"/>
              </w:rPr>
              <w:t>布局</w:t>
            </w:r>
          </w:p>
          <w:p w14:paraId="0C591C32">
            <w:pPr>
              <w:pStyle w:val="6"/>
              <w:spacing w:before="23" w:line="229" w:lineRule="auto"/>
              <w:ind w:left="20"/>
              <w:rPr>
                <w:sz w:val="19"/>
                <w:szCs w:val="19"/>
              </w:rPr>
            </w:pPr>
            <w:r>
              <w:rPr>
                <w:spacing w:val="1"/>
                <w:sz w:val="19"/>
                <w:szCs w:val="19"/>
              </w:rPr>
              <w:t>约束</w:t>
            </w:r>
          </w:p>
        </w:tc>
        <w:tc>
          <w:tcPr>
            <w:tcW w:w="1315" w:type="dxa"/>
            <w:vAlign w:val="top"/>
          </w:tcPr>
          <w:p w14:paraId="6F46988A">
            <w:pPr>
              <w:pStyle w:val="6"/>
              <w:spacing w:before="82" w:line="232" w:lineRule="auto"/>
              <w:ind w:left="57"/>
              <w:rPr>
                <w:sz w:val="19"/>
                <w:szCs w:val="19"/>
              </w:rPr>
            </w:pPr>
            <w:r>
              <w:rPr>
                <w:spacing w:val="7"/>
                <w:sz w:val="19"/>
                <w:szCs w:val="19"/>
              </w:rPr>
              <w:t>饮用水水源地</w:t>
            </w:r>
          </w:p>
          <w:p w14:paraId="27833EBA">
            <w:pPr>
              <w:pStyle w:val="6"/>
              <w:spacing w:before="20" w:line="230" w:lineRule="auto"/>
              <w:ind w:left="359"/>
              <w:rPr>
                <w:sz w:val="19"/>
                <w:szCs w:val="19"/>
              </w:rPr>
            </w:pPr>
            <w:r>
              <w:rPr>
                <w:spacing w:val="5"/>
                <w:sz w:val="19"/>
                <w:szCs w:val="19"/>
              </w:rPr>
              <w:t>保护区</w:t>
            </w:r>
          </w:p>
        </w:tc>
        <w:tc>
          <w:tcPr>
            <w:tcW w:w="7253" w:type="dxa"/>
            <w:vAlign w:val="top"/>
          </w:tcPr>
          <w:p w14:paraId="1E08CE79">
            <w:pPr>
              <w:pStyle w:val="6"/>
              <w:spacing w:before="82" w:line="251" w:lineRule="auto"/>
              <w:ind w:left="16" w:right="46"/>
              <w:rPr>
                <w:sz w:val="19"/>
                <w:szCs w:val="19"/>
              </w:rPr>
            </w:pPr>
            <w:r>
              <w:rPr>
                <w:spacing w:val="10"/>
                <w:sz w:val="19"/>
                <w:szCs w:val="19"/>
              </w:rPr>
              <w:t>严格执行《中华人民共和国水污染防治法》</w:t>
            </w:r>
            <w:r>
              <w:rPr>
                <w:spacing w:val="9"/>
                <w:sz w:val="19"/>
                <w:szCs w:val="19"/>
              </w:rPr>
              <w:t>《重庆市水污染防治条例》等法律法规</w:t>
            </w:r>
            <w:r>
              <w:rPr>
                <w:sz w:val="19"/>
                <w:szCs w:val="19"/>
              </w:rPr>
              <w:t xml:space="preserve"> </w:t>
            </w:r>
            <w:r>
              <w:rPr>
                <w:spacing w:val="6"/>
                <w:sz w:val="19"/>
                <w:szCs w:val="19"/>
              </w:rPr>
              <w:t>及规范性文件要求。</w:t>
            </w:r>
          </w:p>
        </w:tc>
        <w:tc>
          <w:tcPr>
            <w:tcW w:w="2082" w:type="dxa"/>
            <w:vAlign w:val="top"/>
          </w:tcPr>
          <w:p w14:paraId="7F88874B">
            <w:pPr>
              <w:pStyle w:val="6"/>
              <w:spacing w:before="212" w:line="232" w:lineRule="auto"/>
              <w:ind w:left="763"/>
              <w:rPr>
                <w:sz w:val="19"/>
                <w:szCs w:val="19"/>
              </w:rPr>
            </w:pPr>
            <w:r>
              <w:rPr>
                <w:spacing w:val="3"/>
                <w:sz w:val="19"/>
                <w:szCs w:val="19"/>
              </w:rPr>
              <w:t>不涉及</w:t>
            </w:r>
          </w:p>
        </w:tc>
        <w:tc>
          <w:tcPr>
            <w:tcW w:w="1826" w:type="dxa"/>
            <w:tcBorders>
              <w:right w:val="single" w:color="000000" w:sz="10" w:space="0"/>
            </w:tcBorders>
            <w:vAlign w:val="top"/>
          </w:tcPr>
          <w:p w14:paraId="15F1119B">
            <w:pPr>
              <w:pStyle w:val="6"/>
              <w:spacing w:before="211" w:line="230" w:lineRule="auto"/>
              <w:ind w:left="731"/>
              <w:rPr>
                <w:sz w:val="19"/>
                <w:szCs w:val="19"/>
              </w:rPr>
            </w:pPr>
            <w:r>
              <w:rPr>
                <w:sz w:val="19"/>
                <w:szCs w:val="19"/>
              </w:rPr>
              <w:t>符合</w:t>
            </w:r>
          </w:p>
        </w:tc>
      </w:tr>
      <w:tr w14:paraId="7E4904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505" w:type="dxa"/>
            <w:vMerge w:val="continue"/>
            <w:tcBorders>
              <w:top w:val="nil"/>
              <w:left w:val="single" w:color="000000" w:sz="10" w:space="0"/>
              <w:bottom w:val="nil"/>
            </w:tcBorders>
            <w:vAlign w:val="top"/>
          </w:tcPr>
          <w:p w14:paraId="00117D30">
            <w:pPr>
              <w:rPr>
                <w:rFonts w:ascii="Arial"/>
                <w:sz w:val="21"/>
              </w:rPr>
            </w:pPr>
          </w:p>
        </w:tc>
        <w:tc>
          <w:tcPr>
            <w:tcW w:w="636" w:type="dxa"/>
            <w:vMerge w:val="continue"/>
            <w:tcBorders>
              <w:top w:val="nil"/>
              <w:bottom w:val="nil"/>
            </w:tcBorders>
            <w:vAlign w:val="top"/>
          </w:tcPr>
          <w:p w14:paraId="65A87BA6">
            <w:pPr>
              <w:rPr>
                <w:rFonts w:ascii="Arial"/>
                <w:sz w:val="21"/>
              </w:rPr>
            </w:pPr>
          </w:p>
        </w:tc>
        <w:tc>
          <w:tcPr>
            <w:tcW w:w="436" w:type="dxa"/>
            <w:vMerge w:val="continue"/>
            <w:tcBorders>
              <w:top w:val="nil"/>
              <w:bottom w:val="nil"/>
            </w:tcBorders>
            <w:vAlign w:val="top"/>
          </w:tcPr>
          <w:p w14:paraId="7ACFAA99">
            <w:pPr>
              <w:rPr>
                <w:rFonts w:ascii="Arial"/>
                <w:sz w:val="21"/>
              </w:rPr>
            </w:pPr>
          </w:p>
        </w:tc>
        <w:tc>
          <w:tcPr>
            <w:tcW w:w="1315" w:type="dxa"/>
            <w:vAlign w:val="top"/>
          </w:tcPr>
          <w:p w14:paraId="62E0B7F8">
            <w:pPr>
              <w:pStyle w:val="6"/>
              <w:spacing w:before="233" w:line="230" w:lineRule="auto"/>
              <w:ind w:left="196"/>
              <w:rPr>
                <w:sz w:val="19"/>
                <w:szCs w:val="19"/>
              </w:rPr>
            </w:pPr>
            <w:r>
              <w:rPr>
                <w:spacing w:val="-1"/>
                <w:sz w:val="19"/>
                <w:szCs w:val="19"/>
              </w:rPr>
              <w:t>自然保护区</w:t>
            </w:r>
          </w:p>
        </w:tc>
        <w:tc>
          <w:tcPr>
            <w:tcW w:w="7253" w:type="dxa"/>
            <w:vAlign w:val="top"/>
          </w:tcPr>
          <w:p w14:paraId="03E04C31">
            <w:pPr>
              <w:pStyle w:val="6"/>
              <w:spacing w:before="233" w:line="229" w:lineRule="auto"/>
              <w:ind w:left="16"/>
              <w:rPr>
                <w:sz w:val="19"/>
                <w:szCs w:val="19"/>
              </w:rPr>
            </w:pPr>
            <w:r>
              <w:rPr>
                <w:spacing w:val="9"/>
                <w:sz w:val="19"/>
                <w:szCs w:val="19"/>
              </w:rPr>
              <w:t>严格执行《中华人民共和国自然保护区条例》等法律法规及规范性文件要求。</w:t>
            </w:r>
          </w:p>
        </w:tc>
        <w:tc>
          <w:tcPr>
            <w:tcW w:w="2082" w:type="dxa"/>
            <w:vAlign w:val="top"/>
          </w:tcPr>
          <w:p w14:paraId="04350717">
            <w:pPr>
              <w:pStyle w:val="6"/>
              <w:spacing w:before="233" w:line="232" w:lineRule="auto"/>
              <w:ind w:left="763"/>
              <w:rPr>
                <w:sz w:val="19"/>
                <w:szCs w:val="19"/>
              </w:rPr>
            </w:pPr>
            <w:r>
              <w:rPr>
                <w:spacing w:val="3"/>
                <w:sz w:val="19"/>
                <w:szCs w:val="19"/>
              </w:rPr>
              <w:t>不涉及</w:t>
            </w:r>
          </w:p>
        </w:tc>
        <w:tc>
          <w:tcPr>
            <w:tcW w:w="1826" w:type="dxa"/>
            <w:tcBorders>
              <w:right w:val="single" w:color="000000" w:sz="10" w:space="0"/>
            </w:tcBorders>
            <w:vAlign w:val="top"/>
          </w:tcPr>
          <w:p w14:paraId="2676C128">
            <w:pPr>
              <w:pStyle w:val="6"/>
              <w:spacing w:before="233" w:line="230" w:lineRule="auto"/>
              <w:ind w:left="731"/>
              <w:rPr>
                <w:sz w:val="19"/>
                <w:szCs w:val="19"/>
              </w:rPr>
            </w:pPr>
            <w:r>
              <w:rPr>
                <w:sz w:val="19"/>
                <w:szCs w:val="19"/>
              </w:rPr>
              <w:t>符合</w:t>
            </w:r>
          </w:p>
        </w:tc>
      </w:tr>
      <w:tr w14:paraId="3308C2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505" w:type="dxa"/>
            <w:vMerge w:val="continue"/>
            <w:tcBorders>
              <w:top w:val="nil"/>
              <w:left w:val="single" w:color="000000" w:sz="10" w:space="0"/>
              <w:bottom w:val="nil"/>
            </w:tcBorders>
            <w:vAlign w:val="top"/>
          </w:tcPr>
          <w:p w14:paraId="6847AE06">
            <w:pPr>
              <w:rPr>
                <w:rFonts w:ascii="Arial"/>
                <w:sz w:val="21"/>
              </w:rPr>
            </w:pPr>
          </w:p>
        </w:tc>
        <w:tc>
          <w:tcPr>
            <w:tcW w:w="636" w:type="dxa"/>
            <w:vMerge w:val="continue"/>
            <w:tcBorders>
              <w:top w:val="nil"/>
              <w:bottom w:val="nil"/>
            </w:tcBorders>
            <w:vAlign w:val="top"/>
          </w:tcPr>
          <w:p w14:paraId="4D83FC21">
            <w:pPr>
              <w:rPr>
                <w:rFonts w:ascii="Arial"/>
                <w:sz w:val="21"/>
              </w:rPr>
            </w:pPr>
          </w:p>
        </w:tc>
        <w:tc>
          <w:tcPr>
            <w:tcW w:w="436" w:type="dxa"/>
            <w:vMerge w:val="continue"/>
            <w:tcBorders>
              <w:top w:val="nil"/>
              <w:bottom w:val="nil"/>
            </w:tcBorders>
            <w:vAlign w:val="top"/>
          </w:tcPr>
          <w:p w14:paraId="471A6FC4">
            <w:pPr>
              <w:rPr>
                <w:rFonts w:ascii="Arial"/>
                <w:sz w:val="21"/>
              </w:rPr>
            </w:pPr>
          </w:p>
        </w:tc>
        <w:tc>
          <w:tcPr>
            <w:tcW w:w="1315" w:type="dxa"/>
            <w:vAlign w:val="top"/>
          </w:tcPr>
          <w:p w14:paraId="23777E20">
            <w:pPr>
              <w:spacing w:line="314" w:lineRule="auto"/>
              <w:rPr>
                <w:rFonts w:ascii="Arial"/>
                <w:sz w:val="21"/>
              </w:rPr>
            </w:pPr>
          </w:p>
          <w:p w14:paraId="1EBE3798">
            <w:pPr>
              <w:pStyle w:val="6"/>
              <w:spacing w:before="62" w:line="231" w:lineRule="auto"/>
              <w:ind w:left="262"/>
              <w:rPr>
                <w:sz w:val="19"/>
                <w:szCs w:val="19"/>
              </w:rPr>
            </w:pPr>
            <w:r>
              <w:rPr>
                <w:spacing w:val="5"/>
                <w:sz w:val="19"/>
                <w:szCs w:val="19"/>
              </w:rPr>
              <w:t>森林公园</w:t>
            </w:r>
          </w:p>
        </w:tc>
        <w:tc>
          <w:tcPr>
            <w:tcW w:w="7253" w:type="dxa"/>
            <w:vAlign w:val="top"/>
          </w:tcPr>
          <w:p w14:paraId="0A14C74F">
            <w:pPr>
              <w:pStyle w:val="6"/>
              <w:spacing w:before="248" w:line="251" w:lineRule="auto"/>
              <w:ind w:left="20" w:right="46" w:hanging="4"/>
              <w:rPr>
                <w:sz w:val="19"/>
                <w:szCs w:val="19"/>
              </w:rPr>
            </w:pPr>
            <w:r>
              <w:rPr>
                <w:spacing w:val="10"/>
                <w:sz w:val="19"/>
                <w:szCs w:val="19"/>
              </w:rPr>
              <w:t>严格执行《中华人民共和国森林法》《国家</w:t>
            </w:r>
            <w:r>
              <w:rPr>
                <w:spacing w:val="9"/>
                <w:sz w:val="19"/>
                <w:szCs w:val="19"/>
              </w:rPr>
              <w:t>级自然公园管理办法（试行）》等法律</w:t>
            </w:r>
            <w:r>
              <w:rPr>
                <w:sz w:val="19"/>
                <w:szCs w:val="19"/>
              </w:rPr>
              <w:t xml:space="preserve"> </w:t>
            </w:r>
            <w:r>
              <w:rPr>
                <w:spacing w:val="7"/>
                <w:sz w:val="19"/>
                <w:szCs w:val="19"/>
              </w:rPr>
              <w:t>法规及规范性文件要求。</w:t>
            </w:r>
          </w:p>
        </w:tc>
        <w:tc>
          <w:tcPr>
            <w:tcW w:w="2082" w:type="dxa"/>
            <w:vAlign w:val="top"/>
          </w:tcPr>
          <w:p w14:paraId="5BD462DA">
            <w:pPr>
              <w:spacing w:line="314" w:lineRule="auto"/>
              <w:rPr>
                <w:rFonts w:ascii="Arial"/>
                <w:sz w:val="21"/>
              </w:rPr>
            </w:pPr>
          </w:p>
          <w:p w14:paraId="5FB3D3A3">
            <w:pPr>
              <w:pStyle w:val="6"/>
              <w:spacing w:before="62" w:line="232" w:lineRule="auto"/>
              <w:ind w:left="763"/>
              <w:rPr>
                <w:sz w:val="19"/>
                <w:szCs w:val="19"/>
              </w:rPr>
            </w:pPr>
            <w:r>
              <w:rPr>
                <w:spacing w:val="3"/>
                <w:sz w:val="19"/>
                <w:szCs w:val="19"/>
              </w:rPr>
              <w:t>不涉及</w:t>
            </w:r>
          </w:p>
        </w:tc>
        <w:tc>
          <w:tcPr>
            <w:tcW w:w="1826" w:type="dxa"/>
            <w:tcBorders>
              <w:right w:val="single" w:color="000000" w:sz="10" w:space="0"/>
            </w:tcBorders>
            <w:vAlign w:val="top"/>
          </w:tcPr>
          <w:p w14:paraId="52E7E0AD">
            <w:pPr>
              <w:spacing w:line="314" w:lineRule="auto"/>
              <w:rPr>
                <w:rFonts w:ascii="Arial"/>
                <w:sz w:val="21"/>
              </w:rPr>
            </w:pPr>
          </w:p>
          <w:p w14:paraId="4C635ACD">
            <w:pPr>
              <w:pStyle w:val="6"/>
              <w:spacing w:before="61" w:line="230" w:lineRule="auto"/>
              <w:ind w:left="731"/>
              <w:rPr>
                <w:sz w:val="19"/>
                <w:szCs w:val="19"/>
              </w:rPr>
            </w:pPr>
            <w:r>
              <w:rPr>
                <w:sz w:val="19"/>
                <w:szCs w:val="19"/>
              </w:rPr>
              <w:t>符合</w:t>
            </w:r>
          </w:p>
        </w:tc>
      </w:tr>
      <w:tr w14:paraId="20EBE1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505" w:type="dxa"/>
            <w:vMerge w:val="continue"/>
            <w:tcBorders>
              <w:top w:val="nil"/>
              <w:left w:val="single" w:color="000000" w:sz="10" w:space="0"/>
              <w:bottom w:val="nil"/>
            </w:tcBorders>
            <w:vAlign w:val="top"/>
          </w:tcPr>
          <w:p w14:paraId="61F3A0A1">
            <w:pPr>
              <w:rPr>
                <w:rFonts w:ascii="Arial"/>
                <w:sz w:val="21"/>
              </w:rPr>
            </w:pPr>
          </w:p>
        </w:tc>
        <w:tc>
          <w:tcPr>
            <w:tcW w:w="636" w:type="dxa"/>
            <w:vMerge w:val="continue"/>
            <w:tcBorders>
              <w:top w:val="nil"/>
              <w:bottom w:val="nil"/>
            </w:tcBorders>
            <w:vAlign w:val="top"/>
          </w:tcPr>
          <w:p w14:paraId="587857BF">
            <w:pPr>
              <w:rPr>
                <w:rFonts w:ascii="Arial"/>
                <w:sz w:val="21"/>
              </w:rPr>
            </w:pPr>
          </w:p>
        </w:tc>
        <w:tc>
          <w:tcPr>
            <w:tcW w:w="436" w:type="dxa"/>
            <w:vMerge w:val="continue"/>
            <w:tcBorders>
              <w:top w:val="nil"/>
              <w:bottom w:val="nil"/>
            </w:tcBorders>
            <w:vAlign w:val="top"/>
          </w:tcPr>
          <w:p w14:paraId="3CF0851A">
            <w:pPr>
              <w:rPr>
                <w:rFonts w:ascii="Arial"/>
                <w:sz w:val="21"/>
              </w:rPr>
            </w:pPr>
          </w:p>
        </w:tc>
        <w:tc>
          <w:tcPr>
            <w:tcW w:w="1315" w:type="dxa"/>
            <w:vAlign w:val="top"/>
          </w:tcPr>
          <w:p w14:paraId="689D1A34">
            <w:pPr>
              <w:pStyle w:val="6"/>
              <w:spacing w:before="220" w:line="232" w:lineRule="auto"/>
              <w:ind w:left="262"/>
              <w:rPr>
                <w:sz w:val="19"/>
                <w:szCs w:val="19"/>
              </w:rPr>
            </w:pPr>
            <w:r>
              <w:rPr>
                <w:spacing w:val="5"/>
                <w:sz w:val="19"/>
                <w:szCs w:val="19"/>
              </w:rPr>
              <w:t>湿地公园</w:t>
            </w:r>
          </w:p>
        </w:tc>
        <w:tc>
          <w:tcPr>
            <w:tcW w:w="7253" w:type="dxa"/>
            <w:vAlign w:val="top"/>
          </w:tcPr>
          <w:p w14:paraId="411BFA31">
            <w:pPr>
              <w:pStyle w:val="6"/>
              <w:spacing w:before="90" w:line="251" w:lineRule="auto"/>
              <w:ind w:left="16" w:right="5"/>
              <w:rPr>
                <w:sz w:val="19"/>
                <w:szCs w:val="19"/>
              </w:rPr>
            </w:pPr>
            <w:r>
              <w:rPr>
                <w:spacing w:val="5"/>
                <w:sz w:val="19"/>
                <w:szCs w:val="19"/>
              </w:rPr>
              <w:t>严格执行《中华人民共和国湿地保护法》《国家级自然公园管理办法（试行）》《国</w:t>
            </w:r>
            <w:r>
              <w:rPr>
                <w:spacing w:val="9"/>
                <w:sz w:val="19"/>
                <w:szCs w:val="19"/>
              </w:rPr>
              <w:t xml:space="preserve"> 家湿地公园管理办法》《重庆市湿地保护条例》等法律法规及规范性文件要求。</w:t>
            </w:r>
          </w:p>
        </w:tc>
        <w:tc>
          <w:tcPr>
            <w:tcW w:w="2082" w:type="dxa"/>
            <w:vAlign w:val="top"/>
          </w:tcPr>
          <w:p w14:paraId="43B7E7D0">
            <w:pPr>
              <w:pStyle w:val="6"/>
              <w:spacing w:before="220" w:line="232" w:lineRule="auto"/>
              <w:ind w:left="763"/>
              <w:rPr>
                <w:sz w:val="19"/>
                <w:szCs w:val="19"/>
              </w:rPr>
            </w:pPr>
            <w:r>
              <w:rPr>
                <w:spacing w:val="3"/>
                <w:sz w:val="19"/>
                <w:szCs w:val="19"/>
              </w:rPr>
              <w:t>不涉及</w:t>
            </w:r>
          </w:p>
        </w:tc>
        <w:tc>
          <w:tcPr>
            <w:tcW w:w="1826" w:type="dxa"/>
            <w:tcBorders>
              <w:right w:val="single" w:color="000000" w:sz="10" w:space="0"/>
            </w:tcBorders>
            <w:vAlign w:val="top"/>
          </w:tcPr>
          <w:p w14:paraId="1E75BB5D">
            <w:pPr>
              <w:pStyle w:val="6"/>
              <w:spacing w:before="219" w:line="230" w:lineRule="auto"/>
              <w:ind w:left="731"/>
              <w:rPr>
                <w:sz w:val="19"/>
                <w:szCs w:val="19"/>
              </w:rPr>
            </w:pPr>
            <w:r>
              <w:rPr>
                <w:sz w:val="19"/>
                <w:szCs w:val="19"/>
              </w:rPr>
              <w:t>符合</w:t>
            </w:r>
          </w:p>
        </w:tc>
      </w:tr>
      <w:tr w14:paraId="5CF18D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505" w:type="dxa"/>
            <w:vMerge w:val="continue"/>
            <w:tcBorders>
              <w:top w:val="nil"/>
              <w:left w:val="single" w:color="000000" w:sz="10" w:space="0"/>
              <w:bottom w:val="nil"/>
            </w:tcBorders>
            <w:vAlign w:val="top"/>
          </w:tcPr>
          <w:p w14:paraId="0581E09B">
            <w:pPr>
              <w:rPr>
                <w:rFonts w:ascii="Arial"/>
                <w:sz w:val="21"/>
              </w:rPr>
            </w:pPr>
          </w:p>
        </w:tc>
        <w:tc>
          <w:tcPr>
            <w:tcW w:w="636" w:type="dxa"/>
            <w:vMerge w:val="continue"/>
            <w:tcBorders>
              <w:top w:val="nil"/>
              <w:bottom w:val="nil"/>
            </w:tcBorders>
            <w:vAlign w:val="top"/>
          </w:tcPr>
          <w:p w14:paraId="36269A16">
            <w:pPr>
              <w:rPr>
                <w:rFonts w:ascii="Arial"/>
                <w:sz w:val="21"/>
              </w:rPr>
            </w:pPr>
          </w:p>
        </w:tc>
        <w:tc>
          <w:tcPr>
            <w:tcW w:w="436" w:type="dxa"/>
            <w:vMerge w:val="continue"/>
            <w:tcBorders>
              <w:top w:val="nil"/>
              <w:bottom w:val="nil"/>
            </w:tcBorders>
            <w:vAlign w:val="top"/>
          </w:tcPr>
          <w:p w14:paraId="2DBD26CC">
            <w:pPr>
              <w:rPr>
                <w:rFonts w:ascii="Arial"/>
                <w:sz w:val="21"/>
              </w:rPr>
            </w:pPr>
          </w:p>
        </w:tc>
        <w:tc>
          <w:tcPr>
            <w:tcW w:w="1315" w:type="dxa"/>
            <w:vAlign w:val="top"/>
          </w:tcPr>
          <w:p w14:paraId="030E073F">
            <w:pPr>
              <w:pStyle w:val="6"/>
              <w:spacing w:before="93" w:line="232" w:lineRule="auto"/>
              <w:ind w:left="260"/>
              <w:rPr>
                <w:sz w:val="19"/>
                <w:szCs w:val="19"/>
              </w:rPr>
            </w:pPr>
            <w:r>
              <w:rPr>
                <w:spacing w:val="6"/>
                <w:sz w:val="19"/>
                <w:szCs w:val="19"/>
              </w:rPr>
              <w:t>地质公园</w:t>
            </w:r>
          </w:p>
        </w:tc>
        <w:tc>
          <w:tcPr>
            <w:tcW w:w="7253" w:type="dxa"/>
            <w:vAlign w:val="top"/>
          </w:tcPr>
          <w:p w14:paraId="51C446F5">
            <w:pPr>
              <w:pStyle w:val="6"/>
              <w:spacing w:before="93" w:line="229" w:lineRule="auto"/>
              <w:ind w:left="16"/>
              <w:rPr>
                <w:sz w:val="19"/>
                <w:szCs w:val="19"/>
              </w:rPr>
            </w:pPr>
            <w:r>
              <w:rPr>
                <w:spacing w:val="9"/>
                <w:sz w:val="19"/>
                <w:szCs w:val="19"/>
              </w:rPr>
              <w:t>严格执行《国家级自然公园管理办法（试行）》等地质公园相关规范性文件要求。</w:t>
            </w:r>
          </w:p>
        </w:tc>
        <w:tc>
          <w:tcPr>
            <w:tcW w:w="2082" w:type="dxa"/>
            <w:vAlign w:val="top"/>
          </w:tcPr>
          <w:p w14:paraId="10A62B7B">
            <w:pPr>
              <w:pStyle w:val="6"/>
              <w:spacing w:before="93" w:line="232" w:lineRule="auto"/>
              <w:ind w:left="763"/>
              <w:rPr>
                <w:sz w:val="19"/>
                <w:szCs w:val="19"/>
              </w:rPr>
            </w:pPr>
            <w:r>
              <w:rPr>
                <w:spacing w:val="3"/>
                <w:sz w:val="19"/>
                <w:szCs w:val="19"/>
              </w:rPr>
              <w:t>不涉及</w:t>
            </w:r>
          </w:p>
        </w:tc>
        <w:tc>
          <w:tcPr>
            <w:tcW w:w="1826" w:type="dxa"/>
            <w:tcBorders>
              <w:right w:val="single" w:color="000000" w:sz="10" w:space="0"/>
            </w:tcBorders>
            <w:vAlign w:val="top"/>
          </w:tcPr>
          <w:p w14:paraId="022C0A04">
            <w:pPr>
              <w:pStyle w:val="6"/>
              <w:spacing w:before="93" w:line="230" w:lineRule="auto"/>
              <w:ind w:left="731"/>
              <w:rPr>
                <w:sz w:val="19"/>
                <w:szCs w:val="19"/>
              </w:rPr>
            </w:pPr>
            <w:r>
              <w:rPr>
                <w:sz w:val="19"/>
                <w:szCs w:val="19"/>
              </w:rPr>
              <w:t>符合</w:t>
            </w:r>
          </w:p>
        </w:tc>
      </w:tr>
      <w:tr w14:paraId="0B3E86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7" w:hRule="atLeast"/>
        </w:trPr>
        <w:tc>
          <w:tcPr>
            <w:tcW w:w="505" w:type="dxa"/>
            <w:vMerge w:val="continue"/>
            <w:tcBorders>
              <w:top w:val="nil"/>
              <w:left w:val="single" w:color="000000" w:sz="10" w:space="0"/>
              <w:bottom w:val="nil"/>
            </w:tcBorders>
            <w:vAlign w:val="top"/>
          </w:tcPr>
          <w:p w14:paraId="1D1CA186">
            <w:pPr>
              <w:rPr>
                <w:rFonts w:ascii="Arial"/>
                <w:sz w:val="21"/>
              </w:rPr>
            </w:pPr>
          </w:p>
        </w:tc>
        <w:tc>
          <w:tcPr>
            <w:tcW w:w="636" w:type="dxa"/>
            <w:vMerge w:val="continue"/>
            <w:tcBorders>
              <w:top w:val="nil"/>
              <w:bottom w:val="nil"/>
            </w:tcBorders>
            <w:vAlign w:val="top"/>
          </w:tcPr>
          <w:p w14:paraId="4A2C0CE7">
            <w:pPr>
              <w:rPr>
                <w:rFonts w:ascii="Arial"/>
                <w:sz w:val="21"/>
              </w:rPr>
            </w:pPr>
          </w:p>
        </w:tc>
        <w:tc>
          <w:tcPr>
            <w:tcW w:w="436" w:type="dxa"/>
            <w:vMerge w:val="continue"/>
            <w:tcBorders>
              <w:top w:val="nil"/>
              <w:bottom w:val="nil"/>
            </w:tcBorders>
            <w:vAlign w:val="top"/>
          </w:tcPr>
          <w:p w14:paraId="348F3170">
            <w:pPr>
              <w:rPr>
                <w:rFonts w:ascii="Arial"/>
                <w:sz w:val="21"/>
              </w:rPr>
            </w:pPr>
          </w:p>
        </w:tc>
        <w:tc>
          <w:tcPr>
            <w:tcW w:w="1315" w:type="dxa"/>
            <w:vAlign w:val="top"/>
          </w:tcPr>
          <w:p w14:paraId="38AAB393">
            <w:pPr>
              <w:spacing w:line="325" w:lineRule="auto"/>
              <w:rPr>
                <w:rFonts w:ascii="Arial"/>
                <w:sz w:val="21"/>
              </w:rPr>
            </w:pPr>
          </w:p>
          <w:p w14:paraId="113D25F5">
            <w:pPr>
              <w:pStyle w:val="6"/>
              <w:spacing w:before="62" w:line="230" w:lineRule="auto"/>
              <w:ind w:left="70"/>
              <w:rPr>
                <w:sz w:val="19"/>
                <w:szCs w:val="19"/>
              </w:rPr>
            </w:pPr>
            <w:r>
              <w:rPr>
                <w:spacing w:val="5"/>
                <w:sz w:val="19"/>
                <w:szCs w:val="19"/>
              </w:rPr>
              <w:t>生态保护红线</w:t>
            </w:r>
          </w:p>
        </w:tc>
        <w:tc>
          <w:tcPr>
            <w:tcW w:w="7253" w:type="dxa"/>
            <w:vAlign w:val="top"/>
          </w:tcPr>
          <w:p w14:paraId="732ECF0B">
            <w:pPr>
              <w:pStyle w:val="6"/>
              <w:spacing w:before="131" w:line="251" w:lineRule="auto"/>
              <w:ind w:left="20" w:right="46" w:hanging="4"/>
              <w:jc w:val="both"/>
              <w:rPr>
                <w:sz w:val="19"/>
                <w:szCs w:val="19"/>
              </w:rPr>
            </w:pPr>
            <w:r>
              <w:rPr>
                <w:spacing w:val="10"/>
                <w:sz w:val="19"/>
                <w:szCs w:val="19"/>
              </w:rPr>
              <w:t>严格执行《关于在国土空间规划中统筹划定</w:t>
            </w:r>
            <w:r>
              <w:rPr>
                <w:spacing w:val="9"/>
                <w:sz w:val="19"/>
                <w:szCs w:val="19"/>
              </w:rPr>
              <w:t>落实三条控制线的指导意见》《关于加</w:t>
            </w:r>
            <w:r>
              <w:rPr>
                <w:sz w:val="19"/>
                <w:szCs w:val="19"/>
              </w:rPr>
              <w:t xml:space="preserve"> </w:t>
            </w:r>
            <w:r>
              <w:rPr>
                <w:spacing w:val="9"/>
                <w:sz w:val="19"/>
                <w:szCs w:val="19"/>
              </w:rPr>
              <w:t>强生态保护红线管理的通知（试行）》《关于加强生态保护红线实施管理的通知》</w:t>
            </w:r>
            <w:r>
              <w:rPr>
                <w:spacing w:val="2"/>
                <w:sz w:val="19"/>
                <w:szCs w:val="19"/>
              </w:rPr>
              <w:t xml:space="preserve"> </w:t>
            </w:r>
            <w:r>
              <w:rPr>
                <w:spacing w:val="7"/>
                <w:sz w:val="19"/>
                <w:szCs w:val="19"/>
              </w:rPr>
              <w:t>等法律法规及规范性文件要求。</w:t>
            </w:r>
          </w:p>
        </w:tc>
        <w:tc>
          <w:tcPr>
            <w:tcW w:w="2082" w:type="dxa"/>
            <w:vAlign w:val="top"/>
          </w:tcPr>
          <w:p w14:paraId="37518A27">
            <w:pPr>
              <w:spacing w:line="326" w:lineRule="auto"/>
              <w:rPr>
                <w:rFonts w:ascii="Arial"/>
                <w:sz w:val="21"/>
              </w:rPr>
            </w:pPr>
          </w:p>
          <w:p w14:paraId="7CA71092">
            <w:pPr>
              <w:pStyle w:val="6"/>
              <w:spacing w:before="61" w:line="232" w:lineRule="auto"/>
              <w:ind w:left="763"/>
              <w:rPr>
                <w:sz w:val="19"/>
                <w:szCs w:val="19"/>
              </w:rPr>
            </w:pPr>
            <w:r>
              <w:rPr>
                <w:spacing w:val="3"/>
                <w:sz w:val="19"/>
                <w:szCs w:val="19"/>
              </w:rPr>
              <w:t>不涉及</w:t>
            </w:r>
          </w:p>
        </w:tc>
        <w:tc>
          <w:tcPr>
            <w:tcW w:w="1826" w:type="dxa"/>
            <w:tcBorders>
              <w:right w:val="single" w:color="000000" w:sz="10" w:space="0"/>
            </w:tcBorders>
            <w:vAlign w:val="top"/>
          </w:tcPr>
          <w:p w14:paraId="5254A942">
            <w:pPr>
              <w:spacing w:line="325" w:lineRule="auto"/>
              <w:rPr>
                <w:rFonts w:ascii="Arial"/>
                <w:sz w:val="21"/>
              </w:rPr>
            </w:pPr>
          </w:p>
          <w:p w14:paraId="2F7E12EE">
            <w:pPr>
              <w:pStyle w:val="6"/>
              <w:spacing w:before="62" w:line="230" w:lineRule="auto"/>
              <w:ind w:left="731"/>
              <w:rPr>
                <w:sz w:val="19"/>
                <w:szCs w:val="19"/>
              </w:rPr>
            </w:pPr>
            <w:r>
              <w:rPr>
                <w:sz w:val="19"/>
                <w:szCs w:val="19"/>
              </w:rPr>
              <w:t>符合</w:t>
            </w:r>
          </w:p>
        </w:tc>
      </w:tr>
      <w:tr w14:paraId="66ECB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505" w:type="dxa"/>
            <w:vMerge w:val="continue"/>
            <w:tcBorders>
              <w:top w:val="nil"/>
              <w:left w:val="single" w:color="000000" w:sz="10" w:space="0"/>
              <w:bottom w:val="nil"/>
            </w:tcBorders>
            <w:vAlign w:val="top"/>
          </w:tcPr>
          <w:p w14:paraId="2E6F852C">
            <w:pPr>
              <w:rPr>
                <w:rFonts w:ascii="Arial"/>
                <w:sz w:val="21"/>
              </w:rPr>
            </w:pPr>
          </w:p>
        </w:tc>
        <w:tc>
          <w:tcPr>
            <w:tcW w:w="636" w:type="dxa"/>
            <w:vMerge w:val="continue"/>
            <w:tcBorders>
              <w:top w:val="nil"/>
              <w:bottom w:val="nil"/>
            </w:tcBorders>
            <w:vAlign w:val="top"/>
          </w:tcPr>
          <w:p w14:paraId="362CE403">
            <w:pPr>
              <w:rPr>
                <w:rFonts w:ascii="Arial"/>
                <w:sz w:val="21"/>
              </w:rPr>
            </w:pPr>
          </w:p>
        </w:tc>
        <w:tc>
          <w:tcPr>
            <w:tcW w:w="436" w:type="dxa"/>
            <w:vMerge w:val="continue"/>
            <w:tcBorders>
              <w:top w:val="nil"/>
              <w:bottom w:val="nil"/>
            </w:tcBorders>
            <w:vAlign w:val="top"/>
          </w:tcPr>
          <w:p w14:paraId="6EBDF141">
            <w:pPr>
              <w:rPr>
                <w:rFonts w:ascii="Arial"/>
                <w:sz w:val="21"/>
              </w:rPr>
            </w:pPr>
          </w:p>
        </w:tc>
        <w:tc>
          <w:tcPr>
            <w:tcW w:w="1315" w:type="dxa"/>
            <w:vAlign w:val="top"/>
          </w:tcPr>
          <w:p w14:paraId="3E049DCE">
            <w:pPr>
              <w:pStyle w:val="6"/>
              <w:spacing w:before="224" w:line="231" w:lineRule="auto"/>
              <w:ind w:left="160"/>
              <w:rPr>
                <w:sz w:val="19"/>
                <w:szCs w:val="19"/>
              </w:rPr>
            </w:pPr>
            <w:r>
              <w:rPr>
                <w:spacing w:val="6"/>
                <w:sz w:val="19"/>
                <w:szCs w:val="19"/>
              </w:rPr>
              <w:t>风景名胜区</w:t>
            </w:r>
          </w:p>
        </w:tc>
        <w:tc>
          <w:tcPr>
            <w:tcW w:w="7253" w:type="dxa"/>
            <w:vAlign w:val="top"/>
          </w:tcPr>
          <w:p w14:paraId="7EA00280">
            <w:pPr>
              <w:pStyle w:val="6"/>
              <w:spacing w:before="94" w:line="252" w:lineRule="auto"/>
              <w:ind w:left="18" w:right="46" w:hanging="2"/>
              <w:rPr>
                <w:sz w:val="19"/>
                <w:szCs w:val="19"/>
              </w:rPr>
            </w:pPr>
            <w:r>
              <w:rPr>
                <w:spacing w:val="10"/>
                <w:sz w:val="19"/>
                <w:szCs w:val="19"/>
              </w:rPr>
              <w:t>严格执行《风景名胜区条例》《重庆市风景</w:t>
            </w:r>
            <w:r>
              <w:rPr>
                <w:spacing w:val="9"/>
                <w:sz w:val="19"/>
                <w:szCs w:val="19"/>
              </w:rPr>
              <w:t>名胜区条例》等法律法规及规范性文件</w:t>
            </w:r>
            <w:r>
              <w:rPr>
                <w:sz w:val="19"/>
                <w:szCs w:val="19"/>
              </w:rPr>
              <w:t xml:space="preserve"> 要求。</w:t>
            </w:r>
          </w:p>
        </w:tc>
        <w:tc>
          <w:tcPr>
            <w:tcW w:w="2082" w:type="dxa"/>
            <w:vAlign w:val="top"/>
          </w:tcPr>
          <w:p w14:paraId="78863B81">
            <w:pPr>
              <w:pStyle w:val="6"/>
              <w:spacing w:before="224" w:line="232" w:lineRule="auto"/>
              <w:ind w:left="763"/>
              <w:rPr>
                <w:sz w:val="19"/>
                <w:szCs w:val="19"/>
              </w:rPr>
            </w:pPr>
            <w:r>
              <w:rPr>
                <w:spacing w:val="3"/>
                <w:sz w:val="19"/>
                <w:szCs w:val="19"/>
              </w:rPr>
              <w:t>不涉及</w:t>
            </w:r>
          </w:p>
        </w:tc>
        <w:tc>
          <w:tcPr>
            <w:tcW w:w="1826" w:type="dxa"/>
            <w:tcBorders>
              <w:right w:val="single" w:color="000000" w:sz="10" w:space="0"/>
            </w:tcBorders>
            <w:vAlign w:val="top"/>
          </w:tcPr>
          <w:p w14:paraId="66E4B187">
            <w:pPr>
              <w:pStyle w:val="6"/>
              <w:spacing w:before="224" w:line="230" w:lineRule="auto"/>
              <w:ind w:left="731"/>
              <w:rPr>
                <w:sz w:val="19"/>
                <w:szCs w:val="19"/>
              </w:rPr>
            </w:pPr>
            <w:r>
              <w:rPr>
                <w:sz w:val="19"/>
                <w:szCs w:val="19"/>
              </w:rPr>
              <w:t>符合</w:t>
            </w:r>
          </w:p>
        </w:tc>
      </w:tr>
      <w:tr w14:paraId="7A5256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35" w:hRule="atLeast"/>
        </w:trPr>
        <w:tc>
          <w:tcPr>
            <w:tcW w:w="505" w:type="dxa"/>
            <w:vMerge w:val="continue"/>
            <w:tcBorders>
              <w:top w:val="nil"/>
              <w:left w:val="single" w:color="000000" w:sz="10" w:space="0"/>
              <w:bottom w:val="nil"/>
            </w:tcBorders>
            <w:vAlign w:val="top"/>
          </w:tcPr>
          <w:p w14:paraId="43E91801">
            <w:pPr>
              <w:rPr>
                <w:rFonts w:ascii="Arial"/>
                <w:sz w:val="21"/>
              </w:rPr>
            </w:pPr>
          </w:p>
        </w:tc>
        <w:tc>
          <w:tcPr>
            <w:tcW w:w="636" w:type="dxa"/>
            <w:vMerge w:val="continue"/>
            <w:tcBorders>
              <w:top w:val="nil"/>
            </w:tcBorders>
            <w:vAlign w:val="top"/>
          </w:tcPr>
          <w:p w14:paraId="45806680">
            <w:pPr>
              <w:rPr>
                <w:rFonts w:ascii="Arial"/>
                <w:sz w:val="21"/>
              </w:rPr>
            </w:pPr>
          </w:p>
        </w:tc>
        <w:tc>
          <w:tcPr>
            <w:tcW w:w="436" w:type="dxa"/>
            <w:vMerge w:val="continue"/>
            <w:tcBorders>
              <w:top w:val="nil"/>
            </w:tcBorders>
            <w:vAlign w:val="top"/>
          </w:tcPr>
          <w:p w14:paraId="3FB1FA0A">
            <w:pPr>
              <w:rPr>
                <w:rFonts w:ascii="Arial"/>
                <w:sz w:val="21"/>
              </w:rPr>
            </w:pPr>
          </w:p>
        </w:tc>
        <w:tc>
          <w:tcPr>
            <w:tcW w:w="1315" w:type="dxa"/>
            <w:vAlign w:val="top"/>
          </w:tcPr>
          <w:p w14:paraId="2ABE8DF6">
            <w:pPr>
              <w:pStyle w:val="6"/>
              <w:spacing w:before="98" w:line="232" w:lineRule="auto"/>
              <w:ind w:left="61"/>
              <w:rPr>
                <w:sz w:val="19"/>
                <w:szCs w:val="19"/>
              </w:rPr>
            </w:pPr>
            <w:r>
              <w:rPr>
                <w:spacing w:val="7"/>
                <w:sz w:val="19"/>
                <w:szCs w:val="19"/>
              </w:rPr>
              <w:t>一般生态空间</w:t>
            </w:r>
          </w:p>
          <w:p w14:paraId="4664132F">
            <w:pPr>
              <w:pStyle w:val="6"/>
              <w:spacing w:before="20" w:line="230" w:lineRule="auto"/>
              <w:ind w:left="62"/>
              <w:rPr>
                <w:sz w:val="19"/>
                <w:szCs w:val="19"/>
              </w:rPr>
            </w:pPr>
            <w:r>
              <w:rPr>
                <w:spacing w:val="7"/>
                <w:sz w:val="19"/>
                <w:szCs w:val="19"/>
              </w:rPr>
              <w:t>（水源涵养功</w:t>
            </w:r>
          </w:p>
          <w:p w14:paraId="4D64672D">
            <w:pPr>
              <w:pStyle w:val="6"/>
              <w:spacing w:before="22" w:line="230" w:lineRule="auto"/>
              <w:ind w:left="70"/>
              <w:rPr>
                <w:sz w:val="19"/>
                <w:szCs w:val="19"/>
              </w:rPr>
            </w:pPr>
            <w:r>
              <w:rPr>
                <w:spacing w:val="5"/>
                <w:sz w:val="19"/>
                <w:szCs w:val="19"/>
              </w:rPr>
              <w:t>能区、水土保</w:t>
            </w:r>
          </w:p>
          <w:p w14:paraId="46B3A5A6">
            <w:pPr>
              <w:pStyle w:val="6"/>
              <w:spacing w:before="22" w:line="231" w:lineRule="auto"/>
              <w:ind w:left="59"/>
              <w:rPr>
                <w:sz w:val="19"/>
                <w:szCs w:val="19"/>
              </w:rPr>
            </w:pPr>
            <w:r>
              <w:rPr>
                <w:spacing w:val="10"/>
                <w:sz w:val="19"/>
                <w:szCs w:val="19"/>
              </w:rPr>
              <w:t>持功能区、生</w:t>
            </w:r>
          </w:p>
          <w:p w14:paraId="786189D0">
            <w:pPr>
              <w:pStyle w:val="6"/>
              <w:spacing w:before="22" w:line="228" w:lineRule="auto"/>
              <w:ind w:left="59"/>
              <w:rPr>
                <w:sz w:val="19"/>
                <w:szCs w:val="19"/>
              </w:rPr>
            </w:pPr>
            <w:r>
              <w:rPr>
                <w:spacing w:val="7"/>
                <w:sz w:val="19"/>
                <w:szCs w:val="19"/>
              </w:rPr>
              <w:t>物多样性维护</w:t>
            </w:r>
          </w:p>
          <w:p w14:paraId="419D8C75">
            <w:pPr>
              <w:pStyle w:val="6"/>
              <w:spacing w:before="23" w:line="231" w:lineRule="auto"/>
              <w:ind w:left="62"/>
              <w:rPr>
                <w:sz w:val="19"/>
                <w:szCs w:val="19"/>
              </w:rPr>
            </w:pPr>
            <w:r>
              <w:rPr>
                <w:spacing w:val="7"/>
                <w:sz w:val="19"/>
                <w:szCs w:val="19"/>
              </w:rPr>
              <w:t>功能区、水土</w:t>
            </w:r>
          </w:p>
          <w:p w14:paraId="254B2CDC">
            <w:pPr>
              <w:pStyle w:val="6"/>
              <w:spacing w:before="24" w:line="252" w:lineRule="auto"/>
              <w:ind w:left="158" w:right="101" w:hanging="100"/>
              <w:rPr>
                <w:sz w:val="19"/>
                <w:szCs w:val="19"/>
              </w:rPr>
            </w:pPr>
            <w:r>
              <w:rPr>
                <w:spacing w:val="1"/>
                <w:sz w:val="19"/>
                <w:szCs w:val="19"/>
              </w:rPr>
              <w:t>流失敏感区、</w:t>
            </w:r>
            <w:r>
              <w:rPr>
                <w:spacing w:val="3"/>
                <w:sz w:val="19"/>
                <w:szCs w:val="19"/>
              </w:rPr>
              <w:t xml:space="preserve"> </w:t>
            </w:r>
            <w:r>
              <w:rPr>
                <w:spacing w:val="7"/>
                <w:sz w:val="19"/>
                <w:szCs w:val="19"/>
              </w:rPr>
              <w:t>石漠化敏感</w:t>
            </w:r>
          </w:p>
          <w:p w14:paraId="3324B393">
            <w:pPr>
              <w:pStyle w:val="6"/>
              <w:spacing w:line="242" w:lineRule="auto"/>
              <w:ind w:left="476"/>
              <w:rPr>
                <w:sz w:val="19"/>
                <w:szCs w:val="19"/>
              </w:rPr>
            </w:pPr>
            <w:r>
              <w:rPr>
                <w:spacing w:val="-11"/>
                <w:sz w:val="19"/>
                <w:szCs w:val="19"/>
              </w:rPr>
              <w:t>区）</w:t>
            </w:r>
          </w:p>
        </w:tc>
        <w:tc>
          <w:tcPr>
            <w:tcW w:w="7253" w:type="dxa"/>
            <w:vAlign w:val="top"/>
          </w:tcPr>
          <w:p w14:paraId="07DA3F64">
            <w:pPr>
              <w:spacing w:line="312" w:lineRule="auto"/>
              <w:rPr>
                <w:rFonts w:ascii="Arial"/>
                <w:sz w:val="21"/>
              </w:rPr>
            </w:pPr>
          </w:p>
          <w:p w14:paraId="25A536EE">
            <w:pPr>
              <w:spacing w:line="312" w:lineRule="auto"/>
              <w:rPr>
                <w:rFonts w:ascii="Arial"/>
                <w:sz w:val="21"/>
              </w:rPr>
            </w:pPr>
          </w:p>
          <w:p w14:paraId="232FB2B0">
            <w:pPr>
              <w:spacing w:line="313" w:lineRule="auto"/>
              <w:rPr>
                <w:rFonts w:ascii="Arial"/>
                <w:sz w:val="21"/>
              </w:rPr>
            </w:pPr>
          </w:p>
          <w:p w14:paraId="58CB42DE">
            <w:pPr>
              <w:pStyle w:val="6"/>
              <w:spacing w:before="62" w:line="252" w:lineRule="auto"/>
              <w:ind w:left="18" w:right="46" w:hanging="2"/>
              <w:rPr>
                <w:sz w:val="19"/>
                <w:szCs w:val="19"/>
              </w:rPr>
            </w:pPr>
            <w:r>
              <w:rPr>
                <w:spacing w:val="10"/>
                <w:sz w:val="19"/>
                <w:szCs w:val="19"/>
              </w:rPr>
              <w:t>严格控制开发建设活动范围和强度，落实生</w:t>
            </w:r>
            <w:r>
              <w:rPr>
                <w:spacing w:val="9"/>
                <w:sz w:val="19"/>
                <w:szCs w:val="19"/>
              </w:rPr>
              <w:t>态修复相关要求，确保生态系统结构稳</w:t>
            </w:r>
            <w:r>
              <w:rPr>
                <w:sz w:val="19"/>
                <w:szCs w:val="19"/>
              </w:rPr>
              <w:t xml:space="preserve"> </w:t>
            </w:r>
            <w:r>
              <w:rPr>
                <w:spacing w:val="7"/>
                <w:sz w:val="19"/>
                <w:szCs w:val="19"/>
              </w:rPr>
              <w:t>定和生态功能不退化。</w:t>
            </w:r>
          </w:p>
        </w:tc>
        <w:tc>
          <w:tcPr>
            <w:tcW w:w="2082" w:type="dxa"/>
            <w:vAlign w:val="top"/>
          </w:tcPr>
          <w:p w14:paraId="4FCBFDC9">
            <w:pPr>
              <w:spacing w:line="266" w:lineRule="auto"/>
              <w:rPr>
                <w:rFonts w:ascii="Arial"/>
                <w:sz w:val="21"/>
              </w:rPr>
            </w:pPr>
          </w:p>
          <w:p w14:paraId="681610D4">
            <w:pPr>
              <w:spacing w:line="266" w:lineRule="auto"/>
              <w:rPr>
                <w:rFonts w:ascii="Arial"/>
                <w:sz w:val="21"/>
              </w:rPr>
            </w:pPr>
          </w:p>
          <w:p w14:paraId="57D2FBBA">
            <w:pPr>
              <w:spacing w:line="267" w:lineRule="auto"/>
              <w:rPr>
                <w:rFonts w:ascii="Arial"/>
                <w:sz w:val="21"/>
              </w:rPr>
            </w:pPr>
          </w:p>
          <w:p w14:paraId="56BA8E9B">
            <w:pPr>
              <w:spacing w:line="267" w:lineRule="auto"/>
              <w:rPr>
                <w:rFonts w:ascii="Arial"/>
                <w:sz w:val="21"/>
              </w:rPr>
            </w:pPr>
          </w:p>
          <w:p w14:paraId="3F6D82EB">
            <w:pPr>
              <w:pStyle w:val="6"/>
              <w:spacing w:before="62" w:line="232" w:lineRule="auto"/>
              <w:ind w:left="763"/>
              <w:rPr>
                <w:sz w:val="19"/>
                <w:szCs w:val="19"/>
              </w:rPr>
            </w:pPr>
            <w:r>
              <w:rPr>
                <w:spacing w:val="3"/>
                <w:sz w:val="19"/>
                <w:szCs w:val="19"/>
              </w:rPr>
              <w:t>不涉及</w:t>
            </w:r>
          </w:p>
        </w:tc>
        <w:tc>
          <w:tcPr>
            <w:tcW w:w="1826" w:type="dxa"/>
            <w:tcBorders>
              <w:right w:val="single" w:color="000000" w:sz="10" w:space="0"/>
            </w:tcBorders>
            <w:vAlign w:val="top"/>
          </w:tcPr>
          <w:p w14:paraId="312B0B4F">
            <w:pPr>
              <w:spacing w:line="266" w:lineRule="auto"/>
              <w:rPr>
                <w:rFonts w:ascii="Arial"/>
                <w:sz w:val="21"/>
              </w:rPr>
            </w:pPr>
          </w:p>
          <w:p w14:paraId="7EBCE0E0">
            <w:pPr>
              <w:spacing w:line="266" w:lineRule="auto"/>
              <w:rPr>
                <w:rFonts w:ascii="Arial"/>
                <w:sz w:val="21"/>
              </w:rPr>
            </w:pPr>
          </w:p>
          <w:p w14:paraId="7B629ACC">
            <w:pPr>
              <w:spacing w:line="267" w:lineRule="auto"/>
              <w:rPr>
                <w:rFonts w:ascii="Arial"/>
                <w:sz w:val="21"/>
              </w:rPr>
            </w:pPr>
          </w:p>
          <w:p w14:paraId="6672A071">
            <w:pPr>
              <w:spacing w:line="267" w:lineRule="auto"/>
              <w:rPr>
                <w:rFonts w:ascii="Arial"/>
                <w:sz w:val="21"/>
              </w:rPr>
            </w:pPr>
          </w:p>
          <w:p w14:paraId="72A2BC68">
            <w:pPr>
              <w:pStyle w:val="6"/>
              <w:spacing w:before="62" w:line="230" w:lineRule="auto"/>
              <w:ind w:left="731"/>
              <w:rPr>
                <w:sz w:val="19"/>
                <w:szCs w:val="19"/>
              </w:rPr>
            </w:pPr>
            <w:r>
              <w:rPr>
                <w:sz w:val="19"/>
                <w:szCs w:val="19"/>
              </w:rPr>
              <w:t>符合</w:t>
            </w:r>
          </w:p>
        </w:tc>
      </w:tr>
      <w:tr w14:paraId="1DDB51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505" w:type="dxa"/>
            <w:vMerge w:val="continue"/>
            <w:tcBorders>
              <w:top w:val="nil"/>
              <w:left w:val="single" w:color="000000" w:sz="10" w:space="0"/>
              <w:bottom w:val="single" w:color="000000" w:sz="10" w:space="0"/>
            </w:tcBorders>
            <w:vAlign w:val="top"/>
          </w:tcPr>
          <w:p w14:paraId="3BF1FD73">
            <w:pPr>
              <w:rPr>
                <w:rFonts w:ascii="Arial"/>
                <w:sz w:val="21"/>
              </w:rPr>
            </w:pPr>
          </w:p>
        </w:tc>
        <w:tc>
          <w:tcPr>
            <w:tcW w:w="636" w:type="dxa"/>
            <w:tcBorders>
              <w:bottom w:val="single" w:color="000000" w:sz="10" w:space="0"/>
            </w:tcBorders>
            <w:vAlign w:val="top"/>
          </w:tcPr>
          <w:p w14:paraId="282592CA">
            <w:pPr>
              <w:pStyle w:val="6"/>
              <w:spacing w:before="103" w:line="233" w:lineRule="auto"/>
              <w:ind w:left="123"/>
              <w:rPr>
                <w:sz w:val="19"/>
                <w:szCs w:val="19"/>
              </w:rPr>
            </w:pPr>
            <w:r>
              <w:rPr>
                <w:spacing w:val="-1"/>
                <w:sz w:val="19"/>
                <w:szCs w:val="19"/>
              </w:rPr>
              <w:t>重点</w:t>
            </w:r>
          </w:p>
          <w:p w14:paraId="793B2394">
            <w:pPr>
              <w:pStyle w:val="6"/>
              <w:spacing w:before="19" w:line="232" w:lineRule="auto"/>
              <w:ind w:left="128"/>
              <w:rPr>
                <w:sz w:val="19"/>
                <w:szCs w:val="19"/>
              </w:rPr>
            </w:pPr>
            <w:r>
              <w:rPr>
                <w:spacing w:val="-3"/>
                <w:sz w:val="19"/>
                <w:szCs w:val="19"/>
              </w:rPr>
              <w:t>管控</w:t>
            </w:r>
          </w:p>
        </w:tc>
        <w:tc>
          <w:tcPr>
            <w:tcW w:w="1751" w:type="dxa"/>
            <w:gridSpan w:val="2"/>
            <w:tcBorders>
              <w:bottom w:val="single" w:color="000000" w:sz="10" w:space="0"/>
            </w:tcBorders>
            <w:vAlign w:val="top"/>
          </w:tcPr>
          <w:p w14:paraId="211374D1">
            <w:pPr>
              <w:pStyle w:val="6"/>
              <w:spacing w:before="233" w:line="229" w:lineRule="auto"/>
              <w:ind w:left="289"/>
              <w:rPr>
                <w:sz w:val="19"/>
                <w:szCs w:val="19"/>
              </w:rPr>
            </w:pPr>
            <w:r>
              <w:rPr>
                <w:spacing w:val="5"/>
                <w:sz w:val="19"/>
                <w:szCs w:val="19"/>
              </w:rPr>
              <w:t>空间布局约束</w:t>
            </w:r>
          </w:p>
        </w:tc>
        <w:tc>
          <w:tcPr>
            <w:tcW w:w="7253" w:type="dxa"/>
            <w:tcBorders>
              <w:bottom w:val="single" w:color="000000" w:sz="10" w:space="0"/>
            </w:tcBorders>
            <w:vAlign w:val="top"/>
          </w:tcPr>
          <w:p w14:paraId="1CAFF90B">
            <w:pPr>
              <w:pStyle w:val="6"/>
              <w:spacing w:before="104" w:line="251" w:lineRule="auto"/>
              <w:ind w:left="21" w:right="2" w:firstLine="2"/>
              <w:rPr>
                <w:sz w:val="19"/>
                <w:szCs w:val="19"/>
              </w:rPr>
            </w:pPr>
            <w:r>
              <w:rPr>
                <w:spacing w:val="8"/>
                <w:sz w:val="19"/>
                <w:szCs w:val="19"/>
              </w:rPr>
              <w:t>第一条 深入贯彻习近平生态文明思想，筑牢长江上游重要</w:t>
            </w:r>
            <w:r>
              <w:rPr>
                <w:spacing w:val="7"/>
                <w:sz w:val="19"/>
                <w:szCs w:val="19"/>
              </w:rPr>
              <w:t>生态屏障，推动优势区域</w:t>
            </w:r>
            <w:r>
              <w:rPr>
                <w:sz w:val="19"/>
                <w:szCs w:val="19"/>
              </w:rPr>
              <w:t xml:space="preserve"> </w:t>
            </w:r>
            <w:r>
              <w:rPr>
                <w:spacing w:val="11"/>
                <w:sz w:val="19"/>
                <w:szCs w:val="19"/>
              </w:rPr>
              <w:t>重点发展、生态功能区重点保护、城乡融合发展，</w:t>
            </w:r>
            <w:r>
              <w:rPr>
                <w:spacing w:val="10"/>
                <w:sz w:val="19"/>
                <w:szCs w:val="19"/>
              </w:rPr>
              <w:t>优化重点区域、流域、产业的空</w:t>
            </w:r>
          </w:p>
        </w:tc>
        <w:tc>
          <w:tcPr>
            <w:tcW w:w="2082" w:type="dxa"/>
            <w:tcBorders>
              <w:bottom w:val="single" w:color="000000" w:sz="10" w:space="0"/>
            </w:tcBorders>
            <w:vAlign w:val="top"/>
          </w:tcPr>
          <w:p w14:paraId="61C28934">
            <w:pPr>
              <w:pStyle w:val="6"/>
              <w:spacing w:before="233" w:line="232" w:lineRule="auto"/>
              <w:ind w:left="763"/>
              <w:rPr>
                <w:sz w:val="19"/>
                <w:szCs w:val="19"/>
              </w:rPr>
            </w:pPr>
            <w:r>
              <w:rPr>
                <w:spacing w:val="3"/>
                <w:sz w:val="19"/>
                <w:szCs w:val="19"/>
              </w:rPr>
              <w:t>不涉及</w:t>
            </w:r>
          </w:p>
        </w:tc>
        <w:tc>
          <w:tcPr>
            <w:tcW w:w="1826" w:type="dxa"/>
            <w:tcBorders>
              <w:bottom w:val="single" w:color="000000" w:sz="10" w:space="0"/>
              <w:right w:val="single" w:color="000000" w:sz="10" w:space="0"/>
            </w:tcBorders>
            <w:vAlign w:val="top"/>
          </w:tcPr>
          <w:p w14:paraId="7ADC5CAE">
            <w:pPr>
              <w:pStyle w:val="6"/>
              <w:spacing w:before="233" w:line="230" w:lineRule="auto"/>
              <w:ind w:left="731"/>
              <w:rPr>
                <w:sz w:val="19"/>
                <w:szCs w:val="19"/>
              </w:rPr>
            </w:pPr>
            <w:r>
              <w:rPr>
                <w:sz w:val="19"/>
                <w:szCs w:val="19"/>
              </w:rPr>
              <w:t>符合</w:t>
            </w:r>
          </w:p>
        </w:tc>
      </w:tr>
    </w:tbl>
    <w:p w14:paraId="4B7A5860">
      <w:pPr>
        <w:pStyle w:val="2"/>
        <w:spacing w:line="220" w:lineRule="exact"/>
        <w:rPr>
          <w:sz w:val="19"/>
        </w:rPr>
      </w:pPr>
    </w:p>
    <w:p w14:paraId="6FF63797">
      <w:pPr>
        <w:spacing w:line="220" w:lineRule="exact"/>
        <w:rPr>
          <w:sz w:val="19"/>
          <w:szCs w:val="19"/>
        </w:rPr>
        <w:sectPr>
          <w:headerReference r:id="rId89" w:type="default"/>
          <w:footerReference r:id="rId90" w:type="default"/>
          <w:pgSz w:w="16839" w:h="11906"/>
          <w:pgMar w:top="1116" w:right="1379" w:bottom="1480" w:left="1379" w:header="683" w:footer="1318" w:gutter="0"/>
          <w:cols w:space="720" w:num="1"/>
        </w:sectPr>
      </w:pPr>
    </w:p>
    <w:p w14:paraId="663E6967">
      <w:pPr>
        <w:spacing w:before="229"/>
      </w:pPr>
    </w:p>
    <w:tbl>
      <w:tblPr>
        <w:tblStyle w:val="5"/>
        <w:tblW w:w="1405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5"/>
        <w:gridCol w:w="636"/>
        <w:gridCol w:w="1751"/>
        <w:gridCol w:w="7253"/>
        <w:gridCol w:w="2082"/>
        <w:gridCol w:w="1826"/>
      </w:tblGrid>
      <w:tr w14:paraId="5240C7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8" w:hRule="atLeast"/>
        </w:trPr>
        <w:tc>
          <w:tcPr>
            <w:tcW w:w="505" w:type="dxa"/>
            <w:vMerge w:val="restart"/>
            <w:tcBorders>
              <w:top w:val="single" w:color="000000" w:sz="10" w:space="0"/>
              <w:left w:val="single" w:color="000000" w:sz="10" w:space="0"/>
              <w:bottom w:val="nil"/>
            </w:tcBorders>
            <w:vAlign w:val="top"/>
          </w:tcPr>
          <w:p w14:paraId="58CC4C1F">
            <w:pPr>
              <w:rPr>
                <w:rFonts w:ascii="Arial"/>
                <w:sz w:val="21"/>
              </w:rPr>
            </w:pPr>
          </w:p>
        </w:tc>
        <w:tc>
          <w:tcPr>
            <w:tcW w:w="636" w:type="dxa"/>
            <w:vMerge w:val="restart"/>
            <w:tcBorders>
              <w:top w:val="single" w:color="000000" w:sz="10" w:space="0"/>
              <w:bottom w:val="nil"/>
            </w:tcBorders>
            <w:vAlign w:val="top"/>
          </w:tcPr>
          <w:p w14:paraId="062319B9">
            <w:pPr>
              <w:pStyle w:val="6"/>
              <w:spacing w:before="65" w:line="230" w:lineRule="auto"/>
              <w:ind w:left="121"/>
              <w:rPr>
                <w:sz w:val="19"/>
                <w:szCs w:val="19"/>
              </w:rPr>
            </w:pPr>
            <w:r>
              <w:rPr>
                <w:sz w:val="19"/>
                <w:szCs w:val="19"/>
              </w:rPr>
              <w:t>单元</w:t>
            </w:r>
          </w:p>
        </w:tc>
        <w:tc>
          <w:tcPr>
            <w:tcW w:w="1751" w:type="dxa"/>
            <w:tcBorders>
              <w:top w:val="single" w:color="000000" w:sz="10" w:space="0"/>
            </w:tcBorders>
            <w:vAlign w:val="top"/>
          </w:tcPr>
          <w:p w14:paraId="449F4D3C">
            <w:pPr>
              <w:rPr>
                <w:rFonts w:ascii="Arial"/>
                <w:sz w:val="21"/>
              </w:rPr>
            </w:pPr>
          </w:p>
        </w:tc>
        <w:tc>
          <w:tcPr>
            <w:tcW w:w="7253" w:type="dxa"/>
            <w:tcBorders>
              <w:top w:val="single" w:color="000000" w:sz="10" w:space="0"/>
            </w:tcBorders>
            <w:vAlign w:val="top"/>
          </w:tcPr>
          <w:p w14:paraId="5AB76C5C">
            <w:pPr>
              <w:pStyle w:val="6"/>
              <w:spacing w:before="66" w:line="229" w:lineRule="auto"/>
              <w:ind w:left="34"/>
              <w:rPr>
                <w:sz w:val="19"/>
                <w:szCs w:val="19"/>
              </w:rPr>
            </w:pPr>
            <w:r>
              <w:rPr>
                <w:spacing w:val="-1"/>
                <w:sz w:val="19"/>
                <w:szCs w:val="19"/>
              </w:rPr>
              <w:t>间布局。</w:t>
            </w:r>
          </w:p>
          <w:p w14:paraId="13CE64DB">
            <w:pPr>
              <w:pStyle w:val="6"/>
              <w:spacing w:before="24" w:line="247" w:lineRule="auto"/>
              <w:ind w:left="15" w:firstLine="8"/>
              <w:rPr>
                <w:sz w:val="19"/>
                <w:szCs w:val="19"/>
              </w:rPr>
            </w:pPr>
            <w:r>
              <w:rPr>
                <w:spacing w:val="6"/>
                <w:sz w:val="19"/>
                <w:szCs w:val="19"/>
              </w:rPr>
              <w:t>第二条 禁止在长江干支流、重要湖泊岸线一公里范围内新建、扩建化工园区和化工</w:t>
            </w:r>
            <w:r>
              <w:rPr>
                <w:spacing w:val="4"/>
                <w:sz w:val="19"/>
                <w:szCs w:val="19"/>
              </w:rPr>
              <w:t xml:space="preserve"> </w:t>
            </w:r>
            <w:r>
              <w:rPr>
                <w:spacing w:val="5"/>
                <w:sz w:val="19"/>
                <w:szCs w:val="19"/>
              </w:rPr>
              <w:t>项目。禁止在长江干流岸线三公里范围内和重要支流岸线一公里范围内新建、改建、</w:t>
            </w:r>
            <w:r>
              <w:rPr>
                <w:spacing w:val="16"/>
                <w:sz w:val="19"/>
                <w:szCs w:val="19"/>
              </w:rPr>
              <w:t xml:space="preserve"> </w:t>
            </w:r>
            <w:r>
              <w:rPr>
                <w:spacing w:val="8"/>
                <w:sz w:val="19"/>
                <w:szCs w:val="19"/>
              </w:rPr>
              <w:t>扩建尾矿库、冶炼渣库、磷石膏库，</w:t>
            </w:r>
            <w:r>
              <w:rPr>
                <w:spacing w:val="-54"/>
                <w:sz w:val="19"/>
                <w:szCs w:val="19"/>
              </w:rPr>
              <w:t xml:space="preserve"> </w:t>
            </w:r>
            <w:r>
              <w:rPr>
                <w:spacing w:val="8"/>
                <w:sz w:val="19"/>
                <w:szCs w:val="19"/>
              </w:rPr>
              <w:t>以提升安全、生态环境保护水平为目的改建除</w:t>
            </w:r>
            <w:r>
              <w:rPr>
                <w:sz w:val="19"/>
                <w:szCs w:val="19"/>
              </w:rPr>
              <w:t xml:space="preserve"> </w:t>
            </w:r>
            <w:r>
              <w:rPr>
                <w:spacing w:val="9"/>
                <w:sz w:val="19"/>
                <w:szCs w:val="19"/>
              </w:rPr>
              <w:t>外。禁止在长江、嘉陵江、乌江岸线一公里范围内布局新建重化工、纸浆制造、印</w:t>
            </w:r>
            <w:r>
              <w:rPr>
                <w:spacing w:val="5"/>
                <w:sz w:val="19"/>
                <w:szCs w:val="19"/>
              </w:rPr>
              <w:t xml:space="preserve"> </w:t>
            </w:r>
            <w:r>
              <w:rPr>
                <w:spacing w:val="6"/>
                <w:sz w:val="19"/>
                <w:szCs w:val="19"/>
              </w:rPr>
              <w:t>染等存在环境风险的项目。</w:t>
            </w:r>
          </w:p>
          <w:p w14:paraId="1F2E0BE9">
            <w:pPr>
              <w:pStyle w:val="6"/>
              <w:spacing w:before="27" w:line="248" w:lineRule="auto"/>
              <w:ind w:left="14" w:right="3" w:firstLine="9"/>
              <w:rPr>
                <w:sz w:val="19"/>
                <w:szCs w:val="19"/>
              </w:rPr>
            </w:pPr>
            <w:r>
              <w:rPr>
                <w:spacing w:val="8"/>
                <w:sz w:val="19"/>
                <w:szCs w:val="19"/>
              </w:rPr>
              <w:t>第三条 禁止在合规园区外新建、扩建钢铁、石化、</w:t>
            </w:r>
            <w:r>
              <w:rPr>
                <w:spacing w:val="7"/>
                <w:sz w:val="19"/>
                <w:szCs w:val="19"/>
              </w:rPr>
              <w:t>化工、焦化、建材、有色、制浆</w:t>
            </w:r>
            <w:r>
              <w:rPr>
                <w:sz w:val="19"/>
                <w:szCs w:val="19"/>
              </w:rPr>
              <w:t xml:space="preserve"> </w:t>
            </w:r>
            <w:r>
              <w:rPr>
                <w:spacing w:val="11"/>
                <w:sz w:val="19"/>
                <w:szCs w:val="19"/>
              </w:rPr>
              <w:t>造纸等高污染项目（高污染项目严格按照《环境保护综合名录》</w:t>
            </w:r>
            <w:r>
              <w:rPr>
                <w:rFonts w:ascii="Times New Roman" w:hAnsi="Times New Roman" w:eastAsia="Times New Roman" w:cs="Times New Roman"/>
                <w:spacing w:val="11"/>
                <w:sz w:val="19"/>
                <w:szCs w:val="19"/>
              </w:rPr>
              <w:t>“</w:t>
            </w:r>
            <w:r>
              <w:rPr>
                <w:spacing w:val="11"/>
                <w:sz w:val="19"/>
                <w:szCs w:val="19"/>
              </w:rPr>
              <w:t>高污染</w:t>
            </w:r>
            <w:r>
              <w:rPr>
                <w:rFonts w:ascii="Times New Roman" w:hAnsi="Times New Roman" w:eastAsia="Times New Roman" w:cs="Times New Roman"/>
                <w:spacing w:val="11"/>
                <w:sz w:val="19"/>
                <w:szCs w:val="19"/>
              </w:rPr>
              <w:t>”</w:t>
            </w:r>
            <w:r>
              <w:rPr>
                <w:spacing w:val="11"/>
                <w:sz w:val="19"/>
                <w:szCs w:val="19"/>
              </w:rPr>
              <w:t>产品名录</w:t>
            </w:r>
            <w:r>
              <w:rPr>
                <w:spacing w:val="1"/>
                <w:sz w:val="19"/>
                <w:szCs w:val="19"/>
              </w:rPr>
              <w:t xml:space="preserve"> </w:t>
            </w:r>
            <w:r>
              <w:rPr>
                <w:spacing w:val="10"/>
                <w:sz w:val="19"/>
                <w:szCs w:val="19"/>
              </w:rPr>
              <w:t>执行）</w:t>
            </w:r>
            <w:r>
              <w:rPr>
                <w:spacing w:val="-52"/>
                <w:sz w:val="19"/>
                <w:szCs w:val="19"/>
              </w:rPr>
              <w:t xml:space="preserve"> </w:t>
            </w:r>
            <w:r>
              <w:rPr>
                <w:spacing w:val="10"/>
                <w:sz w:val="19"/>
                <w:szCs w:val="19"/>
              </w:rPr>
              <w:t>。禁止新建、扩建不符合国家石化、现代煤</w:t>
            </w:r>
            <w:r>
              <w:rPr>
                <w:spacing w:val="9"/>
                <w:sz w:val="19"/>
                <w:szCs w:val="19"/>
              </w:rPr>
              <w:t>化工等产业布局规划的项目。新</w:t>
            </w:r>
            <w:r>
              <w:rPr>
                <w:sz w:val="19"/>
                <w:szCs w:val="19"/>
              </w:rPr>
              <w:t xml:space="preserve"> </w:t>
            </w:r>
            <w:r>
              <w:rPr>
                <w:spacing w:val="11"/>
                <w:sz w:val="19"/>
                <w:szCs w:val="19"/>
              </w:rPr>
              <w:t>建、改建、扩建</w:t>
            </w:r>
            <w:r>
              <w:rPr>
                <w:rFonts w:ascii="Times New Roman" w:hAnsi="Times New Roman" w:eastAsia="Times New Roman" w:cs="Times New Roman"/>
                <w:spacing w:val="11"/>
                <w:sz w:val="19"/>
                <w:szCs w:val="19"/>
              </w:rPr>
              <w:t>“</w:t>
            </w:r>
            <w:r>
              <w:rPr>
                <w:spacing w:val="11"/>
                <w:sz w:val="19"/>
                <w:szCs w:val="19"/>
              </w:rPr>
              <w:t>两高</w:t>
            </w:r>
            <w:r>
              <w:rPr>
                <w:rFonts w:ascii="Times New Roman" w:hAnsi="Times New Roman" w:eastAsia="Times New Roman" w:cs="Times New Roman"/>
                <w:spacing w:val="11"/>
                <w:sz w:val="19"/>
                <w:szCs w:val="19"/>
              </w:rPr>
              <w:t>”</w:t>
            </w:r>
            <w:r>
              <w:rPr>
                <w:spacing w:val="11"/>
                <w:sz w:val="19"/>
                <w:szCs w:val="19"/>
              </w:rPr>
              <w:t>项目须符合生态环境保护法律法规和相关法定规划，满足重</w:t>
            </w:r>
            <w:r>
              <w:rPr>
                <w:spacing w:val="1"/>
                <w:sz w:val="19"/>
                <w:szCs w:val="19"/>
              </w:rPr>
              <w:t xml:space="preserve"> </w:t>
            </w:r>
            <w:r>
              <w:rPr>
                <w:spacing w:val="11"/>
                <w:sz w:val="19"/>
                <w:szCs w:val="19"/>
              </w:rPr>
              <w:t>点污染物排放总量控制、碳排放达峰目标、生态环境准入清单、相</w:t>
            </w:r>
            <w:r>
              <w:rPr>
                <w:spacing w:val="10"/>
                <w:sz w:val="19"/>
                <w:szCs w:val="19"/>
              </w:rPr>
              <w:t>关规划环评和相</w:t>
            </w:r>
            <w:r>
              <w:rPr>
                <w:sz w:val="19"/>
                <w:szCs w:val="19"/>
              </w:rPr>
              <w:t xml:space="preserve"> </w:t>
            </w:r>
            <w:r>
              <w:rPr>
                <w:spacing w:val="9"/>
                <w:sz w:val="19"/>
                <w:szCs w:val="19"/>
              </w:rPr>
              <w:t>应行业建设项目环境准入条件、环评文件审批原则要求。</w:t>
            </w:r>
          </w:p>
          <w:p w14:paraId="65CF66AE">
            <w:pPr>
              <w:pStyle w:val="6"/>
              <w:spacing w:before="20" w:line="247" w:lineRule="auto"/>
              <w:ind w:left="15" w:right="2" w:firstLine="8"/>
              <w:rPr>
                <w:sz w:val="19"/>
                <w:szCs w:val="19"/>
              </w:rPr>
            </w:pPr>
            <w:r>
              <w:rPr>
                <w:spacing w:val="6"/>
                <w:sz w:val="19"/>
                <w:szCs w:val="19"/>
              </w:rPr>
              <w:t>第四条 严把项目准入关</w:t>
            </w:r>
            <w:r>
              <w:rPr>
                <w:spacing w:val="-32"/>
                <w:sz w:val="19"/>
                <w:szCs w:val="19"/>
              </w:rPr>
              <w:t xml:space="preserve"> </w:t>
            </w:r>
            <w:r>
              <w:rPr>
                <w:spacing w:val="6"/>
                <w:sz w:val="19"/>
                <w:szCs w:val="19"/>
              </w:rPr>
              <w:t>口，对不符合要求的高耗能、高排放、低水平项目坚决不予</w:t>
            </w:r>
            <w:r>
              <w:rPr>
                <w:sz w:val="19"/>
                <w:szCs w:val="19"/>
              </w:rPr>
              <w:t xml:space="preserve"> </w:t>
            </w:r>
            <w:r>
              <w:rPr>
                <w:spacing w:val="10"/>
                <w:sz w:val="19"/>
                <w:szCs w:val="19"/>
              </w:rPr>
              <w:t>准入。除在安全或者产业布局等方面有特殊要求</w:t>
            </w:r>
            <w:r>
              <w:rPr>
                <w:spacing w:val="9"/>
                <w:sz w:val="19"/>
                <w:szCs w:val="19"/>
              </w:rPr>
              <w:t>的项目外，新建有污染物排放的工</w:t>
            </w:r>
            <w:r>
              <w:rPr>
                <w:sz w:val="19"/>
                <w:szCs w:val="19"/>
              </w:rPr>
              <w:t xml:space="preserve"> </w:t>
            </w:r>
            <w:r>
              <w:rPr>
                <w:spacing w:val="10"/>
                <w:sz w:val="19"/>
                <w:szCs w:val="19"/>
              </w:rPr>
              <w:t>业项目应当进入工业集聚区。新建化工项目应当</w:t>
            </w:r>
            <w:r>
              <w:rPr>
                <w:spacing w:val="9"/>
                <w:sz w:val="19"/>
                <w:szCs w:val="19"/>
              </w:rPr>
              <w:t>进入全市统一布局的化工产业集聚</w:t>
            </w:r>
            <w:r>
              <w:rPr>
                <w:sz w:val="19"/>
                <w:szCs w:val="19"/>
              </w:rPr>
              <w:t xml:space="preserve"> </w:t>
            </w:r>
            <w:r>
              <w:rPr>
                <w:spacing w:val="9"/>
                <w:sz w:val="19"/>
                <w:szCs w:val="19"/>
              </w:rPr>
              <w:t>区。鼓励现有工业项目、化工项目分别搬入工业集聚区、化工产业集聚区。</w:t>
            </w:r>
          </w:p>
          <w:p w14:paraId="57465DBF">
            <w:pPr>
              <w:pStyle w:val="6"/>
              <w:spacing w:before="25"/>
              <w:ind w:left="15" w:right="2" w:firstLine="8"/>
              <w:rPr>
                <w:sz w:val="19"/>
                <w:szCs w:val="19"/>
              </w:rPr>
            </w:pPr>
            <w:r>
              <w:rPr>
                <w:spacing w:val="8"/>
                <w:sz w:val="19"/>
                <w:szCs w:val="19"/>
              </w:rPr>
              <w:t>第五条 新建、扩建有色金属冶炼、电镀、铅蓄电池等企业</w:t>
            </w:r>
            <w:r>
              <w:rPr>
                <w:spacing w:val="7"/>
                <w:sz w:val="19"/>
                <w:szCs w:val="19"/>
              </w:rPr>
              <w:t>应布设在依法合规设立并</w:t>
            </w:r>
            <w:r>
              <w:rPr>
                <w:sz w:val="19"/>
                <w:szCs w:val="19"/>
              </w:rPr>
              <w:t xml:space="preserve"> </w:t>
            </w:r>
            <w:r>
              <w:rPr>
                <w:spacing w:val="7"/>
                <w:sz w:val="19"/>
                <w:szCs w:val="19"/>
              </w:rPr>
              <w:t>经过规划环评的产业园区。</w:t>
            </w:r>
          </w:p>
          <w:p w14:paraId="38F2D98F">
            <w:pPr>
              <w:pStyle w:val="6"/>
              <w:spacing w:before="21" w:line="246" w:lineRule="auto"/>
              <w:ind w:left="23" w:right="46"/>
              <w:rPr>
                <w:sz w:val="19"/>
                <w:szCs w:val="19"/>
              </w:rPr>
            </w:pPr>
            <w:r>
              <w:rPr>
                <w:spacing w:val="9"/>
                <w:sz w:val="19"/>
                <w:szCs w:val="19"/>
              </w:rPr>
              <w:t>第六条 涉及环境防护距离的工业企业或项目应通过选址或调整布局原则上将环境</w:t>
            </w:r>
            <w:r>
              <w:rPr>
                <w:spacing w:val="2"/>
                <w:sz w:val="19"/>
                <w:szCs w:val="19"/>
              </w:rPr>
              <w:t xml:space="preserve">  </w:t>
            </w:r>
            <w:r>
              <w:rPr>
                <w:spacing w:val="9"/>
                <w:sz w:val="19"/>
                <w:szCs w:val="19"/>
              </w:rPr>
              <w:t>防护距离控制在园区边界或用地红线内，提前合理规划项目地块布置、预防环境风</w:t>
            </w:r>
            <w:r>
              <w:rPr>
                <w:spacing w:val="11"/>
                <w:sz w:val="19"/>
                <w:szCs w:val="19"/>
              </w:rPr>
              <w:t xml:space="preserve"> </w:t>
            </w:r>
            <w:r>
              <w:rPr>
                <w:spacing w:val="-7"/>
                <w:sz w:val="19"/>
                <w:szCs w:val="19"/>
              </w:rPr>
              <w:t>险。</w:t>
            </w:r>
          </w:p>
          <w:p w14:paraId="75C047E0">
            <w:pPr>
              <w:pStyle w:val="6"/>
              <w:spacing w:before="22" w:line="245" w:lineRule="auto"/>
              <w:ind w:left="14" w:right="5" w:firstLine="9"/>
              <w:rPr>
                <w:sz w:val="19"/>
                <w:szCs w:val="19"/>
              </w:rPr>
            </w:pPr>
            <w:r>
              <w:rPr>
                <w:spacing w:val="8"/>
                <w:sz w:val="19"/>
                <w:szCs w:val="19"/>
              </w:rPr>
              <w:t>第七条 有效规范空间开发秩序，合理控制空间开发</w:t>
            </w:r>
            <w:r>
              <w:rPr>
                <w:spacing w:val="7"/>
                <w:sz w:val="19"/>
                <w:szCs w:val="19"/>
              </w:rPr>
              <w:t>强度，切实将各类开发活动限制</w:t>
            </w:r>
            <w:r>
              <w:rPr>
                <w:sz w:val="19"/>
                <w:szCs w:val="19"/>
              </w:rPr>
              <w:t xml:space="preserve"> </w:t>
            </w:r>
            <w:r>
              <w:rPr>
                <w:spacing w:val="10"/>
                <w:sz w:val="19"/>
                <w:szCs w:val="19"/>
              </w:rPr>
              <w:t>在资源环境承载能力之内，为构建高效协调可持</w:t>
            </w:r>
            <w:r>
              <w:rPr>
                <w:spacing w:val="9"/>
                <w:sz w:val="19"/>
                <w:szCs w:val="19"/>
              </w:rPr>
              <w:t>续的国土空间开发格局奠定坚实基</w:t>
            </w:r>
            <w:r>
              <w:rPr>
                <w:sz w:val="19"/>
                <w:szCs w:val="19"/>
              </w:rPr>
              <w:t xml:space="preserve"> </w:t>
            </w:r>
            <w:r>
              <w:rPr>
                <w:spacing w:val="-2"/>
                <w:sz w:val="19"/>
                <w:szCs w:val="19"/>
              </w:rPr>
              <w:t>础。</w:t>
            </w:r>
          </w:p>
        </w:tc>
        <w:tc>
          <w:tcPr>
            <w:tcW w:w="2082" w:type="dxa"/>
            <w:tcBorders>
              <w:top w:val="single" w:color="000000" w:sz="10" w:space="0"/>
            </w:tcBorders>
            <w:vAlign w:val="top"/>
          </w:tcPr>
          <w:p w14:paraId="018DCAAF">
            <w:pPr>
              <w:rPr>
                <w:rFonts w:ascii="Arial"/>
                <w:sz w:val="21"/>
              </w:rPr>
            </w:pPr>
          </w:p>
        </w:tc>
        <w:tc>
          <w:tcPr>
            <w:tcW w:w="1826" w:type="dxa"/>
            <w:tcBorders>
              <w:top w:val="single" w:color="000000" w:sz="10" w:space="0"/>
              <w:right w:val="single" w:color="000000" w:sz="10" w:space="0"/>
            </w:tcBorders>
            <w:vAlign w:val="top"/>
          </w:tcPr>
          <w:p w14:paraId="19A55BAC">
            <w:pPr>
              <w:rPr>
                <w:rFonts w:ascii="Arial"/>
                <w:sz w:val="21"/>
              </w:rPr>
            </w:pPr>
          </w:p>
        </w:tc>
      </w:tr>
      <w:tr w14:paraId="27FB9C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7" w:hRule="atLeast"/>
        </w:trPr>
        <w:tc>
          <w:tcPr>
            <w:tcW w:w="505" w:type="dxa"/>
            <w:vMerge w:val="continue"/>
            <w:tcBorders>
              <w:top w:val="nil"/>
              <w:left w:val="single" w:color="000000" w:sz="10" w:space="0"/>
              <w:bottom w:val="single" w:color="000000" w:sz="10" w:space="0"/>
            </w:tcBorders>
            <w:vAlign w:val="top"/>
          </w:tcPr>
          <w:p w14:paraId="1F4E9B19">
            <w:pPr>
              <w:rPr>
                <w:rFonts w:ascii="Arial"/>
                <w:sz w:val="21"/>
              </w:rPr>
            </w:pPr>
          </w:p>
        </w:tc>
        <w:tc>
          <w:tcPr>
            <w:tcW w:w="636" w:type="dxa"/>
            <w:vMerge w:val="continue"/>
            <w:tcBorders>
              <w:top w:val="nil"/>
              <w:bottom w:val="single" w:color="000000" w:sz="10" w:space="0"/>
            </w:tcBorders>
            <w:vAlign w:val="top"/>
          </w:tcPr>
          <w:p w14:paraId="42050A26">
            <w:pPr>
              <w:rPr>
                <w:rFonts w:ascii="Arial"/>
                <w:sz w:val="21"/>
              </w:rPr>
            </w:pPr>
          </w:p>
        </w:tc>
        <w:tc>
          <w:tcPr>
            <w:tcW w:w="1751" w:type="dxa"/>
            <w:tcBorders>
              <w:bottom w:val="single" w:color="000000" w:sz="10" w:space="0"/>
            </w:tcBorders>
            <w:vAlign w:val="top"/>
          </w:tcPr>
          <w:p w14:paraId="1A701DEE">
            <w:pPr>
              <w:spacing w:line="313" w:lineRule="auto"/>
              <w:rPr>
                <w:rFonts w:ascii="Arial"/>
                <w:sz w:val="21"/>
              </w:rPr>
            </w:pPr>
          </w:p>
          <w:p w14:paraId="338972BA">
            <w:pPr>
              <w:spacing w:line="313" w:lineRule="auto"/>
              <w:rPr>
                <w:rFonts w:ascii="Arial"/>
                <w:sz w:val="21"/>
              </w:rPr>
            </w:pPr>
          </w:p>
          <w:p w14:paraId="6FF45D0B">
            <w:pPr>
              <w:spacing w:line="314" w:lineRule="auto"/>
              <w:rPr>
                <w:rFonts w:ascii="Arial"/>
                <w:sz w:val="21"/>
              </w:rPr>
            </w:pPr>
          </w:p>
          <w:p w14:paraId="268B76B8">
            <w:pPr>
              <w:pStyle w:val="6"/>
              <w:spacing w:before="62" w:line="230" w:lineRule="auto"/>
              <w:ind w:left="181"/>
              <w:rPr>
                <w:sz w:val="19"/>
                <w:szCs w:val="19"/>
              </w:rPr>
            </w:pPr>
            <w:r>
              <w:rPr>
                <w:spacing w:val="7"/>
                <w:sz w:val="19"/>
                <w:szCs w:val="19"/>
              </w:rPr>
              <w:t>污染物排放管控</w:t>
            </w:r>
          </w:p>
        </w:tc>
        <w:tc>
          <w:tcPr>
            <w:tcW w:w="7253" w:type="dxa"/>
            <w:tcBorders>
              <w:bottom w:val="single" w:color="000000" w:sz="10" w:space="0"/>
            </w:tcBorders>
            <w:vAlign w:val="top"/>
          </w:tcPr>
          <w:p w14:paraId="75662AF5">
            <w:pPr>
              <w:pStyle w:val="6"/>
              <w:spacing w:before="99" w:line="249" w:lineRule="auto"/>
              <w:ind w:left="14" w:right="2" w:firstLine="9"/>
              <w:rPr>
                <w:sz w:val="19"/>
                <w:szCs w:val="19"/>
              </w:rPr>
            </w:pPr>
            <w:r>
              <w:rPr>
                <w:spacing w:val="8"/>
                <w:sz w:val="19"/>
                <w:szCs w:val="19"/>
              </w:rPr>
              <w:t>第八条 新建石化、煤化工、燃煤发电（含热电）、钢铁、</w:t>
            </w:r>
            <w:r>
              <w:rPr>
                <w:spacing w:val="7"/>
                <w:sz w:val="19"/>
                <w:szCs w:val="19"/>
              </w:rPr>
              <w:t>有色金属冶炼、制浆造纸</w:t>
            </w:r>
            <w:r>
              <w:rPr>
                <w:sz w:val="19"/>
                <w:szCs w:val="19"/>
              </w:rPr>
              <w:t xml:space="preserve"> </w:t>
            </w:r>
            <w:r>
              <w:rPr>
                <w:spacing w:val="10"/>
                <w:sz w:val="19"/>
                <w:szCs w:val="19"/>
              </w:rPr>
              <w:t>行业依据区域环境质量改善目标，制定配套区域</w:t>
            </w:r>
            <w:r>
              <w:rPr>
                <w:spacing w:val="9"/>
                <w:sz w:val="19"/>
                <w:szCs w:val="19"/>
              </w:rPr>
              <w:t>污染物削减方案，采取有效的污染</w:t>
            </w:r>
            <w:r>
              <w:rPr>
                <w:sz w:val="19"/>
                <w:szCs w:val="19"/>
              </w:rPr>
              <w:t xml:space="preserve"> </w:t>
            </w:r>
            <w:r>
              <w:rPr>
                <w:spacing w:val="10"/>
                <w:sz w:val="19"/>
                <w:szCs w:val="19"/>
              </w:rPr>
              <w:t>物区域削减措施，腾出足够的环境容量。严格按照国家及我市有关规定，对钢铁、</w:t>
            </w:r>
            <w:r>
              <w:rPr>
                <w:spacing w:val="4"/>
                <w:sz w:val="19"/>
                <w:szCs w:val="19"/>
              </w:rPr>
              <w:t xml:space="preserve"> </w:t>
            </w:r>
            <w:r>
              <w:rPr>
                <w:spacing w:val="7"/>
                <w:sz w:val="19"/>
                <w:szCs w:val="19"/>
              </w:rPr>
              <w:t>水泥熟料、平板玻璃、</w:t>
            </w:r>
            <w:r>
              <w:rPr>
                <w:spacing w:val="-46"/>
                <w:sz w:val="19"/>
                <w:szCs w:val="19"/>
              </w:rPr>
              <w:t xml:space="preserve"> </w:t>
            </w:r>
            <w:r>
              <w:rPr>
                <w:spacing w:val="7"/>
                <w:sz w:val="19"/>
                <w:szCs w:val="19"/>
              </w:rPr>
              <w:t>电解铝等行业新建、扩建项目实行产能等量或减量置换。</w:t>
            </w:r>
            <w:r>
              <w:rPr>
                <w:spacing w:val="-51"/>
                <w:sz w:val="19"/>
                <w:szCs w:val="19"/>
              </w:rPr>
              <w:t xml:space="preserve"> </w:t>
            </w:r>
            <w:r>
              <w:rPr>
                <w:spacing w:val="7"/>
                <w:sz w:val="19"/>
                <w:szCs w:val="19"/>
              </w:rPr>
              <w:t>国</w:t>
            </w:r>
            <w:r>
              <w:rPr>
                <w:sz w:val="19"/>
                <w:szCs w:val="19"/>
              </w:rPr>
              <w:t xml:space="preserve"> </w:t>
            </w:r>
            <w:r>
              <w:rPr>
                <w:spacing w:val="9"/>
                <w:sz w:val="19"/>
                <w:szCs w:val="19"/>
              </w:rPr>
              <w:t>家或地方已出台超低排放要求的</w:t>
            </w:r>
            <w:r>
              <w:rPr>
                <w:rFonts w:ascii="Times New Roman" w:hAnsi="Times New Roman" w:eastAsia="Times New Roman" w:cs="Times New Roman"/>
                <w:spacing w:val="9"/>
                <w:sz w:val="19"/>
                <w:szCs w:val="19"/>
              </w:rPr>
              <w:t>“</w:t>
            </w:r>
            <w:r>
              <w:rPr>
                <w:spacing w:val="9"/>
                <w:sz w:val="19"/>
                <w:szCs w:val="19"/>
              </w:rPr>
              <w:t>两高</w:t>
            </w:r>
            <w:r>
              <w:rPr>
                <w:rFonts w:ascii="Times New Roman" w:hAnsi="Times New Roman" w:eastAsia="Times New Roman" w:cs="Times New Roman"/>
                <w:spacing w:val="9"/>
                <w:sz w:val="19"/>
                <w:szCs w:val="19"/>
              </w:rPr>
              <w:t>”</w:t>
            </w:r>
            <w:r>
              <w:rPr>
                <w:spacing w:val="9"/>
                <w:sz w:val="19"/>
                <w:szCs w:val="19"/>
              </w:rPr>
              <w:t>行业建设项目应满足超低排放要求。加强水</w:t>
            </w:r>
            <w:r>
              <w:rPr>
                <w:spacing w:val="10"/>
                <w:sz w:val="19"/>
                <w:szCs w:val="19"/>
              </w:rPr>
              <w:t xml:space="preserve"> 泥和平板玻璃行业差别化管理，新改扩建项目严</w:t>
            </w:r>
            <w:r>
              <w:rPr>
                <w:spacing w:val="9"/>
                <w:sz w:val="19"/>
                <w:szCs w:val="19"/>
              </w:rPr>
              <w:t>格落实相关产业政策要求，满足能</w:t>
            </w:r>
            <w:r>
              <w:rPr>
                <w:sz w:val="19"/>
                <w:szCs w:val="19"/>
              </w:rPr>
              <w:t xml:space="preserve"> </w:t>
            </w:r>
            <w:r>
              <w:rPr>
                <w:spacing w:val="7"/>
                <w:sz w:val="19"/>
                <w:szCs w:val="19"/>
              </w:rPr>
              <w:t>效标杆水平、环保绩效</w:t>
            </w:r>
            <w:r>
              <w:rPr>
                <w:spacing w:val="-39"/>
                <w:sz w:val="19"/>
                <w:szCs w:val="19"/>
              </w:rPr>
              <w:t xml:space="preserve"> </w:t>
            </w:r>
            <w:r>
              <w:rPr>
                <w:rFonts w:ascii="Times New Roman" w:hAnsi="Times New Roman" w:eastAsia="Times New Roman" w:cs="Times New Roman"/>
                <w:spacing w:val="7"/>
                <w:sz w:val="19"/>
                <w:szCs w:val="19"/>
              </w:rPr>
              <w:t>A</w:t>
            </w:r>
            <w:r>
              <w:rPr>
                <w:rFonts w:ascii="Times New Roman" w:hAnsi="Times New Roman" w:eastAsia="Times New Roman" w:cs="Times New Roman"/>
                <w:spacing w:val="18"/>
                <w:w w:val="101"/>
                <w:sz w:val="19"/>
                <w:szCs w:val="19"/>
              </w:rPr>
              <w:t xml:space="preserve"> </w:t>
            </w:r>
            <w:r>
              <w:rPr>
                <w:spacing w:val="7"/>
                <w:sz w:val="19"/>
                <w:szCs w:val="19"/>
              </w:rPr>
              <w:t>级指标要求。</w:t>
            </w:r>
          </w:p>
          <w:p w14:paraId="45BE863E">
            <w:pPr>
              <w:pStyle w:val="6"/>
              <w:spacing w:before="22" w:line="231" w:lineRule="auto"/>
              <w:jc w:val="right"/>
              <w:rPr>
                <w:sz w:val="19"/>
                <w:szCs w:val="19"/>
              </w:rPr>
            </w:pPr>
            <w:r>
              <w:rPr>
                <w:spacing w:val="8"/>
                <w:sz w:val="19"/>
                <w:szCs w:val="19"/>
              </w:rPr>
              <w:t>第九条 严格落实国家及我市大气污染防控相关要求，对大气环境</w:t>
            </w:r>
            <w:r>
              <w:rPr>
                <w:spacing w:val="7"/>
                <w:sz w:val="19"/>
                <w:szCs w:val="19"/>
              </w:rPr>
              <w:t>质量未达标地区，</w:t>
            </w:r>
          </w:p>
        </w:tc>
        <w:tc>
          <w:tcPr>
            <w:tcW w:w="2082" w:type="dxa"/>
            <w:tcBorders>
              <w:bottom w:val="single" w:color="000000" w:sz="10" w:space="0"/>
            </w:tcBorders>
            <w:vAlign w:val="top"/>
          </w:tcPr>
          <w:p w14:paraId="170E61FA">
            <w:pPr>
              <w:pStyle w:val="6"/>
              <w:spacing w:before="101" w:line="252" w:lineRule="auto"/>
              <w:ind w:left="26" w:firstLine="9"/>
              <w:jc w:val="both"/>
              <w:rPr>
                <w:sz w:val="19"/>
                <w:szCs w:val="19"/>
              </w:rPr>
            </w:pPr>
            <w:r>
              <w:rPr>
                <w:spacing w:val="8"/>
                <w:sz w:val="19"/>
                <w:szCs w:val="19"/>
              </w:rPr>
              <w:t>除第九条外，其余不涉</w:t>
            </w:r>
            <w:r>
              <w:rPr>
                <w:sz w:val="19"/>
                <w:szCs w:val="19"/>
              </w:rPr>
              <w:t xml:space="preserve"> </w:t>
            </w:r>
            <w:r>
              <w:rPr>
                <w:spacing w:val="5"/>
                <w:sz w:val="19"/>
                <w:szCs w:val="19"/>
              </w:rPr>
              <w:t>及，本次评价的</w:t>
            </w:r>
            <w:r>
              <w:rPr>
                <w:spacing w:val="-32"/>
                <w:sz w:val="19"/>
                <w:szCs w:val="19"/>
              </w:rPr>
              <w:t xml:space="preserve"> </w:t>
            </w:r>
            <w:r>
              <w:rPr>
                <w:rFonts w:ascii="Times New Roman" w:hAnsi="Times New Roman" w:eastAsia="Times New Roman" w:cs="Times New Roman"/>
                <w:spacing w:val="5"/>
                <w:sz w:val="19"/>
                <w:szCs w:val="19"/>
              </w:rPr>
              <w:t>3</w:t>
            </w:r>
            <w:r>
              <w:rPr>
                <w:rFonts w:ascii="Times New Roman" w:hAnsi="Times New Roman" w:eastAsia="Times New Roman" w:cs="Times New Roman"/>
                <w:spacing w:val="21"/>
                <w:sz w:val="19"/>
                <w:szCs w:val="19"/>
              </w:rPr>
              <w:t xml:space="preserve"> </w:t>
            </w:r>
            <w:r>
              <w:rPr>
                <w:spacing w:val="5"/>
                <w:sz w:val="19"/>
                <w:szCs w:val="19"/>
              </w:rPr>
              <w:t>个勘</w:t>
            </w:r>
            <w:r>
              <w:rPr>
                <w:sz w:val="19"/>
                <w:szCs w:val="19"/>
              </w:rPr>
              <w:t xml:space="preserve"> </w:t>
            </w:r>
            <w:r>
              <w:rPr>
                <w:spacing w:val="3"/>
                <w:sz w:val="19"/>
                <w:szCs w:val="19"/>
              </w:rPr>
              <w:t>查区块和</w:t>
            </w:r>
            <w:r>
              <w:rPr>
                <w:spacing w:val="-12"/>
                <w:sz w:val="19"/>
                <w:szCs w:val="19"/>
              </w:rPr>
              <w:t xml:space="preserve"> </w:t>
            </w:r>
            <w:r>
              <w:rPr>
                <w:rFonts w:ascii="Times New Roman" w:hAnsi="Times New Roman" w:eastAsia="Times New Roman" w:cs="Times New Roman"/>
                <w:spacing w:val="3"/>
                <w:sz w:val="19"/>
                <w:szCs w:val="19"/>
              </w:rPr>
              <w:t>1</w:t>
            </w:r>
            <w:r>
              <w:rPr>
                <w:rFonts w:ascii="Times New Roman" w:hAnsi="Times New Roman" w:eastAsia="Times New Roman" w:cs="Times New Roman"/>
                <w:spacing w:val="21"/>
                <w:sz w:val="19"/>
                <w:szCs w:val="19"/>
              </w:rPr>
              <w:t xml:space="preserve"> </w:t>
            </w:r>
            <w:r>
              <w:rPr>
                <w:spacing w:val="3"/>
                <w:sz w:val="19"/>
                <w:szCs w:val="19"/>
              </w:rPr>
              <w:t>个开采区块</w:t>
            </w:r>
            <w:r>
              <w:rPr>
                <w:sz w:val="19"/>
                <w:szCs w:val="19"/>
              </w:rPr>
              <w:t xml:space="preserve"> </w:t>
            </w:r>
            <w:r>
              <w:rPr>
                <w:spacing w:val="9"/>
                <w:sz w:val="19"/>
                <w:szCs w:val="19"/>
              </w:rPr>
              <w:t>在勘查开采过程中应严</w:t>
            </w:r>
            <w:r>
              <w:rPr>
                <w:sz w:val="19"/>
                <w:szCs w:val="19"/>
              </w:rPr>
              <w:t xml:space="preserve"> </w:t>
            </w:r>
            <w:r>
              <w:rPr>
                <w:spacing w:val="9"/>
                <w:sz w:val="19"/>
                <w:szCs w:val="19"/>
              </w:rPr>
              <w:t>格落实大气污染防治措</w:t>
            </w:r>
            <w:r>
              <w:rPr>
                <w:sz w:val="19"/>
                <w:szCs w:val="19"/>
              </w:rPr>
              <w:t xml:space="preserve"> </w:t>
            </w:r>
            <w:r>
              <w:rPr>
                <w:spacing w:val="-4"/>
                <w:sz w:val="19"/>
                <w:szCs w:val="19"/>
              </w:rPr>
              <w:t>施，强化粉尘排放控制、</w:t>
            </w:r>
            <w:r>
              <w:rPr>
                <w:spacing w:val="3"/>
                <w:sz w:val="19"/>
                <w:szCs w:val="19"/>
              </w:rPr>
              <w:t xml:space="preserve"> </w:t>
            </w:r>
            <w:r>
              <w:rPr>
                <w:spacing w:val="9"/>
                <w:sz w:val="19"/>
                <w:szCs w:val="19"/>
              </w:rPr>
              <w:t>加强粉尘的收集、处理</w:t>
            </w:r>
            <w:r>
              <w:rPr>
                <w:sz w:val="19"/>
                <w:szCs w:val="19"/>
              </w:rPr>
              <w:t xml:space="preserve"> </w:t>
            </w:r>
            <w:r>
              <w:rPr>
                <w:spacing w:val="2"/>
                <w:sz w:val="19"/>
                <w:szCs w:val="19"/>
              </w:rPr>
              <w:t>及洒水降尘等措施。</w:t>
            </w:r>
          </w:p>
        </w:tc>
        <w:tc>
          <w:tcPr>
            <w:tcW w:w="1826" w:type="dxa"/>
            <w:tcBorders>
              <w:bottom w:val="single" w:color="000000" w:sz="10" w:space="0"/>
              <w:right w:val="single" w:color="000000" w:sz="10" w:space="0"/>
            </w:tcBorders>
            <w:vAlign w:val="top"/>
          </w:tcPr>
          <w:p w14:paraId="1961A28F">
            <w:pPr>
              <w:spacing w:line="313" w:lineRule="auto"/>
              <w:rPr>
                <w:rFonts w:ascii="Arial"/>
                <w:sz w:val="21"/>
              </w:rPr>
            </w:pPr>
          </w:p>
          <w:p w14:paraId="6F16AF9D">
            <w:pPr>
              <w:spacing w:line="313" w:lineRule="auto"/>
              <w:rPr>
                <w:rFonts w:ascii="Arial"/>
                <w:sz w:val="21"/>
              </w:rPr>
            </w:pPr>
          </w:p>
          <w:p w14:paraId="162E004D">
            <w:pPr>
              <w:spacing w:line="314" w:lineRule="auto"/>
              <w:rPr>
                <w:rFonts w:ascii="Arial"/>
                <w:sz w:val="21"/>
              </w:rPr>
            </w:pPr>
          </w:p>
          <w:p w14:paraId="586BE1F6">
            <w:pPr>
              <w:pStyle w:val="6"/>
              <w:spacing w:before="62" w:line="230" w:lineRule="auto"/>
              <w:ind w:left="731"/>
              <w:rPr>
                <w:sz w:val="19"/>
                <w:szCs w:val="19"/>
              </w:rPr>
            </w:pPr>
            <w:r>
              <w:rPr>
                <w:sz w:val="19"/>
                <w:szCs w:val="19"/>
              </w:rPr>
              <w:t>符合</w:t>
            </w:r>
          </w:p>
        </w:tc>
      </w:tr>
    </w:tbl>
    <w:p w14:paraId="2C670EB8">
      <w:pPr>
        <w:pStyle w:val="2"/>
      </w:pPr>
    </w:p>
    <w:p w14:paraId="506DC812">
      <w:pPr>
        <w:sectPr>
          <w:footerReference r:id="rId91" w:type="default"/>
          <w:pgSz w:w="16839" w:h="11906"/>
          <w:pgMar w:top="1116" w:right="1379" w:bottom="1477" w:left="1379" w:header="683" w:footer="1318" w:gutter="0"/>
          <w:cols w:space="720" w:num="1"/>
        </w:sectPr>
      </w:pPr>
    </w:p>
    <w:p w14:paraId="2F188795">
      <w:pPr>
        <w:spacing w:before="229"/>
      </w:pPr>
    </w:p>
    <w:tbl>
      <w:tblPr>
        <w:tblStyle w:val="5"/>
        <w:tblW w:w="1405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5"/>
        <w:gridCol w:w="636"/>
        <w:gridCol w:w="1751"/>
        <w:gridCol w:w="7253"/>
        <w:gridCol w:w="2082"/>
        <w:gridCol w:w="1826"/>
      </w:tblGrid>
      <w:tr w14:paraId="45E645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1" w:hRule="atLeast"/>
        </w:trPr>
        <w:tc>
          <w:tcPr>
            <w:tcW w:w="505" w:type="dxa"/>
            <w:vMerge w:val="restart"/>
            <w:tcBorders>
              <w:top w:val="single" w:color="000000" w:sz="10" w:space="0"/>
              <w:left w:val="single" w:color="000000" w:sz="10" w:space="0"/>
              <w:bottom w:val="nil"/>
            </w:tcBorders>
            <w:vAlign w:val="top"/>
          </w:tcPr>
          <w:p w14:paraId="09D3DE76">
            <w:pPr>
              <w:rPr>
                <w:rFonts w:ascii="Arial"/>
                <w:sz w:val="21"/>
              </w:rPr>
            </w:pPr>
          </w:p>
        </w:tc>
        <w:tc>
          <w:tcPr>
            <w:tcW w:w="636" w:type="dxa"/>
            <w:vMerge w:val="restart"/>
            <w:tcBorders>
              <w:top w:val="single" w:color="000000" w:sz="10" w:space="0"/>
              <w:bottom w:val="nil"/>
            </w:tcBorders>
            <w:vAlign w:val="top"/>
          </w:tcPr>
          <w:p w14:paraId="7B07FD05">
            <w:pPr>
              <w:rPr>
                <w:rFonts w:ascii="Arial"/>
                <w:sz w:val="21"/>
              </w:rPr>
            </w:pPr>
          </w:p>
        </w:tc>
        <w:tc>
          <w:tcPr>
            <w:tcW w:w="1751" w:type="dxa"/>
            <w:tcBorders>
              <w:top w:val="single" w:color="000000" w:sz="10" w:space="0"/>
            </w:tcBorders>
            <w:vAlign w:val="top"/>
          </w:tcPr>
          <w:p w14:paraId="7F4A2092">
            <w:pPr>
              <w:rPr>
                <w:rFonts w:ascii="Arial"/>
                <w:sz w:val="21"/>
              </w:rPr>
            </w:pPr>
          </w:p>
        </w:tc>
        <w:tc>
          <w:tcPr>
            <w:tcW w:w="7253" w:type="dxa"/>
            <w:tcBorders>
              <w:top w:val="single" w:color="000000" w:sz="10" w:space="0"/>
            </w:tcBorders>
            <w:vAlign w:val="top"/>
          </w:tcPr>
          <w:p w14:paraId="183F5C0F">
            <w:pPr>
              <w:pStyle w:val="6"/>
              <w:spacing w:before="64" w:line="252" w:lineRule="auto"/>
              <w:ind w:left="15" w:hanging="1"/>
              <w:jc w:val="both"/>
              <w:rPr>
                <w:sz w:val="19"/>
                <w:szCs w:val="19"/>
              </w:rPr>
            </w:pPr>
            <w:r>
              <w:rPr>
                <w:spacing w:val="5"/>
                <w:sz w:val="19"/>
                <w:szCs w:val="19"/>
              </w:rPr>
              <w:t>新建、改扩建项目实施更严格的污染物排放总量控制要求。严格落实区域削减要求，</w:t>
            </w:r>
            <w:r>
              <w:rPr>
                <w:spacing w:val="17"/>
                <w:sz w:val="19"/>
                <w:szCs w:val="19"/>
              </w:rPr>
              <w:t xml:space="preserve"> </w:t>
            </w:r>
            <w:r>
              <w:rPr>
                <w:spacing w:val="8"/>
                <w:sz w:val="19"/>
                <w:szCs w:val="19"/>
              </w:rPr>
              <w:t>所在区域、流域控制单元环境质量未达到国家或者地方环境质量标准的，建设项目</w:t>
            </w:r>
            <w:r>
              <w:rPr>
                <w:spacing w:val="3"/>
                <w:sz w:val="19"/>
                <w:szCs w:val="19"/>
              </w:rPr>
              <w:t xml:space="preserve">  </w:t>
            </w:r>
            <w:r>
              <w:rPr>
                <w:spacing w:val="7"/>
                <w:sz w:val="19"/>
                <w:szCs w:val="19"/>
              </w:rPr>
              <w:t>需提出有效的区域削减方案，主要污染物实行区域倍量削减。</w:t>
            </w:r>
          </w:p>
          <w:p w14:paraId="08FB6EC5">
            <w:pPr>
              <w:pStyle w:val="6"/>
              <w:spacing w:before="5" w:line="247" w:lineRule="auto"/>
              <w:ind w:left="18" w:right="2" w:firstLine="5"/>
              <w:rPr>
                <w:sz w:val="19"/>
                <w:szCs w:val="19"/>
              </w:rPr>
            </w:pPr>
            <w:r>
              <w:rPr>
                <w:spacing w:val="8"/>
                <w:sz w:val="19"/>
                <w:szCs w:val="19"/>
              </w:rPr>
              <w:t>第十条 在重点行业（石化、化工、工业涂装、包装印刷、</w:t>
            </w:r>
            <w:r>
              <w:rPr>
                <w:spacing w:val="7"/>
                <w:sz w:val="19"/>
                <w:szCs w:val="19"/>
              </w:rPr>
              <w:t>油品储运销等）推进挥发</w:t>
            </w:r>
            <w:r>
              <w:rPr>
                <w:sz w:val="19"/>
                <w:szCs w:val="19"/>
              </w:rPr>
              <w:t xml:space="preserve"> </w:t>
            </w:r>
            <w:r>
              <w:rPr>
                <w:spacing w:val="9"/>
                <w:sz w:val="19"/>
                <w:szCs w:val="19"/>
              </w:rPr>
              <w:t>性有机物综合治理，推动低挥发性有机物原辅材料和产品源头替代，推广使用低挥</w:t>
            </w:r>
            <w:r>
              <w:rPr>
                <w:spacing w:val="18"/>
                <w:sz w:val="19"/>
                <w:szCs w:val="19"/>
              </w:rPr>
              <w:t xml:space="preserve"> </w:t>
            </w:r>
            <w:r>
              <w:rPr>
                <w:spacing w:val="9"/>
                <w:sz w:val="19"/>
                <w:szCs w:val="19"/>
              </w:rPr>
              <w:t>发性有机物含量产品，推动纳入政府绿色采购名录。有条件的工业集聚区建设集中</w:t>
            </w:r>
            <w:r>
              <w:rPr>
                <w:spacing w:val="18"/>
                <w:sz w:val="19"/>
                <w:szCs w:val="19"/>
              </w:rPr>
              <w:t xml:space="preserve"> </w:t>
            </w:r>
            <w:r>
              <w:rPr>
                <w:spacing w:val="10"/>
                <w:sz w:val="19"/>
                <w:szCs w:val="19"/>
              </w:rPr>
              <w:t>喷涂工程中心，配备高效治污设施，替代企业独立喷涂工序，对涉及喷漆、喷粉、</w:t>
            </w:r>
            <w:r>
              <w:rPr>
                <w:spacing w:val="1"/>
                <w:sz w:val="19"/>
                <w:szCs w:val="19"/>
              </w:rPr>
              <w:t xml:space="preserve"> </w:t>
            </w:r>
            <w:r>
              <w:rPr>
                <w:spacing w:val="7"/>
                <w:sz w:val="19"/>
                <w:szCs w:val="19"/>
              </w:rPr>
              <w:t>印刷等废气进行集中处理。</w:t>
            </w:r>
          </w:p>
          <w:p w14:paraId="5C4A6407">
            <w:pPr>
              <w:pStyle w:val="6"/>
              <w:spacing w:before="21" w:line="245" w:lineRule="auto"/>
              <w:ind w:left="17" w:right="2" w:firstLine="6"/>
              <w:rPr>
                <w:sz w:val="19"/>
                <w:szCs w:val="19"/>
              </w:rPr>
            </w:pPr>
            <w:r>
              <w:rPr>
                <w:spacing w:val="8"/>
                <w:sz w:val="19"/>
                <w:szCs w:val="19"/>
              </w:rPr>
              <w:t>第十一条 工业集聚区应当按照有关规定配套建设相应的污</w:t>
            </w:r>
            <w:r>
              <w:rPr>
                <w:spacing w:val="7"/>
                <w:sz w:val="19"/>
                <w:szCs w:val="19"/>
              </w:rPr>
              <w:t>水集中处理设施，安装自</w:t>
            </w:r>
            <w:r>
              <w:rPr>
                <w:sz w:val="19"/>
                <w:szCs w:val="19"/>
              </w:rPr>
              <w:t xml:space="preserve"> </w:t>
            </w:r>
            <w:r>
              <w:rPr>
                <w:spacing w:val="9"/>
                <w:sz w:val="19"/>
                <w:szCs w:val="19"/>
              </w:rPr>
              <w:t>动监测设备，工业集聚区内的企业向污水集中处理设施排放工业废水的，应当按照</w:t>
            </w:r>
            <w:r>
              <w:rPr>
                <w:spacing w:val="18"/>
                <w:sz w:val="19"/>
                <w:szCs w:val="19"/>
              </w:rPr>
              <w:t xml:space="preserve"> </w:t>
            </w:r>
            <w:r>
              <w:rPr>
                <w:spacing w:val="9"/>
                <w:sz w:val="19"/>
                <w:szCs w:val="19"/>
              </w:rPr>
              <w:t>国家有关规定进行预处理，达到集中处理设施处理工艺要求后方可排放。</w:t>
            </w:r>
          </w:p>
          <w:p w14:paraId="60A3B247">
            <w:pPr>
              <w:pStyle w:val="6"/>
              <w:spacing w:before="21" w:line="248" w:lineRule="auto"/>
              <w:ind w:left="15" w:right="2" w:firstLine="8"/>
              <w:rPr>
                <w:sz w:val="19"/>
                <w:szCs w:val="19"/>
              </w:rPr>
            </w:pPr>
            <w:r>
              <w:rPr>
                <w:spacing w:val="8"/>
                <w:sz w:val="19"/>
                <w:szCs w:val="19"/>
              </w:rPr>
              <w:t>第十二条 推进乡镇生活污水处理设施达标改造。新建城市</w:t>
            </w:r>
            <w:r>
              <w:rPr>
                <w:spacing w:val="7"/>
                <w:sz w:val="19"/>
                <w:szCs w:val="19"/>
              </w:rPr>
              <w:t>生活污水处理厂全部按照</w:t>
            </w:r>
            <w:r>
              <w:rPr>
                <w:sz w:val="19"/>
                <w:szCs w:val="19"/>
              </w:rPr>
              <w:t xml:space="preserve"> </w:t>
            </w:r>
            <w:r>
              <w:rPr>
                <w:spacing w:val="9"/>
                <w:sz w:val="19"/>
                <w:szCs w:val="19"/>
              </w:rPr>
              <w:t>一级</w:t>
            </w:r>
            <w:r>
              <w:rPr>
                <w:spacing w:val="-41"/>
                <w:sz w:val="19"/>
                <w:szCs w:val="19"/>
              </w:rPr>
              <w:t xml:space="preserve"> </w:t>
            </w:r>
            <w:r>
              <w:rPr>
                <w:rFonts w:ascii="Times New Roman" w:hAnsi="Times New Roman" w:eastAsia="Times New Roman" w:cs="Times New Roman"/>
                <w:spacing w:val="9"/>
                <w:sz w:val="19"/>
                <w:szCs w:val="19"/>
              </w:rPr>
              <w:t>A</w:t>
            </w:r>
            <w:r>
              <w:rPr>
                <w:rFonts w:ascii="Times New Roman" w:hAnsi="Times New Roman" w:eastAsia="Times New Roman" w:cs="Times New Roman"/>
                <w:spacing w:val="16"/>
                <w:sz w:val="19"/>
                <w:szCs w:val="19"/>
              </w:rPr>
              <w:t xml:space="preserve"> </w:t>
            </w:r>
            <w:r>
              <w:rPr>
                <w:spacing w:val="9"/>
                <w:sz w:val="19"/>
                <w:szCs w:val="19"/>
              </w:rPr>
              <w:t>标及以上排放标准设计、施工、验收，建制乡镇生活污水处理设施出水水质</w:t>
            </w:r>
            <w:r>
              <w:rPr>
                <w:sz w:val="19"/>
                <w:szCs w:val="19"/>
              </w:rPr>
              <w:t xml:space="preserve"> </w:t>
            </w:r>
            <w:r>
              <w:rPr>
                <w:spacing w:val="9"/>
                <w:sz w:val="19"/>
                <w:szCs w:val="19"/>
              </w:rPr>
              <w:t>不得低于一级</w:t>
            </w:r>
            <w:r>
              <w:rPr>
                <w:spacing w:val="-44"/>
                <w:sz w:val="19"/>
                <w:szCs w:val="19"/>
              </w:rPr>
              <w:t xml:space="preserve"> </w:t>
            </w:r>
            <w:r>
              <w:rPr>
                <w:rFonts w:ascii="Times New Roman" w:hAnsi="Times New Roman" w:eastAsia="Times New Roman" w:cs="Times New Roman"/>
                <w:spacing w:val="9"/>
                <w:sz w:val="19"/>
                <w:szCs w:val="19"/>
              </w:rPr>
              <w:t>B</w:t>
            </w:r>
            <w:r>
              <w:rPr>
                <w:rFonts w:ascii="Times New Roman" w:hAnsi="Times New Roman" w:eastAsia="Times New Roman" w:cs="Times New Roman"/>
                <w:spacing w:val="17"/>
                <w:sz w:val="19"/>
                <w:szCs w:val="19"/>
              </w:rPr>
              <w:t xml:space="preserve"> </w:t>
            </w:r>
            <w:r>
              <w:rPr>
                <w:spacing w:val="9"/>
                <w:sz w:val="19"/>
                <w:szCs w:val="19"/>
              </w:rPr>
              <w:t>标排放标准；对现有截留制排水管网实施雨污分流改造，针对无法</w:t>
            </w:r>
            <w:r>
              <w:rPr>
                <w:sz w:val="19"/>
                <w:szCs w:val="19"/>
              </w:rPr>
              <w:t xml:space="preserve"> </w:t>
            </w:r>
            <w:r>
              <w:rPr>
                <w:spacing w:val="10"/>
                <w:sz w:val="19"/>
                <w:szCs w:val="19"/>
              </w:rPr>
              <w:t>彻底雨污分流的老城区，尊重现实合理保留截留</w:t>
            </w:r>
            <w:r>
              <w:rPr>
                <w:spacing w:val="9"/>
                <w:sz w:val="19"/>
                <w:szCs w:val="19"/>
              </w:rPr>
              <w:t>制区域，合理提高截留倍数；对新</w:t>
            </w:r>
            <w:r>
              <w:rPr>
                <w:sz w:val="19"/>
                <w:szCs w:val="19"/>
              </w:rPr>
              <w:t xml:space="preserve"> </w:t>
            </w:r>
            <w:r>
              <w:rPr>
                <w:spacing w:val="9"/>
                <w:sz w:val="19"/>
                <w:szCs w:val="19"/>
              </w:rPr>
              <w:t>建的排水管网，全部按照雨污分流模式实施</w:t>
            </w:r>
            <w:r>
              <w:rPr>
                <w:spacing w:val="8"/>
                <w:sz w:val="19"/>
                <w:szCs w:val="19"/>
              </w:rPr>
              <w:t>建设。</w:t>
            </w:r>
          </w:p>
          <w:p w14:paraId="0FE02DD3">
            <w:pPr>
              <w:pStyle w:val="6"/>
              <w:spacing w:before="25" w:line="247" w:lineRule="auto"/>
              <w:ind w:left="15" w:right="2" w:firstLine="8"/>
              <w:rPr>
                <w:sz w:val="19"/>
                <w:szCs w:val="19"/>
              </w:rPr>
            </w:pPr>
            <w:r>
              <w:rPr>
                <w:spacing w:val="8"/>
                <w:sz w:val="19"/>
                <w:szCs w:val="19"/>
              </w:rPr>
              <w:t>第十三条 新、改、扩建重点行业〔重有色金属矿采选业（</w:t>
            </w:r>
            <w:r>
              <w:rPr>
                <w:spacing w:val="7"/>
                <w:sz w:val="19"/>
                <w:szCs w:val="19"/>
              </w:rPr>
              <w:t>铜、铅锌、镍钴、锡、锑</w:t>
            </w:r>
            <w:r>
              <w:rPr>
                <w:sz w:val="19"/>
                <w:szCs w:val="19"/>
              </w:rPr>
              <w:t xml:space="preserve"> </w:t>
            </w:r>
            <w:r>
              <w:rPr>
                <w:spacing w:val="7"/>
                <w:sz w:val="19"/>
                <w:szCs w:val="19"/>
              </w:rPr>
              <w:t>和汞矿采选）</w:t>
            </w:r>
            <w:r>
              <w:rPr>
                <w:spacing w:val="-42"/>
                <w:sz w:val="19"/>
                <w:szCs w:val="19"/>
              </w:rPr>
              <w:t xml:space="preserve"> </w:t>
            </w:r>
            <w:r>
              <w:rPr>
                <w:spacing w:val="7"/>
                <w:sz w:val="19"/>
                <w:szCs w:val="19"/>
              </w:rPr>
              <w:t>、重有色金属冶炼业（铜、铅锌、镍钴、锡、锑和汞冶炼）</w:t>
            </w:r>
            <w:r>
              <w:rPr>
                <w:spacing w:val="-55"/>
                <w:sz w:val="19"/>
                <w:szCs w:val="19"/>
              </w:rPr>
              <w:t xml:space="preserve"> </w:t>
            </w:r>
            <w:r>
              <w:rPr>
                <w:spacing w:val="7"/>
                <w:sz w:val="19"/>
                <w:szCs w:val="19"/>
              </w:rPr>
              <w:t>、铅蓄电</w:t>
            </w:r>
            <w:r>
              <w:rPr>
                <w:sz w:val="19"/>
                <w:szCs w:val="19"/>
              </w:rPr>
              <w:t xml:space="preserve"> </w:t>
            </w:r>
            <w:r>
              <w:rPr>
                <w:spacing w:val="10"/>
                <w:sz w:val="19"/>
                <w:szCs w:val="19"/>
              </w:rPr>
              <w:t>池制造业、皮革鞣制加工业、化学原料及化学制品制造业（电石法聚氯乙烯制造、</w:t>
            </w:r>
            <w:r>
              <w:rPr>
                <w:spacing w:val="4"/>
                <w:sz w:val="19"/>
                <w:szCs w:val="19"/>
              </w:rPr>
              <w:t xml:space="preserve"> </w:t>
            </w:r>
            <w:r>
              <w:rPr>
                <w:spacing w:val="6"/>
                <w:sz w:val="19"/>
                <w:szCs w:val="19"/>
              </w:rPr>
              <w:t>铬盐制造、</w:t>
            </w:r>
            <w:r>
              <w:rPr>
                <w:spacing w:val="-47"/>
                <w:sz w:val="19"/>
                <w:szCs w:val="19"/>
              </w:rPr>
              <w:t xml:space="preserve"> </w:t>
            </w:r>
            <w:r>
              <w:rPr>
                <w:spacing w:val="6"/>
                <w:sz w:val="19"/>
                <w:szCs w:val="19"/>
              </w:rPr>
              <w:t>以工业固废为原料的锌无机化合物工业等）</w:t>
            </w:r>
            <w:r>
              <w:rPr>
                <w:spacing w:val="-55"/>
                <w:sz w:val="19"/>
                <w:szCs w:val="19"/>
              </w:rPr>
              <w:t xml:space="preserve"> </w:t>
            </w:r>
            <w:r>
              <w:rPr>
                <w:spacing w:val="6"/>
                <w:sz w:val="19"/>
                <w:szCs w:val="19"/>
              </w:rPr>
              <w:t>、</w:t>
            </w:r>
            <w:r>
              <w:rPr>
                <w:spacing w:val="-54"/>
                <w:sz w:val="19"/>
                <w:szCs w:val="19"/>
              </w:rPr>
              <w:t xml:space="preserve"> </w:t>
            </w:r>
            <w:r>
              <w:rPr>
                <w:spacing w:val="6"/>
                <w:sz w:val="19"/>
                <w:szCs w:val="19"/>
              </w:rPr>
              <w:t>电镀行业〕重点重金属污</w:t>
            </w:r>
            <w:r>
              <w:rPr>
                <w:sz w:val="19"/>
                <w:szCs w:val="19"/>
              </w:rPr>
              <w:t xml:space="preserve"> </w:t>
            </w:r>
            <w:r>
              <w:rPr>
                <w:spacing w:val="7"/>
                <w:sz w:val="19"/>
                <w:szCs w:val="19"/>
              </w:rPr>
              <w:t>染物排放执行</w:t>
            </w:r>
            <w:r>
              <w:rPr>
                <w:rFonts w:ascii="Times New Roman" w:hAnsi="Times New Roman" w:eastAsia="Times New Roman" w:cs="Times New Roman"/>
                <w:spacing w:val="7"/>
                <w:sz w:val="19"/>
                <w:szCs w:val="19"/>
              </w:rPr>
              <w:t>“</w:t>
            </w:r>
            <w:r>
              <w:rPr>
                <w:spacing w:val="7"/>
                <w:sz w:val="19"/>
                <w:szCs w:val="19"/>
              </w:rPr>
              <w:t>等量替代</w:t>
            </w:r>
            <w:r>
              <w:rPr>
                <w:rFonts w:ascii="Times New Roman" w:hAnsi="Times New Roman" w:eastAsia="Times New Roman" w:cs="Times New Roman"/>
                <w:spacing w:val="7"/>
                <w:sz w:val="19"/>
                <w:szCs w:val="19"/>
              </w:rPr>
              <w:t>”</w:t>
            </w:r>
            <w:r>
              <w:rPr>
                <w:spacing w:val="7"/>
                <w:sz w:val="19"/>
                <w:szCs w:val="19"/>
              </w:rPr>
              <w:t>原则。</w:t>
            </w:r>
          </w:p>
        </w:tc>
        <w:tc>
          <w:tcPr>
            <w:tcW w:w="2082" w:type="dxa"/>
            <w:tcBorders>
              <w:top w:val="single" w:color="000000" w:sz="10" w:space="0"/>
            </w:tcBorders>
            <w:vAlign w:val="top"/>
          </w:tcPr>
          <w:p w14:paraId="4DA1B660">
            <w:pPr>
              <w:rPr>
                <w:rFonts w:ascii="Arial"/>
                <w:sz w:val="21"/>
              </w:rPr>
            </w:pPr>
          </w:p>
        </w:tc>
        <w:tc>
          <w:tcPr>
            <w:tcW w:w="1826" w:type="dxa"/>
            <w:tcBorders>
              <w:top w:val="single" w:color="000000" w:sz="10" w:space="0"/>
              <w:right w:val="single" w:color="000000" w:sz="10" w:space="0"/>
            </w:tcBorders>
            <w:vAlign w:val="top"/>
          </w:tcPr>
          <w:p w14:paraId="04FFDEA7">
            <w:pPr>
              <w:rPr>
                <w:rFonts w:ascii="Arial"/>
                <w:sz w:val="21"/>
              </w:rPr>
            </w:pPr>
          </w:p>
        </w:tc>
      </w:tr>
      <w:tr w14:paraId="4FEF95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6" w:hRule="atLeast"/>
        </w:trPr>
        <w:tc>
          <w:tcPr>
            <w:tcW w:w="505" w:type="dxa"/>
            <w:vMerge w:val="continue"/>
            <w:tcBorders>
              <w:top w:val="nil"/>
              <w:left w:val="single" w:color="000000" w:sz="10" w:space="0"/>
              <w:bottom w:val="single" w:color="000000" w:sz="10" w:space="0"/>
            </w:tcBorders>
            <w:vAlign w:val="top"/>
          </w:tcPr>
          <w:p w14:paraId="1BF87991">
            <w:pPr>
              <w:rPr>
                <w:rFonts w:ascii="Arial"/>
                <w:sz w:val="21"/>
              </w:rPr>
            </w:pPr>
          </w:p>
        </w:tc>
        <w:tc>
          <w:tcPr>
            <w:tcW w:w="636" w:type="dxa"/>
            <w:vMerge w:val="continue"/>
            <w:tcBorders>
              <w:top w:val="nil"/>
              <w:bottom w:val="single" w:color="000000" w:sz="10" w:space="0"/>
            </w:tcBorders>
            <w:vAlign w:val="top"/>
          </w:tcPr>
          <w:p w14:paraId="63DA98FF">
            <w:pPr>
              <w:rPr>
                <w:rFonts w:ascii="Arial"/>
                <w:sz w:val="21"/>
              </w:rPr>
            </w:pPr>
          </w:p>
        </w:tc>
        <w:tc>
          <w:tcPr>
            <w:tcW w:w="1751" w:type="dxa"/>
            <w:tcBorders>
              <w:bottom w:val="single" w:color="000000" w:sz="10" w:space="0"/>
            </w:tcBorders>
            <w:vAlign w:val="top"/>
          </w:tcPr>
          <w:p w14:paraId="07F0BE61">
            <w:pPr>
              <w:spacing w:line="312" w:lineRule="auto"/>
              <w:rPr>
                <w:rFonts w:ascii="Arial"/>
                <w:sz w:val="21"/>
              </w:rPr>
            </w:pPr>
          </w:p>
          <w:p w14:paraId="5FDDBFAC">
            <w:pPr>
              <w:spacing w:line="313" w:lineRule="auto"/>
              <w:rPr>
                <w:rFonts w:ascii="Arial"/>
                <w:sz w:val="21"/>
              </w:rPr>
            </w:pPr>
          </w:p>
          <w:p w14:paraId="57DEB032">
            <w:pPr>
              <w:spacing w:line="313" w:lineRule="auto"/>
              <w:rPr>
                <w:rFonts w:ascii="Arial"/>
                <w:sz w:val="21"/>
              </w:rPr>
            </w:pPr>
          </w:p>
          <w:p w14:paraId="37000FB8">
            <w:pPr>
              <w:pStyle w:val="6"/>
              <w:spacing w:before="62" w:line="231" w:lineRule="auto"/>
              <w:ind w:left="282"/>
              <w:rPr>
                <w:sz w:val="19"/>
                <w:szCs w:val="19"/>
              </w:rPr>
            </w:pPr>
            <w:r>
              <w:rPr>
                <w:spacing w:val="7"/>
                <w:sz w:val="19"/>
                <w:szCs w:val="19"/>
              </w:rPr>
              <w:t>污染排放管控</w:t>
            </w:r>
          </w:p>
        </w:tc>
        <w:tc>
          <w:tcPr>
            <w:tcW w:w="7253" w:type="dxa"/>
            <w:tcBorders>
              <w:bottom w:val="single" w:color="000000" w:sz="10" w:space="0"/>
            </w:tcBorders>
            <w:vAlign w:val="top"/>
          </w:tcPr>
          <w:p w14:paraId="1F0AF4FD">
            <w:pPr>
              <w:pStyle w:val="6"/>
              <w:spacing w:before="226" w:line="245" w:lineRule="auto"/>
              <w:ind w:left="16" w:right="5" w:firstLine="7"/>
              <w:rPr>
                <w:sz w:val="19"/>
                <w:szCs w:val="19"/>
              </w:rPr>
            </w:pPr>
            <w:r>
              <w:rPr>
                <w:spacing w:val="7"/>
                <w:sz w:val="19"/>
                <w:szCs w:val="19"/>
              </w:rPr>
              <w:t>第十四条</w:t>
            </w:r>
            <w:r>
              <w:rPr>
                <w:spacing w:val="40"/>
                <w:sz w:val="19"/>
                <w:szCs w:val="19"/>
              </w:rPr>
              <w:t xml:space="preserve"> </w:t>
            </w:r>
            <w:r>
              <w:rPr>
                <w:spacing w:val="7"/>
                <w:sz w:val="19"/>
                <w:szCs w:val="19"/>
              </w:rPr>
              <w:t>固体废物污染环境防治坚持减量化、资源化和无害</w:t>
            </w:r>
            <w:r>
              <w:rPr>
                <w:spacing w:val="6"/>
                <w:sz w:val="19"/>
                <w:szCs w:val="19"/>
              </w:rPr>
              <w:t>化的原则。产生工业固</w:t>
            </w:r>
            <w:r>
              <w:rPr>
                <w:sz w:val="19"/>
                <w:szCs w:val="19"/>
              </w:rPr>
              <w:t xml:space="preserve"> </w:t>
            </w:r>
            <w:r>
              <w:rPr>
                <w:spacing w:val="10"/>
                <w:sz w:val="19"/>
                <w:szCs w:val="19"/>
              </w:rPr>
              <w:t>体废物的单位应当建立健全工业固体废物产生</w:t>
            </w:r>
            <w:r>
              <w:rPr>
                <w:spacing w:val="9"/>
                <w:sz w:val="19"/>
                <w:szCs w:val="19"/>
              </w:rPr>
              <w:t>、收集、贮存、运输、利用、处置全</w:t>
            </w:r>
            <w:r>
              <w:rPr>
                <w:sz w:val="19"/>
                <w:szCs w:val="19"/>
              </w:rPr>
              <w:t xml:space="preserve"> </w:t>
            </w:r>
            <w:r>
              <w:rPr>
                <w:spacing w:val="9"/>
                <w:sz w:val="19"/>
                <w:szCs w:val="19"/>
              </w:rPr>
              <w:t>过程的污染环境防治责任制度，建立工业固体废物管理台账。</w:t>
            </w:r>
          </w:p>
          <w:p w14:paraId="04B5D3AD">
            <w:pPr>
              <w:pStyle w:val="6"/>
              <w:spacing w:before="24" w:line="246" w:lineRule="auto"/>
              <w:ind w:left="16" w:right="2" w:firstLine="6"/>
              <w:rPr>
                <w:sz w:val="19"/>
                <w:szCs w:val="19"/>
              </w:rPr>
            </w:pPr>
            <w:r>
              <w:rPr>
                <w:spacing w:val="8"/>
                <w:sz w:val="19"/>
                <w:szCs w:val="19"/>
              </w:rPr>
              <w:t>第十五条 建设分类投放、分类收集、分类运输、分类处理</w:t>
            </w:r>
            <w:r>
              <w:rPr>
                <w:spacing w:val="7"/>
                <w:sz w:val="19"/>
                <w:szCs w:val="19"/>
              </w:rPr>
              <w:t>的生活垃圾处理系统。合</w:t>
            </w:r>
            <w:r>
              <w:rPr>
                <w:sz w:val="19"/>
                <w:szCs w:val="19"/>
              </w:rPr>
              <w:t xml:space="preserve"> </w:t>
            </w:r>
            <w:r>
              <w:rPr>
                <w:spacing w:val="10"/>
                <w:sz w:val="19"/>
                <w:szCs w:val="19"/>
              </w:rPr>
              <w:t>理布局生活垃圾分类收集站点，完善分类运</w:t>
            </w:r>
            <w:r>
              <w:rPr>
                <w:spacing w:val="9"/>
                <w:sz w:val="19"/>
                <w:szCs w:val="19"/>
              </w:rPr>
              <w:t>输系统，加快补齐分类收集转运设施能</w:t>
            </w:r>
            <w:r>
              <w:rPr>
                <w:sz w:val="19"/>
                <w:szCs w:val="19"/>
              </w:rPr>
              <w:t xml:space="preserve"> </w:t>
            </w:r>
            <w:r>
              <w:rPr>
                <w:spacing w:val="9"/>
                <w:sz w:val="19"/>
                <w:szCs w:val="19"/>
              </w:rPr>
              <w:t>力短板。强化</w:t>
            </w:r>
            <w:r>
              <w:rPr>
                <w:rFonts w:ascii="Times New Roman" w:hAnsi="Times New Roman" w:eastAsia="Times New Roman" w:cs="Times New Roman"/>
                <w:spacing w:val="9"/>
                <w:sz w:val="19"/>
                <w:szCs w:val="19"/>
              </w:rPr>
              <w:t>“</w:t>
            </w:r>
            <w:r>
              <w:rPr>
                <w:spacing w:val="9"/>
                <w:sz w:val="19"/>
                <w:szCs w:val="19"/>
              </w:rPr>
              <w:t>无废城市</w:t>
            </w:r>
            <w:r>
              <w:rPr>
                <w:rFonts w:ascii="Times New Roman" w:hAnsi="Times New Roman" w:eastAsia="Times New Roman" w:cs="Times New Roman"/>
                <w:spacing w:val="9"/>
                <w:sz w:val="19"/>
                <w:szCs w:val="19"/>
              </w:rPr>
              <w:t>”</w:t>
            </w:r>
            <w:r>
              <w:rPr>
                <w:spacing w:val="9"/>
                <w:sz w:val="19"/>
                <w:szCs w:val="19"/>
              </w:rPr>
              <w:t>制度、技术、市场、监管、全民行动</w:t>
            </w:r>
            <w:r>
              <w:rPr>
                <w:rFonts w:ascii="Times New Roman" w:hAnsi="Times New Roman" w:eastAsia="Times New Roman" w:cs="Times New Roman"/>
                <w:spacing w:val="9"/>
                <w:sz w:val="19"/>
                <w:szCs w:val="19"/>
              </w:rPr>
              <w:t>“</w:t>
            </w:r>
            <w:r>
              <w:rPr>
                <w:spacing w:val="9"/>
                <w:sz w:val="19"/>
                <w:szCs w:val="19"/>
              </w:rPr>
              <w:t>五大体系</w:t>
            </w:r>
            <w:r>
              <w:rPr>
                <w:rFonts w:ascii="Times New Roman" w:hAnsi="Times New Roman" w:eastAsia="Times New Roman" w:cs="Times New Roman"/>
                <w:spacing w:val="9"/>
                <w:sz w:val="19"/>
                <w:szCs w:val="19"/>
              </w:rPr>
              <w:t>”</w:t>
            </w:r>
            <w:r>
              <w:rPr>
                <w:spacing w:val="9"/>
                <w:sz w:val="19"/>
                <w:szCs w:val="19"/>
              </w:rPr>
              <w:t>建设，推</w:t>
            </w:r>
            <w:r>
              <w:rPr>
                <w:sz w:val="19"/>
                <w:szCs w:val="19"/>
              </w:rPr>
              <w:t xml:space="preserve">  </w:t>
            </w:r>
            <w:r>
              <w:rPr>
                <w:spacing w:val="8"/>
                <w:sz w:val="19"/>
                <w:szCs w:val="19"/>
              </w:rPr>
              <w:t>进城市固体废物精细化管理。</w:t>
            </w:r>
          </w:p>
        </w:tc>
        <w:tc>
          <w:tcPr>
            <w:tcW w:w="2082" w:type="dxa"/>
            <w:tcBorders>
              <w:bottom w:val="single" w:color="000000" w:sz="10" w:space="0"/>
            </w:tcBorders>
            <w:vAlign w:val="top"/>
          </w:tcPr>
          <w:p w14:paraId="118C0DBB">
            <w:pPr>
              <w:pStyle w:val="6"/>
              <w:spacing w:before="97" w:line="252" w:lineRule="auto"/>
              <w:ind w:left="26"/>
              <w:jc w:val="both"/>
              <w:rPr>
                <w:sz w:val="19"/>
                <w:szCs w:val="19"/>
              </w:rPr>
            </w:pPr>
            <w:r>
              <w:rPr>
                <w:spacing w:val="15"/>
                <w:sz w:val="19"/>
                <w:szCs w:val="19"/>
              </w:rPr>
              <w:t>勘查、开采规划区块在</w:t>
            </w:r>
            <w:r>
              <w:rPr>
                <w:sz w:val="19"/>
                <w:szCs w:val="19"/>
              </w:rPr>
              <w:t xml:space="preserve"> </w:t>
            </w:r>
            <w:r>
              <w:rPr>
                <w:spacing w:val="14"/>
                <w:sz w:val="19"/>
                <w:szCs w:val="19"/>
              </w:rPr>
              <w:t>严格落实规划环评提出</w:t>
            </w:r>
            <w:r>
              <w:rPr>
                <w:spacing w:val="8"/>
                <w:sz w:val="19"/>
                <w:szCs w:val="19"/>
              </w:rPr>
              <w:t xml:space="preserve"> </w:t>
            </w:r>
            <w:r>
              <w:rPr>
                <w:spacing w:val="14"/>
                <w:sz w:val="19"/>
                <w:szCs w:val="19"/>
              </w:rPr>
              <w:t>的环境影响减缓对策和</w:t>
            </w:r>
            <w:r>
              <w:rPr>
                <w:spacing w:val="8"/>
                <w:sz w:val="19"/>
                <w:szCs w:val="19"/>
              </w:rPr>
              <w:t xml:space="preserve"> </w:t>
            </w:r>
            <w:r>
              <w:rPr>
                <w:spacing w:val="14"/>
                <w:sz w:val="19"/>
                <w:szCs w:val="19"/>
              </w:rPr>
              <w:t>措施，并依法完善相关</w:t>
            </w:r>
            <w:r>
              <w:rPr>
                <w:spacing w:val="8"/>
                <w:sz w:val="19"/>
                <w:szCs w:val="19"/>
              </w:rPr>
              <w:t xml:space="preserve"> </w:t>
            </w:r>
            <w:r>
              <w:rPr>
                <w:spacing w:val="14"/>
                <w:sz w:val="19"/>
                <w:szCs w:val="19"/>
              </w:rPr>
              <w:t>环保手续后，规划实施</w:t>
            </w:r>
            <w:r>
              <w:rPr>
                <w:spacing w:val="8"/>
                <w:sz w:val="19"/>
                <w:szCs w:val="19"/>
              </w:rPr>
              <w:t xml:space="preserve"> </w:t>
            </w:r>
            <w:r>
              <w:rPr>
                <w:spacing w:val="14"/>
                <w:sz w:val="19"/>
                <w:szCs w:val="19"/>
              </w:rPr>
              <w:t>对区域生态环境的影响</w:t>
            </w:r>
            <w:r>
              <w:rPr>
                <w:spacing w:val="8"/>
                <w:sz w:val="19"/>
                <w:szCs w:val="19"/>
              </w:rPr>
              <w:t xml:space="preserve"> </w:t>
            </w:r>
            <w:r>
              <w:rPr>
                <w:spacing w:val="-3"/>
                <w:sz w:val="19"/>
                <w:szCs w:val="19"/>
              </w:rPr>
              <w:t>可</w:t>
            </w:r>
            <w:r>
              <w:rPr>
                <w:spacing w:val="-47"/>
                <w:sz w:val="19"/>
                <w:szCs w:val="19"/>
              </w:rPr>
              <w:t xml:space="preserve"> </w:t>
            </w:r>
            <w:r>
              <w:rPr>
                <w:spacing w:val="-3"/>
                <w:sz w:val="19"/>
                <w:szCs w:val="19"/>
              </w:rPr>
              <w:t>控</w:t>
            </w:r>
            <w:r>
              <w:rPr>
                <w:spacing w:val="-47"/>
                <w:sz w:val="19"/>
                <w:szCs w:val="19"/>
              </w:rPr>
              <w:t xml:space="preserve"> </w:t>
            </w:r>
            <w:r>
              <w:rPr>
                <w:spacing w:val="-3"/>
                <w:sz w:val="19"/>
                <w:szCs w:val="19"/>
              </w:rPr>
              <w:t>制</w:t>
            </w:r>
            <w:r>
              <w:rPr>
                <w:spacing w:val="-47"/>
                <w:sz w:val="19"/>
                <w:szCs w:val="19"/>
              </w:rPr>
              <w:t xml:space="preserve"> </w:t>
            </w:r>
            <w:r>
              <w:rPr>
                <w:spacing w:val="-3"/>
                <w:sz w:val="19"/>
                <w:szCs w:val="19"/>
              </w:rPr>
              <w:t>在</w:t>
            </w:r>
            <w:r>
              <w:rPr>
                <w:spacing w:val="-45"/>
                <w:sz w:val="19"/>
                <w:szCs w:val="19"/>
              </w:rPr>
              <w:t xml:space="preserve"> </w:t>
            </w:r>
            <w:r>
              <w:rPr>
                <w:spacing w:val="-3"/>
                <w:sz w:val="19"/>
                <w:szCs w:val="19"/>
              </w:rPr>
              <w:t>可</w:t>
            </w:r>
            <w:r>
              <w:rPr>
                <w:spacing w:val="-47"/>
                <w:sz w:val="19"/>
                <w:szCs w:val="19"/>
              </w:rPr>
              <w:t xml:space="preserve"> </w:t>
            </w:r>
            <w:r>
              <w:rPr>
                <w:spacing w:val="-3"/>
                <w:sz w:val="19"/>
                <w:szCs w:val="19"/>
              </w:rPr>
              <w:t>接</w:t>
            </w:r>
            <w:r>
              <w:rPr>
                <w:spacing w:val="-39"/>
                <w:sz w:val="19"/>
                <w:szCs w:val="19"/>
              </w:rPr>
              <w:t xml:space="preserve"> </w:t>
            </w:r>
            <w:r>
              <w:rPr>
                <w:spacing w:val="-3"/>
                <w:sz w:val="19"/>
                <w:szCs w:val="19"/>
              </w:rPr>
              <w:t>受范</w:t>
            </w:r>
            <w:r>
              <w:rPr>
                <w:spacing w:val="-28"/>
                <w:sz w:val="19"/>
                <w:szCs w:val="19"/>
              </w:rPr>
              <w:t xml:space="preserve"> </w:t>
            </w:r>
            <w:r>
              <w:rPr>
                <w:spacing w:val="-3"/>
                <w:sz w:val="19"/>
                <w:szCs w:val="19"/>
              </w:rPr>
              <w:t>围</w:t>
            </w:r>
            <w:r>
              <w:rPr>
                <w:sz w:val="19"/>
                <w:szCs w:val="19"/>
              </w:rPr>
              <w:t xml:space="preserve"> </w:t>
            </w:r>
            <w:r>
              <w:rPr>
                <w:spacing w:val="-3"/>
                <w:sz w:val="19"/>
                <w:szCs w:val="19"/>
              </w:rPr>
              <w:t>内。</w:t>
            </w:r>
          </w:p>
        </w:tc>
        <w:tc>
          <w:tcPr>
            <w:tcW w:w="1826" w:type="dxa"/>
            <w:tcBorders>
              <w:bottom w:val="single" w:color="000000" w:sz="10" w:space="0"/>
              <w:right w:val="single" w:color="000000" w:sz="10" w:space="0"/>
            </w:tcBorders>
            <w:vAlign w:val="top"/>
          </w:tcPr>
          <w:p w14:paraId="0784141B">
            <w:pPr>
              <w:spacing w:line="312" w:lineRule="auto"/>
              <w:rPr>
                <w:rFonts w:ascii="Arial"/>
                <w:sz w:val="21"/>
              </w:rPr>
            </w:pPr>
          </w:p>
          <w:p w14:paraId="033E81A7">
            <w:pPr>
              <w:spacing w:line="312" w:lineRule="auto"/>
              <w:rPr>
                <w:rFonts w:ascii="Arial"/>
                <w:sz w:val="21"/>
              </w:rPr>
            </w:pPr>
          </w:p>
          <w:p w14:paraId="6F392AB6">
            <w:pPr>
              <w:spacing w:line="313" w:lineRule="auto"/>
              <w:rPr>
                <w:rFonts w:ascii="Arial"/>
                <w:sz w:val="21"/>
              </w:rPr>
            </w:pPr>
          </w:p>
          <w:p w14:paraId="641A1FEB">
            <w:pPr>
              <w:pStyle w:val="6"/>
              <w:spacing w:before="62" w:line="230" w:lineRule="auto"/>
              <w:ind w:left="731"/>
              <w:rPr>
                <w:sz w:val="19"/>
                <w:szCs w:val="19"/>
              </w:rPr>
            </w:pPr>
            <w:r>
              <w:rPr>
                <w:sz w:val="19"/>
                <w:szCs w:val="19"/>
              </w:rPr>
              <w:t>符合</w:t>
            </w:r>
          </w:p>
        </w:tc>
      </w:tr>
    </w:tbl>
    <w:p w14:paraId="2AE03605">
      <w:pPr>
        <w:pStyle w:val="2"/>
      </w:pPr>
    </w:p>
    <w:p w14:paraId="77CA5B1D">
      <w:pPr>
        <w:sectPr>
          <w:footerReference r:id="rId92" w:type="default"/>
          <w:pgSz w:w="16839" w:h="11906"/>
          <w:pgMar w:top="1116" w:right="1379" w:bottom="1480" w:left="1379" w:header="683" w:footer="1318" w:gutter="0"/>
          <w:cols w:space="720" w:num="1"/>
        </w:sectPr>
      </w:pPr>
    </w:p>
    <w:p w14:paraId="6D8C3D44">
      <w:pPr>
        <w:spacing w:before="229"/>
      </w:pPr>
    </w:p>
    <w:tbl>
      <w:tblPr>
        <w:tblStyle w:val="5"/>
        <w:tblW w:w="1405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5"/>
        <w:gridCol w:w="636"/>
        <w:gridCol w:w="1751"/>
        <w:gridCol w:w="7253"/>
        <w:gridCol w:w="2082"/>
        <w:gridCol w:w="1826"/>
      </w:tblGrid>
      <w:tr w14:paraId="213382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2" w:hRule="atLeast"/>
        </w:trPr>
        <w:tc>
          <w:tcPr>
            <w:tcW w:w="505" w:type="dxa"/>
            <w:vMerge w:val="restart"/>
            <w:tcBorders>
              <w:top w:val="single" w:color="000000" w:sz="10" w:space="0"/>
              <w:left w:val="single" w:color="000000" w:sz="10" w:space="0"/>
              <w:bottom w:val="nil"/>
            </w:tcBorders>
            <w:vAlign w:val="top"/>
          </w:tcPr>
          <w:p w14:paraId="1605FA4B">
            <w:pPr>
              <w:rPr>
                <w:rFonts w:ascii="Arial"/>
                <w:sz w:val="21"/>
              </w:rPr>
            </w:pPr>
          </w:p>
        </w:tc>
        <w:tc>
          <w:tcPr>
            <w:tcW w:w="636" w:type="dxa"/>
            <w:vMerge w:val="restart"/>
            <w:tcBorders>
              <w:top w:val="single" w:color="000000" w:sz="10" w:space="0"/>
              <w:bottom w:val="nil"/>
            </w:tcBorders>
            <w:vAlign w:val="top"/>
          </w:tcPr>
          <w:p w14:paraId="6EA41BD1">
            <w:pPr>
              <w:rPr>
                <w:rFonts w:ascii="Arial"/>
                <w:sz w:val="21"/>
              </w:rPr>
            </w:pPr>
          </w:p>
        </w:tc>
        <w:tc>
          <w:tcPr>
            <w:tcW w:w="1751" w:type="dxa"/>
            <w:tcBorders>
              <w:top w:val="single" w:color="000000" w:sz="10" w:space="0"/>
            </w:tcBorders>
            <w:vAlign w:val="top"/>
          </w:tcPr>
          <w:p w14:paraId="6572DF18">
            <w:pPr>
              <w:spacing w:line="265" w:lineRule="auto"/>
              <w:rPr>
                <w:rFonts w:ascii="Arial"/>
                <w:sz w:val="21"/>
              </w:rPr>
            </w:pPr>
          </w:p>
          <w:p w14:paraId="4E59CAD8">
            <w:pPr>
              <w:spacing w:line="265" w:lineRule="auto"/>
              <w:rPr>
                <w:rFonts w:ascii="Arial"/>
                <w:sz w:val="21"/>
              </w:rPr>
            </w:pPr>
          </w:p>
          <w:p w14:paraId="237E47FE">
            <w:pPr>
              <w:spacing w:line="266" w:lineRule="auto"/>
              <w:rPr>
                <w:rFonts w:ascii="Arial"/>
                <w:sz w:val="21"/>
              </w:rPr>
            </w:pPr>
          </w:p>
          <w:p w14:paraId="52B5A1D2">
            <w:pPr>
              <w:pStyle w:val="6"/>
              <w:spacing w:before="62" w:line="231" w:lineRule="auto"/>
              <w:ind w:left="278"/>
              <w:rPr>
                <w:sz w:val="19"/>
                <w:szCs w:val="19"/>
              </w:rPr>
            </w:pPr>
            <w:r>
              <w:rPr>
                <w:spacing w:val="7"/>
                <w:sz w:val="19"/>
                <w:szCs w:val="19"/>
              </w:rPr>
              <w:t>环境风险防控</w:t>
            </w:r>
          </w:p>
        </w:tc>
        <w:tc>
          <w:tcPr>
            <w:tcW w:w="7253" w:type="dxa"/>
            <w:tcBorders>
              <w:top w:val="single" w:color="000000" w:sz="10" w:space="0"/>
            </w:tcBorders>
            <w:vAlign w:val="top"/>
          </w:tcPr>
          <w:p w14:paraId="18BB43B8">
            <w:pPr>
              <w:pStyle w:val="6"/>
              <w:spacing w:before="86" w:line="247" w:lineRule="auto"/>
              <w:ind w:left="15" w:right="5" w:firstLine="8"/>
              <w:rPr>
                <w:sz w:val="19"/>
                <w:szCs w:val="19"/>
              </w:rPr>
            </w:pPr>
            <w:r>
              <w:rPr>
                <w:spacing w:val="8"/>
                <w:sz w:val="19"/>
                <w:szCs w:val="19"/>
              </w:rPr>
              <w:t>第十六条 深入开展行政区域、重点流域、重点饮用</w:t>
            </w:r>
            <w:r>
              <w:rPr>
                <w:spacing w:val="7"/>
                <w:sz w:val="19"/>
                <w:szCs w:val="19"/>
              </w:rPr>
              <w:t>水源、化工园区等突发环境事件</w:t>
            </w:r>
            <w:r>
              <w:rPr>
                <w:sz w:val="19"/>
                <w:szCs w:val="19"/>
              </w:rPr>
              <w:t xml:space="preserve"> </w:t>
            </w:r>
            <w:r>
              <w:rPr>
                <w:spacing w:val="10"/>
                <w:sz w:val="19"/>
                <w:szCs w:val="19"/>
              </w:rPr>
              <w:t>风险评估，建立区域突发环境事件风险评估数据</w:t>
            </w:r>
            <w:r>
              <w:rPr>
                <w:spacing w:val="9"/>
                <w:sz w:val="19"/>
                <w:szCs w:val="19"/>
              </w:rPr>
              <w:t>信息获取与动态更新机制。落实企</w:t>
            </w:r>
            <w:r>
              <w:rPr>
                <w:sz w:val="19"/>
                <w:szCs w:val="19"/>
              </w:rPr>
              <w:t xml:space="preserve"> </w:t>
            </w:r>
            <w:r>
              <w:rPr>
                <w:spacing w:val="10"/>
                <w:sz w:val="19"/>
                <w:szCs w:val="19"/>
              </w:rPr>
              <w:t>业突发环境事件风险评估制度，推进突发环境事</w:t>
            </w:r>
            <w:r>
              <w:rPr>
                <w:spacing w:val="9"/>
                <w:sz w:val="19"/>
                <w:szCs w:val="19"/>
              </w:rPr>
              <w:t>件风险分类分级管理，严格监管重</w:t>
            </w:r>
            <w:r>
              <w:rPr>
                <w:sz w:val="19"/>
                <w:szCs w:val="19"/>
              </w:rPr>
              <w:t xml:space="preserve"> </w:t>
            </w:r>
            <w:r>
              <w:rPr>
                <w:spacing w:val="7"/>
                <w:sz w:val="19"/>
                <w:szCs w:val="19"/>
              </w:rPr>
              <w:t>大突发环境事件风险企业。</w:t>
            </w:r>
          </w:p>
          <w:p w14:paraId="522CF3B0">
            <w:pPr>
              <w:pStyle w:val="6"/>
              <w:spacing w:before="20" w:line="246" w:lineRule="auto"/>
              <w:ind w:left="23" w:right="46"/>
              <w:rPr>
                <w:sz w:val="19"/>
                <w:szCs w:val="19"/>
              </w:rPr>
            </w:pPr>
            <w:r>
              <w:rPr>
                <w:spacing w:val="9"/>
                <w:sz w:val="19"/>
                <w:szCs w:val="19"/>
              </w:rPr>
              <w:t>第十七条强化化工园区涉水突发环境事件四级环境风险防范体系建设。持续推进重</w:t>
            </w:r>
            <w:r>
              <w:rPr>
                <w:spacing w:val="12"/>
                <w:sz w:val="19"/>
                <w:szCs w:val="19"/>
              </w:rPr>
              <w:t xml:space="preserve"> </w:t>
            </w:r>
            <w:r>
              <w:rPr>
                <w:spacing w:val="9"/>
                <w:sz w:val="19"/>
                <w:szCs w:val="19"/>
              </w:rPr>
              <w:t>点化工园区（化工集中区）建设有毒有害气体监测预警体系和水质生物毒性预警体</w:t>
            </w:r>
            <w:r>
              <w:rPr>
                <w:spacing w:val="13"/>
                <w:sz w:val="19"/>
                <w:szCs w:val="19"/>
              </w:rPr>
              <w:t xml:space="preserve"> </w:t>
            </w:r>
            <w:r>
              <w:rPr>
                <w:spacing w:val="-6"/>
                <w:sz w:val="19"/>
                <w:szCs w:val="19"/>
              </w:rPr>
              <w:t>系。</w:t>
            </w:r>
          </w:p>
        </w:tc>
        <w:tc>
          <w:tcPr>
            <w:tcW w:w="2082" w:type="dxa"/>
            <w:tcBorders>
              <w:top w:val="single" w:color="000000" w:sz="10" w:space="0"/>
            </w:tcBorders>
            <w:vAlign w:val="top"/>
          </w:tcPr>
          <w:p w14:paraId="530FB1CC">
            <w:pPr>
              <w:spacing w:line="265" w:lineRule="auto"/>
              <w:rPr>
                <w:rFonts w:ascii="Arial"/>
                <w:sz w:val="21"/>
              </w:rPr>
            </w:pPr>
          </w:p>
          <w:p w14:paraId="77B94C7C">
            <w:pPr>
              <w:spacing w:line="265" w:lineRule="auto"/>
              <w:rPr>
                <w:rFonts w:ascii="Arial"/>
                <w:sz w:val="21"/>
              </w:rPr>
            </w:pPr>
          </w:p>
          <w:p w14:paraId="307F552D">
            <w:pPr>
              <w:spacing w:line="266" w:lineRule="auto"/>
              <w:rPr>
                <w:rFonts w:ascii="Arial"/>
                <w:sz w:val="21"/>
              </w:rPr>
            </w:pPr>
          </w:p>
          <w:p w14:paraId="05AF4C66">
            <w:pPr>
              <w:pStyle w:val="6"/>
              <w:spacing w:before="61" w:line="232" w:lineRule="auto"/>
              <w:ind w:left="763"/>
              <w:rPr>
                <w:sz w:val="19"/>
                <w:szCs w:val="19"/>
              </w:rPr>
            </w:pPr>
            <w:r>
              <w:rPr>
                <w:spacing w:val="3"/>
                <w:sz w:val="19"/>
                <w:szCs w:val="19"/>
              </w:rPr>
              <w:t>不涉及</w:t>
            </w:r>
          </w:p>
        </w:tc>
        <w:tc>
          <w:tcPr>
            <w:tcW w:w="1826" w:type="dxa"/>
            <w:tcBorders>
              <w:top w:val="single" w:color="000000" w:sz="10" w:space="0"/>
              <w:right w:val="single" w:color="000000" w:sz="10" w:space="0"/>
            </w:tcBorders>
            <w:vAlign w:val="top"/>
          </w:tcPr>
          <w:p w14:paraId="6637FF7E">
            <w:pPr>
              <w:spacing w:line="265" w:lineRule="auto"/>
              <w:rPr>
                <w:rFonts w:ascii="Arial"/>
                <w:sz w:val="21"/>
              </w:rPr>
            </w:pPr>
          </w:p>
          <w:p w14:paraId="62CF6C3F">
            <w:pPr>
              <w:spacing w:line="265" w:lineRule="auto"/>
              <w:rPr>
                <w:rFonts w:ascii="Arial"/>
                <w:sz w:val="21"/>
              </w:rPr>
            </w:pPr>
          </w:p>
          <w:p w14:paraId="379C71FA">
            <w:pPr>
              <w:spacing w:line="266" w:lineRule="auto"/>
              <w:rPr>
                <w:rFonts w:ascii="Arial"/>
                <w:sz w:val="21"/>
              </w:rPr>
            </w:pPr>
          </w:p>
          <w:p w14:paraId="4AEBD01A">
            <w:pPr>
              <w:pStyle w:val="6"/>
              <w:spacing w:before="61" w:line="230" w:lineRule="auto"/>
              <w:ind w:left="731"/>
              <w:rPr>
                <w:sz w:val="19"/>
                <w:szCs w:val="19"/>
              </w:rPr>
            </w:pPr>
            <w:r>
              <w:rPr>
                <w:sz w:val="19"/>
                <w:szCs w:val="19"/>
              </w:rPr>
              <w:t>符合</w:t>
            </w:r>
          </w:p>
        </w:tc>
      </w:tr>
      <w:tr w14:paraId="2ACCAC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5" w:hRule="atLeast"/>
        </w:trPr>
        <w:tc>
          <w:tcPr>
            <w:tcW w:w="505" w:type="dxa"/>
            <w:vMerge w:val="continue"/>
            <w:tcBorders>
              <w:top w:val="nil"/>
              <w:left w:val="single" w:color="000000" w:sz="10" w:space="0"/>
              <w:bottom w:val="nil"/>
            </w:tcBorders>
            <w:vAlign w:val="top"/>
          </w:tcPr>
          <w:p w14:paraId="264CB2AB">
            <w:pPr>
              <w:rPr>
                <w:rFonts w:ascii="Arial"/>
                <w:sz w:val="21"/>
              </w:rPr>
            </w:pPr>
          </w:p>
        </w:tc>
        <w:tc>
          <w:tcPr>
            <w:tcW w:w="636" w:type="dxa"/>
            <w:vMerge w:val="continue"/>
            <w:tcBorders>
              <w:top w:val="nil"/>
            </w:tcBorders>
            <w:vAlign w:val="top"/>
          </w:tcPr>
          <w:p w14:paraId="671BF4CC">
            <w:pPr>
              <w:rPr>
                <w:rFonts w:ascii="Arial"/>
                <w:sz w:val="21"/>
              </w:rPr>
            </w:pPr>
          </w:p>
        </w:tc>
        <w:tc>
          <w:tcPr>
            <w:tcW w:w="1751" w:type="dxa"/>
            <w:vAlign w:val="top"/>
          </w:tcPr>
          <w:p w14:paraId="69D4329F">
            <w:pPr>
              <w:spacing w:line="244" w:lineRule="auto"/>
              <w:rPr>
                <w:rFonts w:ascii="Arial"/>
                <w:sz w:val="21"/>
              </w:rPr>
            </w:pPr>
          </w:p>
          <w:p w14:paraId="6DCF56C7">
            <w:pPr>
              <w:spacing w:line="244" w:lineRule="auto"/>
              <w:rPr>
                <w:rFonts w:ascii="Arial"/>
                <w:sz w:val="21"/>
              </w:rPr>
            </w:pPr>
          </w:p>
          <w:p w14:paraId="2246DEE5">
            <w:pPr>
              <w:spacing w:line="245" w:lineRule="auto"/>
              <w:rPr>
                <w:rFonts w:ascii="Arial"/>
                <w:sz w:val="21"/>
              </w:rPr>
            </w:pPr>
          </w:p>
          <w:p w14:paraId="185B1F75">
            <w:pPr>
              <w:spacing w:line="245" w:lineRule="auto"/>
              <w:rPr>
                <w:rFonts w:ascii="Arial"/>
                <w:sz w:val="21"/>
              </w:rPr>
            </w:pPr>
          </w:p>
          <w:p w14:paraId="2A422BB6">
            <w:pPr>
              <w:spacing w:line="245" w:lineRule="auto"/>
              <w:rPr>
                <w:rFonts w:ascii="Arial"/>
                <w:sz w:val="21"/>
              </w:rPr>
            </w:pPr>
          </w:p>
          <w:p w14:paraId="7A91883F">
            <w:pPr>
              <w:spacing w:line="245" w:lineRule="auto"/>
              <w:rPr>
                <w:rFonts w:ascii="Arial"/>
                <w:sz w:val="21"/>
              </w:rPr>
            </w:pPr>
          </w:p>
          <w:p w14:paraId="69DE761C">
            <w:pPr>
              <w:spacing w:line="245" w:lineRule="auto"/>
              <w:rPr>
                <w:rFonts w:ascii="Arial"/>
                <w:sz w:val="21"/>
              </w:rPr>
            </w:pPr>
          </w:p>
          <w:p w14:paraId="4896A2FA">
            <w:pPr>
              <w:spacing w:line="245" w:lineRule="auto"/>
              <w:rPr>
                <w:rFonts w:ascii="Arial"/>
                <w:sz w:val="21"/>
              </w:rPr>
            </w:pPr>
          </w:p>
          <w:p w14:paraId="3CE50E72">
            <w:pPr>
              <w:pStyle w:val="6"/>
              <w:spacing w:before="62" w:line="231" w:lineRule="auto"/>
              <w:ind w:left="288"/>
              <w:rPr>
                <w:sz w:val="19"/>
                <w:szCs w:val="19"/>
              </w:rPr>
            </w:pPr>
            <w:r>
              <w:rPr>
                <w:spacing w:val="6"/>
                <w:sz w:val="19"/>
                <w:szCs w:val="19"/>
              </w:rPr>
              <w:t>资源利用效率</w:t>
            </w:r>
          </w:p>
        </w:tc>
        <w:tc>
          <w:tcPr>
            <w:tcW w:w="7253" w:type="dxa"/>
            <w:vAlign w:val="top"/>
          </w:tcPr>
          <w:p w14:paraId="6AA6947C">
            <w:pPr>
              <w:pStyle w:val="6"/>
              <w:spacing w:before="87" w:line="244" w:lineRule="auto"/>
              <w:ind w:left="15" w:right="5" w:firstLine="8"/>
              <w:rPr>
                <w:sz w:val="19"/>
                <w:szCs w:val="19"/>
              </w:rPr>
            </w:pPr>
            <w:r>
              <w:rPr>
                <w:spacing w:val="8"/>
                <w:sz w:val="19"/>
                <w:szCs w:val="19"/>
              </w:rPr>
              <w:t>第十八条 实施能源领域碳达峰碳中和行动，科学有</w:t>
            </w:r>
            <w:r>
              <w:rPr>
                <w:spacing w:val="7"/>
                <w:sz w:val="19"/>
                <w:szCs w:val="19"/>
              </w:rPr>
              <w:t>序推动能源生产消费方式绿色低</w:t>
            </w:r>
            <w:r>
              <w:rPr>
                <w:sz w:val="19"/>
                <w:szCs w:val="19"/>
              </w:rPr>
              <w:t xml:space="preserve"> </w:t>
            </w:r>
            <w:r>
              <w:rPr>
                <w:spacing w:val="9"/>
                <w:sz w:val="19"/>
                <w:szCs w:val="19"/>
              </w:rPr>
              <w:t>碳变革。实施可再生能源替代，减少化石能源消费。加强产业布局和能耗</w:t>
            </w:r>
            <w:r>
              <w:rPr>
                <w:rFonts w:ascii="Times New Roman" w:hAnsi="Times New Roman" w:eastAsia="Times New Roman" w:cs="Times New Roman"/>
                <w:spacing w:val="9"/>
                <w:sz w:val="19"/>
                <w:szCs w:val="19"/>
              </w:rPr>
              <w:t>“</w:t>
            </w:r>
            <w:r>
              <w:rPr>
                <w:spacing w:val="9"/>
                <w:sz w:val="19"/>
                <w:szCs w:val="19"/>
              </w:rPr>
              <w:t>双控</w:t>
            </w:r>
            <w:r>
              <w:rPr>
                <w:rFonts w:ascii="Times New Roman" w:hAnsi="Times New Roman" w:eastAsia="Times New Roman" w:cs="Times New Roman"/>
                <w:spacing w:val="9"/>
                <w:sz w:val="19"/>
                <w:szCs w:val="19"/>
              </w:rPr>
              <w:t>”</w:t>
            </w:r>
            <w:r>
              <w:rPr>
                <w:spacing w:val="9"/>
                <w:sz w:val="19"/>
                <w:szCs w:val="19"/>
              </w:rPr>
              <w:t>政</w:t>
            </w:r>
            <w:r>
              <w:rPr>
                <w:spacing w:val="10"/>
                <w:sz w:val="19"/>
                <w:szCs w:val="19"/>
              </w:rPr>
              <w:t xml:space="preserve"> </w:t>
            </w:r>
            <w:r>
              <w:rPr>
                <w:spacing w:val="9"/>
                <w:sz w:val="19"/>
                <w:szCs w:val="19"/>
              </w:rPr>
              <w:t>策衔接，促进重点用能领域用能结构优化和能效</w:t>
            </w:r>
            <w:r>
              <w:rPr>
                <w:spacing w:val="8"/>
                <w:sz w:val="19"/>
                <w:szCs w:val="19"/>
              </w:rPr>
              <w:t>提升。</w:t>
            </w:r>
          </w:p>
          <w:p w14:paraId="56DE9C64">
            <w:pPr>
              <w:pStyle w:val="6"/>
              <w:spacing w:before="23" w:line="247" w:lineRule="auto"/>
              <w:ind w:left="16" w:right="2" w:firstLine="6"/>
              <w:rPr>
                <w:sz w:val="19"/>
                <w:szCs w:val="19"/>
              </w:rPr>
            </w:pPr>
            <w:r>
              <w:rPr>
                <w:spacing w:val="8"/>
                <w:sz w:val="19"/>
                <w:szCs w:val="19"/>
              </w:rPr>
              <w:t>第十九条 鼓励企业对标能耗限额标准先进值或国际先进水</w:t>
            </w:r>
            <w:r>
              <w:rPr>
                <w:spacing w:val="7"/>
                <w:sz w:val="19"/>
                <w:szCs w:val="19"/>
              </w:rPr>
              <w:t>平，加快主要产品工艺升</w:t>
            </w:r>
            <w:r>
              <w:rPr>
                <w:sz w:val="19"/>
                <w:szCs w:val="19"/>
              </w:rPr>
              <w:t xml:space="preserve"> </w:t>
            </w:r>
            <w:r>
              <w:rPr>
                <w:spacing w:val="8"/>
                <w:sz w:val="19"/>
                <w:szCs w:val="19"/>
              </w:rPr>
              <w:t>级与绿色化改造，推动工业窑炉、锅炉、</w:t>
            </w:r>
            <w:r>
              <w:rPr>
                <w:spacing w:val="-40"/>
                <w:sz w:val="19"/>
                <w:szCs w:val="19"/>
              </w:rPr>
              <w:t xml:space="preserve"> </w:t>
            </w:r>
            <w:r>
              <w:rPr>
                <w:spacing w:val="8"/>
                <w:sz w:val="19"/>
                <w:szCs w:val="19"/>
              </w:rPr>
              <w:t>电机、压缩机、泵、变压器等重点用能设</w:t>
            </w:r>
            <w:r>
              <w:rPr>
                <w:sz w:val="19"/>
                <w:szCs w:val="19"/>
              </w:rPr>
              <w:t xml:space="preserve"> </w:t>
            </w:r>
            <w:r>
              <w:rPr>
                <w:spacing w:val="8"/>
                <w:sz w:val="19"/>
                <w:szCs w:val="19"/>
              </w:rPr>
              <w:t>备系统节能改造。推动现有企业、</w:t>
            </w:r>
            <w:r>
              <w:rPr>
                <w:spacing w:val="-40"/>
                <w:sz w:val="19"/>
                <w:szCs w:val="19"/>
              </w:rPr>
              <w:t xml:space="preserve"> </w:t>
            </w:r>
            <w:r>
              <w:rPr>
                <w:spacing w:val="8"/>
                <w:sz w:val="19"/>
                <w:szCs w:val="19"/>
              </w:rPr>
              <w:t>园区生产过程清洁化转型，精准提升市场主体绿</w:t>
            </w:r>
            <w:r>
              <w:rPr>
                <w:sz w:val="19"/>
                <w:szCs w:val="19"/>
              </w:rPr>
              <w:t xml:space="preserve"> </w:t>
            </w:r>
            <w:r>
              <w:rPr>
                <w:spacing w:val="8"/>
                <w:sz w:val="19"/>
                <w:szCs w:val="19"/>
              </w:rPr>
              <w:t>色低碳水平，引导绿色园区低碳发展。</w:t>
            </w:r>
          </w:p>
          <w:p w14:paraId="2E8B65EA">
            <w:pPr>
              <w:pStyle w:val="6"/>
              <w:spacing w:before="21" w:line="241" w:lineRule="auto"/>
              <w:ind w:left="26" w:hanging="3"/>
              <w:rPr>
                <w:sz w:val="19"/>
                <w:szCs w:val="19"/>
              </w:rPr>
            </w:pPr>
            <w:r>
              <w:rPr>
                <w:spacing w:val="3"/>
                <w:sz w:val="19"/>
                <w:szCs w:val="19"/>
              </w:rPr>
              <w:t>第二十条 新建、扩建</w:t>
            </w:r>
            <w:r>
              <w:rPr>
                <w:rFonts w:ascii="Times New Roman" w:hAnsi="Times New Roman" w:eastAsia="Times New Roman" w:cs="Times New Roman"/>
                <w:spacing w:val="3"/>
                <w:sz w:val="19"/>
                <w:szCs w:val="19"/>
              </w:rPr>
              <w:t>“</w:t>
            </w:r>
            <w:r>
              <w:rPr>
                <w:spacing w:val="3"/>
                <w:sz w:val="19"/>
                <w:szCs w:val="19"/>
              </w:rPr>
              <w:t>两高</w:t>
            </w:r>
            <w:r>
              <w:rPr>
                <w:rFonts w:ascii="Times New Roman" w:hAnsi="Times New Roman" w:eastAsia="Times New Roman" w:cs="Times New Roman"/>
                <w:spacing w:val="3"/>
                <w:sz w:val="19"/>
                <w:szCs w:val="19"/>
              </w:rPr>
              <w:t>”</w:t>
            </w:r>
            <w:r>
              <w:rPr>
                <w:spacing w:val="3"/>
                <w:sz w:val="19"/>
                <w:szCs w:val="19"/>
              </w:rPr>
              <w:t>项目应采用先进适用的工艺技术和装备，单位产品物耗、</w:t>
            </w:r>
            <w:r>
              <w:rPr>
                <w:spacing w:val="2"/>
                <w:sz w:val="19"/>
                <w:szCs w:val="19"/>
              </w:rPr>
              <w:t xml:space="preserve"> </w:t>
            </w:r>
            <w:r>
              <w:rPr>
                <w:spacing w:val="6"/>
                <w:sz w:val="19"/>
                <w:szCs w:val="19"/>
              </w:rPr>
              <w:t>能耗、水耗等达到清洁生产先进水平。</w:t>
            </w:r>
          </w:p>
          <w:p w14:paraId="1956D284">
            <w:pPr>
              <w:pStyle w:val="6"/>
              <w:spacing w:before="20" w:line="247" w:lineRule="auto"/>
              <w:ind w:left="14" w:right="2" w:firstLine="9"/>
              <w:rPr>
                <w:sz w:val="19"/>
                <w:szCs w:val="19"/>
              </w:rPr>
            </w:pPr>
            <w:r>
              <w:rPr>
                <w:spacing w:val="8"/>
                <w:sz w:val="19"/>
                <w:szCs w:val="19"/>
              </w:rPr>
              <w:t>第二十一条 推进企业内部工业用水循环利用、园区内企业</w:t>
            </w:r>
            <w:r>
              <w:rPr>
                <w:spacing w:val="7"/>
                <w:sz w:val="19"/>
                <w:szCs w:val="19"/>
              </w:rPr>
              <w:t>间用水系统集成优化。开</w:t>
            </w:r>
            <w:r>
              <w:rPr>
                <w:sz w:val="19"/>
                <w:szCs w:val="19"/>
              </w:rPr>
              <w:t xml:space="preserve"> </w:t>
            </w:r>
            <w:r>
              <w:rPr>
                <w:spacing w:val="10"/>
                <w:sz w:val="19"/>
                <w:szCs w:val="19"/>
              </w:rPr>
              <w:t>展火电、石化、有色金属、造纸、印染等高耗水</w:t>
            </w:r>
            <w:r>
              <w:rPr>
                <w:spacing w:val="9"/>
                <w:sz w:val="19"/>
                <w:szCs w:val="19"/>
              </w:rPr>
              <w:t>行业工业废水循环利用示范。根据</w:t>
            </w:r>
            <w:r>
              <w:rPr>
                <w:sz w:val="19"/>
                <w:szCs w:val="19"/>
              </w:rPr>
              <w:t xml:space="preserve"> </w:t>
            </w:r>
            <w:r>
              <w:rPr>
                <w:spacing w:val="10"/>
                <w:sz w:val="19"/>
                <w:szCs w:val="19"/>
              </w:rPr>
              <w:t>区域水资源禀赋和行业特点，结合用水总量控制</w:t>
            </w:r>
            <w:r>
              <w:rPr>
                <w:spacing w:val="9"/>
                <w:sz w:val="19"/>
                <w:szCs w:val="19"/>
              </w:rPr>
              <w:t>措施，引导区域工业布局和产业结</w:t>
            </w:r>
            <w:r>
              <w:rPr>
                <w:sz w:val="19"/>
                <w:szCs w:val="19"/>
              </w:rPr>
              <w:t xml:space="preserve"> </w:t>
            </w:r>
            <w:r>
              <w:rPr>
                <w:spacing w:val="9"/>
                <w:sz w:val="19"/>
                <w:szCs w:val="19"/>
              </w:rPr>
              <w:t>构调整，大力推广工业水循环利用，加快淘汰落后用水工艺和技术。</w:t>
            </w:r>
          </w:p>
          <w:p w14:paraId="74E4BF2C">
            <w:pPr>
              <w:pStyle w:val="6"/>
              <w:spacing w:before="21" w:line="245" w:lineRule="auto"/>
              <w:ind w:left="14" w:right="5" w:firstLine="9"/>
              <w:rPr>
                <w:sz w:val="19"/>
                <w:szCs w:val="19"/>
              </w:rPr>
            </w:pPr>
            <w:r>
              <w:rPr>
                <w:spacing w:val="8"/>
                <w:sz w:val="19"/>
                <w:szCs w:val="19"/>
              </w:rPr>
              <w:t>第二十二条 加快推进节水配套设施建设，加强再生</w:t>
            </w:r>
            <w:r>
              <w:rPr>
                <w:spacing w:val="7"/>
                <w:sz w:val="19"/>
                <w:szCs w:val="19"/>
              </w:rPr>
              <w:t>水、雨水等非常规水多元、梯级</w:t>
            </w:r>
            <w:r>
              <w:rPr>
                <w:sz w:val="19"/>
                <w:szCs w:val="19"/>
              </w:rPr>
              <w:t xml:space="preserve"> </w:t>
            </w:r>
            <w:r>
              <w:rPr>
                <w:spacing w:val="10"/>
                <w:sz w:val="19"/>
                <w:szCs w:val="19"/>
              </w:rPr>
              <w:t>和安全利用，逐年提高非常规水利用比例。结合</w:t>
            </w:r>
            <w:r>
              <w:rPr>
                <w:spacing w:val="9"/>
                <w:sz w:val="19"/>
                <w:szCs w:val="19"/>
              </w:rPr>
              <w:t>现有污水处理设施提标升级扩能改</w:t>
            </w:r>
            <w:r>
              <w:rPr>
                <w:sz w:val="19"/>
                <w:szCs w:val="19"/>
              </w:rPr>
              <w:t xml:space="preserve"> </w:t>
            </w:r>
            <w:r>
              <w:rPr>
                <w:spacing w:val="8"/>
                <w:sz w:val="19"/>
                <w:szCs w:val="19"/>
              </w:rPr>
              <w:t>造，系统规划城镇污水再生利用设施。</w:t>
            </w:r>
          </w:p>
        </w:tc>
        <w:tc>
          <w:tcPr>
            <w:tcW w:w="2082" w:type="dxa"/>
            <w:vAlign w:val="top"/>
          </w:tcPr>
          <w:p w14:paraId="0FCAEA32">
            <w:pPr>
              <w:spacing w:line="244" w:lineRule="auto"/>
              <w:rPr>
                <w:rFonts w:ascii="Arial"/>
                <w:sz w:val="21"/>
              </w:rPr>
            </w:pPr>
          </w:p>
          <w:p w14:paraId="04EA45DD">
            <w:pPr>
              <w:spacing w:line="244" w:lineRule="auto"/>
              <w:rPr>
                <w:rFonts w:ascii="Arial"/>
                <w:sz w:val="21"/>
              </w:rPr>
            </w:pPr>
          </w:p>
          <w:p w14:paraId="77B5655A">
            <w:pPr>
              <w:spacing w:line="245" w:lineRule="auto"/>
              <w:rPr>
                <w:rFonts w:ascii="Arial"/>
                <w:sz w:val="21"/>
              </w:rPr>
            </w:pPr>
          </w:p>
          <w:p w14:paraId="5E0341B6">
            <w:pPr>
              <w:spacing w:line="245" w:lineRule="auto"/>
              <w:rPr>
                <w:rFonts w:ascii="Arial"/>
                <w:sz w:val="21"/>
              </w:rPr>
            </w:pPr>
          </w:p>
          <w:p w14:paraId="7E128814">
            <w:pPr>
              <w:spacing w:line="245" w:lineRule="auto"/>
              <w:rPr>
                <w:rFonts w:ascii="Arial"/>
                <w:sz w:val="21"/>
              </w:rPr>
            </w:pPr>
          </w:p>
          <w:p w14:paraId="70FAD3AA">
            <w:pPr>
              <w:spacing w:line="245" w:lineRule="auto"/>
              <w:rPr>
                <w:rFonts w:ascii="Arial"/>
                <w:sz w:val="21"/>
              </w:rPr>
            </w:pPr>
          </w:p>
          <w:p w14:paraId="053994AB">
            <w:pPr>
              <w:spacing w:line="245" w:lineRule="auto"/>
              <w:rPr>
                <w:rFonts w:ascii="Arial"/>
                <w:sz w:val="21"/>
              </w:rPr>
            </w:pPr>
          </w:p>
          <w:p w14:paraId="4D506027">
            <w:pPr>
              <w:spacing w:line="245" w:lineRule="auto"/>
              <w:rPr>
                <w:rFonts w:ascii="Arial"/>
                <w:sz w:val="21"/>
              </w:rPr>
            </w:pPr>
          </w:p>
          <w:p w14:paraId="63198D74">
            <w:pPr>
              <w:pStyle w:val="6"/>
              <w:spacing w:before="61" w:line="232" w:lineRule="auto"/>
              <w:ind w:left="763"/>
              <w:rPr>
                <w:sz w:val="19"/>
                <w:szCs w:val="19"/>
              </w:rPr>
            </w:pPr>
            <w:r>
              <w:rPr>
                <w:spacing w:val="3"/>
                <w:sz w:val="19"/>
                <w:szCs w:val="19"/>
              </w:rPr>
              <w:t>不涉及</w:t>
            </w:r>
          </w:p>
        </w:tc>
        <w:tc>
          <w:tcPr>
            <w:tcW w:w="1826" w:type="dxa"/>
            <w:tcBorders>
              <w:right w:val="single" w:color="000000" w:sz="10" w:space="0"/>
            </w:tcBorders>
            <w:vAlign w:val="top"/>
          </w:tcPr>
          <w:p w14:paraId="59AF8161">
            <w:pPr>
              <w:spacing w:line="244" w:lineRule="auto"/>
              <w:rPr>
                <w:rFonts w:ascii="Arial"/>
                <w:sz w:val="21"/>
              </w:rPr>
            </w:pPr>
          </w:p>
          <w:p w14:paraId="556CA3A0">
            <w:pPr>
              <w:spacing w:line="244" w:lineRule="auto"/>
              <w:rPr>
                <w:rFonts w:ascii="Arial"/>
                <w:sz w:val="21"/>
              </w:rPr>
            </w:pPr>
          </w:p>
          <w:p w14:paraId="1CEBAFA7">
            <w:pPr>
              <w:spacing w:line="244" w:lineRule="auto"/>
              <w:rPr>
                <w:rFonts w:ascii="Arial"/>
                <w:sz w:val="21"/>
              </w:rPr>
            </w:pPr>
          </w:p>
          <w:p w14:paraId="056B94E9">
            <w:pPr>
              <w:spacing w:line="245" w:lineRule="auto"/>
              <w:rPr>
                <w:rFonts w:ascii="Arial"/>
                <w:sz w:val="21"/>
              </w:rPr>
            </w:pPr>
          </w:p>
          <w:p w14:paraId="29FFF9E7">
            <w:pPr>
              <w:spacing w:line="245" w:lineRule="auto"/>
              <w:rPr>
                <w:rFonts w:ascii="Arial"/>
                <w:sz w:val="21"/>
              </w:rPr>
            </w:pPr>
          </w:p>
          <w:p w14:paraId="386EDBCD">
            <w:pPr>
              <w:spacing w:line="245" w:lineRule="auto"/>
              <w:rPr>
                <w:rFonts w:ascii="Arial"/>
                <w:sz w:val="21"/>
              </w:rPr>
            </w:pPr>
          </w:p>
          <w:p w14:paraId="6F3AED88">
            <w:pPr>
              <w:spacing w:line="245" w:lineRule="auto"/>
              <w:rPr>
                <w:rFonts w:ascii="Arial"/>
                <w:sz w:val="21"/>
              </w:rPr>
            </w:pPr>
          </w:p>
          <w:p w14:paraId="510EDFA0">
            <w:pPr>
              <w:spacing w:line="245" w:lineRule="auto"/>
              <w:rPr>
                <w:rFonts w:ascii="Arial"/>
                <w:sz w:val="21"/>
              </w:rPr>
            </w:pPr>
          </w:p>
          <w:p w14:paraId="3C5C990A">
            <w:pPr>
              <w:pStyle w:val="6"/>
              <w:spacing w:before="62" w:line="230" w:lineRule="auto"/>
              <w:ind w:left="731"/>
              <w:rPr>
                <w:sz w:val="19"/>
                <w:szCs w:val="19"/>
              </w:rPr>
            </w:pPr>
            <w:r>
              <w:rPr>
                <w:sz w:val="19"/>
                <w:szCs w:val="19"/>
              </w:rPr>
              <w:t>符合</w:t>
            </w:r>
          </w:p>
        </w:tc>
      </w:tr>
      <w:tr w14:paraId="02B850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505" w:type="dxa"/>
            <w:vMerge w:val="continue"/>
            <w:tcBorders>
              <w:top w:val="nil"/>
              <w:left w:val="single" w:color="000000" w:sz="10" w:space="0"/>
              <w:bottom w:val="nil"/>
            </w:tcBorders>
            <w:vAlign w:val="top"/>
          </w:tcPr>
          <w:p w14:paraId="346E88D4">
            <w:pPr>
              <w:rPr>
                <w:rFonts w:ascii="Arial"/>
                <w:sz w:val="21"/>
              </w:rPr>
            </w:pPr>
          </w:p>
        </w:tc>
        <w:tc>
          <w:tcPr>
            <w:tcW w:w="636" w:type="dxa"/>
            <w:vMerge w:val="restart"/>
            <w:tcBorders>
              <w:bottom w:val="nil"/>
            </w:tcBorders>
            <w:vAlign w:val="top"/>
          </w:tcPr>
          <w:p w14:paraId="36EA10FB">
            <w:pPr>
              <w:spacing w:line="304" w:lineRule="auto"/>
              <w:rPr>
                <w:rFonts w:ascii="Arial"/>
                <w:sz w:val="21"/>
              </w:rPr>
            </w:pPr>
          </w:p>
          <w:p w14:paraId="4AB8AFA6">
            <w:pPr>
              <w:spacing w:line="304" w:lineRule="auto"/>
              <w:rPr>
                <w:rFonts w:ascii="Arial"/>
                <w:sz w:val="21"/>
              </w:rPr>
            </w:pPr>
          </w:p>
          <w:p w14:paraId="1D8EB983">
            <w:pPr>
              <w:pStyle w:val="6"/>
              <w:spacing w:before="61" w:line="233" w:lineRule="auto"/>
              <w:ind w:left="19"/>
              <w:rPr>
                <w:sz w:val="19"/>
                <w:szCs w:val="19"/>
              </w:rPr>
            </w:pPr>
            <w:r>
              <w:rPr>
                <w:spacing w:val="4"/>
                <w:sz w:val="19"/>
                <w:szCs w:val="19"/>
              </w:rPr>
              <w:t>一般管</w:t>
            </w:r>
          </w:p>
          <w:p w14:paraId="7F6DCFB6">
            <w:pPr>
              <w:pStyle w:val="6"/>
              <w:spacing w:before="19" w:line="230" w:lineRule="auto"/>
              <w:ind w:left="17"/>
              <w:rPr>
                <w:sz w:val="19"/>
                <w:szCs w:val="19"/>
              </w:rPr>
            </w:pPr>
            <w:r>
              <w:rPr>
                <w:spacing w:val="5"/>
                <w:sz w:val="19"/>
                <w:szCs w:val="19"/>
              </w:rPr>
              <w:t>控单元</w:t>
            </w:r>
          </w:p>
        </w:tc>
        <w:tc>
          <w:tcPr>
            <w:tcW w:w="1751" w:type="dxa"/>
            <w:vAlign w:val="top"/>
          </w:tcPr>
          <w:p w14:paraId="4DAF0924">
            <w:pPr>
              <w:pStyle w:val="6"/>
              <w:spacing w:before="227" w:line="229" w:lineRule="auto"/>
              <w:ind w:left="289"/>
              <w:rPr>
                <w:sz w:val="19"/>
                <w:szCs w:val="19"/>
              </w:rPr>
            </w:pPr>
            <w:r>
              <w:rPr>
                <w:spacing w:val="5"/>
                <w:sz w:val="19"/>
                <w:szCs w:val="19"/>
              </w:rPr>
              <w:t>空间布局约束</w:t>
            </w:r>
          </w:p>
        </w:tc>
        <w:tc>
          <w:tcPr>
            <w:tcW w:w="7253" w:type="dxa"/>
            <w:vAlign w:val="top"/>
          </w:tcPr>
          <w:p w14:paraId="06FA06F0">
            <w:pPr>
              <w:pStyle w:val="6"/>
              <w:spacing w:before="98" w:line="250" w:lineRule="auto"/>
              <w:ind w:left="16" w:right="2" w:firstLine="7"/>
              <w:rPr>
                <w:sz w:val="19"/>
                <w:szCs w:val="19"/>
              </w:rPr>
            </w:pPr>
            <w:r>
              <w:rPr>
                <w:spacing w:val="7"/>
                <w:sz w:val="19"/>
                <w:szCs w:val="19"/>
              </w:rPr>
              <w:t>第一条 深入实施农村</w:t>
            </w:r>
            <w:r>
              <w:rPr>
                <w:rFonts w:ascii="Times New Roman" w:hAnsi="Times New Roman" w:eastAsia="Times New Roman" w:cs="Times New Roman"/>
                <w:spacing w:val="7"/>
                <w:sz w:val="19"/>
                <w:szCs w:val="19"/>
              </w:rPr>
              <w:t>“</w:t>
            </w:r>
            <w:r>
              <w:rPr>
                <w:spacing w:val="7"/>
                <w:sz w:val="19"/>
                <w:szCs w:val="19"/>
              </w:rPr>
              <w:t>厕所革命</w:t>
            </w:r>
            <w:r>
              <w:rPr>
                <w:rFonts w:ascii="Times New Roman" w:hAnsi="Times New Roman" w:eastAsia="Times New Roman" w:cs="Times New Roman"/>
                <w:spacing w:val="7"/>
                <w:sz w:val="19"/>
                <w:szCs w:val="19"/>
              </w:rPr>
              <w:t>”</w:t>
            </w:r>
            <w:r>
              <w:rPr>
                <w:rFonts w:ascii="Times New Roman" w:hAnsi="Times New Roman" w:eastAsia="Times New Roman" w:cs="Times New Roman"/>
                <w:spacing w:val="-7"/>
                <w:sz w:val="19"/>
                <w:szCs w:val="19"/>
              </w:rPr>
              <w:t xml:space="preserve"> </w:t>
            </w:r>
            <w:r>
              <w:rPr>
                <w:spacing w:val="7"/>
                <w:sz w:val="19"/>
                <w:szCs w:val="19"/>
              </w:rPr>
              <w:t>，推进农村生活垃圾治理和农村生活污水治理，基</w:t>
            </w:r>
            <w:r>
              <w:rPr>
                <w:sz w:val="19"/>
                <w:szCs w:val="19"/>
              </w:rPr>
              <w:t xml:space="preserve"> </w:t>
            </w:r>
            <w:r>
              <w:rPr>
                <w:spacing w:val="9"/>
                <w:sz w:val="19"/>
                <w:szCs w:val="19"/>
              </w:rPr>
              <w:t>本消除较大面积农村黑臭水体，整治提升农村人居环境。</w:t>
            </w:r>
          </w:p>
        </w:tc>
        <w:tc>
          <w:tcPr>
            <w:tcW w:w="2082" w:type="dxa"/>
            <w:vAlign w:val="top"/>
          </w:tcPr>
          <w:p w14:paraId="691E54B3">
            <w:pPr>
              <w:pStyle w:val="6"/>
              <w:spacing w:before="227" w:line="232" w:lineRule="auto"/>
              <w:ind w:left="763"/>
              <w:rPr>
                <w:sz w:val="19"/>
                <w:szCs w:val="19"/>
              </w:rPr>
            </w:pPr>
            <w:r>
              <w:rPr>
                <w:spacing w:val="3"/>
                <w:sz w:val="19"/>
                <w:szCs w:val="19"/>
              </w:rPr>
              <w:t>不涉及</w:t>
            </w:r>
          </w:p>
        </w:tc>
        <w:tc>
          <w:tcPr>
            <w:tcW w:w="1826" w:type="dxa"/>
            <w:tcBorders>
              <w:right w:val="single" w:color="000000" w:sz="10" w:space="0"/>
            </w:tcBorders>
            <w:vAlign w:val="top"/>
          </w:tcPr>
          <w:p w14:paraId="08A13132">
            <w:pPr>
              <w:pStyle w:val="6"/>
              <w:spacing w:before="227" w:line="230" w:lineRule="auto"/>
              <w:ind w:left="731"/>
              <w:rPr>
                <w:sz w:val="19"/>
                <w:szCs w:val="19"/>
              </w:rPr>
            </w:pPr>
            <w:r>
              <w:rPr>
                <w:sz w:val="19"/>
                <w:szCs w:val="19"/>
              </w:rPr>
              <w:t>符合</w:t>
            </w:r>
          </w:p>
        </w:tc>
      </w:tr>
      <w:tr w14:paraId="148852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1" w:hRule="atLeast"/>
        </w:trPr>
        <w:tc>
          <w:tcPr>
            <w:tcW w:w="505" w:type="dxa"/>
            <w:vMerge w:val="continue"/>
            <w:tcBorders>
              <w:top w:val="nil"/>
              <w:left w:val="single" w:color="000000" w:sz="10" w:space="0"/>
            </w:tcBorders>
            <w:vAlign w:val="top"/>
          </w:tcPr>
          <w:p w14:paraId="185EFCCF">
            <w:pPr>
              <w:rPr>
                <w:rFonts w:ascii="Arial"/>
                <w:sz w:val="21"/>
              </w:rPr>
            </w:pPr>
          </w:p>
        </w:tc>
        <w:tc>
          <w:tcPr>
            <w:tcW w:w="636" w:type="dxa"/>
            <w:vMerge w:val="continue"/>
            <w:tcBorders>
              <w:top w:val="nil"/>
            </w:tcBorders>
            <w:vAlign w:val="top"/>
          </w:tcPr>
          <w:p w14:paraId="67718598">
            <w:pPr>
              <w:rPr>
                <w:rFonts w:ascii="Arial"/>
                <w:sz w:val="21"/>
              </w:rPr>
            </w:pPr>
          </w:p>
        </w:tc>
        <w:tc>
          <w:tcPr>
            <w:tcW w:w="1751" w:type="dxa"/>
            <w:vAlign w:val="top"/>
          </w:tcPr>
          <w:p w14:paraId="2780D7D5">
            <w:pPr>
              <w:spacing w:line="425" w:lineRule="auto"/>
              <w:rPr>
                <w:rFonts w:ascii="Arial"/>
                <w:sz w:val="21"/>
              </w:rPr>
            </w:pPr>
          </w:p>
          <w:p w14:paraId="060C8198">
            <w:pPr>
              <w:pStyle w:val="6"/>
              <w:spacing w:before="62" w:line="230" w:lineRule="auto"/>
              <w:ind w:left="181"/>
              <w:rPr>
                <w:sz w:val="19"/>
                <w:szCs w:val="19"/>
              </w:rPr>
            </w:pPr>
            <w:r>
              <w:rPr>
                <w:spacing w:val="7"/>
                <w:sz w:val="19"/>
                <w:szCs w:val="19"/>
              </w:rPr>
              <w:t>污染物排放管控</w:t>
            </w:r>
          </w:p>
        </w:tc>
        <w:tc>
          <w:tcPr>
            <w:tcW w:w="7253" w:type="dxa"/>
            <w:vAlign w:val="top"/>
          </w:tcPr>
          <w:p w14:paraId="2D6B3CA0">
            <w:pPr>
              <w:pStyle w:val="6"/>
              <w:spacing w:before="101" w:line="250" w:lineRule="auto"/>
              <w:ind w:left="15" w:right="2" w:firstLine="8"/>
              <w:jc w:val="both"/>
              <w:rPr>
                <w:sz w:val="19"/>
                <w:szCs w:val="19"/>
              </w:rPr>
            </w:pPr>
            <w:r>
              <w:rPr>
                <w:spacing w:val="8"/>
                <w:sz w:val="19"/>
                <w:szCs w:val="19"/>
              </w:rPr>
              <w:t>第二条 加强畜禽粪污资源化利用，加快推动长江沿线畜禽</w:t>
            </w:r>
            <w:r>
              <w:rPr>
                <w:spacing w:val="7"/>
                <w:sz w:val="19"/>
                <w:szCs w:val="19"/>
              </w:rPr>
              <w:t>规模化养殖场粪污处理配</w:t>
            </w:r>
            <w:r>
              <w:rPr>
                <w:sz w:val="19"/>
                <w:szCs w:val="19"/>
              </w:rPr>
              <w:t xml:space="preserve"> </w:t>
            </w:r>
            <w:r>
              <w:rPr>
                <w:spacing w:val="10"/>
                <w:sz w:val="19"/>
                <w:szCs w:val="19"/>
              </w:rPr>
              <w:t>套设施装备提档升级，推进畜禽养殖户粪污处理</w:t>
            </w:r>
            <w:r>
              <w:rPr>
                <w:spacing w:val="9"/>
                <w:sz w:val="19"/>
                <w:szCs w:val="19"/>
              </w:rPr>
              <w:t>设施装备配套，推行畜禽粪肥低成</w:t>
            </w:r>
            <w:r>
              <w:rPr>
                <w:sz w:val="19"/>
                <w:szCs w:val="19"/>
              </w:rPr>
              <w:t xml:space="preserve"> </w:t>
            </w:r>
            <w:r>
              <w:rPr>
                <w:spacing w:val="10"/>
                <w:sz w:val="19"/>
                <w:szCs w:val="19"/>
              </w:rPr>
              <w:t>本、机械化、就地就近还田，推进水产养殖尾水</w:t>
            </w:r>
            <w:r>
              <w:rPr>
                <w:spacing w:val="9"/>
                <w:sz w:val="19"/>
                <w:szCs w:val="19"/>
              </w:rPr>
              <w:t>治理，强化水产养殖投入品使用管</w:t>
            </w:r>
            <w:r>
              <w:rPr>
                <w:sz w:val="19"/>
                <w:szCs w:val="19"/>
              </w:rPr>
              <w:t xml:space="preserve"> </w:t>
            </w:r>
            <w:r>
              <w:rPr>
                <w:spacing w:val="-3"/>
                <w:sz w:val="19"/>
                <w:szCs w:val="19"/>
              </w:rPr>
              <w:t>理。</w:t>
            </w:r>
          </w:p>
        </w:tc>
        <w:tc>
          <w:tcPr>
            <w:tcW w:w="2082" w:type="dxa"/>
            <w:vAlign w:val="top"/>
          </w:tcPr>
          <w:p w14:paraId="1FF25230">
            <w:pPr>
              <w:spacing w:line="425" w:lineRule="auto"/>
              <w:rPr>
                <w:rFonts w:ascii="Arial"/>
                <w:sz w:val="21"/>
              </w:rPr>
            </w:pPr>
          </w:p>
          <w:p w14:paraId="05E3EA4C">
            <w:pPr>
              <w:pStyle w:val="6"/>
              <w:spacing w:before="62" w:line="232" w:lineRule="auto"/>
              <w:ind w:left="763"/>
              <w:rPr>
                <w:sz w:val="19"/>
                <w:szCs w:val="19"/>
              </w:rPr>
            </w:pPr>
            <w:r>
              <w:rPr>
                <w:spacing w:val="3"/>
                <w:sz w:val="19"/>
                <w:szCs w:val="19"/>
              </w:rPr>
              <w:t>不涉及</w:t>
            </w:r>
          </w:p>
        </w:tc>
        <w:tc>
          <w:tcPr>
            <w:tcW w:w="1826" w:type="dxa"/>
            <w:tcBorders>
              <w:right w:val="single" w:color="000000" w:sz="10" w:space="0"/>
            </w:tcBorders>
            <w:vAlign w:val="top"/>
          </w:tcPr>
          <w:p w14:paraId="7DFE5DA1">
            <w:pPr>
              <w:spacing w:line="425" w:lineRule="auto"/>
              <w:rPr>
                <w:rFonts w:ascii="Arial"/>
                <w:sz w:val="21"/>
              </w:rPr>
            </w:pPr>
          </w:p>
          <w:p w14:paraId="347306E0">
            <w:pPr>
              <w:pStyle w:val="6"/>
              <w:spacing w:before="62" w:line="230" w:lineRule="auto"/>
              <w:ind w:left="731"/>
              <w:rPr>
                <w:sz w:val="19"/>
                <w:szCs w:val="19"/>
              </w:rPr>
            </w:pPr>
            <w:r>
              <w:rPr>
                <w:sz w:val="19"/>
                <w:szCs w:val="19"/>
              </w:rPr>
              <w:t>符合</w:t>
            </w:r>
          </w:p>
        </w:tc>
      </w:tr>
      <w:tr w14:paraId="4FBC5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141" w:type="dxa"/>
            <w:gridSpan w:val="2"/>
            <w:tcBorders>
              <w:left w:val="single" w:color="000000" w:sz="10" w:space="0"/>
              <w:bottom w:val="single" w:color="000000" w:sz="10" w:space="0"/>
            </w:tcBorders>
            <w:vAlign w:val="top"/>
          </w:tcPr>
          <w:p w14:paraId="2ACA5BD7">
            <w:pPr>
              <w:pStyle w:val="6"/>
              <w:spacing w:before="234" w:line="234" w:lineRule="auto"/>
              <w:ind w:left="273"/>
              <w:rPr>
                <w:sz w:val="19"/>
                <w:szCs w:val="19"/>
              </w:rPr>
            </w:pPr>
            <w:r>
              <w:rPr>
                <w:spacing w:val="4"/>
                <w:sz w:val="19"/>
                <w:szCs w:val="19"/>
              </w:rPr>
              <w:t>黔江区</w:t>
            </w:r>
          </w:p>
        </w:tc>
        <w:tc>
          <w:tcPr>
            <w:tcW w:w="1751" w:type="dxa"/>
            <w:tcBorders>
              <w:bottom w:val="single" w:color="000000" w:sz="10" w:space="0"/>
            </w:tcBorders>
            <w:vAlign w:val="top"/>
          </w:tcPr>
          <w:p w14:paraId="30507FE3">
            <w:pPr>
              <w:pStyle w:val="6"/>
              <w:spacing w:before="234" w:line="229" w:lineRule="auto"/>
              <w:ind w:left="289"/>
              <w:rPr>
                <w:sz w:val="19"/>
                <w:szCs w:val="19"/>
              </w:rPr>
            </w:pPr>
            <w:r>
              <w:rPr>
                <w:spacing w:val="5"/>
                <w:sz w:val="19"/>
                <w:szCs w:val="19"/>
              </w:rPr>
              <w:t>空间布局约束</w:t>
            </w:r>
          </w:p>
        </w:tc>
        <w:tc>
          <w:tcPr>
            <w:tcW w:w="7253" w:type="dxa"/>
            <w:tcBorders>
              <w:bottom w:val="single" w:color="000000" w:sz="10" w:space="0"/>
            </w:tcBorders>
            <w:vAlign w:val="top"/>
          </w:tcPr>
          <w:p w14:paraId="11CF0A29">
            <w:pPr>
              <w:pStyle w:val="6"/>
              <w:spacing w:before="104" w:line="252" w:lineRule="auto"/>
              <w:ind w:left="15" w:right="46" w:firstLine="8"/>
              <w:rPr>
                <w:sz w:val="19"/>
                <w:szCs w:val="19"/>
              </w:rPr>
            </w:pPr>
            <w:r>
              <w:rPr>
                <w:spacing w:val="9"/>
                <w:sz w:val="19"/>
                <w:szCs w:val="19"/>
              </w:rPr>
              <w:t>第一条执行重点管控单元市级总体要求第一条、第三条、第四条、第五条、第六条</w:t>
            </w:r>
            <w:r>
              <w:rPr>
                <w:spacing w:val="12"/>
                <w:sz w:val="19"/>
                <w:szCs w:val="19"/>
              </w:rPr>
              <w:t xml:space="preserve"> </w:t>
            </w:r>
            <w:r>
              <w:rPr>
                <w:spacing w:val="5"/>
                <w:sz w:val="19"/>
                <w:szCs w:val="19"/>
              </w:rPr>
              <w:t>和第七条。</w:t>
            </w:r>
          </w:p>
        </w:tc>
        <w:tc>
          <w:tcPr>
            <w:tcW w:w="2082" w:type="dxa"/>
            <w:tcBorders>
              <w:bottom w:val="single" w:color="000000" w:sz="10" w:space="0"/>
            </w:tcBorders>
            <w:vAlign w:val="top"/>
          </w:tcPr>
          <w:p w14:paraId="32B71A3A">
            <w:pPr>
              <w:pStyle w:val="6"/>
              <w:spacing w:before="105" w:line="252" w:lineRule="auto"/>
              <w:ind w:left="36" w:right="64" w:hanging="9"/>
              <w:rPr>
                <w:sz w:val="19"/>
                <w:szCs w:val="19"/>
              </w:rPr>
            </w:pPr>
            <w:r>
              <w:rPr>
                <w:spacing w:val="8"/>
                <w:sz w:val="19"/>
                <w:szCs w:val="19"/>
              </w:rPr>
              <w:t>按照边开采边治理边修</w:t>
            </w:r>
            <w:r>
              <w:rPr>
                <w:spacing w:val="4"/>
                <w:sz w:val="19"/>
                <w:szCs w:val="19"/>
              </w:rPr>
              <w:t xml:space="preserve"> </w:t>
            </w:r>
            <w:r>
              <w:rPr>
                <w:spacing w:val="7"/>
                <w:sz w:val="19"/>
                <w:szCs w:val="19"/>
              </w:rPr>
              <w:t>复的原则，加强对矿山</w:t>
            </w:r>
          </w:p>
        </w:tc>
        <w:tc>
          <w:tcPr>
            <w:tcW w:w="1826" w:type="dxa"/>
            <w:tcBorders>
              <w:bottom w:val="single" w:color="000000" w:sz="10" w:space="0"/>
              <w:right w:val="single" w:color="000000" w:sz="10" w:space="0"/>
            </w:tcBorders>
            <w:vAlign w:val="top"/>
          </w:tcPr>
          <w:p w14:paraId="213B51CD">
            <w:pPr>
              <w:pStyle w:val="6"/>
              <w:spacing w:before="234" w:line="230" w:lineRule="auto"/>
              <w:ind w:left="731"/>
              <w:rPr>
                <w:sz w:val="19"/>
                <w:szCs w:val="19"/>
              </w:rPr>
            </w:pPr>
            <w:r>
              <w:rPr>
                <w:sz w:val="19"/>
                <w:szCs w:val="19"/>
              </w:rPr>
              <w:t>符合</w:t>
            </w:r>
          </w:p>
        </w:tc>
      </w:tr>
    </w:tbl>
    <w:p w14:paraId="5645587D">
      <w:pPr>
        <w:pStyle w:val="2"/>
        <w:spacing w:line="183" w:lineRule="exact"/>
        <w:rPr>
          <w:sz w:val="15"/>
        </w:rPr>
      </w:pPr>
    </w:p>
    <w:p w14:paraId="11B53D0C">
      <w:pPr>
        <w:spacing w:line="183" w:lineRule="exact"/>
        <w:rPr>
          <w:sz w:val="15"/>
          <w:szCs w:val="15"/>
        </w:rPr>
        <w:sectPr>
          <w:footerReference r:id="rId93" w:type="default"/>
          <w:pgSz w:w="16839" w:h="11906"/>
          <w:pgMar w:top="1116" w:right="1379" w:bottom="1477" w:left="1379" w:header="683" w:footer="1318" w:gutter="0"/>
          <w:cols w:space="720" w:num="1"/>
        </w:sectPr>
      </w:pPr>
    </w:p>
    <w:p w14:paraId="08358C34">
      <w:pPr>
        <w:spacing w:before="229"/>
      </w:pPr>
    </w:p>
    <w:tbl>
      <w:tblPr>
        <w:tblStyle w:val="5"/>
        <w:tblW w:w="1405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1"/>
        <w:gridCol w:w="1751"/>
        <w:gridCol w:w="7253"/>
        <w:gridCol w:w="2082"/>
        <w:gridCol w:w="1826"/>
      </w:tblGrid>
      <w:tr w14:paraId="071744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2" w:hRule="atLeast"/>
        </w:trPr>
        <w:tc>
          <w:tcPr>
            <w:tcW w:w="1141" w:type="dxa"/>
            <w:vMerge w:val="restart"/>
            <w:tcBorders>
              <w:top w:val="single" w:color="000000" w:sz="10" w:space="0"/>
              <w:left w:val="single" w:color="000000" w:sz="10" w:space="0"/>
              <w:bottom w:val="nil"/>
            </w:tcBorders>
            <w:vAlign w:val="top"/>
          </w:tcPr>
          <w:p w14:paraId="69B8425A">
            <w:pPr>
              <w:rPr>
                <w:rFonts w:ascii="Arial"/>
                <w:sz w:val="21"/>
              </w:rPr>
            </w:pPr>
          </w:p>
        </w:tc>
        <w:tc>
          <w:tcPr>
            <w:tcW w:w="1751" w:type="dxa"/>
            <w:tcBorders>
              <w:top w:val="single" w:color="000000" w:sz="10" w:space="0"/>
            </w:tcBorders>
            <w:vAlign w:val="top"/>
          </w:tcPr>
          <w:p w14:paraId="4BBBB256">
            <w:pPr>
              <w:rPr>
                <w:rFonts w:ascii="Arial"/>
                <w:sz w:val="21"/>
              </w:rPr>
            </w:pPr>
          </w:p>
        </w:tc>
        <w:tc>
          <w:tcPr>
            <w:tcW w:w="7253" w:type="dxa"/>
            <w:tcBorders>
              <w:top w:val="single" w:color="000000" w:sz="10" w:space="0"/>
            </w:tcBorders>
            <w:vAlign w:val="top"/>
          </w:tcPr>
          <w:p w14:paraId="4C212EA4">
            <w:pPr>
              <w:pStyle w:val="6"/>
              <w:spacing w:before="66" w:line="244" w:lineRule="auto"/>
              <w:ind w:left="18" w:firstLine="5"/>
              <w:rPr>
                <w:sz w:val="19"/>
                <w:szCs w:val="19"/>
              </w:rPr>
            </w:pPr>
            <w:r>
              <w:rPr>
                <w:spacing w:val="5"/>
                <w:sz w:val="19"/>
                <w:szCs w:val="19"/>
              </w:rPr>
              <w:t>第二条武陵山区石漠化山地生态恢复区加强退化山地的植被恢复与重建，对石会镇、</w:t>
            </w:r>
            <w:r>
              <w:rPr>
                <w:spacing w:val="8"/>
                <w:sz w:val="19"/>
                <w:szCs w:val="19"/>
              </w:rPr>
              <w:t xml:space="preserve"> 黑溪镇、马喇镇等矿山遗留的矿山开发区域、采石场等区域，加强自然</w:t>
            </w:r>
            <w:r>
              <w:rPr>
                <w:spacing w:val="7"/>
                <w:sz w:val="19"/>
                <w:szCs w:val="19"/>
              </w:rPr>
              <w:t>生态恢复工</w:t>
            </w:r>
            <w:r>
              <w:rPr>
                <w:sz w:val="19"/>
                <w:szCs w:val="19"/>
              </w:rPr>
              <w:t xml:space="preserve">  </w:t>
            </w:r>
            <w:r>
              <w:rPr>
                <w:spacing w:val="7"/>
                <w:sz w:val="19"/>
                <w:szCs w:val="19"/>
              </w:rPr>
              <w:t>作。修复之后主要方向是石漠化防治和水土保持建设。</w:t>
            </w:r>
          </w:p>
          <w:p w14:paraId="7E8A01E4">
            <w:pPr>
              <w:pStyle w:val="6"/>
              <w:spacing w:before="26" w:line="247" w:lineRule="auto"/>
              <w:ind w:left="16" w:right="46" w:firstLine="6"/>
              <w:rPr>
                <w:sz w:val="19"/>
                <w:szCs w:val="19"/>
              </w:rPr>
            </w:pPr>
            <w:r>
              <w:rPr>
                <w:spacing w:val="9"/>
                <w:sz w:val="19"/>
                <w:szCs w:val="19"/>
              </w:rPr>
              <w:t>第三条旅游开发建设规模和旅游活动规模不得超过旅游区的合理环境容量，旅游区</w:t>
            </w:r>
            <w:r>
              <w:rPr>
                <w:spacing w:val="12"/>
                <w:sz w:val="19"/>
                <w:szCs w:val="19"/>
              </w:rPr>
              <w:t xml:space="preserve"> </w:t>
            </w:r>
            <w:r>
              <w:rPr>
                <w:spacing w:val="10"/>
                <w:sz w:val="19"/>
                <w:szCs w:val="19"/>
              </w:rPr>
              <w:t>内人工景点与服务设施的性质、布局、规模</w:t>
            </w:r>
            <w:r>
              <w:rPr>
                <w:spacing w:val="9"/>
                <w:sz w:val="19"/>
                <w:szCs w:val="19"/>
              </w:rPr>
              <w:t>、体量、高度、造型、用材、质感及色</w:t>
            </w:r>
            <w:r>
              <w:rPr>
                <w:sz w:val="19"/>
                <w:szCs w:val="19"/>
              </w:rPr>
              <w:t xml:space="preserve"> </w:t>
            </w:r>
            <w:r>
              <w:rPr>
                <w:spacing w:val="10"/>
                <w:sz w:val="19"/>
                <w:szCs w:val="19"/>
              </w:rPr>
              <w:t>彩等应与自然景观和当地的历史文化相协调</w:t>
            </w:r>
            <w:r>
              <w:rPr>
                <w:spacing w:val="9"/>
                <w:sz w:val="19"/>
                <w:szCs w:val="19"/>
              </w:rPr>
              <w:t>，不得建设降低景观相容性或破坏景观</w:t>
            </w:r>
            <w:r>
              <w:rPr>
                <w:sz w:val="19"/>
                <w:szCs w:val="19"/>
              </w:rPr>
              <w:t xml:space="preserve"> </w:t>
            </w:r>
            <w:r>
              <w:rPr>
                <w:spacing w:val="3"/>
                <w:sz w:val="19"/>
                <w:szCs w:val="19"/>
              </w:rPr>
              <w:t>的项目。</w:t>
            </w:r>
          </w:p>
        </w:tc>
        <w:tc>
          <w:tcPr>
            <w:tcW w:w="2082" w:type="dxa"/>
            <w:tcBorders>
              <w:top w:val="single" w:color="000000" w:sz="10" w:space="0"/>
            </w:tcBorders>
            <w:vAlign w:val="top"/>
          </w:tcPr>
          <w:p w14:paraId="4A641571">
            <w:pPr>
              <w:pStyle w:val="6"/>
              <w:spacing w:before="66" w:line="252" w:lineRule="auto"/>
              <w:ind w:left="26" w:firstLine="1"/>
              <w:jc w:val="both"/>
              <w:rPr>
                <w:sz w:val="19"/>
                <w:szCs w:val="19"/>
              </w:rPr>
            </w:pPr>
            <w:r>
              <w:rPr>
                <w:spacing w:val="3"/>
                <w:sz w:val="19"/>
                <w:szCs w:val="19"/>
              </w:rPr>
              <w:t>企业矿山地质环境恢复</w:t>
            </w:r>
            <w:r>
              <w:rPr>
                <w:spacing w:val="1"/>
                <w:sz w:val="19"/>
                <w:szCs w:val="19"/>
              </w:rPr>
              <w:t xml:space="preserve">  </w:t>
            </w:r>
            <w:r>
              <w:rPr>
                <w:spacing w:val="3"/>
                <w:sz w:val="19"/>
                <w:szCs w:val="19"/>
              </w:rPr>
              <w:t>治理。按照“谁污染谁</w:t>
            </w:r>
            <w:r>
              <w:rPr>
                <w:spacing w:val="2"/>
                <w:sz w:val="19"/>
                <w:szCs w:val="19"/>
              </w:rPr>
              <w:t xml:space="preserve">  </w:t>
            </w:r>
            <w:r>
              <w:rPr>
                <w:spacing w:val="5"/>
                <w:sz w:val="19"/>
                <w:szCs w:val="19"/>
              </w:rPr>
              <w:t>治理，谁开发谁保护，</w:t>
            </w:r>
            <w:r>
              <w:rPr>
                <w:spacing w:val="3"/>
                <w:sz w:val="19"/>
                <w:szCs w:val="19"/>
              </w:rPr>
              <w:t xml:space="preserve">  </w:t>
            </w:r>
            <w:r>
              <w:rPr>
                <w:spacing w:val="-6"/>
                <w:sz w:val="19"/>
                <w:szCs w:val="19"/>
              </w:rPr>
              <w:t>谁破坏谁恢复</w:t>
            </w:r>
            <w:r>
              <w:rPr>
                <w:spacing w:val="-69"/>
                <w:sz w:val="19"/>
                <w:szCs w:val="19"/>
              </w:rPr>
              <w:t xml:space="preserve"> </w:t>
            </w:r>
            <w:r>
              <w:rPr>
                <w:spacing w:val="-6"/>
                <w:sz w:val="19"/>
                <w:szCs w:val="19"/>
              </w:rPr>
              <w:t>”的原则，</w:t>
            </w:r>
            <w:r>
              <w:rPr>
                <w:sz w:val="19"/>
                <w:szCs w:val="19"/>
              </w:rPr>
              <w:t xml:space="preserve"> </w:t>
            </w:r>
            <w:r>
              <w:rPr>
                <w:spacing w:val="3"/>
                <w:sz w:val="19"/>
                <w:szCs w:val="19"/>
              </w:rPr>
              <w:t>从严落实企业主体责任</w:t>
            </w:r>
            <w:r>
              <w:rPr>
                <w:spacing w:val="2"/>
                <w:sz w:val="19"/>
                <w:szCs w:val="19"/>
              </w:rPr>
              <w:t xml:space="preserve">  </w:t>
            </w:r>
            <w:r>
              <w:rPr>
                <w:sz w:val="19"/>
                <w:szCs w:val="19"/>
              </w:rPr>
              <w:t>和义务。</w:t>
            </w:r>
          </w:p>
        </w:tc>
        <w:tc>
          <w:tcPr>
            <w:tcW w:w="1826" w:type="dxa"/>
            <w:tcBorders>
              <w:top w:val="single" w:color="000000" w:sz="10" w:space="0"/>
              <w:right w:val="single" w:color="000000" w:sz="10" w:space="0"/>
            </w:tcBorders>
            <w:vAlign w:val="top"/>
          </w:tcPr>
          <w:p w14:paraId="293C3B3E">
            <w:pPr>
              <w:rPr>
                <w:rFonts w:ascii="Arial"/>
                <w:sz w:val="21"/>
              </w:rPr>
            </w:pPr>
          </w:p>
        </w:tc>
      </w:tr>
      <w:tr w14:paraId="4B6795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7" w:hRule="atLeast"/>
        </w:trPr>
        <w:tc>
          <w:tcPr>
            <w:tcW w:w="1141" w:type="dxa"/>
            <w:vMerge w:val="continue"/>
            <w:tcBorders>
              <w:top w:val="nil"/>
              <w:left w:val="single" w:color="000000" w:sz="10" w:space="0"/>
              <w:bottom w:val="nil"/>
            </w:tcBorders>
            <w:vAlign w:val="top"/>
          </w:tcPr>
          <w:p w14:paraId="52690FC7">
            <w:pPr>
              <w:rPr>
                <w:rFonts w:ascii="Arial"/>
                <w:sz w:val="21"/>
              </w:rPr>
            </w:pPr>
          </w:p>
        </w:tc>
        <w:tc>
          <w:tcPr>
            <w:tcW w:w="1751" w:type="dxa"/>
            <w:vAlign w:val="top"/>
          </w:tcPr>
          <w:p w14:paraId="24FBE2BB">
            <w:pPr>
              <w:spacing w:line="242" w:lineRule="auto"/>
              <w:rPr>
                <w:rFonts w:ascii="Arial"/>
                <w:sz w:val="21"/>
              </w:rPr>
            </w:pPr>
          </w:p>
          <w:p w14:paraId="66F31F8B">
            <w:pPr>
              <w:spacing w:line="242" w:lineRule="auto"/>
              <w:rPr>
                <w:rFonts w:ascii="Arial"/>
                <w:sz w:val="21"/>
              </w:rPr>
            </w:pPr>
          </w:p>
          <w:p w14:paraId="51148D17">
            <w:pPr>
              <w:spacing w:line="242" w:lineRule="auto"/>
              <w:rPr>
                <w:rFonts w:ascii="Arial"/>
                <w:sz w:val="21"/>
              </w:rPr>
            </w:pPr>
          </w:p>
          <w:p w14:paraId="3BACA4BD">
            <w:pPr>
              <w:spacing w:line="243" w:lineRule="auto"/>
              <w:rPr>
                <w:rFonts w:ascii="Arial"/>
                <w:sz w:val="21"/>
              </w:rPr>
            </w:pPr>
          </w:p>
          <w:p w14:paraId="3A411129">
            <w:pPr>
              <w:spacing w:line="243" w:lineRule="auto"/>
              <w:rPr>
                <w:rFonts w:ascii="Arial"/>
                <w:sz w:val="21"/>
              </w:rPr>
            </w:pPr>
          </w:p>
          <w:p w14:paraId="11F95BAD">
            <w:pPr>
              <w:spacing w:line="243" w:lineRule="auto"/>
              <w:rPr>
                <w:rFonts w:ascii="Arial"/>
                <w:sz w:val="21"/>
              </w:rPr>
            </w:pPr>
          </w:p>
          <w:p w14:paraId="2EB5CF09">
            <w:pPr>
              <w:spacing w:line="243" w:lineRule="auto"/>
              <w:rPr>
                <w:rFonts w:ascii="Arial"/>
                <w:sz w:val="21"/>
              </w:rPr>
            </w:pPr>
          </w:p>
          <w:p w14:paraId="28049C3E">
            <w:pPr>
              <w:pStyle w:val="6"/>
              <w:spacing w:before="62" w:line="230" w:lineRule="auto"/>
              <w:ind w:left="181"/>
              <w:rPr>
                <w:sz w:val="19"/>
                <w:szCs w:val="19"/>
              </w:rPr>
            </w:pPr>
            <w:r>
              <w:rPr>
                <w:spacing w:val="7"/>
                <w:sz w:val="19"/>
                <w:szCs w:val="19"/>
              </w:rPr>
              <w:t>污染物排放管控</w:t>
            </w:r>
          </w:p>
        </w:tc>
        <w:tc>
          <w:tcPr>
            <w:tcW w:w="7253" w:type="dxa"/>
            <w:vAlign w:val="top"/>
          </w:tcPr>
          <w:p w14:paraId="06EDA593">
            <w:pPr>
              <w:pStyle w:val="6"/>
              <w:spacing w:before="85" w:line="242" w:lineRule="auto"/>
              <w:ind w:left="20" w:right="46" w:firstLine="2"/>
              <w:rPr>
                <w:sz w:val="19"/>
                <w:szCs w:val="19"/>
              </w:rPr>
            </w:pPr>
            <w:r>
              <w:rPr>
                <w:spacing w:val="9"/>
                <w:sz w:val="19"/>
                <w:szCs w:val="19"/>
              </w:rPr>
              <w:t>第四条执行重点管控单元市级总体要求第八条、第十条、第十一条、第十二条、第</w:t>
            </w:r>
            <w:r>
              <w:rPr>
                <w:spacing w:val="12"/>
                <w:sz w:val="19"/>
                <w:szCs w:val="19"/>
              </w:rPr>
              <w:t xml:space="preserve"> </w:t>
            </w:r>
            <w:r>
              <w:rPr>
                <w:spacing w:val="7"/>
                <w:sz w:val="19"/>
                <w:szCs w:val="19"/>
              </w:rPr>
              <w:t>十三条、第十四条和第十五条。</w:t>
            </w:r>
          </w:p>
          <w:p w14:paraId="10ABAD95">
            <w:pPr>
              <w:pStyle w:val="6"/>
              <w:spacing w:before="22" w:line="246" w:lineRule="auto"/>
              <w:ind w:left="14" w:firstLine="9"/>
              <w:rPr>
                <w:sz w:val="19"/>
                <w:szCs w:val="19"/>
              </w:rPr>
            </w:pPr>
            <w:r>
              <w:rPr>
                <w:spacing w:val="7"/>
                <w:sz w:val="19"/>
                <w:szCs w:val="19"/>
              </w:rPr>
              <w:t>第五条切实落实</w:t>
            </w:r>
            <w:r>
              <w:rPr>
                <w:spacing w:val="-25"/>
                <w:sz w:val="19"/>
                <w:szCs w:val="19"/>
              </w:rPr>
              <w:t xml:space="preserve"> </w:t>
            </w:r>
            <w:r>
              <w:rPr>
                <w:rFonts w:ascii="Times New Roman" w:hAnsi="Times New Roman" w:eastAsia="Times New Roman" w:cs="Times New Roman"/>
                <w:sz w:val="19"/>
                <w:szCs w:val="19"/>
              </w:rPr>
              <w:t>VOCs</w:t>
            </w:r>
            <w:r>
              <w:rPr>
                <w:rFonts w:ascii="Times New Roman" w:hAnsi="Times New Roman" w:eastAsia="Times New Roman" w:cs="Times New Roman"/>
                <w:spacing w:val="18"/>
                <w:w w:val="101"/>
                <w:sz w:val="19"/>
                <w:szCs w:val="19"/>
              </w:rPr>
              <w:t xml:space="preserve"> </w:t>
            </w:r>
            <w:r>
              <w:rPr>
                <w:spacing w:val="7"/>
                <w:sz w:val="19"/>
                <w:szCs w:val="19"/>
              </w:rPr>
              <w:t>来源普查，进行控制区域工业企业</w:t>
            </w:r>
            <w:r>
              <w:rPr>
                <w:spacing w:val="-43"/>
                <w:sz w:val="19"/>
                <w:szCs w:val="19"/>
              </w:rPr>
              <w:t xml:space="preserve"> </w:t>
            </w:r>
            <w:r>
              <w:rPr>
                <w:rFonts w:ascii="Times New Roman" w:hAnsi="Times New Roman" w:eastAsia="Times New Roman" w:cs="Times New Roman"/>
                <w:sz w:val="19"/>
                <w:szCs w:val="19"/>
              </w:rPr>
              <w:t>VOCs</w:t>
            </w:r>
            <w:r>
              <w:rPr>
                <w:rFonts w:ascii="Times New Roman" w:hAnsi="Times New Roman" w:eastAsia="Times New Roman" w:cs="Times New Roman"/>
                <w:spacing w:val="15"/>
                <w:sz w:val="19"/>
                <w:szCs w:val="19"/>
              </w:rPr>
              <w:t xml:space="preserve"> </w:t>
            </w:r>
            <w:r>
              <w:rPr>
                <w:spacing w:val="7"/>
                <w:sz w:val="19"/>
                <w:szCs w:val="19"/>
              </w:rPr>
              <w:t>排放。推进重点行</w:t>
            </w:r>
            <w:r>
              <w:rPr>
                <w:sz w:val="19"/>
                <w:szCs w:val="19"/>
              </w:rPr>
              <w:t xml:space="preserve">  </w:t>
            </w:r>
            <w:r>
              <w:rPr>
                <w:spacing w:val="6"/>
                <w:sz w:val="19"/>
                <w:szCs w:val="19"/>
              </w:rPr>
              <w:t>业</w:t>
            </w:r>
            <w:r>
              <w:rPr>
                <w:spacing w:val="-42"/>
                <w:sz w:val="19"/>
                <w:szCs w:val="19"/>
              </w:rPr>
              <w:t xml:space="preserve"> </w:t>
            </w:r>
            <w:r>
              <w:rPr>
                <w:rFonts w:ascii="Times New Roman" w:hAnsi="Times New Roman" w:eastAsia="Times New Roman" w:cs="Times New Roman"/>
                <w:sz w:val="19"/>
                <w:szCs w:val="19"/>
              </w:rPr>
              <w:t>VOCs</w:t>
            </w:r>
            <w:r>
              <w:rPr>
                <w:rFonts w:ascii="Times New Roman" w:hAnsi="Times New Roman" w:eastAsia="Times New Roman" w:cs="Times New Roman"/>
                <w:spacing w:val="21"/>
                <w:sz w:val="19"/>
                <w:szCs w:val="19"/>
              </w:rPr>
              <w:t xml:space="preserve"> </w:t>
            </w:r>
            <w:r>
              <w:rPr>
                <w:spacing w:val="6"/>
                <w:sz w:val="19"/>
                <w:szCs w:val="19"/>
              </w:rPr>
              <w:t>治理，落实重点行业“一企一案</w:t>
            </w:r>
            <w:r>
              <w:rPr>
                <w:spacing w:val="-66"/>
                <w:sz w:val="19"/>
                <w:szCs w:val="19"/>
              </w:rPr>
              <w:t xml:space="preserve"> </w:t>
            </w:r>
            <w:r>
              <w:rPr>
                <w:spacing w:val="6"/>
                <w:sz w:val="19"/>
                <w:szCs w:val="19"/>
              </w:rPr>
              <w:t>”、“一源一策</w:t>
            </w:r>
            <w:r>
              <w:rPr>
                <w:spacing w:val="-69"/>
                <w:sz w:val="19"/>
                <w:szCs w:val="19"/>
              </w:rPr>
              <w:t xml:space="preserve"> </w:t>
            </w:r>
            <w:r>
              <w:rPr>
                <w:spacing w:val="6"/>
                <w:sz w:val="19"/>
                <w:szCs w:val="19"/>
              </w:rPr>
              <w:t>”，推进汽车维修、工业</w:t>
            </w:r>
            <w:r>
              <w:rPr>
                <w:sz w:val="19"/>
                <w:szCs w:val="19"/>
              </w:rPr>
              <w:t xml:space="preserve">  </w:t>
            </w:r>
            <w:r>
              <w:rPr>
                <w:spacing w:val="5"/>
                <w:sz w:val="19"/>
                <w:szCs w:val="19"/>
              </w:rPr>
              <w:t>涂装、包装印刷、家具制造等行业以及油品储运销等交通源挥发性有机物污染防治。</w:t>
            </w:r>
            <w:r>
              <w:rPr>
                <w:spacing w:val="17"/>
                <w:sz w:val="19"/>
                <w:szCs w:val="19"/>
              </w:rPr>
              <w:t xml:space="preserve"> </w:t>
            </w:r>
            <w:r>
              <w:rPr>
                <w:spacing w:val="8"/>
                <w:sz w:val="19"/>
                <w:szCs w:val="19"/>
              </w:rPr>
              <w:t>加大水泥、硅业等行业工业污染的整治力度，</w:t>
            </w:r>
            <w:r>
              <w:rPr>
                <w:spacing w:val="7"/>
                <w:sz w:val="19"/>
                <w:szCs w:val="19"/>
              </w:rPr>
              <w:t>推动建材等传统工业绿色化改造。</w:t>
            </w:r>
          </w:p>
          <w:p w14:paraId="50144036">
            <w:pPr>
              <w:pStyle w:val="6"/>
              <w:spacing w:before="23" w:line="247" w:lineRule="auto"/>
              <w:ind w:left="15" w:right="46" w:firstLine="8"/>
              <w:rPr>
                <w:sz w:val="19"/>
                <w:szCs w:val="19"/>
              </w:rPr>
            </w:pPr>
            <w:r>
              <w:rPr>
                <w:spacing w:val="8"/>
                <w:sz w:val="19"/>
                <w:szCs w:val="19"/>
              </w:rPr>
              <w:t>第六条加强城乡集中式饮用水源地保护区巡查，清理保护区内违法建筑和排污</w:t>
            </w:r>
            <w:r>
              <w:rPr>
                <w:spacing w:val="-46"/>
                <w:sz w:val="19"/>
                <w:szCs w:val="19"/>
              </w:rPr>
              <w:t xml:space="preserve"> </w:t>
            </w:r>
            <w:r>
              <w:rPr>
                <w:spacing w:val="8"/>
                <w:sz w:val="19"/>
                <w:szCs w:val="19"/>
              </w:rPr>
              <w:t>口，</w:t>
            </w:r>
            <w:r>
              <w:rPr>
                <w:sz w:val="19"/>
                <w:szCs w:val="19"/>
              </w:rPr>
              <w:t xml:space="preserve"> </w:t>
            </w:r>
            <w:r>
              <w:rPr>
                <w:spacing w:val="10"/>
                <w:sz w:val="19"/>
                <w:szCs w:val="19"/>
              </w:rPr>
              <w:t>推进保护区内生活垃圾、污水处置。加快城市及</w:t>
            </w:r>
            <w:r>
              <w:rPr>
                <w:spacing w:val="9"/>
                <w:sz w:val="19"/>
                <w:szCs w:val="19"/>
              </w:rPr>
              <w:t>城镇污水处理厂建设与提标改造工</w:t>
            </w:r>
            <w:r>
              <w:rPr>
                <w:sz w:val="19"/>
                <w:szCs w:val="19"/>
              </w:rPr>
              <w:t xml:space="preserve"> </w:t>
            </w:r>
            <w:r>
              <w:rPr>
                <w:spacing w:val="10"/>
                <w:sz w:val="19"/>
                <w:szCs w:val="19"/>
              </w:rPr>
              <w:t>程，加快配套建设新老城区二三级管网，不断提</w:t>
            </w:r>
            <w:r>
              <w:rPr>
                <w:spacing w:val="9"/>
                <w:sz w:val="19"/>
                <w:szCs w:val="19"/>
              </w:rPr>
              <w:t>高污水收集率、处理率；定期排查</w:t>
            </w:r>
            <w:r>
              <w:rPr>
                <w:sz w:val="19"/>
                <w:szCs w:val="19"/>
              </w:rPr>
              <w:t xml:space="preserve"> </w:t>
            </w:r>
            <w:r>
              <w:rPr>
                <w:spacing w:val="7"/>
                <w:sz w:val="19"/>
                <w:szCs w:val="19"/>
              </w:rPr>
              <w:t>雨污管网，及时改造修补。</w:t>
            </w:r>
          </w:p>
          <w:p w14:paraId="2AF3521F">
            <w:pPr>
              <w:pStyle w:val="6"/>
              <w:spacing w:before="20" w:line="247" w:lineRule="auto"/>
              <w:ind w:left="15" w:right="46" w:firstLine="8"/>
              <w:rPr>
                <w:sz w:val="19"/>
                <w:szCs w:val="19"/>
              </w:rPr>
            </w:pPr>
            <w:r>
              <w:rPr>
                <w:spacing w:val="8"/>
                <w:sz w:val="19"/>
                <w:szCs w:val="19"/>
              </w:rPr>
              <w:t>第七条大力加强旅游区内的环境基础设施建设，</w:t>
            </w:r>
            <w:r>
              <w:rPr>
                <w:spacing w:val="-47"/>
                <w:sz w:val="19"/>
                <w:szCs w:val="19"/>
              </w:rPr>
              <w:t xml:space="preserve"> </w:t>
            </w:r>
            <w:r>
              <w:rPr>
                <w:spacing w:val="8"/>
                <w:sz w:val="19"/>
                <w:szCs w:val="19"/>
              </w:rPr>
              <w:t>因地制宜地建设消烟除尘、污水处</w:t>
            </w:r>
            <w:r>
              <w:rPr>
                <w:sz w:val="19"/>
                <w:szCs w:val="19"/>
              </w:rPr>
              <w:t xml:space="preserve"> </w:t>
            </w:r>
            <w:r>
              <w:rPr>
                <w:spacing w:val="10"/>
                <w:sz w:val="19"/>
                <w:szCs w:val="19"/>
              </w:rPr>
              <w:t>理和垃圾收集、分类、清理、处置设施，增强污</w:t>
            </w:r>
            <w:r>
              <w:rPr>
                <w:spacing w:val="9"/>
                <w:sz w:val="19"/>
                <w:szCs w:val="19"/>
              </w:rPr>
              <w:t>染物处理和达标排放的能力。度假</w:t>
            </w:r>
            <w:r>
              <w:rPr>
                <w:sz w:val="19"/>
                <w:szCs w:val="19"/>
              </w:rPr>
              <w:t xml:space="preserve"> </w:t>
            </w:r>
            <w:r>
              <w:rPr>
                <w:spacing w:val="10"/>
                <w:sz w:val="19"/>
                <w:szCs w:val="19"/>
              </w:rPr>
              <w:t>小镇应做好污水排放管道、污水处理设施的建设</w:t>
            </w:r>
            <w:r>
              <w:rPr>
                <w:spacing w:val="9"/>
                <w:sz w:val="19"/>
                <w:szCs w:val="19"/>
              </w:rPr>
              <w:t>工作及生态保护工作，减少对自然</w:t>
            </w:r>
            <w:r>
              <w:rPr>
                <w:sz w:val="19"/>
                <w:szCs w:val="19"/>
              </w:rPr>
              <w:t xml:space="preserve"> </w:t>
            </w:r>
            <w:r>
              <w:rPr>
                <w:spacing w:val="6"/>
                <w:sz w:val="19"/>
                <w:szCs w:val="19"/>
              </w:rPr>
              <w:t>景观产生的影响。</w:t>
            </w:r>
          </w:p>
        </w:tc>
        <w:tc>
          <w:tcPr>
            <w:tcW w:w="2082" w:type="dxa"/>
            <w:vAlign w:val="top"/>
          </w:tcPr>
          <w:p w14:paraId="46EC4C69">
            <w:pPr>
              <w:spacing w:line="242" w:lineRule="auto"/>
              <w:rPr>
                <w:rFonts w:ascii="Arial"/>
                <w:sz w:val="21"/>
              </w:rPr>
            </w:pPr>
          </w:p>
          <w:p w14:paraId="58A61BF2">
            <w:pPr>
              <w:spacing w:line="242" w:lineRule="auto"/>
              <w:rPr>
                <w:rFonts w:ascii="Arial"/>
                <w:sz w:val="21"/>
              </w:rPr>
            </w:pPr>
          </w:p>
          <w:p w14:paraId="459AA807">
            <w:pPr>
              <w:spacing w:line="242" w:lineRule="auto"/>
              <w:rPr>
                <w:rFonts w:ascii="Arial"/>
                <w:sz w:val="21"/>
              </w:rPr>
            </w:pPr>
          </w:p>
          <w:p w14:paraId="28709AA6">
            <w:pPr>
              <w:spacing w:line="243" w:lineRule="auto"/>
              <w:rPr>
                <w:rFonts w:ascii="Arial"/>
                <w:sz w:val="21"/>
              </w:rPr>
            </w:pPr>
          </w:p>
          <w:p w14:paraId="19A1896F">
            <w:pPr>
              <w:spacing w:line="243" w:lineRule="auto"/>
              <w:rPr>
                <w:rFonts w:ascii="Arial"/>
                <w:sz w:val="21"/>
              </w:rPr>
            </w:pPr>
          </w:p>
          <w:p w14:paraId="13B57036">
            <w:pPr>
              <w:spacing w:line="243" w:lineRule="auto"/>
              <w:rPr>
                <w:rFonts w:ascii="Arial"/>
                <w:sz w:val="21"/>
              </w:rPr>
            </w:pPr>
          </w:p>
          <w:p w14:paraId="77E4B599">
            <w:pPr>
              <w:spacing w:line="243" w:lineRule="auto"/>
              <w:rPr>
                <w:rFonts w:ascii="Arial"/>
                <w:sz w:val="21"/>
              </w:rPr>
            </w:pPr>
          </w:p>
          <w:p w14:paraId="7B6B290D">
            <w:pPr>
              <w:pStyle w:val="6"/>
              <w:spacing w:before="62" w:line="232" w:lineRule="auto"/>
              <w:ind w:left="763"/>
              <w:rPr>
                <w:sz w:val="19"/>
                <w:szCs w:val="19"/>
              </w:rPr>
            </w:pPr>
            <w:r>
              <w:rPr>
                <w:spacing w:val="3"/>
                <w:sz w:val="19"/>
                <w:szCs w:val="19"/>
              </w:rPr>
              <w:t>不涉及</w:t>
            </w:r>
          </w:p>
        </w:tc>
        <w:tc>
          <w:tcPr>
            <w:tcW w:w="1826" w:type="dxa"/>
            <w:tcBorders>
              <w:right w:val="single" w:color="000000" w:sz="10" w:space="0"/>
            </w:tcBorders>
            <w:vAlign w:val="top"/>
          </w:tcPr>
          <w:p w14:paraId="593A3FBF">
            <w:pPr>
              <w:spacing w:line="242" w:lineRule="auto"/>
              <w:rPr>
                <w:rFonts w:ascii="Arial"/>
                <w:sz w:val="21"/>
              </w:rPr>
            </w:pPr>
          </w:p>
          <w:p w14:paraId="3BDCA959">
            <w:pPr>
              <w:spacing w:line="242" w:lineRule="auto"/>
              <w:rPr>
                <w:rFonts w:ascii="Arial"/>
                <w:sz w:val="21"/>
              </w:rPr>
            </w:pPr>
          </w:p>
          <w:p w14:paraId="451F595F">
            <w:pPr>
              <w:spacing w:line="242" w:lineRule="auto"/>
              <w:rPr>
                <w:rFonts w:ascii="Arial"/>
                <w:sz w:val="21"/>
              </w:rPr>
            </w:pPr>
          </w:p>
          <w:p w14:paraId="4255C8C5">
            <w:pPr>
              <w:spacing w:line="243" w:lineRule="auto"/>
              <w:rPr>
                <w:rFonts w:ascii="Arial"/>
                <w:sz w:val="21"/>
              </w:rPr>
            </w:pPr>
          </w:p>
          <w:p w14:paraId="4CE39B8D">
            <w:pPr>
              <w:spacing w:line="243" w:lineRule="auto"/>
              <w:rPr>
                <w:rFonts w:ascii="Arial"/>
                <w:sz w:val="21"/>
              </w:rPr>
            </w:pPr>
          </w:p>
          <w:p w14:paraId="61A8B701">
            <w:pPr>
              <w:spacing w:line="243" w:lineRule="auto"/>
              <w:rPr>
                <w:rFonts w:ascii="Arial"/>
                <w:sz w:val="21"/>
              </w:rPr>
            </w:pPr>
          </w:p>
          <w:p w14:paraId="6BB246D3">
            <w:pPr>
              <w:spacing w:line="243" w:lineRule="auto"/>
              <w:rPr>
                <w:rFonts w:ascii="Arial"/>
                <w:sz w:val="21"/>
              </w:rPr>
            </w:pPr>
          </w:p>
          <w:p w14:paraId="72DB49C6">
            <w:pPr>
              <w:pStyle w:val="6"/>
              <w:spacing w:before="62" w:line="230" w:lineRule="auto"/>
              <w:ind w:left="731"/>
              <w:rPr>
                <w:sz w:val="19"/>
                <w:szCs w:val="19"/>
              </w:rPr>
            </w:pPr>
            <w:r>
              <w:rPr>
                <w:sz w:val="19"/>
                <w:szCs w:val="19"/>
              </w:rPr>
              <w:t>符合</w:t>
            </w:r>
          </w:p>
        </w:tc>
      </w:tr>
      <w:tr w14:paraId="75590A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1" w:hRule="atLeast"/>
        </w:trPr>
        <w:tc>
          <w:tcPr>
            <w:tcW w:w="1141" w:type="dxa"/>
            <w:vMerge w:val="continue"/>
            <w:tcBorders>
              <w:top w:val="nil"/>
              <w:left w:val="single" w:color="000000" w:sz="10" w:space="0"/>
              <w:bottom w:val="nil"/>
            </w:tcBorders>
            <w:vAlign w:val="top"/>
          </w:tcPr>
          <w:p w14:paraId="0F4800A1">
            <w:pPr>
              <w:rPr>
                <w:rFonts w:ascii="Arial"/>
                <w:sz w:val="21"/>
              </w:rPr>
            </w:pPr>
          </w:p>
        </w:tc>
        <w:tc>
          <w:tcPr>
            <w:tcW w:w="1751" w:type="dxa"/>
            <w:vAlign w:val="top"/>
          </w:tcPr>
          <w:p w14:paraId="0E96C6FE">
            <w:pPr>
              <w:spacing w:line="422" w:lineRule="auto"/>
              <w:rPr>
                <w:rFonts w:ascii="Arial"/>
                <w:sz w:val="21"/>
              </w:rPr>
            </w:pPr>
          </w:p>
          <w:p w14:paraId="058953FE">
            <w:pPr>
              <w:pStyle w:val="6"/>
              <w:spacing w:before="62" w:line="231" w:lineRule="auto"/>
              <w:ind w:left="477"/>
              <w:rPr>
                <w:sz w:val="19"/>
                <w:szCs w:val="19"/>
              </w:rPr>
            </w:pPr>
            <w:r>
              <w:rPr>
                <w:spacing w:val="6"/>
                <w:sz w:val="19"/>
                <w:szCs w:val="19"/>
              </w:rPr>
              <w:t>环境防控</w:t>
            </w:r>
          </w:p>
        </w:tc>
        <w:tc>
          <w:tcPr>
            <w:tcW w:w="7253" w:type="dxa"/>
            <w:vAlign w:val="top"/>
          </w:tcPr>
          <w:p w14:paraId="1E843996">
            <w:pPr>
              <w:pStyle w:val="6"/>
              <w:spacing w:before="98" w:line="230" w:lineRule="auto"/>
              <w:ind w:left="23"/>
              <w:rPr>
                <w:sz w:val="19"/>
                <w:szCs w:val="19"/>
              </w:rPr>
            </w:pPr>
            <w:r>
              <w:rPr>
                <w:spacing w:val="8"/>
                <w:sz w:val="19"/>
                <w:szCs w:val="19"/>
              </w:rPr>
              <w:t>第八条执行重点管控单元市级总体要求第十六条。</w:t>
            </w:r>
          </w:p>
          <w:p w14:paraId="02804FD9">
            <w:pPr>
              <w:pStyle w:val="6"/>
              <w:spacing w:before="21" w:line="245" w:lineRule="auto"/>
              <w:ind w:left="16" w:right="46" w:firstLine="6"/>
              <w:rPr>
                <w:sz w:val="19"/>
                <w:szCs w:val="19"/>
              </w:rPr>
            </w:pPr>
            <w:r>
              <w:rPr>
                <w:spacing w:val="9"/>
                <w:sz w:val="19"/>
                <w:szCs w:val="19"/>
              </w:rPr>
              <w:t>第九条园区内企业严格按照国家、市级、地区及园区的要求完善园区环境污染风险</w:t>
            </w:r>
            <w:r>
              <w:rPr>
                <w:spacing w:val="10"/>
                <w:sz w:val="19"/>
                <w:szCs w:val="19"/>
              </w:rPr>
              <w:t xml:space="preserve"> 防范措施，并定期维护，设立运维记录；危</w:t>
            </w:r>
            <w:r>
              <w:rPr>
                <w:spacing w:val="9"/>
                <w:sz w:val="19"/>
                <w:szCs w:val="19"/>
              </w:rPr>
              <w:t>险化学品运输过程应按照危险化学品运</w:t>
            </w:r>
            <w:r>
              <w:rPr>
                <w:sz w:val="19"/>
                <w:szCs w:val="19"/>
              </w:rPr>
              <w:t xml:space="preserve"> </w:t>
            </w:r>
            <w:r>
              <w:rPr>
                <w:spacing w:val="7"/>
                <w:sz w:val="19"/>
                <w:szCs w:val="19"/>
              </w:rPr>
              <w:t>输管理办法严格执行。</w:t>
            </w:r>
          </w:p>
        </w:tc>
        <w:tc>
          <w:tcPr>
            <w:tcW w:w="2082" w:type="dxa"/>
            <w:vAlign w:val="top"/>
          </w:tcPr>
          <w:p w14:paraId="37BF0BEB">
            <w:pPr>
              <w:spacing w:line="422" w:lineRule="auto"/>
              <w:rPr>
                <w:rFonts w:ascii="Arial"/>
                <w:sz w:val="21"/>
              </w:rPr>
            </w:pPr>
          </w:p>
          <w:p w14:paraId="268DF3BC">
            <w:pPr>
              <w:pStyle w:val="6"/>
              <w:spacing w:before="62" w:line="232" w:lineRule="auto"/>
              <w:ind w:left="763"/>
              <w:rPr>
                <w:sz w:val="19"/>
                <w:szCs w:val="19"/>
              </w:rPr>
            </w:pPr>
            <w:r>
              <w:rPr>
                <w:spacing w:val="3"/>
                <w:sz w:val="19"/>
                <w:szCs w:val="19"/>
              </w:rPr>
              <w:t>不涉及</w:t>
            </w:r>
          </w:p>
        </w:tc>
        <w:tc>
          <w:tcPr>
            <w:tcW w:w="1826" w:type="dxa"/>
            <w:tcBorders>
              <w:right w:val="single" w:color="000000" w:sz="10" w:space="0"/>
            </w:tcBorders>
            <w:vAlign w:val="top"/>
          </w:tcPr>
          <w:p w14:paraId="7366FE7B">
            <w:pPr>
              <w:spacing w:line="422" w:lineRule="auto"/>
              <w:rPr>
                <w:rFonts w:ascii="Arial"/>
                <w:sz w:val="21"/>
              </w:rPr>
            </w:pPr>
          </w:p>
          <w:p w14:paraId="19A22C9B">
            <w:pPr>
              <w:pStyle w:val="6"/>
              <w:spacing w:before="62" w:line="230" w:lineRule="auto"/>
              <w:ind w:left="731"/>
              <w:rPr>
                <w:sz w:val="19"/>
                <w:szCs w:val="19"/>
              </w:rPr>
            </w:pPr>
            <w:r>
              <w:rPr>
                <w:sz w:val="19"/>
                <w:szCs w:val="19"/>
              </w:rPr>
              <w:t>符合</w:t>
            </w:r>
          </w:p>
        </w:tc>
      </w:tr>
      <w:tr w14:paraId="5F1334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9" w:hRule="atLeast"/>
        </w:trPr>
        <w:tc>
          <w:tcPr>
            <w:tcW w:w="1141" w:type="dxa"/>
            <w:vMerge w:val="continue"/>
            <w:tcBorders>
              <w:top w:val="nil"/>
              <w:left w:val="single" w:color="000000" w:sz="10" w:space="0"/>
              <w:bottom w:val="single" w:color="000000" w:sz="10" w:space="0"/>
            </w:tcBorders>
            <w:vAlign w:val="top"/>
          </w:tcPr>
          <w:p w14:paraId="5174FC3B">
            <w:pPr>
              <w:rPr>
                <w:rFonts w:ascii="Arial"/>
                <w:sz w:val="21"/>
              </w:rPr>
            </w:pPr>
          </w:p>
        </w:tc>
        <w:tc>
          <w:tcPr>
            <w:tcW w:w="1751" w:type="dxa"/>
            <w:tcBorders>
              <w:bottom w:val="single" w:color="000000" w:sz="10" w:space="0"/>
            </w:tcBorders>
            <w:vAlign w:val="top"/>
          </w:tcPr>
          <w:p w14:paraId="17321808">
            <w:pPr>
              <w:spacing w:line="270" w:lineRule="auto"/>
              <w:rPr>
                <w:rFonts w:ascii="Arial"/>
                <w:sz w:val="21"/>
              </w:rPr>
            </w:pPr>
          </w:p>
          <w:p w14:paraId="1291CEAC">
            <w:pPr>
              <w:spacing w:line="271" w:lineRule="auto"/>
              <w:rPr>
                <w:rFonts w:ascii="Arial"/>
                <w:sz w:val="21"/>
              </w:rPr>
            </w:pPr>
          </w:p>
          <w:p w14:paraId="4E0AAEE2">
            <w:pPr>
              <w:spacing w:line="271" w:lineRule="auto"/>
              <w:rPr>
                <w:rFonts w:ascii="Arial"/>
                <w:sz w:val="21"/>
              </w:rPr>
            </w:pPr>
          </w:p>
          <w:p w14:paraId="2CA62ACE">
            <w:pPr>
              <w:pStyle w:val="6"/>
              <w:spacing w:before="62" w:line="231" w:lineRule="auto"/>
              <w:ind w:left="288"/>
              <w:rPr>
                <w:sz w:val="19"/>
                <w:szCs w:val="19"/>
              </w:rPr>
            </w:pPr>
            <w:r>
              <w:rPr>
                <w:spacing w:val="6"/>
                <w:sz w:val="19"/>
                <w:szCs w:val="19"/>
              </w:rPr>
              <w:t>资源利用效率</w:t>
            </w:r>
          </w:p>
        </w:tc>
        <w:tc>
          <w:tcPr>
            <w:tcW w:w="7253" w:type="dxa"/>
            <w:tcBorders>
              <w:bottom w:val="single" w:color="000000" w:sz="10" w:space="0"/>
            </w:tcBorders>
            <w:vAlign w:val="top"/>
          </w:tcPr>
          <w:p w14:paraId="5F0CBF5E">
            <w:pPr>
              <w:pStyle w:val="6"/>
              <w:spacing w:before="100" w:line="242" w:lineRule="auto"/>
              <w:ind w:left="17" w:right="46" w:firstLine="6"/>
              <w:rPr>
                <w:sz w:val="19"/>
                <w:szCs w:val="19"/>
              </w:rPr>
            </w:pPr>
            <w:r>
              <w:rPr>
                <w:spacing w:val="9"/>
                <w:sz w:val="19"/>
                <w:szCs w:val="19"/>
              </w:rPr>
              <w:t>第十条执行重点管控单元市级总体要求第十八条、第十九条、第二十条、第二十一</w:t>
            </w:r>
            <w:r>
              <w:rPr>
                <w:spacing w:val="12"/>
                <w:sz w:val="19"/>
                <w:szCs w:val="19"/>
              </w:rPr>
              <w:t xml:space="preserve"> </w:t>
            </w:r>
            <w:r>
              <w:rPr>
                <w:spacing w:val="6"/>
                <w:sz w:val="19"/>
                <w:szCs w:val="19"/>
              </w:rPr>
              <w:t>条和第二十二条。</w:t>
            </w:r>
          </w:p>
          <w:p w14:paraId="6BB21284">
            <w:pPr>
              <w:pStyle w:val="6"/>
              <w:spacing w:before="20" w:line="242" w:lineRule="auto"/>
              <w:ind w:left="20" w:right="48" w:firstLine="2"/>
              <w:rPr>
                <w:sz w:val="19"/>
                <w:szCs w:val="19"/>
              </w:rPr>
            </w:pPr>
            <w:r>
              <w:rPr>
                <w:spacing w:val="9"/>
                <w:sz w:val="19"/>
                <w:szCs w:val="19"/>
              </w:rPr>
              <w:t>第十一条  执行重点管控单元市级总体要求第十八条、第十九条、第二十条、第二</w:t>
            </w:r>
            <w:r>
              <w:rPr>
                <w:spacing w:val="1"/>
                <w:sz w:val="19"/>
                <w:szCs w:val="19"/>
              </w:rPr>
              <w:t xml:space="preserve"> </w:t>
            </w:r>
            <w:r>
              <w:rPr>
                <w:spacing w:val="7"/>
                <w:sz w:val="19"/>
                <w:szCs w:val="19"/>
              </w:rPr>
              <w:t>十一条和第二十二条。</w:t>
            </w:r>
          </w:p>
          <w:p w14:paraId="3A809DB8">
            <w:pPr>
              <w:pStyle w:val="6"/>
              <w:spacing w:before="22" w:line="244" w:lineRule="auto"/>
              <w:ind w:left="16" w:right="46" w:firstLine="7"/>
              <w:rPr>
                <w:sz w:val="19"/>
                <w:szCs w:val="19"/>
              </w:rPr>
            </w:pPr>
            <w:r>
              <w:rPr>
                <w:spacing w:val="9"/>
                <w:sz w:val="19"/>
                <w:szCs w:val="19"/>
              </w:rPr>
              <w:t>第十二条禁燃区内生产和生活活动中禁止燃用煤炭及其制品：石油焦、油页岩、原</w:t>
            </w:r>
            <w:r>
              <w:rPr>
                <w:spacing w:val="13"/>
                <w:sz w:val="19"/>
                <w:szCs w:val="19"/>
              </w:rPr>
              <w:t xml:space="preserve"> </w:t>
            </w:r>
            <w:r>
              <w:rPr>
                <w:spacing w:val="9"/>
                <w:sz w:val="19"/>
                <w:szCs w:val="19"/>
              </w:rPr>
              <w:t>油、重油、渣油、煤焦油；非专用锅炉或未配置高效除尘设施的专用锅炉燃用的生</w:t>
            </w:r>
            <w:r>
              <w:rPr>
                <w:spacing w:val="18"/>
                <w:sz w:val="19"/>
                <w:szCs w:val="19"/>
              </w:rPr>
              <w:t xml:space="preserve"> </w:t>
            </w:r>
            <w:r>
              <w:rPr>
                <w:spacing w:val="10"/>
                <w:sz w:val="19"/>
                <w:szCs w:val="19"/>
              </w:rPr>
              <w:t>物质成型燃料。禁燃区内禁止使用、销售高污</w:t>
            </w:r>
            <w:r>
              <w:rPr>
                <w:spacing w:val="9"/>
                <w:sz w:val="19"/>
                <w:szCs w:val="19"/>
              </w:rPr>
              <w:t>染燃料（专用锅炉或配置有高效除尘</w:t>
            </w:r>
          </w:p>
        </w:tc>
        <w:tc>
          <w:tcPr>
            <w:tcW w:w="2082" w:type="dxa"/>
            <w:tcBorders>
              <w:bottom w:val="single" w:color="000000" w:sz="10" w:space="0"/>
            </w:tcBorders>
            <w:vAlign w:val="top"/>
          </w:tcPr>
          <w:p w14:paraId="7922363D">
            <w:pPr>
              <w:spacing w:line="270" w:lineRule="auto"/>
              <w:rPr>
                <w:rFonts w:ascii="Arial"/>
                <w:sz w:val="21"/>
              </w:rPr>
            </w:pPr>
          </w:p>
          <w:p w14:paraId="7E3981F8">
            <w:pPr>
              <w:spacing w:line="271" w:lineRule="auto"/>
              <w:rPr>
                <w:rFonts w:ascii="Arial"/>
                <w:sz w:val="21"/>
              </w:rPr>
            </w:pPr>
          </w:p>
          <w:p w14:paraId="062D3EDD">
            <w:pPr>
              <w:spacing w:line="271" w:lineRule="auto"/>
              <w:rPr>
                <w:rFonts w:ascii="Arial"/>
                <w:sz w:val="21"/>
              </w:rPr>
            </w:pPr>
          </w:p>
          <w:p w14:paraId="1D0B276C">
            <w:pPr>
              <w:pStyle w:val="6"/>
              <w:spacing w:before="62" w:line="232" w:lineRule="auto"/>
              <w:ind w:left="763"/>
              <w:rPr>
                <w:sz w:val="19"/>
                <w:szCs w:val="19"/>
              </w:rPr>
            </w:pPr>
            <w:r>
              <w:rPr>
                <w:spacing w:val="3"/>
                <w:sz w:val="19"/>
                <w:szCs w:val="19"/>
              </w:rPr>
              <w:t>不涉及</w:t>
            </w:r>
          </w:p>
        </w:tc>
        <w:tc>
          <w:tcPr>
            <w:tcW w:w="1826" w:type="dxa"/>
            <w:tcBorders>
              <w:bottom w:val="single" w:color="000000" w:sz="10" w:space="0"/>
              <w:right w:val="single" w:color="000000" w:sz="10" w:space="0"/>
            </w:tcBorders>
            <w:vAlign w:val="top"/>
          </w:tcPr>
          <w:p w14:paraId="5A4D5FCD">
            <w:pPr>
              <w:spacing w:line="270" w:lineRule="auto"/>
              <w:rPr>
                <w:rFonts w:ascii="Arial"/>
                <w:sz w:val="21"/>
              </w:rPr>
            </w:pPr>
          </w:p>
          <w:p w14:paraId="2E2B3182">
            <w:pPr>
              <w:spacing w:line="271" w:lineRule="auto"/>
              <w:rPr>
                <w:rFonts w:ascii="Arial"/>
                <w:sz w:val="21"/>
              </w:rPr>
            </w:pPr>
          </w:p>
          <w:p w14:paraId="3A9A0007">
            <w:pPr>
              <w:spacing w:line="271" w:lineRule="auto"/>
              <w:rPr>
                <w:rFonts w:ascii="Arial"/>
                <w:sz w:val="21"/>
              </w:rPr>
            </w:pPr>
          </w:p>
          <w:p w14:paraId="186808BF">
            <w:pPr>
              <w:pStyle w:val="6"/>
              <w:spacing w:before="62" w:line="230" w:lineRule="auto"/>
              <w:ind w:left="731"/>
              <w:rPr>
                <w:sz w:val="19"/>
                <w:szCs w:val="19"/>
              </w:rPr>
            </w:pPr>
            <w:r>
              <w:rPr>
                <w:sz w:val="19"/>
                <w:szCs w:val="19"/>
              </w:rPr>
              <w:t>符合</w:t>
            </w:r>
          </w:p>
        </w:tc>
      </w:tr>
    </w:tbl>
    <w:p w14:paraId="7B4A8001">
      <w:pPr>
        <w:pStyle w:val="2"/>
        <w:spacing w:line="23" w:lineRule="exact"/>
        <w:rPr>
          <w:sz w:val="2"/>
        </w:rPr>
      </w:pPr>
    </w:p>
    <w:p w14:paraId="120760E7">
      <w:pPr>
        <w:spacing w:line="23" w:lineRule="exact"/>
        <w:rPr>
          <w:sz w:val="2"/>
          <w:szCs w:val="2"/>
        </w:rPr>
        <w:sectPr>
          <w:footerReference r:id="rId94" w:type="default"/>
          <w:pgSz w:w="16839" w:h="11906"/>
          <w:pgMar w:top="1116" w:right="1379" w:bottom="1480" w:left="1379" w:header="683" w:footer="1318" w:gutter="0"/>
          <w:cols w:space="720" w:num="1"/>
        </w:sectPr>
      </w:pPr>
    </w:p>
    <w:p w14:paraId="4E0D35E9">
      <w:pPr>
        <w:spacing w:before="229"/>
      </w:pPr>
    </w:p>
    <w:tbl>
      <w:tblPr>
        <w:tblStyle w:val="5"/>
        <w:tblW w:w="14053" w:type="dxa"/>
        <w:tblInd w:w="48"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1141"/>
        <w:gridCol w:w="1751"/>
        <w:gridCol w:w="7253"/>
        <w:gridCol w:w="2082"/>
        <w:gridCol w:w="1826"/>
      </w:tblGrid>
      <w:tr w14:paraId="0B045049">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128" w:hRule="atLeast"/>
        </w:trPr>
        <w:tc>
          <w:tcPr>
            <w:tcW w:w="1141" w:type="dxa"/>
            <w:tcBorders>
              <w:right w:val="single" w:color="000000" w:sz="2" w:space="0"/>
            </w:tcBorders>
            <w:vAlign w:val="top"/>
          </w:tcPr>
          <w:p w14:paraId="5774A15B">
            <w:pPr>
              <w:rPr>
                <w:rFonts w:ascii="Arial"/>
                <w:sz w:val="21"/>
              </w:rPr>
            </w:pPr>
          </w:p>
        </w:tc>
        <w:tc>
          <w:tcPr>
            <w:tcW w:w="1751" w:type="dxa"/>
            <w:tcBorders>
              <w:left w:val="single" w:color="000000" w:sz="2" w:space="0"/>
              <w:right w:val="single" w:color="000000" w:sz="2" w:space="0"/>
            </w:tcBorders>
            <w:vAlign w:val="top"/>
          </w:tcPr>
          <w:p w14:paraId="34D24D4E">
            <w:pPr>
              <w:rPr>
                <w:rFonts w:ascii="Arial"/>
                <w:sz w:val="21"/>
              </w:rPr>
            </w:pPr>
          </w:p>
        </w:tc>
        <w:tc>
          <w:tcPr>
            <w:tcW w:w="7253" w:type="dxa"/>
            <w:tcBorders>
              <w:left w:val="single" w:color="000000" w:sz="2" w:space="0"/>
              <w:right w:val="single" w:color="000000" w:sz="2" w:space="0"/>
            </w:tcBorders>
            <w:vAlign w:val="top"/>
          </w:tcPr>
          <w:p w14:paraId="3298FF10">
            <w:pPr>
              <w:pStyle w:val="6"/>
              <w:spacing w:before="67" w:line="252" w:lineRule="auto"/>
              <w:ind w:left="15" w:right="46" w:hanging="1"/>
              <w:jc w:val="both"/>
              <w:rPr>
                <w:sz w:val="19"/>
                <w:szCs w:val="19"/>
              </w:rPr>
            </w:pPr>
            <w:r>
              <w:rPr>
                <w:spacing w:val="9"/>
                <w:sz w:val="19"/>
                <w:szCs w:val="19"/>
              </w:rPr>
              <w:t>设施的专用锅炉燃用的生物质成型燃料除外</w:t>
            </w:r>
            <w:r>
              <w:rPr>
                <w:sz w:val="19"/>
                <w:szCs w:val="19"/>
              </w:rPr>
              <w:t>）</w:t>
            </w:r>
            <w:r>
              <w:rPr>
                <w:spacing w:val="-56"/>
                <w:sz w:val="19"/>
                <w:szCs w:val="19"/>
              </w:rPr>
              <w:t xml:space="preserve"> </w:t>
            </w:r>
            <w:r>
              <w:rPr>
                <w:sz w:val="19"/>
                <w:szCs w:val="19"/>
              </w:rPr>
              <w:t>；</w:t>
            </w:r>
            <w:r>
              <w:rPr>
                <w:spacing w:val="9"/>
                <w:sz w:val="19"/>
                <w:szCs w:val="19"/>
              </w:rPr>
              <w:t>不得新建、改建、扩建燃用高污染</w:t>
            </w:r>
            <w:r>
              <w:rPr>
                <w:sz w:val="19"/>
                <w:szCs w:val="19"/>
              </w:rPr>
              <w:t xml:space="preserve"> </w:t>
            </w:r>
            <w:r>
              <w:rPr>
                <w:spacing w:val="8"/>
                <w:sz w:val="19"/>
                <w:szCs w:val="19"/>
              </w:rPr>
              <w:t>燃料的项目和设备；</w:t>
            </w:r>
            <w:r>
              <w:rPr>
                <w:spacing w:val="-39"/>
                <w:sz w:val="19"/>
                <w:szCs w:val="19"/>
              </w:rPr>
              <w:t xml:space="preserve"> </w:t>
            </w:r>
            <w:r>
              <w:rPr>
                <w:spacing w:val="8"/>
                <w:sz w:val="19"/>
                <w:szCs w:val="19"/>
              </w:rPr>
              <w:t>已建成使用高污染燃料的各类设备应当拆除或者改用管道天然</w:t>
            </w:r>
            <w:r>
              <w:rPr>
                <w:sz w:val="19"/>
                <w:szCs w:val="19"/>
              </w:rPr>
              <w:t xml:space="preserve"> </w:t>
            </w:r>
            <w:r>
              <w:rPr>
                <w:spacing w:val="8"/>
                <w:sz w:val="19"/>
                <w:szCs w:val="19"/>
              </w:rPr>
              <w:t>气、页岩气、液化石油气、</w:t>
            </w:r>
            <w:r>
              <w:rPr>
                <w:spacing w:val="-39"/>
                <w:sz w:val="19"/>
                <w:szCs w:val="19"/>
              </w:rPr>
              <w:t xml:space="preserve"> </w:t>
            </w:r>
            <w:r>
              <w:rPr>
                <w:spacing w:val="8"/>
                <w:sz w:val="19"/>
                <w:szCs w:val="19"/>
              </w:rPr>
              <w:t>电或者其他清洁能源。限制高能耗、高污染企业，不符</w:t>
            </w:r>
            <w:r>
              <w:rPr>
                <w:sz w:val="19"/>
                <w:szCs w:val="19"/>
              </w:rPr>
              <w:t xml:space="preserve"> </w:t>
            </w:r>
            <w:r>
              <w:rPr>
                <w:spacing w:val="9"/>
                <w:sz w:val="19"/>
                <w:szCs w:val="19"/>
              </w:rPr>
              <w:t>合国家相关产业政策、达不到规模经济的项目进入园区。</w:t>
            </w:r>
          </w:p>
        </w:tc>
        <w:tc>
          <w:tcPr>
            <w:tcW w:w="2082" w:type="dxa"/>
            <w:tcBorders>
              <w:left w:val="single" w:color="000000" w:sz="2" w:space="0"/>
              <w:right w:val="single" w:color="000000" w:sz="2" w:space="0"/>
            </w:tcBorders>
            <w:vAlign w:val="top"/>
          </w:tcPr>
          <w:p w14:paraId="358A98A5">
            <w:pPr>
              <w:rPr>
                <w:rFonts w:ascii="Arial"/>
                <w:sz w:val="21"/>
              </w:rPr>
            </w:pPr>
          </w:p>
        </w:tc>
        <w:tc>
          <w:tcPr>
            <w:tcW w:w="1826" w:type="dxa"/>
            <w:tcBorders>
              <w:left w:val="single" w:color="000000" w:sz="2" w:space="0"/>
            </w:tcBorders>
            <w:vAlign w:val="top"/>
          </w:tcPr>
          <w:p w14:paraId="35DFF329">
            <w:pPr>
              <w:rPr>
                <w:rFonts w:ascii="Arial"/>
                <w:sz w:val="21"/>
              </w:rPr>
            </w:pPr>
          </w:p>
        </w:tc>
      </w:tr>
    </w:tbl>
    <w:p w14:paraId="2AA632C5">
      <w:pPr>
        <w:pStyle w:val="2"/>
        <w:spacing w:line="289" w:lineRule="auto"/>
      </w:pPr>
    </w:p>
    <w:p w14:paraId="009713B6">
      <w:pPr>
        <w:pStyle w:val="2"/>
        <w:spacing w:line="290" w:lineRule="auto"/>
      </w:pPr>
    </w:p>
    <w:p w14:paraId="44340BF5">
      <w:pPr>
        <w:spacing w:before="65" w:line="229" w:lineRule="auto"/>
        <w:ind w:left="3368"/>
        <w:rPr>
          <w:rFonts w:ascii="仿宋" w:hAnsi="仿宋" w:eastAsia="仿宋" w:cs="仿宋"/>
          <w:sz w:val="20"/>
          <w:szCs w:val="20"/>
        </w:rPr>
      </w:pPr>
      <w:r>
        <w:rPr>
          <w:rFonts w:ascii="仿宋" w:hAnsi="仿宋" w:eastAsia="仿宋" w:cs="仿宋"/>
          <w:b/>
          <w:bCs/>
          <w:spacing w:val="6"/>
          <w:sz w:val="20"/>
          <w:szCs w:val="20"/>
        </w:rPr>
        <w:t>表</w:t>
      </w:r>
      <w:r>
        <w:rPr>
          <w:rFonts w:ascii="仿宋" w:hAnsi="仿宋" w:eastAsia="仿宋" w:cs="仿宋"/>
          <w:spacing w:val="-42"/>
          <w:sz w:val="20"/>
          <w:szCs w:val="20"/>
        </w:rPr>
        <w:t xml:space="preserve"> </w:t>
      </w:r>
      <w:r>
        <w:rPr>
          <w:rFonts w:ascii="Times New Roman" w:hAnsi="Times New Roman" w:eastAsia="Times New Roman" w:cs="Times New Roman"/>
          <w:b/>
          <w:bCs/>
          <w:spacing w:val="6"/>
          <w:sz w:val="20"/>
          <w:szCs w:val="20"/>
        </w:rPr>
        <w:t xml:space="preserve">2.3-6    </w:t>
      </w:r>
      <w:r>
        <w:rPr>
          <w:rFonts w:ascii="仿宋" w:hAnsi="仿宋" w:eastAsia="仿宋" w:cs="仿宋"/>
          <w:b/>
          <w:bCs/>
          <w:spacing w:val="6"/>
          <w:sz w:val="20"/>
          <w:szCs w:val="20"/>
        </w:rPr>
        <w:t>《规划调整》</w:t>
      </w:r>
      <w:r>
        <w:rPr>
          <w:rFonts w:ascii="仿宋" w:hAnsi="仿宋" w:eastAsia="仿宋" w:cs="仿宋"/>
          <w:spacing w:val="-47"/>
          <w:sz w:val="20"/>
          <w:szCs w:val="20"/>
        </w:rPr>
        <w:t xml:space="preserve"> </w:t>
      </w:r>
      <w:r>
        <w:rPr>
          <w:rFonts w:ascii="仿宋" w:hAnsi="仿宋" w:eastAsia="仿宋" w:cs="仿宋"/>
          <w:b/>
          <w:bCs/>
          <w:spacing w:val="6"/>
          <w:sz w:val="20"/>
          <w:szCs w:val="20"/>
        </w:rPr>
        <w:t>内容所属环境管控单元</w:t>
      </w:r>
      <w:r>
        <w:rPr>
          <w:rFonts w:ascii="仿宋" w:hAnsi="仿宋" w:eastAsia="仿宋" w:cs="仿宋"/>
          <w:b/>
          <w:bCs/>
          <w:spacing w:val="5"/>
          <w:sz w:val="20"/>
          <w:szCs w:val="20"/>
        </w:rPr>
        <w:t>及生态环境准入清单符合性分析表</w:t>
      </w:r>
    </w:p>
    <w:p w14:paraId="19E074F4">
      <w:pPr>
        <w:spacing w:line="25" w:lineRule="exact"/>
      </w:pPr>
    </w:p>
    <w:tbl>
      <w:tblPr>
        <w:tblStyle w:val="5"/>
        <w:tblW w:w="1412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91"/>
        <w:gridCol w:w="1174"/>
        <w:gridCol w:w="931"/>
        <w:gridCol w:w="1154"/>
        <w:gridCol w:w="4132"/>
        <w:gridCol w:w="2801"/>
        <w:gridCol w:w="2542"/>
      </w:tblGrid>
      <w:tr w14:paraId="79A271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391" w:type="dxa"/>
            <w:tcBorders>
              <w:top w:val="single" w:color="000000" w:sz="10" w:space="0"/>
              <w:left w:val="single" w:color="000000" w:sz="10" w:space="0"/>
            </w:tcBorders>
            <w:vAlign w:val="top"/>
          </w:tcPr>
          <w:p w14:paraId="2BD50048">
            <w:pPr>
              <w:pStyle w:val="6"/>
              <w:spacing w:before="147" w:line="221" w:lineRule="auto"/>
              <w:ind w:left="162"/>
              <w:rPr>
                <w:sz w:val="18"/>
                <w:szCs w:val="18"/>
              </w:rPr>
            </w:pPr>
            <w:r>
              <w:rPr>
                <w:b/>
                <w:bCs/>
                <w:spacing w:val="-6"/>
                <w:sz w:val="18"/>
                <w:szCs w:val="18"/>
              </w:rPr>
              <w:t>管控单元编码</w:t>
            </w:r>
          </w:p>
        </w:tc>
        <w:tc>
          <w:tcPr>
            <w:tcW w:w="1174" w:type="dxa"/>
            <w:tcBorders>
              <w:top w:val="single" w:color="000000" w:sz="10" w:space="0"/>
            </w:tcBorders>
            <w:vAlign w:val="top"/>
          </w:tcPr>
          <w:p w14:paraId="5EA07260">
            <w:pPr>
              <w:pStyle w:val="6"/>
              <w:spacing w:before="147" w:line="221" w:lineRule="auto"/>
              <w:ind w:left="56"/>
              <w:rPr>
                <w:sz w:val="18"/>
                <w:szCs w:val="18"/>
              </w:rPr>
            </w:pPr>
            <w:r>
              <w:rPr>
                <w:b/>
                <w:bCs/>
                <w:spacing w:val="-6"/>
                <w:sz w:val="18"/>
                <w:szCs w:val="18"/>
              </w:rPr>
              <w:t>管控单元名称</w:t>
            </w:r>
          </w:p>
        </w:tc>
        <w:tc>
          <w:tcPr>
            <w:tcW w:w="931" w:type="dxa"/>
            <w:tcBorders>
              <w:top w:val="single" w:color="000000" w:sz="10" w:space="0"/>
            </w:tcBorders>
            <w:vAlign w:val="top"/>
          </w:tcPr>
          <w:p w14:paraId="13EAD655">
            <w:pPr>
              <w:pStyle w:val="6"/>
              <w:spacing w:before="31" w:line="221" w:lineRule="auto"/>
              <w:ind w:left="24"/>
              <w:rPr>
                <w:sz w:val="18"/>
                <w:szCs w:val="18"/>
              </w:rPr>
            </w:pPr>
            <w:r>
              <w:rPr>
                <w:b/>
                <w:bCs/>
                <w:spacing w:val="-6"/>
                <w:sz w:val="18"/>
                <w:szCs w:val="18"/>
              </w:rPr>
              <w:t>管控单元分</w:t>
            </w:r>
          </w:p>
          <w:p w14:paraId="720B9520">
            <w:pPr>
              <w:pStyle w:val="6"/>
              <w:spacing w:before="17" w:line="203" w:lineRule="auto"/>
              <w:ind w:left="379"/>
              <w:rPr>
                <w:sz w:val="18"/>
                <w:szCs w:val="18"/>
              </w:rPr>
            </w:pPr>
            <w:r>
              <w:rPr>
                <w:b/>
                <w:bCs/>
                <w:spacing w:val="-2"/>
                <w:sz w:val="18"/>
                <w:szCs w:val="18"/>
              </w:rPr>
              <w:t>类</w:t>
            </w:r>
          </w:p>
        </w:tc>
        <w:tc>
          <w:tcPr>
            <w:tcW w:w="1154" w:type="dxa"/>
            <w:tcBorders>
              <w:top w:val="single" w:color="000000" w:sz="10" w:space="0"/>
            </w:tcBorders>
            <w:vAlign w:val="top"/>
          </w:tcPr>
          <w:p w14:paraId="7480D73C">
            <w:pPr>
              <w:pStyle w:val="6"/>
              <w:spacing w:before="147" w:line="223" w:lineRule="auto"/>
              <w:ind w:left="228"/>
              <w:rPr>
                <w:sz w:val="18"/>
                <w:szCs w:val="18"/>
              </w:rPr>
            </w:pPr>
            <w:r>
              <w:rPr>
                <w:b/>
                <w:bCs/>
                <w:spacing w:val="-7"/>
                <w:sz w:val="18"/>
                <w:szCs w:val="18"/>
              </w:rPr>
              <w:t>管控类别</w:t>
            </w:r>
          </w:p>
        </w:tc>
        <w:tc>
          <w:tcPr>
            <w:tcW w:w="4132" w:type="dxa"/>
            <w:tcBorders>
              <w:top w:val="single" w:color="000000" w:sz="10" w:space="0"/>
            </w:tcBorders>
            <w:vAlign w:val="top"/>
          </w:tcPr>
          <w:p w14:paraId="713FC4FA">
            <w:pPr>
              <w:pStyle w:val="6"/>
              <w:spacing w:before="147" w:line="222" w:lineRule="auto"/>
              <w:ind w:left="1721"/>
              <w:rPr>
                <w:sz w:val="18"/>
                <w:szCs w:val="18"/>
              </w:rPr>
            </w:pPr>
            <w:r>
              <w:rPr>
                <w:b/>
                <w:bCs/>
                <w:spacing w:val="-7"/>
                <w:sz w:val="18"/>
                <w:szCs w:val="18"/>
              </w:rPr>
              <w:t>管控要求</w:t>
            </w:r>
          </w:p>
        </w:tc>
        <w:tc>
          <w:tcPr>
            <w:tcW w:w="2801" w:type="dxa"/>
            <w:tcBorders>
              <w:top w:val="single" w:color="000000" w:sz="10" w:space="0"/>
            </w:tcBorders>
            <w:vAlign w:val="top"/>
          </w:tcPr>
          <w:p w14:paraId="3EC9DA66">
            <w:pPr>
              <w:pStyle w:val="6"/>
              <w:spacing w:before="147" w:line="222" w:lineRule="auto"/>
              <w:ind w:left="335"/>
              <w:rPr>
                <w:sz w:val="18"/>
                <w:szCs w:val="18"/>
              </w:rPr>
            </w:pPr>
            <w:r>
              <w:rPr>
                <w:b/>
                <w:bCs/>
                <w:spacing w:val="-3"/>
                <w:sz w:val="18"/>
                <w:szCs w:val="18"/>
              </w:rPr>
              <w:t>涉及规划调整内容中的区块</w:t>
            </w:r>
          </w:p>
        </w:tc>
        <w:tc>
          <w:tcPr>
            <w:tcW w:w="2542" w:type="dxa"/>
            <w:tcBorders>
              <w:top w:val="single" w:color="000000" w:sz="10" w:space="0"/>
              <w:right w:val="single" w:color="000000" w:sz="10" w:space="0"/>
            </w:tcBorders>
            <w:vAlign w:val="top"/>
          </w:tcPr>
          <w:p w14:paraId="02A69454">
            <w:pPr>
              <w:pStyle w:val="6"/>
              <w:spacing w:before="147" w:line="220" w:lineRule="auto"/>
              <w:ind w:left="831"/>
              <w:rPr>
                <w:sz w:val="18"/>
                <w:szCs w:val="18"/>
              </w:rPr>
            </w:pPr>
            <w:r>
              <w:rPr>
                <w:b/>
                <w:bCs/>
                <w:spacing w:val="-5"/>
                <w:sz w:val="18"/>
                <w:szCs w:val="18"/>
              </w:rPr>
              <w:t>符合性分析</w:t>
            </w:r>
          </w:p>
        </w:tc>
      </w:tr>
      <w:tr w14:paraId="443DAD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391" w:type="dxa"/>
            <w:vMerge w:val="restart"/>
            <w:tcBorders>
              <w:left w:val="single" w:color="000000" w:sz="10" w:space="0"/>
              <w:bottom w:val="nil"/>
            </w:tcBorders>
            <w:vAlign w:val="top"/>
          </w:tcPr>
          <w:p w14:paraId="3059E714">
            <w:pPr>
              <w:spacing w:line="261" w:lineRule="auto"/>
              <w:rPr>
                <w:rFonts w:ascii="Arial"/>
                <w:sz w:val="21"/>
              </w:rPr>
            </w:pPr>
          </w:p>
          <w:p w14:paraId="604933D0">
            <w:pPr>
              <w:spacing w:line="261" w:lineRule="auto"/>
              <w:rPr>
                <w:rFonts w:ascii="Arial"/>
                <w:sz w:val="21"/>
              </w:rPr>
            </w:pPr>
          </w:p>
          <w:p w14:paraId="064823A6">
            <w:pPr>
              <w:spacing w:line="262" w:lineRule="auto"/>
              <w:rPr>
                <w:rFonts w:ascii="Arial"/>
                <w:sz w:val="21"/>
              </w:rPr>
            </w:pPr>
          </w:p>
          <w:p w14:paraId="6E8C619D">
            <w:pPr>
              <w:spacing w:line="262" w:lineRule="auto"/>
              <w:rPr>
                <w:rFonts w:ascii="Arial"/>
                <w:sz w:val="21"/>
              </w:rPr>
            </w:pPr>
          </w:p>
          <w:p w14:paraId="46281FE0">
            <w:pPr>
              <w:spacing w:before="52" w:line="188" w:lineRule="auto"/>
              <w:ind w:left="143"/>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ZH50011430001</w:t>
            </w:r>
          </w:p>
        </w:tc>
        <w:tc>
          <w:tcPr>
            <w:tcW w:w="1174" w:type="dxa"/>
            <w:vMerge w:val="restart"/>
            <w:tcBorders>
              <w:bottom w:val="nil"/>
            </w:tcBorders>
            <w:vAlign w:val="top"/>
          </w:tcPr>
          <w:p w14:paraId="27918F67">
            <w:pPr>
              <w:spacing w:line="298" w:lineRule="auto"/>
              <w:rPr>
                <w:rFonts w:ascii="Arial"/>
                <w:sz w:val="21"/>
              </w:rPr>
            </w:pPr>
          </w:p>
          <w:p w14:paraId="7A5FCA64">
            <w:pPr>
              <w:spacing w:line="298" w:lineRule="auto"/>
              <w:rPr>
                <w:rFonts w:ascii="Arial"/>
                <w:sz w:val="21"/>
              </w:rPr>
            </w:pPr>
          </w:p>
          <w:p w14:paraId="7F7CBED6">
            <w:pPr>
              <w:spacing w:line="298" w:lineRule="auto"/>
              <w:rPr>
                <w:rFonts w:ascii="Arial"/>
                <w:sz w:val="21"/>
              </w:rPr>
            </w:pPr>
          </w:p>
          <w:p w14:paraId="5BACD552">
            <w:pPr>
              <w:pStyle w:val="6"/>
              <w:spacing w:before="58" w:line="239" w:lineRule="auto"/>
              <w:ind w:left="13" w:firstLine="23"/>
              <w:rPr>
                <w:sz w:val="18"/>
                <w:szCs w:val="18"/>
              </w:rPr>
            </w:pPr>
            <w:r>
              <w:rPr>
                <w:spacing w:val="-22"/>
                <w:sz w:val="18"/>
                <w:szCs w:val="18"/>
              </w:rPr>
              <w:t>黔江区一般管控</w:t>
            </w:r>
            <w:r>
              <w:rPr>
                <w:spacing w:val="2"/>
                <w:sz w:val="18"/>
                <w:szCs w:val="18"/>
              </w:rPr>
              <w:t xml:space="preserve"> </w:t>
            </w:r>
            <w:r>
              <w:rPr>
                <w:spacing w:val="-23"/>
                <w:sz w:val="18"/>
                <w:szCs w:val="18"/>
              </w:rPr>
              <w:t>单元</w:t>
            </w:r>
            <w:r>
              <w:rPr>
                <w:rFonts w:ascii="Times New Roman" w:hAnsi="Times New Roman" w:eastAsia="Times New Roman" w:cs="Times New Roman"/>
                <w:spacing w:val="-22"/>
                <w:sz w:val="18"/>
                <w:szCs w:val="18"/>
              </w:rPr>
              <w:t>-</w:t>
            </w:r>
            <w:r>
              <w:rPr>
                <w:spacing w:val="-22"/>
                <w:sz w:val="18"/>
                <w:szCs w:val="18"/>
              </w:rPr>
              <w:t>阿蓬江两</w:t>
            </w:r>
            <w:r>
              <w:rPr>
                <w:spacing w:val="-12"/>
                <w:sz w:val="18"/>
                <w:szCs w:val="18"/>
              </w:rPr>
              <w:t>河</w:t>
            </w:r>
          </w:p>
        </w:tc>
        <w:tc>
          <w:tcPr>
            <w:tcW w:w="931" w:type="dxa"/>
            <w:vMerge w:val="restart"/>
            <w:tcBorders>
              <w:bottom w:val="nil"/>
            </w:tcBorders>
            <w:vAlign w:val="top"/>
          </w:tcPr>
          <w:p w14:paraId="00C48A2A">
            <w:pPr>
              <w:spacing w:line="297" w:lineRule="auto"/>
              <w:rPr>
                <w:rFonts w:ascii="Arial"/>
                <w:sz w:val="21"/>
              </w:rPr>
            </w:pPr>
          </w:p>
          <w:p w14:paraId="345AF9E6">
            <w:pPr>
              <w:spacing w:line="298" w:lineRule="auto"/>
              <w:rPr>
                <w:rFonts w:ascii="Arial"/>
                <w:sz w:val="21"/>
              </w:rPr>
            </w:pPr>
          </w:p>
          <w:p w14:paraId="3ECBB875">
            <w:pPr>
              <w:spacing w:line="298" w:lineRule="auto"/>
              <w:rPr>
                <w:rFonts w:ascii="Arial"/>
                <w:sz w:val="21"/>
              </w:rPr>
            </w:pPr>
          </w:p>
          <w:p w14:paraId="7FFF1233">
            <w:pPr>
              <w:pStyle w:val="6"/>
              <w:spacing w:before="59" w:line="221" w:lineRule="auto"/>
              <w:ind w:left="75"/>
              <w:rPr>
                <w:sz w:val="18"/>
                <w:szCs w:val="18"/>
              </w:rPr>
            </w:pPr>
            <w:r>
              <w:rPr>
                <w:spacing w:val="-17"/>
                <w:sz w:val="18"/>
                <w:szCs w:val="18"/>
              </w:rPr>
              <w:t>一般管控单</w:t>
            </w:r>
          </w:p>
          <w:p w14:paraId="779D0921">
            <w:pPr>
              <w:pStyle w:val="6"/>
              <w:spacing w:before="17" w:line="227" w:lineRule="auto"/>
              <w:ind w:left="331"/>
              <w:rPr>
                <w:rFonts w:ascii="Times New Roman" w:hAnsi="Times New Roman" w:eastAsia="Times New Roman" w:cs="Times New Roman"/>
                <w:sz w:val="18"/>
                <w:szCs w:val="18"/>
              </w:rPr>
            </w:pPr>
            <w:r>
              <w:rPr>
                <w:spacing w:val="1"/>
                <w:sz w:val="18"/>
                <w:szCs w:val="18"/>
              </w:rPr>
              <w:t>元</w:t>
            </w:r>
            <w:r>
              <w:rPr>
                <w:rFonts w:ascii="Times New Roman" w:hAnsi="Times New Roman" w:eastAsia="Times New Roman" w:cs="Times New Roman"/>
                <w:spacing w:val="1"/>
                <w:sz w:val="18"/>
                <w:szCs w:val="18"/>
              </w:rPr>
              <w:t>2</w:t>
            </w:r>
          </w:p>
        </w:tc>
        <w:tc>
          <w:tcPr>
            <w:tcW w:w="1154" w:type="dxa"/>
            <w:vAlign w:val="top"/>
          </w:tcPr>
          <w:p w14:paraId="471F981C">
            <w:pPr>
              <w:pStyle w:val="6"/>
              <w:spacing w:before="146" w:line="220" w:lineRule="auto"/>
              <w:ind w:left="115"/>
              <w:rPr>
                <w:sz w:val="18"/>
                <w:szCs w:val="18"/>
              </w:rPr>
            </w:pPr>
            <w:r>
              <w:rPr>
                <w:spacing w:val="-19"/>
                <w:sz w:val="18"/>
                <w:szCs w:val="18"/>
              </w:rPr>
              <w:t>空间布局约束</w:t>
            </w:r>
          </w:p>
        </w:tc>
        <w:tc>
          <w:tcPr>
            <w:tcW w:w="4132" w:type="dxa"/>
            <w:vAlign w:val="top"/>
          </w:tcPr>
          <w:p w14:paraId="13A7EB54">
            <w:pPr>
              <w:pStyle w:val="6"/>
              <w:spacing w:before="29" w:line="221" w:lineRule="auto"/>
              <w:jc w:val="right"/>
              <w:rPr>
                <w:sz w:val="18"/>
                <w:szCs w:val="18"/>
              </w:rPr>
            </w:pPr>
            <w:r>
              <w:rPr>
                <w:rFonts w:ascii="Times New Roman" w:hAnsi="Times New Roman" w:eastAsia="Times New Roman" w:cs="Times New Roman"/>
                <w:spacing w:val="-23"/>
                <w:sz w:val="18"/>
                <w:szCs w:val="18"/>
              </w:rPr>
              <w:t>1.</w:t>
            </w:r>
            <w:r>
              <w:rPr>
                <w:spacing w:val="-23"/>
                <w:sz w:val="18"/>
                <w:szCs w:val="18"/>
              </w:rPr>
              <w:t>禁止乱砍滥伐、滥垦滥耕，禁止烧秸秆等落后耕种方式，</w:t>
            </w:r>
          </w:p>
          <w:p w14:paraId="2A4C6798">
            <w:pPr>
              <w:pStyle w:val="6"/>
              <w:spacing w:before="19" w:line="201" w:lineRule="auto"/>
              <w:ind w:left="1376"/>
              <w:rPr>
                <w:sz w:val="18"/>
                <w:szCs w:val="18"/>
              </w:rPr>
            </w:pPr>
            <w:r>
              <w:rPr>
                <w:spacing w:val="-20"/>
                <w:sz w:val="18"/>
                <w:szCs w:val="18"/>
              </w:rPr>
              <w:t>防止石漠化问题加剧</w:t>
            </w:r>
          </w:p>
        </w:tc>
        <w:tc>
          <w:tcPr>
            <w:tcW w:w="2801" w:type="dxa"/>
            <w:vMerge w:val="restart"/>
            <w:tcBorders>
              <w:bottom w:val="nil"/>
            </w:tcBorders>
            <w:vAlign w:val="top"/>
          </w:tcPr>
          <w:p w14:paraId="3232309A">
            <w:pPr>
              <w:spacing w:line="252" w:lineRule="auto"/>
              <w:rPr>
                <w:rFonts w:ascii="Arial"/>
                <w:sz w:val="21"/>
              </w:rPr>
            </w:pPr>
          </w:p>
          <w:p w14:paraId="77E413E9">
            <w:pPr>
              <w:spacing w:line="252" w:lineRule="auto"/>
              <w:rPr>
                <w:rFonts w:ascii="Arial"/>
                <w:sz w:val="21"/>
              </w:rPr>
            </w:pPr>
          </w:p>
          <w:p w14:paraId="5C792CD4">
            <w:pPr>
              <w:spacing w:line="252" w:lineRule="auto"/>
              <w:rPr>
                <w:rFonts w:ascii="Arial"/>
                <w:sz w:val="21"/>
              </w:rPr>
            </w:pPr>
          </w:p>
          <w:p w14:paraId="13DB5292">
            <w:pPr>
              <w:spacing w:line="252" w:lineRule="auto"/>
              <w:rPr>
                <w:rFonts w:ascii="Arial"/>
                <w:sz w:val="21"/>
              </w:rPr>
            </w:pPr>
          </w:p>
          <w:p w14:paraId="1236DBED">
            <w:pPr>
              <w:pStyle w:val="6"/>
              <w:spacing w:before="59" w:line="212" w:lineRule="auto"/>
              <w:ind w:left="766"/>
              <w:rPr>
                <w:rFonts w:ascii="Times New Roman" w:hAnsi="Times New Roman" w:eastAsia="Times New Roman" w:cs="Times New Roman"/>
                <w:sz w:val="18"/>
                <w:szCs w:val="18"/>
              </w:rPr>
            </w:pPr>
            <w:r>
              <w:rPr>
                <w:spacing w:val="-2"/>
                <w:sz w:val="18"/>
                <w:szCs w:val="18"/>
              </w:rPr>
              <w:t>勘查区块</w:t>
            </w:r>
            <w:r>
              <w:rPr>
                <w:spacing w:val="-39"/>
                <w:sz w:val="18"/>
                <w:szCs w:val="18"/>
              </w:rPr>
              <w:t xml:space="preserve"> </w:t>
            </w:r>
            <w:r>
              <w:rPr>
                <w:rFonts w:ascii="Times New Roman" w:hAnsi="Times New Roman" w:eastAsia="Times New Roman" w:cs="Times New Roman"/>
                <w:spacing w:val="-2"/>
                <w:sz w:val="18"/>
                <w:szCs w:val="18"/>
              </w:rPr>
              <w:t>KQ004</w:t>
            </w:r>
          </w:p>
        </w:tc>
        <w:tc>
          <w:tcPr>
            <w:tcW w:w="2542" w:type="dxa"/>
            <w:vMerge w:val="restart"/>
            <w:tcBorders>
              <w:bottom w:val="nil"/>
              <w:right w:val="single" w:color="000000" w:sz="10" w:space="0"/>
            </w:tcBorders>
            <w:vAlign w:val="top"/>
          </w:tcPr>
          <w:p w14:paraId="22E949BC">
            <w:pPr>
              <w:spacing w:line="259" w:lineRule="auto"/>
              <w:rPr>
                <w:rFonts w:ascii="Arial"/>
                <w:sz w:val="21"/>
              </w:rPr>
            </w:pPr>
          </w:p>
          <w:p w14:paraId="77A84ED4">
            <w:pPr>
              <w:spacing w:line="259" w:lineRule="auto"/>
              <w:rPr>
                <w:rFonts w:ascii="Arial"/>
                <w:sz w:val="21"/>
              </w:rPr>
            </w:pPr>
          </w:p>
          <w:p w14:paraId="4B6D57BE">
            <w:pPr>
              <w:spacing w:line="259" w:lineRule="auto"/>
              <w:rPr>
                <w:rFonts w:ascii="Arial"/>
                <w:sz w:val="21"/>
              </w:rPr>
            </w:pPr>
          </w:p>
          <w:p w14:paraId="40F54408">
            <w:pPr>
              <w:pStyle w:val="6"/>
              <w:spacing w:before="58" w:line="222" w:lineRule="auto"/>
              <w:jc w:val="right"/>
              <w:rPr>
                <w:sz w:val="18"/>
                <w:szCs w:val="18"/>
              </w:rPr>
            </w:pPr>
            <w:r>
              <w:rPr>
                <w:spacing w:val="-25"/>
                <w:sz w:val="18"/>
                <w:szCs w:val="18"/>
              </w:rPr>
              <w:t>建议加强矿产资</w:t>
            </w:r>
            <w:r>
              <w:rPr>
                <w:spacing w:val="-24"/>
                <w:sz w:val="18"/>
                <w:szCs w:val="18"/>
              </w:rPr>
              <w:t>源勘查、开发中的</w:t>
            </w:r>
            <w:r>
              <w:rPr>
                <w:spacing w:val="-17"/>
                <w:sz w:val="18"/>
                <w:szCs w:val="18"/>
              </w:rPr>
              <w:t>环</w:t>
            </w:r>
          </w:p>
          <w:p w14:paraId="72031CEF">
            <w:pPr>
              <w:pStyle w:val="6"/>
              <w:spacing w:before="16" w:line="222" w:lineRule="auto"/>
              <w:jc w:val="right"/>
              <w:rPr>
                <w:sz w:val="18"/>
                <w:szCs w:val="18"/>
              </w:rPr>
            </w:pPr>
            <w:r>
              <w:rPr>
                <w:spacing w:val="-25"/>
                <w:sz w:val="18"/>
                <w:szCs w:val="18"/>
              </w:rPr>
              <w:t>境管理，减少水环境等污染</w:t>
            </w:r>
            <w:r>
              <w:rPr>
                <w:spacing w:val="-24"/>
                <w:sz w:val="18"/>
                <w:szCs w:val="18"/>
              </w:rPr>
              <w:t>，尽量</w:t>
            </w:r>
            <w:r>
              <w:rPr>
                <w:spacing w:val="-12"/>
                <w:sz w:val="18"/>
                <w:szCs w:val="18"/>
              </w:rPr>
              <w:t>避</w:t>
            </w:r>
          </w:p>
          <w:p w14:paraId="4443A4B2">
            <w:pPr>
              <w:pStyle w:val="6"/>
              <w:spacing w:before="15" w:line="221" w:lineRule="auto"/>
              <w:ind w:left="336"/>
              <w:rPr>
                <w:sz w:val="18"/>
                <w:szCs w:val="18"/>
              </w:rPr>
            </w:pPr>
            <w:r>
              <w:rPr>
                <w:spacing w:val="-20"/>
                <w:sz w:val="18"/>
                <w:szCs w:val="18"/>
              </w:rPr>
              <w:t>免发生环境风险事故。符合</w:t>
            </w:r>
          </w:p>
        </w:tc>
      </w:tr>
      <w:tr w14:paraId="6164E5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5" w:hRule="atLeast"/>
        </w:trPr>
        <w:tc>
          <w:tcPr>
            <w:tcW w:w="1391" w:type="dxa"/>
            <w:vMerge w:val="continue"/>
            <w:tcBorders>
              <w:top w:val="nil"/>
              <w:left w:val="single" w:color="000000" w:sz="10" w:space="0"/>
              <w:bottom w:val="nil"/>
            </w:tcBorders>
            <w:vAlign w:val="top"/>
          </w:tcPr>
          <w:p w14:paraId="1B05959E">
            <w:pPr>
              <w:rPr>
                <w:rFonts w:ascii="Arial"/>
                <w:sz w:val="21"/>
              </w:rPr>
            </w:pPr>
          </w:p>
        </w:tc>
        <w:tc>
          <w:tcPr>
            <w:tcW w:w="1174" w:type="dxa"/>
            <w:vMerge w:val="continue"/>
            <w:tcBorders>
              <w:top w:val="nil"/>
              <w:bottom w:val="nil"/>
            </w:tcBorders>
            <w:vAlign w:val="top"/>
          </w:tcPr>
          <w:p w14:paraId="1DE8D800">
            <w:pPr>
              <w:rPr>
                <w:rFonts w:ascii="Arial"/>
                <w:sz w:val="21"/>
              </w:rPr>
            </w:pPr>
          </w:p>
        </w:tc>
        <w:tc>
          <w:tcPr>
            <w:tcW w:w="931" w:type="dxa"/>
            <w:vMerge w:val="continue"/>
            <w:tcBorders>
              <w:top w:val="nil"/>
              <w:bottom w:val="nil"/>
            </w:tcBorders>
            <w:vAlign w:val="top"/>
          </w:tcPr>
          <w:p w14:paraId="0E66D44F">
            <w:pPr>
              <w:rPr>
                <w:rFonts w:ascii="Arial"/>
                <w:sz w:val="21"/>
              </w:rPr>
            </w:pPr>
          </w:p>
        </w:tc>
        <w:tc>
          <w:tcPr>
            <w:tcW w:w="1154" w:type="dxa"/>
            <w:vAlign w:val="top"/>
          </w:tcPr>
          <w:p w14:paraId="5E301D6C">
            <w:pPr>
              <w:spacing w:line="321" w:lineRule="auto"/>
              <w:rPr>
                <w:rFonts w:ascii="Arial"/>
                <w:sz w:val="21"/>
              </w:rPr>
            </w:pPr>
          </w:p>
          <w:p w14:paraId="1D28A263">
            <w:pPr>
              <w:pStyle w:val="6"/>
              <w:spacing w:before="59" w:line="221" w:lineRule="auto"/>
              <w:jc w:val="right"/>
              <w:rPr>
                <w:sz w:val="18"/>
                <w:szCs w:val="18"/>
              </w:rPr>
            </w:pPr>
            <w:r>
              <w:rPr>
                <w:spacing w:val="-24"/>
                <w:sz w:val="18"/>
                <w:szCs w:val="18"/>
              </w:rPr>
              <w:t>污染物排</w:t>
            </w:r>
            <w:r>
              <w:rPr>
                <w:spacing w:val="-23"/>
                <w:sz w:val="18"/>
                <w:szCs w:val="18"/>
              </w:rPr>
              <w:t>放管</w:t>
            </w:r>
            <w:r>
              <w:rPr>
                <w:spacing w:val="-12"/>
                <w:sz w:val="18"/>
                <w:szCs w:val="18"/>
              </w:rPr>
              <w:t>控</w:t>
            </w:r>
          </w:p>
        </w:tc>
        <w:tc>
          <w:tcPr>
            <w:tcW w:w="4132" w:type="dxa"/>
            <w:vAlign w:val="top"/>
          </w:tcPr>
          <w:p w14:paraId="5E6EB032">
            <w:pPr>
              <w:pStyle w:val="6"/>
              <w:spacing w:before="32" w:line="230" w:lineRule="auto"/>
              <w:ind w:left="808" w:hanging="789"/>
              <w:rPr>
                <w:sz w:val="18"/>
                <w:szCs w:val="18"/>
              </w:rPr>
            </w:pPr>
            <w:r>
              <w:rPr>
                <w:rFonts w:ascii="Times New Roman" w:hAnsi="Times New Roman" w:eastAsia="Times New Roman" w:cs="Times New Roman"/>
                <w:spacing w:val="-25"/>
                <w:sz w:val="18"/>
                <w:szCs w:val="18"/>
              </w:rPr>
              <w:t>1.</w:t>
            </w:r>
            <w:r>
              <w:rPr>
                <w:spacing w:val="-25"/>
                <w:sz w:val="18"/>
                <w:szCs w:val="18"/>
              </w:rPr>
              <w:t>严格管控排入黔江河污水水质，强化城</w:t>
            </w:r>
            <w:r>
              <w:rPr>
                <w:spacing w:val="-26"/>
                <w:sz w:val="18"/>
                <w:szCs w:val="18"/>
              </w:rPr>
              <w:t>镇生活污水的截流、</w:t>
            </w:r>
            <w:r>
              <w:rPr>
                <w:sz w:val="18"/>
                <w:szCs w:val="18"/>
              </w:rPr>
              <w:t xml:space="preserve"> </w:t>
            </w:r>
            <w:r>
              <w:rPr>
                <w:spacing w:val="-24"/>
                <w:sz w:val="18"/>
                <w:szCs w:val="18"/>
              </w:rPr>
              <w:t>收集，排水系统达到雨污完全分流；</w:t>
            </w:r>
          </w:p>
          <w:p w14:paraId="48D8E3C3">
            <w:pPr>
              <w:pStyle w:val="6"/>
              <w:spacing w:before="17" w:line="219" w:lineRule="auto"/>
              <w:ind w:left="734" w:right="10" w:hanging="699"/>
              <w:rPr>
                <w:sz w:val="18"/>
                <w:szCs w:val="18"/>
              </w:rPr>
            </w:pPr>
            <w:r>
              <w:rPr>
                <w:rFonts w:ascii="Times New Roman" w:hAnsi="Times New Roman" w:eastAsia="Times New Roman" w:cs="Times New Roman"/>
                <w:spacing w:val="-21"/>
                <w:sz w:val="18"/>
                <w:szCs w:val="18"/>
              </w:rPr>
              <w:t>2.</w:t>
            </w:r>
            <w:r>
              <w:rPr>
                <w:spacing w:val="-21"/>
                <w:sz w:val="18"/>
                <w:szCs w:val="18"/>
              </w:rPr>
              <w:t>加强力度改善黔江河水质，根据断面、河段环境容量、允</w:t>
            </w:r>
            <w:r>
              <w:rPr>
                <w:spacing w:val="11"/>
                <w:sz w:val="18"/>
                <w:szCs w:val="18"/>
              </w:rPr>
              <w:t xml:space="preserve"> </w:t>
            </w:r>
            <w:r>
              <w:rPr>
                <w:spacing w:val="-21"/>
                <w:sz w:val="18"/>
                <w:szCs w:val="18"/>
              </w:rPr>
              <w:t>许排放量进行合理分配污染排放区域。</w:t>
            </w:r>
          </w:p>
        </w:tc>
        <w:tc>
          <w:tcPr>
            <w:tcW w:w="2801" w:type="dxa"/>
            <w:vMerge w:val="continue"/>
            <w:tcBorders>
              <w:top w:val="nil"/>
              <w:bottom w:val="nil"/>
            </w:tcBorders>
            <w:vAlign w:val="top"/>
          </w:tcPr>
          <w:p w14:paraId="7A148063">
            <w:pPr>
              <w:rPr>
                <w:rFonts w:ascii="Arial"/>
                <w:sz w:val="21"/>
              </w:rPr>
            </w:pPr>
          </w:p>
        </w:tc>
        <w:tc>
          <w:tcPr>
            <w:tcW w:w="2542" w:type="dxa"/>
            <w:vMerge w:val="continue"/>
            <w:tcBorders>
              <w:top w:val="nil"/>
              <w:bottom w:val="nil"/>
              <w:right w:val="single" w:color="000000" w:sz="10" w:space="0"/>
            </w:tcBorders>
            <w:vAlign w:val="top"/>
          </w:tcPr>
          <w:p w14:paraId="4F40C578">
            <w:pPr>
              <w:rPr>
                <w:rFonts w:ascii="Arial"/>
                <w:sz w:val="21"/>
              </w:rPr>
            </w:pPr>
          </w:p>
        </w:tc>
      </w:tr>
      <w:tr w14:paraId="21D4C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trPr>
        <w:tc>
          <w:tcPr>
            <w:tcW w:w="1391" w:type="dxa"/>
            <w:vMerge w:val="continue"/>
            <w:tcBorders>
              <w:top w:val="nil"/>
              <w:left w:val="single" w:color="000000" w:sz="10" w:space="0"/>
              <w:bottom w:val="nil"/>
            </w:tcBorders>
            <w:vAlign w:val="top"/>
          </w:tcPr>
          <w:p w14:paraId="351B3981">
            <w:pPr>
              <w:rPr>
                <w:rFonts w:ascii="Arial"/>
                <w:sz w:val="21"/>
              </w:rPr>
            </w:pPr>
          </w:p>
        </w:tc>
        <w:tc>
          <w:tcPr>
            <w:tcW w:w="1174" w:type="dxa"/>
            <w:vMerge w:val="continue"/>
            <w:tcBorders>
              <w:top w:val="nil"/>
              <w:bottom w:val="nil"/>
            </w:tcBorders>
            <w:vAlign w:val="top"/>
          </w:tcPr>
          <w:p w14:paraId="330200F0">
            <w:pPr>
              <w:rPr>
                <w:rFonts w:ascii="Arial"/>
                <w:sz w:val="21"/>
              </w:rPr>
            </w:pPr>
          </w:p>
        </w:tc>
        <w:tc>
          <w:tcPr>
            <w:tcW w:w="931" w:type="dxa"/>
            <w:vMerge w:val="continue"/>
            <w:tcBorders>
              <w:top w:val="nil"/>
              <w:bottom w:val="nil"/>
            </w:tcBorders>
            <w:vAlign w:val="top"/>
          </w:tcPr>
          <w:p w14:paraId="4E21623B">
            <w:pPr>
              <w:rPr>
                <w:rFonts w:ascii="Arial"/>
                <w:sz w:val="21"/>
              </w:rPr>
            </w:pPr>
          </w:p>
        </w:tc>
        <w:tc>
          <w:tcPr>
            <w:tcW w:w="1154" w:type="dxa"/>
            <w:vAlign w:val="top"/>
          </w:tcPr>
          <w:p w14:paraId="73C56A7F">
            <w:pPr>
              <w:pStyle w:val="6"/>
              <w:spacing w:before="131" w:line="222" w:lineRule="auto"/>
              <w:ind w:left="106"/>
              <w:rPr>
                <w:sz w:val="18"/>
                <w:szCs w:val="18"/>
              </w:rPr>
            </w:pPr>
            <w:r>
              <w:rPr>
                <w:spacing w:val="-17"/>
                <w:sz w:val="18"/>
                <w:szCs w:val="18"/>
              </w:rPr>
              <w:t>环境风险防控</w:t>
            </w:r>
          </w:p>
        </w:tc>
        <w:tc>
          <w:tcPr>
            <w:tcW w:w="4132" w:type="dxa"/>
            <w:vAlign w:val="top"/>
          </w:tcPr>
          <w:p w14:paraId="7132B59A">
            <w:pPr>
              <w:spacing w:before="162" w:line="188" w:lineRule="auto"/>
              <w:ind w:left="2038"/>
              <w:rPr>
                <w:rFonts w:ascii="Times New Roman" w:hAnsi="Times New Roman" w:eastAsia="Times New Roman" w:cs="Times New Roman"/>
                <w:sz w:val="18"/>
                <w:szCs w:val="18"/>
              </w:rPr>
            </w:pPr>
            <w:r>
              <w:rPr>
                <w:rFonts w:ascii="Times New Roman" w:hAnsi="Times New Roman" w:eastAsia="Times New Roman" w:cs="Times New Roman"/>
                <w:b/>
                <w:bCs/>
                <w:sz w:val="18"/>
                <w:szCs w:val="18"/>
              </w:rPr>
              <w:t>/</w:t>
            </w:r>
          </w:p>
        </w:tc>
        <w:tc>
          <w:tcPr>
            <w:tcW w:w="2801" w:type="dxa"/>
            <w:vMerge w:val="continue"/>
            <w:tcBorders>
              <w:top w:val="nil"/>
              <w:bottom w:val="nil"/>
            </w:tcBorders>
            <w:vAlign w:val="top"/>
          </w:tcPr>
          <w:p w14:paraId="739B4354">
            <w:pPr>
              <w:rPr>
                <w:rFonts w:ascii="Arial"/>
                <w:sz w:val="21"/>
              </w:rPr>
            </w:pPr>
          </w:p>
        </w:tc>
        <w:tc>
          <w:tcPr>
            <w:tcW w:w="2542" w:type="dxa"/>
            <w:vMerge w:val="continue"/>
            <w:tcBorders>
              <w:top w:val="nil"/>
              <w:bottom w:val="nil"/>
              <w:right w:val="single" w:color="000000" w:sz="10" w:space="0"/>
            </w:tcBorders>
            <w:vAlign w:val="top"/>
          </w:tcPr>
          <w:p w14:paraId="4E51BB8B">
            <w:pPr>
              <w:rPr>
                <w:rFonts w:ascii="Arial"/>
                <w:sz w:val="21"/>
              </w:rPr>
            </w:pPr>
          </w:p>
        </w:tc>
      </w:tr>
      <w:tr w14:paraId="2AAB5A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391" w:type="dxa"/>
            <w:vMerge w:val="continue"/>
            <w:tcBorders>
              <w:top w:val="nil"/>
              <w:left w:val="single" w:color="000000" w:sz="10" w:space="0"/>
            </w:tcBorders>
            <w:vAlign w:val="top"/>
          </w:tcPr>
          <w:p w14:paraId="18573B74">
            <w:pPr>
              <w:rPr>
                <w:rFonts w:ascii="Arial"/>
                <w:sz w:val="21"/>
              </w:rPr>
            </w:pPr>
          </w:p>
        </w:tc>
        <w:tc>
          <w:tcPr>
            <w:tcW w:w="1174" w:type="dxa"/>
            <w:vMerge w:val="continue"/>
            <w:tcBorders>
              <w:top w:val="nil"/>
            </w:tcBorders>
            <w:vAlign w:val="top"/>
          </w:tcPr>
          <w:p w14:paraId="289B91E5">
            <w:pPr>
              <w:rPr>
                <w:rFonts w:ascii="Arial"/>
                <w:sz w:val="21"/>
              </w:rPr>
            </w:pPr>
          </w:p>
        </w:tc>
        <w:tc>
          <w:tcPr>
            <w:tcW w:w="931" w:type="dxa"/>
            <w:vMerge w:val="continue"/>
            <w:tcBorders>
              <w:top w:val="nil"/>
            </w:tcBorders>
            <w:vAlign w:val="top"/>
          </w:tcPr>
          <w:p w14:paraId="2A3E6EEF">
            <w:pPr>
              <w:rPr>
                <w:rFonts w:ascii="Arial"/>
                <w:sz w:val="21"/>
              </w:rPr>
            </w:pPr>
          </w:p>
        </w:tc>
        <w:tc>
          <w:tcPr>
            <w:tcW w:w="1154" w:type="dxa"/>
            <w:vAlign w:val="top"/>
          </w:tcPr>
          <w:p w14:paraId="744ADB4F">
            <w:pPr>
              <w:pStyle w:val="6"/>
              <w:spacing w:before="39" w:line="222" w:lineRule="auto"/>
              <w:jc w:val="right"/>
              <w:rPr>
                <w:sz w:val="18"/>
                <w:szCs w:val="18"/>
              </w:rPr>
            </w:pPr>
            <w:r>
              <w:rPr>
                <w:spacing w:val="-24"/>
                <w:sz w:val="18"/>
                <w:szCs w:val="18"/>
              </w:rPr>
              <w:t>资</w:t>
            </w:r>
            <w:r>
              <w:rPr>
                <w:spacing w:val="-23"/>
                <w:sz w:val="18"/>
                <w:szCs w:val="18"/>
              </w:rPr>
              <w:t>源开发效率</w:t>
            </w:r>
            <w:r>
              <w:rPr>
                <w:spacing w:val="-15"/>
                <w:sz w:val="18"/>
                <w:szCs w:val="18"/>
              </w:rPr>
              <w:t>要</w:t>
            </w:r>
          </w:p>
          <w:p w14:paraId="20DD72EB">
            <w:pPr>
              <w:pStyle w:val="6"/>
              <w:spacing w:before="16" w:line="193" w:lineRule="auto"/>
              <w:ind w:left="507"/>
              <w:rPr>
                <w:sz w:val="18"/>
                <w:szCs w:val="18"/>
              </w:rPr>
            </w:pPr>
            <w:r>
              <w:rPr>
                <w:sz w:val="18"/>
                <w:szCs w:val="18"/>
              </w:rPr>
              <w:t>求</w:t>
            </w:r>
          </w:p>
        </w:tc>
        <w:tc>
          <w:tcPr>
            <w:tcW w:w="4132" w:type="dxa"/>
            <w:vAlign w:val="top"/>
          </w:tcPr>
          <w:p w14:paraId="67C1D156">
            <w:pPr>
              <w:spacing w:before="185" w:line="188" w:lineRule="auto"/>
              <w:ind w:left="2038"/>
              <w:rPr>
                <w:rFonts w:ascii="Times New Roman" w:hAnsi="Times New Roman" w:eastAsia="Times New Roman" w:cs="Times New Roman"/>
                <w:sz w:val="18"/>
                <w:szCs w:val="18"/>
              </w:rPr>
            </w:pPr>
            <w:r>
              <w:rPr>
                <w:rFonts w:ascii="Times New Roman" w:hAnsi="Times New Roman" w:eastAsia="Times New Roman" w:cs="Times New Roman"/>
                <w:b/>
                <w:bCs/>
                <w:sz w:val="18"/>
                <w:szCs w:val="18"/>
              </w:rPr>
              <w:t>/</w:t>
            </w:r>
          </w:p>
        </w:tc>
        <w:tc>
          <w:tcPr>
            <w:tcW w:w="2801" w:type="dxa"/>
            <w:vMerge w:val="continue"/>
            <w:tcBorders>
              <w:top w:val="nil"/>
            </w:tcBorders>
            <w:vAlign w:val="top"/>
          </w:tcPr>
          <w:p w14:paraId="34B61582">
            <w:pPr>
              <w:rPr>
                <w:rFonts w:ascii="Arial"/>
                <w:sz w:val="21"/>
              </w:rPr>
            </w:pPr>
          </w:p>
        </w:tc>
        <w:tc>
          <w:tcPr>
            <w:tcW w:w="2542" w:type="dxa"/>
            <w:vMerge w:val="continue"/>
            <w:tcBorders>
              <w:top w:val="nil"/>
              <w:right w:val="single" w:color="000000" w:sz="10" w:space="0"/>
            </w:tcBorders>
            <w:vAlign w:val="top"/>
          </w:tcPr>
          <w:p w14:paraId="4CE22C0F">
            <w:pPr>
              <w:rPr>
                <w:rFonts w:ascii="Arial"/>
                <w:sz w:val="21"/>
              </w:rPr>
            </w:pPr>
          </w:p>
        </w:tc>
      </w:tr>
      <w:tr w14:paraId="763188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1391" w:type="dxa"/>
            <w:vMerge w:val="restart"/>
            <w:tcBorders>
              <w:left w:val="single" w:color="000000" w:sz="10" w:space="0"/>
              <w:bottom w:val="nil"/>
            </w:tcBorders>
            <w:vAlign w:val="top"/>
          </w:tcPr>
          <w:p w14:paraId="194F393F">
            <w:pPr>
              <w:spacing w:line="280" w:lineRule="auto"/>
              <w:rPr>
                <w:rFonts w:ascii="Arial"/>
                <w:sz w:val="21"/>
              </w:rPr>
            </w:pPr>
          </w:p>
          <w:p w14:paraId="3FE69663">
            <w:pPr>
              <w:spacing w:line="280" w:lineRule="auto"/>
              <w:rPr>
                <w:rFonts w:ascii="Arial"/>
                <w:sz w:val="21"/>
              </w:rPr>
            </w:pPr>
          </w:p>
          <w:p w14:paraId="701D368A">
            <w:pPr>
              <w:spacing w:line="280" w:lineRule="auto"/>
              <w:rPr>
                <w:rFonts w:ascii="Arial"/>
                <w:sz w:val="21"/>
              </w:rPr>
            </w:pPr>
          </w:p>
          <w:p w14:paraId="08E27AFD">
            <w:pPr>
              <w:spacing w:line="280" w:lineRule="auto"/>
              <w:rPr>
                <w:rFonts w:ascii="Arial"/>
                <w:sz w:val="21"/>
              </w:rPr>
            </w:pPr>
          </w:p>
          <w:p w14:paraId="07EBD1BC">
            <w:pPr>
              <w:spacing w:before="52" w:line="188" w:lineRule="auto"/>
              <w:ind w:left="143"/>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ZH50011430002</w:t>
            </w:r>
          </w:p>
        </w:tc>
        <w:tc>
          <w:tcPr>
            <w:tcW w:w="1174" w:type="dxa"/>
            <w:vMerge w:val="restart"/>
            <w:tcBorders>
              <w:bottom w:val="nil"/>
            </w:tcBorders>
            <w:vAlign w:val="top"/>
          </w:tcPr>
          <w:p w14:paraId="4C01814F">
            <w:pPr>
              <w:spacing w:line="283" w:lineRule="auto"/>
              <w:rPr>
                <w:rFonts w:ascii="Arial"/>
                <w:sz w:val="21"/>
              </w:rPr>
            </w:pPr>
          </w:p>
          <w:p w14:paraId="2BD217E4">
            <w:pPr>
              <w:spacing w:line="283" w:lineRule="auto"/>
              <w:rPr>
                <w:rFonts w:ascii="Arial"/>
                <w:sz w:val="21"/>
              </w:rPr>
            </w:pPr>
          </w:p>
          <w:p w14:paraId="11E388D1">
            <w:pPr>
              <w:spacing w:line="284" w:lineRule="auto"/>
              <w:rPr>
                <w:rFonts w:ascii="Arial"/>
                <w:sz w:val="21"/>
              </w:rPr>
            </w:pPr>
          </w:p>
          <w:p w14:paraId="23040E17">
            <w:pPr>
              <w:pStyle w:val="6"/>
              <w:spacing w:before="59" w:line="239" w:lineRule="auto"/>
              <w:ind w:left="13" w:firstLine="23"/>
              <w:rPr>
                <w:sz w:val="18"/>
                <w:szCs w:val="18"/>
              </w:rPr>
            </w:pPr>
            <w:r>
              <w:rPr>
                <w:spacing w:val="-22"/>
                <w:sz w:val="18"/>
                <w:szCs w:val="18"/>
              </w:rPr>
              <w:t>黔江区一般管控</w:t>
            </w:r>
            <w:r>
              <w:rPr>
                <w:spacing w:val="2"/>
                <w:sz w:val="18"/>
                <w:szCs w:val="18"/>
              </w:rPr>
              <w:t xml:space="preserve"> </w:t>
            </w:r>
            <w:r>
              <w:rPr>
                <w:spacing w:val="-21"/>
                <w:sz w:val="18"/>
                <w:szCs w:val="18"/>
              </w:rPr>
              <w:t>单元</w:t>
            </w:r>
            <w:r>
              <w:rPr>
                <w:rFonts w:ascii="Times New Roman" w:hAnsi="Times New Roman" w:eastAsia="Times New Roman" w:cs="Times New Roman"/>
                <w:spacing w:val="-21"/>
                <w:sz w:val="18"/>
                <w:szCs w:val="18"/>
              </w:rPr>
              <w:t>-</w:t>
            </w:r>
            <w:r>
              <w:rPr>
                <w:spacing w:val="-21"/>
                <w:sz w:val="18"/>
                <w:szCs w:val="18"/>
              </w:rPr>
              <w:t>郁江马斯口</w:t>
            </w:r>
          </w:p>
          <w:p w14:paraId="01889C16">
            <w:pPr>
              <w:pStyle w:val="6"/>
              <w:spacing w:line="221" w:lineRule="auto"/>
              <w:ind w:left="436"/>
              <w:rPr>
                <w:sz w:val="18"/>
                <w:szCs w:val="18"/>
              </w:rPr>
            </w:pPr>
            <w:r>
              <w:rPr>
                <w:spacing w:val="-10"/>
                <w:sz w:val="18"/>
                <w:szCs w:val="18"/>
              </w:rPr>
              <w:t>断面</w:t>
            </w:r>
          </w:p>
        </w:tc>
        <w:tc>
          <w:tcPr>
            <w:tcW w:w="931" w:type="dxa"/>
            <w:vMerge w:val="restart"/>
            <w:tcBorders>
              <w:bottom w:val="nil"/>
            </w:tcBorders>
            <w:vAlign w:val="top"/>
          </w:tcPr>
          <w:p w14:paraId="452E0CF4">
            <w:pPr>
              <w:spacing w:line="241" w:lineRule="auto"/>
              <w:rPr>
                <w:rFonts w:ascii="Arial"/>
                <w:sz w:val="21"/>
              </w:rPr>
            </w:pPr>
          </w:p>
          <w:p w14:paraId="49659E57">
            <w:pPr>
              <w:spacing w:line="242" w:lineRule="auto"/>
              <w:rPr>
                <w:rFonts w:ascii="Arial"/>
                <w:sz w:val="21"/>
              </w:rPr>
            </w:pPr>
          </w:p>
          <w:p w14:paraId="5A6A1112">
            <w:pPr>
              <w:spacing w:line="242" w:lineRule="auto"/>
              <w:rPr>
                <w:rFonts w:ascii="Arial"/>
                <w:sz w:val="21"/>
              </w:rPr>
            </w:pPr>
          </w:p>
          <w:p w14:paraId="72FE2A54">
            <w:pPr>
              <w:spacing w:line="242" w:lineRule="auto"/>
              <w:rPr>
                <w:rFonts w:ascii="Arial"/>
                <w:sz w:val="21"/>
              </w:rPr>
            </w:pPr>
          </w:p>
          <w:p w14:paraId="3F562B3B">
            <w:pPr>
              <w:pStyle w:val="6"/>
              <w:spacing w:before="59" w:line="221" w:lineRule="auto"/>
              <w:ind w:left="75"/>
              <w:rPr>
                <w:sz w:val="18"/>
                <w:szCs w:val="18"/>
              </w:rPr>
            </w:pPr>
            <w:r>
              <w:rPr>
                <w:spacing w:val="-17"/>
                <w:sz w:val="18"/>
                <w:szCs w:val="18"/>
              </w:rPr>
              <w:t>一般管控单</w:t>
            </w:r>
          </w:p>
          <w:p w14:paraId="647931B0">
            <w:pPr>
              <w:pStyle w:val="6"/>
              <w:spacing w:before="17" w:line="227" w:lineRule="auto"/>
              <w:ind w:left="331"/>
              <w:rPr>
                <w:rFonts w:ascii="Times New Roman" w:hAnsi="Times New Roman" w:eastAsia="Times New Roman" w:cs="Times New Roman"/>
                <w:sz w:val="18"/>
                <w:szCs w:val="18"/>
              </w:rPr>
            </w:pPr>
            <w:r>
              <w:rPr>
                <w:spacing w:val="1"/>
                <w:sz w:val="18"/>
                <w:szCs w:val="18"/>
              </w:rPr>
              <w:t>元</w:t>
            </w:r>
            <w:r>
              <w:rPr>
                <w:rFonts w:ascii="Times New Roman" w:hAnsi="Times New Roman" w:eastAsia="Times New Roman" w:cs="Times New Roman"/>
                <w:spacing w:val="1"/>
                <w:sz w:val="18"/>
                <w:szCs w:val="18"/>
              </w:rPr>
              <w:t>2</w:t>
            </w:r>
          </w:p>
        </w:tc>
        <w:tc>
          <w:tcPr>
            <w:tcW w:w="1154" w:type="dxa"/>
            <w:vAlign w:val="top"/>
          </w:tcPr>
          <w:p w14:paraId="44304C41">
            <w:pPr>
              <w:pStyle w:val="6"/>
              <w:spacing w:before="202" w:line="220" w:lineRule="auto"/>
              <w:ind w:left="115"/>
              <w:rPr>
                <w:sz w:val="18"/>
                <w:szCs w:val="18"/>
              </w:rPr>
            </w:pPr>
            <w:r>
              <w:rPr>
                <w:spacing w:val="-19"/>
                <w:sz w:val="18"/>
                <w:szCs w:val="18"/>
              </w:rPr>
              <w:t>空间布局约束</w:t>
            </w:r>
          </w:p>
        </w:tc>
        <w:tc>
          <w:tcPr>
            <w:tcW w:w="4132" w:type="dxa"/>
            <w:vAlign w:val="top"/>
          </w:tcPr>
          <w:p w14:paraId="46314AD7">
            <w:pPr>
              <w:pStyle w:val="6"/>
              <w:spacing w:before="84" w:line="221" w:lineRule="auto"/>
              <w:jc w:val="right"/>
              <w:rPr>
                <w:sz w:val="18"/>
                <w:szCs w:val="18"/>
              </w:rPr>
            </w:pPr>
            <w:r>
              <w:rPr>
                <w:rFonts w:ascii="Times New Roman" w:hAnsi="Times New Roman" w:eastAsia="Times New Roman" w:cs="Times New Roman"/>
                <w:spacing w:val="-23"/>
                <w:sz w:val="18"/>
                <w:szCs w:val="18"/>
              </w:rPr>
              <w:t>1.</w:t>
            </w:r>
            <w:r>
              <w:rPr>
                <w:spacing w:val="-23"/>
                <w:sz w:val="18"/>
                <w:szCs w:val="18"/>
              </w:rPr>
              <w:t>禁止乱砍滥伐、滥垦滥耕，禁止烧秸秆等落后耕种方式，</w:t>
            </w:r>
          </w:p>
          <w:p w14:paraId="1F389A12">
            <w:pPr>
              <w:pStyle w:val="6"/>
              <w:spacing w:before="17" w:line="222" w:lineRule="auto"/>
              <w:ind w:left="1296"/>
              <w:rPr>
                <w:sz w:val="18"/>
                <w:szCs w:val="18"/>
              </w:rPr>
            </w:pPr>
            <w:r>
              <w:rPr>
                <w:spacing w:val="-20"/>
                <w:sz w:val="18"/>
                <w:szCs w:val="18"/>
              </w:rPr>
              <w:t>防止石漠化问题加剧。</w:t>
            </w:r>
          </w:p>
        </w:tc>
        <w:tc>
          <w:tcPr>
            <w:tcW w:w="2801" w:type="dxa"/>
            <w:vMerge w:val="restart"/>
            <w:tcBorders>
              <w:bottom w:val="nil"/>
            </w:tcBorders>
            <w:vAlign w:val="top"/>
          </w:tcPr>
          <w:p w14:paraId="33F810D9">
            <w:pPr>
              <w:spacing w:line="241" w:lineRule="auto"/>
              <w:rPr>
                <w:rFonts w:ascii="Arial"/>
                <w:sz w:val="21"/>
              </w:rPr>
            </w:pPr>
          </w:p>
          <w:p w14:paraId="6DA88BD7">
            <w:pPr>
              <w:spacing w:line="242" w:lineRule="auto"/>
              <w:rPr>
                <w:rFonts w:ascii="Arial"/>
                <w:sz w:val="21"/>
              </w:rPr>
            </w:pPr>
          </w:p>
          <w:p w14:paraId="78A053CD">
            <w:pPr>
              <w:spacing w:line="242" w:lineRule="auto"/>
              <w:rPr>
                <w:rFonts w:ascii="Arial"/>
                <w:sz w:val="21"/>
              </w:rPr>
            </w:pPr>
          </w:p>
          <w:p w14:paraId="12E24D6D">
            <w:pPr>
              <w:spacing w:line="242" w:lineRule="auto"/>
              <w:rPr>
                <w:rFonts w:ascii="Arial"/>
                <w:sz w:val="21"/>
              </w:rPr>
            </w:pPr>
          </w:p>
          <w:p w14:paraId="39EEE6AA">
            <w:pPr>
              <w:pStyle w:val="6"/>
              <w:spacing w:before="59" w:line="210" w:lineRule="auto"/>
              <w:ind w:left="51"/>
              <w:rPr>
                <w:sz w:val="18"/>
                <w:szCs w:val="18"/>
              </w:rPr>
            </w:pPr>
            <w:r>
              <w:rPr>
                <w:spacing w:val="-4"/>
                <w:sz w:val="18"/>
                <w:szCs w:val="18"/>
              </w:rPr>
              <w:t>勘查区块</w:t>
            </w:r>
            <w:r>
              <w:rPr>
                <w:spacing w:val="-33"/>
                <w:sz w:val="18"/>
                <w:szCs w:val="18"/>
              </w:rPr>
              <w:t xml:space="preserve"> </w:t>
            </w:r>
            <w:r>
              <w:rPr>
                <w:rFonts w:ascii="Times New Roman" w:hAnsi="Times New Roman" w:eastAsia="Times New Roman" w:cs="Times New Roman"/>
                <w:spacing w:val="-4"/>
                <w:sz w:val="18"/>
                <w:szCs w:val="18"/>
              </w:rPr>
              <w:t>KQ003</w:t>
            </w:r>
            <w:r>
              <w:rPr>
                <w:rFonts w:ascii="Times New Roman" w:hAnsi="Times New Roman" w:eastAsia="Times New Roman" w:cs="Times New Roman"/>
                <w:spacing w:val="-18"/>
                <w:sz w:val="18"/>
                <w:szCs w:val="18"/>
              </w:rPr>
              <w:t xml:space="preserve"> </w:t>
            </w:r>
            <w:r>
              <w:rPr>
                <w:spacing w:val="-4"/>
                <w:sz w:val="18"/>
                <w:szCs w:val="18"/>
              </w:rPr>
              <w:t>、</w:t>
            </w:r>
            <w:r>
              <w:rPr>
                <w:rFonts w:ascii="Times New Roman" w:hAnsi="Times New Roman" w:eastAsia="Times New Roman" w:cs="Times New Roman"/>
                <w:spacing w:val="-4"/>
                <w:sz w:val="18"/>
                <w:szCs w:val="18"/>
              </w:rPr>
              <w:t>KQ009</w:t>
            </w:r>
            <w:r>
              <w:rPr>
                <w:rFonts w:ascii="Times New Roman" w:hAnsi="Times New Roman" w:eastAsia="Times New Roman" w:cs="Times New Roman"/>
                <w:spacing w:val="-22"/>
                <w:sz w:val="18"/>
                <w:szCs w:val="18"/>
              </w:rPr>
              <w:t xml:space="preserve"> </w:t>
            </w:r>
            <w:r>
              <w:rPr>
                <w:spacing w:val="-4"/>
                <w:sz w:val="18"/>
                <w:szCs w:val="18"/>
              </w:rPr>
              <w:t>，开采区</w:t>
            </w:r>
          </w:p>
          <w:p w14:paraId="35817DC6">
            <w:pPr>
              <w:pStyle w:val="6"/>
              <w:spacing w:before="28" w:line="212" w:lineRule="auto"/>
              <w:ind w:left="1042"/>
              <w:rPr>
                <w:rFonts w:ascii="Times New Roman" w:hAnsi="Times New Roman" w:eastAsia="Times New Roman" w:cs="Times New Roman"/>
                <w:sz w:val="18"/>
                <w:szCs w:val="18"/>
              </w:rPr>
            </w:pPr>
            <w:r>
              <w:rPr>
                <w:spacing w:val="-4"/>
                <w:sz w:val="18"/>
                <w:szCs w:val="18"/>
              </w:rPr>
              <w:t>块</w:t>
            </w:r>
            <w:r>
              <w:rPr>
                <w:spacing w:val="-34"/>
                <w:sz w:val="18"/>
                <w:szCs w:val="18"/>
              </w:rPr>
              <w:t xml:space="preserve"> </w:t>
            </w:r>
            <w:r>
              <w:rPr>
                <w:rFonts w:ascii="Times New Roman" w:hAnsi="Times New Roman" w:eastAsia="Times New Roman" w:cs="Times New Roman"/>
                <w:spacing w:val="-4"/>
                <w:sz w:val="18"/>
                <w:szCs w:val="18"/>
              </w:rPr>
              <w:t>CQ029</w:t>
            </w:r>
          </w:p>
        </w:tc>
        <w:tc>
          <w:tcPr>
            <w:tcW w:w="2542" w:type="dxa"/>
            <w:vMerge w:val="restart"/>
            <w:tcBorders>
              <w:bottom w:val="nil"/>
              <w:right w:val="single" w:color="000000" w:sz="10" w:space="0"/>
            </w:tcBorders>
            <w:vAlign w:val="top"/>
          </w:tcPr>
          <w:p w14:paraId="68A7C7FD">
            <w:pPr>
              <w:spacing w:line="270" w:lineRule="auto"/>
              <w:rPr>
                <w:rFonts w:ascii="Arial"/>
                <w:sz w:val="21"/>
              </w:rPr>
            </w:pPr>
          </w:p>
          <w:p w14:paraId="3CC44921">
            <w:pPr>
              <w:spacing w:line="270" w:lineRule="auto"/>
              <w:rPr>
                <w:rFonts w:ascii="Arial"/>
                <w:sz w:val="21"/>
              </w:rPr>
            </w:pPr>
          </w:p>
          <w:p w14:paraId="6FB239DD">
            <w:pPr>
              <w:spacing w:line="271" w:lineRule="auto"/>
              <w:rPr>
                <w:rFonts w:ascii="Arial"/>
                <w:sz w:val="21"/>
              </w:rPr>
            </w:pPr>
          </w:p>
          <w:p w14:paraId="7054ADE4">
            <w:pPr>
              <w:spacing w:line="271" w:lineRule="auto"/>
              <w:rPr>
                <w:rFonts w:ascii="Arial"/>
                <w:sz w:val="21"/>
              </w:rPr>
            </w:pPr>
          </w:p>
          <w:p w14:paraId="5436F838">
            <w:pPr>
              <w:pStyle w:val="6"/>
              <w:spacing w:before="58" w:line="221" w:lineRule="auto"/>
              <w:ind w:left="809"/>
              <w:rPr>
                <w:sz w:val="18"/>
                <w:szCs w:val="18"/>
              </w:rPr>
            </w:pPr>
            <w:r>
              <w:rPr>
                <w:spacing w:val="-18"/>
                <w:sz w:val="18"/>
                <w:szCs w:val="18"/>
              </w:rPr>
              <w:t>不涉及。符合</w:t>
            </w:r>
          </w:p>
        </w:tc>
      </w:tr>
      <w:tr w14:paraId="274B36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1391" w:type="dxa"/>
            <w:vMerge w:val="continue"/>
            <w:tcBorders>
              <w:top w:val="nil"/>
              <w:left w:val="single" w:color="000000" w:sz="10" w:space="0"/>
              <w:bottom w:val="nil"/>
            </w:tcBorders>
            <w:vAlign w:val="top"/>
          </w:tcPr>
          <w:p w14:paraId="6A504C7F">
            <w:pPr>
              <w:rPr>
                <w:rFonts w:ascii="Arial"/>
                <w:sz w:val="21"/>
              </w:rPr>
            </w:pPr>
          </w:p>
        </w:tc>
        <w:tc>
          <w:tcPr>
            <w:tcW w:w="1174" w:type="dxa"/>
            <w:vMerge w:val="continue"/>
            <w:tcBorders>
              <w:top w:val="nil"/>
              <w:bottom w:val="nil"/>
            </w:tcBorders>
            <w:vAlign w:val="top"/>
          </w:tcPr>
          <w:p w14:paraId="7F5D4213">
            <w:pPr>
              <w:rPr>
                <w:rFonts w:ascii="Arial"/>
                <w:sz w:val="21"/>
              </w:rPr>
            </w:pPr>
          </w:p>
        </w:tc>
        <w:tc>
          <w:tcPr>
            <w:tcW w:w="931" w:type="dxa"/>
            <w:vMerge w:val="continue"/>
            <w:tcBorders>
              <w:top w:val="nil"/>
              <w:bottom w:val="nil"/>
            </w:tcBorders>
            <w:vAlign w:val="top"/>
          </w:tcPr>
          <w:p w14:paraId="2783444A">
            <w:pPr>
              <w:rPr>
                <w:rFonts w:ascii="Arial"/>
                <w:sz w:val="21"/>
              </w:rPr>
            </w:pPr>
          </w:p>
        </w:tc>
        <w:tc>
          <w:tcPr>
            <w:tcW w:w="1154" w:type="dxa"/>
            <w:vAlign w:val="top"/>
          </w:tcPr>
          <w:p w14:paraId="6D2B2238">
            <w:pPr>
              <w:pStyle w:val="6"/>
              <w:spacing w:before="206" w:line="221" w:lineRule="auto"/>
              <w:jc w:val="right"/>
              <w:rPr>
                <w:sz w:val="18"/>
                <w:szCs w:val="18"/>
              </w:rPr>
            </w:pPr>
            <w:r>
              <w:rPr>
                <w:spacing w:val="-24"/>
                <w:sz w:val="18"/>
                <w:szCs w:val="18"/>
              </w:rPr>
              <w:t>污染物排</w:t>
            </w:r>
            <w:r>
              <w:rPr>
                <w:spacing w:val="-23"/>
                <w:sz w:val="18"/>
                <w:szCs w:val="18"/>
              </w:rPr>
              <w:t>放管</w:t>
            </w:r>
            <w:r>
              <w:rPr>
                <w:spacing w:val="-12"/>
                <w:sz w:val="18"/>
                <w:szCs w:val="18"/>
              </w:rPr>
              <w:t>控</w:t>
            </w:r>
          </w:p>
        </w:tc>
        <w:tc>
          <w:tcPr>
            <w:tcW w:w="4132" w:type="dxa"/>
            <w:vAlign w:val="top"/>
          </w:tcPr>
          <w:p w14:paraId="0E6314C1">
            <w:pPr>
              <w:pStyle w:val="6"/>
              <w:spacing w:before="206" w:line="222" w:lineRule="auto"/>
              <w:ind w:left="288"/>
              <w:rPr>
                <w:sz w:val="18"/>
                <w:szCs w:val="18"/>
              </w:rPr>
            </w:pPr>
            <w:r>
              <w:rPr>
                <w:rFonts w:ascii="Times New Roman" w:hAnsi="Times New Roman" w:eastAsia="Times New Roman" w:cs="Times New Roman"/>
                <w:spacing w:val="-20"/>
                <w:sz w:val="18"/>
                <w:szCs w:val="18"/>
              </w:rPr>
              <w:t>1.</w:t>
            </w:r>
            <w:r>
              <w:rPr>
                <w:spacing w:val="-20"/>
                <w:sz w:val="18"/>
                <w:szCs w:val="18"/>
              </w:rPr>
              <w:t>鼓励农业生产减少化肥使用量、农业规范</w:t>
            </w:r>
            <w:r>
              <w:rPr>
                <w:spacing w:val="-21"/>
                <w:sz w:val="18"/>
                <w:szCs w:val="18"/>
              </w:rPr>
              <w:t>化生产。</w:t>
            </w:r>
          </w:p>
        </w:tc>
        <w:tc>
          <w:tcPr>
            <w:tcW w:w="2801" w:type="dxa"/>
            <w:vMerge w:val="continue"/>
            <w:tcBorders>
              <w:top w:val="nil"/>
              <w:bottom w:val="nil"/>
            </w:tcBorders>
            <w:vAlign w:val="top"/>
          </w:tcPr>
          <w:p w14:paraId="1693660B">
            <w:pPr>
              <w:rPr>
                <w:rFonts w:ascii="Arial"/>
                <w:sz w:val="21"/>
              </w:rPr>
            </w:pPr>
          </w:p>
        </w:tc>
        <w:tc>
          <w:tcPr>
            <w:tcW w:w="2542" w:type="dxa"/>
            <w:vMerge w:val="continue"/>
            <w:tcBorders>
              <w:top w:val="nil"/>
              <w:bottom w:val="nil"/>
              <w:right w:val="single" w:color="000000" w:sz="10" w:space="0"/>
            </w:tcBorders>
            <w:vAlign w:val="top"/>
          </w:tcPr>
          <w:p w14:paraId="4F6A8976">
            <w:pPr>
              <w:rPr>
                <w:rFonts w:ascii="Arial"/>
                <w:sz w:val="21"/>
              </w:rPr>
            </w:pPr>
          </w:p>
        </w:tc>
      </w:tr>
      <w:tr w14:paraId="0A91CC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1391" w:type="dxa"/>
            <w:vMerge w:val="continue"/>
            <w:tcBorders>
              <w:top w:val="nil"/>
              <w:left w:val="single" w:color="000000" w:sz="10" w:space="0"/>
              <w:bottom w:val="nil"/>
            </w:tcBorders>
            <w:vAlign w:val="top"/>
          </w:tcPr>
          <w:p w14:paraId="2CA10A94">
            <w:pPr>
              <w:rPr>
                <w:rFonts w:ascii="Arial"/>
                <w:sz w:val="21"/>
              </w:rPr>
            </w:pPr>
          </w:p>
        </w:tc>
        <w:tc>
          <w:tcPr>
            <w:tcW w:w="1174" w:type="dxa"/>
            <w:vMerge w:val="continue"/>
            <w:tcBorders>
              <w:top w:val="nil"/>
              <w:bottom w:val="nil"/>
            </w:tcBorders>
            <w:vAlign w:val="top"/>
          </w:tcPr>
          <w:p w14:paraId="66503082">
            <w:pPr>
              <w:rPr>
                <w:rFonts w:ascii="Arial"/>
                <w:sz w:val="21"/>
              </w:rPr>
            </w:pPr>
          </w:p>
        </w:tc>
        <w:tc>
          <w:tcPr>
            <w:tcW w:w="931" w:type="dxa"/>
            <w:vMerge w:val="continue"/>
            <w:tcBorders>
              <w:top w:val="nil"/>
              <w:bottom w:val="nil"/>
            </w:tcBorders>
            <w:vAlign w:val="top"/>
          </w:tcPr>
          <w:p w14:paraId="2F00A9F8">
            <w:pPr>
              <w:rPr>
                <w:rFonts w:ascii="Arial"/>
                <w:sz w:val="21"/>
              </w:rPr>
            </w:pPr>
          </w:p>
        </w:tc>
        <w:tc>
          <w:tcPr>
            <w:tcW w:w="1154" w:type="dxa"/>
            <w:vAlign w:val="top"/>
          </w:tcPr>
          <w:p w14:paraId="24BC5474">
            <w:pPr>
              <w:pStyle w:val="6"/>
              <w:spacing w:before="208" w:line="222" w:lineRule="auto"/>
              <w:ind w:left="106"/>
              <w:rPr>
                <w:sz w:val="18"/>
                <w:szCs w:val="18"/>
              </w:rPr>
            </w:pPr>
            <w:r>
              <w:rPr>
                <w:spacing w:val="-17"/>
                <w:sz w:val="18"/>
                <w:szCs w:val="18"/>
              </w:rPr>
              <w:t>环境风险防控</w:t>
            </w:r>
          </w:p>
        </w:tc>
        <w:tc>
          <w:tcPr>
            <w:tcW w:w="4132" w:type="dxa"/>
            <w:vAlign w:val="top"/>
          </w:tcPr>
          <w:p w14:paraId="0C7245BD">
            <w:pPr>
              <w:spacing w:before="236" w:line="192" w:lineRule="auto"/>
              <w:ind w:left="2043"/>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2801" w:type="dxa"/>
            <w:vMerge w:val="continue"/>
            <w:tcBorders>
              <w:top w:val="nil"/>
              <w:bottom w:val="nil"/>
            </w:tcBorders>
            <w:vAlign w:val="top"/>
          </w:tcPr>
          <w:p w14:paraId="416B2F04">
            <w:pPr>
              <w:rPr>
                <w:rFonts w:ascii="Arial"/>
                <w:sz w:val="21"/>
              </w:rPr>
            </w:pPr>
          </w:p>
        </w:tc>
        <w:tc>
          <w:tcPr>
            <w:tcW w:w="2542" w:type="dxa"/>
            <w:vMerge w:val="continue"/>
            <w:tcBorders>
              <w:top w:val="nil"/>
              <w:bottom w:val="nil"/>
              <w:right w:val="single" w:color="000000" w:sz="10" w:space="0"/>
            </w:tcBorders>
            <w:vAlign w:val="top"/>
          </w:tcPr>
          <w:p w14:paraId="169102FD">
            <w:pPr>
              <w:rPr>
                <w:rFonts w:ascii="Arial"/>
                <w:sz w:val="21"/>
              </w:rPr>
            </w:pPr>
          </w:p>
        </w:tc>
      </w:tr>
      <w:tr w14:paraId="29C361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8" w:hRule="atLeast"/>
        </w:trPr>
        <w:tc>
          <w:tcPr>
            <w:tcW w:w="1391" w:type="dxa"/>
            <w:vMerge w:val="continue"/>
            <w:tcBorders>
              <w:top w:val="nil"/>
              <w:left w:val="single" w:color="000000" w:sz="10" w:space="0"/>
              <w:bottom w:val="single" w:color="000000" w:sz="10" w:space="0"/>
            </w:tcBorders>
            <w:vAlign w:val="top"/>
          </w:tcPr>
          <w:p w14:paraId="31738538">
            <w:pPr>
              <w:rPr>
                <w:rFonts w:ascii="Arial"/>
                <w:sz w:val="21"/>
              </w:rPr>
            </w:pPr>
          </w:p>
        </w:tc>
        <w:tc>
          <w:tcPr>
            <w:tcW w:w="1174" w:type="dxa"/>
            <w:vMerge w:val="continue"/>
            <w:tcBorders>
              <w:top w:val="nil"/>
              <w:bottom w:val="single" w:color="000000" w:sz="10" w:space="0"/>
            </w:tcBorders>
            <w:vAlign w:val="top"/>
          </w:tcPr>
          <w:p w14:paraId="6AFF2F8A">
            <w:pPr>
              <w:rPr>
                <w:rFonts w:ascii="Arial"/>
                <w:sz w:val="21"/>
              </w:rPr>
            </w:pPr>
          </w:p>
        </w:tc>
        <w:tc>
          <w:tcPr>
            <w:tcW w:w="931" w:type="dxa"/>
            <w:vMerge w:val="continue"/>
            <w:tcBorders>
              <w:top w:val="nil"/>
              <w:bottom w:val="single" w:color="000000" w:sz="10" w:space="0"/>
            </w:tcBorders>
            <w:vAlign w:val="top"/>
          </w:tcPr>
          <w:p w14:paraId="0A9938BE">
            <w:pPr>
              <w:rPr>
                <w:rFonts w:ascii="Arial"/>
                <w:sz w:val="21"/>
              </w:rPr>
            </w:pPr>
          </w:p>
        </w:tc>
        <w:tc>
          <w:tcPr>
            <w:tcW w:w="1154" w:type="dxa"/>
            <w:tcBorders>
              <w:bottom w:val="single" w:color="000000" w:sz="10" w:space="0"/>
            </w:tcBorders>
            <w:vAlign w:val="top"/>
          </w:tcPr>
          <w:p w14:paraId="5DF69AAD">
            <w:pPr>
              <w:pStyle w:val="6"/>
              <w:spacing w:before="186" w:line="222" w:lineRule="auto"/>
              <w:jc w:val="right"/>
              <w:rPr>
                <w:sz w:val="18"/>
                <w:szCs w:val="18"/>
              </w:rPr>
            </w:pPr>
            <w:r>
              <w:rPr>
                <w:spacing w:val="-24"/>
                <w:sz w:val="18"/>
                <w:szCs w:val="18"/>
              </w:rPr>
              <w:t>资</w:t>
            </w:r>
            <w:r>
              <w:rPr>
                <w:spacing w:val="-23"/>
                <w:sz w:val="18"/>
                <w:szCs w:val="18"/>
              </w:rPr>
              <w:t>源开发效率</w:t>
            </w:r>
            <w:r>
              <w:rPr>
                <w:spacing w:val="-15"/>
                <w:sz w:val="18"/>
                <w:szCs w:val="18"/>
              </w:rPr>
              <w:t>要</w:t>
            </w:r>
          </w:p>
          <w:p w14:paraId="66FD9BA7">
            <w:pPr>
              <w:pStyle w:val="6"/>
              <w:spacing w:before="16" w:line="222" w:lineRule="auto"/>
              <w:ind w:left="507"/>
              <w:rPr>
                <w:sz w:val="18"/>
                <w:szCs w:val="18"/>
              </w:rPr>
            </w:pPr>
            <w:r>
              <w:rPr>
                <w:sz w:val="18"/>
                <w:szCs w:val="18"/>
              </w:rPr>
              <w:t>求</w:t>
            </w:r>
          </w:p>
        </w:tc>
        <w:tc>
          <w:tcPr>
            <w:tcW w:w="4132" w:type="dxa"/>
            <w:tcBorders>
              <w:bottom w:val="single" w:color="000000" w:sz="10" w:space="0"/>
            </w:tcBorders>
            <w:vAlign w:val="top"/>
          </w:tcPr>
          <w:p w14:paraId="02AA1157">
            <w:pPr>
              <w:spacing w:line="275" w:lineRule="auto"/>
              <w:rPr>
                <w:rFonts w:ascii="Arial"/>
                <w:sz w:val="21"/>
              </w:rPr>
            </w:pPr>
          </w:p>
          <w:p w14:paraId="4BF55780">
            <w:pPr>
              <w:spacing w:before="52" w:line="192" w:lineRule="auto"/>
              <w:ind w:left="2043"/>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2801" w:type="dxa"/>
            <w:vMerge w:val="continue"/>
            <w:tcBorders>
              <w:top w:val="nil"/>
              <w:bottom w:val="single" w:color="000000" w:sz="10" w:space="0"/>
            </w:tcBorders>
            <w:vAlign w:val="top"/>
          </w:tcPr>
          <w:p w14:paraId="0B5C33DB">
            <w:pPr>
              <w:rPr>
                <w:rFonts w:ascii="Arial"/>
                <w:sz w:val="21"/>
              </w:rPr>
            </w:pPr>
          </w:p>
        </w:tc>
        <w:tc>
          <w:tcPr>
            <w:tcW w:w="2542" w:type="dxa"/>
            <w:vMerge w:val="continue"/>
            <w:tcBorders>
              <w:top w:val="nil"/>
              <w:bottom w:val="single" w:color="000000" w:sz="10" w:space="0"/>
              <w:right w:val="single" w:color="000000" w:sz="10" w:space="0"/>
            </w:tcBorders>
            <w:vAlign w:val="top"/>
          </w:tcPr>
          <w:p w14:paraId="5CE12DB9">
            <w:pPr>
              <w:rPr>
                <w:rFonts w:ascii="Arial"/>
                <w:sz w:val="21"/>
              </w:rPr>
            </w:pPr>
          </w:p>
        </w:tc>
      </w:tr>
    </w:tbl>
    <w:p w14:paraId="1066111B">
      <w:pPr>
        <w:spacing w:before="265" w:line="227" w:lineRule="auto"/>
        <w:ind w:left="102"/>
        <w:outlineLvl w:val="2"/>
        <w:rPr>
          <w:rFonts w:ascii="仿宋" w:hAnsi="仿宋" w:eastAsia="仿宋" w:cs="仿宋"/>
          <w:sz w:val="25"/>
          <w:szCs w:val="25"/>
        </w:rPr>
      </w:pPr>
      <w:r>
        <w:rPr>
          <w:rFonts w:ascii="Times New Roman" w:hAnsi="Times New Roman" w:eastAsia="Times New Roman" w:cs="Times New Roman"/>
          <w:b/>
          <w:bCs/>
          <w:spacing w:val="5"/>
          <w:sz w:val="25"/>
          <w:szCs w:val="25"/>
        </w:rPr>
        <w:t>2.3.4</w:t>
      </w:r>
      <w:r>
        <w:rPr>
          <w:rFonts w:ascii="Times New Roman" w:hAnsi="Times New Roman" w:eastAsia="Times New Roman" w:cs="Times New Roman"/>
          <w:b/>
          <w:bCs/>
          <w:spacing w:val="36"/>
          <w:sz w:val="25"/>
          <w:szCs w:val="25"/>
        </w:rPr>
        <w:t xml:space="preserve"> </w:t>
      </w:r>
      <w:r>
        <w:rPr>
          <w:rFonts w:ascii="仿宋" w:hAnsi="仿宋" w:eastAsia="仿宋" w:cs="仿宋"/>
          <w:b/>
          <w:bCs/>
          <w:spacing w:val="5"/>
          <w:sz w:val="25"/>
          <w:szCs w:val="25"/>
        </w:rPr>
        <w:t>与《重庆市矿产资源总体规划（</w:t>
      </w:r>
      <w:r>
        <w:rPr>
          <w:rFonts w:ascii="Times New Roman" w:hAnsi="Times New Roman" w:eastAsia="Times New Roman" w:cs="Times New Roman"/>
          <w:b/>
          <w:bCs/>
          <w:spacing w:val="5"/>
          <w:sz w:val="25"/>
          <w:szCs w:val="25"/>
        </w:rPr>
        <w:t>2021-2025</w:t>
      </w:r>
      <w:r>
        <w:rPr>
          <w:rFonts w:ascii="Times New Roman" w:hAnsi="Times New Roman" w:eastAsia="Times New Roman" w:cs="Times New Roman"/>
          <w:b/>
          <w:bCs/>
          <w:spacing w:val="24"/>
          <w:w w:val="101"/>
          <w:sz w:val="25"/>
          <w:szCs w:val="25"/>
        </w:rPr>
        <w:t xml:space="preserve"> </w:t>
      </w:r>
      <w:r>
        <w:rPr>
          <w:rFonts w:ascii="仿宋" w:hAnsi="仿宋" w:eastAsia="仿宋" w:cs="仿宋"/>
          <w:b/>
          <w:bCs/>
          <w:spacing w:val="5"/>
          <w:sz w:val="25"/>
          <w:szCs w:val="25"/>
        </w:rPr>
        <w:t>年）》符合性分析</w:t>
      </w:r>
    </w:p>
    <w:p w14:paraId="6AC8D468">
      <w:pPr>
        <w:spacing w:before="273" w:line="227" w:lineRule="auto"/>
        <w:ind w:left="644"/>
        <w:rPr>
          <w:rFonts w:ascii="仿宋" w:hAnsi="仿宋" w:eastAsia="仿宋" w:cs="仿宋"/>
          <w:sz w:val="25"/>
          <w:szCs w:val="25"/>
        </w:rPr>
      </w:pPr>
      <w:r>
        <w:rPr>
          <w:rFonts w:ascii="仿宋" w:hAnsi="仿宋" w:eastAsia="仿宋" w:cs="仿宋"/>
          <w:spacing w:val="6"/>
          <w:sz w:val="25"/>
          <w:szCs w:val="25"/>
        </w:rPr>
        <w:t>与《重庆市矿产资源总体规划（</w:t>
      </w:r>
      <w:r>
        <w:rPr>
          <w:rFonts w:ascii="Times New Roman" w:hAnsi="Times New Roman" w:eastAsia="Times New Roman" w:cs="Times New Roman"/>
          <w:spacing w:val="6"/>
          <w:sz w:val="25"/>
          <w:szCs w:val="25"/>
        </w:rPr>
        <w:t>2021-2025</w:t>
      </w:r>
      <w:r>
        <w:rPr>
          <w:rFonts w:ascii="Times New Roman" w:hAnsi="Times New Roman" w:eastAsia="Times New Roman" w:cs="Times New Roman"/>
          <w:spacing w:val="39"/>
          <w:sz w:val="25"/>
          <w:szCs w:val="25"/>
        </w:rPr>
        <w:t xml:space="preserve"> </w:t>
      </w:r>
      <w:r>
        <w:rPr>
          <w:rFonts w:ascii="仿宋" w:hAnsi="仿宋" w:eastAsia="仿宋" w:cs="仿宋"/>
          <w:spacing w:val="6"/>
          <w:sz w:val="25"/>
          <w:szCs w:val="25"/>
        </w:rPr>
        <w:t>年）》的符合性分析见表</w:t>
      </w:r>
      <w:r>
        <w:rPr>
          <w:rFonts w:ascii="仿宋" w:hAnsi="仿宋" w:eastAsia="仿宋" w:cs="仿宋"/>
          <w:spacing w:val="-55"/>
          <w:sz w:val="25"/>
          <w:szCs w:val="25"/>
        </w:rPr>
        <w:t xml:space="preserve"> </w:t>
      </w:r>
      <w:r>
        <w:rPr>
          <w:rFonts w:ascii="Times New Roman" w:hAnsi="Times New Roman" w:eastAsia="Times New Roman" w:cs="Times New Roman"/>
          <w:spacing w:val="6"/>
          <w:sz w:val="25"/>
          <w:szCs w:val="25"/>
        </w:rPr>
        <w:t>2.3-7</w:t>
      </w:r>
      <w:r>
        <w:rPr>
          <w:rFonts w:ascii="仿宋" w:hAnsi="仿宋" w:eastAsia="仿宋" w:cs="仿宋"/>
          <w:spacing w:val="6"/>
          <w:sz w:val="25"/>
          <w:szCs w:val="25"/>
        </w:rPr>
        <w:t>。</w:t>
      </w:r>
    </w:p>
    <w:p w14:paraId="19E47354">
      <w:pPr>
        <w:spacing w:line="227" w:lineRule="auto"/>
        <w:rPr>
          <w:rFonts w:ascii="仿宋" w:hAnsi="仿宋" w:eastAsia="仿宋" w:cs="仿宋"/>
          <w:sz w:val="25"/>
          <w:szCs w:val="25"/>
        </w:rPr>
        <w:sectPr>
          <w:headerReference r:id="rId95" w:type="default"/>
          <w:footerReference r:id="rId96" w:type="default"/>
          <w:pgSz w:w="16839" w:h="11906"/>
          <w:pgMar w:top="1116" w:right="1343" w:bottom="1480" w:left="1343" w:header="683" w:footer="1318" w:gutter="0"/>
          <w:cols w:space="720" w:num="1"/>
        </w:sectPr>
      </w:pPr>
    </w:p>
    <w:p w14:paraId="30ED0600">
      <w:pPr>
        <w:pStyle w:val="2"/>
        <w:spacing w:line="294" w:lineRule="auto"/>
      </w:pPr>
    </w:p>
    <w:p w14:paraId="5535B06D">
      <w:pPr>
        <w:pStyle w:val="2"/>
        <w:spacing w:line="295" w:lineRule="auto"/>
      </w:pPr>
    </w:p>
    <w:p w14:paraId="46984833">
      <w:pPr>
        <w:spacing w:before="65" w:line="229" w:lineRule="auto"/>
        <w:ind w:left="2960"/>
        <w:rPr>
          <w:rFonts w:ascii="仿宋" w:hAnsi="仿宋" w:eastAsia="仿宋" w:cs="仿宋"/>
          <w:sz w:val="20"/>
          <w:szCs w:val="20"/>
        </w:rPr>
      </w:pPr>
      <w:r>
        <w:rPr>
          <w:rFonts w:ascii="仿宋" w:hAnsi="仿宋" w:eastAsia="仿宋" w:cs="仿宋"/>
          <w:b/>
          <w:bCs/>
          <w:spacing w:val="6"/>
          <w:sz w:val="20"/>
          <w:szCs w:val="20"/>
        </w:rPr>
        <w:t>表</w:t>
      </w:r>
      <w:r>
        <w:rPr>
          <w:rFonts w:ascii="仿宋" w:hAnsi="仿宋" w:eastAsia="仿宋" w:cs="仿宋"/>
          <w:spacing w:val="-26"/>
          <w:sz w:val="20"/>
          <w:szCs w:val="20"/>
        </w:rPr>
        <w:t xml:space="preserve"> </w:t>
      </w:r>
      <w:r>
        <w:rPr>
          <w:rFonts w:ascii="Times New Roman" w:hAnsi="Times New Roman" w:eastAsia="Times New Roman" w:cs="Times New Roman"/>
          <w:b/>
          <w:bCs/>
          <w:spacing w:val="6"/>
          <w:sz w:val="20"/>
          <w:szCs w:val="20"/>
        </w:rPr>
        <w:t xml:space="preserve">2.3-7  </w:t>
      </w:r>
      <w:r>
        <w:rPr>
          <w:rFonts w:ascii="仿宋" w:hAnsi="仿宋" w:eastAsia="仿宋" w:cs="仿宋"/>
          <w:b/>
          <w:bCs/>
          <w:spacing w:val="6"/>
          <w:sz w:val="20"/>
          <w:szCs w:val="20"/>
        </w:rPr>
        <w:t>《规划调整》与《重庆市矿产资源总体规划（</w:t>
      </w:r>
      <w:r>
        <w:rPr>
          <w:rFonts w:ascii="Times New Roman" w:hAnsi="Times New Roman" w:eastAsia="Times New Roman" w:cs="Times New Roman"/>
          <w:b/>
          <w:bCs/>
          <w:spacing w:val="6"/>
          <w:sz w:val="20"/>
          <w:szCs w:val="20"/>
        </w:rPr>
        <w:t>2021-2025</w:t>
      </w:r>
      <w:r>
        <w:rPr>
          <w:rFonts w:ascii="Times New Roman" w:hAnsi="Times New Roman" w:eastAsia="Times New Roman" w:cs="Times New Roman"/>
          <w:b/>
          <w:bCs/>
          <w:spacing w:val="20"/>
          <w:sz w:val="20"/>
          <w:szCs w:val="20"/>
        </w:rPr>
        <w:t xml:space="preserve"> </w:t>
      </w:r>
      <w:r>
        <w:rPr>
          <w:rFonts w:ascii="仿宋" w:hAnsi="仿宋" w:eastAsia="仿宋" w:cs="仿宋"/>
          <w:b/>
          <w:bCs/>
          <w:spacing w:val="6"/>
          <w:sz w:val="20"/>
          <w:szCs w:val="20"/>
        </w:rPr>
        <w:t>年）》符合性分析一览表</w:t>
      </w:r>
    </w:p>
    <w:p w14:paraId="04A591EE">
      <w:pPr>
        <w:spacing w:line="24" w:lineRule="exact"/>
      </w:pPr>
    </w:p>
    <w:tbl>
      <w:tblPr>
        <w:tblStyle w:val="5"/>
        <w:tblW w:w="14166"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98"/>
        <w:gridCol w:w="6127"/>
        <w:gridCol w:w="3787"/>
        <w:gridCol w:w="2354"/>
      </w:tblGrid>
      <w:tr w14:paraId="166E5E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1898" w:type="dxa"/>
            <w:tcBorders>
              <w:top w:val="single" w:color="000000" w:sz="10" w:space="0"/>
              <w:left w:val="single" w:color="000000" w:sz="10" w:space="0"/>
            </w:tcBorders>
            <w:vAlign w:val="top"/>
          </w:tcPr>
          <w:p w14:paraId="585AB1DC">
            <w:pPr>
              <w:pStyle w:val="6"/>
              <w:spacing w:before="97" w:line="233" w:lineRule="auto"/>
              <w:ind w:left="747"/>
              <w:rPr>
                <w:sz w:val="19"/>
                <w:szCs w:val="19"/>
              </w:rPr>
            </w:pPr>
            <w:r>
              <w:rPr>
                <w:spacing w:val="2"/>
                <w:sz w:val="19"/>
                <w:szCs w:val="19"/>
              </w:rPr>
              <w:t>项目</w:t>
            </w:r>
          </w:p>
        </w:tc>
        <w:tc>
          <w:tcPr>
            <w:tcW w:w="6127" w:type="dxa"/>
            <w:tcBorders>
              <w:top w:val="single" w:color="000000" w:sz="10" w:space="0"/>
            </w:tcBorders>
            <w:vAlign w:val="top"/>
          </w:tcPr>
          <w:p w14:paraId="14D81459">
            <w:pPr>
              <w:pStyle w:val="6"/>
              <w:spacing w:before="98" w:line="231" w:lineRule="auto"/>
              <w:ind w:left="1011"/>
              <w:rPr>
                <w:sz w:val="19"/>
                <w:szCs w:val="19"/>
              </w:rPr>
            </w:pPr>
            <w:r>
              <w:rPr>
                <w:spacing w:val="7"/>
                <w:sz w:val="19"/>
                <w:szCs w:val="19"/>
              </w:rPr>
              <w:t>《重庆市矿产资源总体规划（</w:t>
            </w:r>
            <w:r>
              <w:rPr>
                <w:rFonts w:ascii="Times New Roman" w:hAnsi="Times New Roman" w:eastAsia="Times New Roman" w:cs="Times New Roman"/>
                <w:spacing w:val="7"/>
                <w:sz w:val="19"/>
                <w:szCs w:val="19"/>
              </w:rPr>
              <w:t>2021-2025</w:t>
            </w:r>
            <w:r>
              <w:rPr>
                <w:rFonts w:ascii="Times New Roman" w:hAnsi="Times New Roman" w:eastAsia="Times New Roman" w:cs="Times New Roman"/>
                <w:spacing w:val="25"/>
                <w:w w:val="101"/>
                <w:sz w:val="19"/>
                <w:szCs w:val="19"/>
              </w:rPr>
              <w:t xml:space="preserve"> </w:t>
            </w:r>
            <w:r>
              <w:rPr>
                <w:spacing w:val="7"/>
                <w:sz w:val="19"/>
                <w:szCs w:val="19"/>
              </w:rPr>
              <w:t>年）》</w:t>
            </w:r>
          </w:p>
        </w:tc>
        <w:tc>
          <w:tcPr>
            <w:tcW w:w="3787" w:type="dxa"/>
            <w:tcBorders>
              <w:top w:val="single" w:color="000000" w:sz="10" w:space="0"/>
            </w:tcBorders>
            <w:vAlign w:val="top"/>
          </w:tcPr>
          <w:p w14:paraId="1252538A">
            <w:pPr>
              <w:pStyle w:val="6"/>
              <w:spacing w:before="97" w:line="231" w:lineRule="auto"/>
              <w:ind w:left="519"/>
              <w:rPr>
                <w:sz w:val="19"/>
                <w:szCs w:val="19"/>
              </w:rPr>
            </w:pPr>
            <w:r>
              <w:rPr>
                <w:spacing w:val="8"/>
                <w:sz w:val="19"/>
                <w:szCs w:val="19"/>
              </w:rPr>
              <w:t>《规划调整》相关内容分析</w:t>
            </w:r>
          </w:p>
        </w:tc>
        <w:tc>
          <w:tcPr>
            <w:tcW w:w="2354" w:type="dxa"/>
            <w:tcBorders>
              <w:top w:val="single" w:color="000000" w:sz="10" w:space="0"/>
              <w:right w:val="single" w:color="000000" w:sz="10" w:space="0"/>
            </w:tcBorders>
            <w:vAlign w:val="top"/>
          </w:tcPr>
          <w:p w14:paraId="58B469B4">
            <w:pPr>
              <w:pStyle w:val="6"/>
              <w:spacing w:before="98" w:line="229" w:lineRule="auto"/>
              <w:ind w:left="531"/>
              <w:rPr>
                <w:sz w:val="19"/>
                <w:szCs w:val="19"/>
              </w:rPr>
            </w:pPr>
            <w:r>
              <w:rPr>
                <w:spacing w:val="6"/>
                <w:sz w:val="19"/>
                <w:szCs w:val="19"/>
              </w:rPr>
              <w:t>符合性分析</w:t>
            </w:r>
          </w:p>
        </w:tc>
      </w:tr>
      <w:tr w14:paraId="03C97D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3" w:hRule="atLeast"/>
        </w:trPr>
        <w:tc>
          <w:tcPr>
            <w:tcW w:w="1898" w:type="dxa"/>
            <w:tcBorders>
              <w:left w:val="single" w:color="000000" w:sz="10" w:space="0"/>
            </w:tcBorders>
            <w:vAlign w:val="top"/>
          </w:tcPr>
          <w:p w14:paraId="65F707CB">
            <w:pPr>
              <w:spacing w:line="254" w:lineRule="auto"/>
              <w:rPr>
                <w:rFonts w:ascii="Arial"/>
                <w:sz w:val="21"/>
              </w:rPr>
            </w:pPr>
          </w:p>
          <w:p w14:paraId="4DDEF464">
            <w:pPr>
              <w:spacing w:line="255" w:lineRule="auto"/>
              <w:rPr>
                <w:rFonts w:ascii="Arial"/>
                <w:sz w:val="21"/>
              </w:rPr>
            </w:pPr>
          </w:p>
          <w:p w14:paraId="0F486FCF">
            <w:pPr>
              <w:spacing w:line="255" w:lineRule="auto"/>
              <w:rPr>
                <w:rFonts w:ascii="Arial"/>
                <w:sz w:val="21"/>
              </w:rPr>
            </w:pPr>
          </w:p>
          <w:p w14:paraId="0839BD5F">
            <w:pPr>
              <w:spacing w:line="255" w:lineRule="auto"/>
              <w:rPr>
                <w:rFonts w:ascii="Arial"/>
                <w:sz w:val="21"/>
              </w:rPr>
            </w:pPr>
          </w:p>
          <w:p w14:paraId="02B60B44">
            <w:pPr>
              <w:spacing w:line="255" w:lineRule="auto"/>
              <w:rPr>
                <w:rFonts w:ascii="Arial"/>
                <w:sz w:val="21"/>
              </w:rPr>
            </w:pPr>
          </w:p>
          <w:p w14:paraId="2ED84FDC">
            <w:pPr>
              <w:spacing w:line="255" w:lineRule="auto"/>
              <w:rPr>
                <w:rFonts w:ascii="Arial"/>
                <w:sz w:val="21"/>
              </w:rPr>
            </w:pPr>
          </w:p>
          <w:p w14:paraId="59E11D91">
            <w:pPr>
              <w:spacing w:line="255" w:lineRule="auto"/>
              <w:rPr>
                <w:rFonts w:ascii="Arial"/>
                <w:sz w:val="21"/>
              </w:rPr>
            </w:pPr>
          </w:p>
          <w:p w14:paraId="28531EFF">
            <w:pPr>
              <w:spacing w:line="255" w:lineRule="auto"/>
              <w:rPr>
                <w:rFonts w:ascii="Arial"/>
                <w:sz w:val="21"/>
              </w:rPr>
            </w:pPr>
          </w:p>
          <w:p w14:paraId="1D18B615">
            <w:pPr>
              <w:spacing w:line="255" w:lineRule="auto"/>
              <w:rPr>
                <w:rFonts w:ascii="Arial"/>
                <w:sz w:val="21"/>
              </w:rPr>
            </w:pPr>
          </w:p>
          <w:p w14:paraId="7A600C52">
            <w:pPr>
              <w:spacing w:line="255" w:lineRule="auto"/>
              <w:rPr>
                <w:rFonts w:ascii="Arial"/>
                <w:sz w:val="21"/>
              </w:rPr>
            </w:pPr>
          </w:p>
          <w:p w14:paraId="68503D75">
            <w:pPr>
              <w:spacing w:line="255" w:lineRule="auto"/>
              <w:rPr>
                <w:rFonts w:ascii="Arial"/>
                <w:sz w:val="21"/>
              </w:rPr>
            </w:pPr>
          </w:p>
          <w:p w14:paraId="04BF209A">
            <w:pPr>
              <w:pStyle w:val="6"/>
              <w:spacing w:before="62" w:line="229" w:lineRule="auto"/>
              <w:ind w:left="553"/>
              <w:rPr>
                <w:sz w:val="19"/>
                <w:szCs w:val="19"/>
              </w:rPr>
            </w:pPr>
            <w:r>
              <w:rPr>
                <w:spacing w:val="4"/>
                <w:sz w:val="19"/>
                <w:szCs w:val="19"/>
              </w:rPr>
              <w:t>总体布局</w:t>
            </w:r>
          </w:p>
        </w:tc>
        <w:tc>
          <w:tcPr>
            <w:tcW w:w="6127" w:type="dxa"/>
            <w:vAlign w:val="top"/>
          </w:tcPr>
          <w:p w14:paraId="210A4D36">
            <w:pPr>
              <w:spacing w:line="252" w:lineRule="auto"/>
              <w:rPr>
                <w:rFonts w:ascii="Arial"/>
                <w:sz w:val="21"/>
              </w:rPr>
            </w:pPr>
          </w:p>
          <w:p w14:paraId="7094F74A">
            <w:pPr>
              <w:spacing w:line="252" w:lineRule="auto"/>
              <w:rPr>
                <w:rFonts w:ascii="Arial"/>
                <w:sz w:val="21"/>
              </w:rPr>
            </w:pPr>
          </w:p>
          <w:p w14:paraId="0776BF0A">
            <w:pPr>
              <w:spacing w:line="253" w:lineRule="auto"/>
              <w:rPr>
                <w:rFonts w:ascii="Arial"/>
                <w:sz w:val="21"/>
              </w:rPr>
            </w:pPr>
          </w:p>
          <w:p w14:paraId="6E82ED9E">
            <w:pPr>
              <w:spacing w:line="253" w:lineRule="auto"/>
              <w:rPr>
                <w:rFonts w:ascii="Arial"/>
                <w:sz w:val="21"/>
              </w:rPr>
            </w:pPr>
          </w:p>
          <w:p w14:paraId="46E6F29E">
            <w:pPr>
              <w:spacing w:line="253" w:lineRule="auto"/>
              <w:rPr>
                <w:rFonts w:ascii="Arial"/>
                <w:sz w:val="21"/>
              </w:rPr>
            </w:pPr>
          </w:p>
          <w:p w14:paraId="1F68C520">
            <w:pPr>
              <w:spacing w:line="253" w:lineRule="auto"/>
              <w:rPr>
                <w:rFonts w:ascii="Arial"/>
                <w:sz w:val="21"/>
              </w:rPr>
            </w:pPr>
          </w:p>
          <w:p w14:paraId="4A537482">
            <w:pPr>
              <w:pStyle w:val="6"/>
              <w:spacing w:before="61" w:line="252" w:lineRule="auto"/>
              <w:ind w:left="108" w:right="50" w:firstLine="402"/>
              <w:jc w:val="both"/>
              <w:rPr>
                <w:sz w:val="19"/>
                <w:szCs w:val="19"/>
              </w:rPr>
            </w:pPr>
            <w:r>
              <w:rPr>
                <w:spacing w:val="6"/>
                <w:sz w:val="19"/>
                <w:szCs w:val="19"/>
              </w:rPr>
              <w:t>渝东南有色化工矿产资源产业发展区。促进铝土矿、铅锌开发利</w:t>
            </w:r>
            <w:r>
              <w:rPr>
                <w:spacing w:val="16"/>
                <w:sz w:val="19"/>
                <w:szCs w:val="19"/>
              </w:rPr>
              <w:t xml:space="preserve"> </w:t>
            </w:r>
            <w:r>
              <w:rPr>
                <w:spacing w:val="2"/>
                <w:sz w:val="19"/>
                <w:szCs w:val="19"/>
              </w:rPr>
              <w:t>用，加强萤石重晶石方解石的综合利用，提升矿产资源综合利用水平，</w:t>
            </w:r>
            <w:r>
              <w:rPr>
                <w:spacing w:val="9"/>
                <w:sz w:val="19"/>
                <w:szCs w:val="19"/>
              </w:rPr>
              <w:t xml:space="preserve"> 延伸产品产业链，提升产品附加值和综合效益。</w:t>
            </w:r>
            <w:r>
              <w:rPr>
                <w:spacing w:val="8"/>
                <w:sz w:val="19"/>
                <w:szCs w:val="19"/>
              </w:rPr>
              <w:t>依托区域资源优势，</w:t>
            </w:r>
            <w:r>
              <w:rPr>
                <w:sz w:val="19"/>
                <w:szCs w:val="19"/>
              </w:rPr>
              <w:t xml:space="preserve"> </w:t>
            </w:r>
            <w:r>
              <w:rPr>
                <w:spacing w:val="10"/>
                <w:sz w:val="19"/>
                <w:szCs w:val="19"/>
              </w:rPr>
              <w:t>积极发展酉阳、彭水饰面石材产业，打造一批特 色鲜明、影响力突</w:t>
            </w:r>
            <w:r>
              <w:rPr>
                <w:spacing w:val="3"/>
                <w:sz w:val="19"/>
                <w:szCs w:val="19"/>
              </w:rPr>
              <w:t xml:space="preserve"> </w:t>
            </w:r>
            <w:r>
              <w:rPr>
                <w:spacing w:val="7"/>
                <w:sz w:val="19"/>
                <w:szCs w:val="19"/>
              </w:rPr>
              <w:t>出的石材产业基地。</w:t>
            </w:r>
          </w:p>
          <w:p w14:paraId="360EEBF1">
            <w:pPr>
              <w:pStyle w:val="6"/>
              <w:spacing w:before="5" w:line="251" w:lineRule="auto"/>
              <w:ind w:left="109" w:right="62" w:firstLine="401"/>
              <w:jc w:val="both"/>
              <w:rPr>
                <w:sz w:val="19"/>
                <w:szCs w:val="19"/>
              </w:rPr>
            </w:pPr>
            <w:r>
              <w:rPr>
                <w:spacing w:val="8"/>
                <w:sz w:val="19"/>
                <w:szCs w:val="19"/>
              </w:rPr>
              <w:t>严格落实矿产资源勘查开发规划分区管理，符合生态保护红线、</w:t>
            </w:r>
            <w:r>
              <w:rPr>
                <w:spacing w:val="2"/>
                <w:sz w:val="19"/>
                <w:szCs w:val="19"/>
              </w:rPr>
              <w:t xml:space="preserve"> </w:t>
            </w:r>
            <w:r>
              <w:rPr>
                <w:spacing w:val="7"/>
                <w:sz w:val="19"/>
                <w:szCs w:val="19"/>
              </w:rPr>
              <w:t>城镇开发边界、永久基本农田、长江嘉陵江乌江干流岸线</w:t>
            </w:r>
            <w:r>
              <w:rPr>
                <w:spacing w:val="6"/>
                <w:sz w:val="19"/>
                <w:szCs w:val="19"/>
              </w:rPr>
              <w:t>两侧向外五</w:t>
            </w:r>
            <w:r>
              <w:rPr>
                <w:sz w:val="19"/>
                <w:szCs w:val="19"/>
              </w:rPr>
              <w:t xml:space="preserve"> </w:t>
            </w:r>
            <w:r>
              <w:rPr>
                <w:spacing w:val="7"/>
                <w:sz w:val="19"/>
                <w:szCs w:val="19"/>
              </w:rPr>
              <w:t>公里范围管控、重大基础设施安全以及生态环境分区、自然保护</w:t>
            </w:r>
            <w:r>
              <w:rPr>
                <w:spacing w:val="6"/>
                <w:sz w:val="19"/>
                <w:szCs w:val="19"/>
              </w:rPr>
              <w:t>地管</w:t>
            </w:r>
            <w:r>
              <w:rPr>
                <w:sz w:val="19"/>
                <w:szCs w:val="19"/>
              </w:rPr>
              <w:t xml:space="preserve"> </w:t>
            </w:r>
            <w:r>
              <w:rPr>
                <w:spacing w:val="8"/>
                <w:sz w:val="19"/>
                <w:szCs w:val="19"/>
              </w:rPr>
              <w:t xml:space="preserve">控等要求。落实全国规划对能源资源基地和国家规划矿区管控要求， </w:t>
            </w:r>
            <w:r>
              <w:rPr>
                <w:spacing w:val="7"/>
                <w:sz w:val="19"/>
                <w:szCs w:val="19"/>
              </w:rPr>
              <w:t>合理划定重点勘查区、重点开采区、建筑石料用灰岩集中</w:t>
            </w:r>
            <w:r>
              <w:rPr>
                <w:spacing w:val="6"/>
                <w:sz w:val="19"/>
                <w:szCs w:val="19"/>
              </w:rPr>
              <w:t>开采区，促</w:t>
            </w:r>
            <w:r>
              <w:rPr>
                <w:sz w:val="19"/>
                <w:szCs w:val="19"/>
              </w:rPr>
              <w:t xml:space="preserve"> </w:t>
            </w:r>
            <w:r>
              <w:rPr>
                <w:spacing w:val="8"/>
                <w:sz w:val="19"/>
                <w:szCs w:val="19"/>
              </w:rPr>
              <w:t>进找矿突破，推动资源规模开发与集约利用。</w:t>
            </w:r>
          </w:p>
        </w:tc>
        <w:tc>
          <w:tcPr>
            <w:tcW w:w="3787" w:type="dxa"/>
            <w:vAlign w:val="top"/>
          </w:tcPr>
          <w:p w14:paraId="275BBCB7">
            <w:pPr>
              <w:spacing w:line="242" w:lineRule="auto"/>
              <w:rPr>
                <w:rFonts w:ascii="Arial"/>
                <w:sz w:val="21"/>
              </w:rPr>
            </w:pPr>
          </w:p>
          <w:p w14:paraId="25C165F8">
            <w:pPr>
              <w:spacing w:line="242" w:lineRule="auto"/>
              <w:rPr>
                <w:rFonts w:ascii="Arial"/>
                <w:sz w:val="21"/>
              </w:rPr>
            </w:pPr>
          </w:p>
          <w:p w14:paraId="45CF9AE7">
            <w:pPr>
              <w:spacing w:line="242" w:lineRule="auto"/>
              <w:rPr>
                <w:rFonts w:ascii="Arial"/>
                <w:sz w:val="21"/>
              </w:rPr>
            </w:pPr>
          </w:p>
          <w:p w14:paraId="5A408C25">
            <w:pPr>
              <w:spacing w:line="242" w:lineRule="auto"/>
              <w:rPr>
                <w:rFonts w:ascii="Arial"/>
                <w:sz w:val="21"/>
              </w:rPr>
            </w:pPr>
          </w:p>
          <w:p w14:paraId="4023FF19">
            <w:pPr>
              <w:spacing w:line="242" w:lineRule="auto"/>
              <w:rPr>
                <w:rFonts w:ascii="Arial"/>
                <w:sz w:val="21"/>
              </w:rPr>
            </w:pPr>
          </w:p>
          <w:p w14:paraId="799D3D66">
            <w:pPr>
              <w:spacing w:line="242" w:lineRule="auto"/>
              <w:rPr>
                <w:rFonts w:ascii="Arial"/>
                <w:sz w:val="21"/>
              </w:rPr>
            </w:pPr>
          </w:p>
          <w:p w14:paraId="7A9E4072">
            <w:pPr>
              <w:spacing w:line="242" w:lineRule="auto"/>
              <w:rPr>
                <w:rFonts w:ascii="Arial"/>
                <w:sz w:val="21"/>
              </w:rPr>
            </w:pPr>
          </w:p>
          <w:p w14:paraId="1123F47D">
            <w:pPr>
              <w:spacing w:line="242" w:lineRule="auto"/>
              <w:rPr>
                <w:rFonts w:ascii="Arial"/>
                <w:sz w:val="21"/>
              </w:rPr>
            </w:pPr>
          </w:p>
          <w:p w14:paraId="0A2E2411">
            <w:pPr>
              <w:spacing w:line="242" w:lineRule="auto"/>
              <w:rPr>
                <w:rFonts w:ascii="Arial"/>
                <w:sz w:val="21"/>
              </w:rPr>
            </w:pPr>
          </w:p>
          <w:p w14:paraId="2F24A771">
            <w:pPr>
              <w:spacing w:line="242" w:lineRule="auto"/>
              <w:rPr>
                <w:rFonts w:ascii="Arial"/>
                <w:sz w:val="21"/>
              </w:rPr>
            </w:pPr>
          </w:p>
          <w:p w14:paraId="0D3FA12C">
            <w:pPr>
              <w:pStyle w:val="6"/>
              <w:spacing w:before="62" w:line="249" w:lineRule="auto"/>
              <w:ind w:left="111" w:right="96" w:firstLine="408"/>
              <w:rPr>
                <w:sz w:val="19"/>
                <w:szCs w:val="19"/>
              </w:rPr>
            </w:pPr>
            <w:r>
              <w:rPr>
                <w:spacing w:val="5"/>
                <w:sz w:val="19"/>
                <w:szCs w:val="19"/>
              </w:rPr>
              <w:t>本次评价的</w:t>
            </w:r>
            <w:r>
              <w:rPr>
                <w:spacing w:val="-32"/>
                <w:sz w:val="19"/>
                <w:szCs w:val="19"/>
              </w:rPr>
              <w:t xml:space="preserve"> </w:t>
            </w:r>
            <w:r>
              <w:rPr>
                <w:rFonts w:ascii="Times New Roman" w:hAnsi="Times New Roman" w:eastAsia="Times New Roman" w:cs="Times New Roman"/>
                <w:spacing w:val="5"/>
                <w:sz w:val="19"/>
                <w:szCs w:val="19"/>
              </w:rPr>
              <w:t xml:space="preserve">3 </w:t>
            </w:r>
            <w:r>
              <w:rPr>
                <w:spacing w:val="5"/>
                <w:sz w:val="19"/>
                <w:szCs w:val="19"/>
              </w:rPr>
              <w:t>个勘查区块和</w:t>
            </w:r>
            <w:r>
              <w:rPr>
                <w:spacing w:val="-29"/>
                <w:sz w:val="19"/>
                <w:szCs w:val="19"/>
              </w:rPr>
              <w:t xml:space="preserve"> </w:t>
            </w:r>
            <w:r>
              <w:rPr>
                <w:rFonts w:ascii="Times New Roman" w:hAnsi="Times New Roman" w:eastAsia="Times New Roman" w:cs="Times New Roman"/>
                <w:spacing w:val="5"/>
                <w:sz w:val="19"/>
                <w:szCs w:val="19"/>
              </w:rPr>
              <w:t xml:space="preserve">1 </w:t>
            </w:r>
            <w:r>
              <w:rPr>
                <w:spacing w:val="5"/>
                <w:sz w:val="19"/>
                <w:szCs w:val="19"/>
              </w:rPr>
              <w:t>个开采</w:t>
            </w:r>
            <w:r>
              <w:rPr>
                <w:sz w:val="19"/>
                <w:szCs w:val="19"/>
              </w:rPr>
              <w:t xml:space="preserve"> </w:t>
            </w:r>
            <w:r>
              <w:rPr>
                <w:spacing w:val="8"/>
                <w:sz w:val="19"/>
                <w:szCs w:val="19"/>
              </w:rPr>
              <w:t>区块符合生态保护红线管控要求、永久基</w:t>
            </w:r>
            <w:r>
              <w:rPr>
                <w:spacing w:val="9"/>
                <w:sz w:val="19"/>
                <w:szCs w:val="19"/>
              </w:rPr>
              <w:t xml:space="preserve"> </w:t>
            </w:r>
            <w:r>
              <w:rPr>
                <w:spacing w:val="10"/>
                <w:sz w:val="19"/>
                <w:szCs w:val="19"/>
              </w:rPr>
              <w:t>本农田、</w:t>
            </w:r>
            <w:r>
              <w:rPr>
                <w:spacing w:val="-14"/>
                <w:sz w:val="19"/>
                <w:szCs w:val="19"/>
              </w:rPr>
              <w:t xml:space="preserve"> </w:t>
            </w:r>
            <w:r>
              <w:rPr>
                <w:spacing w:val="10"/>
                <w:sz w:val="19"/>
                <w:szCs w:val="19"/>
              </w:rPr>
              <w:t>自然保护地等。其中</w:t>
            </w:r>
            <w:r>
              <w:rPr>
                <w:spacing w:val="-29"/>
                <w:sz w:val="19"/>
                <w:szCs w:val="19"/>
              </w:rPr>
              <w:t xml:space="preserve"> </w:t>
            </w:r>
            <w:r>
              <w:rPr>
                <w:rFonts w:ascii="Times New Roman" w:hAnsi="Times New Roman" w:eastAsia="Times New Roman" w:cs="Times New Roman"/>
                <w:sz w:val="19"/>
                <w:szCs w:val="19"/>
              </w:rPr>
              <w:t>KQ</w:t>
            </w:r>
            <w:r>
              <w:rPr>
                <w:rFonts w:ascii="Times New Roman" w:hAnsi="Times New Roman" w:eastAsia="Times New Roman" w:cs="Times New Roman"/>
                <w:spacing w:val="10"/>
                <w:sz w:val="19"/>
                <w:szCs w:val="19"/>
              </w:rPr>
              <w:t>004</w:t>
            </w:r>
            <w:r>
              <w:rPr>
                <w:rFonts w:ascii="Times New Roman" w:hAnsi="Times New Roman" w:eastAsia="Times New Roman" w:cs="Times New Roman"/>
                <w:spacing w:val="-11"/>
                <w:sz w:val="19"/>
                <w:szCs w:val="19"/>
              </w:rPr>
              <w:t xml:space="preserve"> </w:t>
            </w:r>
            <w:r>
              <w:rPr>
                <w:spacing w:val="10"/>
                <w:sz w:val="19"/>
                <w:szCs w:val="19"/>
              </w:rPr>
              <w:t>、</w:t>
            </w:r>
            <w:r>
              <w:rPr>
                <w:sz w:val="19"/>
                <w:szCs w:val="19"/>
              </w:rPr>
              <w:t xml:space="preserve"> </w:t>
            </w:r>
            <w:r>
              <w:rPr>
                <w:rFonts w:ascii="Times New Roman" w:hAnsi="Times New Roman" w:eastAsia="Times New Roman" w:cs="Times New Roman"/>
                <w:sz w:val="19"/>
                <w:szCs w:val="19"/>
              </w:rPr>
              <w:t>KQ</w:t>
            </w:r>
            <w:r>
              <w:rPr>
                <w:rFonts w:ascii="Times New Roman" w:hAnsi="Times New Roman" w:eastAsia="Times New Roman" w:cs="Times New Roman"/>
                <w:spacing w:val="7"/>
                <w:sz w:val="19"/>
                <w:szCs w:val="19"/>
              </w:rPr>
              <w:t>009</w:t>
            </w:r>
            <w:r>
              <w:rPr>
                <w:rFonts w:ascii="Times New Roman" w:hAnsi="Times New Roman" w:eastAsia="Times New Roman" w:cs="Times New Roman"/>
                <w:spacing w:val="21"/>
                <w:sz w:val="19"/>
                <w:szCs w:val="19"/>
              </w:rPr>
              <w:t xml:space="preserve"> </w:t>
            </w:r>
            <w:r>
              <w:rPr>
                <w:spacing w:val="7"/>
                <w:sz w:val="19"/>
                <w:szCs w:val="19"/>
              </w:rPr>
              <w:t>部分占用基本农田。</w:t>
            </w:r>
          </w:p>
        </w:tc>
        <w:tc>
          <w:tcPr>
            <w:tcW w:w="2354" w:type="dxa"/>
            <w:tcBorders>
              <w:right w:val="single" w:color="000000" w:sz="10" w:space="0"/>
            </w:tcBorders>
            <w:vAlign w:val="top"/>
          </w:tcPr>
          <w:p w14:paraId="19EA2DEF">
            <w:pPr>
              <w:pStyle w:val="6"/>
              <w:spacing w:before="25" w:line="250" w:lineRule="auto"/>
              <w:ind w:left="118" w:right="71" w:firstLine="300"/>
              <w:rPr>
                <w:sz w:val="19"/>
                <w:szCs w:val="19"/>
              </w:rPr>
            </w:pPr>
            <w:r>
              <w:rPr>
                <w:rFonts w:ascii="Times New Roman" w:hAnsi="Times New Roman" w:eastAsia="Times New Roman" w:cs="Times New Roman"/>
                <w:sz w:val="19"/>
                <w:szCs w:val="19"/>
              </w:rPr>
              <w:t>KQ</w:t>
            </w:r>
            <w:r>
              <w:rPr>
                <w:rFonts w:ascii="Times New Roman" w:hAnsi="Times New Roman" w:eastAsia="Times New Roman" w:cs="Times New Roman"/>
                <w:spacing w:val="3"/>
                <w:sz w:val="19"/>
                <w:szCs w:val="19"/>
              </w:rPr>
              <w:t>004</w:t>
            </w:r>
            <w:r>
              <w:rPr>
                <w:rFonts w:ascii="Times New Roman" w:hAnsi="Times New Roman" w:eastAsia="Times New Roman" w:cs="Times New Roman"/>
                <w:spacing w:val="2"/>
                <w:sz w:val="19"/>
                <w:szCs w:val="19"/>
              </w:rPr>
              <w:t xml:space="preserve">  </w:t>
            </w:r>
            <w:r>
              <w:rPr>
                <w:spacing w:val="3"/>
                <w:sz w:val="19"/>
                <w:szCs w:val="19"/>
              </w:rPr>
              <w:t xml:space="preserve">和 </w:t>
            </w:r>
            <w:r>
              <w:rPr>
                <w:rFonts w:ascii="Times New Roman" w:hAnsi="Times New Roman" w:eastAsia="Times New Roman" w:cs="Times New Roman"/>
                <w:sz w:val="19"/>
                <w:szCs w:val="19"/>
              </w:rPr>
              <w:t>KQ</w:t>
            </w:r>
            <w:r>
              <w:rPr>
                <w:rFonts w:ascii="Times New Roman" w:hAnsi="Times New Roman" w:eastAsia="Times New Roman" w:cs="Times New Roman"/>
                <w:spacing w:val="3"/>
                <w:sz w:val="19"/>
                <w:szCs w:val="19"/>
              </w:rPr>
              <w:t xml:space="preserve">009  </w:t>
            </w:r>
            <w:r>
              <w:rPr>
                <w:spacing w:val="3"/>
                <w:sz w:val="19"/>
                <w:szCs w:val="19"/>
              </w:rPr>
              <w:t>为</w:t>
            </w:r>
            <w:r>
              <w:rPr>
                <w:sz w:val="19"/>
                <w:szCs w:val="19"/>
              </w:rPr>
              <w:t xml:space="preserve"> </w:t>
            </w:r>
            <w:r>
              <w:rPr>
                <w:spacing w:val="2"/>
                <w:sz w:val="19"/>
                <w:szCs w:val="19"/>
              </w:rPr>
              <w:t>地下勘查区块，在进行地</w:t>
            </w:r>
            <w:r>
              <w:rPr>
                <w:spacing w:val="9"/>
                <w:sz w:val="19"/>
                <w:szCs w:val="19"/>
              </w:rPr>
              <w:t xml:space="preserve"> </w:t>
            </w:r>
            <w:r>
              <w:rPr>
                <w:spacing w:val="22"/>
                <w:sz w:val="19"/>
                <w:szCs w:val="19"/>
              </w:rPr>
              <w:t>质勘查活动时应主动避</w:t>
            </w:r>
            <w:r>
              <w:rPr>
                <w:spacing w:val="1"/>
                <w:sz w:val="19"/>
                <w:szCs w:val="19"/>
              </w:rPr>
              <w:t xml:space="preserve"> </w:t>
            </w:r>
            <w:r>
              <w:rPr>
                <w:spacing w:val="2"/>
                <w:sz w:val="19"/>
                <w:szCs w:val="19"/>
              </w:rPr>
              <w:t>让永久基本农田，确实无</w:t>
            </w:r>
            <w:r>
              <w:rPr>
                <w:spacing w:val="9"/>
                <w:sz w:val="19"/>
                <w:szCs w:val="19"/>
              </w:rPr>
              <w:t xml:space="preserve"> </w:t>
            </w:r>
            <w:r>
              <w:rPr>
                <w:spacing w:val="5"/>
                <w:sz w:val="19"/>
                <w:szCs w:val="19"/>
              </w:rPr>
              <w:t>法避让永久基本农田的，</w:t>
            </w:r>
            <w:r>
              <w:rPr>
                <w:spacing w:val="3"/>
                <w:sz w:val="19"/>
                <w:szCs w:val="19"/>
              </w:rPr>
              <w:t xml:space="preserve"> </w:t>
            </w:r>
            <w:r>
              <w:rPr>
                <w:spacing w:val="2"/>
                <w:sz w:val="19"/>
                <w:szCs w:val="19"/>
              </w:rPr>
              <w:t>在不修建永久建（构）筑</w:t>
            </w:r>
            <w:r>
              <w:rPr>
                <w:spacing w:val="9"/>
                <w:sz w:val="19"/>
                <w:szCs w:val="19"/>
              </w:rPr>
              <w:t xml:space="preserve"> </w:t>
            </w:r>
            <w:r>
              <w:rPr>
                <w:spacing w:val="2"/>
                <w:sz w:val="19"/>
                <w:szCs w:val="19"/>
              </w:rPr>
              <w:t>物、经复垦能恢复原种植</w:t>
            </w:r>
            <w:r>
              <w:rPr>
                <w:spacing w:val="9"/>
                <w:sz w:val="19"/>
                <w:szCs w:val="19"/>
              </w:rPr>
              <w:t xml:space="preserve"> </w:t>
            </w:r>
            <w:r>
              <w:rPr>
                <w:spacing w:val="2"/>
                <w:sz w:val="19"/>
                <w:szCs w:val="19"/>
              </w:rPr>
              <w:t>条件的前提下，土地使用</w:t>
            </w:r>
            <w:r>
              <w:rPr>
                <w:spacing w:val="9"/>
                <w:sz w:val="19"/>
                <w:szCs w:val="19"/>
              </w:rPr>
              <w:t xml:space="preserve"> </w:t>
            </w:r>
            <w:r>
              <w:rPr>
                <w:spacing w:val="22"/>
                <w:sz w:val="19"/>
                <w:szCs w:val="19"/>
              </w:rPr>
              <w:t>者按法定程序申请临时</w:t>
            </w:r>
            <w:r>
              <w:rPr>
                <w:spacing w:val="1"/>
                <w:sz w:val="19"/>
                <w:szCs w:val="19"/>
              </w:rPr>
              <w:t xml:space="preserve"> </w:t>
            </w:r>
            <w:r>
              <w:rPr>
                <w:spacing w:val="22"/>
                <w:sz w:val="19"/>
                <w:szCs w:val="19"/>
              </w:rPr>
              <w:t>用地并编制土地复垦方</w:t>
            </w:r>
            <w:r>
              <w:rPr>
                <w:spacing w:val="1"/>
                <w:sz w:val="19"/>
                <w:szCs w:val="19"/>
              </w:rPr>
              <w:t xml:space="preserve"> </w:t>
            </w:r>
            <w:r>
              <w:rPr>
                <w:spacing w:val="2"/>
                <w:sz w:val="19"/>
                <w:szCs w:val="19"/>
              </w:rPr>
              <w:t>案。临时用地使用前，应</w:t>
            </w:r>
            <w:r>
              <w:rPr>
                <w:spacing w:val="9"/>
                <w:sz w:val="19"/>
                <w:szCs w:val="19"/>
              </w:rPr>
              <w:t xml:space="preserve"> </w:t>
            </w:r>
            <w:r>
              <w:rPr>
                <w:spacing w:val="22"/>
                <w:sz w:val="19"/>
                <w:szCs w:val="19"/>
              </w:rPr>
              <w:t>通过耕地耕作层土壤剥</w:t>
            </w:r>
            <w:r>
              <w:rPr>
                <w:spacing w:val="1"/>
                <w:sz w:val="19"/>
                <w:szCs w:val="19"/>
              </w:rPr>
              <w:t xml:space="preserve"> </w:t>
            </w:r>
            <w:r>
              <w:rPr>
                <w:spacing w:val="22"/>
                <w:sz w:val="19"/>
                <w:szCs w:val="19"/>
              </w:rPr>
              <w:t>离再利用等工程技术措</w:t>
            </w:r>
            <w:r>
              <w:rPr>
                <w:spacing w:val="1"/>
                <w:sz w:val="19"/>
                <w:szCs w:val="19"/>
              </w:rPr>
              <w:t xml:space="preserve"> </w:t>
            </w:r>
            <w:r>
              <w:rPr>
                <w:spacing w:val="14"/>
                <w:sz w:val="19"/>
                <w:szCs w:val="19"/>
              </w:rPr>
              <w:t>施</w:t>
            </w:r>
            <w:r>
              <w:rPr>
                <w:spacing w:val="-52"/>
                <w:sz w:val="19"/>
                <w:szCs w:val="19"/>
              </w:rPr>
              <w:t xml:space="preserve"> </w:t>
            </w:r>
            <w:r>
              <w:rPr>
                <w:spacing w:val="14"/>
                <w:sz w:val="19"/>
                <w:szCs w:val="19"/>
              </w:rPr>
              <w:t>，</w:t>
            </w:r>
            <w:r>
              <w:rPr>
                <w:spacing w:val="-57"/>
                <w:sz w:val="19"/>
                <w:szCs w:val="19"/>
              </w:rPr>
              <w:t xml:space="preserve"> </w:t>
            </w:r>
            <w:r>
              <w:rPr>
                <w:spacing w:val="14"/>
                <w:sz w:val="19"/>
                <w:szCs w:val="19"/>
              </w:rPr>
              <w:t>减少对耕作层的破</w:t>
            </w:r>
            <w:r>
              <w:rPr>
                <w:sz w:val="19"/>
                <w:szCs w:val="19"/>
              </w:rPr>
              <w:t xml:space="preserve"> </w:t>
            </w:r>
            <w:r>
              <w:rPr>
                <w:spacing w:val="2"/>
                <w:sz w:val="19"/>
                <w:szCs w:val="19"/>
              </w:rPr>
              <w:t>坏，同时采用绿色勘查方</w:t>
            </w:r>
            <w:r>
              <w:rPr>
                <w:spacing w:val="9"/>
                <w:sz w:val="19"/>
                <w:szCs w:val="19"/>
              </w:rPr>
              <w:t xml:space="preserve"> </w:t>
            </w:r>
            <w:r>
              <w:rPr>
                <w:spacing w:val="2"/>
                <w:sz w:val="19"/>
                <w:szCs w:val="19"/>
              </w:rPr>
              <w:t>式，勘查时尽量少占或不</w:t>
            </w:r>
            <w:r>
              <w:rPr>
                <w:spacing w:val="9"/>
                <w:sz w:val="19"/>
                <w:szCs w:val="19"/>
              </w:rPr>
              <w:t xml:space="preserve"> </w:t>
            </w:r>
            <w:r>
              <w:rPr>
                <w:spacing w:val="-5"/>
                <w:sz w:val="19"/>
                <w:szCs w:val="19"/>
              </w:rPr>
              <w:t>占 永 久 基 本 农</w:t>
            </w:r>
            <w:r>
              <w:rPr>
                <w:spacing w:val="25"/>
                <w:sz w:val="19"/>
                <w:szCs w:val="19"/>
              </w:rPr>
              <w:t xml:space="preserve"> </w:t>
            </w:r>
            <w:r>
              <w:rPr>
                <w:spacing w:val="-5"/>
                <w:sz w:val="19"/>
                <w:szCs w:val="19"/>
              </w:rPr>
              <w:t>田 。</w:t>
            </w:r>
            <w:r>
              <w:rPr>
                <w:sz w:val="19"/>
                <w:szCs w:val="19"/>
              </w:rPr>
              <w:t xml:space="preserve"> </w:t>
            </w:r>
            <w:r>
              <w:rPr>
                <w:rFonts w:ascii="Times New Roman" w:hAnsi="Times New Roman" w:eastAsia="Times New Roman" w:cs="Times New Roman"/>
                <w:spacing w:val="-1"/>
                <w:sz w:val="19"/>
                <w:szCs w:val="19"/>
              </w:rPr>
              <w:t>KQ004</w:t>
            </w:r>
            <w:r>
              <w:rPr>
                <w:spacing w:val="-1"/>
                <w:sz w:val="19"/>
                <w:szCs w:val="19"/>
              </w:rPr>
              <w:t>、</w:t>
            </w:r>
            <w:r>
              <w:rPr>
                <w:rFonts w:ascii="Times New Roman" w:hAnsi="Times New Roman" w:eastAsia="Times New Roman" w:cs="Times New Roman"/>
                <w:spacing w:val="-1"/>
                <w:sz w:val="19"/>
                <w:szCs w:val="19"/>
              </w:rPr>
              <w:t>KQ009</w:t>
            </w:r>
            <w:r>
              <w:rPr>
                <w:rFonts w:ascii="Times New Roman" w:hAnsi="Times New Roman" w:eastAsia="Times New Roman" w:cs="Times New Roman"/>
                <w:spacing w:val="20"/>
                <w:sz w:val="19"/>
                <w:szCs w:val="19"/>
              </w:rPr>
              <w:t xml:space="preserve"> </w:t>
            </w:r>
            <w:r>
              <w:rPr>
                <w:spacing w:val="-1"/>
                <w:sz w:val="19"/>
                <w:szCs w:val="19"/>
              </w:rPr>
              <w:t>如需转为</w:t>
            </w:r>
            <w:r>
              <w:rPr>
                <w:sz w:val="19"/>
                <w:szCs w:val="19"/>
              </w:rPr>
              <w:t xml:space="preserve"> </w:t>
            </w:r>
            <w:r>
              <w:rPr>
                <w:spacing w:val="2"/>
                <w:sz w:val="19"/>
                <w:szCs w:val="19"/>
              </w:rPr>
              <w:t>开采区块，则应优化矿区</w:t>
            </w:r>
            <w:r>
              <w:rPr>
                <w:spacing w:val="9"/>
                <w:sz w:val="19"/>
                <w:szCs w:val="19"/>
              </w:rPr>
              <w:t xml:space="preserve"> </w:t>
            </w:r>
            <w:r>
              <w:rPr>
                <w:spacing w:val="2"/>
                <w:sz w:val="19"/>
                <w:szCs w:val="19"/>
              </w:rPr>
              <w:t>布局，地面工程避让永久</w:t>
            </w:r>
            <w:r>
              <w:rPr>
                <w:spacing w:val="9"/>
                <w:sz w:val="19"/>
                <w:szCs w:val="19"/>
              </w:rPr>
              <w:t xml:space="preserve"> </w:t>
            </w:r>
            <w:r>
              <w:rPr>
                <w:spacing w:val="2"/>
                <w:sz w:val="19"/>
                <w:szCs w:val="19"/>
              </w:rPr>
              <w:t>基本农田，确保不造成永</w:t>
            </w:r>
            <w:r>
              <w:rPr>
                <w:spacing w:val="9"/>
                <w:sz w:val="19"/>
                <w:szCs w:val="19"/>
              </w:rPr>
              <w:t xml:space="preserve"> </w:t>
            </w:r>
            <w:r>
              <w:rPr>
                <w:spacing w:val="2"/>
                <w:sz w:val="19"/>
                <w:szCs w:val="19"/>
              </w:rPr>
              <w:t>久基本农田损毁、塌陷破</w:t>
            </w:r>
            <w:r>
              <w:rPr>
                <w:spacing w:val="9"/>
                <w:sz w:val="19"/>
                <w:szCs w:val="19"/>
              </w:rPr>
              <w:t xml:space="preserve"> </w:t>
            </w:r>
            <w:r>
              <w:rPr>
                <w:spacing w:val="2"/>
                <w:sz w:val="19"/>
                <w:szCs w:val="19"/>
              </w:rPr>
              <w:t>坏。</w:t>
            </w:r>
          </w:p>
        </w:tc>
      </w:tr>
      <w:tr w14:paraId="27BEBA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36" w:hRule="atLeast"/>
        </w:trPr>
        <w:tc>
          <w:tcPr>
            <w:tcW w:w="1898" w:type="dxa"/>
            <w:tcBorders>
              <w:left w:val="single" w:color="000000" w:sz="10" w:space="0"/>
              <w:bottom w:val="single" w:color="000000" w:sz="10" w:space="0"/>
            </w:tcBorders>
            <w:vAlign w:val="top"/>
          </w:tcPr>
          <w:p w14:paraId="4C76F068">
            <w:pPr>
              <w:spacing w:line="253" w:lineRule="auto"/>
              <w:rPr>
                <w:rFonts w:ascii="Arial"/>
                <w:sz w:val="21"/>
              </w:rPr>
            </w:pPr>
          </w:p>
          <w:p w14:paraId="45F5C1F5">
            <w:pPr>
              <w:spacing w:line="253" w:lineRule="auto"/>
              <w:rPr>
                <w:rFonts w:ascii="Arial"/>
                <w:sz w:val="21"/>
              </w:rPr>
            </w:pPr>
          </w:p>
          <w:p w14:paraId="3958717F">
            <w:pPr>
              <w:spacing w:line="253" w:lineRule="auto"/>
              <w:rPr>
                <w:rFonts w:ascii="Arial"/>
                <w:sz w:val="21"/>
              </w:rPr>
            </w:pPr>
          </w:p>
          <w:p w14:paraId="7BE75136">
            <w:pPr>
              <w:pStyle w:val="6"/>
              <w:spacing w:before="62" w:line="231" w:lineRule="auto"/>
              <w:ind w:left="544"/>
              <w:rPr>
                <w:sz w:val="19"/>
                <w:szCs w:val="19"/>
              </w:rPr>
            </w:pPr>
            <w:r>
              <w:rPr>
                <w:spacing w:val="6"/>
                <w:sz w:val="19"/>
                <w:szCs w:val="19"/>
              </w:rPr>
              <w:t>规划目标</w:t>
            </w:r>
          </w:p>
        </w:tc>
        <w:tc>
          <w:tcPr>
            <w:tcW w:w="6127" w:type="dxa"/>
            <w:tcBorders>
              <w:bottom w:val="single" w:color="000000" w:sz="10" w:space="0"/>
            </w:tcBorders>
            <w:vAlign w:val="top"/>
          </w:tcPr>
          <w:p w14:paraId="62BC6BBA">
            <w:pPr>
              <w:pStyle w:val="6"/>
              <w:spacing w:before="50" w:line="252" w:lineRule="auto"/>
              <w:ind w:left="108" w:right="103" w:firstLine="407"/>
              <w:jc w:val="both"/>
              <w:rPr>
                <w:sz w:val="19"/>
                <w:szCs w:val="19"/>
              </w:rPr>
            </w:pPr>
            <w:r>
              <w:rPr>
                <w:spacing w:val="8"/>
                <w:sz w:val="19"/>
                <w:szCs w:val="19"/>
              </w:rPr>
              <w:t>到</w:t>
            </w:r>
            <w:r>
              <w:rPr>
                <w:spacing w:val="-27"/>
                <w:sz w:val="19"/>
                <w:szCs w:val="19"/>
              </w:rPr>
              <w:t xml:space="preserve"> </w:t>
            </w:r>
            <w:r>
              <w:rPr>
                <w:rFonts w:ascii="Times New Roman" w:hAnsi="Times New Roman" w:eastAsia="Times New Roman" w:cs="Times New Roman"/>
                <w:spacing w:val="8"/>
                <w:sz w:val="19"/>
                <w:szCs w:val="19"/>
              </w:rPr>
              <w:t>2025</w:t>
            </w:r>
            <w:r>
              <w:rPr>
                <w:rFonts w:ascii="Times New Roman" w:hAnsi="Times New Roman" w:eastAsia="Times New Roman" w:cs="Times New Roman"/>
                <w:spacing w:val="21"/>
                <w:w w:val="101"/>
                <w:sz w:val="19"/>
                <w:szCs w:val="19"/>
              </w:rPr>
              <w:t xml:space="preserve"> </w:t>
            </w:r>
            <w:r>
              <w:rPr>
                <w:spacing w:val="8"/>
                <w:sz w:val="19"/>
                <w:szCs w:val="19"/>
              </w:rPr>
              <w:t>年，矿产资源供应能力稳步提升，基本保障经济社会发</w:t>
            </w:r>
            <w:r>
              <w:rPr>
                <w:sz w:val="19"/>
                <w:szCs w:val="19"/>
              </w:rPr>
              <w:t xml:space="preserve"> </w:t>
            </w:r>
            <w:r>
              <w:rPr>
                <w:spacing w:val="7"/>
                <w:sz w:val="19"/>
                <w:szCs w:val="19"/>
              </w:rPr>
              <w:t>展的资源需求，基本形成节约高效、环境友好、矿地和谐的矿业</w:t>
            </w:r>
            <w:r>
              <w:rPr>
                <w:spacing w:val="6"/>
                <w:sz w:val="19"/>
                <w:szCs w:val="19"/>
              </w:rPr>
              <w:t>绿色</w:t>
            </w:r>
            <w:r>
              <w:rPr>
                <w:sz w:val="19"/>
                <w:szCs w:val="19"/>
              </w:rPr>
              <w:t xml:space="preserve"> </w:t>
            </w:r>
            <w:r>
              <w:rPr>
                <w:spacing w:val="7"/>
                <w:sz w:val="19"/>
                <w:szCs w:val="19"/>
              </w:rPr>
              <w:t>发展高质量发展格局，现代化的治理体系和治理能力在矿产</w:t>
            </w:r>
            <w:r>
              <w:rPr>
                <w:spacing w:val="6"/>
                <w:sz w:val="19"/>
                <w:szCs w:val="19"/>
              </w:rPr>
              <w:t>资源领域</w:t>
            </w:r>
            <w:r>
              <w:rPr>
                <w:sz w:val="19"/>
                <w:szCs w:val="19"/>
              </w:rPr>
              <w:t xml:space="preserve"> </w:t>
            </w:r>
            <w:r>
              <w:rPr>
                <w:spacing w:val="5"/>
                <w:sz w:val="19"/>
                <w:szCs w:val="19"/>
              </w:rPr>
              <w:t>基本形成。</w:t>
            </w:r>
          </w:p>
          <w:p w14:paraId="67CA9B93">
            <w:pPr>
              <w:pStyle w:val="6"/>
              <w:spacing w:line="239" w:lineRule="auto"/>
              <w:ind w:left="108" w:right="103" w:firstLine="405"/>
              <w:jc w:val="both"/>
              <w:rPr>
                <w:sz w:val="19"/>
                <w:szCs w:val="19"/>
              </w:rPr>
            </w:pPr>
            <w:r>
              <w:rPr>
                <w:spacing w:val="9"/>
                <w:sz w:val="19"/>
                <w:szCs w:val="19"/>
              </w:rPr>
              <w:t>（</w:t>
            </w:r>
            <w:r>
              <w:rPr>
                <w:rFonts w:ascii="Times New Roman" w:hAnsi="Times New Roman" w:eastAsia="Times New Roman" w:cs="Times New Roman"/>
                <w:spacing w:val="9"/>
                <w:sz w:val="19"/>
                <w:szCs w:val="19"/>
              </w:rPr>
              <w:t>1</w:t>
            </w:r>
            <w:r>
              <w:rPr>
                <w:spacing w:val="9"/>
                <w:sz w:val="19"/>
                <w:szCs w:val="19"/>
              </w:rPr>
              <w:t>）进一步夯实矿产资源保障基础。进一步提升全市</w:t>
            </w:r>
            <w:r>
              <w:rPr>
                <w:spacing w:val="-12"/>
                <w:sz w:val="19"/>
                <w:szCs w:val="19"/>
              </w:rPr>
              <w:t xml:space="preserve"> </w:t>
            </w:r>
            <w:r>
              <w:rPr>
                <w:rFonts w:ascii="Times New Roman" w:hAnsi="Times New Roman" w:eastAsia="Times New Roman" w:cs="Times New Roman"/>
                <w:spacing w:val="9"/>
                <w:sz w:val="19"/>
                <w:szCs w:val="19"/>
              </w:rPr>
              <w:t>1:5</w:t>
            </w:r>
            <w:r>
              <w:rPr>
                <w:rFonts w:ascii="Times New Roman" w:hAnsi="Times New Roman" w:eastAsia="Times New Roman" w:cs="Times New Roman"/>
                <w:spacing w:val="21"/>
                <w:w w:val="101"/>
                <w:sz w:val="19"/>
                <w:szCs w:val="19"/>
              </w:rPr>
              <w:t xml:space="preserve"> </w:t>
            </w:r>
            <w:r>
              <w:rPr>
                <w:spacing w:val="9"/>
                <w:sz w:val="19"/>
                <w:szCs w:val="19"/>
              </w:rPr>
              <w:t>万区</w:t>
            </w:r>
            <w:r>
              <w:rPr>
                <w:sz w:val="19"/>
                <w:szCs w:val="19"/>
              </w:rPr>
              <w:t xml:space="preserve"> </w:t>
            </w:r>
            <w:r>
              <w:rPr>
                <w:spacing w:val="7"/>
                <w:sz w:val="19"/>
                <w:szCs w:val="19"/>
              </w:rPr>
              <w:t>域地质调查工作程度，力争实现全覆盖。加强煤层气、萤石、铝土矿</w:t>
            </w:r>
            <w:r>
              <w:rPr>
                <w:sz w:val="19"/>
                <w:szCs w:val="19"/>
              </w:rPr>
              <w:t xml:space="preserve"> </w:t>
            </w:r>
            <w:r>
              <w:rPr>
                <w:spacing w:val="7"/>
                <w:sz w:val="19"/>
                <w:szCs w:val="19"/>
              </w:rPr>
              <w:t>等战略性矿产、地热、铅锌等重要矿产重点成矿区带勘查，力</w:t>
            </w:r>
            <w:r>
              <w:rPr>
                <w:spacing w:val="6"/>
                <w:sz w:val="19"/>
                <w:szCs w:val="19"/>
              </w:rPr>
              <w:t>争实现</w:t>
            </w:r>
          </w:p>
        </w:tc>
        <w:tc>
          <w:tcPr>
            <w:tcW w:w="3787" w:type="dxa"/>
            <w:tcBorders>
              <w:bottom w:val="single" w:color="000000" w:sz="10" w:space="0"/>
            </w:tcBorders>
            <w:vAlign w:val="top"/>
          </w:tcPr>
          <w:p w14:paraId="6E760CC0">
            <w:pPr>
              <w:spacing w:line="251" w:lineRule="auto"/>
              <w:rPr>
                <w:rFonts w:ascii="Arial"/>
                <w:sz w:val="21"/>
              </w:rPr>
            </w:pPr>
          </w:p>
          <w:p w14:paraId="7FA11584">
            <w:pPr>
              <w:spacing w:line="252" w:lineRule="auto"/>
              <w:rPr>
                <w:rFonts w:ascii="Arial"/>
                <w:sz w:val="21"/>
              </w:rPr>
            </w:pPr>
          </w:p>
          <w:p w14:paraId="2D220D03">
            <w:pPr>
              <w:pStyle w:val="6"/>
              <w:spacing w:before="62" w:line="251" w:lineRule="auto"/>
              <w:ind w:left="120" w:right="98" w:firstLine="398"/>
              <w:jc w:val="both"/>
              <w:rPr>
                <w:sz w:val="19"/>
                <w:szCs w:val="19"/>
              </w:rPr>
            </w:pPr>
            <w:r>
              <w:rPr>
                <w:spacing w:val="17"/>
                <w:sz w:val="19"/>
                <w:szCs w:val="19"/>
              </w:rPr>
              <w:t>《规划调整》</w:t>
            </w:r>
            <w:r>
              <w:rPr>
                <w:spacing w:val="-37"/>
                <w:sz w:val="19"/>
                <w:szCs w:val="19"/>
              </w:rPr>
              <w:t xml:space="preserve"> </w:t>
            </w:r>
            <w:r>
              <w:rPr>
                <w:spacing w:val="17"/>
                <w:sz w:val="19"/>
                <w:szCs w:val="19"/>
              </w:rPr>
              <w:t>不涉及约束性指标调</w:t>
            </w:r>
            <w:r>
              <w:rPr>
                <w:sz w:val="19"/>
                <w:szCs w:val="19"/>
              </w:rPr>
              <w:t xml:space="preserve"> </w:t>
            </w:r>
            <w:r>
              <w:rPr>
                <w:spacing w:val="4"/>
                <w:sz w:val="19"/>
                <w:szCs w:val="19"/>
              </w:rPr>
              <w:t>整。到</w:t>
            </w:r>
            <w:r>
              <w:rPr>
                <w:spacing w:val="-31"/>
                <w:sz w:val="19"/>
                <w:szCs w:val="19"/>
              </w:rPr>
              <w:t xml:space="preserve"> </w:t>
            </w:r>
            <w:r>
              <w:rPr>
                <w:rFonts w:ascii="Times New Roman" w:hAnsi="Times New Roman" w:eastAsia="Times New Roman" w:cs="Times New Roman"/>
                <w:spacing w:val="4"/>
                <w:sz w:val="19"/>
                <w:szCs w:val="19"/>
              </w:rPr>
              <w:t>2025</w:t>
            </w:r>
            <w:r>
              <w:rPr>
                <w:rFonts w:ascii="Times New Roman" w:hAnsi="Times New Roman" w:eastAsia="Times New Roman" w:cs="Times New Roman"/>
                <w:spacing w:val="22"/>
                <w:sz w:val="19"/>
                <w:szCs w:val="19"/>
              </w:rPr>
              <w:t xml:space="preserve"> </w:t>
            </w:r>
            <w:r>
              <w:rPr>
                <w:spacing w:val="4"/>
                <w:sz w:val="19"/>
                <w:szCs w:val="19"/>
              </w:rPr>
              <w:t>年矿山数量控制在</w:t>
            </w:r>
            <w:r>
              <w:rPr>
                <w:spacing w:val="-41"/>
                <w:sz w:val="19"/>
                <w:szCs w:val="19"/>
              </w:rPr>
              <w:t xml:space="preserve"> </w:t>
            </w:r>
            <w:r>
              <w:rPr>
                <w:rFonts w:ascii="Times New Roman" w:hAnsi="Times New Roman" w:eastAsia="Times New Roman" w:cs="Times New Roman"/>
                <w:spacing w:val="4"/>
                <w:sz w:val="19"/>
                <w:szCs w:val="19"/>
              </w:rPr>
              <w:t>28</w:t>
            </w:r>
            <w:r>
              <w:rPr>
                <w:rFonts w:ascii="Times New Roman" w:hAnsi="Times New Roman" w:eastAsia="Times New Roman" w:cs="Times New Roman"/>
                <w:spacing w:val="16"/>
                <w:w w:val="101"/>
                <w:sz w:val="19"/>
                <w:szCs w:val="19"/>
              </w:rPr>
              <w:t xml:space="preserve"> </w:t>
            </w:r>
            <w:r>
              <w:rPr>
                <w:spacing w:val="4"/>
                <w:sz w:val="19"/>
                <w:szCs w:val="19"/>
              </w:rPr>
              <w:t>个，大</w:t>
            </w:r>
            <w:r>
              <w:rPr>
                <w:sz w:val="19"/>
                <w:szCs w:val="19"/>
              </w:rPr>
              <w:t xml:space="preserve"> </w:t>
            </w:r>
            <w:r>
              <w:rPr>
                <w:spacing w:val="6"/>
                <w:sz w:val="19"/>
                <w:szCs w:val="19"/>
              </w:rPr>
              <w:t>中型矿山比例达到</w:t>
            </w:r>
            <w:r>
              <w:rPr>
                <w:spacing w:val="-34"/>
                <w:sz w:val="19"/>
                <w:szCs w:val="19"/>
              </w:rPr>
              <w:t xml:space="preserve"> </w:t>
            </w:r>
            <w:r>
              <w:rPr>
                <w:rFonts w:ascii="Times New Roman" w:hAnsi="Times New Roman" w:eastAsia="Times New Roman" w:cs="Times New Roman"/>
                <w:spacing w:val="6"/>
                <w:sz w:val="19"/>
                <w:szCs w:val="19"/>
              </w:rPr>
              <w:t>60%</w:t>
            </w:r>
            <w:r>
              <w:rPr>
                <w:spacing w:val="6"/>
                <w:sz w:val="19"/>
                <w:szCs w:val="19"/>
              </w:rPr>
              <w:t>。</w:t>
            </w:r>
          </w:p>
        </w:tc>
        <w:tc>
          <w:tcPr>
            <w:tcW w:w="2354" w:type="dxa"/>
            <w:tcBorders>
              <w:bottom w:val="single" w:color="000000" w:sz="10" w:space="0"/>
              <w:right w:val="single" w:color="000000" w:sz="10" w:space="0"/>
            </w:tcBorders>
            <w:vAlign w:val="top"/>
          </w:tcPr>
          <w:p w14:paraId="024BA030">
            <w:pPr>
              <w:spacing w:line="252" w:lineRule="auto"/>
              <w:rPr>
                <w:rFonts w:ascii="Arial"/>
                <w:sz w:val="21"/>
              </w:rPr>
            </w:pPr>
          </w:p>
          <w:p w14:paraId="077471D0">
            <w:pPr>
              <w:spacing w:line="252" w:lineRule="auto"/>
              <w:rPr>
                <w:rFonts w:ascii="Arial"/>
                <w:sz w:val="21"/>
              </w:rPr>
            </w:pPr>
          </w:p>
          <w:p w14:paraId="10953605">
            <w:pPr>
              <w:pStyle w:val="6"/>
              <w:spacing w:before="62" w:line="231" w:lineRule="auto"/>
              <w:ind w:left="132"/>
              <w:rPr>
                <w:sz w:val="19"/>
                <w:szCs w:val="19"/>
              </w:rPr>
            </w:pPr>
            <w:r>
              <w:rPr>
                <w:spacing w:val="1"/>
                <w:sz w:val="19"/>
                <w:szCs w:val="19"/>
              </w:rPr>
              <w:t>通过有序投放矿权，合理</w:t>
            </w:r>
          </w:p>
          <w:p w14:paraId="5D63D200">
            <w:pPr>
              <w:pStyle w:val="6"/>
              <w:spacing w:before="18" w:line="230" w:lineRule="auto"/>
              <w:ind w:left="128"/>
              <w:rPr>
                <w:sz w:val="19"/>
                <w:szCs w:val="19"/>
              </w:rPr>
            </w:pPr>
            <w:r>
              <w:rPr>
                <w:spacing w:val="2"/>
                <w:sz w:val="19"/>
                <w:szCs w:val="19"/>
              </w:rPr>
              <w:t>开发，符合重庆市规划目</w:t>
            </w:r>
          </w:p>
          <w:p w14:paraId="54614D96">
            <w:pPr>
              <w:pStyle w:val="6"/>
              <w:spacing w:before="22" w:line="231" w:lineRule="auto"/>
              <w:ind w:left="991"/>
              <w:rPr>
                <w:sz w:val="19"/>
                <w:szCs w:val="19"/>
              </w:rPr>
            </w:pPr>
            <w:r>
              <w:rPr>
                <w:spacing w:val="-2"/>
                <w:sz w:val="19"/>
                <w:szCs w:val="19"/>
              </w:rPr>
              <w:t>标。</w:t>
            </w:r>
          </w:p>
        </w:tc>
      </w:tr>
    </w:tbl>
    <w:p w14:paraId="52CB09ED">
      <w:pPr>
        <w:pStyle w:val="2"/>
        <w:spacing w:line="124" w:lineRule="exact"/>
        <w:rPr>
          <w:sz w:val="10"/>
        </w:rPr>
      </w:pPr>
    </w:p>
    <w:p w14:paraId="23CA37B5">
      <w:pPr>
        <w:spacing w:line="124" w:lineRule="exact"/>
        <w:rPr>
          <w:sz w:val="10"/>
          <w:szCs w:val="10"/>
        </w:rPr>
        <w:sectPr>
          <w:headerReference r:id="rId97" w:type="default"/>
          <w:footerReference r:id="rId98" w:type="default"/>
          <w:pgSz w:w="16839" w:h="11906"/>
          <w:pgMar w:top="1116" w:right="1323" w:bottom="1480" w:left="1322" w:header="683" w:footer="1318" w:gutter="0"/>
          <w:cols w:space="720" w:num="1"/>
        </w:sectPr>
      </w:pPr>
    </w:p>
    <w:p w14:paraId="725A4C39">
      <w:pPr>
        <w:spacing w:before="229"/>
      </w:pPr>
    </w:p>
    <w:tbl>
      <w:tblPr>
        <w:tblStyle w:val="5"/>
        <w:tblW w:w="14166"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3"/>
        <w:gridCol w:w="905"/>
        <w:gridCol w:w="6127"/>
        <w:gridCol w:w="3787"/>
        <w:gridCol w:w="2354"/>
      </w:tblGrid>
      <w:tr w14:paraId="5B5CFD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8" w:hRule="atLeast"/>
        </w:trPr>
        <w:tc>
          <w:tcPr>
            <w:tcW w:w="1898" w:type="dxa"/>
            <w:gridSpan w:val="2"/>
            <w:tcBorders>
              <w:top w:val="single" w:color="000000" w:sz="10" w:space="0"/>
              <w:left w:val="single" w:color="000000" w:sz="10" w:space="0"/>
            </w:tcBorders>
            <w:vAlign w:val="top"/>
          </w:tcPr>
          <w:p w14:paraId="608D6227">
            <w:pPr>
              <w:rPr>
                <w:rFonts w:ascii="Arial"/>
                <w:sz w:val="21"/>
              </w:rPr>
            </w:pPr>
          </w:p>
        </w:tc>
        <w:tc>
          <w:tcPr>
            <w:tcW w:w="6127" w:type="dxa"/>
            <w:tcBorders>
              <w:top w:val="single" w:color="000000" w:sz="10" w:space="0"/>
            </w:tcBorders>
            <w:vAlign w:val="top"/>
          </w:tcPr>
          <w:p w14:paraId="617E0191">
            <w:pPr>
              <w:pStyle w:val="6"/>
              <w:spacing w:before="16" w:line="251" w:lineRule="auto"/>
              <w:ind w:left="118" w:right="105" w:hanging="10"/>
              <w:rPr>
                <w:sz w:val="19"/>
                <w:szCs w:val="19"/>
              </w:rPr>
            </w:pPr>
            <w:r>
              <w:rPr>
                <w:spacing w:val="7"/>
                <w:sz w:val="19"/>
                <w:szCs w:val="19"/>
              </w:rPr>
              <w:t>找矿突破。适度开展毒重石、锶、岩盐等优势矿产的勘查，</w:t>
            </w:r>
            <w:r>
              <w:rPr>
                <w:spacing w:val="6"/>
                <w:sz w:val="19"/>
                <w:szCs w:val="19"/>
              </w:rPr>
              <w:t>增强优势</w:t>
            </w:r>
            <w:r>
              <w:rPr>
                <w:sz w:val="19"/>
                <w:szCs w:val="19"/>
              </w:rPr>
              <w:t xml:space="preserve"> </w:t>
            </w:r>
            <w:r>
              <w:rPr>
                <w:spacing w:val="6"/>
                <w:sz w:val="19"/>
                <w:szCs w:val="19"/>
              </w:rPr>
              <w:t>资源持续保障能力。力争新发现和评价大中型矿产地</w:t>
            </w:r>
            <w:r>
              <w:rPr>
                <w:sz w:val="19"/>
                <w:szCs w:val="19"/>
              </w:rPr>
              <w:t xml:space="preserve"> </w:t>
            </w:r>
            <w:r>
              <w:rPr>
                <w:rFonts w:ascii="Times New Roman" w:hAnsi="Times New Roman" w:eastAsia="Times New Roman" w:cs="Times New Roman"/>
                <w:spacing w:val="6"/>
                <w:sz w:val="19"/>
                <w:szCs w:val="19"/>
              </w:rPr>
              <w:t>10-15</w:t>
            </w:r>
            <w:r>
              <w:rPr>
                <w:rFonts w:ascii="Times New Roman" w:hAnsi="Times New Roman" w:eastAsia="Times New Roman" w:cs="Times New Roman"/>
                <w:spacing w:val="16"/>
                <w:sz w:val="19"/>
                <w:szCs w:val="19"/>
              </w:rPr>
              <w:t xml:space="preserve"> </w:t>
            </w:r>
            <w:r>
              <w:rPr>
                <w:spacing w:val="6"/>
                <w:sz w:val="19"/>
                <w:szCs w:val="19"/>
              </w:rPr>
              <w:t>处。</w:t>
            </w:r>
          </w:p>
          <w:p w14:paraId="34E08676">
            <w:pPr>
              <w:pStyle w:val="6"/>
              <w:spacing w:before="3" w:line="249" w:lineRule="auto"/>
              <w:ind w:left="103" w:right="64" w:firstLine="410"/>
              <w:rPr>
                <w:sz w:val="19"/>
                <w:szCs w:val="19"/>
              </w:rPr>
            </w:pPr>
            <w:r>
              <w:rPr>
                <w:spacing w:val="10"/>
                <w:sz w:val="19"/>
                <w:szCs w:val="19"/>
              </w:rPr>
              <w:t>（</w:t>
            </w:r>
            <w:r>
              <w:rPr>
                <w:rFonts w:ascii="Times New Roman" w:hAnsi="Times New Roman" w:eastAsia="Times New Roman" w:cs="Times New Roman"/>
                <w:spacing w:val="10"/>
                <w:sz w:val="19"/>
                <w:szCs w:val="19"/>
              </w:rPr>
              <w:t>2</w:t>
            </w:r>
            <w:r>
              <w:rPr>
                <w:spacing w:val="10"/>
                <w:sz w:val="19"/>
                <w:szCs w:val="19"/>
              </w:rPr>
              <w:t>）进一步提升矿产资源供应能力。建设一批规模效应突出、</w:t>
            </w:r>
            <w:r>
              <w:rPr>
                <w:spacing w:val="15"/>
                <w:sz w:val="19"/>
                <w:szCs w:val="19"/>
              </w:rPr>
              <w:t xml:space="preserve"> </w:t>
            </w:r>
            <w:r>
              <w:rPr>
                <w:spacing w:val="7"/>
                <w:sz w:val="19"/>
                <w:szCs w:val="19"/>
              </w:rPr>
              <w:t>资源保障有力的建筑石料用灰岩集中开采区和岩盐、锶、铝土矿、毒</w:t>
            </w:r>
            <w:r>
              <w:rPr>
                <w:spacing w:val="1"/>
                <w:sz w:val="19"/>
                <w:szCs w:val="19"/>
              </w:rPr>
              <w:t xml:space="preserve"> </w:t>
            </w:r>
            <w:r>
              <w:rPr>
                <w:spacing w:val="9"/>
                <w:sz w:val="19"/>
                <w:szCs w:val="19"/>
              </w:rPr>
              <w:t>重石等矿产重点开采区，引导生产要素聚集。到</w:t>
            </w:r>
            <w:r>
              <w:rPr>
                <w:spacing w:val="-38"/>
                <w:sz w:val="19"/>
                <w:szCs w:val="19"/>
              </w:rPr>
              <w:t xml:space="preserve"> </w:t>
            </w:r>
            <w:r>
              <w:rPr>
                <w:rFonts w:ascii="Times New Roman" w:hAnsi="Times New Roman" w:eastAsia="Times New Roman" w:cs="Times New Roman"/>
                <w:spacing w:val="9"/>
                <w:sz w:val="19"/>
                <w:szCs w:val="19"/>
              </w:rPr>
              <w:t>2025</w:t>
            </w:r>
            <w:r>
              <w:rPr>
                <w:rFonts w:ascii="Times New Roman" w:hAnsi="Times New Roman" w:eastAsia="Times New Roman" w:cs="Times New Roman"/>
                <w:spacing w:val="21"/>
                <w:w w:val="101"/>
                <w:sz w:val="19"/>
                <w:szCs w:val="19"/>
              </w:rPr>
              <w:t xml:space="preserve"> </w:t>
            </w:r>
            <w:r>
              <w:rPr>
                <w:spacing w:val="9"/>
                <w:sz w:val="19"/>
                <w:szCs w:val="19"/>
              </w:rPr>
              <w:t>年，</w:t>
            </w:r>
            <w:r>
              <w:rPr>
                <w:spacing w:val="8"/>
                <w:sz w:val="19"/>
                <w:szCs w:val="19"/>
              </w:rPr>
              <w:t>水泥用灰</w:t>
            </w:r>
            <w:r>
              <w:rPr>
                <w:sz w:val="19"/>
                <w:szCs w:val="19"/>
              </w:rPr>
              <w:t xml:space="preserve"> </w:t>
            </w:r>
            <w:r>
              <w:rPr>
                <w:spacing w:val="15"/>
                <w:sz w:val="19"/>
                <w:szCs w:val="19"/>
              </w:rPr>
              <w:t xml:space="preserve">岩年开采总量在 </w:t>
            </w:r>
            <w:r>
              <w:rPr>
                <w:rFonts w:ascii="Times New Roman" w:hAnsi="Times New Roman" w:eastAsia="Times New Roman" w:cs="Times New Roman"/>
                <w:spacing w:val="15"/>
                <w:sz w:val="19"/>
                <w:szCs w:val="19"/>
              </w:rPr>
              <w:t>11000</w:t>
            </w:r>
            <w:r>
              <w:rPr>
                <w:rFonts w:ascii="Times New Roman" w:hAnsi="Times New Roman" w:eastAsia="Times New Roman" w:cs="Times New Roman"/>
                <w:spacing w:val="37"/>
                <w:sz w:val="19"/>
                <w:szCs w:val="19"/>
              </w:rPr>
              <w:t xml:space="preserve"> </w:t>
            </w:r>
            <w:r>
              <w:rPr>
                <w:spacing w:val="15"/>
                <w:sz w:val="19"/>
                <w:szCs w:val="19"/>
              </w:rPr>
              <w:t>万吨左右</w:t>
            </w:r>
            <w:r>
              <w:rPr>
                <w:spacing w:val="-54"/>
                <w:sz w:val="19"/>
                <w:szCs w:val="19"/>
              </w:rPr>
              <w:t xml:space="preserve"> </w:t>
            </w:r>
            <w:r>
              <w:rPr>
                <w:spacing w:val="15"/>
                <w:sz w:val="19"/>
                <w:szCs w:val="19"/>
              </w:rPr>
              <w:t>，建筑石料用灰岩年开采总量在</w:t>
            </w:r>
            <w:r>
              <w:rPr>
                <w:sz w:val="19"/>
                <w:szCs w:val="19"/>
              </w:rPr>
              <w:t xml:space="preserve"> </w:t>
            </w:r>
            <w:r>
              <w:rPr>
                <w:rFonts w:ascii="Times New Roman" w:hAnsi="Times New Roman" w:eastAsia="Times New Roman" w:cs="Times New Roman"/>
                <w:spacing w:val="8"/>
                <w:sz w:val="19"/>
                <w:szCs w:val="19"/>
              </w:rPr>
              <w:t>32000</w:t>
            </w:r>
            <w:r>
              <w:rPr>
                <w:rFonts w:ascii="Times New Roman" w:hAnsi="Times New Roman" w:eastAsia="Times New Roman" w:cs="Times New Roman"/>
                <w:spacing w:val="25"/>
                <w:w w:val="101"/>
                <w:sz w:val="19"/>
                <w:szCs w:val="19"/>
              </w:rPr>
              <w:t xml:space="preserve"> </w:t>
            </w:r>
            <w:r>
              <w:rPr>
                <w:spacing w:val="8"/>
                <w:sz w:val="19"/>
                <w:szCs w:val="19"/>
              </w:rPr>
              <w:t>万吨左右，岩盐年开采总量达到</w:t>
            </w:r>
            <w:r>
              <w:rPr>
                <w:rFonts w:ascii="Times New Roman" w:hAnsi="Times New Roman" w:eastAsia="Times New Roman" w:cs="Times New Roman"/>
                <w:spacing w:val="8"/>
                <w:sz w:val="19"/>
                <w:szCs w:val="19"/>
              </w:rPr>
              <w:t>350</w:t>
            </w:r>
            <w:r>
              <w:rPr>
                <w:rFonts w:ascii="Times New Roman" w:hAnsi="Times New Roman" w:eastAsia="Times New Roman" w:cs="Times New Roman"/>
                <w:spacing w:val="16"/>
                <w:w w:val="102"/>
                <w:sz w:val="19"/>
                <w:szCs w:val="19"/>
              </w:rPr>
              <w:t xml:space="preserve"> </w:t>
            </w:r>
            <w:r>
              <w:rPr>
                <w:spacing w:val="8"/>
                <w:sz w:val="19"/>
                <w:szCs w:val="19"/>
              </w:rPr>
              <w:t>万吨，锶年开采总量达到</w:t>
            </w:r>
            <w:r>
              <w:rPr>
                <w:sz w:val="19"/>
                <w:szCs w:val="19"/>
              </w:rPr>
              <w:t xml:space="preserve"> </w:t>
            </w:r>
            <w:r>
              <w:rPr>
                <w:rFonts w:ascii="Times New Roman" w:hAnsi="Times New Roman" w:eastAsia="Times New Roman" w:cs="Times New Roman"/>
                <w:spacing w:val="9"/>
                <w:sz w:val="19"/>
                <w:szCs w:val="19"/>
              </w:rPr>
              <w:t>50</w:t>
            </w:r>
            <w:r>
              <w:rPr>
                <w:rFonts w:ascii="Times New Roman" w:hAnsi="Times New Roman" w:eastAsia="Times New Roman" w:cs="Times New Roman"/>
                <w:spacing w:val="24"/>
                <w:w w:val="101"/>
                <w:sz w:val="19"/>
                <w:szCs w:val="19"/>
              </w:rPr>
              <w:t xml:space="preserve"> </w:t>
            </w:r>
            <w:r>
              <w:rPr>
                <w:spacing w:val="9"/>
                <w:sz w:val="19"/>
                <w:szCs w:val="19"/>
              </w:rPr>
              <w:t>万吨、毒重石年开采总量达到</w:t>
            </w:r>
            <w:r>
              <w:rPr>
                <w:spacing w:val="-16"/>
                <w:sz w:val="19"/>
                <w:szCs w:val="19"/>
              </w:rPr>
              <w:t xml:space="preserve"> </w:t>
            </w:r>
            <w:r>
              <w:rPr>
                <w:rFonts w:ascii="Times New Roman" w:hAnsi="Times New Roman" w:eastAsia="Times New Roman" w:cs="Times New Roman"/>
                <w:spacing w:val="9"/>
                <w:sz w:val="19"/>
                <w:szCs w:val="19"/>
              </w:rPr>
              <w:t>100</w:t>
            </w:r>
            <w:r>
              <w:rPr>
                <w:rFonts w:ascii="Times New Roman" w:hAnsi="Times New Roman" w:eastAsia="Times New Roman" w:cs="Times New Roman"/>
                <w:spacing w:val="18"/>
                <w:w w:val="101"/>
                <w:sz w:val="19"/>
                <w:szCs w:val="19"/>
              </w:rPr>
              <w:t xml:space="preserve"> </w:t>
            </w:r>
            <w:r>
              <w:rPr>
                <w:spacing w:val="9"/>
                <w:sz w:val="19"/>
                <w:szCs w:val="19"/>
              </w:rPr>
              <w:t>万吨，保障经济社会发展和重</w:t>
            </w:r>
            <w:r>
              <w:rPr>
                <w:sz w:val="19"/>
                <w:szCs w:val="19"/>
              </w:rPr>
              <w:t xml:space="preserve"> </w:t>
            </w:r>
            <w:r>
              <w:rPr>
                <w:spacing w:val="15"/>
                <w:sz w:val="19"/>
                <w:szCs w:val="19"/>
              </w:rPr>
              <w:t>大基础设施建设的资源需求，地热资源开发利用对</w:t>
            </w:r>
            <w:r>
              <w:rPr>
                <w:rFonts w:ascii="Times New Roman" w:hAnsi="Times New Roman" w:eastAsia="Times New Roman" w:cs="Times New Roman"/>
                <w:spacing w:val="15"/>
                <w:sz w:val="19"/>
                <w:szCs w:val="19"/>
              </w:rPr>
              <w:t>“</w:t>
            </w:r>
            <w:r>
              <w:rPr>
                <w:spacing w:val="15"/>
                <w:sz w:val="19"/>
                <w:szCs w:val="19"/>
              </w:rPr>
              <w:t>世界温泉之都</w:t>
            </w:r>
            <w:r>
              <w:rPr>
                <w:rFonts w:ascii="Times New Roman" w:hAnsi="Times New Roman" w:eastAsia="Times New Roman" w:cs="Times New Roman"/>
                <w:spacing w:val="15"/>
                <w:sz w:val="19"/>
                <w:szCs w:val="19"/>
              </w:rPr>
              <w:t>”</w:t>
            </w:r>
            <w:r>
              <w:rPr>
                <w:rFonts w:ascii="Times New Roman" w:hAnsi="Times New Roman" w:eastAsia="Times New Roman" w:cs="Times New Roman"/>
                <w:spacing w:val="14"/>
                <w:w w:val="101"/>
                <w:sz w:val="19"/>
                <w:szCs w:val="19"/>
              </w:rPr>
              <w:t xml:space="preserve"> </w:t>
            </w:r>
            <w:r>
              <w:rPr>
                <w:spacing w:val="8"/>
                <w:sz w:val="19"/>
                <w:szCs w:val="19"/>
              </w:rPr>
              <w:t>建设的支撑作用持续增强。</w:t>
            </w:r>
          </w:p>
          <w:p w14:paraId="7A3223C1">
            <w:pPr>
              <w:pStyle w:val="6"/>
              <w:spacing w:before="22" w:line="249" w:lineRule="auto"/>
              <w:ind w:left="108" w:right="72" w:firstLine="405"/>
              <w:rPr>
                <w:sz w:val="19"/>
                <w:szCs w:val="19"/>
              </w:rPr>
            </w:pPr>
            <w:r>
              <w:rPr>
                <w:spacing w:val="10"/>
                <w:sz w:val="19"/>
                <w:szCs w:val="19"/>
              </w:rPr>
              <w:t>（</w:t>
            </w:r>
            <w:r>
              <w:rPr>
                <w:rFonts w:ascii="Times New Roman" w:hAnsi="Times New Roman" w:eastAsia="Times New Roman" w:cs="Times New Roman"/>
                <w:spacing w:val="10"/>
                <w:sz w:val="19"/>
                <w:szCs w:val="19"/>
              </w:rPr>
              <w:t>3</w:t>
            </w:r>
            <w:r>
              <w:rPr>
                <w:spacing w:val="10"/>
                <w:sz w:val="19"/>
                <w:szCs w:val="19"/>
              </w:rPr>
              <w:t>）基本形成矿业绿色发展格局。加大锶、萤石、</w:t>
            </w:r>
            <w:r>
              <w:rPr>
                <w:spacing w:val="9"/>
                <w:sz w:val="19"/>
                <w:szCs w:val="19"/>
              </w:rPr>
              <w:t>重晶石及砂</w:t>
            </w:r>
            <w:r>
              <w:rPr>
                <w:sz w:val="19"/>
                <w:szCs w:val="19"/>
              </w:rPr>
              <w:t xml:space="preserve"> </w:t>
            </w:r>
            <w:r>
              <w:rPr>
                <w:spacing w:val="7"/>
                <w:sz w:val="19"/>
                <w:szCs w:val="19"/>
              </w:rPr>
              <w:t>石土类矿山整合力度，提升矿业集中度和资源规模化利用水平</w:t>
            </w:r>
            <w:r>
              <w:rPr>
                <w:spacing w:val="6"/>
                <w:sz w:val="19"/>
                <w:szCs w:val="19"/>
              </w:rPr>
              <w:t>。增强</w:t>
            </w:r>
            <w:r>
              <w:rPr>
                <w:sz w:val="19"/>
                <w:szCs w:val="19"/>
              </w:rPr>
              <w:t xml:space="preserve"> </w:t>
            </w:r>
            <w:r>
              <w:rPr>
                <w:spacing w:val="7"/>
                <w:sz w:val="19"/>
                <w:szCs w:val="19"/>
              </w:rPr>
              <w:t>锶、铝土矿、饰面石材等深加工能力，延伸产业链，提升矿产</w:t>
            </w:r>
            <w:r>
              <w:rPr>
                <w:spacing w:val="6"/>
                <w:sz w:val="19"/>
                <w:szCs w:val="19"/>
              </w:rPr>
              <w:t>品附加</w:t>
            </w:r>
            <w:r>
              <w:rPr>
                <w:sz w:val="19"/>
                <w:szCs w:val="19"/>
              </w:rPr>
              <w:t xml:space="preserve"> </w:t>
            </w:r>
            <w:r>
              <w:rPr>
                <w:spacing w:val="7"/>
                <w:sz w:val="19"/>
                <w:szCs w:val="19"/>
              </w:rPr>
              <w:t>值。完善矿产资源节约与综合利用的激励约束机制，稳步有序</w:t>
            </w:r>
            <w:r>
              <w:rPr>
                <w:spacing w:val="6"/>
                <w:sz w:val="19"/>
                <w:szCs w:val="19"/>
              </w:rPr>
              <w:t>推行绿</w:t>
            </w:r>
            <w:r>
              <w:rPr>
                <w:sz w:val="19"/>
                <w:szCs w:val="19"/>
              </w:rPr>
              <w:t xml:space="preserve"> </w:t>
            </w:r>
            <w:r>
              <w:rPr>
                <w:spacing w:val="7"/>
                <w:sz w:val="19"/>
                <w:szCs w:val="19"/>
              </w:rPr>
              <w:t>色勘查、绿色矿山建设，全面落实矿业权人生态保护修复责任</w:t>
            </w:r>
            <w:r>
              <w:rPr>
                <w:spacing w:val="6"/>
                <w:sz w:val="19"/>
                <w:szCs w:val="19"/>
              </w:rPr>
              <w:t>，健全</w:t>
            </w:r>
            <w:r>
              <w:rPr>
                <w:sz w:val="19"/>
                <w:szCs w:val="19"/>
              </w:rPr>
              <w:t xml:space="preserve"> </w:t>
            </w:r>
            <w:r>
              <w:rPr>
                <w:spacing w:val="5"/>
                <w:sz w:val="19"/>
                <w:szCs w:val="19"/>
              </w:rPr>
              <w:t>矿业绿色发展长效机制。到</w:t>
            </w:r>
            <w:r>
              <w:rPr>
                <w:spacing w:val="-36"/>
                <w:sz w:val="19"/>
                <w:szCs w:val="19"/>
              </w:rPr>
              <w:t xml:space="preserve"> </w:t>
            </w:r>
            <w:r>
              <w:rPr>
                <w:rFonts w:ascii="Times New Roman" w:hAnsi="Times New Roman" w:eastAsia="Times New Roman" w:cs="Times New Roman"/>
                <w:spacing w:val="5"/>
                <w:sz w:val="19"/>
                <w:szCs w:val="19"/>
              </w:rPr>
              <w:t>2025</w:t>
            </w:r>
            <w:r>
              <w:rPr>
                <w:rFonts w:ascii="Times New Roman" w:hAnsi="Times New Roman" w:eastAsia="Times New Roman" w:cs="Times New Roman"/>
                <w:spacing w:val="21"/>
                <w:w w:val="101"/>
                <w:sz w:val="19"/>
                <w:szCs w:val="19"/>
              </w:rPr>
              <w:t xml:space="preserve"> </w:t>
            </w:r>
            <w:r>
              <w:rPr>
                <w:spacing w:val="5"/>
                <w:sz w:val="19"/>
                <w:szCs w:val="19"/>
              </w:rPr>
              <w:t>年，全市矿山总数在</w:t>
            </w:r>
            <w:r>
              <w:rPr>
                <w:spacing w:val="-24"/>
                <w:sz w:val="19"/>
                <w:szCs w:val="19"/>
              </w:rPr>
              <w:t xml:space="preserve"> </w:t>
            </w:r>
            <w:r>
              <w:rPr>
                <w:rFonts w:ascii="Times New Roman" w:hAnsi="Times New Roman" w:eastAsia="Times New Roman" w:cs="Times New Roman"/>
                <w:spacing w:val="5"/>
                <w:sz w:val="19"/>
                <w:szCs w:val="19"/>
              </w:rPr>
              <w:t>1000</w:t>
            </w:r>
            <w:r>
              <w:rPr>
                <w:rFonts w:ascii="Times New Roman" w:hAnsi="Times New Roman" w:eastAsia="Times New Roman" w:cs="Times New Roman"/>
                <w:spacing w:val="19"/>
                <w:sz w:val="19"/>
                <w:szCs w:val="19"/>
              </w:rPr>
              <w:t xml:space="preserve"> </w:t>
            </w:r>
            <w:r>
              <w:rPr>
                <w:spacing w:val="5"/>
                <w:sz w:val="19"/>
                <w:szCs w:val="19"/>
              </w:rPr>
              <w:t>个左右，</w:t>
            </w:r>
            <w:r>
              <w:rPr>
                <w:sz w:val="19"/>
                <w:szCs w:val="19"/>
              </w:rPr>
              <w:t xml:space="preserve"> </w:t>
            </w:r>
            <w:r>
              <w:rPr>
                <w:spacing w:val="6"/>
                <w:sz w:val="19"/>
                <w:szCs w:val="19"/>
              </w:rPr>
              <w:t>大中型矿山比例达到</w:t>
            </w:r>
            <w:r>
              <w:rPr>
                <w:spacing w:val="-28"/>
                <w:sz w:val="19"/>
                <w:szCs w:val="19"/>
              </w:rPr>
              <w:t xml:space="preserve"> </w:t>
            </w:r>
            <w:r>
              <w:rPr>
                <w:rFonts w:ascii="Times New Roman" w:hAnsi="Times New Roman" w:eastAsia="Times New Roman" w:cs="Times New Roman"/>
                <w:spacing w:val="6"/>
                <w:sz w:val="19"/>
                <w:szCs w:val="19"/>
              </w:rPr>
              <w:t>60%</w:t>
            </w:r>
            <w:r>
              <w:rPr>
                <w:spacing w:val="6"/>
                <w:sz w:val="19"/>
                <w:szCs w:val="19"/>
              </w:rPr>
              <w:t>。</w:t>
            </w:r>
          </w:p>
          <w:p w14:paraId="6ECDF3BF">
            <w:pPr>
              <w:pStyle w:val="6"/>
              <w:spacing w:before="24" w:line="243" w:lineRule="auto"/>
              <w:ind w:left="108" w:right="50" w:firstLine="405"/>
              <w:rPr>
                <w:sz w:val="19"/>
                <w:szCs w:val="19"/>
              </w:rPr>
            </w:pPr>
            <w:r>
              <w:rPr>
                <w:spacing w:val="10"/>
                <w:sz w:val="19"/>
                <w:szCs w:val="19"/>
              </w:rPr>
              <w:t>（</w:t>
            </w:r>
            <w:r>
              <w:rPr>
                <w:rFonts w:ascii="Times New Roman" w:hAnsi="Times New Roman" w:eastAsia="Times New Roman" w:cs="Times New Roman"/>
                <w:spacing w:val="10"/>
                <w:sz w:val="19"/>
                <w:szCs w:val="19"/>
              </w:rPr>
              <w:t>4</w:t>
            </w:r>
            <w:r>
              <w:rPr>
                <w:spacing w:val="10"/>
                <w:sz w:val="19"/>
                <w:szCs w:val="19"/>
              </w:rPr>
              <w:t>）基本建立现代化的矿产资源管理体系。充分利用大数据、</w:t>
            </w:r>
            <w:r>
              <w:rPr>
                <w:spacing w:val="15"/>
                <w:sz w:val="19"/>
                <w:szCs w:val="19"/>
              </w:rPr>
              <w:t xml:space="preserve"> </w:t>
            </w:r>
            <w:r>
              <w:rPr>
                <w:spacing w:val="7"/>
                <w:sz w:val="19"/>
                <w:szCs w:val="19"/>
              </w:rPr>
              <w:t>智能化等技术手段，落实矿山地质环境治理恢复基金制度，健</w:t>
            </w:r>
            <w:r>
              <w:rPr>
                <w:spacing w:val="6"/>
                <w:sz w:val="19"/>
                <w:szCs w:val="19"/>
              </w:rPr>
              <w:t>全矿业</w:t>
            </w:r>
            <w:r>
              <w:rPr>
                <w:sz w:val="19"/>
                <w:szCs w:val="19"/>
              </w:rPr>
              <w:t xml:space="preserve"> </w:t>
            </w:r>
            <w:r>
              <w:rPr>
                <w:spacing w:val="2"/>
                <w:sz w:val="19"/>
                <w:szCs w:val="19"/>
              </w:rPr>
              <w:t>权人信用约束机制。深化放管服改革，加强矿业权出让前期准备工作，</w:t>
            </w:r>
            <w:r>
              <w:rPr>
                <w:spacing w:val="10"/>
                <w:sz w:val="19"/>
                <w:szCs w:val="19"/>
              </w:rPr>
              <w:t xml:space="preserve"> </w:t>
            </w:r>
            <w:r>
              <w:rPr>
                <w:spacing w:val="7"/>
                <w:sz w:val="19"/>
                <w:szCs w:val="19"/>
              </w:rPr>
              <w:t>推进砂石土类矿产</w:t>
            </w:r>
            <w:r>
              <w:rPr>
                <w:rFonts w:ascii="Times New Roman" w:hAnsi="Times New Roman" w:eastAsia="Times New Roman" w:cs="Times New Roman"/>
                <w:spacing w:val="7"/>
                <w:sz w:val="19"/>
                <w:szCs w:val="19"/>
              </w:rPr>
              <w:t>“</w:t>
            </w:r>
            <w:r>
              <w:rPr>
                <w:spacing w:val="7"/>
                <w:sz w:val="19"/>
                <w:szCs w:val="19"/>
              </w:rPr>
              <w:t>净矿</w:t>
            </w:r>
            <w:r>
              <w:rPr>
                <w:rFonts w:ascii="Times New Roman" w:hAnsi="Times New Roman" w:eastAsia="Times New Roman" w:cs="Times New Roman"/>
                <w:spacing w:val="7"/>
                <w:sz w:val="19"/>
                <w:szCs w:val="19"/>
              </w:rPr>
              <w:t>”</w:t>
            </w:r>
            <w:r>
              <w:rPr>
                <w:spacing w:val="7"/>
                <w:sz w:val="19"/>
                <w:szCs w:val="19"/>
              </w:rPr>
              <w:t>出让。完善矿业权管理制度，提升矿业市场</w:t>
            </w:r>
            <w:r>
              <w:rPr>
                <w:spacing w:val="13"/>
                <w:sz w:val="19"/>
                <w:szCs w:val="19"/>
              </w:rPr>
              <w:t xml:space="preserve"> </w:t>
            </w:r>
            <w:r>
              <w:rPr>
                <w:spacing w:val="7"/>
                <w:sz w:val="19"/>
                <w:szCs w:val="19"/>
              </w:rPr>
              <w:t>活力。严格实施矿业权出让项目计划管理，强化矿产资源勘</w:t>
            </w:r>
            <w:r>
              <w:rPr>
                <w:spacing w:val="6"/>
                <w:sz w:val="19"/>
                <w:szCs w:val="19"/>
              </w:rPr>
              <w:t>查开发利</w:t>
            </w:r>
            <w:r>
              <w:rPr>
                <w:sz w:val="19"/>
                <w:szCs w:val="19"/>
              </w:rPr>
              <w:t xml:space="preserve"> </w:t>
            </w:r>
            <w:r>
              <w:rPr>
                <w:spacing w:val="7"/>
                <w:sz w:val="19"/>
                <w:szCs w:val="19"/>
              </w:rPr>
              <w:t>用与保护的规划管控。</w:t>
            </w:r>
          </w:p>
        </w:tc>
        <w:tc>
          <w:tcPr>
            <w:tcW w:w="3787" w:type="dxa"/>
            <w:tcBorders>
              <w:top w:val="single" w:color="000000" w:sz="10" w:space="0"/>
            </w:tcBorders>
            <w:vAlign w:val="top"/>
          </w:tcPr>
          <w:p w14:paraId="14CF524B">
            <w:pPr>
              <w:rPr>
                <w:rFonts w:ascii="Arial"/>
                <w:sz w:val="21"/>
              </w:rPr>
            </w:pPr>
          </w:p>
        </w:tc>
        <w:tc>
          <w:tcPr>
            <w:tcW w:w="2354" w:type="dxa"/>
            <w:tcBorders>
              <w:top w:val="single" w:color="000000" w:sz="10" w:space="0"/>
              <w:right w:val="single" w:color="000000" w:sz="10" w:space="0"/>
            </w:tcBorders>
            <w:vAlign w:val="top"/>
          </w:tcPr>
          <w:p w14:paraId="27F3544C">
            <w:pPr>
              <w:rPr>
                <w:rFonts w:ascii="Arial"/>
                <w:sz w:val="21"/>
              </w:rPr>
            </w:pPr>
          </w:p>
        </w:tc>
      </w:tr>
      <w:tr w14:paraId="315D2C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2" w:hRule="atLeast"/>
        </w:trPr>
        <w:tc>
          <w:tcPr>
            <w:tcW w:w="993" w:type="dxa"/>
            <w:tcBorders>
              <w:left w:val="single" w:color="000000" w:sz="10" w:space="0"/>
              <w:bottom w:val="single" w:color="000000" w:sz="10" w:space="0"/>
            </w:tcBorders>
            <w:vAlign w:val="top"/>
          </w:tcPr>
          <w:p w14:paraId="5D7F005B">
            <w:pPr>
              <w:spacing w:line="296" w:lineRule="auto"/>
              <w:rPr>
                <w:rFonts w:ascii="Arial"/>
                <w:sz w:val="21"/>
              </w:rPr>
            </w:pPr>
          </w:p>
          <w:p w14:paraId="3749A655">
            <w:pPr>
              <w:spacing w:line="296" w:lineRule="auto"/>
              <w:rPr>
                <w:rFonts w:ascii="Arial"/>
                <w:sz w:val="21"/>
              </w:rPr>
            </w:pPr>
          </w:p>
          <w:p w14:paraId="3C050925">
            <w:pPr>
              <w:spacing w:line="296" w:lineRule="auto"/>
              <w:rPr>
                <w:rFonts w:ascii="Arial"/>
                <w:sz w:val="21"/>
              </w:rPr>
            </w:pPr>
          </w:p>
          <w:p w14:paraId="7A7DCFAE">
            <w:pPr>
              <w:pStyle w:val="6"/>
              <w:spacing w:before="62" w:line="233" w:lineRule="auto"/>
              <w:ind w:left="191"/>
              <w:rPr>
                <w:sz w:val="19"/>
                <w:szCs w:val="19"/>
              </w:rPr>
            </w:pPr>
            <w:r>
              <w:rPr>
                <w:spacing w:val="5"/>
                <w:sz w:val="19"/>
                <w:szCs w:val="19"/>
              </w:rPr>
              <w:t>矿产资</w:t>
            </w:r>
          </w:p>
          <w:p w14:paraId="440B479F">
            <w:pPr>
              <w:pStyle w:val="6"/>
              <w:spacing w:before="19" w:line="231" w:lineRule="auto"/>
              <w:ind w:left="195"/>
              <w:rPr>
                <w:sz w:val="19"/>
                <w:szCs w:val="19"/>
              </w:rPr>
            </w:pPr>
            <w:r>
              <w:rPr>
                <w:spacing w:val="4"/>
                <w:sz w:val="19"/>
                <w:szCs w:val="19"/>
              </w:rPr>
              <w:t>源开发</w:t>
            </w:r>
          </w:p>
          <w:p w14:paraId="3C1F4A64">
            <w:pPr>
              <w:pStyle w:val="6"/>
              <w:spacing w:before="18" w:line="230" w:lineRule="auto"/>
              <w:ind w:left="199"/>
              <w:rPr>
                <w:sz w:val="19"/>
                <w:szCs w:val="19"/>
              </w:rPr>
            </w:pPr>
            <w:r>
              <w:rPr>
                <w:spacing w:val="2"/>
                <w:sz w:val="19"/>
                <w:szCs w:val="19"/>
              </w:rPr>
              <w:t>与保护</w:t>
            </w:r>
          </w:p>
        </w:tc>
        <w:tc>
          <w:tcPr>
            <w:tcW w:w="905" w:type="dxa"/>
            <w:tcBorders>
              <w:bottom w:val="single" w:color="000000" w:sz="10" w:space="0"/>
            </w:tcBorders>
            <w:vAlign w:val="top"/>
          </w:tcPr>
          <w:p w14:paraId="02669BD2">
            <w:pPr>
              <w:spacing w:line="296" w:lineRule="auto"/>
              <w:rPr>
                <w:rFonts w:ascii="Arial"/>
                <w:sz w:val="21"/>
              </w:rPr>
            </w:pPr>
          </w:p>
          <w:p w14:paraId="31AB3402">
            <w:pPr>
              <w:spacing w:line="296" w:lineRule="auto"/>
              <w:rPr>
                <w:rFonts w:ascii="Arial"/>
                <w:sz w:val="21"/>
              </w:rPr>
            </w:pPr>
          </w:p>
          <w:p w14:paraId="695BEF74">
            <w:pPr>
              <w:spacing w:line="296" w:lineRule="auto"/>
              <w:rPr>
                <w:rFonts w:ascii="Arial"/>
                <w:sz w:val="21"/>
              </w:rPr>
            </w:pPr>
          </w:p>
          <w:p w14:paraId="11E7A0BA">
            <w:pPr>
              <w:pStyle w:val="6"/>
              <w:spacing w:before="62" w:line="231" w:lineRule="auto"/>
              <w:ind w:left="152"/>
              <w:rPr>
                <w:sz w:val="19"/>
                <w:szCs w:val="19"/>
              </w:rPr>
            </w:pPr>
            <w:r>
              <w:rPr>
                <w:spacing w:val="5"/>
                <w:sz w:val="19"/>
                <w:szCs w:val="19"/>
              </w:rPr>
              <w:t>开发利</w:t>
            </w:r>
          </w:p>
          <w:p w14:paraId="032B2546">
            <w:pPr>
              <w:pStyle w:val="6"/>
              <w:spacing w:before="21" w:line="250" w:lineRule="auto"/>
              <w:ind w:left="256" w:right="161" w:hanging="104"/>
              <w:rPr>
                <w:sz w:val="19"/>
                <w:szCs w:val="19"/>
              </w:rPr>
            </w:pPr>
            <w:r>
              <w:rPr>
                <w:spacing w:val="5"/>
                <w:sz w:val="19"/>
                <w:szCs w:val="19"/>
              </w:rPr>
              <w:t>用规模</w:t>
            </w:r>
            <w:r>
              <w:rPr>
                <w:sz w:val="19"/>
                <w:szCs w:val="19"/>
              </w:rPr>
              <w:t xml:space="preserve"> 结构</w:t>
            </w:r>
          </w:p>
        </w:tc>
        <w:tc>
          <w:tcPr>
            <w:tcW w:w="6127" w:type="dxa"/>
            <w:tcBorders>
              <w:bottom w:val="single" w:color="000000" w:sz="10" w:space="0"/>
            </w:tcBorders>
            <w:vAlign w:val="top"/>
          </w:tcPr>
          <w:p w14:paraId="73595F90">
            <w:pPr>
              <w:pStyle w:val="6"/>
              <w:spacing w:before="47" w:line="252" w:lineRule="auto"/>
              <w:ind w:left="108" w:right="103" w:firstLine="406"/>
              <w:jc w:val="both"/>
              <w:rPr>
                <w:sz w:val="19"/>
                <w:szCs w:val="19"/>
              </w:rPr>
            </w:pPr>
            <w:r>
              <w:rPr>
                <w:spacing w:val="6"/>
                <w:sz w:val="19"/>
                <w:szCs w:val="19"/>
              </w:rPr>
              <w:t>最低开采规模。严格落实矿山最低开采规模准入，适当提高部分</w:t>
            </w:r>
            <w:r>
              <w:rPr>
                <w:spacing w:val="14"/>
                <w:sz w:val="19"/>
                <w:szCs w:val="19"/>
              </w:rPr>
              <w:t xml:space="preserve"> </w:t>
            </w:r>
            <w:r>
              <w:rPr>
                <w:spacing w:val="7"/>
                <w:sz w:val="19"/>
                <w:szCs w:val="19"/>
              </w:rPr>
              <w:t>矿产开发利用准入门槛，促进资源规模化利用。除确因资源禀</w:t>
            </w:r>
            <w:r>
              <w:rPr>
                <w:spacing w:val="6"/>
                <w:sz w:val="19"/>
                <w:szCs w:val="19"/>
              </w:rPr>
              <w:t>赋、矿</w:t>
            </w:r>
            <w:r>
              <w:rPr>
                <w:sz w:val="19"/>
                <w:szCs w:val="19"/>
              </w:rPr>
              <w:t xml:space="preserve"> </w:t>
            </w:r>
            <w:r>
              <w:rPr>
                <w:spacing w:val="7"/>
                <w:sz w:val="19"/>
                <w:szCs w:val="19"/>
              </w:rPr>
              <w:t>床规模、开采条件等客观条件限制外，新设、已建矿山整合</w:t>
            </w:r>
            <w:r>
              <w:rPr>
                <w:spacing w:val="6"/>
                <w:sz w:val="19"/>
                <w:szCs w:val="19"/>
              </w:rPr>
              <w:t>和扩大矿</w:t>
            </w:r>
            <w:r>
              <w:rPr>
                <w:sz w:val="19"/>
                <w:szCs w:val="19"/>
              </w:rPr>
              <w:t xml:space="preserve"> </w:t>
            </w:r>
            <w:r>
              <w:rPr>
                <w:spacing w:val="7"/>
                <w:sz w:val="19"/>
                <w:szCs w:val="19"/>
              </w:rPr>
              <w:t>区范围增划资源矿山生产规模原则上应达到中型及以上。水泥</w:t>
            </w:r>
            <w:r>
              <w:rPr>
                <w:spacing w:val="6"/>
                <w:sz w:val="19"/>
                <w:szCs w:val="19"/>
              </w:rPr>
              <w:t>用灰岩</w:t>
            </w:r>
            <w:r>
              <w:rPr>
                <w:sz w:val="19"/>
                <w:szCs w:val="19"/>
              </w:rPr>
              <w:t xml:space="preserve"> </w:t>
            </w:r>
            <w:r>
              <w:rPr>
                <w:spacing w:val="9"/>
                <w:sz w:val="19"/>
                <w:szCs w:val="19"/>
              </w:rPr>
              <w:t>新设矿山生产规模不低于</w:t>
            </w:r>
            <w:r>
              <w:rPr>
                <w:spacing w:val="-2"/>
                <w:sz w:val="19"/>
                <w:szCs w:val="19"/>
              </w:rPr>
              <w:t xml:space="preserve"> </w:t>
            </w:r>
            <w:r>
              <w:rPr>
                <w:rFonts w:ascii="Times New Roman" w:hAnsi="Times New Roman" w:eastAsia="Times New Roman" w:cs="Times New Roman"/>
                <w:spacing w:val="9"/>
                <w:sz w:val="19"/>
                <w:szCs w:val="19"/>
              </w:rPr>
              <w:t>100</w:t>
            </w:r>
            <w:r>
              <w:rPr>
                <w:rFonts w:ascii="Times New Roman" w:hAnsi="Times New Roman" w:eastAsia="Times New Roman" w:cs="Times New Roman"/>
                <w:spacing w:val="19"/>
                <w:w w:val="101"/>
                <w:sz w:val="19"/>
                <w:szCs w:val="19"/>
              </w:rPr>
              <w:t xml:space="preserve"> </w:t>
            </w:r>
            <w:r>
              <w:rPr>
                <w:spacing w:val="9"/>
                <w:sz w:val="19"/>
                <w:szCs w:val="19"/>
              </w:rPr>
              <w:t>万吨</w:t>
            </w:r>
            <w:r>
              <w:rPr>
                <w:rFonts w:ascii="Times New Roman" w:hAnsi="Times New Roman" w:eastAsia="Times New Roman" w:cs="Times New Roman"/>
                <w:spacing w:val="9"/>
                <w:sz w:val="19"/>
                <w:szCs w:val="19"/>
              </w:rPr>
              <w:t>/</w:t>
            </w:r>
            <w:r>
              <w:rPr>
                <w:spacing w:val="9"/>
                <w:sz w:val="19"/>
                <w:szCs w:val="19"/>
              </w:rPr>
              <w:t>年，整合及增划资源矿山生产规</w:t>
            </w:r>
            <w:r>
              <w:rPr>
                <w:sz w:val="19"/>
                <w:szCs w:val="19"/>
              </w:rPr>
              <w:t xml:space="preserve"> </w:t>
            </w:r>
            <w:r>
              <w:rPr>
                <w:spacing w:val="7"/>
                <w:sz w:val="19"/>
                <w:szCs w:val="19"/>
              </w:rPr>
              <w:t>模不低于</w:t>
            </w:r>
            <w:r>
              <w:rPr>
                <w:spacing w:val="-35"/>
                <w:sz w:val="19"/>
                <w:szCs w:val="19"/>
              </w:rPr>
              <w:t xml:space="preserve"> </w:t>
            </w:r>
            <w:r>
              <w:rPr>
                <w:rFonts w:ascii="Times New Roman" w:hAnsi="Times New Roman" w:eastAsia="Times New Roman" w:cs="Times New Roman"/>
                <w:spacing w:val="7"/>
                <w:sz w:val="19"/>
                <w:szCs w:val="19"/>
              </w:rPr>
              <w:t>50</w:t>
            </w:r>
            <w:r>
              <w:rPr>
                <w:rFonts w:ascii="Times New Roman" w:hAnsi="Times New Roman" w:eastAsia="Times New Roman" w:cs="Times New Roman"/>
                <w:spacing w:val="19"/>
                <w:w w:val="101"/>
                <w:sz w:val="19"/>
                <w:szCs w:val="19"/>
              </w:rPr>
              <w:t xml:space="preserve"> </w:t>
            </w:r>
            <w:r>
              <w:rPr>
                <w:spacing w:val="7"/>
                <w:sz w:val="19"/>
                <w:szCs w:val="19"/>
              </w:rPr>
              <w:t>万吨</w:t>
            </w:r>
            <w:r>
              <w:rPr>
                <w:rFonts w:ascii="Times New Roman" w:hAnsi="Times New Roman" w:eastAsia="Times New Roman" w:cs="Times New Roman"/>
                <w:spacing w:val="7"/>
                <w:sz w:val="19"/>
                <w:szCs w:val="19"/>
              </w:rPr>
              <w:t>/</w:t>
            </w:r>
            <w:r>
              <w:rPr>
                <w:spacing w:val="7"/>
                <w:sz w:val="19"/>
                <w:szCs w:val="19"/>
              </w:rPr>
              <w:t>年。渝东北、渝东南各区县建筑石料用灰岩矿山生</w:t>
            </w:r>
            <w:r>
              <w:rPr>
                <w:sz w:val="19"/>
                <w:szCs w:val="19"/>
              </w:rPr>
              <w:t xml:space="preserve"> </w:t>
            </w:r>
            <w:r>
              <w:rPr>
                <w:spacing w:val="5"/>
                <w:sz w:val="19"/>
                <w:szCs w:val="19"/>
              </w:rPr>
              <w:t>产规模不低于</w:t>
            </w:r>
            <w:r>
              <w:rPr>
                <w:spacing w:val="-36"/>
                <w:sz w:val="19"/>
                <w:szCs w:val="19"/>
              </w:rPr>
              <w:t xml:space="preserve"> </w:t>
            </w:r>
            <w:r>
              <w:rPr>
                <w:rFonts w:ascii="Times New Roman" w:hAnsi="Times New Roman" w:eastAsia="Times New Roman" w:cs="Times New Roman"/>
                <w:spacing w:val="5"/>
                <w:sz w:val="19"/>
                <w:szCs w:val="19"/>
              </w:rPr>
              <w:t>20</w:t>
            </w:r>
            <w:r>
              <w:rPr>
                <w:rFonts w:ascii="Times New Roman" w:hAnsi="Times New Roman" w:eastAsia="Times New Roman" w:cs="Times New Roman"/>
                <w:spacing w:val="17"/>
                <w:sz w:val="19"/>
                <w:szCs w:val="19"/>
              </w:rPr>
              <w:t xml:space="preserve"> </w:t>
            </w:r>
            <w:r>
              <w:rPr>
                <w:spacing w:val="5"/>
                <w:sz w:val="19"/>
                <w:szCs w:val="19"/>
              </w:rPr>
              <w:t>万吨</w:t>
            </w:r>
            <w:r>
              <w:rPr>
                <w:rFonts w:ascii="Times New Roman" w:hAnsi="Times New Roman" w:eastAsia="Times New Roman" w:cs="Times New Roman"/>
                <w:spacing w:val="5"/>
                <w:sz w:val="19"/>
                <w:szCs w:val="19"/>
              </w:rPr>
              <w:t>/</w:t>
            </w:r>
            <w:r>
              <w:rPr>
                <w:spacing w:val="5"/>
                <w:sz w:val="19"/>
                <w:szCs w:val="19"/>
              </w:rPr>
              <w:t>年。</w:t>
            </w:r>
          </w:p>
          <w:p w14:paraId="32C76938">
            <w:pPr>
              <w:pStyle w:val="6"/>
              <w:spacing w:line="249" w:lineRule="auto"/>
              <w:ind w:left="109" w:right="105" w:firstLine="400"/>
              <w:jc w:val="both"/>
              <w:rPr>
                <w:sz w:val="19"/>
                <w:szCs w:val="19"/>
              </w:rPr>
            </w:pPr>
            <w:r>
              <w:rPr>
                <w:spacing w:val="6"/>
                <w:sz w:val="19"/>
                <w:szCs w:val="19"/>
              </w:rPr>
              <w:t>矿山规模结构。鼓励和引导矿业企业重组改造、转型升级，培育</w:t>
            </w:r>
            <w:r>
              <w:rPr>
                <w:spacing w:val="17"/>
                <w:sz w:val="19"/>
                <w:szCs w:val="19"/>
              </w:rPr>
              <w:t xml:space="preserve"> </w:t>
            </w:r>
            <w:r>
              <w:rPr>
                <w:spacing w:val="7"/>
                <w:sz w:val="19"/>
                <w:szCs w:val="19"/>
              </w:rPr>
              <w:t>集勘查、开发、加工、科研于一体的大型矿业集团，有序</w:t>
            </w:r>
            <w:r>
              <w:rPr>
                <w:spacing w:val="6"/>
                <w:sz w:val="19"/>
                <w:szCs w:val="19"/>
              </w:rPr>
              <w:t>推进小型矿</w:t>
            </w:r>
            <w:r>
              <w:rPr>
                <w:sz w:val="19"/>
                <w:szCs w:val="19"/>
              </w:rPr>
              <w:t xml:space="preserve"> </w:t>
            </w:r>
            <w:r>
              <w:rPr>
                <w:spacing w:val="9"/>
                <w:sz w:val="19"/>
                <w:szCs w:val="19"/>
              </w:rPr>
              <w:t>山的整合，促进资源的规模化利用。到</w:t>
            </w:r>
            <w:r>
              <w:rPr>
                <w:spacing w:val="-40"/>
                <w:sz w:val="19"/>
                <w:szCs w:val="19"/>
              </w:rPr>
              <w:t xml:space="preserve"> </w:t>
            </w:r>
            <w:r>
              <w:rPr>
                <w:rFonts w:ascii="Times New Roman" w:hAnsi="Times New Roman" w:eastAsia="Times New Roman" w:cs="Times New Roman"/>
                <w:spacing w:val="9"/>
                <w:sz w:val="19"/>
                <w:szCs w:val="19"/>
              </w:rPr>
              <w:t>2025</w:t>
            </w:r>
            <w:r>
              <w:rPr>
                <w:rFonts w:ascii="Times New Roman" w:hAnsi="Times New Roman" w:eastAsia="Times New Roman" w:cs="Times New Roman"/>
                <w:spacing w:val="22"/>
                <w:sz w:val="19"/>
                <w:szCs w:val="19"/>
              </w:rPr>
              <w:t xml:space="preserve"> </w:t>
            </w:r>
            <w:r>
              <w:rPr>
                <w:spacing w:val="9"/>
                <w:sz w:val="19"/>
                <w:szCs w:val="19"/>
              </w:rPr>
              <w:t>年，</w:t>
            </w:r>
            <w:r>
              <w:rPr>
                <w:spacing w:val="8"/>
                <w:sz w:val="19"/>
                <w:szCs w:val="19"/>
              </w:rPr>
              <w:t>全市大中型矿山比</w:t>
            </w:r>
          </w:p>
        </w:tc>
        <w:tc>
          <w:tcPr>
            <w:tcW w:w="3787" w:type="dxa"/>
            <w:tcBorders>
              <w:bottom w:val="single" w:color="000000" w:sz="10" w:space="0"/>
            </w:tcBorders>
            <w:vAlign w:val="top"/>
          </w:tcPr>
          <w:p w14:paraId="73E72859">
            <w:pPr>
              <w:spacing w:line="250" w:lineRule="auto"/>
              <w:rPr>
                <w:rFonts w:ascii="Arial"/>
                <w:sz w:val="21"/>
              </w:rPr>
            </w:pPr>
          </w:p>
          <w:p w14:paraId="00AFED0B">
            <w:pPr>
              <w:spacing w:line="251" w:lineRule="auto"/>
              <w:rPr>
                <w:rFonts w:ascii="Arial"/>
                <w:sz w:val="21"/>
              </w:rPr>
            </w:pPr>
          </w:p>
          <w:p w14:paraId="55C3C36B">
            <w:pPr>
              <w:pStyle w:val="6"/>
              <w:spacing w:before="62" w:line="252" w:lineRule="auto"/>
              <w:ind w:left="120" w:right="96" w:firstLine="399"/>
              <w:jc w:val="both"/>
              <w:rPr>
                <w:sz w:val="19"/>
                <w:szCs w:val="19"/>
              </w:rPr>
            </w:pPr>
            <w:r>
              <w:rPr>
                <w:spacing w:val="5"/>
                <w:sz w:val="19"/>
                <w:szCs w:val="19"/>
              </w:rPr>
              <w:t>本次评价的</w:t>
            </w:r>
            <w:r>
              <w:rPr>
                <w:spacing w:val="-32"/>
                <w:sz w:val="19"/>
                <w:szCs w:val="19"/>
              </w:rPr>
              <w:t xml:space="preserve"> </w:t>
            </w:r>
            <w:r>
              <w:rPr>
                <w:rFonts w:ascii="Times New Roman" w:hAnsi="Times New Roman" w:eastAsia="Times New Roman" w:cs="Times New Roman"/>
                <w:spacing w:val="5"/>
                <w:sz w:val="19"/>
                <w:szCs w:val="19"/>
              </w:rPr>
              <w:t xml:space="preserve">3 </w:t>
            </w:r>
            <w:r>
              <w:rPr>
                <w:spacing w:val="5"/>
                <w:sz w:val="19"/>
                <w:szCs w:val="19"/>
              </w:rPr>
              <w:t>个勘查区块和</w:t>
            </w:r>
            <w:r>
              <w:rPr>
                <w:spacing w:val="-29"/>
                <w:sz w:val="19"/>
                <w:szCs w:val="19"/>
              </w:rPr>
              <w:t xml:space="preserve"> </w:t>
            </w:r>
            <w:r>
              <w:rPr>
                <w:rFonts w:ascii="Times New Roman" w:hAnsi="Times New Roman" w:eastAsia="Times New Roman" w:cs="Times New Roman"/>
                <w:spacing w:val="5"/>
                <w:sz w:val="19"/>
                <w:szCs w:val="19"/>
              </w:rPr>
              <w:t xml:space="preserve">1 </w:t>
            </w:r>
            <w:r>
              <w:rPr>
                <w:spacing w:val="5"/>
                <w:sz w:val="19"/>
                <w:szCs w:val="19"/>
              </w:rPr>
              <w:t>个开采</w:t>
            </w:r>
            <w:r>
              <w:rPr>
                <w:sz w:val="19"/>
                <w:szCs w:val="19"/>
              </w:rPr>
              <w:t xml:space="preserve"> </w:t>
            </w:r>
            <w:r>
              <w:rPr>
                <w:spacing w:val="7"/>
                <w:sz w:val="19"/>
                <w:szCs w:val="19"/>
              </w:rPr>
              <w:t>区块，为铝土矿、铸型用砂岩和饰面石材</w:t>
            </w:r>
            <w:r>
              <w:rPr>
                <w:spacing w:val="15"/>
                <w:sz w:val="19"/>
                <w:szCs w:val="19"/>
              </w:rPr>
              <w:t xml:space="preserve"> </w:t>
            </w:r>
            <w:r>
              <w:rPr>
                <w:spacing w:val="7"/>
                <w:sz w:val="19"/>
                <w:szCs w:val="19"/>
              </w:rPr>
              <w:t>用灰岩。铝土矿最低开采规模为</w:t>
            </w:r>
            <w:r>
              <w:rPr>
                <w:spacing w:val="-13"/>
                <w:sz w:val="19"/>
                <w:szCs w:val="19"/>
              </w:rPr>
              <w:t xml:space="preserve"> </w:t>
            </w:r>
            <w:r>
              <w:rPr>
                <w:rFonts w:ascii="Times New Roman" w:hAnsi="Times New Roman" w:eastAsia="Times New Roman" w:cs="Times New Roman"/>
                <w:spacing w:val="7"/>
                <w:sz w:val="19"/>
                <w:szCs w:val="19"/>
              </w:rPr>
              <w:t>10</w:t>
            </w:r>
            <w:r>
              <w:rPr>
                <w:rFonts w:ascii="Times New Roman" w:hAnsi="Times New Roman" w:eastAsia="Times New Roman" w:cs="Times New Roman"/>
                <w:spacing w:val="17"/>
                <w:sz w:val="19"/>
                <w:szCs w:val="19"/>
              </w:rPr>
              <w:t xml:space="preserve"> </w:t>
            </w:r>
            <w:r>
              <w:rPr>
                <w:spacing w:val="7"/>
                <w:sz w:val="19"/>
                <w:szCs w:val="19"/>
              </w:rPr>
              <w:t>万吨</w:t>
            </w:r>
            <w:r>
              <w:rPr>
                <w:rFonts w:ascii="Times New Roman" w:hAnsi="Times New Roman" w:eastAsia="Times New Roman" w:cs="Times New Roman"/>
                <w:spacing w:val="7"/>
                <w:sz w:val="19"/>
                <w:szCs w:val="19"/>
              </w:rPr>
              <w:t>/</w:t>
            </w:r>
            <w:r>
              <w:rPr>
                <w:rFonts w:ascii="Times New Roman" w:hAnsi="Times New Roman" w:eastAsia="Times New Roman" w:cs="Times New Roman"/>
                <w:sz w:val="19"/>
                <w:szCs w:val="19"/>
              </w:rPr>
              <w:t xml:space="preserve"> </w:t>
            </w:r>
            <w:r>
              <w:rPr>
                <w:spacing w:val="7"/>
                <w:sz w:val="19"/>
                <w:szCs w:val="19"/>
              </w:rPr>
              <w:t>年，铸型用砂岩新建矿山不低于</w:t>
            </w:r>
            <w:r>
              <w:rPr>
                <w:spacing w:val="-13"/>
                <w:sz w:val="19"/>
                <w:szCs w:val="19"/>
              </w:rPr>
              <w:t xml:space="preserve"> </w:t>
            </w:r>
            <w:r>
              <w:rPr>
                <w:rFonts w:ascii="Times New Roman" w:hAnsi="Times New Roman" w:eastAsia="Times New Roman" w:cs="Times New Roman"/>
                <w:spacing w:val="7"/>
                <w:sz w:val="19"/>
                <w:szCs w:val="19"/>
              </w:rPr>
              <w:t>10</w:t>
            </w:r>
            <w:r>
              <w:rPr>
                <w:rFonts w:ascii="Times New Roman" w:hAnsi="Times New Roman" w:eastAsia="Times New Roman" w:cs="Times New Roman"/>
                <w:spacing w:val="17"/>
                <w:sz w:val="19"/>
                <w:szCs w:val="19"/>
              </w:rPr>
              <w:t xml:space="preserve"> </w:t>
            </w:r>
            <w:r>
              <w:rPr>
                <w:spacing w:val="7"/>
                <w:sz w:val="19"/>
                <w:szCs w:val="19"/>
              </w:rPr>
              <w:t>万吨</w:t>
            </w:r>
            <w:r>
              <w:rPr>
                <w:rFonts w:ascii="Times New Roman" w:hAnsi="Times New Roman" w:eastAsia="Times New Roman" w:cs="Times New Roman"/>
                <w:spacing w:val="7"/>
                <w:sz w:val="19"/>
                <w:szCs w:val="19"/>
              </w:rPr>
              <w:t>/</w:t>
            </w:r>
            <w:r>
              <w:rPr>
                <w:rFonts w:ascii="Times New Roman" w:hAnsi="Times New Roman" w:eastAsia="Times New Roman" w:cs="Times New Roman"/>
                <w:sz w:val="19"/>
                <w:szCs w:val="19"/>
              </w:rPr>
              <w:t xml:space="preserve"> </w:t>
            </w:r>
            <w:r>
              <w:rPr>
                <w:spacing w:val="5"/>
                <w:sz w:val="19"/>
                <w:szCs w:val="19"/>
              </w:rPr>
              <w:t>年，饰面用石材灰岩新建矿山不低于</w:t>
            </w:r>
            <w:r>
              <w:rPr>
                <w:spacing w:val="-13"/>
                <w:sz w:val="19"/>
                <w:szCs w:val="19"/>
              </w:rPr>
              <w:t xml:space="preserve"> </w:t>
            </w:r>
            <w:r>
              <w:rPr>
                <w:rFonts w:ascii="Times New Roman" w:hAnsi="Times New Roman" w:eastAsia="Times New Roman" w:cs="Times New Roman"/>
                <w:spacing w:val="5"/>
                <w:sz w:val="19"/>
                <w:szCs w:val="19"/>
              </w:rPr>
              <w:t>1</w:t>
            </w:r>
            <w:r>
              <w:rPr>
                <w:rFonts w:ascii="Times New Roman" w:hAnsi="Times New Roman" w:eastAsia="Times New Roman" w:cs="Times New Roman"/>
                <w:spacing w:val="17"/>
                <w:sz w:val="19"/>
                <w:szCs w:val="19"/>
              </w:rPr>
              <w:t xml:space="preserve"> </w:t>
            </w:r>
            <w:r>
              <w:rPr>
                <w:spacing w:val="5"/>
                <w:sz w:val="19"/>
                <w:szCs w:val="19"/>
              </w:rPr>
              <w:t>万</w:t>
            </w:r>
            <w:r>
              <w:rPr>
                <w:sz w:val="19"/>
                <w:szCs w:val="19"/>
              </w:rPr>
              <w:t xml:space="preserve"> </w:t>
            </w:r>
            <w:r>
              <w:rPr>
                <w:spacing w:val="4"/>
                <w:sz w:val="19"/>
                <w:szCs w:val="19"/>
              </w:rPr>
              <w:t>立方米</w:t>
            </w:r>
            <w:r>
              <w:rPr>
                <w:rFonts w:ascii="Times New Roman" w:hAnsi="Times New Roman" w:eastAsia="Times New Roman" w:cs="Times New Roman"/>
                <w:spacing w:val="4"/>
                <w:sz w:val="19"/>
                <w:szCs w:val="19"/>
              </w:rPr>
              <w:t>/</w:t>
            </w:r>
            <w:r>
              <w:rPr>
                <w:spacing w:val="4"/>
                <w:sz w:val="19"/>
                <w:szCs w:val="19"/>
              </w:rPr>
              <w:t>年。</w:t>
            </w:r>
          </w:p>
        </w:tc>
        <w:tc>
          <w:tcPr>
            <w:tcW w:w="2354" w:type="dxa"/>
            <w:tcBorders>
              <w:bottom w:val="single" w:color="000000" w:sz="10" w:space="0"/>
              <w:right w:val="single" w:color="000000" w:sz="10" w:space="0"/>
            </w:tcBorders>
            <w:vAlign w:val="top"/>
          </w:tcPr>
          <w:p w14:paraId="1404827E">
            <w:pPr>
              <w:spacing w:line="253" w:lineRule="auto"/>
              <w:rPr>
                <w:rFonts w:ascii="Arial"/>
                <w:sz w:val="21"/>
              </w:rPr>
            </w:pPr>
          </w:p>
          <w:p w14:paraId="6C7D16DB">
            <w:pPr>
              <w:spacing w:line="253" w:lineRule="auto"/>
              <w:rPr>
                <w:rFonts w:ascii="Arial"/>
                <w:sz w:val="21"/>
              </w:rPr>
            </w:pPr>
          </w:p>
          <w:p w14:paraId="0C467456">
            <w:pPr>
              <w:spacing w:line="253" w:lineRule="auto"/>
              <w:rPr>
                <w:rFonts w:ascii="Arial"/>
                <w:sz w:val="21"/>
              </w:rPr>
            </w:pPr>
          </w:p>
          <w:p w14:paraId="7DD696AD">
            <w:pPr>
              <w:pStyle w:val="6"/>
              <w:spacing w:before="61" w:line="252" w:lineRule="auto"/>
              <w:ind w:left="127" w:right="97"/>
              <w:jc w:val="both"/>
              <w:rPr>
                <w:sz w:val="19"/>
                <w:szCs w:val="19"/>
              </w:rPr>
            </w:pPr>
            <w:r>
              <w:rPr>
                <w:spacing w:val="21"/>
                <w:sz w:val="19"/>
                <w:szCs w:val="19"/>
              </w:rPr>
              <w:t>规划调整的最低开采规</w:t>
            </w:r>
            <w:r>
              <w:rPr>
                <w:spacing w:val="2"/>
                <w:sz w:val="19"/>
                <w:szCs w:val="19"/>
              </w:rPr>
              <w:t xml:space="preserve"> 模与《重庆市矿产资源总</w:t>
            </w:r>
            <w:r>
              <w:rPr>
                <w:sz w:val="19"/>
                <w:szCs w:val="19"/>
              </w:rPr>
              <w:t xml:space="preserve"> </w:t>
            </w:r>
            <w:r>
              <w:rPr>
                <w:spacing w:val="1"/>
                <w:sz w:val="19"/>
                <w:szCs w:val="19"/>
              </w:rPr>
              <w:t>体规划</w:t>
            </w:r>
            <w:r>
              <w:rPr>
                <w:spacing w:val="-28"/>
                <w:sz w:val="19"/>
                <w:szCs w:val="19"/>
              </w:rPr>
              <w:t xml:space="preserve"> </w:t>
            </w:r>
            <w:r>
              <w:rPr>
                <w:rFonts w:ascii="Times New Roman" w:hAnsi="Times New Roman" w:eastAsia="Times New Roman" w:cs="Times New Roman"/>
                <w:spacing w:val="1"/>
                <w:sz w:val="19"/>
                <w:szCs w:val="19"/>
              </w:rPr>
              <w:t>2021-2025</w:t>
            </w:r>
            <w:r>
              <w:rPr>
                <w:rFonts w:ascii="Times New Roman" w:hAnsi="Times New Roman" w:eastAsia="Times New Roman" w:cs="Times New Roman"/>
                <w:spacing w:val="19"/>
                <w:w w:val="101"/>
                <w:sz w:val="19"/>
                <w:szCs w:val="19"/>
              </w:rPr>
              <w:t xml:space="preserve"> </w:t>
            </w:r>
            <w:r>
              <w:rPr>
                <w:spacing w:val="1"/>
                <w:sz w:val="19"/>
                <w:szCs w:val="19"/>
              </w:rPr>
              <w:t>年》相</w:t>
            </w:r>
            <w:r>
              <w:rPr>
                <w:sz w:val="19"/>
                <w:szCs w:val="19"/>
              </w:rPr>
              <w:t xml:space="preserve"> </w:t>
            </w:r>
            <w:r>
              <w:rPr>
                <w:spacing w:val="1"/>
                <w:sz w:val="19"/>
                <w:szCs w:val="19"/>
              </w:rPr>
              <w:t>符合。</w:t>
            </w:r>
          </w:p>
        </w:tc>
      </w:tr>
    </w:tbl>
    <w:p w14:paraId="2EDC6862">
      <w:pPr>
        <w:pStyle w:val="2"/>
        <w:spacing w:line="192" w:lineRule="exact"/>
        <w:rPr>
          <w:sz w:val="16"/>
        </w:rPr>
      </w:pPr>
    </w:p>
    <w:p w14:paraId="70B4EFC6">
      <w:pPr>
        <w:spacing w:line="192" w:lineRule="exact"/>
        <w:rPr>
          <w:sz w:val="16"/>
          <w:szCs w:val="16"/>
        </w:rPr>
        <w:sectPr>
          <w:footerReference r:id="rId99" w:type="default"/>
          <w:pgSz w:w="16839" w:h="11906"/>
          <w:pgMar w:top="1116" w:right="1323" w:bottom="1480" w:left="1322" w:header="683" w:footer="1318" w:gutter="0"/>
          <w:cols w:space="720" w:num="1"/>
        </w:sectPr>
      </w:pPr>
    </w:p>
    <w:p w14:paraId="60503CDD">
      <w:pPr>
        <w:spacing w:before="229"/>
      </w:pPr>
      <w:r>
        <w:pict>
          <v:shape id="_x0000_s1026" o:spid="_x0000_s1026" style="position:absolute;left:0pt;margin-left:167.65pt;margin-top:232.2pt;height:0.5pt;width:293.95pt;mso-position-horizontal-relative:page;mso-position-vertical-relative:page;z-index:-251656192;mso-width-relative:page;mso-height-relative:page;" filled="f" stroked="t" coordsize="5879,10" o:allowincell="f" path="m0,4l5878,4e">
            <v:fill on="f" focussize="0,0"/>
            <v:stroke weight="0.48pt" color="#000000" miterlimit="2" joinstyle="bevel"/>
            <v:imagedata o:title=""/>
            <o:lock v:ext="edit"/>
          </v:shape>
        </w:pict>
      </w:r>
    </w:p>
    <w:tbl>
      <w:tblPr>
        <w:tblStyle w:val="5"/>
        <w:tblW w:w="14166"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2"/>
        <w:gridCol w:w="905"/>
        <w:gridCol w:w="134"/>
        <w:gridCol w:w="1033"/>
        <w:gridCol w:w="670"/>
        <w:gridCol w:w="670"/>
        <w:gridCol w:w="670"/>
        <w:gridCol w:w="2816"/>
        <w:gridCol w:w="135"/>
        <w:gridCol w:w="3787"/>
        <w:gridCol w:w="2354"/>
      </w:tblGrid>
      <w:tr w14:paraId="39D335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3" w:hRule="atLeast"/>
        </w:trPr>
        <w:tc>
          <w:tcPr>
            <w:tcW w:w="992" w:type="dxa"/>
            <w:vMerge w:val="restart"/>
            <w:tcBorders>
              <w:top w:val="single" w:color="000000" w:sz="10" w:space="0"/>
              <w:left w:val="single" w:color="000000" w:sz="10" w:space="0"/>
              <w:bottom w:val="nil"/>
            </w:tcBorders>
            <w:vAlign w:val="top"/>
          </w:tcPr>
          <w:p w14:paraId="6F6C8E17">
            <w:pPr>
              <w:rPr>
                <w:rFonts w:ascii="Arial"/>
                <w:sz w:val="21"/>
              </w:rPr>
            </w:pPr>
          </w:p>
        </w:tc>
        <w:tc>
          <w:tcPr>
            <w:tcW w:w="905" w:type="dxa"/>
            <w:vMerge w:val="restart"/>
            <w:tcBorders>
              <w:top w:val="single" w:color="000000" w:sz="10" w:space="0"/>
              <w:bottom w:val="nil"/>
            </w:tcBorders>
            <w:vAlign w:val="top"/>
          </w:tcPr>
          <w:p w14:paraId="686C97B1">
            <w:pPr>
              <w:rPr>
                <w:rFonts w:ascii="Arial"/>
                <w:sz w:val="21"/>
              </w:rPr>
            </w:pPr>
          </w:p>
        </w:tc>
        <w:tc>
          <w:tcPr>
            <w:tcW w:w="6128" w:type="dxa"/>
            <w:gridSpan w:val="7"/>
            <w:tcBorders>
              <w:top w:val="single" w:color="000000" w:sz="10" w:space="0"/>
            </w:tcBorders>
            <w:vAlign w:val="top"/>
          </w:tcPr>
          <w:p w14:paraId="3AADABB5">
            <w:pPr>
              <w:pStyle w:val="6"/>
              <w:spacing w:before="15" w:line="232" w:lineRule="auto"/>
              <w:ind w:left="109"/>
              <w:rPr>
                <w:sz w:val="19"/>
                <w:szCs w:val="19"/>
              </w:rPr>
            </w:pPr>
            <w:r>
              <w:rPr>
                <w:spacing w:val="4"/>
                <w:sz w:val="19"/>
                <w:szCs w:val="19"/>
              </w:rPr>
              <w:t>例不低于</w:t>
            </w:r>
            <w:r>
              <w:rPr>
                <w:spacing w:val="-32"/>
                <w:sz w:val="19"/>
                <w:szCs w:val="19"/>
              </w:rPr>
              <w:t xml:space="preserve"> </w:t>
            </w:r>
            <w:r>
              <w:rPr>
                <w:rFonts w:ascii="Times New Roman" w:hAnsi="Times New Roman" w:eastAsia="Times New Roman" w:cs="Times New Roman"/>
                <w:spacing w:val="4"/>
                <w:sz w:val="19"/>
                <w:szCs w:val="19"/>
              </w:rPr>
              <w:t>60%</w:t>
            </w:r>
            <w:r>
              <w:rPr>
                <w:spacing w:val="4"/>
                <w:sz w:val="19"/>
                <w:szCs w:val="19"/>
              </w:rPr>
              <w:t>。</w:t>
            </w:r>
          </w:p>
          <w:p w14:paraId="700A344F">
            <w:pPr>
              <w:pStyle w:val="6"/>
              <w:spacing w:before="250" w:line="212" w:lineRule="auto"/>
              <w:ind w:left="876"/>
              <w:rPr>
                <w:sz w:val="19"/>
                <w:szCs w:val="19"/>
              </w:rPr>
            </w:pPr>
            <w:r>
              <w:rPr>
                <w:spacing w:val="8"/>
                <w:sz w:val="19"/>
                <w:szCs w:val="19"/>
              </w:rPr>
              <w:t>重庆市重点矿种矿山最低开采规模规划表（摘录）</w:t>
            </w:r>
          </w:p>
        </w:tc>
        <w:tc>
          <w:tcPr>
            <w:tcW w:w="3787" w:type="dxa"/>
            <w:vMerge w:val="restart"/>
            <w:tcBorders>
              <w:top w:val="single" w:color="000000" w:sz="10" w:space="0"/>
              <w:bottom w:val="nil"/>
            </w:tcBorders>
            <w:vAlign w:val="top"/>
          </w:tcPr>
          <w:p w14:paraId="35DA8DC2">
            <w:pPr>
              <w:rPr>
                <w:rFonts w:ascii="Arial"/>
                <w:sz w:val="21"/>
              </w:rPr>
            </w:pPr>
          </w:p>
        </w:tc>
        <w:tc>
          <w:tcPr>
            <w:tcW w:w="2354" w:type="dxa"/>
            <w:vMerge w:val="restart"/>
            <w:tcBorders>
              <w:top w:val="single" w:color="000000" w:sz="10" w:space="0"/>
              <w:bottom w:val="nil"/>
              <w:right w:val="single" w:color="000000" w:sz="10" w:space="0"/>
            </w:tcBorders>
            <w:vAlign w:val="top"/>
          </w:tcPr>
          <w:p w14:paraId="147E0D75">
            <w:pPr>
              <w:rPr>
                <w:rFonts w:ascii="Arial"/>
                <w:sz w:val="21"/>
              </w:rPr>
            </w:pPr>
          </w:p>
        </w:tc>
      </w:tr>
      <w:tr w14:paraId="2B2A1D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992" w:type="dxa"/>
            <w:vMerge w:val="continue"/>
            <w:tcBorders>
              <w:top w:val="nil"/>
              <w:left w:val="single" w:color="000000" w:sz="10" w:space="0"/>
              <w:bottom w:val="nil"/>
            </w:tcBorders>
            <w:vAlign w:val="top"/>
          </w:tcPr>
          <w:p w14:paraId="18C463BA">
            <w:pPr>
              <w:rPr>
                <w:rFonts w:ascii="Arial"/>
                <w:sz w:val="21"/>
              </w:rPr>
            </w:pPr>
          </w:p>
        </w:tc>
        <w:tc>
          <w:tcPr>
            <w:tcW w:w="905" w:type="dxa"/>
            <w:vMerge w:val="continue"/>
            <w:tcBorders>
              <w:top w:val="nil"/>
              <w:bottom w:val="nil"/>
            </w:tcBorders>
            <w:vAlign w:val="top"/>
          </w:tcPr>
          <w:p w14:paraId="33731D41">
            <w:pPr>
              <w:rPr>
                <w:rFonts w:ascii="Arial"/>
                <w:sz w:val="21"/>
              </w:rPr>
            </w:pPr>
          </w:p>
        </w:tc>
        <w:tc>
          <w:tcPr>
            <w:tcW w:w="134" w:type="dxa"/>
            <w:tcBorders>
              <w:top w:val="nil"/>
              <w:bottom w:val="nil"/>
            </w:tcBorders>
            <w:vAlign w:val="top"/>
          </w:tcPr>
          <w:p w14:paraId="4038E5F1">
            <w:pPr>
              <w:rPr>
                <w:rFonts w:ascii="Arial"/>
                <w:sz w:val="21"/>
              </w:rPr>
            </w:pPr>
          </w:p>
        </w:tc>
        <w:tc>
          <w:tcPr>
            <w:tcW w:w="1033" w:type="dxa"/>
            <w:vMerge w:val="restart"/>
            <w:tcBorders>
              <w:bottom w:val="nil"/>
            </w:tcBorders>
            <w:vAlign w:val="top"/>
          </w:tcPr>
          <w:p w14:paraId="0FA5994B">
            <w:pPr>
              <w:spacing w:line="277" w:lineRule="auto"/>
              <w:rPr>
                <w:rFonts w:ascii="Arial"/>
                <w:sz w:val="21"/>
              </w:rPr>
            </w:pPr>
          </w:p>
          <w:p w14:paraId="1D0A9B14">
            <w:pPr>
              <w:pStyle w:val="6"/>
              <w:spacing w:before="61" w:line="230" w:lineRule="auto"/>
              <w:ind w:left="119"/>
              <w:rPr>
                <w:sz w:val="19"/>
                <w:szCs w:val="19"/>
              </w:rPr>
            </w:pPr>
            <w:r>
              <w:rPr>
                <w:spacing w:val="6"/>
                <w:sz w:val="19"/>
                <w:szCs w:val="19"/>
              </w:rPr>
              <w:t>矿产名称</w:t>
            </w:r>
          </w:p>
        </w:tc>
        <w:tc>
          <w:tcPr>
            <w:tcW w:w="2010" w:type="dxa"/>
            <w:gridSpan w:val="3"/>
            <w:vAlign w:val="top"/>
          </w:tcPr>
          <w:p w14:paraId="42E9F857">
            <w:pPr>
              <w:pStyle w:val="6"/>
              <w:spacing w:before="50" w:line="231" w:lineRule="auto"/>
              <w:ind w:left="209"/>
              <w:rPr>
                <w:sz w:val="19"/>
                <w:szCs w:val="19"/>
              </w:rPr>
            </w:pPr>
            <w:r>
              <w:rPr>
                <w:spacing w:val="8"/>
                <w:sz w:val="19"/>
                <w:szCs w:val="19"/>
              </w:rPr>
              <w:t>矿山最低开采规模</w:t>
            </w:r>
          </w:p>
          <w:p w14:paraId="027CF19B">
            <w:pPr>
              <w:pStyle w:val="6"/>
              <w:spacing w:before="21" w:line="211" w:lineRule="auto"/>
              <w:ind w:left="488"/>
              <w:rPr>
                <w:sz w:val="19"/>
                <w:szCs w:val="19"/>
              </w:rPr>
            </w:pPr>
            <w:r>
              <w:rPr>
                <w:spacing w:val="3"/>
                <w:sz w:val="19"/>
                <w:szCs w:val="19"/>
              </w:rPr>
              <w:t>（万吨</w:t>
            </w:r>
            <w:r>
              <w:rPr>
                <w:rFonts w:ascii="Times New Roman" w:hAnsi="Times New Roman" w:eastAsia="Times New Roman" w:cs="Times New Roman"/>
                <w:spacing w:val="3"/>
                <w:sz w:val="19"/>
                <w:szCs w:val="19"/>
              </w:rPr>
              <w:t>/</w:t>
            </w:r>
            <w:r>
              <w:rPr>
                <w:spacing w:val="3"/>
                <w:sz w:val="19"/>
                <w:szCs w:val="19"/>
              </w:rPr>
              <w:t>年）</w:t>
            </w:r>
          </w:p>
        </w:tc>
        <w:tc>
          <w:tcPr>
            <w:tcW w:w="2816" w:type="dxa"/>
            <w:vMerge w:val="restart"/>
            <w:tcBorders>
              <w:bottom w:val="nil"/>
            </w:tcBorders>
            <w:vAlign w:val="top"/>
          </w:tcPr>
          <w:p w14:paraId="39D9D12E">
            <w:pPr>
              <w:spacing w:line="277" w:lineRule="auto"/>
              <w:rPr>
                <w:rFonts w:ascii="Arial"/>
                <w:sz w:val="21"/>
              </w:rPr>
            </w:pPr>
          </w:p>
          <w:p w14:paraId="6778A425">
            <w:pPr>
              <w:pStyle w:val="6"/>
              <w:spacing w:before="62" w:line="233" w:lineRule="auto"/>
              <w:ind w:left="1218"/>
              <w:rPr>
                <w:sz w:val="19"/>
                <w:szCs w:val="19"/>
              </w:rPr>
            </w:pPr>
            <w:r>
              <w:rPr>
                <w:spacing w:val="1"/>
                <w:sz w:val="19"/>
                <w:szCs w:val="19"/>
              </w:rPr>
              <w:t>备注</w:t>
            </w:r>
          </w:p>
        </w:tc>
        <w:tc>
          <w:tcPr>
            <w:tcW w:w="135" w:type="dxa"/>
            <w:tcBorders>
              <w:top w:val="nil"/>
              <w:bottom w:val="nil"/>
            </w:tcBorders>
            <w:vAlign w:val="top"/>
          </w:tcPr>
          <w:p w14:paraId="53A9448D">
            <w:pPr>
              <w:rPr>
                <w:rFonts w:ascii="Arial"/>
                <w:sz w:val="21"/>
              </w:rPr>
            </w:pPr>
          </w:p>
        </w:tc>
        <w:tc>
          <w:tcPr>
            <w:tcW w:w="3787" w:type="dxa"/>
            <w:vMerge w:val="continue"/>
            <w:tcBorders>
              <w:top w:val="nil"/>
              <w:bottom w:val="nil"/>
            </w:tcBorders>
            <w:vAlign w:val="top"/>
          </w:tcPr>
          <w:p w14:paraId="780D32ED">
            <w:pPr>
              <w:rPr>
                <w:rFonts w:ascii="Arial"/>
                <w:sz w:val="21"/>
              </w:rPr>
            </w:pPr>
          </w:p>
        </w:tc>
        <w:tc>
          <w:tcPr>
            <w:tcW w:w="2354" w:type="dxa"/>
            <w:vMerge w:val="continue"/>
            <w:tcBorders>
              <w:top w:val="nil"/>
              <w:bottom w:val="nil"/>
              <w:right w:val="single" w:color="000000" w:sz="10" w:space="0"/>
            </w:tcBorders>
            <w:vAlign w:val="top"/>
          </w:tcPr>
          <w:p w14:paraId="33087193">
            <w:pPr>
              <w:rPr>
                <w:rFonts w:ascii="Arial"/>
                <w:sz w:val="21"/>
              </w:rPr>
            </w:pPr>
          </w:p>
        </w:tc>
      </w:tr>
      <w:tr w14:paraId="4B6582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992" w:type="dxa"/>
            <w:vMerge w:val="continue"/>
            <w:tcBorders>
              <w:top w:val="nil"/>
              <w:left w:val="single" w:color="000000" w:sz="10" w:space="0"/>
              <w:bottom w:val="nil"/>
            </w:tcBorders>
            <w:vAlign w:val="top"/>
          </w:tcPr>
          <w:p w14:paraId="538F5E52">
            <w:pPr>
              <w:rPr>
                <w:rFonts w:ascii="Arial"/>
                <w:sz w:val="21"/>
              </w:rPr>
            </w:pPr>
          </w:p>
        </w:tc>
        <w:tc>
          <w:tcPr>
            <w:tcW w:w="905" w:type="dxa"/>
            <w:vMerge w:val="continue"/>
            <w:tcBorders>
              <w:top w:val="nil"/>
              <w:bottom w:val="nil"/>
            </w:tcBorders>
            <w:vAlign w:val="top"/>
          </w:tcPr>
          <w:p w14:paraId="0C3FA405">
            <w:pPr>
              <w:rPr>
                <w:rFonts w:ascii="Arial"/>
                <w:sz w:val="21"/>
              </w:rPr>
            </w:pPr>
          </w:p>
        </w:tc>
        <w:tc>
          <w:tcPr>
            <w:tcW w:w="134" w:type="dxa"/>
            <w:tcBorders>
              <w:top w:val="nil"/>
              <w:bottom w:val="nil"/>
            </w:tcBorders>
            <w:vAlign w:val="top"/>
          </w:tcPr>
          <w:p w14:paraId="6087C848">
            <w:pPr>
              <w:rPr>
                <w:rFonts w:ascii="Arial"/>
                <w:sz w:val="21"/>
              </w:rPr>
            </w:pPr>
          </w:p>
        </w:tc>
        <w:tc>
          <w:tcPr>
            <w:tcW w:w="1033" w:type="dxa"/>
            <w:vMerge w:val="continue"/>
            <w:tcBorders>
              <w:top w:val="nil"/>
            </w:tcBorders>
            <w:vAlign w:val="top"/>
          </w:tcPr>
          <w:p w14:paraId="62B25BCC">
            <w:pPr>
              <w:rPr>
                <w:rFonts w:ascii="Arial"/>
                <w:sz w:val="21"/>
              </w:rPr>
            </w:pPr>
          </w:p>
        </w:tc>
        <w:tc>
          <w:tcPr>
            <w:tcW w:w="670" w:type="dxa"/>
            <w:vAlign w:val="top"/>
          </w:tcPr>
          <w:p w14:paraId="23C0A436">
            <w:pPr>
              <w:pStyle w:val="6"/>
              <w:spacing w:before="79" w:line="233" w:lineRule="auto"/>
              <w:ind w:left="142"/>
              <w:rPr>
                <w:sz w:val="19"/>
                <w:szCs w:val="19"/>
              </w:rPr>
            </w:pPr>
            <w:r>
              <w:rPr>
                <w:spacing w:val="1"/>
                <w:sz w:val="19"/>
                <w:szCs w:val="19"/>
              </w:rPr>
              <w:t>大型</w:t>
            </w:r>
          </w:p>
        </w:tc>
        <w:tc>
          <w:tcPr>
            <w:tcW w:w="670" w:type="dxa"/>
            <w:vAlign w:val="top"/>
          </w:tcPr>
          <w:p w14:paraId="689D91D7">
            <w:pPr>
              <w:pStyle w:val="6"/>
              <w:spacing w:before="79" w:line="231" w:lineRule="auto"/>
              <w:ind w:left="165"/>
              <w:rPr>
                <w:sz w:val="19"/>
                <w:szCs w:val="19"/>
              </w:rPr>
            </w:pPr>
            <w:r>
              <w:rPr>
                <w:spacing w:val="-11"/>
                <w:sz w:val="19"/>
                <w:szCs w:val="19"/>
              </w:rPr>
              <w:t>中型</w:t>
            </w:r>
          </w:p>
        </w:tc>
        <w:tc>
          <w:tcPr>
            <w:tcW w:w="670" w:type="dxa"/>
            <w:vAlign w:val="top"/>
          </w:tcPr>
          <w:p w14:paraId="73D5300A">
            <w:pPr>
              <w:pStyle w:val="6"/>
              <w:spacing w:before="79" w:line="233" w:lineRule="auto"/>
              <w:ind w:left="141"/>
              <w:rPr>
                <w:sz w:val="19"/>
                <w:szCs w:val="19"/>
              </w:rPr>
            </w:pPr>
            <w:r>
              <w:rPr>
                <w:spacing w:val="2"/>
                <w:sz w:val="19"/>
                <w:szCs w:val="19"/>
              </w:rPr>
              <w:t>小型</w:t>
            </w:r>
          </w:p>
        </w:tc>
        <w:tc>
          <w:tcPr>
            <w:tcW w:w="2816" w:type="dxa"/>
            <w:vMerge w:val="continue"/>
            <w:tcBorders>
              <w:top w:val="nil"/>
            </w:tcBorders>
            <w:vAlign w:val="top"/>
          </w:tcPr>
          <w:p w14:paraId="643252F6">
            <w:pPr>
              <w:rPr>
                <w:rFonts w:ascii="Arial"/>
                <w:sz w:val="21"/>
              </w:rPr>
            </w:pPr>
          </w:p>
        </w:tc>
        <w:tc>
          <w:tcPr>
            <w:tcW w:w="135" w:type="dxa"/>
            <w:tcBorders>
              <w:top w:val="nil"/>
              <w:bottom w:val="nil"/>
            </w:tcBorders>
            <w:vAlign w:val="top"/>
          </w:tcPr>
          <w:p w14:paraId="1F8CA4A3">
            <w:pPr>
              <w:rPr>
                <w:rFonts w:ascii="Arial"/>
                <w:sz w:val="21"/>
              </w:rPr>
            </w:pPr>
          </w:p>
        </w:tc>
        <w:tc>
          <w:tcPr>
            <w:tcW w:w="3787" w:type="dxa"/>
            <w:vMerge w:val="continue"/>
            <w:tcBorders>
              <w:top w:val="nil"/>
              <w:bottom w:val="nil"/>
            </w:tcBorders>
            <w:vAlign w:val="top"/>
          </w:tcPr>
          <w:p w14:paraId="68AB9D9C">
            <w:pPr>
              <w:rPr>
                <w:rFonts w:ascii="Arial"/>
                <w:sz w:val="21"/>
              </w:rPr>
            </w:pPr>
          </w:p>
        </w:tc>
        <w:tc>
          <w:tcPr>
            <w:tcW w:w="2354" w:type="dxa"/>
            <w:vMerge w:val="continue"/>
            <w:tcBorders>
              <w:top w:val="nil"/>
              <w:bottom w:val="nil"/>
              <w:right w:val="single" w:color="000000" w:sz="10" w:space="0"/>
            </w:tcBorders>
            <w:vAlign w:val="top"/>
          </w:tcPr>
          <w:p w14:paraId="37D6F2DB">
            <w:pPr>
              <w:rPr>
                <w:rFonts w:ascii="Arial"/>
                <w:sz w:val="21"/>
              </w:rPr>
            </w:pPr>
          </w:p>
        </w:tc>
      </w:tr>
      <w:tr w14:paraId="65B42C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992" w:type="dxa"/>
            <w:vMerge w:val="continue"/>
            <w:tcBorders>
              <w:top w:val="nil"/>
              <w:left w:val="single" w:color="000000" w:sz="10" w:space="0"/>
              <w:bottom w:val="nil"/>
            </w:tcBorders>
            <w:vAlign w:val="top"/>
          </w:tcPr>
          <w:p w14:paraId="18A162D9">
            <w:pPr>
              <w:rPr>
                <w:rFonts w:ascii="Arial"/>
                <w:sz w:val="21"/>
              </w:rPr>
            </w:pPr>
          </w:p>
        </w:tc>
        <w:tc>
          <w:tcPr>
            <w:tcW w:w="905" w:type="dxa"/>
            <w:vMerge w:val="continue"/>
            <w:tcBorders>
              <w:top w:val="nil"/>
              <w:bottom w:val="nil"/>
            </w:tcBorders>
            <w:vAlign w:val="top"/>
          </w:tcPr>
          <w:p w14:paraId="3EC105B9">
            <w:pPr>
              <w:rPr>
                <w:rFonts w:ascii="Arial"/>
                <w:sz w:val="21"/>
              </w:rPr>
            </w:pPr>
          </w:p>
        </w:tc>
        <w:tc>
          <w:tcPr>
            <w:tcW w:w="134" w:type="dxa"/>
            <w:tcBorders>
              <w:top w:val="nil"/>
              <w:bottom w:val="nil"/>
            </w:tcBorders>
            <w:vAlign w:val="top"/>
          </w:tcPr>
          <w:p w14:paraId="3F01038C">
            <w:pPr>
              <w:rPr>
                <w:rFonts w:ascii="Arial"/>
                <w:sz w:val="21"/>
              </w:rPr>
            </w:pPr>
          </w:p>
        </w:tc>
        <w:tc>
          <w:tcPr>
            <w:tcW w:w="1033" w:type="dxa"/>
            <w:vAlign w:val="top"/>
          </w:tcPr>
          <w:p w14:paraId="70AE15AE">
            <w:pPr>
              <w:pStyle w:val="6"/>
              <w:spacing w:before="60" w:line="232" w:lineRule="auto"/>
              <w:ind w:left="19"/>
              <w:rPr>
                <w:sz w:val="19"/>
                <w:szCs w:val="19"/>
              </w:rPr>
            </w:pPr>
            <w:r>
              <w:rPr>
                <w:spacing w:val="6"/>
                <w:sz w:val="19"/>
                <w:szCs w:val="19"/>
              </w:rPr>
              <w:t>饰面用石材</w:t>
            </w:r>
          </w:p>
          <w:p w14:paraId="2A5B51BB">
            <w:pPr>
              <w:pStyle w:val="6"/>
              <w:spacing w:before="17" w:line="216" w:lineRule="auto"/>
              <w:ind w:left="320"/>
              <w:rPr>
                <w:sz w:val="19"/>
                <w:szCs w:val="19"/>
              </w:rPr>
            </w:pPr>
            <w:r>
              <w:rPr>
                <w:spacing w:val="1"/>
                <w:sz w:val="19"/>
                <w:szCs w:val="19"/>
              </w:rPr>
              <w:t>灰岩</w:t>
            </w:r>
          </w:p>
        </w:tc>
        <w:tc>
          <w:tcPr>
            <w:tcW w:w="670" w:type="dxa"/>
            <w:vAlign w:val="top"/>
          </w:tcPr>
          <w:p w14:paraId="2B057FF7">
            <w:pPr>
              <w:spacing w:before="221" w:line="195" w:lineRule="auto"/>
              <w:ind w:left="299"/>
              <w:rPr>
                <w:rFonts w:ascii="Times New Roman" w:hAnsi="Times New Roman" w:eastAsia="Times New Roman" w:cs="Times New Roman"/>
                <w:sz w:val="19"/>
                <w:szCs w:val="19"/>
              </w:rPr>
            </w:pPr>
            <w:r>
              <w:rPr>
                <w:rFonts w:ascii="Times New Roman" w:hAnsi="Times New Roman" w:eastAsia="Times New Roman" w:cs="Times New Roman"/>
                <w:sz w:val="19"/>
                <w:szCs w:val="19"/>
              </w:rPr>
              <w:t>1</w:t>
            </w:r>
          </w:p>
        </w:tc>
        <w:tc>
          <w:tcPr>
            <w:tcW w:w="670" w:type="dxa"/>
            <w:vAlign w:val="top"/>
          </w:tcPr>
          <w:p w14:paraId="5DA1D580">
            <w:pPr>
              <w:spacing w:before="221" w:line="195" w:lineRule="auto"/>
              <w:ind w:left="20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0.5</w:t>
            </w:r>
          </w:p>
        </w:tc>
        <w:tc>
          <w:tcPr>
            <w:tcW w:w="670" w:type="dxa"/>
            <w:vAlign w:val="top"/>
          </w:tcPr>
          <w:p w14:paraId="748BFD4E">
            <w:pPr>
              <w:spacing w:before="221" w:line="195" w:lineRule="auto"/>
              <w:ind w:left="210"/>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0.3</w:t>
            </w:r>
          </w:p>
        </w:tc>
        <w:tc>
          <w:tcPr>
            <w:tcW w:w="2816" w:type="dxa"/>
            <w:vAlign w:val="top"/>
          </w:tcPr>
          <w:p w14:paraId="2D80AE72">
            <w:pPr>
              <w:pStyle w:val="6"/>
              <w:spacing w:before="59" w:line="233" w:lineRule="auto"/>
              <w:ind w:left="25" w:right="11"/>
              <w:rPr>
                <w:sz w:val="19"/>
                <w:szCs w:val="19"/>
              </w:rPr>
            </w:pPr>
            <w:r>
              <w:rPr>
                <w:spacing w:val="5"/>
                <w:sz w:val="19"/>
                <w:szCs w:val="19"/>
              </w:rPr>
              <w:t>不再新建年产</w:t>
            </w:r>
            <w:r>
              <w:rPr>
                <w:spacing w:val="-20"/>
                <w:sz w:val="19"/>
                <w:szCs w:val="19"/>
              </w:rPr>
              <w:t xml:space="preserve"> </w:t>
            </w:r>
            <w:r>
              <w:rPr>
                <w:rFonts w:ascii="Times New Roman" w:hAnsi="Times New Roman" w:eastAsia="Times New Roman" w:cs="Times New Roman"/>
                <w:spacing w:val="5"/>
                <w:sz w:val="19"/>
                <w:szCs w:val="19"/>
              </w:rPr>
              <w:t>1</w:t>
            </w:r>
            <w:r>
              <w:rPr>
                <w:rFonts w:ascii="Times New Roman" w:hAnsi="Times New Roman" w:eastAsia="Times New Roman" w:cs="Times New Roman"/>
                <w:spacing w:val="14"/>
                <w:w w:val="101"/>
                <w:sz w:val="19"/>
                <w:szCs w:val="19"/>
              </w:rPr>
              <w:t xml:space="preserve"> </w:t>
            </w:r>
            <w:r>
              <w:rPr>
                <w:spacing w:val="5"/>
                <w:sz w:val="19"/>
                <w:szCs w:val="19"/>
              </w:rPr>
              <w:t>万立方米以下饰</w:t>
            </w:r>
            <w:r>
              <w:rPr>
                <w:sz w:val="19"/>
                <w:szCs w:val="19"/>
              </w:rPr>
              <w:t xml:space="preserve"> </w:t>
            </w:r>
            <w:r>
              <w:rPr>
                <w:spacing w:val="5"/>
                <w:sz w:val="19"/>
                <w:szCs w:val="19"/>
              </w:rPr>
              <w:t>面用石材</w:t>
            </w:r>
          </w:p>
        </w:tc>
        <w:tc>
          <w:tcPr>
            <w:tcW w:w="135" w:type="dxa"/>
            <w:tcBorders>
              <w:top w:val="nil"/>
              <w:bottom w:val="nil"/>
            </w:tcBorders>
            <w:vAlign w:val="top"/>
          </w:tcPr>
          <w:p w14:paraId="202E15D1">
            <w:pPr>
              <w:rPr>
                <w:rFonts w:ascii="Arial"/>
                <w:sz w:val="21"/>
              </w:rPr>
            </w:pPr>
          </w:p>
        </w:tc>
        <w:tc>
          <w:tcPr>
            <w:tcW w:w="3787" w:type="dxa"/>
            <w:vMerge w:val="continue"/>
            <w:tcBorders>
              <w:top w:val="nil"/>
              <w:bottom w:val="nil"/>
            </w:tcBorders>
            <w:vAlign w:val="top"/>
          </w:tcPr>
          <w:p w14:paraId="3D0B2B4C">
            <w:pPr>
              <w:rPr>
                <w:rFonts w:ascii="Arial"/>
                <w:sz w:val="21"/>
              </w:rPr>
            </w:pPr>
          </w:p>
        </w:tc>
        <w:tc>
          <w:tcPr>
            <w:tcW w:w="2354" w:type="dxa"/>
            <w:vMerge w:val="continue"/>
            <w:tcBorders>
              <w:top w:val="nil"/>
              <w:bottom w:val="nil"/>
              <w:right w:val="single" w:color="000000" w:sz="10" w:space="0"/>
            </w:tcBorders>
            <w:vAlign w:val="top"/>
          </w:tcPr>
          <w:p w14:paraId="216E85DA">
            <w:pPr>
              <w:rPr>
                <w:rFonts w:ascii="Arial"/>
                <w:sz w:val="21"/>
              </w:rPr>
            </w:pPr>
          </w:p>
        </w:tc>
      </w:tr>
      <w:tr w14:paraId="57AF5E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992" w:type="dxa"/>
            <w:vMerge w:val="continue"/>
            <w:tcBorders>
              <w:top w:val="nil"/>
              <w:left w:val="single" w:color="000000" w:sz="10" w:space="0"/>
              <w:bottom w:val="nil"/>
            </w:tcBorders>
            <w:vAlign w:val="top"/>
          </w:tcPr>
          <w:p w14:paraId="619C9C3B">
            <w:pPr>
              <w:rPr>
                <w:rFonts w:ascii="Arial"/>
                <w:sz w:val="21"/>
              </w:rPr>
            </w:pPr>
          </w:p>
        </w:tc>
        <w:tc>
          <w:tcPr>
            <w:tcW w:w="905" w:type="dxa"/>
            <w:vMerge w:val="continue"/>
            <w:tcBorders>
              <w:top w:val="nil"/>
              <w:bottom w:val="nil"/>
            </w:tcBorders>
            <w:vAlign w:val="top"/>
          </w:tcPr>
          <w:p w14:paraId="4CEF0BF2">
            <w:pPr>
              <w:rPr>
                <w:rFonts w:ascii="Arial"/>
                <w:sz w:val="21"/>
              </w:rPr>
            </w:pPr>
          </w:p>
        </w:tc>
        <w:tc>
          <w:tcPr>
            <w:tcW w:w="134" w:type="dxa"/>
            <w:tcBorders>
              <w:top w:val="nil"/>
              <w:bottom w:val="nil"/>
            </w:tcBorders>
            <w:vAlign w:val="top"/>
          </w:tcPr>
          <w:p w14:paraId="7ECCEEFC">
            <w:pPr>
              <w:rPr>
                <w:rFonts w:ascii="Arial"/>
                <w:sz w:val="21"/>
              </w:rPr>
            </w:pPr>
          </w:p>
        </w:tc>
        <w:tc>
          <w:tcPr>
            <w:tcW w:w="1033" w:type="dxa"/>
            <w:vAlign w:val="top"/>
          </w:tcPr>
          <w:p w14:paraId="5299238A">
            <w:pPr>
              <w:pStyle w:val="6"/>
              <w:spacing w:before="62" w:line="213" w:lineRule="auto"/>
              <w:ind w:left="18"/>
              <w:rPr>
                <w:sz w:val="19"/>
                <w:szCs w:val="19"/>
              </w:rPr>
            </w:pPr>
            <w:r>
              <w:rPr>
                <w:spacing w:val="7"/>
                <w:sz w:val="19"/>
                <w:szCs w:val="19"/>
              </w:rPr>
              <w:t>铸型用砂岩</w:t>
            </w:r>
          </w:p>
        </w:tc>
        <w:tc>
          <w:tcPr>
            <w:tcW w:w="670" w:type="dxa"/>
            <w:vAlign w:val="top"/>
          </w:tcPr>
          <w:p w14:paraId="75FE61BD">
            <w:pPr>
              <w:spacing w:before="97" w:line="195" w:lineRule="auto"/>
              <w:ind w:left="233"/>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30</w:t>
            </w:r>
          </w:p>
        </w:tc>
        <w:tc>
          <w:tcPr>
            <w:tcW w:w="670" w:type="dxa"/>
            <w:vAlign w:val="top"/>
          </w:tcPr>
          <w:p w14:paraId="137CFC60">
            <w:pPr>
              <w:spacing w:before="97" w:line="195" w:lineRule="auto"/>
              <w:ind w:left="250"/>
              <w:rPr>
                <w:rFonts w:ascii="Times New Roman" w:hAnsi="Times New Roman" w:eastAsia="Times New Roman" w:cs="Times New Roman"/>
                <w:sz w:val="19"/>
                <w:szCs w:val="19"/>
              </w:rPr>
            </w:pPr>
            <w:r>
              <w:rPr>
                <w:rFonts w:ascii="Times New Roman" w:hAnsi="Times New Roman" w:eastAsia="Times New Roman" w:cs="Times New Roman"/>
                <w:spacing w:val="-7"/>
                <w:sz w:val="19"/>
                <w:szCs w:val="19"/>
              </w:rPr>
              <w:t>10</w:t>
            </w:r>
          </w:p>
        </w:tc>
        <w:tc>
          <w:tcPr>
            <w:tcW w:w="670" w:type="dxa"/>
            <w:vAlign w:val="top"/>
          </w:tcPr>
          <w:p w14:paraId="684ADFB9">
            <w:pPr>
              <w:spacing w:before="100" w:line="192" w:lineRule="auto"/>
              <w:ind w:left="287"/>
              <w:rPr>
                <w:rFonts w:ascii="Times New Roman" w:hAnsi="Times New Roman" w:eastAsia="Times New Roman" w:cs="Times New Roman"/>
                <w:sz w:val="19"/>
                <w:szCs w:val="19"/>
              </w:rPr>
            </w:pPr>
            <w:r>
              <w:rPr>
                <w:rFonts w:ascii="Times New Roman" w:hAnsi="Times New Roman" w:eastAsia="Times New Roman" w:cs="Times New Roman"/>
                <w:sz w:val="19"/>
                <w:szCs w:val="19"/>
              </w:rPr>
              <w:t>5</w:t>
            </w:r>
          </w:p>
        </w:tc>
        <w:tc>
          <w:tcPr>
            <w:tcW w:w="2816" w:type="dxa"/>
            <w:vAlign w:val="top"/>
          </w:tcPr>
          <w:p w14:paraId="701DC2C1">
            <w:pPr>
              <w:rPr>
                <w:rFonts w:ascii="Arial"/>
                <w:sz w:val="21"/>
              </w:rPr>
            </w:pPr>
          </w:p>
        </w:tc>
        <w:tc>
          <w:tcPr>
            <w:tcW w:w="135" w:type="dxa"/>
            <w:tcBorders>
              <w:top w:val="nil"/>
              <w:bottom w:val="nil"/>
            </w:tcBorders>
            <w:vAlign w:val="top"/>
          </w:tcPr>
          <w:p w14:paraId="75317818">
            <w:pPr>
              <w:rPr>
                <w:rFonts w:ascii="Arial"/>
                <w:sz w:val="21"/>
              </w:rPr>
            </w:pPr>
          </w:p>
        </w:tc>
        <w:tc>
          <w:tcPr>
            <w:tcW w:w="3787" w:type="dxa"/>
            <w:vMerge w:val="continue"/>
            <w:tcBorders>
              <w:top w:val="nil"/>
              <w:bottom w:val="nil"/>
            </w:tcBorders>
            <w:vAlign w:val="top"/>
          </w:tcPr>
          <w:p w14:paraId="2CF87103">
            <w:pPr>
              <w:rPr>
                <w:rFonts w:ascii="Arial"/>
                <w:sz w:val="21"/>
              </w:rPr>
            </w:pPr>
          </w:p>
        </w:tc>
        <w:tc>
          <w:tcPr>
            <w:tcW w:w="2354" w:type="dxa"/>
            <w:vMerge w:val="continue"/>
            <w:tcBorders>
              <w:top w:val="nil"/>
              <w:bottom w:val="nil"/>
              <w:right w:val="single" w:color="000000" w:sz="10" w:space="0"/>
            </w:tcBorders>
            <w:vAlign w:val="top"/>
          </w:tcPr>
          <w:p w14:paraId="433FC020">
            <w:pPr>
              <w:rPr>
                <w:rFonts w:ascii="Arial"/>
                <w:sz w:val="21"/>
              </w:rPr>
            </w:pPr>
          </w:p>
        </w:tc>
      </w:tr>
      <w:tr w14:paraId="709FB2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2" w:hRule="atLeast"/>
        </w:trPr>
        <w:tc>
          <w:tcPr>
            <w:tcW w:w="992" w:type="dxa"/>
            <w:vMerge w:val="continue"/>
            <w:tcBorders>
              <w:top w:val="nil"/>
              <w:left w:val="single" w:color="000000" w:sz="10" w:space="0"/>
              <w:bottom w:val="single" w:color="000000" w:sz="10" w:space="0"/>
            </w:tcBorders>
            <w:vAlign w:val="top"/>
          </w:tcPr>
          <w:p w14:paraId="388A4522">
            <w:pPr>
              <w:rPr>
                <w:rFonts w:ascii="Arial"/>
                <w:sz w:val="21"/>
              </w:rPr>
            </w:pPr>
          </w:p>
        </w:tc>
        <w:tc>
          <w:tcPr>
            <w:tcW w:w="905" w:type="dxa"/>
            <w:vMerge w:val="continue"/>
            <w:tcBorders>
              <w:top w:val="nil"/>
              <w:bottom w:val="single" w:color="000000" w:sz="10" w:space="0"/>
            </w:tcBorders>
            <w:vAlign w:val="top"/>
          </w:tcPr>
          <w:p w14:paraId="1864CA55">
            <w:pPr>
              <w:rPr>
                <w:rFonts w:ascii="Arial"/>
                <w:sz w:val="21"/>
              </w:rPr>
            </w:pPr>
          </w:p>
        </w:tc>
        <w:tc>
          <w:tcPr>
            <w:tcW w:w="134" w:type="dxa"/>
            <w:tcBorders>
              <w:top w:val="nil"/>
              <w:bottom w:val="single" w:color="000000" w:sz="10" w:space="0"/>
            </w:tcBorders>
            <w:vAlign w:val="top"/>
          </w:tcPr>
          <w:p w14:paraId="157B4BF1">
            <w:pPr>
              <w:rPr>
                <w:rFonts w:ascii="Arial"/>
                <w:sz w:val="21"/>
              </w:rPr>
            </w:pPr>
          </w:p>
        </w:tc>
        <w:tc>
          <w:tcPr>
            <w:tcW w:w="1033" w:type="dxa"/>
            <w:tcBorders>
              <w:bottom w:val="single" w:color="000000" w:sz="10" w:space="0"/>
            </w:tcBorders>
            <w:vAlign w:val="top"/>
          </w:tcPr>
          <w:p w14:paraId="277D1AEE">
            <w:pPr>
              <w:pStyle w:val="6"/>
              <w:spacing w:before="195" w:line="233" w:lineRule="auto"/>
              <w:ind w:left="221"/>
              <w:rPr>
                <w:sz w:val="19"/>
                <w:szCs w:val="19"/>
              </w:rPr>
            </w:pPr>
            <w:r>
              <w:rPr>
                <w:spacing w:val="5"/>
                <w:sz w:val="19"/>
                <w:szCs w:val="19"/>
              </w:rPr>
              <w:t>铝土矿</w:t>
            </w:r>
          </w:p>
        </w:tc>
        <w:tc>
          <w:tcPr>
            <w:tcW w:w="670" w:type="dxa"/>
            <w:tcBorders>
              <w:bottom w:val="single" w:color="000000" w:sz="10" w:space="0"/>
            </w:tcBorders>
            <w:vAlign w:val="top"/>
          </w:tcPr>
          <w:p w14:paraId="2E7183FB">
            <w:pPr>
              <w:spacing w:before="229" w:line="195" w:lineRule="auto"/>
              <w:ind w:left="198"/>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100</w:t>
            </w:r>
          </w:p>
        </w:tc>
        <w:tc>
          <w:tcPr>
            <w:tcW w:w="670" w:type="dxa"/>
            <w:tcBorders>
              <w:bottom w:val="single" w:color="000000" w:sz="10" w:space="0"/>
            </w:tcBorders>
            <w:vAlign w:val="top"/>
          </w:tcPr>
          <w:p w14:paraId="2227F091">
            <w:pPr>
              <w:spacing w:before="229" w:line="195" w:lineRule="auto"/>
              <w:ind w:left="235"/>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30</w:t>
            </w:r>
          </w:p>
        </w:tc>
        <w:tc>
          <w:tcPr>
            <w:tcW w:w="670" w:type="dxa"/>
            <w:tcBorders>
              <w:bottom w:val="single" w:color="000000" w:sz="10" w:space="0"/>
            </w:tcBorders>
            <w:vAlign w:val="top"/>
          </w:tcPr>
          <w:p w14:paraId="6EF462D2">
            <w:pPr>
              <w:spacing w:before="229" w:line="195" w:lineRule="auto"/>
              <w:ind w:left="250"/>
              <w:rPr>
                <w:rFonts w:ascii="Times New Roman" w:hAnsi="Times New Roman" w:eastAsia="Times New Roman" w:cs="Times New Roman"/>
                <w:sz w:val="19"/>
                <w:szCs w:val="19"/>
              </w:rPr>
            </w:pPr>
            <w:r>
              <w:rPr>
                <w:rFonts w:ascii="Times New Roman" w:hAnsi="Times New Roman" w:eastAsia="Times New Roman" w:cs="Times New Roman"/>
                <w:spacing w:val="-7"/>
                <w:sz w:val="19"/>
                <w:szCs w:val="19"/>
              </w:rPr>
              <w:t>10</w:t>
            </w:r>
          </w:p>
        </w:tc>
        <w:tc>
          <w:tcPr>
            <w:tcW w:w="2816" w:type="dxa"/>
            <w:tcBorders>
              <w:bottom w:val="single" w:color="000000" w:sz="10" w:space="0"/>
            </w:tcBorders>
            <w:vAlign w:val="top"/>
          </w:tcPr>
          <w:p w14:paraId="472DB79A">
            <w:pPr>
              <w:pStyle w:val="6"/>
              <w:spacing w:before="65" w:line="246" w:lineRule="auto"/>
              <w:ind w:left="21" w:right="203" w:firstLine="2"/>
              <w:rPr>
                <w:sz w:val="19"/>
                <w:szCs w:val="19"/>
              </w:rPr>
            </w:pPr>
            <w:r>
              <w:rPr>
                <w:spacing w:val="8"/>
                <w:sz w:val="19"/>
                <w:szCs w:val="19"/>
              </w:rPr>
              <w:t xml:space="preserve">鼓励规模化开发利用高硫铝土 </w:t>
            </w:r>
            <w:r>
              <w:rPr>
                <w:sz w:val="19"/>
                <w:szCs w:val="19"/>
              </w:rPr>
              <w:t>矿</w:t>
            </w:r>
          </w:p>
        </w:tc>
        <w:tc>
          <w:tcPr>
            <w:tcW w:w="135" w:type="dxa"/>
            <w:tcBorders>
              <w:top w:val="nil"/>
              <w:bottom w:val="single" w:color="000000" w:sz="10" w:space="0"/>
            </w:tcBorders>
            <w:vAlign w:val="top"/>
          </w:tcPr>
          <w:p w14:paraId="76EA40D8">
            <w:pPr>
              <w:rPr>
                <w:rFonts w:ascii="Arial"/>
                <w:sz w:val="21"/>
              </w:rPr>
            </w:pPr>
          </w:p>
        </w:tc>
        <w:tc>
          <w:tcPr>
            <w:tcW w:w="3787" w:type="dxa"/>
            <w:vMerge w:val="continue"/>
            <w:tcBorders>
              <w:top w:val="nil"/>
              <w:bottom w:val="single" w:color="000000" w:sz="10" w:space="0"/>
            </w:tcBorders>
            <w:vAlign w:val="top"/>
          </w:tcPr>
          <w:p w14:paraId="0B086323">
            <w:pPr>
              <w:rPr>
                <w:rFonts w:ascii="Arial"/>
                <w:sz w:val="21"/>
              </w:rPr>
            </w:pPr>
          </w:p>
        </w:tc>
        <w:tc>
          <w:tcPr>
            <w:tcW w:w="2354" w:type="dxa"/>
            <w:vMerge w:val="continue"/>
            <w:tcBorders>
              <w:top w:val="nil"/>
              <w:bottom w:val="single" w:color="000000" w:sz="10" w:space="0"/>
              <w:right w:val="single" w:color="000000" w:sz="10" w:space="0"/>
            </w:tcBorders>
            <w:vAlign w:val="top"/>
          </w:tcPr>
          <w:p w14:paraId="0567F18A">
            <w:pPr>
              <w:rPr>
                <w:rFonts w:ascii="Arial"/>
                <w:sz w:val="21"/>
              </w:rPr>
            </w:pPr>
          </w:p>
        </w:tc>
      </w:tr>
    </w:tbl>
    <w:p w14:paraId="200E9C66">
      <w:pPr>
        <w:pStyle w:val="2"/>
      </w:pPr>
    </w:p>
    <w:p w14:paraId="11CE8A36">
      <w:pPr>
        <w:sectPr>
          <w:footerReference r:id="rId100" w:type="default"/>
          <w:pgSz w:w="16839" w:h="11906"/>
          <w:pgMar w:top="1116" w:right="1323" w:bottom="1480" w:left="1322" w:header="683" w:footer="1318" w:gutter="0"/>
          <w:cols w:space="720" w:num="1"/>
        </w:sectPr>
      </w:pPr>
    </w:p>
    <w:p w14:paraId="0561C674">
      <w:pPr>
        <w:pStyle w:val="2"/>
        <w:spacing w:line="252" w:lineRule="auto"/>
      </w:pPr>
    </w:p>
    <w:p w14:paraId="5AED9810">
      <w:pPr>
        <w:pStyle w:val="2"/>
        <w:spacing w:line="253" w:lineRule="auto"/>
      </w:pPr>
    </w:p>
    <w:p w14:paraId="003C0B84">
      <w:pPr>
        <w:spacing w:before="81" w:line="226" w:lineRule="auto"/>
        <w:ind w:left="40"/>
        <w:outlineLvl w:val="2"/>
        <w:rPr>
          <w:rFonts w:ascii="仿宋" w:hAnsi="仿宋" w:eastAsia="仿宋" w:cs="仿宋"/>
          <w:sz w:val="25"/>
          <w:szCs w:val="25"/>
        </w:rPr>
      </w:pPr>
      <w:r>
        <w:rPr>
          <w:rFonts w:ascii="Times New Roman" w:hAnsi="Times New Roman" w:eastAsia="Times New Roman" w:cs="Times New Roman"/>
          <w:b/>
          <w:bCs/>
          <w:spacing w:val="5"/>
          <w:sz w:val="25"/>
          <w:szCs w:val="25"/>
        </w:rPr>
        <w:t>2.3.5</w:t>
      </w:r>
      <w:r>
        <w:rPr>
          <w:rFonts w:ascii="Times New Roman" w:hAnsi="Times New Roman" w:eastAsia="Times New Roman" w:cs="Times New Roman"/>
          <w:b/>
          <w:bCs/>
          <w:spacing w:val="27"/>
          <w:sz w:val="25"/>
          <w:szCs w:val="25"/>
        </w:rPr>
        <w:t xml:space="preserve"> </w:t>
      </w:r>
      <w:r>
        <w:rPr>
          <w:rFonts w:ascii="仿宋" w:hAnsi="仿宋" w:eastAsia="仿宋" w:cs="仿宋"/>
          <w:b/>
          <w:bCs/>
          <w:spacing w:val="5"/>
          <w:sz w:val="25"/>
          <w:szCs w:val="25"/>
        </w:rPr>
        <w:t>存在主要冲突及解决方案</w:t>
      </w:r>
    </w:p>
    <w:p w14:paraId="47135A65">
      <w:pPr>
        <w:spacing w:before="275" w:line="339" w:lineRule="auto"/>
        <w:ind w:left="57" w:right="71" w:firstLine="474"/>
        <w:rPr>
          <w:rFonts w:ascii="仿宋" w:hAnsi="仿宋" w:eastAsia="仿宋" w:cs="仿宋"/>
          <w:sz w:val="25"/>
          <w:szCs w:val="25"/>
        </w:rPr>
      </w:pPr>
      <w:r>
        <w:rPr>
          <w:rFonts w:ascii="仿宋" w:hAnsi="仿宋" w:eastAsia="仿宋" w:cs="仿宋"/>
          <w:spacing w:val="11"/>
          <w:sz w:val="25"/>
          <w:szCs w:val="25"/>
        </w:rPr>
        <w:t>本次规划调整内容与相关法规、政策、规划间存在的主</w:t>
      </w:r>
      <w:r>
        <w:rPr>
          <w:rFonts w:ascii="仿宋" w:hAnsi="仿宋" w:eastAsia="仿宋" w:cs="仿宋"/>
          <w:spacing w:val="10"/>
          <w:sz w:val="25"/>
          <w:szCs w:val="25"/>
        </w:rPr>
        <w:t>要潜在冲突及解决</w:t>
      </w:r>
      <w:r>
        <w:rPr>
          <w:rFonts w:ascii="仿宋" w:hAnsi="仿宋" w:eastAsia="仿宋" w:cs="仿宋"/>
          <w:sz w:val="25"/>
          <w:szCs w:val="25"/>
        </w:rPr>
        <w:t xml:space="preserve"> </w:t>
      </w:r>
      <w:r>
        <w:rPr>
          <w:rFonts w:ascii="仿宋" w:hAnsi="仿宋" w:eastAsia="仿宋" w:cs="仿宋"/>
          <w:spacing w:val="2"/>
          <w:sz w:val="25"/>
          <w:szCs w:val="25"/>
        </w:rPr>
        <w:t>方案见表</w:t>
      </w:r>
      <w:r>
        <w:rPr>
          <w:rFonts w:ascii="仿宋" w:hAnsi="仿宋" w:eastAsia="仿宋" w:cs="仿宋"/>
          <w:spacing w:val="-44"/>
          <w:sz w:val="25"/>
          <w:szCs w:val="25"/>
        </w:rPr>
        <w:t xml:space="preserve"> </w:t>
      </w:r>
      <w:r>
        <w:rPr>
          <w:rFonts w:ascii="Times New Roman" w:hAnsi="Times New Roman" w:eastAsia="Times New Roman" w:cs="Times New Roman"/>
          <w:spacing w:val="2"/>
          <w:sz w:val="25"/>
          <w:szCs w:val="25"/>
        </w:rPr>
        <w:t>2.3-8</w:t>
      </w:r>
      <w:r>
        <w:rPr>
          <w:rFonts w:ascii="仿宋" w:hAnsi="仿宋" w:eastAsia="仿宋" w:cs="仿宋"/>
          <w:spacing w:val="2"/>
          <w:sz w:val="25"/>
          <w:szCs w:val="25"/>
        </w:rPr>
        <w:t>。</w:t>
      </w:r>
    </w:p>
    <w:p w14:paraId="5A26192B">
      <w:pPr>
        <w:spacing w:before="43" w:line="228" w:lineRule="auto"/>
        <w:ind w:left="1276"/>
        <w:rPr>
          <w:rFonts w:ascii="仿宋" w:hAnsi="仿宋" w:eastAsia="仿宋" w:cs="仿宋"/>
          <w:sz w:val="20"/>
          <w:szCs w:val="20"/>
        </w:rPr>
      </w:pPr>
      <w:r>
        <w:rPr>
          <w:rFonts w:ascii="仿宋" w:hAnsi="仿宋" w:eastAsia="仿宋" w:cs="仿宋"/>
          <w:b/>
          <w:bCs/>
          <w:spacing w:val="7"/>
          <w:sz w:val="20"/>
          <w:szCs w:val="20"/>
        </w:rPr>
        <w:t>表</w:t>
      </w:r>
      <w:r>
        <w:rPr>
          <w:rFonts w:ascii="仿宋" w:hAnsi="仿宋" w:eastAsia="仿宋" w:cs="仿宋"/>
          <w:spacing w:val="-40"/>
          <w:sz w:val="20"/>
          <w:szCs w:val="20"/>
        </w:rPr>
        <w:t xml:space="preserve"> </w:t>
      </w:r>
      <w:r>
        <w:rPr>
          <w:rFonts w:ascii="Times New Roman" w:hAnsi="Times New Roman" w:eastAsia="Times New Roman" w:cs="Times New Roman"/>
          <w:b/>
          <w:bCs/>
          <w:spacing w:val="7"/>
          <w:sz w:val="20"/>
          <w:szCs w:val="20"/>
        </w:rPr>
        <w:t xml:space="preserve">2.3-8    </w:t>
      </w:r>
      <w:r>
        <w:rPr>
          <w:rFonts w:ascii="仿宋" w:hAnsi="仿宋" w:eastAsia="仿宋" w:cs="仿宋"/>
          <w:b/>
          <w:bCs/>
          <w:spacing w:val="7"/>
          <w:sz w:val="20"/>
          <w:szCs w:val="20"/>
        </w:rPr>
        <w:t>与相关法规、政策、规划间</w:t>
      </w:r>
      <w:r>
        <w:rPr>
          <w:rFonts w:ascii="仿宋" w:hAnsi="仿宋" w:eastAsia="仿宋" w:cs="仿宋"/>
          <w:b/>
          <w:bCs/>
          <w:spacing w:val="6"/>
          <w:sz w:val="20"/>
          <w:szCs w:val="20"/>
        </w:rPr>
        <w:t>存在的主要潜在冲突及解决方案</w:t>
      </w:r>
    </w:p>
    <w:p w14:paraId="01FC6F91">
      <w:pPr>
        <w:spacing w:line="24" w:lineRule="exact"/>
      </w:pPr>
    </w:p>
    <w:tbl>
      <w:tblPr>
        <w:tblStyle w:val="5"/>
        <w:tblW w:w="890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3281"/>
        <w:gridCol w:w="2555"/>
        <w:gridCol w:w="2553"/>
      </w:tblGrid>
      <w:tr w14:paraId="17E1CD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516" w:type="dxa"/>
            <w:vAlign w:val="top"/>
          </w:tcPr>
          <w:p w14:paraId="33A61603">
            <w:pPr>
              <w:pStyle w:val="6"/>
              <w:spacing w:before="36" w:line="218" w:lineRule="auto"/>
              <w:ind w:left="64"/>
              <w:rPr>
                <w:sz w:val="19"/>
                <w:szCs w:val="19"/>
              </w:rPr>
            </w:pPr>
            <w:r>
              <w:rPr>
                <w:spacing w:val="2"/>
                <w:sz w:val="19"/>
                <w:szCs w:val="19"/>
              </w:rPr>
              <w:t>序号</w:t>
            </w:r>
          </w:p>
        </w:tc>
        <w:tc>
          <w:tcPr>
            <w:tcW w:w="3281" w:type="dxa"/>
            <w:vAlign w:val="top"/>
          </w:tcPr>
          <w:p w14:paraId="3DF7789D">
            <w:pPr>
              <w:pStyle w:val="6"/>
              <w:spacing w:before="36" w:line="218" w:lineRule="auto"/>
              <w:ind w:left="447"/>
              <w:rPr>
                <w:sz w:val="19"/>
                <w:szCs w:val="19"/>
              </w:rPr>
            </w:pPr>
            <w:r>
              <w:rPr>
                <w:spacing w:val="8"/>
                <w:sz w:val="19"/>
                <w:szCs w:val="19"/>
              </w:rPr>
              <w:t>相关法规、政策及规划名称</w:t>
            </w:r>
          </w:p>
        </w:tc>
        <w:tc>
          <w:tcPr>
            <w:tcW w:w="2555" w:type="dxa"/>
            <w:vAlign w:val="top"/>
          </w:tcPr>
          <w:p w14:paraId="16C70363">
            <w:pPr>
              <w:pStyle w:val="6"/>
              <w:spacing w:before="36" w:line="218" w:lineRule="auto"/>
              <w:ind w:left="892"/>
              <w:rPr>
                <w:sz w:val="19"/>
                <w:szCs w:val="19"/>
              </w:rPr>
            </w:pPr>
            <w:r>
              <w:rPr>
                <w:spacing w:val="5"/>
                <w:sz w:val="19"/>
                <w:szCs w:val="19"/>
              </w:rPr>
              <w:t>主要冲突</w:t>
            </w:r>
          </w:p>
        </w:tc>
        <w:tc>
          <w:tcPr>
            <w:tcW w:w="2553" w:type="dxa"/>
            <w:vAlign w:val="top"/>
          </w:tcPr>
          <w:p w14:paraId="54A6D506">
            <w:pPr>
              <w:pStyle w:val="6"/>
              <w:spacing w:before="36" w:line="218" w:lineRule="auto"/>
              <w:ind w:left="884"/>
              <w:rPr>
                <w:sz w:val="19"/>
                <w:szCs w:val="19"/>
              </w:rPr>
            </w:pPr>
            <w:r>
              <w:rPr>
                <w:spacing w:val="6"/>
                <w:sz w:val="19"/>
                <w:szCs w:val="19"/>
              </w:rPr>
              <w:t>解决方案</w:t>
            </w:r>
          </w:p>
        </w:tc>
      </w:tr>
      <w:tr w14:paraId="2CC844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6" w:hRule="atLeast"/>
        </w:trPr>
        <w:tc>
          <w:tcPr>
            <w:tcW w:w="516" w:type="dxa"/>
            <w:vAlign w:val="top"/>
          </w:tcPr>
          <w:p w14:paraId="452992D0">
            <w:pPr>
              <w:spacing w:line="245" w:lineRule="auto"/>
              <w:rPr>
                <w:rFonts w:ascii="Arial"/>
                <w:sz w:val="21"/>
              </w:rPr>
            </w:pPr>
          </w:p>
          <w:p w14:paraId="19B06D90">
            <w:pPr>
              <w:spacing w:line="245" w:lineRule="auto"/>
              <w:rPr>
                <w:rFonts w:ascii="Arial"/>
                <w:sz w:val="21"/>
              </w:rPr>
            </w:pPr>
          </w:p>
          <w:p w14:paraId="762DA266">
            <w:pPr>
              <w:spacing w:line="245" w:lineRule="auto"/>
              <w:rPr>
                <w:rFonts w:ascii="Arial"/>
                <w:sz w:val="21"/>
              </w:rPr>
            </w:pPr>
          </w:p>
          <w:p w14:paraId="3020A10A">
            <w:pPr>
              <w:spacing w:line="245" w:lineRule="auto"/>
              <w:rPr>
                <w:rFonts w:ascii="Arial"/>
                <w:sz w:val="21"/>
              </w:rPr>
            </w:pPr>
          </w:p>
          <w:p w14:paraId="6A25BC95">
            <w:pPr>
              <w:spacing w:line="246" w:lineRule="auto"/>
              <w:rPr>
                <w:rFonts w:ascii="Arial"/>
                <w:sz w:val="21"/>
              </w:rPr>
            </w:pPr>
          </w:p>
          <w:p w14:paraId="4BDB613F">
            <w:pPr>
              <w:spacing w:line="246" w:lineRule="auto"/>
              <w:rPr>
                <w:rFonts w:ascii="Arial"/>
                <w:sz w:val="21"/>
              </w:rPr>
            </w:pPr>
          </w:p>
          <w:p w14:paraId="2976FA34">
            <w:pPr>
              <w:spacing w:line="246" w:lineRule="auto"/>
              <w:rPr>
                <w:rFonts w:ascii="Arial"/>
                <w:sz w:val="21"/>
              </w:rPr>
            </w:pPr>
          </w:p>
          <w:p w14:paraId="0D51675F">
            <w:pPr>
              <w:spacing w:line="246" w:lineRule="auto"/>
              <w:rPr>
                <w:rFonts w:ascii="Arial"/>
                <w:sz w:val="21"/>
              </w:rPr>
            </w:pPr>
          </w:p>
          <w:p w14:paraId="74CA2FCD">
            <w:pPr>
              <w:spacing w:line="246" w:lineRule="auto"/>
              <w:rPr>
                <w:rFonts w:ascii="Arial"/>
                <w:sz w:val="21"/>
              </w:rPr>
            </w:pPr>
          </w:p>
          <w:p w14:paraId="298C96CB">
            <w:pPr>
              <w:spacing w:line="246" w:lineRule="auto"/>
              <w:rPr>
                <w:rFonts w:ascii="Arial"/>
                <w:sz w:val="21"/>
              </w:rPr>
            </w:pPr>
          </w:p>
          <w:p w14:paraId="4C4D4164">
            <w:pPr>
              <w:spacing w:before="55" w:line="195" w:lineRule="auto"/>
              <w:ind w:left="225"/>
              <w:rPr>
                <w:rFonts w:ascii="Times New Roman" w:hAnsi="Times New Roman" w:eastAsia="Times New Roman" w:cs="Times New Roman"/>
                <w:sz w:val="19"/>
                <w:szCs w:val="19"/>
              </w:rPr>
            </w:pPr>
            <w:r>
              <w:rPr>
                <w:rFonts w:ascii="Times New Roman" w:hAnsi="Times New Roman" w:eastAsia="Times New Roman" w:cs="Times New Roman"/>
                <w:sz w:val="19"/>
                <w:szCs w:val="19"/>
              </w:rPr>
              <w:t>1</w:t>
            </w:r>
          </w:p>
        </w:tc>
        <w:tc>
          <w:tcPr>
            <w:tcW w:w="3281" w:type="dxa"/>
            <w:vAlign w:val="top"/>
          </w:tcPr>
          <w:p w14:paraId="0689CD2D">
            <w:pPr>
              <w:spacing w:line="252" w:lineRule="auto"/>
              <w:rPr>
                <w:rFonts w:ascii="Arial"/>
                <w:sz w:val="21"/>
              </w:rPr>
            </w:pPr>
          </w:p>
          <w:p w14:paraId="55273604">
            <w:pPr>
              <w:spacing w:line="252" w:lineRule="auto"/>
              <w:rPr>
                <w:rFonts w:ascii="Arial"/>
                <w:sz w:val="21"/>
              </w:rPr>
            </w:pPr>
          </w:p>
          <w:p w14:paraId="7AECDB35">
            <w:pPr>
              <w:spacing w:line="252" w:lineRule="auto"/>
              <w:rPr>
                <w:rFonts w:ascii="Arial"/>
                <w:sz w:val="21"/>
              </w:rPr>
            </w:pPr>
          </w:p>
          <w:p w14:paraId="6540DB4E">
            <w:pPr>
              <w:spacing w:line="252" w:lineRule="auto"/>
              <w:rPr>
                <w:rFonts w:ascii="Arial"/>
                <w:sz w:val="21"/>
              </w:rPr>
            </w:pPr>
          </w:p>
          <w:p w14:paraId="26E6D4F9">
            <w:pPr>
              <w:spacing w:line="252" w:lineRule="auto"/>
              <w:rPr>
                <w:rFonts w:ascii="Arial"/>
                <w:sz w:val="21"/>
              </w:rPr>
            </w:pPr>
          </w:p>
          <w:p w14:paraId="4D1E72C0">
            <w:pPr>
              <w:spacing w:line="253" w:lineRule="auto"/>
              <w:rPr>
                <w:rFonts w:ascii="Arial"/>
                <w:sz w:val="21"/>
              </w:rPr>
            </w:pPr>
          </w:p>
          <w:p w14:paraId="2722958A">
            <w:pPr>
              <w:pStyle w:val="6"/>
              <w:spacing w:before="61" w:line="231" w:lineRule="auto"/>
              <w:ind w:left="44"/>
              <w:rPr>
                <w:sz w:val="19"/>
                <w:szCs w:val="19"/>
              </w:rPr>
            </w:pPr>
            <w:r>
              <w:rPr>
                <w:spacing w:val="9"/>
                <w:sz w:val="19"/>
                <w:szCs w:val="19"/>
              </w:rPr>
              <w:t>《自然资源部农业农村部关于加强和</w:t>
            </w:r>
          </w:p>
          <w:p w14:paraId="0EF82E7A">
            <w:pPr>
              <w:pStyle w:val="6"/>
              <w:spacing w:before="22" w:line="229" w:lineRule="auto"/>
              <w:jc w:val="right"/>
              <w:rPr>
                <w:sz w:val="19"/>
                <w:szCs w:val="19"/>
              </w:rPr>
            </w:pPr>
            <w:r>
              <w:rPr>
                <w:spacing w:val="-1"/>
                <w:sz w:val="19"/>
                <w:szCs w:val="19"/>
              </w:rPr>
              <w:t>改进永久基本农田保护工作的通知》、</w:t>
            </w:r>
          </w:p>
          <w:p w14:paraId="28AB2D8C">
            <w:pPr>
              <w:pStyle w:val="6"/>
              <w:spacing w:before="23" w:line="231" w:lineRule="auto"/>
              <w:ind w:left="44"/>
              <w:rPr>
                <w:sz w:val="19"/>
                <w:szCs w:val="19"/>
              </w:rPr>
            </w:pPr>
            <w:r>
              <w:rPr>
                <w:spacing w:val="9"/>
                <w:sz w:val="19"/>
                <w:szCs w:val="19"/>
              </w:rPr>
              <w:t>《重庆市规划和自然资源局重庆市农</w:t>
            </w:r>
          </w:p>
          <w:p w14:paraId="343FE1C6">
            <w:pPr>
              <w:pStyle w:val="6"/>
              <w:spacing w:before="20" w:line="231" w:lineRule="auto"/>
              <w:ind w:left="44"/>
              <w:rPr>
                <w:sz w:val="19"/>
                <w:szCs w:val="19"/>
              </w:rPr>
            </w:pPr>
            <w:r>
              <w:rPr>
                <w:spacing w:val="9"/>
                <w:sz w:val="19"/>
                <w:szCs w:val="19"/>
              </w:rPr>
              <w:t>业农村委员会关于加强和改进永久基</w:t>
            </w:r>
          </w:p>
          <w:p w14:paraId="32248D23">
            <w:pPr>
              <w:pStyle w:val="6"/>
              <w:spacing w:before="22" w:line="229" w:lineRule="auto"/>
              <w:ind w:left="45"/>
              <w:rPr>
                <w:sz w:val="19"/>
                <w:szCs w:val="19"/>
              </w:rPr>
            </w:pPr>
            <w:r>
              <w:rPr>
                <w:spacing w:val="9"/>
                <w:sz w:val="19"/>
                <w:szCs w:val="19"/>
              </w:rPr>
              <w:t>本农田保护工作的实施意见》、《重</w:t>
            </w:r>
          </w:p>
          <w:p w14:paraId="37EB2B45">
            <w:pPr>
              <w:pStyle w:val="6"/>
              <w:spacing w:before="24" w:line="231" w:lineRule="auto"/>
              <w:ind w:left="45"/>
              <w:rPr>
                <w:sz w:val="19"/>
                <w:szCs w:val="19"/>
              </w:rPr>
            </w:pPr>
            <w:r>
              <w:rPr>
                <w:spacing w:val="9"/>
                <w:sz w:val="19"/>
                <w:szCs w:val="19"/>
              </w:rPr>
              <w:t>庆市规划和自然资源局关于进一步加</w:t>
            </w:r>
          </w:p>
          <w:p w14:paraId="0C420E14">
            <w:pPr>
              <w:pStyle w:val="6"/>
              <w:spacing w:before="20" w:line="231" w:lineRule="auto"/>
              <w:ind w:left="36"/>
              <w:rPr>
                <w:sz w:val="19"/>
                <w:szCs w:val="19"/>
              </w:rPr>
            </w:pPr>
            <w:r>
              <w:rPr>
                <w:spacing w:val="-2"/>
                <w:sz w:val="19"/>
                <w:szCs w:val="19"/>
              </w:rPr>
              <w:t>强占用永久基本农田管理的通知》（渝</w:t>
            </w:r>
          </w:p>
          <w:p w14:paraId="129646FA">
            <w:pPr>
              <w:pStyle w:val="6"/>
              <w:spacing w:before="22" w:line="233" w:lineRule="auto"/>
              <w:ind w:left="469"/>
              <w:rPr>
                <w:sz w:val="19"/>
                <w:szCs w:val="19"/>
              </w:rPr>
            </w:pPr>
            <w:r>
              <w:rPr>
                <w:spacing w:val="6"/>
                <w:sz w:val="19"/>
                <w:szCs w:val="19"/>
              </w:rPr>
              <w:t>规资规范〔</w:t>
            </w:r>
            <w:r>
              <w:rPr>
                <w:rFonts w:ascii="Times New Roman" w:hAnsi="Times New Roman" w:eastAsia="Times New Roman" w:cs="Times New Roman"/>
                <w:spacing w:val="6"/>
                <w:sz w:val="19"/>
                <w:szCs w:val="19"/>
              </w:rPr>
              <w:t>2020</w:t>
            </w:r>
            <w:r>
              <w:rPr>
                <w:spacing w:val="6"/>
                <w:sz w:val="19"/>
                <w:szCs w:val="19"/>
              </w:rPr>
              <w:t>〕</w:t>
            </w:r>
            <w:r>
              <w:rPr>
                <w:rFonts w:ascii="Times New Roman" w:hAnsi="Times New Roman" w:eastAsia="Times New Roman" w:cs="Times New Roman"/>
                <w:spacing w:val="6"/>
                <w:sz w:val="19"/>
                <w:szCs w:val="19"/>
              </w:rPr>
              <w:t>9</w:t>
            </w:r>
            <w:r>
              <w:rPr>
                <w:rFonts w:ascii="Times New Roman" w:hAnsi="Times New Roman" w:eastAsia="Times New Roman" w:cs="Times New Roman"/>
                <w:spacing w:val="30"/>
                <w:w w:val="101"/>
                <w:sz w:val="19"/>
                <w:szCs w:val="19"/>
              </w:rPr>
              <w:t xml:space="preserve"> </w:t>
            </w:r>
            <w:r>
              <w:rPr>
                <w:spacing w:val="6"/>
                <w:sz w:val="19"/>
                <w:szCs w:val="19"/>
              </w:rPr>
              <w:t>号）等</w:t>
            </w:r>
          </w:p>
        </w:tc>
        <w:tc>
          <w:tcPr>
            <w:tcW w:w="2555" w:type="dxa"/>
            <w:vAlign w:val="top"/>
          </w:tcPr>
          <w:p w14:paraId="3906515C">
            <w:pPr>
              <w:spacing w:line="254" w:lineRule="auto"/>
              <w:rPr>
                <w:rFonts w:ascii="Arial"/>
                <w:sz w:val="21"/>
              </w:rPr>
            </w:pPr>
          </w:p>
          <w:p w14:paraId="4F41EB6D">
            <w:pPr>
              <w:spacing w:line="254" w:lineRule="auto"/>
              <w:rPr>
                <w:rFonts w:ascii="Arial"/>
                <w:sz w:val="21"/>
              </w:rPr>
            </w:pPr>
          </w:p>
          <w:p w14:paraId="4C509F9F">
            <w:pPr>
              <w:spacing w:line="254" w:lineRule="auto"/>
              <w:rPr>
                <w:rFonts w:ascii="Arial"/>
                <w:sz w:val="21"/>
              </w:rPr>
            </w:pPr>
          </w:p>
          <w:p w14:paraId="7542538E">
            <w:pPr>
              <w:spacing w:line="254" w:lineRule="auto"/>
              <w:rPr>
                <w:rFonts w:ascii="Arial"/>
                <w:sz w:val="21"/>
              </w:rPr>
            </w:pPr>
          </w:p>
          <w:p w14:paraId="1B12F3C8">
            <w:pPr>
              <w:spacing w:line="254" w:lineRule="auto"/>
              <w:rPr>
                <w:rFonts w:ascii="Arial"/>
                <w:sz w:val="21"/>
              </w:rPr>
            </w:pPr>
          </w:p>
          <w:p w14:paraId="553EE3EF">
            <w:pPr>
              <w:spacing w:line="254" w:lineRule="auto"/>
              <w:rPr>
                <w:rFonts w:ascii="Arial"/>
                <w:sz w:val="21"/>
              </w:rPr>
            </w:pPr>
          </w:p>
          <w:p w14:paraId="7AFDEFF2">
            <w:pPr>
              <w:spacing w:line="254" w:lineRule="auto"/>
              <w:rPr>
                <w:rFonts w:ascii="Arial"/>
                <w:sz w:val="21"/>
              </w:rPr>
            </w:pPr>
          </w:p>
          <w:p w14:paraId="6C155470">
            <w:pPr>
              <w:spacing w:line="254" w:lineRule="auto"/>
              <w:rPr>
                <w:rFonts w:ascii="Arial"/>
                <w:sz w:val="21"/>
              </w:rPr>
            </w:pPr>
          </w:p>
          <w:p w14:paraId="4354E425">
            <w:pPr>
              <w:spacing w:line="254" w:lineRule="auto"/>
              <w:rPr>
                <w:rFonts w:ascii="Arial"/>
                <w:sz w:val="21"/>
              </w:rPr>
            </w:pPr>
          </w:p>
          <w:p w14:paraId="7F412E6C">
            <w:pPr>
              <w:pStyle w:val="6"/>
              <w:spacing w:before="62" w:line="221" w:lineRule="auto"/>
              <w:ind w:left="61"/>
              <w:rPr>
                <w:sz w:val="19"/>
                <w:szCs w:val="19"/>
              </w:rPr>
            </w:pPr>
            <w:r>
              <w:rPr>
                <w:rFonts w:ascii="Times New Roman" w:hAnsi="Times New Roman" w:eastAsia="Times New Roman" w:cs="Times New Roman"/>
                <w:sz w:val="19"/>
                <w:szCs w:val="19"/>
              </w:rPr>
              <w:t>KQ</w:t>
            </w:r>
            <w:r>
              <w:rPr>
                <w:rFonts w:ascii="Times New Roman" w:hAnsi="Times New Roman" w:eastAsia="Times New Roman" w:cs="Times New Roman"/>
                <w:spacing w:val="6"/>
                <w:sz w:val="19"/>
                <w:szCs w:val="19"/>
              </w:rPr>
              <w:t>004</w:t>
            </w:r>
            <w:r>
              <w:rPr>
                <w:rFonts w:ascii="Times New Roman" w:hAnsi="Times New Roman" w:eastAsia="Times New Roman" w:cs="Times New Roman"/>
                <w:spacing w:val="-18"/>
                <w:sz w:val="19"/>
                <w:szCs w:val="19"/>
              </w:rPr>
              <w:t xml:space="preserve"> </w:t>
            </w:r>
            <w:r>
              <w:rPr>
                <w:spacing w:val="6"/>
                <w:sz w:val="19"/>
                <w:szCs w:val="19"/>
              </w:rPr>
              <w:t>、</w:t>
            </w:r>
            <w:r>
              <w:rPr>
                <w:rFonts w:ascii="Times New Roman" w:hAnsi="Times New Roman" w:eastAsia="Times New Roman" w:cs="Times New Roman"/>
                <w:sz w:val="19"/>
                <w:szCs w:val="19"/>
              </w:rPr>
              <w:t>KQ</w:t>
            </w:r>
            <w:r>
              <w:rPr>
                <w:rFonts w:ascii="Times New Roman" w:hAnsi="Times New Roman" w:eastAsia="Times New Roman" w:cs="Times New Roman"/>
                <w:spacing w:val="6"/>
                <w:sz w:val="19"/>
                <w:szCs w:val="19"/>
              </w:rPr>
              <w:t>009</w:t>
            </w:r>
            <w:r>
              <w:rPr>
                <w:rFonts w:ascii="Times New Roman" w:hAnsi="Times New Roman" w:eastAsia="Times New Roman" w:cs="Times New Roman"/>
                <w:spacing w:val="16"/>
                <w:sz w:val="19"/>
                <w:szCs w:val="19"/>
              </w:rPr>
              <w:t xml:space="preserve"> </w:t>
            </w:r>
            <w:r>
              <w:rPr>
                <w:spacing w:val="6"/>
                <w:sz w:val="19"/>
                <w:szCs w:val="19"/>
              </w:rPr>
              <w:t>部分占用基</w:t>
            </w:r>
          </w:p>
          <w:p w14:paraId="3D94B1EF">
            <w:pPr>
              <w:pStyle w:val="6"/>
              <w:spacing w:before="31" w:line="231" w:lineRule="auto"/>
              <w:ind w:left="887"/>
              <w:rPr>
                <w:sz w:val="19"/>
                <w:szCs w:val="19"/>
              </w:rPr>
            </w:pPr>
            <w:r>
              <w:rPr>
                <w:spacing w:val="3"/>
                <w:sz w:val="19"/>
                <w:szCs w:val="19"/>
              </w:rPr>
              <w:t>本农田。</w:t>
            </w:r>
          </w:p>
        </w:tc>
        <w:tc>
          <w:tcPr>
            <w:tcW w:w="2553" w:type="dxa"/>
            <w:vAlign w:val="top"/>
          </w:tcPr>
          <w:p w14:paraId="3A29284D">
            <w:pPr>
              <w:pStyle w:val="6"/>
              <w:spacing w:before="30" w:line="250" w:lineRule="auto"/>
              <w:ind w:left="28"/>
              <w:rPr>
                <w:sz w:val="19"/>
                <w:szCs w:val="19"/>
              </w:rPr>
            </w:pPr>
            <w:r>
              <w:rPr>
                <w:rFonts w:ascii="Times New Roman" w:hAnsi="Times New Roman" w:eastAsia="Times New Roman" w:cs="Times New Roman"/>
                <w:sz w:val="19"/>
                <w:szCs w:val="19"/>
              </w:rPr>
              <w:t>KQ</w:t>
            </w:r>
            <w:r>
              <w:rPr>
                <w:rFonts w:ascii="Times New Roman" w:hAnsi="Times New Roman" w:eastAsia="Times New Roman" w:cs="Times New Roman"/>
                <w:spacing w:val="4"/>
                <w:sz w:val="19"/>
                <w:szCs w:val="19"/>
              </w:rPr>
              <w:t xml:space="preserve">004 </w:t>
            </w:r>
            <w:r>
              <w:rPr>
                <w:spacing w:val="4"/>
                <w:sz w:val="19"/>
                <w:szCs w:val="19"/>
              </w:rPr>
              <w:t>和</w:t>
            </w:r>
            <w:r>
              <w:rPr>
                <w:spacing w:val="-51"/>
                <w:sz w:val="19"/>
                <w:szCs w:val="19"/>
              </w:rPr>
              <w:t xml:space="preserve"> </w:t>
            </w:r>
            <w:r>
              <w:rPr>
                <w:rFonts w:ascii="Times New Roman" w:hAnsi="Times New Roman" w:eastAsia="Times New Roman" w:cs="Times New Roman"/>
                <w:sz w:val="19"/>
                <w:szCs w:val="19"/>
              </w:rPr>
              <w:t>KQ</w:t>
            </w:r>
            <w:r>
              <w:rPr>
                <w:rFonts w:ascii="Times New Roman" w:hAnsi="Times New Roman" w:eastAsia="Times New Roman" w:cs="Times New Roman"/>
                <w:spacing w:val="4"/>
                <w:sz w:val="19"/>
                <w:szCs w:val="19"/>
              </w:rPr>
              <w:t xml:space="preserve">009 </w:t>
            </w:r>
            <w:r>
              <w:rPr>
                <w:spacing w:val="4"/>
                <w:sz w:val="19"/>
                <w:szCs w:val="19"/>
              </w:rPr>
              <w:t>为地下勘查</w:t>
            </w:r>
            <w:r>
              <w:rPr>
                <w:sz w:val="19"/>
                <w:szCs w:val="19"/>
              </w:rPr>
              <w:t xml:space="preserve"> </w:t>
            </w:r>
            <w:r>
              <w:rPr>
                <w:spacing w:val="14"/>
                <w:sz w:val="19"/>
                <w:szCs w:val="19"/>
              </w:rPr>
              <w:t>区块，在进行地质勘查活动</w:t>
            </w:r>
            <w:r>
              <w:rPr>
                <w:spacing w:val="6"/>
                <w:sz w:val="19"/>
                <w:szCs w:val="19"/>
              </w:rPr>
              <w:t xml:space="preserve"> </w:t>
            </w:r>
            <w:r>
              <w:rPr>
                <w:spacing w:val="33"/>
                <w:sz w:val="19"/>
                <w:szCs w:val="19"/>
              </w:rPr>
              <w:t>时应主动避让永久基本农</w:t>
            </w:r>
            <w:r>
              <w:rPr>
                <w:spacing w:val="1"/>
                <w:sz w:val="19"/>
                <w:szCs w:val="19"/>
              </w:rPr>
              <w:t xml:space="preserve"> </w:t>
            </w:r>
            <w:r>
              <w:rPr>
                <w:spacing w:val="14"/>
                <w:sz w:val="19"/>
                <w:szCs w:val="19"/>
              </w:rPr>
              <w:t>田，确实无法避让永久基本</w:t>
            </w:r>
            <w:r>
              <w:rPr>
                <w:spacing w:val="6"/>
                <w:sz w:val="19"/>
                <w:szCs w:val="19"/>
              </w:rPr>
              <w:t xml:space="preserve"> </w:t>
            </w:r>
            <w:r>
              <w:rPr>
                <w:spacing w:val="23"/>
                <w:sz w:val="19"/>
                <w:szCs w:val="19"/>
              </w:rPr>
              <w:t>农田的</w:t>
            </w:r>
            <w:r>
              <w:rPr>
                <w:spacing w:val="-32"/>
                <w:sz w:val="19"/>
                <w:szCs w:val="19"/>
              </w:rPr>
              <w:t xml:space="preserve"> </w:t>
            </w:r>
            <w:r>
              <w:rPr>
                <w:spacing w:val="23"/>
                <w:sz w:val="19"/>
                <w:szCs w:val="19"/>
              </w:rPr>
              <w:t>，</w:t>
            </w:r>
            <w:r>
              <w:rPr>
                <w:spacing w:val="-47"/>
                <w:sz w:val="19"/>
                <w:szCs w:val="19"/>
              </w:rPr>
              <w:t xml:space="preserve"> </w:t>
            </w:r>
            <w:r>
              <w:rPr>
                <w:spacing w:val="23"/>
                <w:sz w:val="19"/>
                <w:szCs w:val="19"/>
              </w:rPr>
              <w:t>在不修建永久建</w:t>
            </w:r>
            <w:r>
              <w:rPr>
                <w:sz w:val="19"/>
                <w:szCs w:val="19"/>
              </w:rPr>
              <w:t xml:space="preserve"> </w:t>
            </w:r>
            <w:r>
              <w:rPr>
                <w:spacing w:val="11"/>
                <w:sz w:val="19"/>
                <w:szCs w:val="19"/>
              </w:rPr>
              <w:t>（构）</w:t>
            </w:r>
            <w:r>
              <w:rPr>
                <w:spacing w:val="-53"/>
                <w:sz w:val="19"/>
                <w:szCs w:val="19"/>
              </w:rPr>
              <w:t xml:space="preserve"> </w:t>
            </w:r>
            <w:r>
              <w:rPr>
                <w:spacing w:val="11"/>
                <w:sz w:val="19"/>
                <w:szCs w:val="19"/>
              </w:rPr>
              <w:t>筑物、经复垦能恢复</w:t>
            </w:r>
            <w:r>
              <w:rPr>
                <w:sz w:val="19"/>
                <w:szCs w:val="19"/>
              </w:rPr>
              <w:t xml:space="preserve"> </w:t>
            </w:r>
            <w:r>
              <w:rPr>
                <w:spacing w:val="14"/>
                <w:sz w:val="19"/>
                <w:szCs w:val="19"/>
              </w:rPr>
              <w:t>原种植条件的前提下，土地</w:t>
            </w:r>
            <w:r>
              <w:rPr>
                <w:spacing w:val="6"/>
                <w:sz w:val="19"/>
                <w:szCs w:val="19"/>
              </w:rPr>
              <w:t xml:space="preserve"> </w:t>
            </w:r>
            <w:r>
              <w:rPr>
                <w:spacing w:val="14"/>
                <w:sz w:val="19"/>
                <w:szCs w:val="19"/>
              </w:rPr>
              <w:t>使用者按法定程序申请临时</w:t>
            </w:r>
            <w:r>
              <w:rPr>
                <w:spacing w:val="6"/>
                <w:sz w:val="19"/>
                <w:szCs w:val="19"/>
              </w:rPr>
              <w:t xml:space="preserve"> </w:t>
            </w:r>
            <w:r>
              <w:rPr>
                <w:spacing w:val="16"/>
                <w:sz w:val="19"/>
                <w:szCs w:val="19"/>
              </w:rPr>
              <w:t>用地并编制土地复垦方案。</w:t>
            </w:r>
            <w:r>
              <w:rPr>
                <w:spacing w:val="3"/>
                <w:sz w:val="19"/>
                <w:szCs w:val="19"/>
              </w:rPr>
              <w:t xml:space="preserve"> </w:t>
            </w:r>
            <w:r>
              <w:rPr>
                <w:spacing w:val="14"/>
                <w:sz w:val="19"/>
                <w:szCs w:val="19"/>
              </w:rPr>
              <w:t>临时用地使用前，应通过耕</w:t>
            </w:r>
            <w:r>
              <w:rPr>
                <w:spacing w:val="6"/>
                <w:sz w:val="19"/>
                <w:szCs w:val="19"/>
              </w:rPr>
              <w:t xml:space="preserve"> </w:t>
            </w:r>
            <w:r>
              <w:rPr>
                <w:spacing w:val="14"/>
                <w:sz w:val="19"/>
                <w:szCs w:val="19"/>
              </w:rPr>
              <w:t>地耕作层土壤剥离再利用等</w:t>
            </w:r>
            <w:r>
              <w:rPr>
                <w:spacing w:val="6"/>
                <w:sz w:val="19"/>
                <w:szCs w:val="19"/>
              </w:rPr>
              <w:t xml:space="preserve"> </w:t>
            </w:r>
            <w:r>
              <w:rPr>
                <w:spacing w:val="14"/>
                <w:sz w:val="19"/>
                <w:szCs w:val="19"/>
              </w:rPr>
              <w:t>工程技术措施，减少对耕作</w:t>
            </w:r>
            <w:r>
              <w:rPr>
                <w:spacing w:val="6"/>
                <w:sz w:val="19"/>
                <w:szCs w:val="19"/>
              </w:rPr>
              <w:t xml:space="preserve"> </w:t>
            </w:r>
            <w:r>
              <w:rPr>
                <w:spacing w:val="10"/>
                <w:sz w:val="19"/>
                <w:szCs w:val="19"/>
              </w:rPr>
              <w:t>层的破坏，</w:t>
            </w:r>
            <w:r>
              <w:rPr>
                <w:spacing w:val="-41"/>
                <w:sz w:val="19"/>
                <w:szCs w:val="19"/>
              </w:rPr>
              <w:t xml:space="preserve"> </w:t>
            </w:r>
            <w:r>
              <w:rPr>
                <w:spacing w:val="10"/>
                <w:sz w:val="19"/>
                <w:szCs w:val="19"/>
              </w:rPr>
              <w:t>同时采用绿色勘</w:t>
            </w:r>
            <w:r>
              <w:rPr>
                <w:sz w:val="19"/>
                <w:szCs w:val="19"/>
              </w:rPr>
              <w:t xml:space="preserve"> </w:t>
            </w:r>
            <w:r>
              <w:rPr>
                <w:spacing w:val="14"/>
                <w:sz w:val="19"/>
                <w:szCs w:val="19"/>
              </w:rPr>
              <w:t>查方式，勘查时尽量少占或</w:t>
            </w:r>
            <w:r>
              <w:rPr>
                <w:spacing w:val="6"/>
                <w:sz w:val="19"/>
                <w:szCs w:val="19"/>
              </w:rPr>
              <w:t xml:space="preserve"> </w:t>
            </w:r>
            <w:r>
              <w:rPr>
                <w:spacing w:val="4"/>
                <w:sz w:val="19"/>
                <w:szCs w:val="19"/>
              </w:rPr>
              <w:t>不占永久基本农田。</w:t>
            </w:r>
            <w:r>
              <w:rPr>
                <w:rFonts w:ascii="Times New Roman" w:hAnsi="Times New Roman" w:eastAsia="Times New Roman" w:cs="Times New Roman"/>
                <w:sz w:val="19"/>
                <w:szCs w:val="19"/>
              </w:rPr>
              <w:t>KQ</w:t>
            </w:r>
            <w:r>
              <w:rPr>
                <w:rFonts w:ascii="Times New Roman" w:hAnsi="Times New Roman" w:eastAsia="Times New Roman" w:cs="Times New Roman"/>
                <w:spacing w:val="4"/>
                <w:sz w:val="19"/>
                <w:szCs w:val="19"/>
              </w:rPr>
              <w:t>004</w:t>
            </w:r>
            <w:r>
              <w:rPr>
                <w:spacing w:val="4"/>
                <w:sz w:val="19"/>
                <w:szCs w:val="19"/>
              </w:rPr>
              <w:t>、</w:t>
            </w:r>
            <w:r>
              <w:rPr>
                <w:spacing w:val="1"/>
                <w:sz w:val="19"/>
                <w:szCs w:val="19"/>
              </w:rPr>
              <w:t xml:space="preserve"> </w:t>
            </w:r>
            <w:r>
              <w:rPr>
                <w:rFonts w:ascii="Times New Roman" w:hAnsi="Times New Roman" w:eastAsia="Times New Roman" w:cs="Times New Roman"/>
                <w:sz w:val="19"/>
                <w:szCs w:val="19"/>
              </w:rPr>
              <w:t>KQ</w:t>
            </w:r>
            <w:r>
              <w:rPr>
                <w:rFonts w:ascii="Times New Roman" w:hAnsi="Times New Roman" w:eastAsia="Times New Roman" w:cs="Times New Roman"/>
                <w:spacing w:val="11"/>
                <w:sz w:val="19"/>
                <w:szCs w:val="19"/>
              </w:rPr>
              <w:t>009</w:t>
            </w:r>
            <w:r>
              <w:rPr>
                <w:rFonts w:ascii="Times New Roman" w:hAnsi="Times New Roman" w:eastAsia="Times New Roman" w:cs="Times New Roman"/>
                <w:spacing w:val="25"/>
                <w:w w:val="101"/>
                <w:sz w:val="19"/>
                <w:szCs w:val="19"/>
              </w:rPr>
              <w:t xml:space="preserve"> </w:t>
            </w:r>
            <w:r>
              <w:rPr>
                <w:spacing w:val="11"/>
                <w:sz w:val="19"/>
                <w:szCs w:val="19"/>
              </w:rPr>
              <w:t>如需转为开采区块，</w:t>
            </w:r>
            <w:r>
              <w:rPr>
                <w:sz w:val="19"/>
                <w:szCs w:val="19"/>
              </w:rPr>
              <w:t xml:space="preserve"> </w:t>
            </w:r>
            <w:r>
              <w:rPr>
                <w:spacing w:val="14"/>
                <w:sz w:val="19"/>
                <w:szCs w:val="19"/>
              </w:rPr>
              <w:t>则应优化矿区布局，地面工</w:t>
            </w:r>
            <w:r>
              <w:rPr>
                <w:spacing w:val="8"/>
                <w:sz w:val="19"/>
                <w:szCs w:val="19"/>
              </w:rPr>
              <w:t xml:space="preserve"> </w:t>
            </w:r>
            <w:r>
              <w:rPr>
                <w:spacing w:val="14"/>
                <w:sz w:val="19"/>
                <w:szCs w:val="19"/>
              </w:rPr>
              <w:t>程避让永久基本农田，确保</w:t>
            </w:r>
            <w:r>
              <w:rPr>
                <w:spacing w:val="6"/>
                <w:sz w:val="19"/>
                <w:szCs w:val="19"/>
              </w:rPr>
              <w:t xml:space="preserve"> </w:t>
            </w:r>
            <w:r>
              <w:rPr>
                <w:spacing w:val="16"/>
                <w:sz w:val="19"/>
                <w:szCs w:val="19"/>
              </w:rPr>
              <w:t>不造成永久基本农田损毁、</w:t>
            </w:r>
            <w:r>
              <w:rPr>
                <w:spacing w:val="3"/>
                <w:sz w:val="19"/>
                <w:szCs w:val="19"/>
              </w:rPr>
              <w:t xml:space="preserve"> </w:t>
            </w:r>
            <w:r>
              <w:rPr>
                <w:spacing w:val="5"/>
                <w:sz w:val="19"/>
                <w:szCs w:val="19"/>
              </w:rPr>
              <w:t>塌陷破坏。</w:t>
            </w:r>
          </w:p>
        </w:tc>
      </w:tr>
      <w:tr w14:paraId="464C25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5" w:hRule="atLeast"/>
        </w:trPr>
        <w:tc>
          <w:tcPr>
            <w:tcW w:w="516" w:type="dxa"/>
            <w:vAlign w:val="top"/>
          </w:tcPr>
          <w:p w14:paraId="5F48D39E">
            <w:pPr>
              <w:spacing w:line="262" w:lineRule="auto"/>
              <w:rPr>
                <w:rFonts w:ascii="Arial"/>
                <w:sz w:val="21"/>
              </w:rPr>
            </w:pPr>
          </w:p>
          <w:p w14:paraId="1261A671">
            <w:pPr>
              <w:spacing w:line="262" w:lineRule="auto"/>
              <w:rPr>
                <w:rFonts w:ascii="Arial"/>
                <w:sz w:val="21"/>
              </w:rPr>
            </w:pPr>
          </w:p>
          <w:p w14:paraId="2B250BD3">
            <w:pPr>
              <w:spacing w:line="262" w:lineRule="auto"/>
              <w:rPr>
                <w:rFonts w:ascii="Arial"/>
                <w:sz w:val="21"/>
              </w:rPr>
            </w:pPr>
          </w:p>
          <w:p w14:paraId="23C5F1BE">
            <w:pPr>
              <w:spacing w:before="55" w:line="195" w:lineRule="auto"/>
              <w:ind w:left="206"/>
              <w:rPr>
                <w:rFonts w:ascii="Times New Roman" w:hAnsi="Times New Roman" w:eastAsia="Times New Roman" w:cs="Times New Roman"/>
                <w:sz w:val="19"/>
                <w:szCs w:val="19"/>
              </w:rPr>
            </w:pPr>
            <w:r>
              <w:rPr>
                <w:rFonts w:ascii="Times New Roman" w:hAnsi="Times New Roman" w:eastAsia="Times New Roman" w:cs="Times New Roman"/>
                <w:sz w:val="19"/>
                <w:szCs w:val="19"/>
              </w:rPr>
              <w:t>2</w:t>
            </w:r>
          </w:p>
        </w:tc>
        <w:tc>
          <w:tcPr>
            <w:tcW w:w="3281" w:type="dxa"/>
            <w:vAlign w:val="top"/>
          </w:tcPr>
          <w:p w14:paraId="5F3926EF">
            <w:pPr>
              <w:spacing w:line="478" w:lineRule="auto"/>
              <w:rPr>
                <w:rFonts w:ascii="Arial"/>
                <w:sz w:val="21"/>
              </w:rPr>
            </w:pPr>
          </w:p>
          <w:p w14:paraId="5DD90030">
            <w:pPr>
              <w:pStyle w:val="6"/>
              <w:spacing w:before="65" w:line="231" w:lineRule="auto"/>
              <w:ind w:left="81"/>
              <w:rPr>
                <w:sz w:val="19"/>
                <w:szCs w:val="19"/>
              </w:rPr>
            </w:pPr>
            <w:r>
              <w:rPr>
                <w:spacing w:val="6"/>
                <w:sz w:val="20"/>
                <w:szCs w:val="20"/>
              </w:rPr>
              <w:t>《国家级公益林管理办法》</w:t>
            </w:r>
            <w:r>
              <w:rPr>
                <w:spacing w:val="-58"/>
                <w:sz w:val="20"/>
                <w:szCs w:val="20"/>
              </w:rPr>
              <w:t xml:space="preserve"> </w:t>
            </w:r>
            <w:r>
              <w:rPr>
                <w:spacing w:val="6"/>
                <w:sz w:val="20"/>
                <w:szCs w:val="20"/>
              </w:rPr>
              <w:t>、</w:t>
            </w:r>
            <w:r>
              <w:rPr>
                <w:spacing w:val="6"/>
                <w:sz w:val="19"/>
                <w:szCs w:val="19"/>
              </w:rPr>
              <w:t>《重</w:t>
            </w:r>
          </w:p>
          <w:p w14:paraId="2D65DAB4">
            <w:pPr>
              <w:pStyle w:val="6"/>
              <w:spacing w:before="22" w:line="231" w:lineRule="auto"/>
              <w:ind w:left="45"/>
              <w:rPr>
                <w:sz w:val="19"/>
                <w:szCs w:val="19"/>
              </w:rPr>
            </w:pPr>
            <w:r>
              <w:rPr>
                <w:spacing w:val="9"/>
                <w:sz w:val="19"/>
                <w:szCs w:val="19"/>
              </w:rPr>
              <w:t>庆市公益林管理办法》、《建设项目</w:t>
            </w:r>
          </w:p>
          <w:p w14:paraId="77D0BB30">
            <w:pPr>
              <w:pStyle w:val="6"/>
              <w:spacing w:before="19" w:line="231" w:lineRule="auto"/>
              <w:ind w:left="345"/>
              <w:rPr>
                <w:sz w:val="19"/>
                <w:szCs w:val="19"/>
              </w:rPr>
            </w:pPr>
            <w:r>
              <w:rPr>
                <w:spacing w:val="8"/>
                <w:sz w:val="19"/>
                <w:szCs w:val="19"/>
              </w:rPr>
              <w:t>使用林地审核审批管理办法》</w:t>
            </w:r>
          </w:p>
        </w:tc>
        <w:tc>
          <w:tcPr>
            <w:tcW w:w="2555" w:type="dxa"/>
            <w:vAlign w:val="top"/>
          </w:tcPr>
          <w:p w14:paraId="29732BCD">
            <w:pPr>
              <w:spacing w:line="244" w:lineRule="auto"/>
              <w:rPr>
                <w:rFonts w:ascii="Arial"/>
                <w:sz w:val="21"/>
              </w:rPr>
            </w:pPr>
          </w:p>
          <w:p w14:paraId="4D44E57E">
            <w:pPr>
              <w:spacing w:line="244" w:lineRule="auto"/>
              <w:rPr>
                <w:rFonts w:ascii="Arial"/>
                <w:sz w:val="21"/>
              </w:rPr>
            </w:pPr>
          </w:p>
          <w:p w14:paraId="1ED5A297">
            <w:pPr>
              <w:pStyle w:val="6"/>
              <w:spacing w:before="61" w:line="221" w:lineRule="auto"/>
              <w:ind w:left="56"/>
              <w:rPr>
                <w:sz w:val="19"/>
                <w:szCs w:val="19"/>
              </w:rPr>
            </w:pPr>
            <w:r>
              <w:rPr>
                <w:rFonts w:ascii="Times New Roman" w:hAnsi="Times New Roman" w:eastAsia="Times New Roman" w:cs="Times New Roman"/>
                <w:sz w:val="19"/>
                <w:szCs w:val="19"/>
              </w:rPr>
              <w:t>KQ</w:t>
            </w:r>
            <w:r>
              <w:rPr>
                <w:rFonts w:ascii="Times New Roman" w:hAnsi="Times New Roman" w:eastAsia="Times New Roman" w:cs="Times New Roman"/>
                <w:spacing w:val="8"/>
                <w:sz w:val="19"/>
                <w:szCs w:val="19"/>
              </w:rPr>
              <w:t>004</w:t>
            </w:r>
            <w:r>
              <w:rPr>
                <w:rFonts w:ascii="Times New Roman" w:hAnsi="Times New Roman" w:eastAsia="Times New Roman" w:cs="Times New Roman"/>
                <w:spacing w:val="20"/>
                <w:w w:val="101"/>
                <w:sz w:val="19"/>
                <w:szCs w:val="19"/>
              </w:rPr>
              <w:t xml:space="preserve"> </w:t>
            </w:r>
            <w:r>
              <w:rPr>
                <w:spacing w:val="8"/>
                <w:sz w:val="19"/>
                <w:szCs w:val="19"/>
              </w:rPr>
              <w:t>部分占用二级国家级</w:t>
            </w:r>
          </w:p>
          <w:p w14:paraId="5CA60FA0">
            <w:pPr>
              <w:pStyle w:val="6"/>
              <w:spacing w:before="31" w:line="221" w:lineRule="auto"/>
              <w:ind w:left="70"/>
              <w:rPr>
                <w:sz w:val="19"/>
                <w:szCs w:val="19"/>
              </w:rPr>
            </w:pPr>
            <w:r>
              <w:rPr>
                <w:spacing w:val="7"/>
                <w:sz w:val="19"/>
                <w:szCs w:val="19"/>
              </w:rPr>
              <w:t>公益林，</w:t>
            </w:r>
            <w:r>
              <w:rPr>
                <w:rFonts w:ascii="Times New Roman" w:hAnsi="Times New Roman" w:eastAsia="Times New Roman" w:cs="Times New Roman"/>
                <w:sz w:val="19"/>
                <w:szCs w:val="19"/>
              </w:rPr>
              <w:t>KQ</w:t>
            </w:r>
            <w:r>
              <w:rPr>
                <w:rFonts w:ascii="Times New Roman" w:hAnsi="Times New Roman" w:eastAsia="Times New Roman" w:cs="Times New Roman"/>
                <w:spacing w:val="7"/>
                <w:sz w:val="19"/>
                <w:szCs w:val="19"/>
              </w:rPr>
              <w:t>009</w:t>
            </w:r>
            <w:r>
              <w:rPr>
                <w:rFonts w:ascii="Times New Roman" w:hAnsi="Times New Roman" w:eastAsia="Times New Roman" w:cs="Times New Roman"/>
                <w:spacing w:val="16"/>
                <w:w w:val="101"/>
                <w:sz w:val="19"/>
                <w:szCs w:val="19"/>
              </w:rPr>
              <w:t xml:space="preserve"> </w:t>
            </w:r>
            <w:r>
              <w:rPr>
                <w:spacing w:val="7"/>
                <w:sz w:val="19"/>
                <w:szCs w:val="19"/>
              </w:rPr>
              <w:t>部分占用地</w:t>
            </w:r>
          </w:p>
          <w:p w14:paraId="000C7FD1">
            <w:pPr>
              <w:pStyle w:val="6"/>
              <w:spacing w:before="31" w:line="231" w:lineRule="auto"/>
              <w:ind w:left="791"/>
              <w:rPr>
                <w:sz w:val="19"/>
                <w:szCs w:val="19"/>
              </w:rPr>
            </w:pPr>
            <w:r>
              <w:rPr>
                <w:spacing w:val="4"/>
                <w:sz w:val="19"/>
                <w:szCs w:val="19"/>
              </w:rPr>
              <w:t>方公益林。</w:t>
            </w:r>
          </w:p>
        </w:tc>
        <w:tc>
          <w:tcPr>
            <w:tcW w:w="2553" w:type="dxa"/>
            <w:vAlign w:val="top"/>
          </w:tcPr>
          <w:p w14:paraId="3A443DCA">
            <w:pPr>
              <w:pStyle w:val="6"/>
              <w:spacing w:before="35" w:line="247" w:lineRule="auto"/>
              <w:ind w:left="37" w:right="26" w:hanging="9"/>
              <w:jc w:val="both"/>
              <w:rPr>
                <w:sz w:val="19"/>
                <w:szCs w:val="19"/>
              </w:rPr>
            </w:pPr>
            <w:r>
              <w:rPr>
                <w:rFonts w:ascii="Times New Roman" w:hAnsi="Times New Roman" w:eastAsia="Times New Roman" w:cs="Times New Roman"/>
                <w:sz w:val="19"/>
                <w:szCs w:val="19"/>
              </w:rPr>
              <w:t>KQ</w:t>
            </w:r>
            <w:r>
              <w:rPr>
                <w:rFonts w:ascii="Times New Roman" w:hAnsi="Times New Roman" w:eastAsia="Times New Roman" w:cs="Times New Roman"/>
                <w:spacing w:val="9"/>
                <w:sz w:val="19"/>
                <w:szCs w:val="19"/>
              </w:rPr>
              <w:t>004</w:t>
            </w:r>
            <w:r>
              <w:rPr>
                <w:rFonts w:ascii="Times New Roman" w:hAnsi="Times New Roman" w:eastAsia="Times New Roman" w:cs="Times New Roman"/>
                <w:spacing w:val="-7"/>
                <w:sz w:val="19"/>
                <w:szCs w:val="19"/>
              </w:rPr>
              <w:t xml:space="preserve"> </w:t>
            </w:r>
            <w:r>
              <w:rPr>
                <w:spacing w:val="9"/>
                <w:sz w:val="19"/>
                <w:szCs w:val="19"/>
              </w:rPr>
              <w:t>、</w:t>
            </w:r>
            <w:r>
              <w:rPr>
                <w:rFonts w:ascii="Times New Roman" w:hAnsi="Times New Roman" w:eastAsia="Times New Roman" w:cs="Times New Roman"/>
                <w:sz w:val="19"/>
                <w:szCs w:val="19"/>
              </w:rPr>
              <w:t>KQ</w:t>
            </w:r>
            <w:r>
              <w:rPr>
                <w:rFonts w:ascii="Times New Roman" w:hAnsi="Times New Roman" w:eastAsia="Times New Roman" w:cs="Times New Roman"/>
                <w:spacing w:val="9"/>
                <w:sz w:val="19"/>
                <w:szCs w:val="19"/>
              </w:rPr>
              <w:t>009</w:t>
            </w:r>
            <w:r>
              <w:rPr>
                <w:rFonts w:ascii="Times New Roman" w:hAnsi="Times New Roman" w:eastAsia="Times New Roman" w:cs="Times New Roman"/>
                <w:spacing w:val="31"/>
                <w:w w:val="101"/>
                <w:sz w:val="19"/>
                <w:szCs w:val="19"/>
              </w:rPr>
              <w:t xml:space="preserve"> </w:t>
            </w:r>
            <w:r>
              <w:rPr>
                <w:spacing w:val="9"/>
                <w:sz w:val="19"/>
                <w:szCs w:val="19"/>
              </w:rPr>
              <w:t>为地下勘查</w:t>
            </w:r>
            <w:r>
              <w:rPr>
                <w:sz w:val="19"/>
                <w:szCs w:val="19"/>
              </w:rPr>
              <w:t xml:space="preserve"> </w:t>
            </w:r>
            <w:r>
              <w:rPr>
                <w:spacing w:val="16"/>
                <w:sz w:val="19"/>
                <w:szCs w:val="19"/>
              </w:rPr>
              <w:t>区块，在进行地质勘查活动</w:t>
            </w:r>
            <w:r>
              <w:rPr>
                <w:spacing w:val="4"/>
                <w:sz w:val="19"/>
                <w:szCs w:val="19"/>
              </w:rPr>
              <w:t xml:space="preserve"> </w:t>
            </w:r>
            <w:r>
              <w:rPr>
                <w:spacing w:val="16"/>
                <w:sz w:val="19"/>
                <w:szCs w:val="19"/>
              </w:rPr>
              <w:t>时应主动避让公益林，在开</w:t>
            </w:r>
            <w:r>
              <w:rPr>
                <w:spacing w:val="4"/>
                <w:sz w:val="19"/>
                <w:szCs w:val="19"/>
              </w:rPr>
              <w:t xml:space="preserve"> </w:t>
            </w:r>
            <w:r>
              <w:rPr>
                <w:spacing w:val="16"/>
                <w:sz w:val="19"/>
                <w:szCs w:val="19"/>
              </w:rPr>
              <w:t>采阶段要求其地面工程不占</w:t>
            </w:r>
            <w:r>
              <w:rPr>
                <w:spacing w:val="4"/>
                <w:sz w:val="19"/>
                <w:szCs w:val="19"/>
              </w:rPr>
              <w:t xml:space="preserve"> </w:t>
            </w:r>
            <w:r>
              <w:rPr>
                <w:spacing w:val="16"/>
                <w:sz w:val="19"/>
                <w:szCs w:val="19"/>
              </w:rPr>
              <w:t>或者少占公益林地，确需占</w:t>
            </w:r>
            <w:r>
              <w:rPr>
                <w:spacing w:val="4"/>
                <w:sz w:val="19"/>
                <w:szCs w:val="19"/>
              </w:rPr>
              <w:t xml:space="preserve"> </w:t>
            </w:r>
            <w:r>
              <w:rPr>
                <w:spacing w:val="16"/>
                <w:sz w:val="19"/>
                <w:szCs w:val="19"/>
              </w:rPr>
              <w:t>用的按相关要求办理林地使</w:t>
            </w:r>
            <w:r>
              <w:rPr>
                <w:spacing w:val="4"/>
                <w:sz w:val="19"/>
                <w:szCs w:val="19"/>
              </w:rPr>
              <w:t xml:space="preserve"> 用手续。</w:t>
            </w:r>
          </w:p>
        </w:tc>
      </w:tr>
    </w:tbl>
    <w:p w14:paraId="5D9C72FF">
      <w:pPr>
        <w:spacing w:before="264" w:line="228" w:lineRule="auto"/>
        <w:ind w:left="40"/>
        <w:outlineLvl w:val="2"/>
        <w:rPr>
          <w:rFonts w:ascii="仿宋" w:hAnsi="仿宋" w:eastAsia="仿宋" w:cs="仿宋"/>
          <w:sz w:val="25"/>
          <w:szCs w:val="25"/>
        </w:rPr>
      </w:pPr>
      <w:r>
        <w:rPr>
          <w:rFonts w:ascii="Times New Roman" w:hAnsi="Times New Roman" w:eastAsia="Times New Roman" w:cs="Times New Roman"/>
          <w:b/>
          <w:bCs/>
          <w:spacing w:val="5"/>
          <w:sz w:val="25"/>
          <w:szCs w:val="25"/>
        </w:rPr>
        <w:t>2.3.6</w:t>
      </w:r>
      <w:r>
        <w:rPr>
          <w:rFonts w:ascii="Times New Roman" w:hAnsi="Times New Roman" w:eastAsia="Times New Roman" w:cs="Times New Roman"/>
          <w:b/>
          <w:bCs/>
          <w:spacing w:val="38"/>
          <w:sz w:val="25"/>
          <w:szCs w:val="25"/>
        </w:rPr>
        <w:t xml:space="preserve"> </w:t>
      </w:r>
      <w:r>
        <w:rPr>
          <w:rFonts w:ascii="仿宋" w:hAnsi="仿宋" w:eastAsia="仿宋" w:cs="仿宋"/>
          <w:b/>
          <w:bCs/>
          <w:spacing w:val="5"/>
          <w:sz w:val="25"/>
          <w:szCs w:val="25"/>
        </w:rPr>
        <w:t>本次规划补充环评与规划调整联动</w:t>
      </w:r>
    </w:p>
    <w:p w14:paraId="2CDEB9DE">
      <w:pPr>
        <w:spacing w:before="270" w:line="340" w:lineRule="auto"/>
        <w:ind w:left="51" w:firstLine="481"/>
        <w:jc w:val="both"/>
        <w:rPr>
          <w:rFonts w:ascii="仿宋" w:hAnsi="仿宋" w:eastAsia="仿宋" w:cs="仿宋"/>
          <w:sz w:val="25"/>
          <w:szCs w:val="25"/>
        </w:rPr>
      </w:pPr>
      <w:r>
        <w:rPr>
          <w:rFonts w:ascii="仿宋" w:hAnsi="仿宋" w:eastAsia="仿宋" w:cs="仿宋"/>
          <w:spacing w:val="11"/>
          <w:sz w:val="25"/>
          <w:szCs w:val="25"/>
        </w:rPr>
        <w:t>本次《规划补充环评》和《规划调整》编制工作承担单</w:t>
      </w:r>
      <w:r>
        <w:rPr>
          <w:rFonts w:ascii="仿宋" w:hAnsi="仿宋" w:eastAsia="仿宋" w:cs="仿宋"/>
          <w:spacing w:val="10"/>
          <w:sz w:val="25"/>
          <w:szCs w:val="25"/>
        </w:rPr>
        <w:t>位同为重庆市地质</w:t>
      </w:r>
      <w:r>
        <w:rPr>
          <w:rFonts w:ascii="仿宋" w:hAnsi="仿宋" w:eastAsia="仿宋" w:cs="仿宋"/>
          <w:sz w:val="25"/>
          <w:szCs w:val="25"/>
        </w:rPr>
        <w:t xml:space="preserve"> </w:t>
      </w:r>
      <w:r>
        <w:rPr>
          <w:rFonts w:ascii="仿宋" w:hAnsi="仿宋" w:eastAsia="仿宋" w:cs="仿宋"/>
          <w:spacing w:val="10"/>
          <w:sz w:val="25"/>
          <w:szCs w:val="25"/>
        </w:rPr>
        <w:t>矿产勘查开发局川东南地质大队。《规划补</w:t>
      </w:r>
      <w:r>
        <w:rPr>
          <w:rFonts w:ascii="仿宋" w:hAnsi="仿宋" w:eastAsia="仿宋" w:cs="仿宋"/>
          <w:spacing w:val="9"/>
          <w:sz w:val="25"/>
          <w:szCs w:val="25"/>
        </w:rPr>
        <w:t>充环评》在《规划调整》编制的早</w:t>
      </w:r>
      <w:r>
        <w:rPr>
          <w:rFonts w:ascii="仿宋" w:hAnsi="仿宋" w:eastAsia="仿宋" w:cs="仿宋"/>
          <w:sz w:val="25"/>
          <w:szCs w:val="25"/>
        </w:rPr>
        <w:t xml:space="preserve"> </w:t>
      </w:r>
      <w:r>
        <w:rPr>
          <w:rFonts w:ascii="仿宋" w:hAnsi="仿宋" w:eastAsia="仿宋" w:cs="仿宋"/>
          <w:spacing w:val="4"/>
          <w:sz w:val="25"/>
          <w:szCs w:val="25"/>
        </w:rPr>
        <w:t>期阶段介入，并与《规划调整》编制、论证及审定等关键环节和过程充分互动，</w:t>
      </w:r>
      <w:r>
        <w:rPr>
          <w:rFonts w:ascii="仿宋" w:hAnsi="仿宋" w:eastAsia="仿宋" w:cs="仿宋"/>
          <w:spacing w:val="7"/>
          <w:sz w:val="25"/>
          <w:szCs w:val="25"/>
        </w:rPr>
        <w:t xml:space="preserve"> </w:t>
      </w:r>
      <w:r>
        <w:rPr>
          <w:rFonts w:ascii="仿宋" w:hAnsi="仿宋" w:eastAsia="仿宋" w:cs="仿宋"/>
          <w:spacing w:val="6"/>
          <w:sz w:val="25"/>
          <w:szCs w:val="25"/>
        </w:rPr>
        <w:t>互动内容一般包括：</w:t>
      </w:r>
    </w:p>
    <w:p w14:paraId="2F315FB1">
      <w:pPr>
        <w:spacing w:before="5" w:line="335" w:lineRule="auto"/>
        <w:ind w:left="51" w:right="71" w:firstLine="482"/>
        <w:jc w:val="both"/>
        <w:rPr>
          <w:rFonts w:ascii="仿宋" w:hAnsi="仿宋" w:eastAsia="仿宋" w:cs="仿宋"/>
          <w:sz w:val="25"/>
          <w:szCs w:val="25"/>
        </w:rPr>
      </w:pPr>
      <w:r>
        <w:rPr>
          <w:rFonts w:ascii="仿宋" w:hAnsi="仿宋" w:eastAsia="仿宋" w:cs="仿宋"/>
          <w:spacing w:val="9"/>
          <w:sz w:val="25"/>
          <w:szCs w:val="25"/>
        </w:rPr>
        <w:t>在《规划调整》前期阶段，</w:t>
      </w:r>
      <w:r>
        <w:rPr>
          <w:rFonts w:ascii="仿宋" w:hAnsi="仿宋" w:eastAsia="仿宋" w:cs="仿宋"/>
          <w:spacing w:val="-68"/>
          <w:sz w:val="25"/>
          <w:szCs w:val="25"/>
        </w:rPr>
        <w:t xml:space="preserve"> </w:t>
      </w:r>
      <w:r>
        <w:rPr>
          <w:rFonts w:ascii="仿宋" w:hAnsi="仿宋" w:eastAsia="仿宋" w:cs="仿宋"/>
          <w:spacing w:val="9"/>
          <w:sz w:val="25"/>
          <w:szCs w:val="25"/>
        </w:rPr>
        <w:t>同步开展《规划补充环评》工作。通过对</w:t>
      </w:r>
      <w:r>
        <w:rPr>
          <w:rFonts w:ascii="仿宋" w:hAnsi="仿宋" w:eastAsia="仿宋" w:cs="仿宋"/>
          <w:spacing w:val="8"/>
          <w:sz w:val="25"/>
          <w:szCs w:val="25"/>
        </w:rPr>
        <w:t>规划</w:t>
      </w:r>
      <w:r>
        <w:rPr>
          <w:rFonts w:ascii="仿宋" w:hAnsi="仿宋" w:eastAsia="仿宋" w:cs="仿宋"/>
          <w:sz w:val="25"/>
          <w:szCs w:val="25"/>
        </w:rPr>
        <w:t xml:space="preserve"> </w:t>
      </w:r>
      <w:r>
        <w:rPr>
          <w:rFonts w:ascii="仿宋" w:hAnsi="仿宋" w:eastAsia="仿宋" w:cs="仿宋"/>
          <w:spacing w:val="10"/>
          <w:sz w:val="25"/>
          <w:szCs w:val="25"/>
        </w:rPr>
        <w:t>调整内容的分析，收集与规划相关的法律法</w:t>
      </w:r>
      <w:r>
        <w:rPr>
          <w:rFonts w:ascii="仿宋" w:hAnsi="仿宋" w:eastAsia="仿宋" w:cs="仿宋"/>
          <w:spacing w:val="9"/>
          <w:sz w:val="25"/>
          <w:szCs w:val="25"/>
        </w:rPr>
        <w:t>规、环境政策等，收集上层位规划</w:t>
      </w:r>
      <w:r>
        <w:rPr>
          <w:rFonts w:ascii="仿宋" w:hAnsi="仿宋" w:eastAsia="仿宋" w:cs="仿宋"/>
          <w:sz w:val="25"/>
          <w:szCs w:val="25"/>
        </w:rPr>
        <w:t xml:space="preserve"> </w:t>
      </w:r>
      <w:r>
        <w:rPr>
          <w:rFonts w:ascii="仿宋" w:hAnsi="仿宋" w:eastAsia="仿宋" w:cs="仿宋"/>
          <w:spacing w:val="10"/>
          <w:sz w:val="25"/>
          <w:szCs w:val="25"/>
        </w:rPr>
        <w:t>和规划所在区域战略环评及</w:t>
      </w:r>
      <w:r>
        <w:rPr>
          <w:rFonts w:ascii="Times New Roman" w:hAnsi="Times New Roman" w:eastAsia="Times New Roman" w:cs="Times New Roman"/>
          <w:spacing w:val="10"/>
          <w:sz w:val="25"/>
          <w:szCs w:val="25"/>
        </w:rPr>
        <w:t>“</w:t>
      </w:r>
      <w:r>
        <w:rPr>
          <w:rFonts w:ascii="仿宋" w:hAnsi="仿宋" w:eastAsia="仿宋" w:cs="仿宋"/>
          <w:spacing w:val="10"/>
          <w:sz w:val="25"/>
          <w:szCs w:val="25"/>
        </w:rPr>
        <w:t>三线一单</w:t>
      </w:r>
      <w:r>
        <w:rPr>
          <w:rFonts w:ascii="Times New Roman" w:hAnsi="Times New Roman" w:eastAsia="Times New Roman" w:cs="Times New Roman"/>
          <w:spacing w:val="10"/>
          <w:sz w:val="25"/>
          <w:szCs w:val="25"/>
        </w:rPr>
        <w:t>”</w:t>
      </w:r>
      <w:r>
        <w:rPr>
          <w:rFonts w:ascii="仿宋" w:hAnsi="仿宋" w:eastAsia="仿宋" w:cs="仿宋"/>
          <w:spacing w:val="10"/>
          <w:sz w:val="25"/>
          <w:szCs w:val="25"/>
        </w:rPr>
        <w:t>成果，对规划区域及可能受影响的区域</w:t>
      </w:r>
      <w:r>
        <w:rPr>
          <w:rFonts w:ascii="仿宋" w:hAnsi="仿宋" w:eastAsia="仿宋" w:cs="仿宋"/>
          <w:spacing w:val="3"/>
          <w:sz w:val="25"/>
          <w:szCs w:val="25"/>
        </w:rPr>
        <w:t xml:space="preserve"> </w:t>
      </w:r>
      <w:r>
        <w:rPr>
          <w:rFonts w:ascii="仿宋" w:hAnsi="仿宋" w:eastAsia="仿宋" w:cs="仿宋"/>
          <w:spacing w:val="10"/>
          <w:sz w:val="25"/>
          <w:szCs w:val="25"/>
        </w:rPr>
        <w:t>进行现场踏勘，收集相关基础数据资料，调</w:t>
      </w:r>
      <w:r>
        <w:rPr>
          <w:rFonts w:ascii="仿宋" w:hAnsi="仿宋" w:eastAsia="仿宋" w:cs="仿宋"/>
          <w:spacing w:val="9"/>
          <w:sz w:val="25"/>
          <w:szCs w:val="25"/>
        </w:rPr>
        <w:t>查环境敏感区情况，识别规划实施</w:t>
      </w:r>
    </w:p>
    <w:p w14:paraId="3676CE91">
      <w:pPr>
        <w:spacing w:line="335" w:lineRule="auto"/>
        <w:rPr>
          <w:rFonts w:ascii="仿宋" w:hAnsi="仿宋" w:eastAsia="仿宋" w:cs="仿宋"/>
          <w:sz w:val="25"/>
          <w:szCs w:val="25"/>
        </w:rPr>
        <w:sectPr>
          <w:headerReference r:id="rId101" w:type="default"/>
          <w:footerReference r:id="rId102" w:type="default"/>
          <w:pgSz w:w="11906" w:h="16839"/>
          <w:pgMar w:top="1116" w:right="1404" w:bottom="1480" w:left="1551" w:header="683" w:footer="1318" w:gutter="0"/>
          <w:cols w:space="720" w:num="1"/>
        </w:sectPr>
      </w:pPr>
    </w:p>
    <w:p w14:paraId="251666ED">
      <w:pPr>
        <w:pStyle w:val="2"/>
        <w:spacing w:line="386" w:lineRule="auto"/>
      </w:pPr>
    </w:p>
    <w:p w14:paraId="6824FBF4">
      <w:pPr>
        <w:spacing w:before="82" w:line="339" w:lineRule="auto"/>
        <w:ind w:left="17" w:right="142" w:firstLine="14"/>
        <w:rPr>
          <w:rFonts w:ascii="仿宋" w:hAnsi="仿宋" w:eastAsia="仿宋" w:cs="仿宋"/>
          <w:sz w:val="25"/>
          <w:szCs w:val="25"/>
        </w:rPr>
      </w:pPr>
      <w:r>
        <w:rPr>
          <w:rFonts w:ascii="仿宋" w:hAnsi="仿宋" w:eastAsia="仿宋" w:cs="仿宋"/>
          <w:spacing w:val="7"/>
          <w:sz w:val="25"/>
          <w:szCs w:val="25"/>
        </w:rPr>
        <w:t>的主要环境影响，分析提出规划调整内容实施的资源、生态、环境制约因素，</w:t>
      </w:r>
      <w:r>
        <w:rPr>
          <w:rFonts w:ascii="仿宋" w:hAnsi="仿宋" w:eastAsia="仿宋" w:cs="仿宋"/>
          <w:spacing w:val="13"/>
          <w:sz w:val="25"/>
          <w:szCs w:val="25"/>
        </w:rPr>
        <w:t xml:space="preserve"> </w:t>
      </w:r>
      <w:r>
        <w:rPr>
          <w:rFonts w:ascii="仿宋" w:hAnsi="仿宋" w:eastAsia="仿宋" w:cs="仿宋"/>
          <w:spacing w:val="7"/>
          <w:sz w:val="25"/>
          <w:szCs w:val="25"/>
        </w:rPr>
        <w:t>反馈给规划编制调整机关。</w:t>
      </w:r>
    </w:p>
    <w:p w14:paraId="268CABE0">
      <w:pPr>
        <w:spacing w:before="7" w:line="339" w:lineRule="auto"/>
        <w:ind w:left="16" w:firstLine="611"/>
        <w:rPr>
          <w:rFonts w:ascii="仿宋" w:hAnsi="仿宋" w:eastAsia="仿宋" w:cs="仿宋"/>
          <w:sz w:val="25"/>
          <w:szCs w:val="25"/>
        </w:rPr>
      </w:pPr>
      <w:r>
        <w:rPr>
          <w:rFonts w:ascii="仿宋" w:hAnsi="仿宋" w:eastAsia="仿宋" w:cs="仿宋"/>
          <w:spacing w:val="7"/>
          <w:sz w:val="25"/>
          <w:szCs w:val="25"/>
        </w:rPr>
        <w:t>在《规划调整》方案编制阶段，完成现状调查与</w:t>
      </w:r>
      <w:r>
        <w:rPr>
          <w:rFonts w:ascii="仿宋" w:hAnsi="仿宋" w:eastAsia="仿宋" w:cs="仿宋"/>
          <w:spacing w:val="6"/>
          <w:sz w:val="25"/>
          <w:szCs w:val="25"/>
        </w:rPr>
        <w:t>评价，提出环境影响评价</w:t>
      </w:r>
      <w:r>
        <w:rPr>
          <w:rFonts w:ascii="仿宋" w:hAnsi="仿宋" w:eastAsia="仿宋" w:cs="仿宋"/>
          <w:sz w:val="25"/>
          <w:szCs w:val="25"/>
        </w:rPr>
        <w:t xml:space="preserve"> </w:t>
      </w:r>
      <w:r>
        <w:rPr>
          <w:rFonts w:ascii="仿宋" w:hAnsi="仿宋" w:eastAsia="仿宋" w:cs="仿宋"/>
          <w:spacing w:val="10"/>
          <w:sz w:val="25"/>
          <w:szCs w:val="25"/>
        </w:rPr>
        <w:t>指标体系，分析、预测和评价拟定规划调整</w:t>
      </w:r>
      <w:r>
        <w:rPr>
          <w:rFonts w:ascii="仿宋" w:hAnsi="仿宋" w:eastAsia="仿宋" w:cs="仿宋"/>
          <w:spacing w:val="9"/>
          <w:sz w:val="25"/>
          <w:szCs w:val="25"/>
        </w:rPr>
        <w:t>实施的资源、生态、环境影响，并</w:t>
      </w:r>
      <w:r>
        <w:rPr>
          <w:rFonts w:ascii="仿宋" w:hAnsi="仿宋" w:eastAsia="仿宋" w:cs="仿宋"/>
          <w:sz w:val="25"/>
          <w:szCs w:val="25"/>
        </w:rPr>
        <w:t xml:space="preserve"> </w:t>
      </w:r>
      <w:r>
        <w:rPr>
          <w:rFonts w:ascii="仿宋" w:hAnsi="仿宋" w:eastAsia="仿宋" w:cs="仿宋"/>
          <w:spacing w:val="10"/>
          <w:sz w:val="25"/>
          <w:szCs w:val="25"/>
        </w:rPr>
        <w:t>将评价结果和结论反馈给规划编制机关，作为方案比选和优化的参考和依据。</w:t>
      </w:r>
      <w:r>
        <w:rPr>
          <w:rFonts w:ascii="仿宋" w:hAnsi="仿宋" w:eastAsia="仿宋" w:cs="仿宋"/>
          <w:spacing w:val="12"/>
          <w:sz w:val="25"/>
          <w:szCs w:val="25"/>
        </w:rPr>
        <w:t xml:space="preserve"> </w:t>
      </w:r>
      <w:r>
        <w:rPr>
          <w:rFonts w:ascii="仿宋" w:hAnsi="仿宋" w:eastAsia="仿宋" w:cs="仿宋"/>
          <w:spacing w:val="10"/>
          <w:sz w:val="25"/>
          <w:szCs w:val="25"/>
        </w:rPr>
        <w:t>在规划调整的审定阶段：进一步论证拟推荐</w:t>
      </w:r>
      <w:r>
        <w:rPr>
          <w:rFonts w:ascii="仿宋" w:hAnsi="仿宋" w:eastAsia="仿宋" w:cs="仿宋"/>
          <w:spacing w:val="9"/>
          <w:sz w:val="25"/>
          <w:szCs w:val="25"/>
        </w:rPr>
        <w:t>规划方案的环境合理性，形成必要</w:t>
      </w:r>
      <w:r>
        <w:rPr>
          <w:rFonts w:ascii="仿宋" w:hAnsi="仿宋" w:eastAsia="仿宋" w:cs="仿宋"/>
          <w:sz w:val="25"/>
          <w:szCs w:val="25"/>
        </w:rPr>
        <w:t xml:space="preserve"> </w:t>
      </w:r>
      <w:r>
        <w:rPr>
          <w:rFonts w:ascii="仿宋" w:hAnsi="仿宋" w:eastAsia="仿宋" w:cs="仿宋"/>
          <w:spacing w:val="10"/>
          <w:sz w:val="25"/>
          <w:szCs w:val="25"/>
        </w:rPr>
        <w:t>的优化调整建议，反馈给规划调整编制机关</w:t>
      </w:r>
      <w:r>
        <w:rPr>
          <w:rFonts w:ascii="仿宋" w:hAnsi="仿宋" w:eastAsia="仿宋" w:cs="仿宋"/>
          <w:spacing w:val="9"/>
          <w:sz w:val="25"/>
          <w:szCs w:val="25"/>
        </w:rPr>
        <w:t>。针对推荐规划方案提出不良环境</w:t>
      </w:r>
      <w:r>
        <w:rPr>
          <w:rFonts w:ascii="仿宋" w:hAnsi="仿宋" w:eastAsia="仿宋" w:cs="仿宋"/>
          <w:sz w:val="25"/>
          <w:szCs w:val="25"/>
        </w:rPr>
        <w:t xml:space="preserve"> </w:t>
      </w:r>
      <w:r>
        <w:rPr>
          <w:rFonts w:ascii="仿宋" w:hAnsi="仿宋" w:eastAsia="仿宋" w:cs="仿宋"/>
          <w:spacing w:val="5"/>
          <w:sz w:val="25"/>
          <w:szCs w:val="25"/>
        </w:rPr>
        <w:t>影响减缓措施，编制规划补充环境影响报告</w:t>
      </w:r>
      <w:r>
        <w:rPr>
          <w:rFonts w:ascii="仿宋" w:hAnsi="仿宋" w:eastAsia="仿宋" w:cs="仿宋"/>
          <w:spacing w:val="4"/>
          <w:sz w:val="25"/>
          <w:szCs w:val="25"/>
        </w:rPr>
        <w:t>书。如果拟选定的规划调整在资源、</w:t>
      </w:r>
      <w:r>
        <w:rPr>
          <w:rFonts w:ascii="仿宋" w:hAnsi="仿宋" w:eastAsia="仿宋" w:cs="仿宋"/>
          <w:sz w:val="25"/>
          <w:szCs w:val="25"/>
        </w:rPr>
        <w:t xml:space="preserve"> </w:t>
      </w:r>
      <w:r>
        <w:rPr>
          <w:rFonts w:ascii="仿宋" w:hAnsi="仿宋" w:eastAsia="仿宋" w:cs="仿宋"/>
          <w:spacing w:val="10"/>
          <w:sz w:val="25"/>
          <w:szCs w:val="25"/>
        </w:rPr>
        <w:t>生态、环境方面难以承载，或者可能造成重</w:t>
      </w:r>
      <w:r>
        <w:rPr>
          <w:rFonts w:ascii="仿宋" w:hAnsi="仿宋" w:eastAsia="仿宋" w:cs="仿宋"/>
          <w:spacing w:val="9"/>
          <w:sz w:val="25"/>
          <w:szCs w:val="25"/>
        </w:rPr>
        <w:t>大不良生态环境影响且无法提出切</w:t>
      </w:r>
      <w:r>
        <w:rPr>
          <w:rFonts w:ascii="仿宋" w:hAnsi="仿宋" w:eastAsia="仿宋" w:cs="仿宋"/>
          <w:sz w:val="25"/>
          <w:szCs w:val="25"/>
        </w:rPr>
        <w:t xml:space="preserve"> </w:t>
      </w:r>
      <w:r>
        <w:rPr>
          <w:rFonts w:ascii="仿宋" w:hAnsi="仿宋" w:eastAsia="仿宋" w:cs="仿宋"/>
          <w:spacing w:val="10"/>
          <w:sz w:val="25"/>
          <w:szCs w:val="25"/>
        </w:rPr>
        <w:t>实可行的预防或减缓对策和措施，或者根据</w:t>
      </w:r>
      <w:r>
        <w:rPr>
          <w:rFonts w:ascii="仿宋" w:hAnsi="仿宋" w:eastAsia="仿宋" w:cs="仿宋"/>
          <w:spacing w:val="9"/>
          <w:sz w:val="25"/>
          <w:szCs w:val="25"/>
        </w:rPr>
        <w:t>现有的数据资料和专家知识对可能</w:t>
      </w:r>
      <w:r>
        <w:rPr>
          <w:rFonts w:ascii="仿宋" w:hAnsi="仿宋" w:eastAsia="仿宋" w:cs="仿宋"/>
          <w:sz w:val="25"/>
          <w:szCs w:val="25"/>
        </w:rPr>
        <w:t xml:space="preserve"> </w:t>
      </w:r>
      <w:r>
        <w:rPr>
          <w:rFonts w:ascii="仿宋" w:hAnsi="仿宋" w:eastAsia="仿宋" w:cs="仿宋"/>
          <w:spacing w:val="10"/>
          <w:sz w:val="25"/>
          <w:szCs w:val="25"/>
        </w:rPr>
        <w:t>产生的不良生态环境影响的程度、范围等无</w:t>
      </w:r>
      <w:r>
        <w:rPr>
          <w:rFonts w:ascii="仿宋" w:hAnsi="仿宋" w:eastAsia="仿宋" w:cs="仿宋"/>
          <w:spacing w:val="9"/>
          <w:sz w:val="25"/>
          <w:szCs w:val="25"/>
        </w:rPr>
        <w:t>法做出科学判断，应向规划调整编</w:t>
      </w:r>
      <w:r>
        <w:rPr>
          <w:rFonts w:ascii="仿宋" w:hAnsi="仿宋" w:eastAsia="仿宋" w:cs="仿宋"/>
          <w:sz w:val="25"/>
          <w:szCs w:val="25"/>
        </w:rPr>
        <w:t xml:space="preserve"> </w:t>
      </w:r>
      <w:r>
        <w:rPr>
          <w:rFonts w:ascii="仿宋" w:hAnsi="仿宋" w:eastAsia="仿宋" w:cs="仿宋"/>
          <w:spacing w:val="9"/>
          <w:sz w:val="25"/>
          <w:szCs w:val="25"/>
        </w:rPr>
        <w:t>制机关提出对规划方案做出重大修改的建议并说</w:t>
      </w:r>
      <w:r>
        <w:rPr>
          <w:rFonts w:ascii="仿宋" w:hAnsi="仿宋" w:eastAsia="仿宋" w:cs="仿宋"/>
          <w:spacing w:val="8"/>
          <w:sz w:val="25"/>
          <w:szCs w:val="25"/>
        </w:rPr>
        <w:t>明理由。</w:t>
      </w:r>
    </w:p>
    <w:p w14:paraId="38597D1F">
      <w:pPr>
        <w:spacing w:line="339" w:lineRule="auto"/>
        <w:rPr>
          <w:rFonts w:ascii="仿宋" w:hAnsi="仿宋" w:eastAsia="仿宋" w:cs="仿宋"/>
          <w:sz w:val="25"/>
          <w:szCs w:val="25"/>
        </w:rPr>
        <w:sectPr>
          <w:headerReference r:id="rId103" w:type="default"/>
          <w:footerReference r:id="rId104" w:type="default"/>
          <w:pgSz w:w="11906" w:h="16839"/>
          <w:pgMar w:top="1116" w:right="1392" w:bottom="1480" w:left="1587" w:header="683" w:footer="1318" w:gutter="0"/>
          <w:cols w:space="720" w:num="1"/>
        </w:sectPr>
      </w:pPr>
    </w:p>
    <w:p w14:paraId="314E7030">
      <w:pPr>
        <w:pStyle w:val="2"/>
        <w:spacing w:line="314" w:lineRule="auto"/>
      </w:pPr>
    </w:p>
    <w:p w14:paraId="46F7DF82">
      <w:pPr>
        <w:spacing w:before="101" w:line="228" w:lineRule="auto"/>
        <w:ind w:left="3153"/>
        <w:outlineLvl w:val="0"/>
        <w:rPr>
          <w:rFonts w:ascii="仿宋" w:hAnsi="仿宋" w:eastAsia="仿宋" w:cs="仿宋"/>
          <w:sz w:val="31"/>
          <w:szCs w:val="31"/>
        </w:rPr>
      </w:pPr>
      <w:bookmarkStart w:id="15" w:name="bookmark15"/>
      <w:bookmarkEnd w:id="15"/>
      <w:bookmarkStart w:id="16" w:name="bookmark14"/>
      <w:bookmarkEnd w:id="16"/>
      <w:r>
        <w:rPr>
          <w:rFonts w:ascii="Times New Roman" w:hAnsi="Times New Roman" w:eastAsia="Times New Roman" w:cs="Times New Roman"/>
          <w:b/>
          <w:bCs/>
          <w:spacing w:val="5"/>
          <w:sz w:val="31"/>
          <w:szCs w:val="31"/>
        </w:rPr>
        <w:t xml:space="preserve">3  </w:t>
      </w:r>
      <w:r>
        <w:rPr>
          <w:rFonts w:ascii="仿宋" w:hAnsi="仿宋" w:eastAsia="仿宋" w:cs="仿宋"/>
          <w:b/>
          <w:bCs/>
          <w:spacing w:val="5"/>
          <w:sz w:val="31"/>
          <w:szCs w:val="31"/>
        </w:rPr>
        <w:t>现状调查与评价</w:t>
      </w:r>
    </w:p>
    <w:p w14:paraId="2002163B">
      <w:pPr>
        <w:spacing w:before="262" w:line="229" w:lineRule="auto"/>
        <w:ind w:left="13"/>
        <w:outlineLvl w:val="1"/>
        <w:rPr>
          <w:rFonts w:ascii="仿宋" w:hAnsi="仿宋" w:eastAsia="仿宋" w:cs="仿宋"/>
          <w:sz w:val="25"/>
          <w:szCs w:val="25"/>
        </w:rPr>
      </w:pPr>
      <w:bookmarkStart w:id="17" w:name="bookmark53"/>
      <w:bookmarkEnd w:id="17"/>
      <w:r>
        <w:rPr>
          <w:rFonts w:ascii="Times New Roman" w:hAnsi="Times New Roman" w:eastAsia="Times New Roman" w:cs="Times New Roman"/>
          <w:b/>
          <w:bCs/>
          <w:spacing w:val="5"/>
          <w:sz w:val="25"/>
          <w:szCs w:val="25"/>
        </w:rPr>
        <w:t>3.1</w:t>
      </w:r>
      <w:r>
        <w:rPr>
          <w:rFonts w:ascii="Times New Roman" w:hAnsi="Times New Roman" w:eastAsia="Times New Roman" w:cs="Times New Roman"/>
          <w:b/>
          <w:bCs/>
          <w:spacing w:val="47"/>
          <w:sz w:val="25"/>
          <w:szCs w:val="25"/>
        </w:rPr>
        <w:t xml:space="preserve"> </w:t>
      </w:r>
      <w:r>
        <w:rPr>
          <w:rFonts w:ascii="仿宋" w:hAnsi="仿宋" w:eastAsia="仿宋" w:cs="仿宋"/>
          <w:b/>
          <w:bCs/>
          <w:spacing w:val="5"/>
          <w:sz w:val="25"/>
          <w:szCs w:val="25"/>
        </w:rPr>
        <w:t>资源利用和生态环境现状调查与评价</w:t>
      </w:r>
    </w:p>
    <w:p w14:paraId="31C1C4D2">
      <w:pPr>
        <w:spacing w:before="253" w:line="229" w:lineRule="auto"/>
        <w:ind w:left="556"/>
        <w:rPr>
          <w:rFonts w:ascii="仿宋" w:hAnsi="仿宋" w:eastAsia="仿宋" w:cs="仿宋"/>
          <w:sz w:val="25"/>
          <w:szCs w:val="25"/>
        </w:rPr>
      </w:pPr>
      <w:r>
        <w:rPr>
          <w:rFonts w:ascii="仿宋" w:hAnsi="仿宋" w:eastAsia="仿宋" w:cs="仿宋"/>
          <w:spacing w:val="-10"/>
          <w:sz w:val="25"/>
          <w:szCs w:val="25"/>
        </w:rPr>
        <w:t>略。</w:t>
      </w:r>
    </w:p>
    <w:p w14:paraId="4CE448C1">
      <w:pPr>
        <w:spacing w:before="162" w:line="229" w:lineRule="auto"/>
        <w:ind w:left="13"/>
        <w:outlineLvl w:val="2"/>
        <w:rPr>
          <w:rFonts w:ascii="仿宋" w:hAnsi="仿宋" w:eastAsia="仿宋" w:cs="仿宋"/>
          <w:sz w:val="25"/>
          <w:szCs w:val="25"/>
        </w:rPr>
      </w:pPr>
      <w:r>
        <w:rPr>
          <w:rFonts w:ascii="Times New Roman" w:hAnsi="Times New Roman" w:eastAsia="Times New Roman" w:cs="Times New Roman"/>
          <w:b/>
          <w:bCs/>
          <w:spacing w:val="5"/>
          <w:sz w:val="25"/>
          <w:szCs w:val="25"/>
        </w:rPr>
        <w:t>3.1.4</w:t>
      </w:r>
      <w:r>
        <w:rPr>
          <w:rFonts w:ascii="Times New Roman" w:hAnsi="Times New Roman" w:eastAsia="Times New Roman" w:cs="Times New Roman"/>
          <w:b/>
          <w:bCs/>
          <w:spacing w:val="29"/>
          <w:sz w:val="25"/>
          <w:szCs w:val="25"/>
        </w:rPr>
        <w:t xml:space="preserve"> </w:t>
      </w:r>
      <w:r>
        <w:rPr>
          <w:rFonts w:ascii="仿宋" w:hAnsi="仿宋" w:eastAsia="仿宋" w:cs="仿宋"/>
          <w:b/>
          <w:bCs/>
          <w:spacing w:val="5"/>
          <w:sz w:val="25"/>
          <w:szCs w:val="25"/>
        </w:rPr>
        <w:t>环境质量现状调查与评价</w:t>
      </w:r>
    </w:p>
    <w:p w14:paraId="0DC0B9F8">
      <w:pPr>
        <w:spacing w:before="251" w:line="340" w:lineRule="auto"/>
        <w:ind w:left="14" w:right="285" w:firstLine="533"/>
        <w:rPr>
          <w:rFonts w:ascii="仿宋" w:hAnsi="仿宋" w:eastAsia="仿宋" w:cs="仿宋"/>
          <w:sz w:val="25"/>
          <w:szCs w:val="25"/>
        </w:rPr>
      </w:pPr>
      <w:r>
        <w:rPr>
          <w:rFonts w:ascii="仿宋" w:hAnsi="仿宋" w:eastAsia="仿宋" w:cs="仿宋"/>
          <w:spacing w:val="9"/>
          <w:sz w:val="25"/>
          <w:szCs w:val="25"/>
        </w:rPr>
        <w:t>根据《环境影响评价技术导则大气环境》</w:t>
      </w:r>
      <w:r>
        <w:rPr>
          <w:rFonts w:ascii="仿宋" w:hAnsi="仿宋" w:eastAsia="仿宋" w:cs="仿宋"/>
          <w:spacing w:val="-104"/>
          <w:sz w:val="25"/>
          <w:szCs w:val="25"/>
        </w:rPr>
        <w:t xml:space="preserve"> </w:t>
      </w:r>
      <w:r>
        <w:rPr>
          <w:rFonts w:ascii="仿宋" w:hAnsi="仿宋" w:eastAsia="仿宋" w:cs="仿宋"/>
          <w:spacing w:val="9"/>
          <w:sz w:val="25"/>
          <w:szCs w:val="25"/>
        </w:rPr>
        <w:t>（</w:t>
      </w:r>
      <w:r>
        <w:rPr>
          <w:rFonts w:ascii="Times New Roman" w:hAnsi="Times New Roman" w:eastAsia="Times New Roman" w:cs="Times New Roman"/>
          <w:sz w:val="25"/>
          <w:szCs w:val="25"/>
        </w:rPr>
        <w:t>HJ</w:t>
      </w:r>
      <w:r>
        <w:rPr>
          <w:rFonts w:ascii="Times New Roman" w:hAnsi="Times New Roman" w:eastAsia="Times New Roman" w:cs="Times New Roman"/>
          <w:spacing w:val="9"/>
          <w:sz w:val="25"/>
          <w:szCs w:val="25"/>
        </w:rPr>
        <w:t>2.2-</w:t>
      </w:r>
      <w:r>
        <w:rPr>
          <w:rFonts w:ascii="Times New Roman" w:hAnsi="Times New Roman" w:eastAsia="Times New Roman" w:cs="Times New Roman"/>
          <w:spacing w:val="8"/>
          <w:sz w:val="25"/>
          <w:szCs w:val="25"/>
        </w:rPr>
        <w:t>2018</w:t>
      </w:r>
      <w:r>
        <w:rPr>
          <w:rFonts w:ascii="仿宋" w:hAnsi="仿宋" w:eastAsia="仿宋" w:cs="仿宋"/>
          <w:spacing w:val="8"/>
          <w:sz w:val="25"/>
          <w:szCs w:val="25"/>
        </w:rPr>
        <w:t>）</w:t>
      </w:r>
      <w:r>
        <w:rPr>
          <w:rFonts w:ascii="仿宋" w:hAnsi="仿宋" w:eastAsia="仿宋" w:cs="仿宋"/>
          <w:spacing w:val="-72"/>
          <w:sz w:val="25"/>
          <w:szCs w:val="25"/>
        </w:rPr>
        <w:t xml:space="preserve"> </w:t>
      </w:r>
      <w:r>
        <w:rPr>
          <w:rFonts w:ascii="仿宋" w:hAnsi="仿宋" w:eastAsia="仿宋" w:cs="仿宋"/>
          <w:spacing w:val="8"/>
          <w:sz w:val="25"/>
          <w:szCs w:val="25"/>
        </w:rPr>
        <w:t>、《环境影响评</w:t>
      </w:r>
      <w:r>
        <w:rPr>
          <w:rFonts w:ascii="仿宋" w:hAnsi="仿宋" w:eastAsia="仿宋" w:cs="仿宋"/>
          <w:sz w:val="25"/>
          <w:szCs w:val="25"/>
        </w:rPr>
        <w:t xml:space="preserve"> </w:t>
      </w:r>
      <w:r>
        <w:rPr>
          <w:rFonts w:ascii="仿宋" w:hAnsi="仿宋" w:eastAsia="仿宋" w:cs="仿宋"/>
          <w:spacing w:val="10"/>
          <w:sz w:val="25"/>
          <w:szCs w:val="25"/>
        </w:rPr>
        <w:t>价技术导则地表水环境》</w:t>
      </w:r>
      <w:r>
        <w:rPr>
          <w:rFonts w:ascii="仿宋" w:hAnsi="仿宋" w:eastAsia="仿宋" w:cs="仿宋"/>
          <w:spacing w:val="-102"/>
          <w:sz w:val="25"/>
          <w:szCs w:val="25"/>
        </w:rPr>
        <w:t xml:space="preserve"> </w:t>
      </w:r>
      <w:r>
        <w:rPr>
          <w:rFonts w:ascii="仿宋" w:hAnsi="仿宋" w:eastAsia="仿宋" w:cs="仿宋"/>
          <w:spacing w:val="10"/>
          <w:sz w:val="25"/>
          <w:szCs w:val="25"/>
        </w:rPr>
        <w:t>（</w:t>
      </w:r>
      <w:r>
        <w:rPr>
          <w:rFonts w:ascii="Times New Roman" w:hAnsi="Times New Roman" w:eastAsia="Times New Roman" w:cs="Times New Roman"/>
          <w:sz w:val="25"/>
          <w:szCs w:val="25"/>
        </w:rPr>
        <w:t>HJ</w:t>
      </w:r>
      <w:r>
        <w:rPr>
          <w:rFonts w:ascii="Times New Roman" w:hAnsi="Times New Roman" w:eastAsia="Times New Roman" w:cs="Times New Roman"/>
          <w:spacing w:val="10"/>
          <w:sz w:val="25"/>
          <w:szCs w:val="25"/>
        </w:rPr>
        <w:t>2.3-2018</w:t>
      </w:r>
      <w:r>
        <w:rPr>
          <w:rFonts w:ascii="仿宋" w:hAnsi="仿宋" w:eastAsia="仿宋" w:cs="仿宋"/>
          <w:spacing w:val="-4"/>
          <w:sz w:val="25"/>
          <w:szCs w:val="25"/>
        </w:rPr>
        <w:t>）</w:t>
      </w:r>
      <w:r>
        <w:rPr>
          <w:rFonts w:ascii="仿宋" w:hAnsi="仿宋" w:eastAsia="仿宋" w:cs="仿宋"/>
          <w:spacing w:val="-71"/>
          <w:sz w:val="25"/>
          <w:szCs w:val="25"/>
        </w:rPr>
        <w:t xml:space="preserve"> </w:t>
      </w:r>
      <w:r>
        <w:rPr>
          <w:rFonts w:ascii="仿宋" w:hAnsi="仿宋" w:eastAsia="仿宋" w:cs="仿宋"/>
          <w:spacing w:val="-4"/>
          <w:sz w:val="25"/>
          <w:szCs w:val="25"/>
        </w:rPr>
        <w:t>，</w:t>
      </w:r>
      <w:r>
        <w:rPr>
          <w:rFonts w:ascii="仿宋" w:hAnsi="仿宋" w:eastAsia="仿宋" w:cs="仿宋"/>
          <w:spacing w:val="10"/>
          <w:sz w:val="25"/>
          <w:szCs w:val="25"/>
        </w:rPr>
        <w:t>环境质量现状数据优</w:t>
      </w:r>
      <w:r>
        <w:rPr>
          <w:rFonts w:ascii="仿宋" w:hAnsi="仿宋" w:eastAsia="仿宋" w:cs="仿宋"/>
          <w:spacing w:val="9"/>
          <w:sz w:val="25"/>
          <w:szCs w:val="25"/>
        </w:rPr>
        <w:t>先采用国家或</w:t>
      </w:r>
      <w:r>
        <w:rPr>
          <w:rFonts w:ascii="仿宋" w:hAnsi="仿宋" w:eastAsia="仿宋" w:cs="仿宋"/>
          <w:sz w:val="25"/>
          <w:szCs w:val="25"/>
        </w:rPr>
        <w:t xml:space="preserve"> </w:t>
      </w:r>
      <w:r>
        <w:rPr>
          <w:rFonts w:ascii="仿宋" w:hAnsi="仿宋" w:eastAsia="仿宋" w:cs="仿宋"/>
          <w:spacing w:val="10"/>
          <w:sz w:val="25"/>
          <w:szCs w:val="25"/>
        </w:rPr>
        <w:t>地方生态环境主管部门公开发布的评价基准年环境质量公告或环境质量</w:t>
      </w:r>
      <w:r>
        <w:rPr>
          <w:rFonts w:ascii="仿宋" w:hAnsi="仿宋" w:eastAsia="仿宋" w:cs="仿宋"/>
          <w:spacing w:val="9"/>
          <w:sz w:val="25"/>
          <w:szCs w:val="25"/>
        </w:rPr>
        <w:t>报告中</w:t>
      </w:r>
      <w:r>
        <w:rPr>
          <w:rFonts w:ascii="仿宋" w:hAnsi="仿宋" w:eastAsia="仿宋" w:cs="仿宋"/>
          <w:sz w:val="25"/>
          <w:szCs w:val="25"/>
        </w:rPr>
        <w:t xml:space="preserve"> </w:t>
      </w:r>
      <w:r>
        <w:rPr>
          <w:rFonts w:ascii="仿宋" w:hAnsi="仿宋" w:eastAsia="仿宋" w:cs="仿宋"/>
          <w:spacing w:val="5"/>
          <w:sz w:val="25"/>
          <w:szCs w:val="25"/>
        </w:rPr>
        <w:t>的数据或结论。因此，本次评价拟采用</w:t>
      </w:r>
      <w:r>
        <w:rPr>
          <w:rFonts w:ascii="仿宋" w:hAnsi="仿宋" w:eastAsia="仿宋" w:cs="仿宋"/>
          <w:spacing w:val="-52"/>
          <w:sz w:val="25"/>
          <w:szCs w:val="25"/>
        </w:rPr>
        <w:t xml:space="preserve"> </w:t>
      </w:r>
      <w:r>
        <w:rPr>
          <w:rFonts w:ascii="Times New Roman" w:hAnsi="Times New Roman" w:eastAsia="Times New Roman" w:cs="Times New Roman"/>
          <w:spacing w:val="5"/>
          <w:sz w:val="25"/>
          <w:szCs w:val="25"/>
        </w:rPr>
        <w:t>2020</w:t>
      </w:r>
      <w:r>
        <w:rPr>
          <w:rFonts w:ascii="Times New Roman" w:hAnsi="Times New Roman" w:eastAsia="Times New Roman" w:cs="Times New Roman"/>
          <w:spacing w:val="4"/>
          <w:sz w:val="25"/>
          <w:szCs w:val="25"/>
        </w:rPr>
        <w:t>-2024</w:t>
      </w:r>
      <w:r>
        <w:rPr>
          <w:rFonts w:ascii="Times New Roman" w:hAnsi="Times New Roman" w:eastAsia="Times New Roman" w:cs="Times New Roman"/>
          <w:spacing w:val="25"/>
          <w:sz w:val="25"/>
          <w:szCs w:val="25"/>
        </w:rPr>
        <w:t xml:space="preserve"> </w:t>
      </w:r>
      <w:r>
        <w:rPr>
          <w:rFonts w:ascii="仿宋" w:hAnsi="仿宋" w:eastAsia="仿宋" w:cs="仿宋"/>
          <w:spacing w:val="4"/>
          <w:sz w:val="25"/>
          <w:szCs w:val="25"/>
        </w:rPr>
        <w:t>年重庆市生态环境状况公报、</w:t>
      </w:r>
      <w:r>
        <w:rPr>
          <w:rFonts w:ascii="仿宋" w:hAnsi="仿宋" w:eastAsia="仿宋" w:cs="仿宋"/>
          <w:sz w:val="25"/>
          <w:szCs w:val="25"/>
        </w:rPr>
        <w:t xml:space="preserve"> </w:t>
      </w:r>
      <w:r>
        <w:rPr>
          <w:rFonts w:ascii="Times New Roman" w:hAnsi="Times New Roman" w:eastAsia="Times New Roman" w:cs="Times New Roman"/>
          <w:spacing w:val="9"/>
          <w:sz w:val="25"/>
          <w:szCs w:val="25"/>
        </w:rPr>
        <w:t>2020-2023</w:t>
      </w:r>
      <w:r>
        <w:rPr>
          <w:rFonts w:ascii="Times New Roman" w:hAnsi="Times New Roman" w:eastAsia="Times New Roman" w:cs="Times New Roman"/>
          <w:spacing w:val="27"/>
          <w:sz w:val="25"/>
          <w:szCs w:val="25"/>
        </w:rPr>
        <w:t xml:space="preserve"> </w:t>
      </w:r>
      <w:r>
        <w:rPr>
          <w:rFonts w:ascii="仿宋" w:hAnsi="仿宋" w:eastAsia="仿宋" w:cs="仿宋"/>
          <w:spacing w:val="9"/>
          <w:sz w:val="25"/>
          <w:szCs w:val="25"/>
        </w:rPr>
        <w:t>年的重庆市黔江区环境质量报告书、</w:t>
      </w:r>
      <w:r>
        <w:rPr>
          <w:rFonts w:ascii="Times New Roman" w:hAnsi="Times New Roman" w:eastAsia="Times New Roman" w:cs="Times New Roman"/>
          <w:spacing w:val="9"/>
          <w:sz w:val="25"/>
          <w:szCs w:val="25"/>
        </w:rPr>
        <w:t>2024</w:t>
      </w:r>
      <w:r>
        <w:rPr>
          <w:rFonts w:ascii="Times New Roman" w:hAnsi="Times New Roman" w:eastAsia="Times New Roman" w:cs="Times New Roman"/>
          <w:spacing w:val="27"/>
          <w:sz w:val="25"/>
          <w:szCs w:val="25"/>
        </w:rPr>
        <w:t xml:space="preserve"> </w:t>
      </w:r>
      <w:r>
        <w:rPr>
          <w:rFonts w:ascii="仿宋" w:hAnsi="仿宋" w:eastAsia="仿宋" w:cs="仿宋"/>
          <w:spacing w:val="9"/>
          <w:sz w:val="25"/>
          <w:szCs w:val="25"/>
        </w:rPr>
        <w:t>年黔江</w:t>
      </w:r>
      <w:r>
        <w:rPr>
          <w:rFonts w:ascii="仿宋" w:hAnsi="仿宋" w:eastAsia="仿宋" w:cs="仿宋"/>
          <w:spacing w:val="8"/>
          <w:sz w:val="25"/>
          <w:szCs w:val="25"/>
        </w:rPr>
        <w:t>区环境质量简报。</w:t>
      </w:r>
      <w:r>
        <w:rPr>
          <w:rFonts w:ascii="仿宋" w:hAnsi="仿宋" w:eastAsia="仿宋" w:cs="仿宋"/>
          <w:sz w:val="25"/>
          <w:szCs w:val="25"/>
        </w:rPr>
        <w:t xml:space="preserve"> </w:t>
      </w:r>
      <w:r>
        <w:rPr>
          <w:rFonts w:ascii="仿宋" w:hAnsi="仿宋" w:eastAsia="仿宋" w:cs="仿宋"/>
          <w:spacing w:val="4"/>
          <w:sz w:val="25"/>
          <w:szCs w:val="25"/>
        </w:rPr>
        <w:t>本次评价区块主要分布在沙坝镇、黑溪镇、中塘镇、舟白街道</w:t>
      </w:r>
      <w:r>
        <w:rPr>
          <w:rFonts w:ascii="仿宋" w:hAnsi="仿宋" w:eastAsia="仿宋" w:cs="仿宋"/>
          <w:spacing w:val="-53"/>
          <w:sz w:val="25"/>
          <w:szCs w:val="25"/>
        </w:rPr>
        <w:t xml:space="preserve"> </w:t>
      </w:r>
      <w:r>
        <w:rPr>
          <w:rFonts w:ascii="Times New Roman" w:hAnsi="Times New Roman" w:eastAsia="Times New Roman" w:cs="Times New Roman"/>
          <w:spacing w:val="4"/>
          <w:sz w:val="25"/>
          <w:szCs w:val="25"/>
        </w:rPr>
        <w:t>4</w:t>
      </w:r>
      <w:r>
        <w:rPr>
          <w:rFonts w:ascii="Times New Roman" w:hAnsi="Times New Roman" w:eastAsia="Times New Roman" w:cs="Times New Roman"/>
          <w:spacing w:val="21"/>
          <w:sz w:val="25"/>
          <w:szCs w:val="25"/>
        </w:rPr>
        <w:t xml:space="preserve"> </w:t>
      </w:r>
      <w:r>
        <w:rPr>
          <w:rFonts w:ascii="仿宋" w:hAnsi="仿宋" w:eastAsia="仿宋" w:cs="仿宋"/>
          <w:spacing w:val="4"/>
          <w:sz w:val="25"/>
          <w:szCs w:val="25"/>
        </w:rPr>
        <w:t>个镇街，因此，</w:t>
      </w:r>
      <w:r>
        <w:rPr>
          <w:rFonts w:ascii="仿宋" w:hAnsi="仿宋" w:eastAsia="仿宋" w:cs="仿宋"/>
          <w:sz w:val="25"/>
          <w:szCs w:val="25"/>
        </w:rPr>
        <w:t xml:space="preserve"> </w:t>
      </w:r>
      <w:r>
        <w:rPr>
          <w:rFonts w:ascii="仿宋" w:hAnsi="仿宋" w:eastAsia="仿宋" w:cs="仿宋"/>
          <w:spacing w:val="10"/>
          <w:sz w:val="25"/>
          <w:szCs w:val="25"/>
        </w:rPr>
        <w:t>本次评价主要针对性收集规划调整涉及区域的历史监测资料，监测点位</w:t>
      </w:r>
      <w:r>
        <w:rPr>
          <w:rFonts w:ascii="仿宋" w:hAnsi="仿宋" w:eastAsia="仿宋" w:cs="仿宋"/>
          <w:spacing w:val="9"/>
          <w:sz w:val="25"/>
          <w:szCs w:val="25"/>
        </w:rPr>
        <w:t>多位于</w:t>
      </w:r>
      <w:r>
        <w:rPr>
          <w:rFonts w:ascii="仿宋" w:hAnsi="仿宋" w:eastAsia="仿宋" w:cs="仿宋"/>
          <w:sz w:val="25"/>
          <w:szCs w:val="25"/>
        </w:rPr>
        <w:t xml:space="preserve"> </w:t>
      </w:r>
      <w:r>
        <w:rPr>
          <w:rFonts w:ascii="仿宋" w:hAnsi="仿宋" w:eastAsia="仿宋" w:cs="仿宋"/>
          <w:spacing w:val="10"/>
          <w:sz w:val="25"/>
          <w:szCs w:val="25"/>
        </w:rPr>
        <w:t>矿山开采区域或附近，监测时间为近三年以内，监测数据具有代表性，</w:t>
      </w:r>
      <w:r>
        <w:rPr>
          <w:rFonts w:ascii="仿宋" w:hAnsi="仿宋" w:eastAsia="仿宋" w:cs="仿宋"/>
          <w:spacing w:val="9"/>
          <w:sz w:val="25"/>
          <w:szCs w:val="25"/>
        </w:rPr>
        <w:t>选用的</w:t>
      </w:r>
      <w:r>
        <w:rPr>
          <w:rFonts w:ascii="仿宋" w:hAnsi="仿宋" w:eastAsia="仿宋" w:cs="仿宋"/>
          <w:sz w:val="25"/>
          <w:szCs w:val="25"/>
        </w:rPr>
        <w:t xml:space="preserve"> </w:t>
      </w:r>
      <w:r>
        <w:rPr>
          <w:rFonts w:ascii="仿宋" w:hAnsi="仿宋" w:eastAsia="仿宋" w:cs="仿宋"/>
          <w:spacing w:val="8"/>
          <w:sz w:val="25"/>
          <w:szCs w:val="25"/>
        </w:rPr>
        <w:t>监测数据可较为直观的反映区域环境质量，</w:t>
      </w:r>
      <w:r>
        <w:rPr>
          <w:rFonts w:ascii="仿宋" w:hAnsi="仿宋" w:eastAsia="仿宋" w:cs="仿宋"/>
          <w:spacing w:val="-60"/>
          <w:sz w:val="25"/>
          <w:szCs w:val="25"/>
        </w:rPr>
        <w:t xml:space="preserve"> </w:t>
      </w:r>
      <w:r>
        <w:rPr>
          <w:rFonts w:ascii="仿宋" w:hAnsi="仿宋" w:eastAsia="仿宋" w:cs="仿宋"/>
          <w:spacing w:val="8"/>
          <w:sz w:val="25"/>
          <w:szCs w:val="25"/>
        </w:rPr>
        <w:t>同时，也在该基础上进行本次环境</w:t>
      </w:r>
      <w:r>
        <w:rPr>
          <w:rFonts w:ascii="仿宋" w:hAnsi="仿宋" w:eastAsia="仿宋" w:cs="仿宋"/>
          <w:sz w:val="25"/>
          <w:szCs w:val="25"/>
        </w:rPr>
        <w:t xml:space="preserve"> </w:t>
      </w:r>
      <w:r>
        <w:rPr>
          <w:rFonts w:ascii="仿宋" w:hAnsi="仿宋" w:eastAsia="仿宋" w:cs="仿宋"/>
          <w:spacing w:val="10"/>
          <w:sz w:val="25"/>
          <w:szCs w:val="25"/>
        </w:rPr>
        <w:t>质量现状评价。环境质量现状监测布点图见附图</w:t>
      </w:r>
      <w:r>
        <w:rPr>
          <w:rFonts w:ascii="仿宋" w:hAnsi="仿宋" w:eastAsia="仿宋" w:cs="仿宋"/>
          <w:spacing w:val="-25"/>
          <w:sz w:val="25"/>
          <w:szCs w:val="25"/>
        </w:rPr>
        <w:t xml:space="preserve"> </w:t>
      </w:r>
      <w:r>
        <w:rPr>
          <w:rFonts w:ascii="Times New Roman" w:hAnsi="Times New Roman" w:eastAsia="Times New Roman" w:cs="Times New Roman"/>
          <w:spacing w:val="10"/>
          <w:sz w:val="25"/>
          <w:szCs w:val="25"/>
        </w:rPr>
        <w:t>1-2</w:t>
      </w:r>
      <w:r>
        <w:rPr>
          <w:rFonts w:ascii="仿宋" w:hAnsi="仿宋" w:eastAsia="仿宋" w:cs="仿宋"/>
          <w:spacing w:val="10"/>
          <w:sz w:val="25"/>
          <w:szCs w:val="25"/>
        </w:rPr>
        <w:t>（叠加大气监测点）</w:t>
      </w:r>
      <w:r>
        <w:rPr>
          <w:rFonts w:ascii="仿宋" w:hAnsi="仿宋" w:eastAsia="仿宋" w:cs="仿宋"/>
          <w:spacing w:val="-71"/>
          <w:sz w:val="25"/>
          <w:szCs w:val="25"/>
        </w:rPr>
        <w:t xml:space="preserve"> </w:t>
      </w:r>
      <w:r>
        <w:rPr>
          <w:rFonts w:ascii="仿宋" w:hAnsi="仿宋" w:eastAsia="仿宋" w:cs="仿宋"/>
          <w:spacing w:val="10"/>
          <w:sz w:val="25"/>
          <w:szCs w:val="25"/>
        </w:rPr>
        <w:t>、附</w:t>
      </w:r>
      <w:r>
        <w:rPr>
          <w:rFonts w:ascii="仿宋" w:hAnsi="仿宋" w:eastAsia="仿宋" w:cs="仿宋"/>
          <w:sz w:val="25"/>
          <w:szCs w:val="25"/>
        </w:rPr>
        <w:t xml:space="preserve"> </w:t>
      </w:r>
      <w:r>
        <w:rPr>
          <w:rFonts w:ascii="仿宋" w:hAnsi="仿宋" w:eastAsia="仿宋" w:cs="仿宋"/>
          <w:spacing w:val="7"/>
          <w:sz w:val="25"/>
          <w:szCs w:val="25"/>
        </w:rPr>
        <w:t>图</w:t>
      </w:r>
      <w:r>
        <w:rPr>
          <w:rFonts w:ascii="仿宋" w:hAnsi="仿宋" w:eastAsia="仿宋" w:cs="仿宋"/>
          <w:spacing w:val="-28"/>
          <w:sz w:val="25"/>
          <w:szCs w:val="25"/>
        </w:rPr>
        <w:t xml:space="preserve"> </w:t>
      </w:r>
      <w:r>
        <w:rPr>
          <w:rFonts w:ascii="Times New Roman" w:hAnsi="Times New Roman" w:eastAsia="Times New Roman" w:cs="Times New Roman"/>
          <w:spacing w:val="7"/>
          <w:sz w:val="25"/>
          <w:szCs w:val="25"/>
        </w:rPr>
        <w:t>1-3</w:t>
      </w:r>
      <w:r>
        <w:rPr>
          <w:rFonts w:ascii="仿宋" w:hAnsi="仿宋" w:eastAsia="仿宋" w:cs="仿宋"/>
          <w:spacing w:val="7"/>
          <w:sz w:val="25"/>
          <w:szCs w:val="25"/>
        </w:rPr>
        <w:t>（叠加地表水、地下水、土壤、噪声监</w:t>
      </w:r>
      <w:r>
        <w:rPr>
          <w:rFonts w:ascii="仿宋" w:hAnsi="仿宋" w:eastAsia="仿宋" w:cs="仿宋"/>
          <w:spacing w:val="6"/>
          <w:sz w:val="25"/>
          <w:szCs w:val="25"/>
        </w:rPr>
        <w:t>测点）。</w:t>
      </w:r>
    </w:p>
    <w:p w14:paraId="36BF3AB8">
      <w:pPr>
        <w:spacing w:before="117" w:line="229" w:lineRule="auto"/>
        <w:ind w:left="13"/>
        <w:outlineLvl w:val="3"/>
        <w:rPr>
          <w:rFonts w:ascii="仿宋" w:hAnsi="仿宋" w:eastAsia="仿宋" w:cs="仿宋"/>
          <w:sz w:val="25"/>
          <w:szCs w:val="25"/>
        </w:rPr>
      </w:pPr>
      <w:r>
        <w:rPr>
          <w:rFonts w:ascii="Times New Roman" w:hAnsi="Times New Roman" w:eastAsia="Times New Roman" w:cs="Times New Roman"/>
          <w:b/>
          <w:bCs/>
          <w:spacing w:val="5"/>
          <w:sz w:val="25"/>
          <w:szCs w:val="25"/>
        </w:rPr>
        <w:t xml:space="preserve">3.1.4.1  </w:t>
      </w:r>
      <w:r>
        <w:rPr>
          <w:rFonts w:ascii="仿宋" w:hAnsi="仿宋" w:eastAsia="仿宋" w:cs="仿宋"/>
          <w:b/>
          <w:bCs/>
          <w:spacing w:val="5"/>
          <w:sz w:val="25"/>
          <w:szCs w:val="25"/>
        </w:rPr>
        <w:t>环境空气质量现状</w:t>
      </w:r>
    </w:p>
    <w:p w14:paraId="5C8A17C2">
      <w:pPr>
        <w:spacing w:before="271" w:line="229" w:lineRule="auto"/>
        <w:ind w:left="551"/>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1</w:t>
      </w:r>
      <w:r>
        <w:rPr>
          <w:rFonts w:ascii="仿宋" w:hAnsi="仿宋" w:eastAsia="仿宋" w:cs="仿宋"/>
          <w:spacing w:val="7"/>
          <w:sz w:val="25"/>
          <w:szCs w:val="25"/>
        </w:rPr>
        <w:t>）环境空气质量变化趋势</w:t>
      </w:r>
    </w:p>
    <w:p w14:paraId="76BAA481">
      <w:pPr>
        <w:spacing w:before="150" w:line="339" w:lineRule="auto"/>
        <w:ind w:left="36" w:right="369" w:firstLine="511"/>
        <w:rPr>
          <w:rFonts w:ascii="仿宋" w:hAnsi="仿宋" w:eastAsia="仿宋" w:cs="仿宋"/>
          <w:sz w:val="25"/>
          <w:szCs w:val="25"/>
        </w:rPr>
      </w:pPr>
      <w:r>
        <w:rPr>
          <w:rFonts w:ascii="仿宋" w:hAnsi="仿宋" w:eastAsia="仿宋" w:cs="仿宋"/>
          <w:spacing w:val="7"/>
          <w:sz w:val="25"/>
          <w:szCs w:val="25"/>
        </w:rPr>
        <w:t>根据《重庆市生态环境状况公报（</w:t>
      </w:r>
      <w:r>
        <w:rPr>
          <w:rFonts w:ascii="Times New Roman" w:hAnsi="Times New Roman" w:eastAsia="Times New Roman" w:cs="Times New Roman"/>
          <w:spacing w:val="7"/>
          <w:sz w:val="25"/>
          <w:szCs w:val="25"/>
        </w:rPr>
        <w:t>2020-2024</w:t>
      </w:r>
      <w:r>
        <w:rPr>
          <w:rFonts w:ascii="仿宋" w:hAnsi="仿宋" w:eastAsia="仿宋" w:cs="仿宋"/>
          <w:spacing w:val="7"/>
          <w:sz w:val="25"/>
          <w:szCs w:val="25"/>
        </w:rPr>
        <w:t>）》，</w:t>
      </w:r>
      <w:r>
        <w:rPr>
          <w:rFonts w:ascii="Times New Roman" w:hAnsi="Times New Roman" w:eastAsia="Times New Roman" w:cs="Times New Roman"/>
          <w:spacing w:val="7"/>
          <w:sz w:val="25"/>
          <w:szCs w:val="25"/>
        </w:rPr>
        <w:t>2020-2024</w:t>
      </w:r>
      <w:r>
        <w:rPr>
          <w:rFonts w:ascii="Times New Roman" w:hAnsi="Times New Roman" w:eastAsia="Times New Roman" w:cs="Times New Roman"/>
          <w:spacing w:val="37"/>
          <w:w w:val="101"/>
          <w:sz w:val="25"/>
          <w:szCs w:val="25"/>
        </w:rPr>
        <w:t xml:space="preserve"> </w:t>
      </w:r>
      <w:r>
        <w:rPr>
          <w:rFonts w:ascii="仿宋" w:hAnsi="仿宋" w:eastAsia="仿宋" w:cs="仿宋"/>
          <w:spacing w:val="7"/>
          <w:sz w:val="25"/>
          <w:szCs w:val="25"/>
        </w:rPr>
        <w:t>年黔江区大</w:t>
      </w:r>
      <w:r>
        <w:rPr>
          <w:rFonts w:ascii="仿宋" w:hAnsi="仿宋" w:eastAsia="仿宋" w:cs="仿宋"/>
          <w:sz w:val="25"/>
          <w:szCs w:val="25"/>
        </w:rPr>
        <w:t xml:space="preserve"> </w:t>
      </w:r>
      <w:r>
        <w:rPr>
          <w:rFonts w:ascii="仿宋" w:hAnsi="仿宋" w:eastAsia="仿宋" w:cs="仿宋"/>
          <w:spacing w:val="5"/>
          <w:sz w:val="25"/>
          <w:szCs w:val="25"/>
        </w:rPr>
        <w:t>气环境质量变化数据见表</w:t>
      </w:r>
      <w:r>
        <w:rPr>
          <w:rFonts w:ascii="仿宋" w:hAnsi="仿宋" w:eastAsia="仿宋" w:cs="仿宋"/>
          <w:spacing w:val="-44"/>
          <w:sz w:val="25"/>
          <w:szCs w:val="25"/>
        </w:rPr>
        <w:t xml:space="preserve"> </w:t>
      </w:r>
      <w:r>
        <w:rPr>
          <w:rFonts w:ascii="Times New Roman" w:hAnsi="Times New Roman" w:eastAsia="Times New Roman" w:cs="Times New Roman"/>
          <w:spacing w:val="5"/>
          <w:sz w:val="25"/>
          <w:szCs w:val="25"/>
        </w:rPr>
        <w:t>3.1-6</w:t>
      </w:r>
      <w:r>
        <w:rPr>
          <w:rFonts w:ascii="仿宋" w:hAnsi="仿宋" w:eastAsia="仿宋" w:cs="仿宋"/>
          <w:spacing w:val="5"/>
          <w:sz w:val="25"/>
          <w:szCs w:val="25"/>
        </w:rPr>
        <w:t>。</w:t>
      </w:r>
    </w:p>
    <w:p w14:paraId="308A8AEF">
      <w:pPr>
        <w:spacing w:before="45" w:line="221" w:lineRule="auto"/>
        <w:ind w:left="1781"/>
        <w:rPr>
          <w:rFonts w:ascii="Times New Roman" w:hAnsi="Times New Roman" w:eastAsia="Times New Roman" w:cs="Times New Roman"/>
          <w:sz w:val="13"/>
          <w:szCs w:val="13"/>
        </w:rPr>
      </w:pPr>
      <w:r>
        <w:rPr>
          <w:rFonts w:ascii="仿宋" w:hAnsi="仿宋" w:eastAsia="仿宋" w:cs="仿宋"/>
          <w:b/>
          <w:bCs/>
          <w:spacing w:val="6"/>
          <w:sz w:val="20"/>
          <w:szCs w:val="20"/>
        </w:rPr>
        <w:t>表</w:t>
      </w:r>
      <w:r>
        <w:rPr>
          <w:rFonts w:ascii="仿宋" w:hAnsi="仿宋" w:eastAsia="仿宋" w:cs="仿宋"/>
          <w:spacing w:val="-42"/>
          <w:sz w:val="20"/>
          <w:szCs w:val="20"/>
        </w:rPr>
        <w:t xml:space="preserve"> </w:t>
      </w:r>
      <w:r>
        <w:rPr>
          <w:rFonts w:ascii="Times New Roman" w:hAnsi="Times New Roman" w:eastAsia="Times New Roman" w:cs="Times New Roman"/>
          <w:b/>
          <w:bCs/>
          <w:spacing w:val="6"/>
          <w:sz w:val="20"/>
          <w:szCs w:val="20"/>
        </w:rPr>
        <w:t xml:space="preserve">3.1-6      </w:t>
      </w:r>
      <w:r>
        <w:rPr>
          <w:rFonts w:ascii="仿宋" w:hAnsi="仿宋" w:eastAsia="仿宋" w:cs="仿宋"/>
          <w:b/>
          <w:bCs/>
          <w:spacing w:val="6"/>
          <w:sz w:val="20"/>
          <w:szCs w:val="20"/>
        </w:rPr>
        <w:t>黔江区城区环境空气质量统计表</w:t>
      </w:r>
      <w:r>
        <w:rPr>
          <w:rFonts w:ascii="仿宋" w:hAnsi="仿宋" w:eastAsia="仿宋" w:cs="仿宋"/>
          <w:spacing w:val="6"/>
          <w:sz w:val="20"/>
          <w:szCs w:val="20"/>
        </w:rPr>
        <w:t xml:space="preserve">  </w:t>
      </w:r>
      <w:r>
        <w:rPr>
          <w:rFonts w:ascii="仿宋" w:hAnsi="仿宋" w:eastAsia="仿宋" w:cs="仿宋"/>
          <w:b/>
          <w:bCs/>
          <w:spacing w:val="6"/>
          <w:sz w:val="20"/>
          <w:szCs w:val="20"/>
        </w:rPr>
        <w:t>单位：</w:t>
      </w:r>
      <w:r>
        <w:rPr>
          <w:rFonts w:ascii="Times New Roman" w:hAnsi="Times New Roman" w:eastAsia="Times New Roman" w:cs="Times New Roman"/>
          <w:b/>
          <w:bCs/>
          <w:sz w:val="20"/>
          <w:szCs w:val="20"/>
        </w:rPr>
        <w:t>ug</w:t>
      </w:r>
      <w:r>
        <w:rPr>
          <w:rFonts w:ascii="Times New Roman" w:hAnsi="Times New Roman" w:eastAsia="Times New Roman" w:cs="Times New Roman"/>
          <w:b/>
          <w:bCs/>
          <w:spacing w:val="6"/>
          <w:sz w:val="20"/>
          <w:szCs w:val="20"/>
        </w:rPr>
        <w:t>/m</w:t>
      </w:r>
      <w:r>
        <w:rPr>
          <w:rFonts w:ascii="Times New Roman" w:hAnsi="Times New Roman" w:eastAsia="Times New Roman" w:cs="Times New Roman"/>
          <w:b/>
          <w:bCs/>
          <w:spacing w:val="6"/>
          <w:position w:val="6"/>
          <w:sz w:val="13"/>
          <w:szCs w:val="13"/>
        </w:rPr>
        <w:t>3</w:t>
      </w:r>
    </w:p>
    <w:p w14:paraId="1BC94B02">
      <w:pPr>
        <w:spacing w:line="32" w:lineRule="exact"/>
      </w:pPr>
    </w:p>
    <w:tbl>
      <w:tblPr>
        <w:tblStyle w:val="5"/>
        <w:tblW w:w="920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14"/>
        <w:gridCol w:w="1203"/>
        <w:gridCol w:w="988"/>
        <w:gridCol w:w="1281"/>
        <w:gridCol w:w="982"/>
        <w:gridCol w:w="1294"/>
        <w:gridCol w:w="1245"/>
      </w:tblGrid>
      <w:tr w14:paraId="1BF4B6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 w:hRule="atLeast"/>
        </w:trPr>
        <w:tc>
          <w:tcPr>
            <w:tcW w:w="2214" w:type="dxa"/>
            <w:tcBorders>
              <w:top w:val="single" w:color="000000" w:sz="6" w:space="0"/>
              <w:left w:val="single" w:color="000000" w:sz="6" w:space="0"/>
            </w:tcBorders>
            <w:vAlign w:val="top"/>
          </w:tcPr>
          <w:p w14:paraId="10E514EC">
            <w:pPr>
              <w:pStyle w:val="6"/>
              <w:spacing w:before="85" w:line="231" w:lineRule="auto"/>
              <w:ind w:left="914"/>
              <w:rPr>
                <w:sz w:val="20"/>
                <w:szCs w:val="20"/>
              </w:rPr>
            </w:pPr>
            <w:r>
              <w:rPr>
                <w:spacing w:val="-1"/>
                <w:sz w:val="20"/>
                <w:szCs w:val="20"/>
              </w:rPr>
              <w:t>年份</w:t>
            </w:r>
          </w:p>
        </w:tc>
        <w:tc>
          <w:tcPr>
            <w:tcW w:w="1203" w:type="dxa"/>
            <w:tcBorders>
              <w:top w:val="single" w:color="000000" w:sz="6" w:space="0"/>
            </w:tcBorders>
            <w:vAlign w:val="top"/>
          </w:tcPr>
          <w:p w14:paraId="037DD609">
            <w:pPr>
              <w:spacing w:before="112" w:line="200" w:lineRule="auto"/>
              <w:ind w:left="378"/>
              <w:rPr>
                <w:rFonts w:ascii="Times New Roman" w:hAnsi="Times New Roman" w:eastAsia="Times New Roman" w:cs="Times New Roman"/>
                <w:sz w:val="13"/>
                <w:szCs w:val="13"/>
              </w:rPr>
            </w:pPr>
            <w:r>
              <w:rPr>
                <w:rFonts w:ascii="Times New Roman" w:hAnsi="Times New Roman" w:eastAsia="Times New Roman" w:cs="Times New Roman"/>
                <w:position w:val="1"/>
                <w:sz w:val="20"/>
                <w:szCs w:val="20"/>
              </w:rPr>
              <w:t>PM</w:t>
            </w:r>
            <w:r>
              <w:rPr>
                <w:rFonts w:ascii="Times New Roman" w:hAnsi="Times New Roman" w:eastAsia="Times New Roman" w:cs="Times New Roman"/>
                <w:spacing w:val="8"/>
                <w:position w:val="-2"/>
                <w:sz w:val="13"/>
                <w:szCs w:val="13"/>
              </w:rPr>
              <w:t>10</w:t>
            </w:r>
          </w:p>
        </w:tc>
        <w:tc>
          <w:tcPr>
            <w:tcW w:w="988" w:type="dxa"/>
            <w:tcBorders>
              <w:top w:val="single" w:color="000000" w:sz="6" w:space="0"/>
            </w:tcBorders>
            <w:vAlign w:val="top"/>
          </w:tcPr>
          <w:p w14:paraId="7E52A9DF">
            <w:pPr>
              <w:spacing w:before="112" w:line="200" w:lineRule="auto"/>
              <w:ind w:left="257"/>
              <w:rPr>
                <w:rFonts w:ascii="Times New Roman" w:hAnsi="Times New Roman" w:eastAsia="Times New Roman" w:cs="Times New Roman"/>
                <w:sz w:val="13"/>
                <w:szCs w:val="13"/>
              </w:rPr>
            </w:pPr>
            <w:r>
              <w:rPr>
                <w:rFonts w:ascii="Times New Roman" w:hAnsi="Times New Roman" w:eastAsia="Times New Roman" w:cs="Times New Roman"/>
                <w:position w:val="1"/>
                <w:sz w:val="20"/>
                <w:szCs w:val="20"/>
              </w:rPr>
              <w:t>PM</w:t>
            </w:r>
            <w:r>
              <w:rPr>
                <w:rFonts w:ascii="Times New Roman" w:hAnsi="Times New Roman" w:eastAsia="Times New Roman" w:cs="Times New Roman"/>
                <w:spacing w:val="6"/>
                <w:position w:val="-2"/>
                <w:sz w:val="13"/>
                <w:szCs w:val="13"/>
              </w:rPr>
              <w:t>2.5</w:t>
            </w:r>
          </w:p>
        </w:tc>
        <w:tc>
          <w:tcPr>
            <w:tcW w:w="1281" w:type="dxa"/>
            <w:tcBorders>
              <w:top w:val="single" w:color="000000" w:sz="6" w:space="0"/>
            </w:tcBorders>
            <w:vAlign w:val="top"/>
          </w:tcPr>
          <w:p w14:paraId="08C94534">
            <w:pPr>
              <w:spacing w:before="108" w:line="204" w:lineRule="auto"/>
              <w:ind w:left="483"/>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pacing w:val="3"/>
                <w:position w:val="-3"/>
                <w:sz w:val="13"/>
                <w:szCs w:val="13"/>
              </w:rPr>
              <w:t>2</w:t>
            </w:r>
          </w:p>
        </w:tc>
        <w:tc>
          <w:tcPr>
            <w:tcW w:w="982" w:type="dxa"/>
            <w:tcBorders>
              <w:top w:val="single" w:color="000000" w:sz="6" w:space="0"/>
            </w:tcBorders>
            <w:vAlign w:val="top"/>
          </w:tcPr>
          <w:p w14:paraId="70A3BEAE">
            <w:pPr>
              <w:spacing w:before="108" w:line="204" w:lineRule="auto"/>
              <w:ind w:left="300"/>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NO</w:t>
            </w:r>
            <w:r>
              <w:rPr>
                <w:rFonts w:ascii="Times New Roman" w:hAnsi="Times New Roman" w:eastAsia="Times New Roman" w:cs="Times New Roman"/>
                <w:spacing w:val="6"/>
                <w:position w:val="-3"/>
                <w:sz w:val="13"/>
                <w:szCs w:val="13"/>
              </w:rPr>
              <w:t>2</w:t>
            </w:r>
          </w:p>
        </w:tc>
        <w:tc>
          <w:tcPr>
            <w:tcW w:w="1294" w:type="dxa"/>
            <w:tcBorders>
              <w:top w:val="single" w:color="000000" w:sz="6" w:space="0"/>
            </w:tcBorders>
            <w:vAlign w:val="top"/>
          </w:tcPr>
          <w:p w14:paraId="2B93AB51">
            <w:pPr>
              <w:spacing w:before="133" w:line="201" w:lineRule="auto"/>
              <w:ind w:left="543"/>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0"/>
                <w:szCs w:val="20"/>
              </w:rPr>
              <w:t>O</w:t>
            </w:r>
            <w:r>
              <w:rPr>
                <w:rFonts w:ascii="Times New Roman" w:hAnsi="Times New Roman" w:eastAsia="Times New Roman" w:cs="Times New Roman"/>
                <w:spacing w:val="1"/>
                <w:position w:val="-2"/>
                <w:sz w:val="13"/>
                <w:szCs w:val="13"/>
              </w:rPr>
              <w:t>3</w:t>
            </w:r>
          </w:p>
        </w:tc>
        <w:tc>
          <w:tcPr>
            <w:tcW w:w="1245" w:type="dxa"/>
            <w:tcBorders>
              <w:top w:val="single" w:color="000000" w:sz="6" w:space="0"/>
              <w:right w:val="single" w:color="000000" w:sz="6" w:space="0"/>
            </w:tcBorders>
            <w:vAlign w:val="top"/>
          </w:tcPr>
          <w:p w14:paraId="57B7CB9E">
            <w:pPr>
              <w:pStyle w:val="6"/>
              <w:spacing w:before="71" w:line="272" w:lineRule="exact"/>
              <w:ind w:left="12"/>
              <w:rPr>
                <w:sz w:val="20"/>
                <w:szCs w:val="20"/>
              </w:rPr>
            </w:pPr>
            <w:r>
              <w:rPr>
                <w:rFonts w:ascii="Times New Roman" w:hAnsi="Times New Roman" w:eastAsia="Times New Roman" w:cs="Times New Roman"/>
                <w:spacing w:val="-6"/>
                <w:position w:val="2"/>
                <w:sz w:val="20"/>
                <w:szCs w:val="20"/>
              </w:rPr>
              <w:t>CO</w:t>
            </w:r>
            <w:r>
              <w:rPr>
                <w:spacing w:val="-6"/>
                <w:position w:val="2"/>
                <w:sz w:val="20"/>
                <w:szCs w:val="20"/>
              </w:rPr>
              <w:t>（</w:t>
            </w:r>
            <w:r>
              <w:rPr>
                <w:rFonts w:ascii="Times New Roman" w:hAnsi="Times New Roman" w:eastAsia="Times New Roman" w:cs="Times New Roman"/>
                <w:spacing w:val="-6"/>
                <w:position w:val="2"/>
                <w:sz w:val="20"/>
                <w:szCs w:val="20"/>
              </w:rPr>
              <w:t>mg/m</w:t>
            </w:r>
            <w:r>
              <w:rPr>
                <w:rFonts w:ascii="Times New Roman" w:hAnsi="Times New Roman" w:eastAsia="Times New Roman" w:cs="Times New Roman"/>
                <w:spacing w:val="-6"/>
                <w:position w:val="3"/>
                <w:sz w:val="20"/>
                <w:szCs w:val="20"/>
              </w:rPr>
              <w:t>3</w:t>
            </w:r>
            <w:r>
              <w:rPr>
                <w:spacing w:val="-6"/>
                <w:position w:val="3"/>
                <w:sz w:val="20"/>
                <w:szCs w:val="20"/>
              </w:rPr>
              <w:t>）</w:t>
            </w:r>
          </w:p>
        </w:tc>
      </w:tr>
      <w:tr w14:paraId="32D54A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2214" w:type="dxa"/>
            <w:tcBorders>
              <w:left w:val="single" w:color="000000" w:sz="6" w:space="0"/>
            </w:tcBorders>
            <w:vAlign w:val="top"/>
          </w:tcPr>
          <w:p w14:paraId="4C173083">
            <w:pPr>
              <w:pStyle w:val="6"/>
              <w:spacing w:before="83" w:line="213" w:lineRule="auto"/>
              <w:ind w:left="742"/>
              <w:rPr>
                <w:sz w:val="20"/>
                <w:szCs w:val="20"/>
              </w:rPr>
            </w:pPr>
            <w:r>
              <w:rPr>
                <w:rFonts w:ascii="Times New Roman" w:hAnsi="Times New Roman" w:eastAsia="Times New Roman" w:cs="Times New Roman"/>
                <w:spacing w:val="3"/>
                <w:sz w:val="20"/>
                <w:szCs w:val="20"/>
              </w:rPr>
              <w:t>2020</w:t>
            </w:r>
            <w:r>
              <w:rPr>
                <w:rFonts w:ascii="Times New Roman" w:hAnsi="Times New Roman" w:eastAsia="Times New Roman" w:cs="Times New Roman"/>
                <w:spacing w:val="11"/>
                <w:sz w:val="20"/>
                <w:szCs w:val="20"/>
              </w:rPr>
              <w:t xml:space="preserve">  </w:t>
            </w:r>
            <w:r>
              <w:rPr>
                <w:spacing w:val="3"/>
                <w:sz w:val="20"/>
                <w:szCs w:val="20"/>
              </w:rPr>
              <w:t>年</w:t>
            </w:r>
          </w:p>
        </w:tc>
        <w:tc>
          <w:tcPr>
            <w:tcW w:w="1203" w:type="dxa"/>
            <w:vAlign w:val="top"/>
          </w:tcPr>
          <w:p w14:paraId="44BBA682">
            <w:pPr>
              <w:spacing w:before="92" w:line="195" w:lineRule="auto"/>
              <w:ind w:left="498"/>
              <w:rPr>
                <w:rFonts w:ascii="Times New Roman" w:hAnsi="Times New Roman" w:eastAsia="Times New Roman" w:cs="Times New Roman"/>
                <w:sz w:val="20"/>
                <w:szCs w:val="20"/>
              </w:rPr>
            </w:pPr>
            <w:r>
              <w:rPr>
                <w:rFonts w:ascii="Times New Roman" w:hAnsi="Times New Roman" w:eastAsia="Times New Roman" w:cs="Times New Roman"/>
                <w:sz w:val="20"/>
                <w:szCs w:val="20"/>
              </w:rPr>
              <w:t>32</w:t>
            </w:r>
          </w:p>
        </w:tc>
        <w:tc>
          <w:tcPr>
            <w:tcW w:w="988" w:type="dxa"/>
            <w:vAlign w:val="top"/>
          </w:tcPr>
          <w:p w14:paraId="0D9E1BA1">
            <w:pPr>
              <w:spacing w:before="92" w:line="195" w:lineRule="auto"/>
              <w:ind w:left="3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1281" w:type="dxa"/>
            <w:vAlign w:val="top"/>
          </w:tcPr>
          <w:p w14:paraId="165C4084">
            <w:pPr>
              <w:spacing w:before="92" w:line="195" w:lineRule="auto"/>
              <w:ind w:left="55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982" w:type="dxa"/>
            <w:vAlign w:val="top"/>
          </w:tcPr>
          <w:p w14:paraId="63116ECB">
            <w:pPr>
              <w:spacing w:before="93" w:line="195" w:lineRule="auto"/>
              <w:ind w:left="41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1294" w:type="dxa"/>
            <w:vAlign w:val="top"/>
          </w:tcPr>
          <w:p w14:paraId="78DD1E1C">
            <w:pPr>
              <w:spacing w:before="92" w:line="195" w:lineRule="auto"/>
              <w:ind w:left="5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104</w:t>
            </w:r>
          </w:p>
        </w:tc>
        <w:tc>
          <w:tcPr>
            <w:tcW w:w="1245" w:type="dxa"/>
            <w:tcBorders>
              <w:right w:val="single" w:color="000000" w:sz="6" w:space="0"/>
            </w:tcBorders>
            <w:vAlign w:val="top"/>
          </w:tcPr>
          <w:p w14:paraId="68B1D9F8">
            <w:pPr>
              <w:spacing w:before="92" w:line="195"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0.8</w:t>
            </w:r>
          </w:p>
        </w:tc>
      </w:tr>
      <w:tr w14:paraId="4321ED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2214" w:type="dxa"/>
            <w:tcBorders>
              <w:left w:val="single" w:color="000000" w:sz="6" w:space="0"/>
            </w:tcBorders>
            <w:vAlign w:val="top"/>
          </w:tcPr>
          <w:p w14:paraId="44EFC70B">
            <w:pPr>
              <w:pStyle w:val="6"/>
              <w:spacing w:before="70" w:line="206" w:lineRule="auto"/>
              <w:ind w:left="742"/>
              <w:rPr>
                <w:sz w:val="20"/>
                <w:szCs w:val="20"/>
              </w:rPr>
            </w:pPr>
            <w:r>
              <w:rPr>
                <w:rFonts w:ascii="Times New Roman" w:hAnsi="Times New Roman" w:eastAsia="Times New Roman" w:cs="Times New Roman"/>
                <w:spacing w:val="3"/>
                <w:sz w:val="20"/>
                <w:szCs w:val="20"/>
              </w:rPr>
              <w:t>2021</w:t>
            </w:r>
            <w:r>
              <w:rPr>
                <w:rFonts w:ascii="Times New Roman" w:hAnsi="Times New Roman" w:eastAsia="Times New Roman" w:cs="Times New Roman"/>
                <w:spacing w:val="11"/>
                <w:sz w:val="20"/>
                <w:szCs w:val="20"/>
              </w:rPr>
              <w:t xml:space="preserve">  </w:t>
            </w:r>
            <w:r>
              <w:rPr>
                <w:spacing w:val="3"/>
                <w:sz w:val="20"/>
                <w:szCs w:val="20"/>
              </w:rPr>
              <w:t>年</w:t>
            </w:r>
          </w:p>
        </w:tc>
        <w:tc>
          <w:tcPr>
            <w:tcW w:w="1203" w:type="dxa"/>
            <w:vAlign w:val="top"/>
          </w:tcPr>
          <w:p w14:paraId="4B48814D">
            <w:pPr>
              <w:spacing w:before="110" w:line="192" w:lineRule="auto"/>
              <w:ind w:left="503"/>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988" w:type="dxa"/>
            <w:vAlign w:val="top"/>
          </w:tcPr>
          <w:p w14:paraId="43145DFF">
            <w:pPr>
              <w:spacing w:before="110" w:line="192" w:lineRule="auto"/>
              <w:ind w:left="3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1281" w:type="dxa"/>
            <w:vAlign w:val="top"/>
          </w:tcPr>
          <w:p w14:paraId="20DBF57D">
            <w:pPr>
              <w:spacing w:before="110" w:line="192" w:lineRule="auto"/>
              <w:ind w:left="603"/>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982" w:type="dxa"/>
            <w:vAlign w:val="top"/>
          </w:tcPr>
          <w:p w14:paraId="416C9FD8">
            <w:pPr>
              <w:spacing w:before="110" w:line="192" w:lineRule="auto"/>
              <w:ind w:left="41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1294" w:type="dxa"/>
            <w:vAlign w:val="top"/>
          </w:tcPr>
          <w:p w14:paraId="7CE27EE5">
            <w:pPr>
              <w:spacing w:before="110" w:line="192" w:lineRule="auto"/>
              <w:ind w:left="5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102</w:t>
            </w:r>
          </w:p>
        </w:tc>
        <w:tc>
          <w:tcPr>
            <w:tcW w:w="1245" w:type="dxa"/>
            <w:tcBorders>
              <w:right w:val="single" w:color="000000" w:sz="6" w:space="0"/>
            </w:tcBorders>
            <w:vAlign w:val="top"/>
          </w:tcPr>
          <w:p w14:paraId="16936B9C">
            <w:pPr>
              <w:spacing w:before="110" w:line="192" w:lineRule="auto"/>
              <w:ind w:left="49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0.8</w:t>
            </w:r>
          </w:p>
        </w:tc>
      </w:tr>
      <w:tr w14:paraId="67A9B1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2214" w:type="dxa"/>
            <w:tcBorders>
              <w:left w:val="single" w:color="000000" w:sz="6" w:space="0"/>
            </w:tcBorders>
            <w:vAlign w:val="top"/>
          </w:tcPr>
          <w:p w14:paraId="5F3DFBD1">
            <w:pPr>
              <w:pStyle w:val="6"/>
              <w:spacing w:before="86" w:line="210" w:lineRule="auto"/>
              <w:ind w:left="742"/>
              <w:rPr>
                <w:sz w:val="20"/>
                <w:szCs w:val="20"/>
              </w:rPr>
            </w:pPr>
            <w:r>
              <w:rPr>
                <w:rFonts w:ascii="Times New Roman" w:hAnsi="Times New Roman" w:eastAsia="Times New Roman" w:cs="Times New Roman"/>
                <w:spacing w:val="3"/>
                <w:sz w:val="20"/>
                <w:szCs w:val="20"/>
              </w:rPr>
              <w:t>2022</w:t>
            </w:r>
            <w:r>
              <w:rPr>
                <w:rFonts w:ascii="Times New Roman" w:hAnsi="Times New Roman" w:eastAsia="Times New Roman" w:cs="Times New Roman"/>
                <w:spacing w:val="11"/>
                <w:sz w:val="20"/>
                <w:szCs w:val="20"/>
              </w:rPr>
              <w:t xml:space="preserve">  </w:t>
            </w:r>
            <w:r>
              <w:rPr>
                <w:spacing w:val="3"/>
                <w:sz w:val="20"/>
                <w:szCs w:val="20"/>
              </w:rPr>
              <w:t>年</w:t>
            </w:r>
          </w:p>
        </w:tc>
        <w:tc>
          <w:tcPr>
            <w:tcW w:w="1203" w:type="dxa"/>
            <w:vAlign w:val="top"/>
          </w:tcPr>
          <w:p w14:paraId="79B34BCB">
            <w:pPr>
              <w:spacing w:before="124" w:line="195" w:lineRule="auto"/>
              <w:ind w:left="498"/>
              <w:rPr>
                <w:rFonts w:ascii="Times New Roman" w:hAnsi="Times New Roman" w:eastAsia="Times New Roman" w:cs="Times New Roman"/>
                <w:sz w:val="20"/>
                <w:szCs w:val="20"/>
              </w:rPr>
            </w:pPr>
            <w:r>
              <w:rPr>
                <w:rFonts w:ascii="Times New Roman" w:hAnsi="Times New Roman" w:eastAsia="Times New Roman" w:cs="Times New Roman"/>
                <w:sz w:val="20"/>
                <w:szCs w:val="20"/>
              </w:rPr>
              <w:t>32</w:t>
            </w:r>
          </w:p>
        </w:tc>
        <w:tc>
          <w:tcPr>
            <w:tcW w:w="988" w:type="dxa"/>
            <w:vAlign w:val="top"/>
          </w:tcPr>
          <w:p w14:paraId="67E65E7B">
            <w:pPr>
              <w:spacing w:before="124" w:line="195" w:lineRule="auto"/>
              <w:ind w:left="3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1281" w:type="dxa"/>
            <w:vAlign w:val="top"/>
          </w:tcPr>
          <w:p w14:paraId="582E965A">
            <w:pPr>
              <w:spacing w:before="127" w:line="192" w:lineRule="auto"/>
              <w:ind w:left="591"/>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982" w:type="dxa"/>
            <w:vAlign w:val="top"/>
          </w:tcPr>
          <w:p w14:paraId="1544B2D3">
            <w:pPr>
              <w:spacing w:before="124" w:line="195" w:lineRule="auto"/>
              <w:ind w:left="40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294" w:type="dxa"/>
            <w:vAlign w:val="top"/>
          </w:tcPr>
          <w:p w14:paraId="377BC61F">
            <w:pPr>
              <w:spacing w:before="124" w:line="195" w:lineRule="auto"/>
              <w:ind w:left="5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118</w:t>
            </w:r>
          </w:p>
        </w:tc>
        <w:tc>
          <w:tcPr>
            <w:tcW w:w="1245" w:type="dxa"/>
            <w:tcBorders>
              <w:right w:val="single" w:color="000000" w:sz="6" w:space="0"/>
            </w:tcBorders>
            <w:vAlign w:val="top"/>
          </w:tcPr>
          <w:p w14:paraId="21DBBB43">
            <w:pPr>
              <w:spacing w:before="124" w:line="195"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0.8</w:t>
            </w:r>
          </w:p>
        </w:tc>
      </w:tr>
      <w:tr w14:paraId="6565D0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2214" w:type="dxa"/>
            <w:tcBorders>
              <w:left w:val="single" w:color="000000" w:sz="6" w:space="0"/>
            </w:tcBorders>
            <w:vAlign w:val="top"/>
          </w:tcPr>
          <w:p w14:paraId="3EFE5445">
            <w:pPr>
              <w:pStyle w:val="6"/>
              <w:spacing w:before="78" w:line="199" w:lineRule="auto"/>
              <w:ind w:left="742"/>
              <w:rPr>
                <w:sz w:val="20"/>
                <w:szCs w:val="20"/>
              </w:rPr>
            </w:pPr>
            <w:r>
              <w:rPr>
                <w:rFonts w:ascii="Times New Roman" w:hAnsi="Times New Roman" w:eastAsia="Times New Roman" w:cs="Times New Roman"/>
                <w:spacing w:val="3"/>
                <w:sz w:val="20"/>
                <w:szCs w:val="20"/>
              </w:rPr>
              <w:t>2023</w:t>
            </w:r>
            <w:r>
              <w:rPr>
                <w:rFonts w:ascii="Times New Roman" w:hAnsi="Times New Roman" w:eastAsia="Times New Roman" w:cs="Times New Roman"/>
                <w:spacing w:val="11"/>
                <w:sz w:val="20"/>
                <w:szCs w:val="20"/>
              </w:rPr>
              <w:t xml:space="preserve">  </w:t>
            </w:r>
            <w:r>
              <w:rPr>
                <w:spacing w:val="3"/>
                <w:sz w:val="20"/>
                <w:szCs w:val="20"/>
              </w:rPr>
              <w:t>年</w:t>
            </w:r>
          </w:p>
        </w:tc>
        <w:tc>
          <w:tcPr>
            <w:tcW w:w="1203" w:type="dxa"/>
            <w:vAlign w:val="top"/>
          </w:tcPr>
          <w:p w14:paraId="4A8175B2">
            <w:pPr>
              <w:spacing w:before="114" w:line="187" w:lineRule="auto"/>
              <w:ind w:left="503"/>
              <w:rPr>
                <w:rFonts w:ascii="Times New Roman" w:hAnsi="Times New Roman" w:eastAsia="Times New Roman" w:cs="Times New Roman"/>
                <w:sz w:val="20"/>
                <w:szCs w:val="20"/>
              </w:rPr>
            </w:pPr>
            <w:r>
              <w:rPr>
                <w:rFonts w:ascii="Times New Roman" w:hAnsi="Times New Roman" w:eastAsia="Times New Roman" w:cs="Times New Roman"/>
                <w:sz w:val="20"/>
                <w:szCs w:val="20"/>
              </w:rPr>
              <w:t>34</w:t>
            </w:r>
          </w:p>
        </w:tc>
        <w:tc>
          <w:tcPr>
            <w:tcW w:w="988" w:type="dxa"/>
            <w:vAlign w:val="top"/>
          </w:tcPr>
          <w:p w14:paraId="6E96930C">
            <w:pPr>
              <w:spacing w:before="114" w:line="187" w:lineRule="auto"/>
              <w:ind w:left="3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29</w:t>
            </w:r>
          </w:p>
        </w:tc>
        <w:tc>
          <w:tcPr>
            <w:tcW w:w="1281" w:type="dxa"/>
            <w:vAlign w:val="top"/>
          </w:tcPr>
          <w:p w14:paraId="35087399">
            <w:pPr>
              <w:spacing w:before="117" w:line="184" w:lineRule="auto"/>
              <w:ind w:left="598"/>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982" w:type="dxa"/>
            <w:vAlign w:val="top"/>
          </w:tcPr>
          <w:p w14:paraId="28B321FC">
            <w:pPr>
              <w:spacing w:before="114" w:line="187" w:lineRule="auto"/>
              <w:ind w:left="41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1294" w:type="dxa"/>
            <w:vAlign w:val="top"/>
          </w:tcPr>
          <w:p w14:paraId="69A0073B">
            <w:pPr>
              <w:spacing w:before="114" w:line="187" w:lineRule="auto"/>
              <w:ind w:left="5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113</w:t>
            </w:r>
          </w:p>
        </w:tc>
        <w:tc>
          <w:tcPr>
            <w:tcW w:w="1245" w:type="dxa"/>
            <w:tcBorders>
              <w:right w:val="single" w:color="000000" w:sz="6" w:space="0"/>
            </w:tcBorders>
            <w:vAlign w:val="top"/>
          </w:tcPr>
          <w:p w14:paraId="243DE807">
            <w:pPr>
              <w:spacing w:before="114" w:line="187" w:lineRule="auto"/>
              <w:ind w:left="49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0.8</w:t>
            </w:r>
          </w:p>
        </w:tc>
      </w:tr>
      <w:tr w14:paraId="573525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2214" w:type="dxa"/>
            <w:tcBorders>
              <w:left w:val="single" w:color="000000" w:sz="6" w:space="0"/>
            </w:tcBorders>
            <w:vAlign w:val="top"/>
          </w:tcPr>
          <w:p w14:paraId="78DDE2FD">
            <w:pPr>
              <w:pStyle w:val="6"/>
              <w:spacing w:before="79" w:line="198" w:lineRule="auto"/>
              <w:ind w:left="795"/>
              <w:rPr>
                <w:sz w:val="20"/>
                <w:szCs w:val="20"/>
              </w:rPr>
            </w:pPr>
            <w:r>
              <w:rPr>
                <w:rFonts w:ascii="Times New Roman" w:hAnsi="Times New Roman" w:eastAsia="Times New Roman" w:cs="Times New Roman"/>
                <w:spacing w:val="4"/>
                <w:sz w:val="20"/>
                <w:szCs w:val="20"/>
              </w:rPr>
              <w:t>2024</w:t>
            </w:r>
            <w:r>
              <w:rPr>
                <w:spacing w:val="4"/>
                <w:sz w:val="20"/>
                <w:szCs w:val="20"/>
              </w:rPr>
              <w:t>年</w:t>
            </w:r>
          </w:p>
        </w:tc>
        <w:tc>
          <w:tcPr>
            <w:tcW w:w="1203" w:type="dxa"/>
            <w:vAlign w:val="top"/>
          </w:tcPr>
          <w:p w14:paraId="0851C1EC">
            <w:pPr>
              <w:spacing w:before="115" w:line="186" w:lineRule="auto"/>
              <w:ind w:left="503"/>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988" w:type="dxa"/>
            <w:vAlign w:val="top"/>
          </w:tcPr>
          <w:p w14:paraId="1820AC64">
            <w:pPr>
              <w:spacing w:before="115" w:line="186" w:lineRule="auto"/>
              <w:ind w:left="396"/>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281" w:type="dxa"/>
            <w:vAlign w:val="top"/>
          </w:tcPr>
          <w:p w14:paraId="704DD2DD">
            <w:pPr>
              <w:spacing w:before="115" w:line="186" w:lineRule="auto"/>
              <w:ind w:left="599"/>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982" w:type="dxa"/>
            <w:vAlign w:val="top"/>
          </w:tcPr>
          <w:p w14:paraId="4004326E">
            <w:pPr>
              <w:spacing w:before="115" w:line="186" w:lineRule="auto"/>
              <w:ind w:left="41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1294" w:type="dxa"/>
            <w:vAlign w:val="top"/>
          </w:tcPr>
          <w:p w14:paraId="0B38198F">
            <w:pPr>
              <w:spacing w:before="115" w:line="186" w:lineRule="auto"/>
              <w:ind w:left="5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110</w:t>
            </w:r>
          </w:p>
        </w:tc>
        <w:tc>
          <w:tcPr>
            <w:tcW w:w="1245" w:type="dxa"/>
            <w:tcBorders>
              <w:right w:val="single" w:color="000000" w:sz="6" w:space="0"/>
            </w:tcBorders>
            <w:vAlign w:val="top"/>
          </w:tcPr>
          <w:p w14:paraId="7C725B41">
            <w:pPr>
              <w:spacing w:before="115" w:line="186" w:lineRule="auto"/>
              <w:ind w:left="49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0.8</w:t>
            </w:r>
          </w:p>
        </w:tc>
      </w:tr>
      <w:tr w14:paraId="6E6156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 w:hRule="atLeast"/>
        </w:trPr>
        <w:tc>
          <w:tcPr>
            <w:tcW w:w="2214" w:type="dxa"/>
            <w:tcBorders>
              <w:left w:val="single" w:color="000000" w:sz="6" w:space="0"/>
              <w:bottom w:val="single" w:color="000000" w:sz="6" w:space="0"/>
            </w:tcBorders>
            <w:vAlign w:val="top"/>
          </w:tcPr>
          <w:p w14:paraId="2101B005">
            <w:pPr>
              <w:pStyle w:val="6"/>
              <w:spacing w:before="91" w:line="226" w:lineRule="auto"/>
              <w:ind w:left="132" w:right="65" w:firstLine="145"/>
              <w:rPr>
                <w:sz w:val="20"/>
                <w:szCs w:val="20"/>
              </w:rPr>
            </w:pPr>
            <w:r>
              <w:rPr>
                <w:spacing w:val="8"/>
                <w:sz w:val="20"/>
                <w:szCs w:val="20"/>
              </w:rPr>
              <w:t>《环境空气质量标</w:t>
            </w:r>
            <w:r>
              <w:rPr>
                <w:sz w:val="20"/>
                <w:szCs w:val="20"/>
              </w:rPr>
              <w:t xml:space="preserve">   </w:t>
            </w:r>
            <w:r>
              <w:rPr>
                <w:spacing w:val="4"/>
                <w:sz w:val="20"/>
                <w:szCs w:val="20"/>
              </w:rPr>
              <w:t>准》（</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3095-2012</w:t>
            </w:r>
            <w:r>
              <w:rPr>
                <w:spacing w:val="4"/>
                <w:sz w:val="20"/>
                <w:szCs w:val="20"/>
              </w:rPr>
              <w:t>）</w:t>
            </w:r>
          </w:p>
        </w:tc>
        <w:tc>
          <w:tcPr>
            <w:tcW w:w="1203" w:type="dxa"/>
            <w:tcBorders>
              <w:bottom w:val="single" w:color="000000" w:sz="6" w:space="0"/>
            </w:tcBorders>
            <w:vAlign w:val="top"/>
          </w:tcPr>
          <w:p w14:paraId="34A1801F">
            <w:pPr>
              <w:spacing w:before="255" w:line="195" w:lineRule="auto"/>
              <w:ind w:left="5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988" w:type="dxa"/>
            <w:tcBorders>
              <w:bottom w:val="single" w:color="000000" w:sz="6" w:space="0"/>
            </w:tcBorders>
            <w:vAlign w:val="top"/>
          </w:tcPr>
          <w:p w14:paraId="37EE6CA6">
            <w:pPr>
              <w:spacing w:before="255" w:line="195" w:lineRule="auto"/>
              <w:ind w:left="396"/>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1281" w:type="dxa"/>
            <w:tcBorders>
              <w:bottom w:val="single" w:color="000000" w:sz="6" w:space="0"/>
            </w:tcBorders>
            <w:vAlign w:val="top"/>
          </w:tcPr>
          <w:p w14:paraId="0E0A2F85">
            <w:pPr>
              <w:spacing w:before="255" w:line="195" w:lineRule="auto"/>
              <w:ind w:left="546"/>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982" w:type="dxa"/>
            <w:tcBorders>
              <w:bottom w:val="single" w:color="000000" w:sz="6" w:space="0"/>
            </w:tcBorders>
            <w:vAlign w:val="top"/>
          </w:tcPr>
          <w:p w14:paraId="29E2B957">
            <w:pPr>
              <w:spacing w:before="255" w:line="195" w:lineRule="auto"/>
              <w:ind w:left="3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1294" w:type="dxa"/>
            <w:tcBorders>
              <w:bottom w:val="single" w:color="000000" w:sz="6" w:space="0"/>
            </w:tcBorders>
            <w:vAlign w:val="top"/>
          </w:tcPr>
          <w:p w14:paraId="3ECCEB9B">
            <w:pPr>
              <w:spacing w:before="255" w:line="195" w:lineRule="auto"/>
              <w:ind w:left="5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160</w:t>
            </w:r>
          </w:p>
        </w:tc>
        <w:tc>
          <w:tcPr>
            <w:tcW w:w="1245" w:type="dxa"/>
            <w:tcBorders>
              <w:bottom w:val="single" w:color="000000" w:sz="6" w:space="0"/>
              <w:right w:val="single" w:color="000000" w:sz="6" w:space="0"/>
            </w:tcBorders>
            <w:vAlign w:val="top"/>
          </w:tcPr>
          <w:p w14:paraId="1A98B414">
            <w:pPr>
              <w:spacing w:before="255" w:line="195" w:lineRule="auto"/>
              <w:ind w:left="57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r>
    </w:tbl>
    <w:p w14:paraId="0EF0AD70">
      <w:pPr>
        <w:pStyle w:val="2"/>
      </w:pPr>
    </w:p>
    <w:p w14:paraId="796FD822">
      <w:pPr>
        <w:sectPr>
          <w:headerReference r:id="rId105" w:type="default"/>
          <w:footerReference r:id="rId106" w:type="default"/>
          <w:pgSz w:w="11906" w:h="16839"/>
          <w:pgMar w:top="1116" w:right="1106" w:bottom="1480" w:left="1577" w:header="683" w:footer="1318" w:gutter="0"/>
          <w:cols w:space="720" w:num="1"/>
        </w:sectPr>
      </w:pPr>
    </w:p>
    <w:p w14:paraId="056044AE">
      <w:pPr>
        <w:pStyle w:val="2"/>
        <w:spacing w:line="321" w:lineRule="auto"/>
      </w:pPr>
    </w:p>
    <w:p w14:paraId="6D37A22D">
      <w:pPr>
        <w:spacing w:line="4351" w:lineRule="exact"/>
        <w:ind w:firstLine="731"/>
      </w:pPr>
      <w:r>
        <w:rPr>
          <w:position w:val="-87"/>
        </w:rPr>
        <w:drawing>
          <wp:inline distT="0" distB="0" distL="0" distR="0">
            <wp:extent cx="4838700" cy="276288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270"/>
                    <a:stretch>
                      <a:fillRect/>
                    </a:stretch>
                  </pic:blipFill>
                  <pic:spPr>
                    <a:xfrm>
                      <a:off x="0" y="0"/>
                      <a:ext cx="4838700" cy="2763011"/>
                    </a:xfrm>
                    <a:prstGeom prst="rect">
                      <a:avLst/>
                    </a:prstGeom>
                  </pic:spPr>
                </pic:pic>
              </a:graphicData>
            </a:graphic>
          </wp:inline>
        </w:drawing>
      </w:r>
    </w:p>
    <w:p w14:paraId="5E2D47A1">
      <w:pPr>
        <w:spacing w:before="37" w:line="229" w:lineRule="auto"/>
        <w:ind w:left="2632"/>
        <w:rPr>
          <w:rFonts w:ascii="仿宋" w:hAnsi="仿宋" w:eastAsia="仿宋" w:cs="仿宋"/>
          <w:sz w:val="25"/>
          <w:szCs w:val="25"/>
        </w:rPr>
      </w:pPr>
      <w:r>
        <w:rPr>
          <w:rFonts w:ascii="仿宋" w:hAnsi="仿宋" w:eastAsia="仿宋" w:cs="仿宋"/>
          <w:spacing w:val="5"/>
          <w:sz w:val="25"/>
          <w:szCs w:val="25"/>
        </w:rPr>
        <w:t>表</w:t>
      </w:r>
      <w:r>
        <w:rPr>
          <w:rFonts w:ascii="仿宋" w:hAnsi="仿宋" w:eastAsia="仿宋" w:cs="仿宋"/>
          <w:spacing w:val="-32"/>
          <w:sz w:val="25"/>
          <w:szCs w:val="25"/>
        </w:rPr>
        <w:t xml:space="preserve"> </w:t>
      </w:r>
      <w:r>
        <w:rPr>
          <w:rFonts w:ascii="Times New Roman" w:hAnsi="Times New Roman" w:eastAsia="Times New Roman" w:cs="Times New Roman"/>
          <w:spacing w:val="5"/>
          <w:sz w:val="25"/>
          <w:szCs w:val="25"/>
        </w:rPr>
        <w:t xml:space="preserve">3.1-1  </w:t>
      </w:r>
      <w:r>
        <w:rPr>
          <w:rFonts w:ascii="仿宋" w:hAnsi="仿宋" w:eastAsia="仿宋" w:cs="仿宋"/>
          <w:spacing w:val="5"/>
          <w:sz w:val="25"/>
          <w:szCs w:val="25"/>
        </w:rPr>
        <w:t>环境空气质量变化趋势图</w:t>
      </w:r>
    </w:p>
    <w:p w14:paraId="5A283EB4">
      <w:pPr>
        <w:spacing w:before="135" w:line="339" w:lineRule="auto"/>
        <w:ind w:left="116" w:right="43" w:firstLine="542"/>
        <w:jc w:val="both"/>
        <w:rPr>
          <w:rFonts w:ascii="仿宋" w:hAnsi="仿宋" w:eastAsia="仿宋" w:cs="仿宋"/>
          <w:sz w:val="25"/>
          <w:szCs w:val="25"/>
        </w:rPr>
      </w:pPr>
      <w:r>
        <w:rPr>
          <w:rFonts w:ascii="仿宋" w:hAnsi="仿宋" w:eastAsia="仿宋" w:cs="仿宋"/>
          <w:sz w:val="25"/>
          <w:szCs w:val="25"/>
        </w:rPr>
        <w:t>根据表</w:t>
      </w:r>
      <w:r>
        <w:rPr>
          <w:rFonts w:ascii="仿宋" w:hAnsi="仿宋" w:eastAsia="仿宋" w:cs="仿宋"/>
          <w:spacing w:val="-49"/>
          <w:sz w:val="25"/>
          <w:szCs w:val="25"/>
        </w:rPr>
        <w:t xml:space="preserve"> </w:t>
      </w:r>
      <w:r>
        <w:rPr>
          <w:rFonts w:ascii="Times New Roman" w:hAnsi="Times New Roman" w:eastAsia="Times New Roman" w:cs="Times New Roman"/>
          <w:sz w:val="25"/>
          <w:szCs w:val="25"/>
        </w:rPr>
        <w:t>3.</w:t>
      </w:r>
      <w:r>
        <w:rPr>
          <w:rFonts w:ascii="Times New Roman" w:hAnsi="Times New Roman" w:eastAsia="Times New Roman" w:cs="Times New Roman"/>
          <w:spacing w:val="-33"/>
          <w:sz w:val="25"/>
          <w:szCs w:val="25"/>
        </w:rPr>
        <w:t xml:space="preserve"> </w:t>
      </w:r>
      <w:r>
        <w:rPr>
          <w:rFonts w:ascii="Times New Roman" w:hAnsi="Times New Roman" w:eastAsia="Times New Roman" w:cs="Times New Roman"/>
          <w:sz w:val="25"/>
          <w:szCs w:val="25"/>
        </w:rPr>
        <w:t>1-6</w:t>
      </w:r>
      <w:r>
        <w:rPr>
          <w:rFonts w:ascii="Times New Roman" w:hAnsi="Times New Roman" w:eastAsia="Times New Roman" w:cs="Times New Roman"/>
          <w:spacing w:val="20"/>
          <w:sz w:val="25"/>
          <w:szCs w:val="25"/>
        </w:rPr>
        <w:t xml:space="preserve"> </w:t>
      </w:r>
      <w:r>
        <w:rPr>
          <w:rFonts w:ascii="仿宋" w:hAnsi="仿宋" w:eastAsia="仿宋" w:cs="仿宋"/>
          <w:sz w:val="25"/>
          <w:szCs w:val="25"/>
        </w:rPr>
        <w:t>和图</w:t>
      </w:r>
      <w:r>
        <w:rPr>
          <w:rFonts w:ascii="仿宋" w:hAnsi="仿宋" w:eastAsia="仿宋" w:cs="仿宋"/>
          <w:spacing w:val="-47"/>
          <w:sz w:val="25"/>
          <w:szCs w:val="25"/>
        </w:rPr>
        <w:t xml:space="preserve"> </w:t>
      </w:r>
      <w:r>
        <w:rPr>
          <w:rFonts w:ascii="Times New Roman" w:hAnsi="Times New Roman" w:eastAsia="Times New Roman" w:cs="Times New Roman"/>
          <w:sz w:val="25"/>
          <w:szCs w:val="25"/>
        </w:rPr>
        <w:t>3.1-1</w:t>
      </w:r>
      <w:r>
        <w:rPr>
          <w:rFonts w:ascii="仿宋" w:hAnsi="仿宋" w:eastAsia="仿宋" w:cs="仿宋"/>
          <w:sz w:val="25"/>
          <w:szCs w:val="25"/>
        </w:rPr>
        <w:t>，</w:t>
      </w:r>
      <w:r>
        <w:rPr>
          <w:rFonts w:ascii="Times New Roman" w:hAnsi="Times New Roman" w:eastAsia="Times New Roman" w:cs="Times New Roman"/>
          <w:sz w:val="25"/>
          <w:szCs w:val="25"/>
        </w:rPr>
        <w:t>2020</w:t>
      </w:r>
      <w:r>
        <w:rPr>
          <w:rFonts w:ascii="Times New Roman" w:hAnsi="Times New Roman" w:eastAsia="Times New Roman" w:cs="Times New Roman"/>
          <w:spacing w:val="25"/>
          <w:sz w:val="25"/>
          <w:szCs w:val="25"/>
        </w:rPr>
        <w:t xml:space="preserve"> </w:t>
      </w:r>
      <w:r>
        <w:rPr>
          <w:rFonts w:ascii="仿宋" w:hAnsi="仿宋" w:eastAsia="仿宋" w:cs="仿宋"/>
          <w:spacing w:val="-1"/>
          <w:sz w:val="25"/>
          <w:szCs w:val="25"/>
        </w:rPr>
        <w:t>年</w:t>
      </w:r>
      <w:r>
        <w:rPr>
          <w:rFonts w:ascii="Times New Roman" w:hAnsi="Times New Roman" w:eastAsia="Times New Roman" w:cs="Times New Roman"/>
          <w:spacing w:val="-1"/>
          <w:sz w:val="25"/>
          <w:szCs w:val="25"/>
        </w:rPr>
        <w:t>~2024</w:t>
      </w:r>
      <w:r>
        <w:rPr>
          <w:rFonts w:ascii="Times New Roman" w:hAnsi="Times New Roman" w:eastAsia="Times New Roman" w:cs="Times New Roman"/>
          <w:spacing w:val="24"/>
          <w:w w:val="101"/>
          <w:sz w:val="25"/>
          <w:szCs w:val="25"/>
        </w:rPr>
        <w:t xml:space="preserve"> </w:t>
      </w:r>
      <w:r>
        <w:rPr>
          <w:rFonts w:ascii="仿宋" w:hAnsi="仿宋" w:eastAsia="仿宋" w:cs="仿宋"/>
          <w:spacing w:val="-1"/>
          <w:sz w:val="25"/>
          <w:szCs w:val="25"/>
        </w:rPr>
        <w:t xml:space="preserve">年间黔江区大气污染物 </w:t>
      </w:r>
      <w:r>
        <w:rPr>
          <w:rFonts w:ascii="Times New Roman" w:hAnsi="Times New Roman" w:eastAsia="Times New Roman" w:cs="Times New Roman"/>
          <w:spacing w:val="-1"/>
          <w:sz w:val="25"/>
          <w:szCs w:val="25"/>
        </w:rPr>
        <w:t>PM</w:t>
      </w:r>
      <w:r>
        <w:rPr>
          <w:rFonts w:ascii="Times New Roman" w:hAnsi="Times New Roman" w:eastAsia="Times New Roman" w:cs="Times New Roman"/>
          <w:spacing w:val="-1"/>
          <w:position w:val="-2"/>
          <w:sz w:val="16"/>
          <w:szCs w:val="16"/>
        </w:rPr>
        <w:t>10</w:t>
      </w:r>
      <w:r>
        <w:rPr>
          <w:rFonts w:ascii="仿宋" w:hAnsi="仿宋" w:eastAsia="仿宋" w:cs="仿宋"/>
          <w:spacing w:val="-1"/>
          <w:sz w:val="25"/>
          <w:szCs w:val="25"/>
        </w:rPr>
        <w:t>、</w:t>
      </w:r>
      <w:r>
        <w:rPr>
          <w:rFonts w:ascii="Times New Roman" w:hAnsi="Times New Roman" w:eastAsia="Times New Roman" w:cs="Times New Roman"/>
          <w:spacing w:val="-1"/>
          <w:sz w:val="25"/>
          <w:szCs w:val="25"/>
        </w:rPr>
        <w:t>SO</w:t>
      </w:r>
      <w:r>
        <w:rPr>
          <w:rFonts w:ascii="Times New Roman" w:hAnsi="Times New Roman" w:eastAsia="Times New Roman" w:cs="Times New Roman"/>
          <w:spacing w:val="-1"/>
          <w:position w:val="-2"/>
          <w:sz w:val="16"/>
          <w:szCs w:val="16"/>
        </w:rPr>
        <w:t>2</w:t>
      </w:r>
      <w:r>
        <w:rPr>
          <w:rFonts w:ascii="仿宋" w:hAnsi="仿宋" w:eastAsia="仿宋" w:cs="仿宋"/>
          <w:spacing w:val="-1"/>
          <w:sz w:val="25"/>
          <w:szCs w:val="25"/>
        </w:rPr>
        <w:t>、</w:t>
      </w:r>
      <w:r>
        <w:rPr>
          <w:rFonts w:ascii="仿宋" w:hAnsi="仿宋" w:eastAsia="仿宋" w:cs="仿宋"/>
          <w:sz w:val="25"/>
          <w:szCs w:val="25"/>
        </w:rPr>
        <w:t xml:space="preserve"> </w:t>
      </w:r>
      <w:r>
        <w:rPr>
          <w:rFonts w:ascii="Times New Roman" w:hAnsi="Times New Roman" w:eastAsia="Times New Roman" w:cs="Times New Roman"/>
          <w:sz w:val="25"/>
          <w:szCs w:val="25"/>
        </w:rPr>
        <w:t>NO</w:t>
      </w:r>
      <w:r>
        <w:rPr>
          <w:rFonts w:ascii="Times New Roman" w:hAnsi="Times New Roman" w:eastAsia="Times New Roman" w:cs="Times New Roman"/>
          <w:spacing w:val="8"/>
          <w:position w:val="-2"/>
          <w:sz w:val="16"/>
          <w:szCs w:val="16"/>
        </w:rPr>
        <w:t xml:space="preserve">2 </w:t>
      </w:r>
      <w:r>
        <w:rPr>
          <w:rFonts w:ascii="仿宋" w:hAnsi="仿宋" w:eastAsia="仿宋" w:cs="仿宋"/>
          <w:spacing w:val="8"/>
          <w:sz w:val="25"/>
          <w:szCs w:val="25"/>
        </w:rPr>
        <w:t>、</w:t>
      </w:r>
      <w:r>
        <w:rPr>
          <w:rFonts w:ascii="Times New Roman" w:hAnsi="Times New Roman" w:eastAsia="Times New Roman" w:cs="Times New Roman"/>
          <w:sz w:val="25"/>
          <w:szCs w:val="25"/>
        </w:rPr>
        <w:t>CO</w:t>
      </w:r>
      <w:r>
        <w:rPr>
          <w:rFonts w:ascii="Times New Roman" w:hAnsi="Times New Roman" w:eastAsia="Times New Roman" w:cs="Times New Roman"/>
          <w:spacing w:val="-9"/>
          <w:sz w:val="25"/>
          <w:szCs w:val="25"/>
        </w:rPr>
        <w:t xml:space="preserve"> </w:t>
      </w:r>
      <w:r>
        <w:rPr>
          <w:rFonts w:ascii="仿宋" w:hAnsi="仿宋" w:eastAsia="仿宋" w:cs="仿宋"/>
          <w:spacing w:val="8"/>
          <w:sz w:val="25"/>
          <w:szCs w:val="25"/>
        </w:rPr>
        <w:t>、</w:t>
      </w:r>
      <w:r>
        <w:rPr>
          <w:rFonts w:ascii="Times New Roman" w:hAnsi="Times New Roman" w:eastAsia="Times New Roman" w:cs="Times New Roman"/>
          <w:spacing w:val="8"/>
          <w:sz w:val="25"/>
          <w:szCs w:val="25"/>
        </w:rPr>
        <w:t>O</w:t>
      </w:r>
      <w:r>
        <w:rPr>
          <w:rFonts w:ascii="Times New Roman" w:hAnsi="Times New Roman" w:eastAsia="Times New Roman" w:cs="Times New Roman"/>
          <w:spacing w:val="8"/>
          <w:position w:val="-2"/>
          <w:sz w:val="16"/>
          <w:szCs w:val="16"/>
        </w:rPr>
        <w:t xml:space="preserve">3 </w:t>
      </w:r>
      <w:r>
        <w:rPr>
          <w:rFonts w:ascii="仿宋" w:hAnsi="仿宋" w:eastAsia="仿宋" w:cs="仿宋"/>
          <w:spacing w:val="8"/>
          <w:sz w:val="25"/>
          <w:szCs w:val="25"/>
        </w:rPr>
        <w:t>、</w:t>
      </w:r>
      <w:r>
        <w:rPr>
          <w:rFonts w:ascii="Times New Roman" w:hAnsi="Times New Roman" w:eastAsia="Times New Roman" w:cs="Times New Roman"/>
          <w:sz w:val="25"/>
          <w:szCs w:val="25"/>
        </w:rPr>
        <w:t>PM</w:t>
      </w:r>
      <w:r>
        <w:rPr>
          <w:rFonts w:ascii="Times New Roman" w:hAnsi="Times New Roman" w:eastAsia="Times New Roman" w:cs="Times New Roman"/>
          <w:spacing w:val="8"/>
          <w:position w:val="-2"/>
          <w:sz w:val="16"/>
          <w:szCs w:val="16"/>
        </w:rPr>
        <w:t>2.5</w:t>
      </w:r>
      <w:r>
        <w:rPr>
          <w:rFonts w:ascii="Times New Roman" w:hAnsi="Times New Roman" w:eastAsia="Times New Roman" w:cs="Times New Roman"/>
          <w:spacing w:val="32"/>
          <w:position w:val="-2"/>
          <w:sz w:val="16"/>
          <w:szCs w:val="16"/>
        </w:rPr>
        <w:t xml:space="preserve"> </w:t>
      </w:r>
      <w:r>
        <w:rPr>
          <w:rFonts w:ascii="仿宋" w:hAnsi="仿宋" w:eastAsia="仿宋" w:cs="仿宋"/>
          <w:spacing w:val="8"/>
          <w:sz w:val="25"/>
          <w:szCs w:val="25"/>
        </w:rPr>
        <w:t>总体呈平稳趋势。在十四五期间，黔江区六项基本污染</w:t>
      </w:r>
      <w:r>
        <w:rPr>
          <w:rFonts w:ascii="仿宋" w:hAnsi="仿宋" w:eastAsia="仿宋" w:cs="仿宋"/>
          <w:sz w:val="25"/>
          <w:szCs w:val="25"/>
        </w:rPr>
        <w:t xml:space="preserve"> </w:t>
      </w:r>
      <w:r>
        <w:rPr>
          <w:rFonts w:ascii="仿宋" w:hAnsi="仿宋" w:eastAsia="仿宋" w:cs="仿宋"/>
          <w:spacing w:val="9"/>
          <w:sz w:val="25"/>
          <w:szCs w:val="25"/>
        </w:rPr>
        <w:t>物均能满足《环境空气质量标准》</w:t>
      </w:r>
      <w:r>
        <w:rPr>
          <w:rFonts w:ascii="仿宋" w:hAnsi="仿宋" w:eastAsia="仿宋" w:cs="仿宋"/>
          <w:spacing w:val="-103"/>
          <w:sz w:val="25"/>
          <w:szCs w:val="25"/>
        </w:rPr>
        <w:t xml:space="preserve"> </w:t>
      </w:r>
      <w:r>
        <w:rPr>
          <w:rFonts w:ascii="仿宋" w:hAnsi="仿宋" w:eastAsia="仿宋" w:cs="仿宋"/>
          <w:spacing w:val="9"/>
          <w:sz w:val="25"/>
          <w:szCs w:val="25"/>
        </w:rPr>
        <w:t>（</w:t>
      </w:r>
      <w:r>
        <w:rPr>
          <w:rFonts w:ascii="Times New Roman" w:hAnsi="Times New Roman" w:eastAsia="Times New Roman" w:cs="Times New Roman"/>
          <w:sz w:val="25"/>
          <w:szCs w:val="25"/>
        </w:rPr>
        <w:t>GB</w:t>
      </w:r>
      <w:r>
        <w:rPr>
          <w:rFonts w:ascii="Times New Roman" w:hAnsi="Times New Roman" w:eastAsia="Times New Roman" w:cs="Times New Roman"/>
          <w:spacing w:val="9"/>
          <w:sz w:val="25"/>
          <w:szCs w:val="25"/>
        </w:rPr>
        <w:t>3095-2012</w:t>
      </w:r>
      <w:r>
        <w:rPr>
          <w:rFonts w:ascii="仿宋" w:hAnsi="仿宋" w:eastAsia="仿宋" w:cs="仿宋"/>
          <w:spacing w:val="9"/>
          <w:sz w:val="25"/>
          <w:szCs w:val="25"/>
        </w:rPr>
        <w:t>）</w:t>
      </w:r>
      <w:r>
        <w:rPr>
          <w:rFonts w:ascii="仿宋" w:hAnsi="仿宋" w:eastAsia="仿宋" w:cs="仿宋"/>
          <w:spacing w:val="-58"/>
          <w:sz w:val="25"/>
          <w:szCs w:val="25"/>
        </w:rPr>
        <w:t xml:space="preserve"> </w:t>
      </w:r>
      <w:r>
        <w:rPr>
          <w:rFonts w:ascii="仿宋" w:hAnsi="仿宋" w:eastAsia="仿宋" w:cs="仿宋"/>
          <w:spacing w:val="9"/>
          <w:sz w:val="25"/>
          <w:szCs w:val="25"/>
        </w:rPr>
        <w:t>中二级标</w:t>
      </w:r>
      <w:r>
        <w:rPr>
          <w:rFonts w:ascii="仿宋" w:hAnsi="仿宋" w:eastAsia="仿宋" w:cs="仿宋"/>
          <w:spacing w:val="8"/>
          <w:sz w:val="25"/>
          <w:szCs w:val="25"/>
        </w:rPr>
        <w:t>准，均为大气环</w:t>
      </w:r>
      <w:r>
        <w:rPr>
          <w:rFonts w:ascii="仿宋" w:hAnsi="仿宋" w:eastAsia="仿宋" w:cs="仿宋"/>
          <w:sz w:val="25"/>
          <w:szCs w:val="25"/>
        </w:rPr>
        <w:t xml:space="preserve"> </w:t>
      </w:r>
      <w:r>
        <w:rPr>
          <w:rFonts w:ascii="仿宋" w:hAnsi="仿宋" w:eastAsia="仿宋" w:cs="仿宋"/>
          <w:spacing w:val="8"/>
          <w:sz w:val="25"/>
          <w:szCs w:val="25"/>
        </w:rPr>
        <w:t>境质量达标区。</w:t>
      </w:r>
    </w:p>
    <w:p w14:paraId="652FB2F5">
      <w:pPr>
        <w:spacing w:line="229" w:lineRule="auto"/>
        <w:ind w:left="662"/>
        <w:rPr>
          <w:rFonts w:ascii="仿宋" w:hAnsi="仿宋" w:eastAsia="仿宋" w:cs="仿宋"/>
          <w:sz w:val="25"/>
          <w:szCs w:val="25"/>
        </w:rPr>
      </w:pPr>
      <w:r>
        <w:rPr>
          <w:rFonts w:ascii="仿宋" w:hAnsi="仿宋" w:eastAsia="仿宋" w:cs="仿宋"/>
          <w:spacing w:val="8"/>
          <w:sz w:val="25"/>
          <w:szCs w:val="25"/>
        </w:rPr>
        <w:t>（</w:t>
      </w:r>
      <w:r>
        <w:rPr>
          <w:rFonts w:ascii="Times New Roman" w:hAnsi="Times New Roman" w:eastAsia="Times New Roman" w:cs="Times New Roman"/>
          <w:spacing w:val="8"/>
          <w:sz w:val="25"/>
          <w:szCs w:val="25"/>
        </w:rPr>
        <w:t>2</w:t>
      </w:r>
      <w:r>
        <w:rPr>
          <w:rFonts w:ascii="仿宋" w:hAnsi="仿宋" w:eastAsia="仿宋" w:cs="仿宋"/>
          <w:spacing w:val="8"/>
          <w:sz w:val="25"/>
          <w:szCs w:val="25"/>
        </w:rPr>
        <w:t>）规划调整区域环境空气质量</w:t>
      </w:r>
    </w:p>
    <w:p w14:paraId="46CCD2B7">
      <w:pPr>
        <w:spacing w:before="151" w:line="340" w:lineRule="auto"/>
        <w:ind w:left="136" w:right="56" w:firstLine="522"/>
        <w:rPr>
          <w:rFonts w:ascii="仿宋" w:hAnsi="仿宋" w:eastAsia="仿宋" w:cs="仿宋"/>
          <w:sz w:val="25"/>
          <w:szCs w:val="25"/>
        </w:rPr>
      </w:pPr>
      <w:r>
        <w:rPr>
          <w:rFonts w:ascii="仿宋" w:hAnsi="仿宋" w:eastAsia="仿宋" w:cs="仿宋"/>
          <w:spacing w:val="4"/>
          <w:sz w:val="25"/>
          <w:szCs w:val="25"/>
        </w:rPr>
        <w:t>灰岩、砂岩等产生的大气污染物主要是粉尘，粉尘对大气</w:t>
      </w:r>
      <w:r>
        <w:rPr>
          <w:rFonts w:ascii="仿宋" w:hAnsi="仿宋" w:eastAsia="仿宋" w:cs="仿宋"/>
          <w:spacing w:val="3"/>
          <w:sz w:val="25"/>
          <w:szCs w:val="25"/>
        </w:rPr>
        <w:t>环境的影响有限，</w:t>
      </w:r>
      <w:r>
        <w:rPr>
          <w:rFonts w:ascii="仿宋" w:hAnsi="仿宋" w:eastAsia="仿宋" w:cs="仿宋"/>
          <w:sz w:val="25"/>
          <w:szCs w:val="25"/>
        </w:rPr>
        <w:t xml:space="preserve"> </w:t>
      </w:r>
      <w:r>
        <w:rPr>
          <w:rFonts w:ascii="仿宋" w:hAnsi="仿宋" w:eastAsia="仿宋" w:cs="仿宋"/>
          <w:spacing w:val="10"/>
          <w:sz w:val="25"/>
          <w:szCs w:val="25"/>
        </w:rPr>
        <w:t>主要是对矿区及周边区域局部环境空气质量</w:t>
      </w:r>
      <w:r>
        <w:rPr>
          <w:rFonts w:ascii="仿宋" w:hAnsi="仿宋" w:eastAsia="仿宋" w:cs="仿宋"/>
          <w:spacing w:val="9"/>
          <w:sz w:val="25"/>
          <w:szCs w:val="25"/>
        </w:rPr>
        <w:t>有一定影响，评价收集了调整区块</w:t>
      </w:r>
      <w:r>
        <w:rPr>
          <w:rFonts w:ascii="仿宋" w:hAnsi="仿宋" w:eastAsia="仿宋" w:cs="仿宋"/>
          <w:sz w:val="25"/>
          <w:szCs w:val="25"/>
        </w:rPr>
        <w:t xml:space="preserve"> </w:t>
      </w:r>
      <w:r>
        <w:rPr>
          <w:rFonts w:ascii="仿宋" w:hAnsi="仿宋" w:eastAsia="仿宋" w:cs="仿宋"/>
          <w:spacing w:val="10"/>
          <w:sz w:val="25"/>
          <w:szCs w:val="25"/>
        </w:rPr>
        <w:t>和矿山周边涉及区域的环境空气质量监测数</w:t>
      </w:r>
      <w:r>
        <w:rPr>
          <w:rFonts w:ascii="仿宋" w:hAnsi="仿宋" w:eastAsia="仿宋" w:cs="仿宋"/>
          <w:spacing w:val="9"/>
          <w:sz w:val="25"/>
          <w:szCs w:val="25"/>
        </w:rPr>
        <w:t>据，引用数据具有一定代表性，结</w:t>
      </w:r>
      <w:r>
        <w:rPr>
          <w:rFonts w:ascii="仿宋" w:hAnsi="仿宋" w:eastAsia="仿宋" w:cs="仿宋"/>
          <w:sz w:val="25"/>
          <w:szCs w:val="25"/>
        </w:rPr>
        <w:t xml:space="preserve"> </w:t>
      </w:r>
      <w:r>
        <w:rPr>
          <w:rFonts w:ascii="仿宋" w:hAnsi="仿宋" w:eastAsia="仿宋" w:cs="仿宋"/>
          <w:spacing w:val="5"/>
          <w:sz w:val="25"/>
          <w:szCs w:val="25"/>
        </w:rPr>
        <w:t>果统计详见表</w:t>
      </w:r>
      <w:r>
        <w:rPr>
          <w:rFonts w:ascii="仿宋" w:hAnsi="仿宋" w:eastAsia="仿宋" w:cs="仿宋"/>
          <w:spacing w:val="-42"/>
          <w:sz w:val="25"/>
          <w:szCs w:val="25"/>
        </w:rPr>
        <w:t xml:space="preserve"> </w:t>
      </w:r>
      <w:r>
        <w:rPr>
          <w:rFonts w:ascii="Times New Roman" w:hAnsi="Times New Roman" w:eastAsia="Times New Roman" w:cs="Times New Roman"/>
          <w:spacing w:val="5"/>
          <w:sz w:val="25"/>
          <w:szCs w:val="25"/>
        </w:rPr>
        <w:t>3.1-7</w:t>
      </w:r>
      <w:r>
        <w:rPr>
          <w:rFonts w:ascii="Times New Roman" w:hAnsi="Times New Roman" w:eastAsia="Times New Roman" w:cs="Times New Roman"/>
          <w:spacing w:val="-26"/>
          <w:sz w:val="25"/>
          <w:szCs w:val="25"/>
        </w:rPr>
        <w:t xml:space="preserve"> </w:t>
      </w:r>
      <w:r>
        <w:rPr>
          <w:rFonts w:ascii="仿宋" w:hAnsi="仿宋" w:eastAsia="仿宋" w:cs="仿宋"/>
          <w:spacing w:val="5"/>
          <w:sz w:val="25"/>
          <w:szCs w:val="25"/>
        </w:rPr>
        <w:t>。从统计结果看出，监测区域环境空气质量较好，满足《环</w:t>
      </w:r>
      <w:r>
        <w:rPr>
          <w:rFonts w:ascii="仿宋" w:hAnsi="仿宋" w:eastAsia="仿宋" w:cs="仿宋"/>
          <w:sz w:val="25"/>
          <w:szCs w:val="25"/>
        </w:rPr>
        <w:t xml:space="preserve"> </w:t>
      </w:r>
      <w:r>
        <w:rPr>
          <w:rFonts w:ascii="仿宋" w:hAnsi="仿宋" w:eastAsia="仿宋" w:cs="仿宋"/>
          <w:spacing w:val="7"/>
          <w:sz w:val="25"/>
          <w:szCs w:val="25"/>
        </w:rPr>
        <w:t>境空气质量标准》（</w:t>
      </w:r>
      <w:r>
        <w:rPr>
          <w:rFonts w:ascii="Times New Roman" w:hAnsi="Times New Roman" w:eastAsia="Times New Roman" w:cs="Times New Roman"/>
          <w:sz w:val="25"/>
          <w:szCs w:val="25"/>
        </w:rPr>
        <w:t>GB</w:t>
      </w:r>
      <w:r>
        <w:rPr>
          <w:rFonts w:ascii="Times New Roman" w:hAnsi="Times New Roman" w:eastAsia="Times New Roman" w:cs="Times New Roman"/>
          <w:spacing w:val="7"/>
          <w:sz w:val="25"/>
          <w:szCs w:val="25"/>
        </w:rPr>
        <w:t>3095-2012</w:t>
      </w:r>
      <w:r>
        <w:rPr>
          <w:rFonts w:ascii="仿宋" w:hAnsi="仿宋" w:eastAsia="仿宋" w:cs="仿宋"/>
          <w:spacing w:val="7"/>
          <w:sz w:val="25"/>
          <w:szCs w:val="25"/>
        </w:rPr>
        <w:t>）二级标准要求。</w:t>
      </w:r>
    </w:p>
    <w:p w14:paraId="486E05B8">
      <w:pPr>
        <w:spacing w:before="40" w:line="231" w:lineRule="auto"/>
        <w:ind w:left="2309"/>
        <w:rPr>
          <w:rFonts w:ascii="仿宋" w:hAnsi="仿宋" w:eastAsia="仿宋" w:cs="仿宋"/>
          <w:sz w:val="20"/>
          <w:szCs w:val="20"/>
        </w:rPr>
      </w:pPr>
      <w:r>
        <w:rPr>
          <w:rFonts w:ascii="仿宋" w:hAnsi="仿宋" w:eastAsia="仿宋" w:cs="仿宋"/>
          <w:b/>
          <w:bCs/>
          <w:spacing w:val="6"/>
          <w:sz w:val="20"/>
          <w:szCs w:val="20"/>
        </w:rPr>
        <w:t>表</w:t>
      </w:r>
      <w:r>
        <w:rPr>
          <w:rFonts w:ascii="仿宋" w:hAnsi="仿宋" w:eastAsia="仿宋" w:cs="仿宋"/>
          <w:spacing w:val="-41"/>
          <w:sz w:val="20"/>
          <w:szCs w:val="20"/>
        </w:rPr>
        <w:t xml:space="preserve"> </w:t>
      </w:r>
      <w:r>
        <w:rPr>
          <w:rFonts w:ascii="Times New Roman" w:hAnsi="Times New Roman" w:eastAsia="Times New Roman" w:cs="Times New Roman"/>
          <w:b/>
          <w:bCs/>
          <w:spacing w:val="6"/>
          <w:sz w:val="20"/>
          <w:szCs w:val="20"/>
        </w:rPr>
        <w:t xml:space="preserve">3.1-7    </w:t>
      </w:r>
      <w:r>
        <w:rPr>
          <w:rFonts w:ascii="仿宋" w:hAnsi="仿宋" w:eastAsia="仿宋" w:cs="仿宋"/>
          <w:b/>
          <w:bCs/>
          <w:spacing w:val="6"/>
          <w:sz w:val="20"/>
          <w:szCs w:val="20"/>
        </w:rPr>
        <w:t>部分规划区域环境空气质量现状统计表</w:t>
      </w:r>
    </w:p>
    <w:p w14:paraId="29EBCF51">
      <w:pPr>
        <w:spacing w:line="22" w:lineRule="exact"/>
      </w:pPr>
    </w:p>
    <w:tbl>
      <w:tblPr>
        <w:tblStyle w:val="5"/>
        <w:tblW w:w="9066"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7"/>
        <w:gridCol w:w="1206"/>
        <w:gridCol w:w="1611"/>
        <w:gridCol w:w="1368"/>
        <w:gridCol w:w="1151"/>
        <w:gridCol w:w="1092"/>
        <w:gridCol w:w="1951"/>
      </w:tblGrid>
      <w:tr w14:paraId="030E09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687" w:type="dxa"/>
            <w:vMerge w:val="restart"/>
            <w:tcBorders>
              <w:top w:val="single" w:color="000000" w:sz="10" w:space="0"/>
              <w:left w:val="single" w:color="000000" w:sz="10" w:space="0"/>
              <w:bottom w:val="nil"/>
            </w:tcBorders>
            <w:vAlign w:val="top"/>
          </w:tcPr>
          <w:p w14:paraId="7EDE1205">
            <w:pPr>
              <w:spacing w:line="433" w:lineRule="auto"/>
              <w:rPr>
                <w:rFonts w:ascii="Arial"/>
                <w:sz w:val="21"/>
              </w:rPr>
            </w:pPr>
          </w:p>
          <w:p w14:paraId="56F12EA5">
            <w:pPr>
              <w:pStyle w:val="6"/>
              <w:spacing w:before="65" w:line="231" w:lineRule="auto"/>
              <w:ind w:left="173"/>
              <w:rPr>
                <w:sz w:val="20"/>
                <w:szCs w:val="20"/>
              </w:rPr>
            </w:pPr>
            <w:r>
              <w:rPr>
                <w:spacing w:val="2"/>
                <w:sz w:val="20"/>
                <w:szCs w:val="20"/>
              </w:rPr>
              <w:t>序号</w:t>
            </w:r>
          </w:p>
        </w:tc>
        <w:tc>
          <w:tcPr>
            <w:tcW w:w="1206" w:type="dxa"/>
            <w:vMerge w:val="restart"/>
            <w:tcBorders>
              <w:top w:val="single" w:color="000000" w:sz="10" w:space="0"/>
              <w:bottom w:val="nil"/>
            </w:tcBorders>
            <w:vAlign w:val="top"/>
          </w:tcPr>
          <w:p w14:paraId="0A97697D">
            <w:pPr>
              <w:spacing w:line="433" w:lineRule="auto"/>
              <w:rPr>
                <w:rFonts w:ascii="Arial"/>
                <w:sz w:val="21"/>
              </w:rPr>
            </w:pPr>
          </w:p>
          <w:p w14:paraId="20E6F496">
            <w:pPr>
              <w:pStyle w:val="6"/>
              <w:spacing w:before="65" w:line="232" w:lineRule="auto"/>
              <w:ind w:left="339"/>
              <w:rPr>
                <w:sz w:val="20"/>
                <w:szCs w:val="20"/>
              </w:rPr>
            </w:pPr>
            <w:r>
              <w:rPr>
                <w:spacing w:val="3"/>
                <w:sz w:val="20"/>
                <w:szCs w:val="20"/>
              </w:rPr>
              <w:t>监测点</w:t>
            </w:r>
          </w:p>
        </w:tc>
        <w:tc>
          <w:tcPr>
            <w:tcW w:w="1611" w:type="dxa"/>
            <w:vMerge w:val="restart"/>
            <w:tcBorders>
              <w:top w:val="single" w:color="000000" w:sz="10" w:space="0"/>
              <w:bottom w:val="nil"/>
            </w:tcBorders>
            <w:vAlign w:val="top"/>
          </w:tcPr>
          <w:p w14:paraId="2CEB4375">
            <w:pPr>
              <w:spacing w:line="433" w:lineRule="auto"/>
              <w:rPr>
                <w:rFonts w:ascii="Arial"/>
                <w:sz w:val="21"/>
              </w:rPr>
            </w:pPr>
          </w:p>
          <w:p w14:paraId="695CBB8B">
            <w:pPr>
              <w:pStyle w:val="6"/>
              <w:spacing w:before="65" w:line="232" w:lineRule="auto"/>
              <w:ind w:left="441"/>
              <w:rPr>
                <w:sz w:val="20"/>
                <w:szCs w:val="20"/>
              </w:rPr>
            </w:pPr>
            <w:r>
              <w:rPr>
                <w:spacing w:val="4"/>
                <w:sz w:val="20"/>
                <w:szCs w:val="20"/>
              </w:rPr>
              <w:t>监测时间</w:t>
            </w:r>
          </w:p>
        </w:tc>
        <w:tc>
          <w:tcPr>
            <w:tcW w:w="3611" w:type="dxa"/>
            <w:gridSpan w:val="3"/>
            <w:tcBorders>
              <w:top w:val="single" w:color="000000" w:sz="10" w:space="0"/>
            </w:tcBorders>
            <w:vAlign w:val="top"/>
          </w:tcPr>
          <w:p w14:paraId="0C2F40E1">
            <w:pPr>
              <w:spacing w:before="162" w:line="195" w:lineRule="auto"/>
              <w:ind w:left="16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TSP</w:t>
            </w:r>
          </w:p>
        </w:tc>
        <w:tc>
          <w:tcPr>
            <w:tcW w:w="1951" w:type="dxa"/>
            <w:vMerge w:val="restart"/>
            <w:tcBorders>
              <w:top w:val="single" w:color="000000" w:sz="10" w:space="0"/>
              <w:bottom w:val="nil"/>
              <w:right w:val="single" w:color="000000" w:sz="10" w:space="0"/>
            </w:tcBorders>
            <w:vAlign w:val="top"/>
          </w:tcPr>
          <w:p w14:paraId="53EAFB6A">
            <w:pPr>
              <w:spacing w:line="433" w:lineRule="auto"/>
              <w:rPr>
                <w:rFonts w:ascii="Arial"/>
                <w:sz w:val="21"/>
              </w:rPr>
            </w:pPr>
          </w:p>
          <w:p w14:paraId="231C37E4">
            <w:pPr>
              <w:pStyle w:val="6"/>
              <w:spacing w:before="65" w:line="230" w:lineRule="auto"/>
              <w:ind w:left="608"/>
              <w:rPr>
                <w:sz w:val="20"/>
                <w:szCs w:val="20"/>
              </w:rPr>
            </w:pPr>
            <w:r>
              <w:rPr>
                <w:spacing w:val="6"/>
                <w:sz w:val="20"/>
                <w:szCs w:val="20"/>
              </w:rPr>
              <w:t>数据来源</w:t>
            </w:r>
          </w:p>
        </w:tc>
      </w:tr>
      <w:tr w14:paraId="427212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687" w:type="dxa"/>
            <w:vMerge w:val="continue"/>
            <w:tcBorders>
              <w:top w:val="nil"/>
              <w:left w:val="single" w:color="000000" w:sz="10" w:space="0"/>
              <w:bottom w:val="nil"/>
            </w:tcBorders>
            <w:vAlign w:val="top"/>
          </w:tcPr>
          <w:p w14:paraId="0043133C">
            <w:pPr>
              <w:rPr>
                <w:rFonts w:ascii="Arial"/>
                <w:sz w:val="21"/>
              </w:rPr>
            </w:pPr>
          </w:p>
        </w:tc>
        <w:tc>
          <w:tcPr>
            <w:tcW w:w="1206" w:type="dxa"/>
            <w:vMerge w:val="continue"/>
            <w:tcBorders>
              <w:top w:val="nil"/>
              <w:bottom w:val="nil"/>
            </w:tcBorders>
            <w:vAlign w:val="top"/>
          </w:tcPr>
          <w:p w14:paraId="317FA920">
            <w:pPr>
              <w:rPr>
                <w:rFonts w:ascii="Arial"/>
                <w:sz w:val="21"/>
              </w:rPr>
            </w:pPr>
          </w:p>
        </w:tc>
        <w:tc>
          <w:tcPr>
            <w:tcW w:w="1611" w:type="dxa"/>
            <w:vMerge w:val="continue"/>
            <w:tcBorders>
              <w:top w:val="nil"/>
              <w:bottom w:val="nil"/>
            </w:tcBorders>
            <w:vAlign w:val="top"/>
          </w:tcPr>
          <w:p w14:paraId="5E8ED24E">
            <w:pPr>
              <w:rPr>
                <w:rFonts w:ascii="Arial"/>
                <w:sz w:val="21"/>
              </w:rPr>
            </w:pPr>
          </w:p>
        </w:tc>
        <w:tc>
          <w:tcPr>
            <w:tcW w:w="1368" w:type="dxa"/>
            <w:vAlign w:val="top"/>
          </w:tcPr>
          <w:p w14:paraId="0905C70D">
            <w:pPr>
              <w:pStyle w:val="6"/>
              <w:spacing w:before="51" w:line="229" w:lineRule="auto"/>
              <w:ind w:left="465"/>
              <w:rPr>
                <w:sz w:val="20"/>
                <w:szCs w:val="20"/>
              </w:rPr>
            </w:pPr>
            <w:r>
              <w:rPr>
                <w:spacing w:val="-10"/>
                <w:sz w:val="20"/>
                <w:szCs w:val="20"/>
              </w:rPr>
              <w:t>日均值</w:t>
            </w:r>
          </w:p>
        </w:tc>
        <w:tc>
          <w:tcPr>
            <w:tcW w:w="1151" w:type="dxa"/>
            <w:vAlign w:val="top"/>
          </w:tcPr>
          <w:p w14:paraId="272D7AA2">
            <w:pPr>
              <w:pStyle w:val="6"/>
              <w:spacing w:before="51" w:line="229" w:lineRule="auto"/>
              <w:ind w:left="317"/>
              <w:rPr>
                <w:sz w:val="20"/>
                <w:szCs w:val="20"/>
              </w:rPr>
            </w:pPr>
            <w:r>
              <w:rPr>
                <w:spacing w:val="5"/>
                <w:sz w:val="20"/>
                <w:szCs w:val="20"/>
              </w:rPr>
              <w:t>标准值</w:t>
            </w:r>
          </w:p>
        </w:tc>
        <w:tc>
          <w:tcPr>
            <w:tcW w:w="1092" w:type="dxa"/>
            <w:vMerge w:val="restart"/>
            <w:tcBorders>
              <w:bottom w:val="nil"/>
            </w:tcBorders>
            <w:vAlign w:val="top"/>
          </w:tcPr>
          <w:p w14:paraId="34EF6312">
            <w:pPr>
              <w:pStyle w:val="6"/>
              <w:spacing w:before="131" w:line="231" w:lineRule="auto"/>
              <w:ind w:left="192"/>
              <w:rPr>
                <w:sz w:val="20"/>
                <w:szCs w:val="20"/>
              </w:rPr>
            </w:pPr>
            <w:r>
              <w:rPr>
                <w:spacing w:val="4"/>
                <w:sz w:val="20"/>
                <w:szCs w:val="20"/>
              </w:rPr>
              <w:t>最大占标</w:t>
            </w:r>
          </w:p>
          <w:p w14:paraId="6785555E">
            <w:pPr>
              <w:pStyle w:val="6"/>
              <w:spacing w:before="23" w:line="232" w:lineRule="auto"/>
              <w:ind w:left="419"/>
              <w:rPr>
                <w:rFonts w:ascii="Times New Roman" w:hAnsi="Times New Roman" w:eastAsia="Times New Roman" w:cs="Times New Roman"/>
                <w:sz w:val="20"/>
                <w:szCs w:val="20"/>
              </w:rPr>
            </w:pPr>
            <w:r>
              <w:rPr>
                <w:spacing w:val="-1"/>
                <w:sz w:val="20"/>
                <w:szCs w:val="20"/>
              </w:rPr>
              <w:t>率</w:t>
            </w:r>
            <w:r>
              <w:rPr>
                <w:rFonts w:ascii="Times New Roman" w:hAnsi="Times New Roman" w:eastAsia="Times New Roman" w:cs="Times New Roman"/>
                <w:spacing w:val="-1"/>
                <w:sz w:val="20"/>
                <w:szCs w:val="20"/>
              </w:rPr>
              <w:t>%</w:t>
            </w:r>
          </w:p>
        </w:tc>
        <w:tc>
          <w:tcPr>
            <w:tcW w:w="1951" w:type="dxa"/>
            <w:vMerge w:val="continue"/>
            <w:tcBorders>
              <w:top w:val="nil"/>
              <w:bottom w:val="nil"/>
              <w:right w:val="single" w:color="000000" w:sz="10" w:space="0"/>
            </w:tcBorders>
            <w:vAlign w:val="top"/>
          </w:tcPr>
          <w:p w14:paraId="26AAA2AB">
            <w:pPr>
              <w:rPr>
                <w:rFonts w:ascii="Arial"/>
                <w:sz w:val="21"/>
              </w:rPr>
            </w:pPr>
          </w:p>
        </w:tc>
      </w:tr>
      <w:tr w14:paraId="51EFB3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687" w:type="dxa"/>
            <w:vMerge w:val="continue"/>
            <w:tcBorders>
              <w:top w:val="nil"/>
              <w:left w:val="single" w:color="000000" w:sz="10" w:space="0"/>
            </w:tcBorders>
            <w:vAlign w:val="top"/>
          </w:tcPr>
          <w:p w14:paraId="44CEEF19">
            <w:pPr>
              <w:rPr>
                <w:rFonts w:ascii="Arial"/>
                <w:sz w:val="21"/>
              </w:rPr>
            </w:pPr>
          </w:p>
        </w:tc>
        <w:tc>
          <w:tcPr>
            <w:tcW w:w="1206" w:type="dxa"/>
            <w:vMerge w:val="continue"/>
            <w:tcBorders>
              <w:top w:val="nil"/>
            </w:tcBorders>
            <w:vAlign w:val="top"/>
          </w:tcPr>
          <w:p w14:paraId="456F2E61">
            <w:pPr>
              <w:rPr>
                <w:rFonts w:ascii="Arial"/>
                <w:sz w:val="21"/>
              </w:rPr>
            </w:pPr>
          </w:p>
        </w:tc>
        <w:tc>
          <w:tcPr>
            <w:tcW w:w="1611" w:type="dxa"/>
            <w:vMerge w:val="continue"/>
            <w:tcBorders>
              <w:top w:val="nil"/>
            </w:tcBorders>
            <w:vAlign w:val="top"/>
          </w:tcPr>
          <w:p w14:paraId="29861DEB">
            <w:pPr>
              <w:rPr>
                <w:rFonts w:ascii="Arial"/>
                <w:sz w:val="21"/>
              </w:rPr>
            </w:pPr>
          </w:p>
        </w:tc>
        <w:tc>
          <w:tcPr>
            <w:tcW w:w="2519" w:type="dxa"/>
            <w:gridSpan w:val="2"/>
            <w:vAlign w:val="top"/>
          </w:tcPr>
          <w:p w14:paraId="5D195AE4">
            <w:pPr>
              <w:pStyle w:val="6"/>
              <w:spacing w:before="111" w:line="221" w:lineRule="auto"/>
              <w:ind w:left="828"/>
              <w:rPr>
                <w:sz w:val="20"/>
                <w:szCs w:val="20"/>
              </w:rPr>
            </w:pPr>
            <w:r>
              <w:rPr>
                <w:spacing w:val="3"/>
                <w:sz w:val="20"/>
                <w:szCs w:val="20"/>
              </w:rPr>
              <w:t>（</w:t>
            </w:r>
            <w:r>
              <w:rPr>
                <w:rFonts w:ascii="Times New Roman" w:hAnsi="Times New Roman" w:eastAsia="Times New Roman" w:cs="Times New Roman"/>
                <w:sz w:val="20"/>
                <w:szCs w:val="20"/>
              </w:rPr>
              <w:t>mg</w:t>
            </w:r>
            <w:r>
              <w:rPr>
                <w:rFonts w:ascii="Times New Roman" w:hAnsi="Times New Roman" w:eastAsia="Times New Roman" w:cs="Times New Roman"/>
                <w:spacing w:val="3"/>
                <w:sz w:val="20"/>
                <w:szCs w:val="20"/>
              </w:rPr>
              <w:t>/m</w:t>
            </w:r>
            <w:r>
              <w:rPr>
                <w:rFonts w:ascii="Times New Roman" w:hAnsi="Times New Roman" w:eastAsia="Times New Roman" w:cs="Times New Roman"/>
                <w:spacing w:val="3"/>
                <w:position w:val="6"/>
                <w:sz w:val="13"/>
                <w:szCs w:val="13"/>
              </w:rPr>
              <w:t>3</w:t>
            </w:r>
            <w:r>
              <w:rPr>
                <w:spacing w:val="3"/>
                <w:sz w:val="20"/>
                <w:szCs w:val="20"/>
              </w:rPr>
              <w:t>）</w:t>
            </w:r>
          </w:p>
        </w:tc>
        <w:tc>
          <w:tcPr>
            <w:tcW w:w="1092" w:type="dxa"/>
            <w:vMerge w:val="continue"/>
            <w:tcBorders>
              <w:top w:val="nil"/>
            </w:tcBorders>
            <w:vAlign w:val="top"/>
          </w:tcPr>
          <w:p w14:paraId="2873A702">
            <w:pPr>
              <w:rPr>
                <w:rFonts w:ascii="Arial"/>
                <w:sz w:val="21"/>
              </w:rPr>
            </w:pPr>
          </w:p>
        </w:tc>
        <w:tc>
          <w:tcPr>
            <w:tcW w:w="1951" w:type="dxa"/>
            <w:vMerge w:val="continue"/>
            <w:tcBorders>
              <w:top w:val="nil"/>
              <w:right w:val="single" w:color="000000" w:sz="10" w:space="0"/>
            </w:tcBorders>
            <w:vAlign w:val="top"/>
          </w:tcPr>
          <w:p w14:paraId="29AAF2A3">
            <w:pPr>
              <w:rPr>
                <w:rFonts w:ascii="Arial"/>
                <w:sz w:val="21"/>
              </w:rPr>
            </w:pPr>
          </w:p>
        </w:tc>
      </w:tr>
      <w:tr w14:paraId="1BCB92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8" w:hRule="atLeast"/>
        </w:trPr>
        <w:tc>
          <w:tcPr>
            <w:tcW w:w="687" w:type="dxa"/>
            <w:tcBorders>
              <w:left w:val="single" w:color="000000" w:sz="10" w:space="0"/>
            </w:tcBorders>
            <w:vAlign w:val="top"/>
          </w:tcPr>
          <w:p w14:paraId="0D8A2527">
            <w:pPr>
              <w:spacing w:line="422" w:lineRule="auto"/>
              <w:rPr>
                <w:rFonts w:ascii="Arial"/>
                <w:sz w:val="21"/>
              </w:rPr>
            </w:pPr>
          </w:p>
          <w:p w14:paraId="62041840">
            <w:pPr>
              <w:spacing w:before="57"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p>
        </w:tc>
        <w:tc>
          <w:tcPr>
            <w:tcW w:w="1206" w:type="dxa"/>
            <w:vAlign w:val="top"/>
          </w:tcPr>
          <w:p w14:paraId="139FE817">
            <w:pPr>
              <w:spacing w:line="245" w:lineRule="auto"/>
              <w:rPr>
                <w:rFonts w:ascii="Arial"/>
                <w:sz w:val="21"/>
              </w:rPr>
            </w:pPr>
          </w:p>
          <w:p w14:paraId="7D5298AB">
            <w:pPr>
              <w:pStyle w:val="6"/>
              <w:spacing w:before="65" w:line="251" w:lineRule="auto"/>
              <w:ind w:left="333" w:right="40" w:hanging="207"/>
              <w:rPr>
                <w:sz w:val="20"/>
                <w:szCs w:val="20"/>
              </w:rPr>
            </w:pPr>
            <w:r>
              <w:rPr>
                <w:spacing w:val="6"/>
                <w:sz w:val="20"/>
                <w:szCs w:val="20"/>
              </w:rPr>
              <w:t>项目东南侧</w:t>
            </w:r>
            <w:r>
              <w:rPr>
                <w:spacing w:val="3"/>
                <w:sz w:val="20"/>
                <w:szCs w:val="20"/>
              </w:rPr>
              <w:t xml:space="preserve"> </w:t>
            </w:r>
            <w:r>
              <w:rPr>
                <w:spacing w:val="5"/>
                <w:sz w:val="20"/>
                <w:szCs w:val="20"/>
              </w:rPr>
              <w:t>厂界外</w:t>
            </w:r>
          </w:p>
        </w:tc>
        <w:tc>
          <w:tcPr>
            <w:tcW w:w="1611" w:type="dxa"/>
            <w:vAlign w:val="top"/>
          </w:tcPr>
          <w:p w14:paraId="73F9ECB9">
            <w:pPr>
              <w:spacing w:line="422" w:lineRule="auto"/>
              <w:rPr>
                <w:rFonts w:ascii="Arial"/>
                <w:sz w:val="21"/>
              </w:rPr>
            </w:pPr>
          </w:p>
          <w:p w14:paraId="7B05D0FA">
            <w:pPr>
              <w:spacing w:before="57" w:line="195" w:lineRule="auto"/>
              <w:ind w:left="18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2024.4.22~4.24</w:t>
            </w:r>
          </w:p>
        </w:tc>
        <w:tc>
          <w:tcPr>
            <w:tcW w:w="1368" w:type="dxa"/>
            <w:vAlign w:val="top"/>
          </w:tcPr>
          <w:p w14:paraId="0671352F">
            <w:pPr>
              <w:spacing w:line="422" w:lineRule="auto"/>
              <w:rPr>
                <w:rFonts w:ascii="Arial"/>
                <w:sz w:val="21"/>
              </w:rPr>
            </w:pPr>
          </w:p>
          <w:p w14:paraId="17B2A2AE">
            <w:pPr>
              <w:spacing w:before="57" w:line="195" w:lineRule="auto"/>
              <w:ind w:left="2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0.229-0.244</w:t>
            </w:r>
          </w:p>
        </w:tc>
        <w:tc>
          <w:tcPr>
            <w:tcW w:w="1151" w:type="dxa"/>
            <w:vAlign w:val="top"/>
          </w:tcPr>
          <w:p w14:paraId="36F810BB">
            <w:pPr>
              <w:spacing w:line="422" w:lineRule="auto"/>
              <w:rPr>
                <w:rFonts w:ascii="Arial"/>
                <w:sz w:val="21"/>
              </w:rPr>
            </w:pPr>
          </w:p>
          <w:p w14:paraId="0F2CEFAA">
            <w:pPr>
              <w:spacing w:before="57" w:line="195" w:lineRule="auto"/>
              <w:ind w:left="49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w:t>
            </w:r>
          </w:p>
        </w:tc>
        <w:tc>
          <w:tcPr>
            <w:tcW w:w="1092" w:type="dxa"/>
            <w:vAlign w:val="top"/>
          </w:tcPr>
          <w:p w14:paraId="342A75A5">
            <w:pPr>
              <w:spacing w:line="422" w:lineRule="auto"/>
              <w:rPr>
                <w:rFonts w:ascii="Arial"/>
                <w:sz w:val="21"/>
              </w:rPr>
            </w:pPr>
          </w:p>
          <w:p w14:paraId="3103342E">
            <w:pPr>
              <w:spacing w:before="57" w:line="195" w:lineRule="auto"/>
              <w:ind w:left="42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81.3</w:t>
            </w:r>
          </w:p>
        </w:tc>
        <w:tc>
          <w:tcPr>
            <w:tcW w:w="1951" w:type="dxa"/>
            <w:tcBorders>
              <w:right w:val="single" w:color="000000" w:sz="10" w:space="0"/>
            </w:tcBorders>
            <w:vAlign w:val="top"/>
          </w:tcPr>
          <w:p w14:paraId="6D65F172">
            <w:pPr>
              <w:pStyle w:val="6"/>
              <w:spacing w:before="38" w:line="231" w:lineRule="auto"/>
              <w:jc w:val="right"/>
              <w:rPr>
                <w:sz w:val="20"/>
                <w:szCs w:val="20"/>
              </w:rPr>
            </w:pPr>
            <w:r>
              <w:rPr>
                <w:spacing w:val="4"/>
                <w:sz w:val="20"/>
                <w:szCs w:val="20"/>
              </w:rPr>
              <w:t>重庆市黔帅建设工程</w:t>
            </w:r>
          </w:p>
          <w:p w14:paraId="3F3184E8">
            <w:pPr>
              <w:pStyle w:val="6"/>
              <w:spacing w:before="23" w:line="229" w:lineRule="auto"/>
              <w:jc w:val="right"/>
              <w:rPr>
                <w:sz w:val="20"/>
                <w:szCs w:val="20"/>
              </w:rPr>
            </w:pPr>
            <w:r>
              <w:rPr>
                <w:spacing w:val="5"/>
                <w:sz w:val="20"/>
                <w:szCs w:val="20"/>
              </w:rPr>
              <w:t>有限公司非金属矿物</w:t>
            </w:r>
          </w:p>
          <w:p w14:paraId="49050853">
            <w:pPr>
              <w:pStyle w:val="6"/>
              <w:spacing w:before="22" w:line="230" w:lineRule="auto"/>
              <w:jc w:val="right"/>
              <w:rPr>
                <w:sz w:val="20"/>
                <w:szCs w:val="20"/>
              </w:rPr>
            </w:pPr>
            <w:r>
              <w:rPr>
                <w:spacing w:val="5"/>
                <w:sz w:val="20"/>
                <w:szCs w:val="20"/>
              </w:rPr>
              <w:t>制品制造项目环境影</w:t>
            </w:r>
          </w:p>
          <w:p w14:paraId="1561C474">
            <w:pPr>
              <w:pStyle w:val="6"/>
              <w:spacing w:before="24" w:line="204" w:lineRule="auto"/>
              <w:ind w:left="615"/>
              <w:rPr>
                <w:sz w:val="20"/>
                <w:szCs w:val="20"/>
              </w:rPr>
            </w:pPr>
            <w:r>
              <w:rPr>
                <w:spacing w:val="4"/>
                <w:sz w:val="20"/>
                <w:szCs w:val="20"/>
              </w:rPr>
              <w:t>响报告表</w:t>
            </w:r>
          </w:p>
        </w:tc>
      </w:tr>
      <w:tr w14:paraId="19330B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7" w:hRule="atLeast"/>
        </w:trPr>
        <w:tc>
          <w:tcPr>
            <w:tcW w:w="687" w:type="dxa"/>
            <w:tcBorders>
              <w:left w:val="single" w:color="000000" w:sz="10" w:space="0"/>
            </w:tcBorders>
            <w:vAlign w:val="top"/>
          </w:tcPr>
          <w:p w14:paraId="75CD8AC0">
            <w:pPr>
              <w:spacing w:line="294" w:lineRule="auto"/>
              <w:rPr>
                <w:rFonts w:ascii="Arial"/>
                <w:sz w:val="21"/>
              </w:rPr>
            </w:pPr>
          </w:p>
          <w:p w14:paraId="07F3D66C">
            <w:pPr>
              <w:spacing w:before="58"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w:t>
            </w:r>
          </w:p>
        </w:tc>
        <w:tc>
          <w:tcPr>
            <w:tcW w:w="1206" w:type="dxa"/>
            <w:vAlign w:val="top"/>
          </w:tcPr>
          <w:p w14:paraId="412D703C">
            <w:pPr>
              <w:pStyle w:val="6"/>
              <w:spacing w:before="181" w:line="232" w:lineRule="auto"/>
              <w:ind w:left="126"/>
              <w:rPr>
                <w:sz w:val="20"/>
                <w:szCs w:val="20"/>
              </w:rPr>
            </w:pPr>
            <w:r>
              <w:rPr>
                <w:spacing w:val="6"/>
                <w:sz w:val="20"/>
                <w:szCs w:val="20"/>
              </w:rPr>
              <w:t>项目西南侧</w:t>
            </w:r>
          </w:p>
          <w:p w14:paraId="765F56C2">
            <w:pPr>
              <w:pStyle w:val="6"/>
              <w:spacing w:before="19" w:line="231" w:lineRule="auto"/>
              <w:ind w:left="131"/>
              <w:rPr>
                <w:sz w:val="20"/>
                <w:szCs w:val="20"/>
              </w:rPr>
            </w:pPr>
            <w:r>
              <w:rPr>
                <w:spacing w:val="5"/>
                <w:sz w:val="20"/>
                <w:szCs w:val="20"/>
              </w:rPr>
              <w:t>最近居民处</w:t>
            </w:r>
          </w:p>
        </w:tc>
        <w:tc>
          <w:tcPr>
            <w:tcW w:w="1611" w:type="dxa"/>
            <w:vAlign w:val="top"/>
          </w:tcPr>
          <w:p w14:paraId="51F7EA51">
            <w:pPr>
              <w:spacing w:line="294" w:lineRule="auto"/>
              <w:rPr>
                <w:rFonts w:ascii="Arial"/>
                <w:sz w:val="21"/>
              </w:rPr>
            </w:pPr>
          </w:p>
          <w:p w14:paraId="6C3B91E7">
            <w:pPr>
              <w:spacing w:before="58"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2024.6.4~6.9</w:t>
            </w:r>
          </w:p>
        </w:tc>
        <w:tc>
          <w:tcPr>
            <w:tcW w:w="1368" w:type="dxa"/>
            <w:vAlign w:val="top"/>
          </w:tcPr>
          <w:p w14:paraId="04514F97">
            <w:pPr>
              <w:spacing w:line="294" w:lineRule="auto"/>
              <w:rPr>
                <w:rFonts w:ascii="Arial"/>
                <w:sz w:val="21"/>
              </w:rPr>
            </w:pPr>
          </w:p>
          <w:p w14:paraId="1D01208F">
            <w:pPr>
              <w:spacing w:before="58" w:line="195" w:lineRule="auto"/>
              <w:ind w:left="2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0.179-0.192</w:t>
            </w:r>
          </w:p>
        </w:tc>
        <w:tc>
          <w:tcPr>
            <w:tcW w:w="1151" w:type="dxa"/>
            <w:vAlign w:val="top"/>
          </w:tcPr>
          <w:p w14:paraId="0F1098C4">
            <w:pPr>
              <w:spacing w:line="294" w:lineRule="auto"/>
              <w:rPr>
                <w:rFonts w:ascii="Arial"/>
                <w:sz w:val="21"/>
              </w:rPr>
            </w:pPr>
          </w:p>
          <w:p w14:paraId="68A0BB5C">
            <w:pPr>
              <w:spacing w:before="58" w:line="195" w:lineRule="auto"/>
              <w:ind w:left="49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w:t>
            </w:r>
          </w:p>
        </w:tc>
        <w:tc>
          <w:tcPr>
            <w:tcW w:w="1092" w:type="dxa"/>
            <w:vAlign w:val="top"/>
          </w:tcPr>
          <w:p w14:paraId="797D00D7">
            <w:pPr>
              <w:spacing w:line="294" w:lineRule="auto"/>
              <w:rPr>
                <w:rFonts w:ascii="Arial"/>
                <w:sz w:val="21"/>
              </w:rPr>
            </w:pPr>
          </w:p>
          <w:p w14:paraId="400C4C9C">
            <w:pPr>
              <w:spacing w:before="58" w:line="195" w:lineRule="auto"/>
              <w:ind w:left="496"/>
              <w:rPr>
                <w:rFonts w:ascii="Times New Roman" w:hAnsi="Times New Roman" w:eastAsia="Times New Roman" w:cs="Times New Roman"/>
                <w:sz w:val="20"/>
                <w:szCs w:val="20"/>
              </w:rPr>
            </w:pPr>
            <w:r>
              <w:rPr>
                <w:rFonts w:ascii="Times New Roman" w:hAnsi="Times New Roman" w:eastAsia="Times New Roman" w:cs="Times New Roman"/>
                <w:sz w:val="20"/>
                <w:szCs w:val="20"/>
              </w:rPr>
              <w:t>64</w:t>
            </w:r>
          </w:p>
        </w:tc>
        <w:tc>
          <w:tcPr>
            <w:tcW w:w="1951" w:type="dxa"/>
            <w:tcBorders>
              <w:right w:val="single" w:color="000000" w:sz="10" w:space="0"/>
            </w:tcBorders>
            <w:vAlign w:val="top"/>
          </w:tcPr>
          <w:p w14:paraId="22F9C768">
            <w:pPr>
              <w:pStyle w:val="6"/>
              <w:spacing w:before="44" w:line="231" w:lineRule="auto"/>
              <w:jc w:val="right"/>
              <w:rPr>
                <w:sz w:val="20"/>
                <w:szCs w:val="20"/>
              </w:rPr>
            </w:pPr>
            <w:r>
              <w:rPr>
                <w:spacing w:val="2"/>
                <w:sz w:val="20"/>
                <w:szCs w:val="20"/>
              </w:rPr>
              <w:t>中柳建材砂石加工及</w:t>
            </w:r>
          </w:p>
          <w:p w14:paraId="250D099F">
            <w:pPr>
              <w:pStyle w:val="6"/>
              <w:spacing w:before="23" w:line="230" w:lineRule="auto"/>
              <w:jc w:val="right"/>
              <w:rPr>
                <w:sz w:val="20"/>
                <w:szCs w:val="20"/>
              </w:rPr>
            </w:pPr>
            <w:r>
              <w:rPr>
                <w:spacing w:val="5"/>
                <w:sz w:val="20"/>
                <w:szCs w:val="20"/>
              </w:rPr>
              <w:t>水泥制品生产项目环</w:t>
            </w:r>
          </w:p>
          <w:p w14:paraId="4AA86DBD">
            <w:pPr>
              <w:pStyle w:val="6"/>
              <w:spacing w:before="21" w:line="201" w:lineRule="auto"/>
              <w:ind w:left="402"/>
              <w:rPr>
                <w:sz w:val="20"/>
                <w:szCs w:val="20"/>
              </w:rPr>
            </w:pPr>
            <w:r>
              <w:rPr>
                <w:spacing w:val="6"/>
                <w:sz w:val="20"/>
                <w:szCs w:val="20"/>
              </w:rPr>
              <w:t>境影响报告表</w:t>
            </w:r>
          </w:p>
        </w:tc>
      </w:tr>
      <w:tr w14:paraId="7EC693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0" w:hRule="atLeast"/>
        </w:trPr>
        <w:tc>
          <w:tcPr>
            <w:tcW w:w="687" w:type="dxa"/>
            <w:tcBorders>
              <w:left w:val="single" w:color="000000" w:sz="10" w:space="0"/>
              <w:bottom w:val="single" w:color="000000" w:sz="10" w:space="0"/>
            </w:tcBorders>
            <w:vAlign w:val="top"/>
          </w:tcPr>
          <w:p w14:paraId="103585AF">
            <w:pPr>
              <w:spacing w:line="298" w:lineRule="auto"/>
              <w:rPr>
                <w:rFonts w:ascii="Arial"/>
                <w:sz w:val="21"/>
              </w:rPr>
            </w:pPr>
          </w:p>
          <w:p w14:paraId="5CA85BA7">
            <w:pPr>
              <w:spacing w:before="57" w:line="195" w:lineRule="auto"/>
              <w:ind w:left="27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206" w:type="dxa"/>
            <w:tcBorders>
              <w:bottom w:val="single" w:color="000000" w:sz="10" w:space="0"/>
            </w:tcBorders>
            <w:vAlign w:val="top"/>
          </w:tcPr>
          <w:p w14:paraId="204461E0">
            <w:pPr>
              <w:pStyle w:val="6"/>
              <w:spacing w:before="187" w:line="232" w:lineRule="auto"/>
              <w:ind w:left="126"/>
              <w:rPr>
                <w:sz w:val="20"/>
                <w:szCs w:val="20"/>
              </w:rPr>
            </w:pPr>
            <w:r>
              <w:rPr>
                <w:spacing w:val="6"/>
                <w:sz w:val="20"/>
                <w:szCs w:val="20"/>
              </w:rPr>
              <w:t>项目西南侧</w:t>
            </w:r>
          </w:p>
          <w:p w14:paraId="10B52520">
            <w:pPr>
              <w:pStyle w:val="6"/>
              <w:spacing w:before="19" w:line="231" w:lineRule="auto"/>
              <w:ind w:left="131"/>
              <w:rPr>
                <w:sz w:val="20"/>
                <w:szCs w:val="20"/>
              </w:rPr>
            </w:pPr>
            <w:r>
              <w:rPr>
                <w:spacing w:val="5"/>
                <w:sz w:val="20"/>
                <w:szCs w:val="20"/>
              </w:rPr>
              <w:t>最近居民处</w:t>
            </w:r>
          </w:p>
        </w:tc>
        <w:tc>
          <w:tcPr>
            <w:tcW w:w="1611" w:type="dxa"/>
            <w:tcBorders>
              <w:bottom w:val="single" w:color="000000" w:sz="10" w:space="0"/>
            </w:tcBorders>
            <w:vAlign w:val="top"/>
          </w:tcPr>
          <w:p w14:paraId="57EA5757">
            <w:pPr>
              <w:spacing w:line="255" w:lineRule="auto"/>
              <w:rPr>
                <w:rFonts w:ascii="Arial"/>
                <w:sz w:val="21"/>
              </w:rPr>
            </w:pPr>
          </w:p>
          <w:p w14:paraId="7E451F34">
            <w:pPr>
              <w:pStyle w:val="6"/>
              <w:spacing w:before="65" w:line="269" w:lineRule="exact"/>
              <w:ind w:left="136"/>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2024.4.23</w:t>
            </w:r>
            <w:r>
              <w:rPr>
                <w:spacing w:val="4"/>
                <w:position w:val="1"/>
                <w:sz w:val="20"/>
                <w:szCs w:val="20"/>
              </w:rPr>
              <w:t>～</w:t>
            </w:r>
            <w:r>
              <w:rPr>
                <w:rFonts w:ascii="Times New Roman" w:hAnsi="Times New Roman" w:eastAsia="Times New Roman" w:cs="Times New Roman"/>
                <w:spacing w:val="4"/>
                <w:position w:val="1"/>
                <w:sz w:val="20"/>
                <w:szCs w:val="20"/>
              </w:rPr>
              <w:t>4.25</w:t>
            </w:r>
          </w:p>
        </w:tc>
        <w:tc>
          <w:tcPr>
            <w:tcW w:w="1368" w:type="dxa"/>
            <w:tcBorders>
              <w:bottom w:val="single" w:color="000000" w:sz="10" w:space="0"/>
            </w:tcBorders>
            <w:vAlign w:val="top"/>
          </w:tcPr>
          <w:p w14:paraId="37170CB6">
            <w:pPr>
              <w:spacing w:line="298" w:lineRule="auto"/>
              <w:rPr>
                <w:rFonts w:ascii="Arial"/>
                <w:sz w:val="21"/>
              </w:rPr>
            </w:pPr>
          </w:p>
          <w:p w14:paraId="7B3E6EFD">
            <w:pPr>
              <w:spacing w:before="57"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0.163-0.17</w:t>
            </w:r>
          </w:p>
        </w:tc>
        <w:tc>
          <w:tcPr>
            <w:tcW w:w="1151" w:type="dxa"/>
            <w:tcBorders>
              <w:bottom w:val="single" w:color="000000" w:sz="10" w:space="0"/>
            </w:tcBorders>
            <w:vAlign w:val="top"/>
          </w:tcPr>
          <w:p w14:paraId="381E4345">
            <w:pPr>
              <w:spacing w:line="298" w:lineRule="auto"/>
              <w:rPr>
                <w:rFonts w:ascii="Arial"/>
                <w:sz w:val="21"/>
              </w:rPr>
            </w:pPr>
          </w:p>
          <w:p w14:paraId="1B80F7B0">
            <w:pPr>
              <w:spacing w:before="57" w:line="195" w:lineRule="auto"/>
              <w:ind w:left="49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w:t>
            </w:r>
          </w:p>
        </w:tc>
        <w:tc>
          <w:tcPr>
            <w:tcW w:w="1092" w:type="dxa"/>
            <w:tcBorders>
              <w:bottom w:val="single" w:color="000000" w:sz="10" w:space="0"/>
            </w:tcBorders>
            <w:vAlign w:val="top"/>
          </w:tcPr>
          <w:p w14:paraId="78BD1DCC">
            <w:pPr>
              <w:spacing w:line="298" w:lineRule="auto"/>
              <w:rPr>
                <w:rFonts w:ascii="Arial"/>
                <w:sz w:val="21"/>
              </w:rPr>
            </w:pPr>
          </w:p>
          <w:p w14:paraId="2B6161DA">
            <w:pPr>
              <w:spacing w:before="57"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56.7</w:t>
            </w:r>
          </w:p>
        </w:tc>
        <w:tc>
          <w:tcPr>
            <w:tcW w:w="1951" w:type="dxa"/>
            <w:tcBorders>
              <w:bottom w:val="single" w:color="000000" w:sz="10" w:space="0"/>
              <w:right w:val="single" w:color="000000" w:sz="10" w:space="0"/>
            </w:tcBorders>
            <w:vAlign w:val="top"/>
          </w:tcPr>
          <w:p w14:paraId="24156DD2">
            <w:pPr>
              <w:pStyle w:val="6"/>
              <w:spacing w:before="50" w:line="230" w:lineRule="auto"/>
              <w:jc w:val="right"/>
              <w:rPr>
                <w:sz w:val="20"/>
                <w:szCs w:val="20"/>
              </w:rPr>
            </w:pPr>
            <w:r>
              <w:rPr>
                <w:spacing w:val="-14"/>
                <w:sz w:val="20"/>
                <w:szCs w:val="20"/>
              </w:rPr>
              <w:t>建筑垃圾再生、节能、</w:t>
            </w:r>
          </w:p>
          <w:p w14:paraId="79818AAE">
            <w:pPr>
              <w:pStyle w:val="6"/>
              <w:spacing w:before="22" w:line="229" w:lineRule="auto"/>
              <w:jc w:val="right"/>
              <w:rPr>
                <w:sz w:val="20"/>
                <w:szCs w:val="20"/>
              </w:rPr>
            </w:pPr>
            <w:r>
              <w:rPr>
                <w:spacing w:val="5"/>
                <w:sz w:val="20"/>
                <w:szCs w:val="20"/>
              </w:rPr>
              <w:t>环保建材项目环境影</w:t>
            </w:r>
          </w:p>
          <w:p w14:paraId="409BEAAC">
            <w:pPr>
              <w:pStyle w:val="6"/>
              <w:spacing w:before="24" w:line="217" w:lineRule="auto"/>
              <w:ind w:left="615"/>
              <w:rPr>
                <w:sz w:val="20"/>
                <w:szCs w:val="20"/>
              </w:rPr>
            </w:pPr>
            <w:r>
              <w:rPr>
                <w:spacing w:val="4"/>
                <w:sz w:val="20"/>
                <w:szCs w:val="20"/>
              </w:rPr>
              <w:t>响报告表</w:t>
            </w:r>
          </w:p>
        </w:tc>
      </w:tr>
    </w:tbl>
    <w:p w14:paraId="615807BB">
      <w:pPr>
        <w:pStyle w:val="2"/>
        <w:spacing w:line="143" w:lineRule="exact"/>
        <w:rPr>
          <w:sz w:val="12"/>
        </w:rPr>
      </w:pPr>
    </w:p>
    <w:p w14:paraId="2D266492">
      <w:pPr>
        <w:spacing w:line="143" w:lineRule="exact"/>
        <w:rPr>
          <w:sz w:val="12"/>
          <w:szCs w:val="12"/>
        </w:rPr>
        <w:sectPr>
          <w:headerReference r:id="rId107" w:type="default"/>
          <w:footerReference r:id="rId108" w:type="default"/>
          <w:pgSz w:w="11906" w:h="16839"/>
          <w:pgMar w:top="1116" w:right="1348" w:bottom="1480" w:left="1466" w:header="683" w:footer="1318" w:gutter="0"/>
          <w:cols w:space="720" w:num="1"/>
        </w:sectPr>
      </w:pPr>
    </w:p>
    <w:p w14:paraId="2D2018D6">
      <w:pPr>
        <w:pStyle w:val="2"/>
        <w:spacing w:line="385" w:lineRule="auto"/>
      </w:pPr>
    </w:p>
    <w:p w14:paraId="3A0C64AF">
      <w:pPr>
        <w:spacing w:before="82" w:line="229" w:lineRule="auto"/>
        <w:ind w:left="791"/>
        <w:rPr>
          <w:rFonts w:ascii="仿宋" w:hAnsi="仿宋" w:eastAsia="仿宋" w:cs="仿宋"/>
          <w:sz w:val="25"/>
          <w:szCs w:val="25"/>
        </w:rPr>
      </w:pPr>
      <w:r>
        <w:rPr>
          <w:rFonts w:ascii="仿宋" w:hAnsi="仿宋" w:eastAsia="仿宋" w:cs="仿宋"/>
          <w:spacing w:val="8"/>
          <w:sz w:val="25"/>
          <w:szCs w:val="25"/>
        </w:rPr>
        <w:t>（</w:t>
      </w:r>
      <w:r>
        <w:rPr>
          <w:rFonts w:ascii="Times New Roman" w:hAnsi="Times New Roman" w:eastAsia="Times New Roman" w:cs="Times New Roman"/>
          <w:spacing w:val="8"/>
          <w:sz w:val="25"/>
          <w:szCs w:val="25"/>
        </w:rPr>
        <w:t>3</w:t>
      </w:r>
      <w:r>
        <w:rPr>
          <w:rFonts w:ascii="仿宋" w:hAnsi="仿宋" w:eastAsia="仿宋" w:cs="仿宋"/>
          <w:spacing w:val="8"/>
          <w:sz w:val="25"/>
          <w:szCs w:val="25"/>
        </w:rPr>
        <w:t>）一类区环境空气质量状况</w:t>
      </w:r>
    </w:p>
    <w:p w14:paraId="27259044">
      <w:pPr>
        <w:spacing w:before="148" w:line="340" w:lineRule="auto"/>
        <w:ind w:left="136" w:right="121" w:firstLine="522"/>
        <w:rPr>
          <w:rFonts w:ascii="仿宋" w:hAnsi="仿宋" w:eastAsia="仿宋" w:cs="仿宋"/>
          <w:sz w:val="25"/>
          <w:szCs w:val="25"/>
        </w:rPr>
      </w:pPr>
      <w:r>
        <w:rPr>
          <w:rFonts w:ascii="仿宋" w:hAnsi="仿宋" w:eastAsia="仿宋" w:cs="仿宋"/>
          <w:spacing w:val="9"/>
          <w:sz w:val="25"/>
          <w:szCs w:val="25"/>
        </w:rPr>
        <w:t>本次规划调整区块均不在环境空气一类功能区内，为了解黔江区环境空气</w:t>
      </w:r>
      <w:r>
        <w:rPr>
          <w:rFonts w:ascii="仿宋" w:hAnsi="仿宋" w:eastAsia="仿宋" w:cs="仿宋"/>
          <w:spacing w:val="15"/>
          <w:sz w:val="25"/>
          <w:szCs w:val="25"/>
        </w:rPr>
        <w:t xml:space="preserve"> </w:t>
      </w:r>
      <w:r>
        <w:rPr>
          <w:rFonts w:ascii="仿宋" w:hAnsi="仿宋" w:eastAsia="仿宋" w:cs="仿宋"/>
          <w:spacing w:val="10"/>
          <w:sz w:val="25"/>
          <w:szCs w:val="25"/>
        </w:rPr>
        <w:t>一类功能区的环境质量现状，引用《白佳湾机</w:t>
      </w:r>
      <w:r>
        <w:rPr>
          <w:rFonts w:ascii="仿宋" w:hAnsi="仿宋" w:eastAsia="仿宋" w:cs="仿宋"/>
          <w:spacing w:val="9"/>
          <w:sz w:val="25"/>
          <w:szCs w:val="25"/>
        </w:rPr>
        <w:t>动车检测站环境影响报告表》对</w:t>
      </w:r>
      <w:r>
        <w:rPr>
          <w:rFonts w:ascii="仿宋" w:hAnsi="仿宋" w:eastAsia="仿宋" w:cs="仿宋"/>
          <w:sz w:val="25"/>
          <w:szCs w:val="25"/>
        </w:rPr>
        <w:t xml:space="preserve"> </w:t>
      </w:r>
      <w:r>
        <w:rPr>
          <w:rFonts w:ascii="仿宋" w:hAnsi="仿宋" w:eastAsia="仿宋" w:cs="仿宋"/>
          <w:spacing w:val="10"/>
          <w:sz w:val="25"/>
          <w:szCs w:val="25"/>
        </w:rPr>
        <w:t>黔江国家森林公园环境质量监测数据和《重庆</w:t>
      </w:r>
      <w:r>
        <w:rPr>
          <w:rFonts w:ascii="仿宋" w:hAnsi="仿宋" w:eastAsia="仿宋" w:cs="仿宋"/>
          <w:spacing w:val="9"/>
          <w:sz w:val="25"/>
          <w:szCs w:val="25"/>
        </w:rPr>
        <w:t>市黔江区杉岭乡兴隆村后河建筑</w:t>
      </w:r>
      <w:r>
        <w:rPr>
          <w:rFonts w:ascii="仿宋" w:hAnsi="仿宋" w:eastAsia="仿宋" w:cs="仿宋"/>
          <w:sz w:val="25"/>
          <w:szCs w:val="25"/>
        </w:rPr>
        <w:t xml:space="preserve"> </w:t>
      </w:r>
      <w:r>
        <w:rPr>
          <w:rFonts w:ascii="仿宋" w:hAnsi="仿宋" w:eastAsia="仿宋" w:cs="仿宋"/>
          <w:spacing w:val="10"/>
          <w:sz w:val="25"/>
          <w:szCs w:val="25"/>
        </w:rPr>
        <w:t>石料用灰岩矿山项目环境影响报告表》对小南</w:t>
      </w:r>
      <w:r>
        <w:rPr>
          <w:rFonts w:ascii="仿宋" w:hAnsi="仿宋" w:eastAsia="仿宋" w:cs="仿宋"/>
          <w:spacing w:val="9"/>
          <w:sz w:val="25"/>
          <w:szCs w:val="25"/>
        </w:rPr>
        <w:t>海市级自然保护区环境质量监测</w:t>
      </w:r>
      <w:r>
        <w:rPr>
          <w:rFonts w:ascii="仿宋" w:hAnsi="仿宋" w:eastAsia="仿宋" w:cs="仿宋"/>
          <w:sz w:val="25"/>
          <w:szCs w:val="25"/>
        </w:rPr>
        <w:t xml:space="preserve"> </w:t>
      </w:r>
      <w:r>
        <w:rPr>
          <w:rFonts w:ascii="仿宋" w:hAnsi="仿宋" w:eastAsia="仿宋" w:cs="仿宋"/>
          <w:spacing w:val="5"/>
          <w:sz w:val="25"/>
          <w:szCs w:val="25"/>
        </w:rPr>
        <w:t>数据。监测数据见表</w:t>
      </w:r>
      <w:r>
        <w:rPr>
          <w:rFonts w:ascii="仿宋" w:hAnsi="仿宋" w:eastAsia="仿宋" w:cs="仿宋"/>
          <w:spacing w:val="-41"/>
          <w:sz w:val="25"/>
          <w:szCs w:val="25"/>
        </w:rPr>
        <w:t xml:space="preserve"> </w:t>
      </w:r>
      <w:r>
        <w:rPr>
          <w:rFonts w:ascii="Times New Roman" w:hAnsi="Times New Roman" w:eastAsia="Times New Roman" w:cs="Times New Roman"/>
          <w:spacing w:val="5"/>
          <w:sz w:val="25"/>
          <w:szCs w:val="25"/>
        </w:rPr>
        <w:t>3.1-8</w:t>
      </w:r>
      <w:r>
        <w:rPr>
          <w:rFonts w:ascii="仿宋" w:hAnsi="仿宋" w:eastAsia="仿宋" w:cs="仿宋"/>
          <w:spacing w:val="5"/>
          <w:sz w:val="25"/>
          <w:szCs w:val="25"/>
        </w:rPr>
        <w:t>。</w:t>
      </w:r>
    </w:p>
    <w:p w14:paraId="4DE5E200">
      <w:pPr>
        <w:spacing w:before="42" w:line="221" w:lineRule="auto"/>
        <w:ind w:left="3226"/>
        <w:rPr>
          <w:rFonts w:ascii="Times New Roman" w:hAnsi="Times New Roman" w:eastAsia="Times New Roman" w:cs="Times New Roman"/>
          <w:sz w:val="13"/>
          <w:szCs w:val="13"/>
        </w:rPr>
      </w:pPr>
      <w:r>
        <w:rPr>
          <w:rFonts w:ascii="仿宋" w:hAnsi="仿宋" w:eastAsia="仿宋" w:cs="仿宋"/>
          <w:b/>
          <w:bCs/>
          <w:spacing w:val="5"/>
          <w:sz w:val="20"/>
          <w:szCs w:val="20"/>
        </w:rPr>
        <w:t>表</w:t>
      </w:r>
      <w:r>
        <w:rPr>
          <w:rFonts w:ascii="仿宋" w:hAnsi="仿宋" w:eastAsia="仿宋" w:cs="仿宋"/>
          <w:spacing w:val="-41"/>
          <w:sz w:val="20"/>
          <w:szCs w:val="20"/>
        </w:rPr>
        <w:t xml:space="preserve"> </w:t>
      </w:r>
      <w:r>
        <w:rPr>
          <w:rFonts w:ascii="Times New Roman" w:hAnsi="Times New Roman" w:eastAsia="Times New Roman" w:cs="Times New Roman"/>
          <w:b/>
          <w:bCs/>
          <w:spacing w:val="5"/>
          <w:sz w:val="20"/>
          <w:szCs w:val="20"/>
        </w:rPr>
        <w:t xml:space="preserve">3.1-8    </w:t>
      </w:r>
      <w:r>
        <w:rPr>
          <w:rFonts w:ascii="仿宋" w:hAnsi="仿宋" w:eastAsia="仿宋" w:cs="仿宋"/>
          <w:b/>
          <w:bCs/>
          <w:spacing w:val="5"/>
          <w:sz w:val="20"/>
          <w:szCs w:val="20"/>
        </w:rPr>
        <w:t>一类区环境空气质量统计表</w:t>
      </w:r>
      <w:r>
        <w:rPr>
          <w:rFonts w:ascii="仿宋" w:hAnsi="仿宋" w:eastAsia="仿宋" w:cs="仿宋"/>
          <w:spacing w:val="6"/>
          <w:sz w:val="20"/>
          <w:szCs w:val="20"/>
        </w:rPr>
        <w:t xml:space="preserve">            </w:t>
      </w:r>
      <w:r>
        <w:rPr>
          <w:rFonts w:ascii="仿宋" w:hAnsi="仿宋" w:eastAsia="仿宋" w:cs="仿宋"/>
          <w:b/>
          <w:bCs/>
          <w:spacing w:val="5"/>
          <w:sz w:val="20"/>
          <w:szCs w:val="20"/>
        </w:rPr>
        <w:t>单位</w:t>
      </w:r>
      <w:r>
        <w:rPr>
          <w:rFonts w:ascii="仿宋" w:hAnsi="仿宋" w:eastAsia="仿宋" w:cs="仿宋"/>
          <w:spacing w:val="5"/>
          <w:sz w:val="20"/>
          <w:szCs w:val="20"/>
        </w:rPr>
        <w:t xml:space="preserve"> </w:t>
      </w:r>
      <w:r>
        <w:rPr>
          <w:rFonts w:ascii="Times New Roman" w:hAnsi="Times New Roman" w:eastAsia="Times New Roman" w:cs="Times New Roman"/>
          <w:b/>
          <w:bCs/>
          <w:spacing w:val="5"/>
          <w:sz w:val="20"/>
          <w:szCs w:val="20"/>
        </w:rPr>
        <w:t>µg/m</w:t>
      </w:r>
      <w:r>
        <w:rPr>
          <w:rFonts w:ascii="Times New Roman" w:hAnsi="Times New Roman" w:eastAsia="Times New Roman" w:cs="Times New Roman"/>
          <w:b/>
          <w:bCs/>
          <w:spacing w:val="5"/>
          <w:position w:val="6"/>
          <w:sz w:val="13"/>
          <w:szCs w:val="13"/>
        </w:rPr>
        <w:t>3</w:t>
      </w:r>
    </w:p>
    <w:p w14:paraId="75C90807">
      <w:pPr>
        <w:spacing w:line="31" w:lineRule="exact"/>
      </w:pPr>
    </w:p>
    <w:tbl>
      <w:tblPr>
        <w:tblStyle w:val="5"/>
        <w:tblW w:w="8899" w:type="dxa"/>
        <w:tblInd w:w="9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39"/>
        <w:gridCol w:w="2198"/>
        <w:gridCol w:w="1540"/>
        <w:gridCol w:w="1167"/>
        <w:gridCol w:w="1255"/>
        <w:gridCol w:w="993"/>
        <w:gridCol w:w="1007"/>
      </w:tblGrid>
      <w:tr w14:paraId="188D32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0" w:hRule="atLeast"/>
        </w:trPr>
        <w:tc>
          <w:tcPr>
            <w:tcW w:w="739" w:type="dxa"/>
            <w:tcBorders>
              <w:top w:val="single" w:color="000000" w:sz="10" w:space="0"/>
              <w:left w:val="single" w:color="000000" w:sz="10" w:space="0"/>
            </w:tcBorders>
            <w:vAlign w:val="top"/>
          </w:tcPr>
          <w:p w14:paraId="25742DA0">
            <w:pPr>
              <w:pStyle w:val="6"/>
              <w:spacing w:before="37" w:line="215" w:lineRule="auto"/>
              <w:ind w:left="155"/>
              <w:rPr>
                <w:sz w:val="20"/>
                <w:szCs w:val="20"/>
              </w:rPr>
            </w:pPr>
            <w:r>
              <w:rPr>
                <w:spacing w:val="2"/>
                <w:sz w:val="20"/>
                <w:szCs w:val="20"/>
              </w:rPr>
              <w:t>序号</w:t>
            </w:r>
          </w:p>
        </w:tc>
        <w:tc>
          <w:tcPr>
            <w:tcW w:w="2198" w:type="dxa"/>
            <w:tcBorders>
              <w:top w:val="single" w:color="000000" w:sz="10" w:space="0"/>
            </w:tcBorders>
            <w:vAlign w:val="top"/>
          </w:tcPr>
          <w:p w14:paraId="670CE938">
            <w:pPr>
              <w:pStyle w:val="6"/>
              <w:spacing w:before="37" w:line="215" w:lineRule="auto"/>
              <w:ind w:left="899"/>
              <w:rPr>
                <w:sz w:val="20"/>
                <w:szCs w:val="20"/>
              </w:rPr>
            </w:pPr>
            <w:r>
              <w:rPr>
                <w:spacing w:val="-4"/>
                <w:sz w:val="20"/>
                <w:szCs w:val="20"/>
              </w:rPr>
              <w:t>点位</w:t>
            </w:r>
          </w:p>
        </w:tc>
        <w:tc>
          <w:tcPr>
            <w:tcW w:w="1540" w:type="dxa"/>
            <w:tcBorders>
              <w:top w:val="single" w:color="000000" w:sz="10" w:space="0"/>
            </w:tcBorders>
            <w:vAlign w:val="top"/>
          </w:tcPr>
          <w:p w14:paraId="71A1A6FB">
            <w:pPr>
              <w:pStyle w:val="6"/>
              <w:spacing w:before="37" w:line="215" w:lineRule="auto"/>
              <w:ind w:left="359"/>
              <w:rPr>
                <w:sz w:val="20"/>
                <w:szCs w:val="20"/>
              </w:rPr>
            </w:pPr>
            <w:r>
              <w:rPr>
                <w:spacing w:val="4"/>
                <w:sz w:val="20"/>
                <w:szCs w:val="20"/>
              </w:rPr>
              <w:t>监测时间</w:t>
            </w:r>
          </w:p>
        </w:tc>
        <w:tc>
          <w:tcPr>
            <w:tcW w:w="1167" w:type="dxa"/>
            <w:tcBorders>
              <w:top w:val="single" w:color="000000" w:sz="10" w:space="0"/>
            </w:tcBorders>
            <w:vAlign w:val="top"/>
          </w:tcPr>
          <w:p w14:paraId="5D754DFA">
            <w:pPr>
              <w:spacing w:before="73" w:line="202" w:lineRule="auto"/>
              <w:ind w:left="388"/>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NO</w:t>
            </w:r>
            <w:r>
              <w:rPr>
                <w:rFonts w:ascii="Times New Roman" w:hAnsi="Times New Roman" w:eastAsia="Times New Roman" w:cs="Times New Roman"/>
                <w:spacing w:val="6"/>
                <w:position w:val="-1"/>
                <w:sz w:val="13"/>
                <w:szCs w:val="13"/>
              </w:rPr>
              <w:t>2</w:t>
            </w:r>
          </w:p>
        </w:tc>
        <w:tc>
          <w:tcPr>
            <w:tcW w:w="1255" w:type="dxa"/>
            <w:tcBorders>
              <w:top w:val="single" w:color="000000" w:sz="10" w:space="0"/>
            </w:tcBorders>
            <w:vAlign w:val="top"/>
          </w:tcPr>
          <w:p w14:paraId="10DF9D3B">
            <w:pPr>
              <w:spacing w:before="76" w:line="199" w:lineRule="auto"/>
              <w:ind w:left="408"/>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pacing w:val="8"/>
                <w:position w:val="-1"/>
                <w:sz w:val="13"/>
                <w:szCs w:val="13"/>
              </w:rPr>
              <w:t>10</w:t>
            </w:r>
          </w:p>
        </w:tc>
        <w:tc>
          <w:tcPr>
            <w:tcW w:w="993" w:type="dxa"/>
            <w:tcBorders>
              <w:top w:val="single" w:color="000000" w:sz="10" w:space="0"/>
            </w:tcBorders>
            <w:vAlign w:val="top"/>
          </w:tcPr>
          <w:p w14:paraId="51F05E83">
            <w:pPr>
              <w:spacing w:before="76" w:line="199" w:lineRule="auto"/>
              <w:ind w:left="264"/>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pacing w:val="6"/>
                <w:position w:val="-1"/>
                <w:sz w:val="13"/>
                <w:szCs w:val="13"/>
              </w:rPr>
              <w:t>2.5</w:t>
            </w:r>
          </w:p>
        </w:tc>
        <w:tc>
          <w:tcPr>
            <w:tcW w:w="1007" w:type="dxa"/>
            <w:tcBorders>
              <w:top w:val="single" w:color="000000" w:sz="10" w:space="0"/>
              <w:right w:val="single" w:color="000000" w:sz="10" w:space="0"/>
            </w:tcBorders>
            <w:vAlign w:val="top"/>
          </w:tcPr>
          <w:p w14:paraId="1483E32A">
            <w:pPr>
              <w:spacing w:before="73" w:line="195" w:lineRule="auto"/>
              <w:ind w:left="32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TSP</w:t>
            </w:r>
          </w:p>
        </w:tc>
      </w:tr>
      <w:tr w14:paraId="66E375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739" w:type="dxa"/>
            <w:tcBorders>
              <w:left w:val="single" w:color="000000" w:sz="10" w:space="0"/>
            </w:tcBorders>
            <w:vAlign w:val="top"/>
          </w:tcPr>
          <w:p w14:paraId="3C651D10">
            <w:pPr>
              <w:spacing w:before="68" w:line="195" w:lineRule="auto"/>
              <w:ind w:left="25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w:t>
            </w:r>
          </w:p>
        </w:tc>
        <w:tc>
          <w:tcPr>
            <w:tcW w:w="2198" w:type="dxa"/>
            <w:vAlign w:val="top"/>
          </w:tcPr>
          <w:p w14:paraId="36C99B1C">
            <w:pPr>
              <w:pStyle w:val="6"/>
              <w:spacing w:before="32" w:line="212" w:lineRule="auto"/>
              <w:ind w:left="261"/>
              <w:rPr>
                <w:sz w:val="20"/>
                <w:szCs w:val="20"/>
              </w:rPr>
            </w:pPr>
            <w:r>
              <w:rPr>
                <w:spacing w:val="7"/>
                <w:sz w:val="20"/>
                <w:szCs w:val="20"/>
              </w:rPr>
              <w:t>黔江国家森林公园</w:t>
            </w:r>
          </w:p>
        </w:tc>
        <w:tc>
          <w:tcPr>
            <w:tcW w:w="1540" w:type="dxa"/>
            <w:vAlign w:val="top"/>
          </w:tcPr>
          <w:p w14:paraId="0E608A9E">
            <w:pPr>
              <w:spacing w:before="68" w:line="195" w:lineRule="auto"/>
              <w:ind w:left="12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2025.2.15-2.18</w:t>
            </w:r>
          </w:p>
        </w:tc>
        <w:tc>
          <w:tcPr>
            <w:tcW w:w="1167" w:type="dxa"/>
            <w:vAlign w:val="top"/>
          </w:tcPr>
          <w:p w14:paraId="4B160BCD">
            <w:pPr>
              <w:spacing w:before="68" w:line="195" w:lineRule="auto"/>
              <w:ind w:left="33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14~</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15</w:t>
            </w:r>
          </w:p>
        </w:tc>
        <w:tc>
          <w:tcPr>
            <w:tcW w:w="1255" w:type="dxa"/>
            <w:vAlign w:val="top"/>
          </w:tcPr>
          <w:p w14:paraId="22DE8332">
            <w:pPr>
              <w:spacing w:before="68" w:line="195" w:lineRule="auto"/>
              <w:ind w:left="2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30.4~41.0</w:t>
            </w:r>
          </w:p>
        </w:tc>
        <w:tc>
          <w:tcPr>
            <w:tcW w:w="993" w:type="dxa"/>
            <w:vAlign w:val="top"/>
          </w:tcPr>
          <w:p w14:paraId="5ECFE679">
            <w:pPr>
              <w:spacing w:before="68" w:line="195" w:lineRule="auto"/>
              <w:ind w:left="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20.9~29.3</w:t>
            </w:r>
          </w:p>
        </w:tc>
        <w:tc>
          <w:tcPr>
            <w:tcW w:w="1007" w:type="dxa"/>
            <w:tcBorders>
              <w:right w:val="single" w:color="000000" w:sz="10" w:space="0"/>
            </w:tcBorders>
            <w:vAlign w:val="top"/>
          </w:tcPr>
          <w:p w14:paraId="12CD308F">
            <w:pPr>
              <w:spacing w:before="64" w:line="199"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547F72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739" w:type="dxa"/>
            <w:tcBorders>
              <w:left w:val="single" w:color="000000" w:sz="10" w:space="0"/>
            </w:tcBorders>
            <w:vAlign w:val="top"/>
          </w:tcPr>
          <w:p w14:paraId="6AF1A656">
            <w:pPr>
              <w:spacing w:before="74" w:line="195" w:lineRule="auto"/>
              <w:ind w:left="25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198" w:type="dxa"/>
            <w:vAlign w:val="top"/>
          </w:tcPr>
          <w:p w14:paraId="249F6C53">
            <w:pPr>
              <w:pStyle w:val="6"/>
              <w:spacing w:before="38" w:line="205" w:lineRule="auto"/>
              <w:ind w:left="48"/>
              <w:rPr>
                <w:sz w:val="20"/>
                <w:szCs w:val="20"/>
              </w:rPr>
            </w:pPr>
            <w:r>
              <w:rPr>
                <w:spacing w:val="8"/>
                <w:sz w:val="20"/>
                <w:szCs w:val="20"/>
              </w:rPr>
              <w:t>小南海市级自然保护区</w:t>
            </w:r>
          </w:p>
        </w:tc>
        <w:tc>
          <w:tcPr>
            <w:tcW w:w="1540" w:type="dxa"/>
            <w:vAlign w:val="top"/>
          </w:tcPr>
          <w:p w14:paraId="3CBF07C1">
            <w:pPr>
              <w:spacing w:before="75" w:line="194" w:lineRule="auto"/>
              <w:ind w:left="1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2022.10.17-10.19</w:t>
            </w:r>
          </w:p>
        </w:tc>
        <w:tc>
          <w:tcPr>
            <w:tcW w:w="1167" w:type="dxa"/>
            <w:vAlign w:val="top"/>
          </w:tcPr>
          <w:p w14:paraId="199B2285">
            <w:pPr>
              <w:spacing w:before="71" w:line="198" w:lineRule="auto"/>
              <w:ind w:left="5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55" w:type="dxa"/>
            <w:vAlign w:val="top"/>
          </w:tcPr>
          <w:p w14:paraId="04C64D34">
            <w:pPr>
              <w:spacing w:before="71" w:line="198" w:lineRule="auto"/>
              <w:ind w:left="5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3" w:type="dxa"/>
            <w:vAlign w:val="top"/>
          </w:tcPr>
          <w:p w14:paraId="363A2338">
            <w:pPr>
              <w:spacing w:before="71" w:line="198"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07" w:type="dxa"/>
            <w:tcBorders>
              <w:right w:val="single" w:color="000000" w:sz="10" w:space="0"/>
            </w:tcBorders>
            <w:vAlign w:val="top"/>
          </w:tcPr>
          <w:p w14:paraId="292E1180">
            <w:pPr>
              <w:spacing w:before="75" w:line="194"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100-115</w:t>
            </w:r>
          </w:p>
        </w:tc>
      </w:tr>
      <w:tr w14:paraId="230B1B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9" w:hRule="atLeast"/>
        </w:trPr>
        <w:tc>
          <w:tcPr>
            <w:tcW w:w="4477" w:type="dxa"/>
            <w:gridSpan w:val="3"/>
            <w:tcBorders>
              <w:left w:val="single" w:color="000000" w:sz="10" w:space="0"/>
              <w:bottom w:val="single" w:color="000000" w:sz="10" w:space="0"/>
            </w:tcBorders>
            <w:vAlign w:val="top"/>
          </w:tcPr>
          <w:p w14:paraId="513FE94A">
            <w:pPr>
              <w:pStyle w:val="6"/>
              <w:spacing w:before="45" w:line="216" w:lineRule="auto"/>
              <w:ind w:left="1923"/>
              <w:rPr>
                <w:sz w:val="20"/>
                <w:szCs w:val="20"/>
              </w:rPr>
            </w:pPr>
            <w:r>
              <w:rPr>
                <w:spacing w:val="5"/>
                <w:sz w:val="20"/>
                <w:szCs w:val="20"/>
              </w:rPr>
              <w:t>标准值</w:t>
            </w:r>
          </w:p>
        </w:tc>
        <w:tc>
          <w:tcPr>
            <w:tcW w:w="1167" w:type="dxa"/>
            <w:tcBorders>
              <w:bottom w:val="single" w:color="000000" w:sz="10" w:space="0"/>
            </w:tcBorders>
            <w:vAlign w:val="top"/>
          </w:tcPr>
          <w:p w14:paraId="778EA8AE">
            <w:pPr>
              <w:spacing w:before="81" w:line="195"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1255" w:type="dxa"/>
            <w:tcBorders>
              <w:bottom w:val="single" w:color="000000" w:sz="10" w:space="0"/>
            </w:tcBorders>
            <w:vAlign w:val="top"/>
          </w:tcPr>
          <w:p w14:paraId="783C4A3B">
            <w:pPr>
              <w:spacing w:before="81" w:line="195" w:lineRule="auto"/>
              <w:ind w:left="529"/>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993" w:type="dxa"/>
            <w:tcBorders>
              <w:bottom w:val="single" w:color="000000" w:sz="10" w:space="0"/>
            </w:tcBorders>
            <w:vAlign w:val="top"/>
          </w:tcPr>
          <w:p w14:paraId="6395F9C5">
            <w:pPr>
              <w:spacing w:before="81" w:line="195" w:lineRule="auto"/>
              <w:ind w:left="401"/>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1007" w:type="dxa"/>
            <w:tcBorders>
              <w:bottom w:val="single" w:color="000000" w:sz="10" w:space="0"/>
              <w:right w:val="single" w:color="000000" w:sz="10" w:space="0"/>
            </w:tcBorders>
            <w:vAlign w:val="top"/>
          </w:tcPr>
          <w:p w14:paraId="44EC0F0D">
            <w:pPr>
              <w:spacing w:before="81" w:line="195" w:lineRule="auto"/>
              <w:ind w:left="3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120</w:t>
            </w:r>
          </w:p>
        </w:tc>
      </w:tr>
    </w:tbl>
    <w:p w14:paraId="6C3BCDA8">
      <w:pPr>
        <w:spacing w:before="145" w:line="341" w:lineRule="auto"/>
        <w:ind w:left="141" w:right="6" w:firstLine="549"/>
        <w:rPr>
          <w:rFonts w:ascii="仿宋" w:hAnsi="仿宋" w:eastAsia="仿宋" w:cs="仿宋"/>
          <w:sz w:val="25"/>
          <w:szCs w:val="25"/>
        </w:rPr>
      </w:pPr>
      <w:r>
        <w:rPr>
          <w:rFonts w:ascii="仿宋" w:hAnsi="仿宋" w:eastAsia="仿宋" w:cs="仿宋"/>
          <w:spacing w:val="4"/>
          <w:sz w:val="25"/>
          <w:szCs w:val="25"/>
        </w:rPr>
        <w:t xml:space="preserve">由上表可知，黔江区各风景名胜区的监测数据能满足《环境空气质量标准》 </w:t>
      </w:r>
      <w:r>
        <w:rPr>
          <w:rFonts w:ascii="仿宋" w:hAnsi="仿宋" w:eastAsia="仿宋" w:cs="仿宋"/>
          <w:spacing w:val="5"/>
          <w:sz w:val="25"/>
          <w:szCs w:val="25"/>
        </w:rPr>
        <w:t>（</w:t>
      </w:r>
      <w:r>
        <w:rPr>
          <w:rFonts w:ascii="Times New Roman" w:hAnsi="Times New Roman" w:eastAsia="Times New Roman" w:cs="Times New Roman"/>
          <w:sz w:val="25"/>
          <w:szCs w:val="25"/>
        </w:rPr>
        <w:t>GB</w:t>
      </w:r>
      <w:r>
        <w:rPr>
          <w:rFonts w:ascii="Times New Roman" w:hAnsi="Times New Roman" w:eastAsia="Times New Roman" w:cs="Times New Roman"/>
          <w:spacing w:val="5"/>
          <w:sz w:val="25"/>
          <w:szCs w:val="25"/>
        </w:rPr>
        <w:t>3095-2012</w:t>
      </w:r>
      <w:r>
        <w:rPr>
          <w:rFonts w:ascii="仿宋" w:hAnsi="仿宋" w:eastAsia="仿宋" w:cs="仿宋"/>
          <w:spacing w:val="5"/>
          <w:sz w:val="25"/>
          <w:szCs w:val="25"/>
        </w:rPr>
        <w:t>）一级标准。</w:t>
      </w:r>
    </w:p>
    <w:p w14:paraId="7B69070D">
      <w:pPr>
        <w:spacing w:before="118" w:line="229" w:lineRule="auto"/>
        <w:ind w:left="123"/>
        <w:outlineLvl w:val="3"/>
        <w:rPr>
          <w:rFonts w:ascii="仿宋" w:hAnsi="仿宋" w:eastAsia="仿宋" w:cs="仿宋"/>
          <w:sz w:val="25"/>
          <w:szCs w:val="25"/>
        </w:rPr>
      </w:pPr>
      <w:r>
        <w:rPr>
          <w:rFonts w:ascii="Times New Roman" w:hAnsi="Times New Roman" w:eastAsia="Times New Roman" w:cs="Times New Roman"/>
          <w:b/>
          <w:bCs/>
          <w:spacing w:val="4"/>
          <w:sz w:val="25"/>
          <w:szCs w:val="25"/>
        </w:rPr>
        <w:t>3.1.4.2</w:t>
      </w:r>
      <w:r>
        <w:rPr>
          <w:rFonts w:ascii="Times New Roman" w:hAnsi="Times New Roman" w:eastAsia="Times New Roman" w:cs="Times New Roman"/>
          <w:b/>
          <w:bCs/>
          <w:spacing w:val="34"/>
          <w:sz w:val="25"/>
          <w:szCs w:val="25"/>
        </w:rPr>
        <w:t xml:space="preserve"> </w:t>
      </w:r>
      <w:r>
        <w:rPr>
          <w:rFonts w:ascii="仿宋" w:hAnsi="仿宋" w:eastAsia="仿宋" w:cs="仿宋"/>
          <w:b/>
          <w:bCs/>
          <w:spacing w:val="4"/>
          <w:sz w:val="25"/>
          <w:szCs w:val="25"/>
        </w:rPr>
        <w:t>地表水环境质量现状</w:t>
      </w:r>
    </w:p>
    <w:p w14:paraId="3010053B">
      <w:pPr>
        <w:spacing w:before="267" w:line="340" w:lineRule="auto"/>
        <w:ind w:left="137" w:right="121" w:firstLine="518"/>
        <w:jc w:val="both"/>
        <w:rPr>
          <w:rFonts w:ascii="仿宋" w:hAnsi="仿宋" w:eastAsia="仿宋" w:cs="仿宋"/>
          <w:sz w:val="25"/>
          <w:szCs w:val="25"/>
        </w:rPr>
      </w:pPr>
      <w:r>
        <w:rPr>
          <w:rFonts w:ascii="仿宋" w:hAnsi="仿宋" w:eastAsia="仿宋" w:cs="仿宋"/>
          <w:spacing w:val="9"/>
          <w:sz w:val="25"/>
          <w:szCs w:val="25"/>
        </w:rPr>
        <w:t>规划调整区块涉及河流主要为中井河、段溪河、后灶河、阿蓬江，本次评</w:t>
      </w:r>
      <w:r>
        <w:rPr>
          <w:rFonts w:ascii="仿宋" w:hAnsi="仿宋" w:eastAsia="仿宋" w:cs="仿宋"/>
          <w:spacing w:val="17"/>
          <w:sz w:val="25"/>
          <w:szCs w:val="25"/>
        </w:rPr>
        <w:t xml:space="preserve"> </w:t>
      </w:r>
      <w:r>
        <w:rPr>
          <w:rFonts w:ascii="仿宋" w:hAnsi="仿宋" w:eastAsia="仿宋" w:cs="仿宋"/>
          <w:spacing w:val="7"/>
          <w:sz w:val="25"/>
          <w:szCs w:val="25"/>
        </w:rPr>
        <w:t>价主要引用《黔江区环境质量报告书（</w:t>
      </w:r>
      <w:r>
        <w:rPr>
          <w:rFonts w:ascii="Times New Roman" w:hAnsi="Times New Roman" w:eastAsia="Times New Roman" w:cs="Times New Roman"/>
          <w:spacing w:val="7"/>
          <w:sz w:val="25"/>
          <w:szCs w:val="25"/>
        </w:rPr>
        <w:t>2020~202</w:t>
      </w:r>
      <w:r>
        <w:rPr>
          <w:rFonts w:ascii="Times New Roman" w:hAnsi="Times New Roman" w:eastAsia="Times New Roman" w:cs="Times New Roman"/>
          <w:spacing w:val="6"/>
          <w:sz w:val="25"/>
          <w:szCs w:val="25"/>
        </w:rPr>
        <w:t>3</w:t>
      </w:r>
      <w:r>
        <w:rPr>
          <w:rFonts w:ascii="Times New Roman" w:hAnsi="Times New Roman" w:eastAsia="Times New Roman" w:cs="Times New Roman"/>
          <w:spacing w:val="24"/>
          <w:w w:val="101"/>
          <w:sz w:val="25"/>
          <w:szCs w:val="25"/>
        </w:rPr>
        <w:t xml:space="preserve"> </w:t>
      </w:r>
      <w:r>
        <w:rPr>
          <w:rFonts w:ascii="仿宋" w:hAnsi="仿宋" w:eastAsia="仿宋" w:cs="仿宋"/>
          <w:spacing w:val="6"/>
          <w:sz w:val="25"/>
          <w:szCs w:val="25"/>
        </w:rPr>
        <w:t>年）》及《</w:t>
      </w:r>
      <w:r>
        <w:rPr>
          <w:rFonts w:ascii="Times New Roman" w:hAnsi="Times New Roman" w:eastAsia="Times New Roman" w:cs="Times New Roman"/>
          <w:spacing w:val="6"/>
          <w:sz w:val="25"/>
          <w:szCs w:val="25"/>
        </w:rPr>
        <w:t>2024</w:t>
      </w:r>
      <w:r>
        <w:rPr>
          <w:rFonts w:ascii="Times New Roman" w:hAnsi="Times New Roman" w:eastAsia="Times New Roman" w:cs="Times New Roman"/>
          <w:spacing w:val="24"/>
          <w:w w:val="101"/>
          <w:sz w:val="25"/>
          <w:szCs w:val="25"/>
        </w:rPr>
        <w:t xml:space="preserve"> </w:t>
      </w:r>
      <w:r>
        <w:rPr>
          <w:rFonts w:ascii="仿宋" w:hAnsi="仿宋" w:eastAsia="仿宋" w:cs="仿宋"/>
          <w:spacing w:val="6"/>
          <w:sz w:val="25"/>
          <w:szCs w:val="25"/>
        </w:rPr>
        <w:t>年黔江区环</w:t>
      </w:r>
      <w:r>
        <w:rPr>
          <w:rFonts w:ascii="仿宋" w:hAnsi="仿宋" w:eastAsia="仿宋" w:cs="仿宋"/>
          <w:sz w:val="25"/>
          <w:szCs w:val="25"/>
        </w:rPr>
        <w:t xml:space="preserve"> </w:t>
      </w:r>
      <w:r>
        <w:rPr>
          <w:rFonts w:ascii="仿宋" w:hAnsi="仿宋" w:eastAsia="仿宋" w:cs="仿宋"/>
          <w:spacing w:val="4"/>
          <w:sz w:val="25"/>
          <w:szCs w:val="25"/>
        </w:rPr>
        <w:t>境质量简报》。</w:t>
      </w:r>
    </w:p>
    <w:p w14:paraId="0D334B9E">
      <w:pPr>
        <w:spacing w:before="1" w:line="227" w:lineRule="auto"/>
        <w:ind w:left="662"/>
        <w:rPr>
          <w:rFonts w:ascii="仿宋" w:hAnsi="仿宋" w:eastAsia="仿宋" w:cs="仿宋"/>
          <w:sz w:val="25"/>
          <w:szCs w:val="25"/>
        </w:rPr>
      </w:pPr>
      <w:r>
        <w:rPr>
          <w:rFonts w:ascii="仿宋" w:hAnsi="仿宋" w:eastAsia="仿宋" w:cs="仿宋"/>
          <w:spacing w:val="8"/>
          <w:sz w:val="25"/>
          <w:szCs w:val="25"/>
        </w:rPr>
        <w:t>（</w:t>
      </w:r>
      <w:r>
        <w:rPr>
          <w:rFonts w:ascii="Times New Roman" w:hAnsi="Times New Roman" w:eastAsia="Times New Roman" w:cs="Times New Roman"/>
          <w:spacing w:val="8"/>
          <w:sz w:val="25"/>
          <w:szCs w:val="25"/>
        </w:rPr>
        <w:t>1</w:t>
      </w:r>
      <w:r>
        <w:rPr>
          <w:rFonts w:ascii="仿宋" w:hAnsi="仿宋" w:eastAsia="仿宋" w:cs="仿宋"/>
          <w:spacing w:val="8"/>
          <w:sz w:val="25"/>
          <w:szCs w:val="25"/>
        </w:rPr>
        <w:t>）地表水控制断面及环境质量状况分析</w:t>
      </w:r>
    </w:p>
    <w:p w14:paraId="39A841D9">
      <w:pPr>
        <w:spacing w:before="153" w:line="229" w:lineRule="auto"/>
        <w:ind w:left="691"/>
        <w:rPr>
          <w:rFonts w:ascii="仿宋" w:hAnsi="仿宋" w:eastAsia="仿宋" w:cs="仿宋"/>
          <w:sz w:val="25"/>
          <w:szCs w:val="25"/>
        </w:rPr>
      </w:pPr>
      <w:r>
        <w:rPr>
          <w:rFonts w:ascii="仿宋" w:hAnsi="仿宋" w:eastAsia="仿宋" w:cs="仿宋"/>
          <w:spacing w:val="4"/>
          <w:sz w:val="25"/>
          <w:szCs w:val="25"/>
        </w:rPr>
        <w:t>中井河水质综合评价结果见表</w:t>
      </w:r>
      <w:r>
        <w:rPr>
          <w:rFonts w:ascii="仿宋" w:hAnsi="仿宋" w:eastAsia="仿宋" w:cs="仿宋"/>
          <w:spacing w:val="-37"/>
          <w:sz w:val="25"/>
          <w:szCs w:val="25"/>
        </w:rPr>
        <w:t xml:space="preserve"> </w:t>
      </w:r>
      <w:r>
        <w:rPr>
          <w:rFonts w:ascii="Times New Roman" w:hAnsi="Times New Roman" w:eastAsia="Times New Roman" w:cs="Times New Roman"/>
          <w:spacing w:val="4"/>
          <w:sz w:val="25"/>
          <w:szCs w:val="25"/>
        </w:rPr>
        <w:t>3.1-10</w:t>
      </w:r>
      <w:r>
        <w:rPr>
          <w:rFonts w:ascii="仿宋" w:hAnsi="仿宋" w:eastAsia="仿宋" w:cs="仿宋"/>
          <w:spacing w:val="4"/>
          <w:sz w:val="25"/>
          <w:szCs w:val="25"/>
        </w:rPr>
        <w:t>。</w:t>
      </w:r>
    </w:p>
    <w:p w14:paraId="7F76093A">
      <w:pPr>
        <w:spacing w:before="193" w:line="231" w:lineRule="auto"/>
        <w:ind w:left="2153"/>
        <w:rPr>
          <w:rFonts w:ascii="仿宋" w:hAnsi="仿宋" w:eastAsia="仿宋" w:cs="仿宋"/>
          <w:sz w:val="20"/>
          <w:szCs w:val="20"/>
        </w:rPr>
      </w:pPr>
      <w:r>
        <w:rPr>
          <w:rFonts w:ascii="仿宋" w:hAnsi="仿宋" w:eastAsia="仿宋" w:cs="仿宋"/>
          <w:b/>
          <w:bCs/>
          <w:spacing w:val="6"/>
          <w:sz w:val="20"/>
          <w:szCs w:val="20"/>
        </w:rPr>
        <w:t>表</w:t>
      </w:r>
      <w:r>
        <w:rPr>
          <w:rFonts w:ascii="仿宋" w:hAnsi="仿宋" w:eastAsia="仿宋" w:cs="仿宋"/>
          <w:spacing w:val="-40"/>
          <w:sz w:val="20"/>
          <w:szCs w:val="20"/>
        </w:rPr>
        <w:t xml:space="preserve"> </w:t>
      </w:r>
      <w:r>
        <w:rPr>
          <w:rFonts w:ascii="Times New Roman" w:hAnsi="Times New Roman" w:eastAsia="Times New Roman" w:cs="Times New Roman"/>
          <w:b/>
          <w:bCs/>
          <w:spacing w:val="6"/>
          <w:sz w:val="20"/>
          <w:szCs w:val="20"/>
        </w:rPr>
        <w:t xml:space="preserve">3.1-10    </w:t>
      </w:r>
      <w:r>
        <w:rPr>
          <w:rFonts w:ascii="仿宋" w:hAnsi="仿宋" w:eastAsia="仿宋" w:cs="仿宋"/>
          <w:b/>
          <w:bCs/>
          <w:spacing w:val="6"/>
          <w:sz w:val="20"/>
          <w:szCs w:val="20"/>
        </w:rPr>
        <w:t>黔江区部分河流水质综合评价结果一览表</w:t>
      </w:r>
    </w:p>
    <w:p w14:paraId="1742AFF6">
      <w:pPr>
        <w:spacing w:line="21" w:lineRule="exact"/>
      </w:pPr>
    </w:p>
    <w:tbl>
      <w:tblPr>
        <w:tblStyle w:val="5"/>
        <w:tblW w:w="9059"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8"/>
        <w:gridCol w:w="1313"/>
        <w:gridCol w:w="1044"/>
        <w:gridCol w:w="1135"/>
        <w:gridCol w:w="1133"/>
        <w:gridCol w:w="1061"/>
        <w:gridCol w:w="1148"/>
        <w:gridCol w:w="937"/>
      </w:tblGrid>
      <w:tr w14:paraId="68DF6A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2601" w:type="dxa"/>
            <w:gridSpan w:val="2"/>
            <w:tcBorders>
              <w:top w:val="single" w:color="000000" w:sz="10" w:space="0"/>
              <w:left w:val="single" w:color="000000" w:sz="10" w:space="0"/>
            </w:tcBorders>
            <w:vAlign w:val="top"/>
          </w:tcPr>
          <w:p w14:paraId="7E224E93">
            <w:pPr>
              <w:pStyle w:val="6"/>
              <w:spacing w:before="112" w:line="226" w:lineRule="auto"/>
              <w:ind w:left="1094"/>
              <w:rPr>
                <w:sz w:val="20"/>
                <w:szCs w:val="20"/>
              </w:rPr>
            </w:pPr>
            <w:r>
              <w:rPr>
                <w:spacing w:val="-1"/>
                <w:sz w:val="20"/>
                <w:szCs w:val="20"/>
              </w:rPr>
              <w:t>年度</w:t>
            </w:r>
          </w:p>
        </w:tc>
        <w:tc>
          <w:tcPr>
            <w:tcW w:w="1044" w:type="dxa"/>
            <w:vMerge w:val="restart"/>
            <w:tcBorders>
              <w:top w:val="single" w:color="000000" w:sz="10" w:space="0"/>
              <w:bottom w:val="nil"/>
            </w:tcBorders>
            <w:vAlign w:val="top"/>
          </w:tcPr>
          <w:p w14:paraId="5E5BF6F8">
            <w:pPr>
              <w:pStyle w:val="6"/>
              <w:spacing w:before="299" w:line="231" w:lineRule="auto"/>
              <w:ind w:left="176"/>
              <w:rPr>
                <w:sz w:val="20"/>
                <w:szCs w:val="20"/>
              </w:rPr>
            </w:pPr>
            <w:r>
              <w:rPr>
                <w:rFonts w:ascii="Times New Roman" w:hAnsi="Times New Roman" w:eastAsia="Times New Roman" w:cs="Times New Roman"/>
                <w:spacing w:val="2"/>
                <w:sz w:val="20"/>
                <w:szCs w:val="20"/>
              </w:rPr>
              <w:t>2020</w:t>
            </w:r>
            <w:r>
              <w:rPr>
                <w:rFonts w:ascii="Times New Roman" w:hAnsi="Times New Roman" w:eastAsia="Times New Roman" w:cs="Times New Roman"/>
                <w:spacing w:val="22"/>
                <w:w w:val="101"/>
                <w:sz w:val="20"/>
                <w:szCs w:val="20"/>
              </w:rPr>
              <w:t xml:space="preserve"> </w:t>
            </w:r>
            <w:r>
              <w:rPr>
                <w:spacing w:val="2"/>
                <w:sz w:val="20"/>
                <w:szCs w:val="20"/>
              </w:rPr>
              <w:t>年</w:t>
            </w:r>
          </w:p>
        </w:tc>
        <w:tc>
          <w:tcPr>
            <w:tcW w:w="1135" w:type="dxa"/>
            <w:vMerge w:val="restart"/>
            <w:tcBorders>
              <w:top w:val="single" w:color="000000" w:sz="10" w:space="0"/>
              <w:bottom w:val="nil"/>
            </w:tcBorders>
            <w:vAlign w:val="top"/>
          </w:tcPr>
          <w:p w14:paraId="0E1CBA80">
            <w:pPr>
              <w:pStyle w:val="6"/>
              <w:spacing w:before="299" w:line="231" w:lineRule="auto"/>
              <w:ind w:left="224"/>
              <w:rPr>
                <w:sz w:val="20"/>
                <w:szCs w:val="20"/>
              </w:rPr>
            </w:pPr>
            <w:r>
              <w:rPr>
                <w:rFonts w:ascii="Times New Roman" w:hAnsi="Times New Roman" w:eastAsia="Times New Roman" w:cs="Times New Roman"/>
                <w:spacing w:val="2"/>
                <w:sz w:val="20"/>
                <w:szCs w:val="20"/>
              </w:rPr>
              <w:t>2021</w:t>
            </w:r>
            <w:r>
              <w:rPr>
                <w:rFonts w:ascii="Times New Roman" w:hAnsi="Times New Roman" w:eastAsia="Times New Roman" w:cs="Times New Roman"/>
                <w:spacing w:val="22"/>
                <w:w w:val="101"/>
                <w:sz w:val="20"/>
                <w:szCs w:val="20"/>
              </w:rPr>
              <w:t xml:space="preserve"> </w:t>
            </w:r>
            <w:r>
              <w:rPr>
                <w:spacing w:val="2"/>
                <w:sz w:val="20"/>
                <w:szCs w:val="20"/>
              </w:rPr>
              <w:t>年</w:t>
            </w:r>
          </w:p>
        </w:tc>
        <w:tc>
          <w:tcPr>
            <w:tcW w:w="1133" w:type="dxa"/>
            <w:vMerge w:val="restart"/>
            <w:tcBorders>
              <w:top w:val="single" w:color="000000" w:sz="10" w:space="0"/>
              <w:bottom w:val="nil"/>
            </w:tcBorders>
            <w:vAlign w:val="top"/>
          </w:tcPr>
          <w:p w14:paraId="1BACDD35">
            <w:pPr>
              <w:pStyle w:val="6"/>
              <w:spacing w:before="299" w:line="231" w:lineRule="auto"/>
              <w:ind w:left="225"/>
              <w:rPr>
                <w:sz w:val="20"/>
                <w:szCs w:val="20"/>
              </w:rPr>
            </w:pPr>
            <w:r>
              <w:rPr>
                <w:rFonts w:ascii="Times New Roman" w:hAnsi="Times New Roman" w:eastAsia="Times New Roman" w:cs="Times New Roman"/>
                <w:spacing w:val="3"/>
                <w:sz w:val="20"/>
                <w:szCs w:val="20"/>
              </w:rPr>
              <w:t>2022</w:t>
            </w:r>
            <w:r>
              <w:rPr>
                <w:rFonts w:ascii="Times New Roman" w:hAnsi="Times New Roman" w:eastAsia="Times New Roman" w:cs="Times New Roman"/>
                <w:spacing w:val="20"/>
                <w:sz w:val="20"/>
                <w:szCs w:val="20"/>
              </w:rPr>
              <w:t xml:space="preserve"> </w:t>
            </w:r>
            <w:r>
              <w:rPr>
                <w:spacing w:val="3"/>
                <w:sz w:val="20"/>
                <w:szCs w:val="20"/>
              </w:rPr>
              <w:t>年</w:t>
            </w:r>
          </w:p>
        </w:tc>
        <w:tc>
          <w:tcPr>
            <w:tcW w:w="1061" w:type="dxa"/>
            <w:vMerge w:val="restart"/>
            <w:tcBorders>
              <w:top w:val="single" w:color="000000" w:sz="10" w:space="0"/>
              <w:bottom w:val="nil"/>
            </w:tcBorders>
            <w:vAlign w:val="top"/>
          </w:tcPr>
          <w:p w14:paraId="5F717CED">
            <w:pPr>
              <w:pStyle w:val="6"/>
              <w:spacing w:before="299" w:line="231" w:lineRule="auto"/>
              <w:ind w:left="193"/>
              <w:rPr>
                <w:sz w:val="20"/>
                <w:szCs w:val="20"/>
              </w:rPr>
            </w:pPr>
            <w:r>
              <w:rPr>
                <w:rFonts w:ascii="Times New Roman" w:hAnsi="Times New Roman" w:eastAsia="Times New Roman" w:cs="Times New Roman"/>
                <w:spacing w:val="2"/>
                <w:sz w:val="20"/>
                <w:szCs w:val="20"/>
              </w:rPr>
              <w:t>2023</w:t>
            </w:r>
            <w:r>
              <w:rPr>
                <w:rFonts w:ascii="Times New Roman" w:hAnsi="Times New Roman" w:eastAsia="Times New Roman" w:cs="Times New Roman"/>
                <w:spacing w:val="22"/>
                <w:w w:val="101"/>
                <w:sz w:val="20"/>
                <w:szCs w:val="20"/>
              </w:rPr>
              <w:t xml:space="preserve"> </w:t>
            </w:r>
            <w:r>
              <w:rPr>
                <w:spacing w:val="2"/>
                <w:sz w:val="20"/>
                <w:szCs w:val="20"/>
              </w:rPr>
              <w:t>年</w:t>
            </w:r>
          </w:p>
        </w:tc>
        <w:tc>
          <w:tcPr>
            <w:tcW w:w="1148" w:type="dxa"/>
            <w:vMerge w:val="restart"/>
            <w:tcBorders>
              <w:top w:val="single" w:color="000000" w:sz="10" w:space="0"/>
              <w:bottom w:val="nil"/>
            </w:tcBorders>
            <w:vAlign w:val="top"/>
          </w:tcPr>
          <w:p w14:paraId="12417190">
            <w:pPr>
              <w:pStyle w:val="6"/>
              <w:spacing w:before="299" w:line="231" w:lineRule="auto"/>
              <w:ind w:left="239"/>
              <w:rPr>
                <w:sz w:val="20"/>
                <w:szCs w:val="20"/>
              </w:rPr>
            </w:pPr>
            <w:r>
              <w:rPr>
                <w:rFonts w:ascii="Times New Roman" w:hAnsi="Times New Roman" w:eastAsia="Times New Roman" w:cs="Times New Roman"/>
                <w:spacing w:val="3"/>
                <w:sz w:val="20"/>
                <w:szCs w:val="20"/>
              </w:rPr>
              <w:t>2024</w:t>
            </w:r>
            <w:r>
              <w:rPr>
                <w:rFonts w:ascii="Times New Roman" w:hAnsi="Times New Roman" w:eastAsia="Times New Roman" w:cs="Times New Roman"/>
                <w:spacing w:val="20"/>
                <w:sz w:val="20"/>
                <w:szCs w:val="20"/>
              </w:rPr>
              <w:t xml:space="preserve"> </w:t>
            </w:r>
            <w:r>
              <w:rPr>
                <w:spacing w:val="3"/>
                <w:sz w:val="20"/>
                <w:szCs w:val="20"/>
              </w:rPr>
              <w:t>年</w:t>
            </w:r>
          </w:p>
        </w:tc>
        <w:tc>
          <w:tcPr>
            <w:tcW w:w="937" w:type="dxa"/>
            <w:vMerge w:val="restart"/>
            <w:tcBorders>
              <w:top w:val="single" w:color="000000" w:sz="10" w:space="0"/>
              <w:bottom w:val="nil"/>
              <w:right w:val="single" w:color="000000" w:sz="10" w:space="0"/>
            </w:tcBorders>
            <w:vAlign w:val="top"/>
          </w:tcPr>
          <w:p w14:paraId="7A3E4472">
            <w:pPr>
              <w:pStyle w:val="6"/>
              <w:spacing w:before="118" w:line="232" w:lineRule="auto"/>
              <w:ind w:left="271"/>
              <w:rPr>
                <w:sz w:val="20"/>
                <w:szCs w:val="20"/>
              </w:rPr>
            </w:pPr>
            <w:r>
              <w:rPr>
                <w:spacing w:val="2"/>
                <w:sz w:val="20"/>
                <w:szCs w:val="20"/>
              </w:rPr>
              <w:t>水域</w:t>
            </w:r>
          </w:p>
          <w:p w14:paraId="49B62F20">
            <w:pPr>
              <w:pStyle w:val="6"/>
              <w:spacing w:before="109" w:line="229" w:lineRule="auto"/>
              <w:ind w:left="275"/>
              <w:rPr>
                <w:sz w:val="20"/>
                <w:szCs w:val="20"/>
              </w:rPr>
            </w:pPr>
            <w:r>
              <w:rPr>
                <w:spacing w:val="-1"/>
                <w:sz w:val="20"/>
                <w:szCs w:val="20"/>
              </w:rPr>
              <w:t>功能</w:t>
            </w:r>
          </w:p>
        </w:tc>
      </w:tr>
      <w:tr w14:paraId="1089C1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trPr>
        <w:tc>
          <w:tcPr>
            <w:tcW w:w="1288" w:type="dxa"/>
            <w:tcBorders>
              <w:left w:val="single" w:color="000000" w:sz="10" w:space="0"/>
            </w:tcBorders>
            <w:vAlign w:val="top"/>
          </w:tcPr>
          <w:p w14:paraId="6E3D6617">
            <w:pPr>
              <w:pStyle w:val="6"/>
              <w:spacing w:before="111" w:line="221" w:lineRule="auto"/>
              <w:ind w:left="227"/>
              <w:rPr>
                <w:sz w:val="20"/>
                <w:szCs w:val="20"/>
              </w:rPr>
            </w:pPr>
            <w:r>
              <w:rPr>
                <w:spacing w:val="4"/>
                <w:sz w:val="20"/>
                <w:szCs w:val="20"/>
              </w:rPr>
              <w:t>河流名称</w:t>
            </w:r>
          </w:p>
        </w:tc>
        <w:tc>
          <w:tcPr>
            <w:tcW w:w="1313" w:type="dxa"/>
            <w:vAlign w:val="top"/>
          </w:tcPr>
          <w:p w14:paraId="5D82BB1E">
            <w:pPr>
              <w:pStyle w:val="6"/>
              <w:spacing w:before="111" w:line="221" w:lineRule="auto"/>
              <w:ind w:left="244"/>
              <w:rPr>
                <w:sz w:val="20"/>
                <w:szCs w:val="20"/>
              </w:rPr>
            </w:pPr>
            <w:r>
              <w:rPr>
                <w:spacing w:val="4"/>
                <w:sz w:val="20"/>
                <w:szCs w:val="20"/>
              </w:rPr>
              <w:t>断面名称</w:t>
            </w:r>
          </w:p>
        </w:tc>
        <w:tc>
          <w:tcPr>
            <w:tcW w:w="1044" w:type="dxa"/>
            <w:vMerge w:val="continue"/>
            <w:tcBorders>
              <w:top w:val="nil"/>
            </w:tcBorders>
            <w:vAlign w:val="top"/>
          </w:tcPr>
          <w:p w14:paraId="2DEA15BB">
            <w:pPr>
              <w:rPr>
                <w:rFonts w:ascii="Arial"/>
                <w:sz w:val="21"/>
              </w:rPr>
            </w:pPr>
          </w:p>
        </w:tc>
        <w:tc>
          <w:tcPr>
            <w:tcW w:w="1135" w:type="dxa"/>
            <w:vMerge w:val="continue"/>
            <w:tcBorders>
              <w:top w:val="nil"/>
            </w:tcBorders>
            <w:vAlign w:val="top"/>
          </w:tcPr>
          <w:p w14:paraId="79AD555B">
            <w:pPr>
              <w:rPr>
                <w:rFonts w:ascii="Arial"/>
                <w:sz w:val="21"/>
              </w:rPr>
            </w:pPr>
          </w:p>
        </w:tc>
        <w:tc>
          <w:tcPr>
            <w:tcW w:w="1133" w:type="dxa"/>
            <w:vMerge w:val="continue"/>
            <w:tcBorders>
              <w:top w:val="nil"/>
            </w:tcBorders>
            <w:vAlign w:val="top"/>
          </w:tcPr>
          <w:p w14:paraId="0632BA06">
            <w:pPr>
              <w:rPr>
                <w:rFonts w:ascii="Arial"/>
                <w:sz w:val="21"/>
              </w:rPr>
            </w:pPr>
          </w:p>
        </w:tc>
        <w:tc>
          <w:tcPr>
            <w:tcW w:w="1061" w:type="dxa"/>
            <w:vMerge w:val="continue"/>
            <w:tcBorders>
              <w:top w:val="nil"/>
            </w:tcBorders>
            <w:vAlign w:val="top"/>
          </w:tcPr>
          <w:p w14:paraId="05E7793C">
            <w:pPr>
              <w:rPr>
                <w:rFonts w:ascii="Arial"/>
                <w:sz w:val="21"/>
              </w:rPr>
            </w:pPr>
          </w:p>
        </w:tc>
        <w:tc>
          <w:tcPr>
            <w:tcW w:w="1148" w:type="dxa"/>
            <w:vMerge w:val="continue"/>
            <w:tcBorders>
              <w:top w:val="nil"/>
            </w:tcBorders>
            <w:vAlign w:val="top"/>
          </w:tcPr>
          <w:p w14:paraId="1C35534E">
            <w:pPr>
              <w:rPr>
                <w:rFonts w:ascii="Arial"/>
                <w:sz w:val="21"/>
              </w:rPr>
            </w:pPr>
          </w:p>
        </w:tc>
        <w:tc>
          <w:tcPr>
            <w:tcW w:w="937" w:type="dxa"/>
            <w:vMerge w:val="continue"/>
            <w:tcBorders>
              <w:top w:val="nil"/>
              <w:right w:val="single" w:color="000000" w:sz="10" w:space="0"/>
            </w:tcBorders>
            <w:vAlign w:val="top"/>
          </w:tcPr>
          <w:p w14:paraId="1805C4E9">
            <w:pPr>
              <w:rPr>
                <w:rFonts w:ascii="Arial"/>
                <w:sz w:val="21"/>
              </w:rPr>
            </w:pPr>
          </w:p>
        </w:tc>
      </w:tr>
      <w:tr w14:paraId="5A992C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1288" w:type="dxa"/>
            <w:tcBorders>
              <w:left w:val="single" w:color="000000" w:sz="10" w:space="0"/>
            </w:tcBorders>
            <w:vAlign w:val="top"/>
          </w:tcPr>
          <w:p w14:paraId="4B392D29">
            <w:pPr>
              <w:pStyle w:val="6"/>
              <w:spacing w:before="115" w:line="231" w:lineRule="auto"/>
              <w:ind w:left="353"/>
              <w:rPr>
                <w:sz w:val="20"/>
                <w:szCs w:val="20"/>
              </w:rPr>
            </w:pPr>
            <w:r>
              <w:rPr>
                <w:spacing w:val="-4"/>
                <w:sz w:val="20"/>
                <w:szCs w:val="20"/>
              </w:rPr>
              <w:t>中井河</w:t>
            </w:r>
          </w:p>
          <w:p w14:paraId="045D18B9">
            <w:pPr>
              <w:pStyle w:val="6"/>
              <w:spacing w:before="109" w:line="214" w:lineRule="auto"/>
              <w:ind w:left="120"/>
              <w:rPr>
                <w:sz w:val="20"/>
                <w:szCs w:val="20"/>
              </w:rPr>
            </w:pPr>
            <w:r>
              <w:rPr>
                <w:spacing w:val="3"/>
                <w:sz w:val="20"/>
                <w:szCs w:val="20"/>
              </w:rPr>
              <w:t>（黑溪河）</w:t>
            </w:r>
          </w:p>
        </w:tc>
        <w:tc>
          <w:tcPr>
            <w:tcW w:w="1313" w:type="dxa"/>
            <w:vAlign w:val="top"/>
          </w:tcPr>
          <w:p w14:paraId="7570A573">
            <w:pPr>
              <w:pStyle w:val="6"/>
              <w:spacing w:before="295" w:line="231" w:lineRule="auto"/>
              <w:ind w:left="160"/>
              <w:rPr>
                <w:sz w:val="20"/>
                <w:szCs w:val="20"/>
              </w:rPr>
            </w:pPr>
            <w:r>
              <w:rPr>
                <w:spacing w:val="1"/>
                <w:sz w:val="20"/>
                <w:szCs w:val="20"/>
              </w:rPr>
              <w:t>中井河上游</w:t>
            </w:r>
          </w:p>
        </w:tc>
        <w:tc>
          <w:tcPr>
            <w:tcW w:w="1044" w:type="dxa"/>
            <w:vAlign w:val="top"/>
          </w:tcPr>
          <w:p w14:paraId="2C38A0CB">
            <w:pPr>
              <w:spacing w:line="275" w:lineRule="auto"/>
              <w:rPr>
                <w:rFonts w:ascii="Arial"/>
                <w:sz w:val="21"/>
              </w:rPr>
            </w:pPr>
          </w:p>
          <w:p w14:paraId="0FA67CDF">
            <w:pPr>
              <w:spacing w:before="57" w:line="192" w:lineRule="auto"/>
              <w:ind w:left="448"/>
              <w:rPr>
                <w:rFonts w:ascii="Times New Roman" w:hAnsi="Times New Roman" w:eastAsia="Times New Roman" w:cs="Times New Roman"/>
                <w:sz w:val="20"/>
                <w:szCs w:val="20"/>
              </w:rPr>
            </w:pPr>
            <w:r>
              <w:rPr>
                <w:rFonts w:ascii="Times New Roman" w:hAnsi="Times New Roman" w:eastAsia="Times New Roman" w:cs="Times New Roman"/>
                <w:sz w:val="20"/>
                <w:szCs w:val="20"/>
              </w:rPr>
              <w:t>Ⅱ</w:t>
            </w:r>
          </w:p>
        </w:tc>
        <w:tc>
          <w:tcPr>
            <w:tcW w:w="1135" w:type="dxa"/>
            <w:vAlign w:val="top"/>
          </w:tcPr>
          <w:p w14:paraId="354CC71C">
            <w:pPr>
              <w:spacing w:line="275" w:lineRule="auto"/>
              <w:rPr>
                <w:rFonts w:ascii="Arial"/>
                <w:sz w:val="21"/>
              </w:rPr>
            </w:pPr>
          </w:p>
          <w:p w14:paraId="40EE3528">
            <w:pPr>
              <w:spacing w:before="57" w:line="192" w:lineRule="auto"/>
              <w:ind w:left="499"/>
              <w:rPr>
                <w:rFonts w:ascii="Times New Roman" w:hAnsi="Times New Roman" w:eastAsia="Times New Roman" w:cs="Times New Roman"/>
                <w:sz w:val="20"/>
                <w:szCs w:val="20"/>
              </w:rPr>
            </w:pPr>
            <w:r>
              <w:rPr>
                <w:rFonts w:ascii="Times New Roman" w:hAnsi="Times New Roman" w:eastAsia="Times New Roman" w:cs="Times New Roman"/>
                <w:sz w:val="20"/>
                <w:szCs w:val="20"/>
              </w:rPr>
              <w:t>Ⅱ</w:t>
            </w:r>
          </w:p>
        </w:tc>
        <w:tc>
          <w:tcPr>
            <w:tcW w:w="1133" w:type="dxa"/>
            <w:vAlign w:val="top"/>
          </w:tcPr>
          <w:p w14:paraId="1E9CE623">
            <w:pPr>
              <w:spacing w:line="275" w:lineRule="auto"/>
              <w:rPr>
                <w:rFonts w:ascii="Arial"/>
                <w:sz w:val="21"/>
              </w:rPr>
            </w:pPr>
          </w:p>
          <w:p w14:paraId="3BB15503">
            <w:pPr>
              <w:spacing w:before="57" w:line="192" w:lineRule="auto"/>
              <w:ind w:left="501"/>
              <w:rPr>
                <w:rFonts w:ascii="Times New Roman" w:hAnsi="Times New Roman" w:eastAsia="Times New Roman" w:cs="Times New Roman"/>
                <w:sz w:val="20"/>
                <w:szCs w:val="20"/>
              </w:rPr>
            </w:pPr>
            <w:r>
              <w:rPr>
                <w:rFonts w:ascii="Times New Roman" w:hAnsi="Times New Roman" w:eastAsia="Times New Roman" w:cs="Times New Roman"/>
                <w:sz w:val="20"/>
                <w:szCs w:val="20"/>
              </w:rPr>
              <w:t>Ⅱ</w:t>
            </w:r>
          </w:p>
        </w:tc>
        <w:tc>
          <w:tcPr>
            <w:tcW w:w="1061" w:type="dxa"/>
            <w:vAlign w:val="top"/>
          </w:tcPr>
          <w:p w14:paraId="32C296DE">
            <w:pPr>
              <w:spacing w:line="275" w:lineRule="auto"/>
              <w:rPr>
                <w:rFonts w:ascii="Arial"/>
                <w:sz w:val="21"/>
              </w:rPr>
            </w:pPr>
          </w:p>
          <w:p w14:paraId="4A4887CD">
            <w:pPr>
              <w:spacing w:before="57" w:line="192" w:lineRule="auto"/>
              <w:ind w:left="468"/>
              <w:rPr>
                <w:rFonts w:ascii="Times New Roman" w:hAnsi="Times New Roman" w:eastAsia="Times New Roman" w:cs="Times New Roman"/>
                <w:sz w:val="20"/>
                <w:szCs w:val="20"/>
              </w:rPr>
            </w:pPr>
            <w:r>
              <w:rPr>
                <w:rFonts w:ascii="Times New Roman" w:hAnsi="Times New Roman" w:eastAsia="Times New Roman" w:cs="Times New Roman"/>
                <w:sz w:val="20"/>
                <w:szCs w:val="20"/>
              </w:rPr>
              <w:t>Ⅱ</w:t>
            </w:r>
          </w:p>
        </w:tc>
        <w:tc>
          <w:tcPr>
            <w:tcW w:w="1148" w:type="dxa"/>
            <w:vAlign w:val="top"/>
          </w:tcPr>
          <w:p w14:paraId="274B9A64">
            <w:pPr>
              <w:spacing w:line="275" w:lineRule="auto"/>
              <w:rPr>
                <w:rFonts w:ascii="Arial"/>
                <w:sz w:val="21"/>
              </w:rPr>
            </w:pPr>
          </w:p>
          <w:p w14:paraId="4D547F3D">
            <w:pPr>
              <w:spacing w:before="57" w:line="192" w:lineRule="auto"/>
              <w:ind w:left="513"/>
              <w:rPr>
                <w:rFonts w:ascii="Times New Roman" w:hAnsi="Times New Roman" w:eastAsia="Times New Roman" w:cs="Times New Roman"/>
                <w:sz w:val="20"/>
                <w:szCs w:val="20"/>
              </w:rPr>
            </w:pPr>
            <w:r>
              <w:rPr>
                <w:rFonts w:ascii="Times New Roman" w:hAnsi="Times New Roman" w:eastAsia="Times New Roman" w:cs="Times New Roman"/>
                <w:sz w:val="20"/>
                <w:szCs w:val="20"/>
              </w:rPr>
              <w:t>Ⅱ</w:t>
            </w:r>
          </w:p>
        </w:tc>
        <w:tc>
          <w:tcPr>
            <w:tcW w:w="937" w:type="dxa"/>
            <w:tcBorders>
              <w:right w:val="single" w:color="000000" w:sz="10" w:space="0"/>
            </w:tcBorders>
            <w:vAlign w:val="top"/>
          </w:tcPr>
          <w:p w14:paraId="5164A008">
            <w:pPr>
              <w:spacing w:line="275" w:lineRule="auto"/>
              <w:rPr>
                <w:rFonts w:ascii="Arial"/>
                <w:sz w:val="21"/>
              </w:rPr>
            </w:pPr>
          </w:p>
          <w:p w14:paraId="6077516A">
            <w:pPr>
              <w:spacing w:before="57" w:line="192" w:lineRule="auto"/>
              <w:ind w:left="3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Ⅲ</w:t>
            </w:r>
          </w:p>
        </w:tc>
      </w:tr>
      <w:tr w14:paraId="38C579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trPr>
        <w:tc>
          <w:tcPr>
            <w:tcW w:w="1288" w:type="dxa"/>
            <w:tcBorders>
              <w:left w:val="single" w:color="000000" w:sz="10" w:space="0"/>
            </w:tcBorders>
            <w:vAlign w:val="top"/>
          </w:tcPr>
          <w:p w14:paraId="6ABD8C63">
            <w:pPr>
              <w:pStyle w:val="6"/>
              <w:spacing w:before="122" w:line="211" w:lineRule="auto"/>
              <w:ind w:left="328"/>
              <w:rPr>
                <w:sz w:val="20"/>
                <w:szCs w:val="20"/>
              </w:rPr>
            </w:pPr>
            <w:r>
              <w:rPr>
                <w:spacing w:val="4"/>
                <w:sz w:val="20"/>
                <w:szCs w:val="20"/>
              </w:rPr>
              <w:t>段溪河</w:t>
            </w:r>
          </w:p>
        </w:tc>
        <w:tc>
          <w:tcPr>
            <w:tcW w:w="1313" w:type="dxa"/>
            <w:vAlign w:val="top"/>
          </w:tcPr>
          <w:p w14:paraId="078F4107">
            <w:pPr>
              <w:pStyle w:val="6"/>
              <w:spacing w:before="122" w:line="211" w:lineRule="auto"/>
              <w:ind w:left="135"/>
              <w:rPr>
                <w:sz w:val="20"/>
                <w:szCs w:val="20"/>
              </w:rPr>
            </w:pPr>
            <w:r>
              <w:rPr>
                <w:spacing w:val="6"/>
                <w:sz w:val="20"/>
                <w:szCs w:val="20"/>
              </w:rPr>
              <w:t>段溪河汇入</w:t>
            </w:r>
          </w:p>
        </w:tc>
        <w:tc>
          <w:tcPr>
            <w:tcW w:w="1044" w:type="dxa"/>
            <w:vAlign w:val="top"/>
          </w:tcPr>
          <w:p w14:paraId="465D6AC1">
            <w:pPr>
              <w:spacing w:before="161" w:line="192" w:lineRule="auto"/>
              <w:ind w:left="4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Ⅲ</w:t>
            </w:r>
          </w:p>
        </w:tc>
        <w:tc>
          <w:tcPr>
            <w:tcW w:w="1135" w:type="dxa"/>
            <w:vAlign w:val="top"/>
          </w:tcPr>
          <w:p w14:paraId="39E56301">
            <w:pPr>
              <w:pStyle w:val="6"/>
              <w:spacing w:before="122" w:line="211" w:lineRule="auto"/>
              <w:ind w:left="514"/>
              <w:rPr>
                <w:sz w:val="20"/>
                <w:szCs w:val="20"/>
              </w:rPr>
            </w:pPr>
            <w:r>
              <w:rPr>
                <w:sz w:val="20"/>
                <w:szCs w:val="20"/>
              </w:rPr>
              <w:t>/</w:t>
            </w:r>
          </w:p>
        </w:tc>
        <w:tc>
          <w:tcPr>
            <w:tcW w:w="1133" w:type="dxa"/>
            <w:vAlign w:val="top"/>
          </w:tcPr>
          <w:p w14:paraId="5052C1DD">
            <w:pPr>
              <w:spacing w:before="161" w:line="192" w:lineRule="auto"/>
              <w:ind w:left="501"/>
              <w:rPr>
                <w:rFonts w:ascii="Times New Roman" w:hAnsi="Times New Roman" w:eastAsia="Times New Roman" w:cs="Times New Roman"/>
                <w:sz w:val="20"/>
                <w:szCs w:val="20"/>
              </w:rPr>
            </w:pPr>
            <w:r>
              <w:rPr>
                <w:rFonts w:ascii="Times New Roman" w:hAnsi="Times New Roman" w:eastAsia="Times New Roman" w:cs="Times New Roman"/>
                <w:sz w:val="20"/>
                <w:szCs w:val="20"/>
              </w:rPr>
              <w:t>Ⅱ</w:t>
            </w:r>
          </w:p>
        </w:tc>
        <w:tc>
          <w:tcPr>
            <w:tcW w:w="1061" w:type="dxa"/>
            <w:vAlign w:val="top"/>
          </w:tcPr>
          <w:p w14:paraId="2473DE6C">
            <w:pPr>
              <w:spacing w:before="161" w:line="192" w:lineRule="auto"/>
              <w:ind w:left="468"/>
              <w:rPr>
                <w:rFonts w:ascii="Times New Roman" w:hAnsi="Times New Roman" w:eastAsia="Times New Roman" w:cs="Times New Roman"/>
                <w:sz w:val="20"/>
                <w:szCs w:val="20"/>
              </w:rPr>
            </w:pPr>
            <w:r>
              <w:rPr>
                <w:rFonts w:ascii="Times New Roman" w:hAnsi="Times New Roman" w:eastAsia="Times New Roman" w:cs="Times New Roman"/>
                <w:sz w:val="20"/>
                <w:szCs w:val="20"/>
              </w:rPr>
              <w:t>Ⅱ</w:t>
            </w:r>
          </w:p>
        </w:tc>
        <w:tc>
          <w:tcPr>
            <w:tcW w:w="1148" w:type="dxa"/>
            <w:vAlign w:val="top"/>
          </w:tcPr>
          <w:p w14:paraId="45C18801">
            <w:pPr>
              <w:spacing w:before="154" w:line="199" w:lineRule="auto"/>
              <w:ind w:left="5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37" w:type="dxa"/>
            <w:tcBorders>
              <w:right w:val="single" w:color="000000" w:sz="10" w:space="0"/>
            </w:tcBorders>
            <w:vAlign w:val="top"/>
          </w:tcPr>
          <w:p w14:paraId="025CDCAC">
            <w:pPr>
              <w:spacing w:before="161" w:line="192" w:lineRule="auto"/>
              <w:ind w:left="3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Ⅲ</w:t>
            </w:r>
          </w:p>
        </w:tc>
      </w:tr>
      <w:tr w14:paraId="33EF85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1288" w:type="dxa"/>
            <w:tcBorders>
              <w:left w:val="single" w:color="000000" w:sz="10" w:space="0"/>
              <w:bottom w:val="single" w:color="000000" w:sz="10" w:space="0"/>
            </w:tcBorders>
            <w:vAlign w:val="top"/>
          </w:tcPr>
          <w:p w14:paraId="3806B547">
            <w:pPr>
              <w:pStyle w:val="6"/>
              <w:spacing w:before="126" w:line="227" w:lineRule="auto"/>
              <w:ind w:left="340"/>
              <w:rPr>
                <w:sz w:val="20"/>
                <w:szCs w:val="20"/>
              </w:rPr>
            </w:pPr>
            <w:r>
              <w:rPr>
                <w:sz w:val="20"/>
                <w:szCs w:val="20"/>
              </w:rPr>
              <w:t>阿蓬江</w:t>
            </w:r>
          </w:p>
        </w:tc>
        <w:tc>
          <w:tcPr>
            <w:tcW w:w="1313" w:type="dxa"/>
            <w:tcBorders>
              <w:bottom w:val="single" w:color="000000" w:sz="10" w:space="0"/>
            </w:tcBorders>
            <w:vAlign w:val="top"/>
          </w:tcPr>
          <w:p w14:paraId="3DC5920E">
            <w:pPr>
              <w:pStyle w:val="6"/>
              <w:spacing w:before="126" w:line="227" w:lineRule="auto"/>
              <w:ind w:left="241"/>
              <w:rPr>
                <w:sz w:val="20"/>
                <w:szCs w:val="20"/>
              </w:rPr>
            </w:pPr>
            <w:r>
              <w:rPr>
                <w:spacing w:val="4"/>
                <w:sz w:val="20"/>
                <w:szCs w:val="20"/>
              </w:rPr>
              <w:t>龙田大桥</w:t>
            </w:r>
          </w:p>
        </w:tc>
        <w:tc>
          <w:tcPr>
            <w:tcW w:w="1044" w:type="dxa"/>
            <w:tcBorders>
              <w:bottom w:val="single" w:color="000000" w:sz="10" w:space="0"/>
            </w:tcBorders>
            <w:vAlign w:val="top"/>
          </w:tcPr>
          <w:p w14:paraId="68CCE522">
            <w:pPr>
              <w:spacing w:before="165" w:line="192" w:lineRule="auto"/>
              <w:ind w:left="448"/>
              <w:rPr>
                <w:rFonts w:ascii="Times New Roman" w:hAnsi="Times New Roman" w:eastAsia="Times New Roman" w:cs="Times New Roman"/>
                <w:sz w:val="20"/>
                <w:szCs w:val="20"/>
              </w:rPr>
            </w:pPr>
            <w:r>
              <w:rPr>
                <w:rFonts w:ascii="Times New Roman" w:hAnsi="Times New Roman" w:eastAsia="Times New Roman" w:cs="Times New Roman"/>
                <w:sz w:val="20"/>
                <w:szCs w:val="20"/>
              </w:rPr>
              <w:t>Ⅱ</w:t>
            </w:r>
          </w:p>
        </w:tc>
        <w:tc>
          <w:tcPr>
            <w:tcW w:w="1135" w:type="dxa"/>
            <w:tcBorders>
              <w:bottom w:val="single" w:color="000000" w:sz="10" w:space="0"/>
            </w:tcBorders>
            <w:vAlign w:val="top"/>
          </w:tcPr>
          <w:p w14:paraId="0EFB61B2">
            <w:pPr>
              <w:spacing w:before="165" w:line="192" w:lineRule="auto"/>
              <w:ind w:left="499"/>
              <w:rPr>
                <w:rFonts w:ascii="Times New Roman" w:hAnsi="Times New Roman" w:eastAsia="Times New Roman" w:cs="Times New Roman"/>
                <w:sz w:val="20"/>
                <w:szCs w:val="20"/>
              </w:rPr>
            </w:pPr>
            <w:r>
              <w:rPr>
                <w:rFonts w:ascii="Times New Roman" w:hAnsi="Times New Roman" w:eastAsia="Times New Roman" w:cs="Times New Roman"/>
                <w:sz w:val="20"/>
                <w:szCs w:val="20"/>
              </w:rPr>
              <w:t>Ⅱ</w:t>
            </w:r>
          </w:p>
        </w:tc>
        <w:tc>
          <w:tcPr>
            <w:tcW w:w="1133" w:type="dxa"/>
            <w:tcBorders>
              <w:bottom w:val="single" w:color="000000" w:sz="10" w:space="0"/>
            </w:tcBorders>
            <w:vAlign w:val="top"/>
          </w:tcPr>
          <w:p w14:paraId="6807683A">
            <w:pPr>
              <w:spacing w:before="165" w:line="192" w:lineRule="auto"/>
              <w:ind w:left="501"/>
              <w:rPr>
                <w:rFonts w:ascii="Times New Roman" w:hAnsi="Times New Roman" w:eastAsia="Times New Roman" w:cs="Times New Roman"/>
                <w:sz w:val="20"/>
                <w:szCs w:val="20"/>
              </w:rPr>
            </w:pPr>
            <w:r>
              <w:rPr>
                <w:rFonts w:ascii="Times New Roman" w:hAnsi="Times New Roman" w:eastAsia="Times New Roman" w:cs="Times New Roman"/>
                <w:sz w:val="20"/>
                <w:szCs w:val="20"/>
              </w:rPr>
              <w:t>Ⅱ</w:t>
            </w:r>
          </w:p>
        </w:tc>
        <w:tc>
          <w:tcPr>
            <w:tcW w:w="1061" w:type="dxa"/>
            <w:tcBorders>
              <w:bottom w:val="single" w:color="000000" w:sz="10" w:space="0"/>
            </w:tcBorders>
            <w:vAlign w:val="top"/>
          </w:tcPr>
          <w:p w14:paraId="5FB34917">
            <w:pPr>
              <w:spacing w:before="165" w:line="192" w:lineRule="auto"/>
              <w:ind w:left="468"/>
              <w:rPr>
                <w:rFonts w:ascii="Times New Roman" w:hAnsi="Times New Roman" w:eastAsia="Times New Roman" w:cs="Times New Roman"/>
                <w:sz w:val="20"/>
                <w:szCs w:val="20"/>
              </w:rPr>
            </w:pPr>
            <w:r>
              <w:rPr>
                <w:rFonts w:ascii="Times New Roman" w:hAnsi="Times New Roman" w:eastAsia="Times New Roman" w:cs="Times New Roman"/>
                <w:sz w:val="20"/>
                <w:szCs w:val="20"/>
              </w:rPr>
              <w:t>Ⅱ</w:t>
            </w:r>
          </w:p>
        </w:tc>
        <w:tc>
          <w:tcPr>
            <w:tcW w:w="1148" w:type="dxa"/>
            <w:tcBorders>
              <w:bottom w:val="single" w:color="000000" w:sz="10" w:space="0"/>
            </w:tcBorders>
            <w:vAlign w:val="top"/>
          </w:tcPr>
          <w:p w14:paraId="3F4348F9">
            <w:pPr>
              <w:spacing w:before="158" w:line="199" w:lineRule="auto"/>
              <w:ind w:left="5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37" w:type="dxa"/>
            <w:tcBorders>
              <w:bottom w:val="single" w:color="000000" w:sz="10" w:space="0"/>
              <w:right w:val="single" w:color="000000" w:sz="10" w:space="0"/>
            </w:tcBorders>
            <w:vAlign w:val="top"/>
          </w:tcPr>
          <w:p w14:paraId="5674B2EE">
            <w:pPr>
              <w:spacing w:before="165" w:line="192" w:lineRule="auto"/>
              <w:ind w:left="3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Ⅲ</w:t>
            </w:r>
          </w:p>
        </w:tc>
      </w:tr>
    </w:tbl>
    <w:p w14:paraId="7E03A337">
      <w:pPr>
        <w:spacing w:before="146" w:line="221" w:lineRule="auto"/>
        <w:ind w:left="691"/>
        <w:rPr>
          <w:rFonts w:ascii="Times New Roman" w:hAnsi="Times New Roman" w:eastAsia="Times New Roman" w:cs="Times New Roman"/>
          <w:sz w:val="25"/>
          <w:szCs w:val="25"/>
        </w:rPr>
      </w:pPr>
      <w:r>
        <w:rPr>
          <w:rFonts w:ascii="仿宋" w:hAnsi="仿宋" w:eastAsia="仿宋" w:cs="仿宋"/>
          <w:spacing w:val="5"/>
          <w:sz w:val="25"/>
          <w:szCs w:val="25"/>
        </w:rPr>
        <w:t>中井河、段溪河、阿蓬江均能达到《地表水环境质量标准》</w:t>
      </w:r>
      <w:r>
        <w:rPr>
          <w:rFonts w:ascii="Times New Roman" w:hAnsi="Times New Roman" w:eastAsia="Times New Roman" w:cs="Times New Roman"/>
          <w:spacing w:val="4"/>
          <w:sz w:val="25"/>
          <w:szCs w:val="25"/>
        </w:rPr>
        <w:t>(</w:t>
      </w:r>
      <w:r>
        <w:rPr>
          <w:rFonts w:ascii="Times New Roman" w:hAnsi="Times New Roman" w:eastAsia="Times New Roman" w:cs="Times New Roman"/>
          <w:sz w:val="25"/>
          <w:szCs w:val="25"/>
        </w:rPr>
        <w:t>GB</w:t>
      </w:r>
      <w:r>
        <w:rPr>
          <w:rFonts w:ascii="Times New Roman" w:hAnsi="Times New Roman" w:eastAsia="Times New Roman" w:cs="Times New Roman"/>
          <w:spacing w:val="4"/>
          <w:sz w:val="25"/>
          <w:szCs w:val="25"/>
        </w:rPr>
        <w:t>3838-2002)</w:t>
      </w:r>
    </w:p>
    <w:p w14:paraId="50C3D8BD">
      <w:pPr>
        <w:spacing w:before="161" w:line="229" w:lineRule="auto"/>
        <w:ind w:left="138"/>
        <w:rPr>
          <w:rFonts w:ascii="仿宋" w:hAnsi="仿宋" w:eastAsia="仿宋" w:cs="仿宋"/>
          <w:sz w:val="25"/>
          <w:szCs w:val="25"/>
        </w:rPr>
      </w:pPr>
      <w:r>
        <w:rPr>
          <w:rFonts w:ascii="仿宋" w:hAnsi="仿宋" w:eastAsia="仿宋" w:cs="仿宋"/>
          <w:spacing w:val="-3"/>
          <w:sz w:val="25"/>
          <w:szCs w:val="25"/>
        </w:rPr>
        <w:t>表</w:t>
      </w:r>
      <w:r>
        <w:rPr>
          <w:rFonts w:ascii="仿宋" w:hAnsi="仿宋" w:eastAsia="仿宋" w:cs="仿宋"/>
          <w:spacing w:val="-24"/>
          <w:sz w:val="25"/>
          <w:szCs w:val="25"/>
        </w:rPr>
        <w:t xml:space="preserve"> </w:t>
      </w:r>
      <w:r>
        <w:rPr>
          <w:rFonts w:ascii="Times New Roman" w:hAnsi="Times New Roman" w:eastAsia="Times New Roman" w:cs="Times New Roman"/>
          <w:spacing w:val="-3"/>
          <w:sz w:val="25"/>
          <w:szCs w:val="25"/>
        </w:rPr>
        <w:t>1</w:t>
      </w:r>
      <w:r>
        <w:rPr>
          <w:rFonts w:ascii="Times New Roman" w:hAnsi="Times New Roman" w:eastAsia="Times New Roman" w:cs="Times New Roman"/>
          <w:spacing w:val="34"/>
          <w:w w:val="101"/>
          <w:sz w:val="25"/>
          <w:szCs w:val="25"/>
        </w:rPr>
        <w:t xml:space="preserve"> </w:t>
      </w:r>
      <w:r>
        <w:rPr>
          <w:rFonts w:ascii="仿宋" w:hAnsi="仿宋" w:eastAsia="仿宋" w:cs="仿宋"/>
          <w:spacing w:val="-3"/>
          <w:sz w:val="25"/>
          <w:szCs w:val="25"/>
        </w:rPr>
        <w:t>的</w:t>
      </w:r>
      <w:r>
        <w:rPr>
          <w:rFonts w:ascii="Times New Roman" w:hAnsi="Times New Roman" w:eastAsia="Times New Roman" w:cs="Times New Roman"/>
          <w:spacing w:val="-3"/>
          <w:sz w:val="25"/>
          <w:szCs w:val="25"/>
        </w:rPr>
        <w:t>Ⅲ</w:t>
      </w:r>
      <w:r>
        <w:rPr>
          <w:rFonts w:ascii="仿宋" w:hAnsi="仿宋" w:eastAsia="仿宋" w:cs="仿宋"/>
          <w:spacing w:val="-3"/>
          <w:sz w:val="25"/>
          <w:szCs w:val="25"/>
        </w:rPr>
        <w:t>类标准。</w:t>
      </w:r>
    </w:p>
    <w:p w14:paraId="707E7C45">
      <w:pPr>
        <w:spacing w:before="152" w:line="228" w:lineRule="auto"/>
        <w:ind w:left="662"/>
        <w:rPr>
          <w:rFonts w:ascii="仿宋" w:hAnsi="仿宋" w:eastAsia="仿宋" w:cs="仿宋"/>
          <w:sz w:val="25"/>
          <w:szCs w:val="25"/>
        </w:rPr>
      </w:pPr>
      <w:r>
        <w:rPr>
          <w:rFonts w:ascii="仿宋" w:hAnsi="仿宋" w:eastAsia="仿宋" w:cs="仿宋"/>
          <w:spacing w:val="8"/>
          <w:sz w:val="25"/>
          <w:szCs w:val="25"/>
        </w:rPr>
        <w:t>（</w:t>
      </w:r>
      <w:r>
        <w:rPr>
          <w:rFonts w:ascii="Times New Roman" w:hAnsi="Times New Roman" w:eastAsia="Times New Roman" w:cs="Times New Roman"/>
          <w:spacing w:val="8"/>
          <w:sz w:val="25"/>
          <w:szCs w:val="25"/>
        </w:rPr>
        <w:t>2</w:t>
      </w:r>
      <w:r>
        <w:rPr>
          <w:rFonts w:ascii="仿宋" w:hAnsi="仿宋" w:eastAsia="仿宋" w:cs="仿宋"/>
          <w:spacing w:val="8"/>
          <w:sz w:val="25"/>
          <w:szCs w:val="25"/>
        </w:rPr>
        <w:t>）规划调整区块集中区域河流水质现状</w:t>
      </w:r>
    </w:p>
    <w:p w14:paraId="2F1F80FA">
      <w:pPr>
        <w:spacing w:before="151" w:line="318" w:lineRule="auto"/>
        <w:ind w:left="136" w:right="121" w:firstLine="522"/>
        <w:rPr>
          <w:rFonts w:ascii="仿宋" w:hAnsi="仿宋" w:eastAsia="仿宋" w:cs="仿宋"/>
          <w:sz w:val="25"/>
          <w:szCs w:val="25"/>
        </w:rPr>
      </w:pPr>
      <w:r>
        <w:rPr>
          <w:rFonts w:ascii="仿宋" w:hAnsi="仿宋" w:eastAsia="仿宋" w:cs="仿宋"/>
          <w:spacing w:val="9"/>
          <w:sz w:val="25"/>
          <w:szCs w:val="25"/>
        </w:rPr>
        <w:t>评价考虑到现状矿山及规划开采区块相对集中区域的受纳水体，结果统计</w:t>
      </w:r>
      <w:r>
        <w:rPr>
          <w:rFonts w:ascii="仿宋" w:hAnsi="仿宋" w:eastAsia="仿宋" w:cs="仿宋"/>
          <w:spacing w:val="15"/>
          <w:sz w:val="25"/>
          <w:szCs w:val="25"/>
        </w:rPr>
        <w:t xml:space="preserve"> </w:t>
      </w:r>
      <w:r>
        <w:rPr>
          <w:rFonts w:ascii="仿宋" w:hAnsi="仿宋" w:eastAsia="仿宋" w:cs="仿宋"/>
          <w:spacing w:val="5"/>
          <w:sz w:val="25"/>
          <w:szCs w:val="25"/>
        </w:rPr>
        <w:t>详见表</w:t>
      </w:r>
      <w:r>
        <w:rPr>
          <w:rFonts w:ascii="仿宋" w:hAnsi="仿宋" w:eastAsia="仿宋" w:cs="仿宋"/>
          <w:spacing w:val="-41"/>
          <w:sz w:val="25"/>
          <w:szCs w:val="25"/>
        </w:rPr>
        <w:t xml:space="preserve"> </w:t>
      </w:r>
      <w:r>
        <w:rPr>
          <w:rFonts w:ascii="Times New Roman" w:hAnsi="Times New Roman" w:eastAsia="Times New Roman" w:cs="Times New Roman"/>
          <w:spacing w:val="5"/>
          <w:sz w:val="25"/>
          <w:szCs w:val="25"/>
        </w:rPr>
        <w:t>3.1-9</w:t>
      </w:r>
      <w:r>
        <w:rPr>
          <w:rFonts w:ascii="Times New Roman" w:hAnsi="Times New Roman" w:eastAsia="Times New Roman" w:cs="Times New Roman"/>
          <w:spacing w:val="-26"/>
          <w:sz w:val="25"/>
          <w:szCs w:val="25"/>
        </w:rPr>
        <w:t xml:space="preserve"> </w:t>
      </w:r>
      <w:r>
        <w:rPr>
          <w:rFonts w:ascii="仿宋" w:hAnsi="仿宋" w:eastAsia="仿宋" w:cs="仿宋"/>
          <w:spacing w:val="5"/>
          <w:sz w:val="25"/>
          <w:szCs w:val="25"/>
        </w:rPr>
        <w:t>。从统计结果可知，中井河、后灶河因子均达到《地表水环境质量</w:t>
      </w:r>
      <w:r>
        <w:rPr>
          <w:rFonts w:ascii="仿宋" w:hAnsi="仿宋" w:eastAsia="仿宋" w:cs="仿宋"/>
          <w:sz w:val="25"/>
          <w:szCs w:val="25"/>
        </w:rPr>
        <w:t xml:space="preserve"> </w:t>
      </w:r>
      <w:r>
        <w:rPr>
          <w:rFonts w:ascii="仿宋" w:hAnsi="仿宋" w:eastAsia="仿宋" w:cs="仿宋"/>
          <w:spacing w:val="6"/>
          <w:sz w:val="25"/>
          <w:szCs w:val="25"/>
        </w:rPr>
        <w:t>标准》（</w:t>
      </w:r>
      <w:r>
        <w:rPr>
          <w:rFonts w:ascii="Times New Roman" w:hAnsi="Times New Roman" w:eastAsia="Times New Roman" w:cs="Times New Roman"/>
          <w:sz w:val="25"/>
          <w:szCs w:val="25"/>
        </w:rPr>
        <w:t>GB</w:t>
      </w:r>
      <w:r>
        <w:rPr>
          <w:rFonts w:ascii="Times New Roman" w:hAnsi="Times New Roman" w:eastAsia="Times New Roman" w:cs="Times New Roman"/>
          <w:spacing w:val="6"/>
          <w:sz w:val="25"/>
          <w:szCs w:val="25"/>
        </w:rPr>
        <w:t>3838-2002</w:t>
      </w:r>
      <w:r>
        <w:rPr>
          <w:rFonts w:ascii="仿宋" w:hAnsi="仿宋" w:eastAsia="仿宋" w:cs="仿宋"/>
          <w:spacing w:val="6"/>
          <w:sz w:val="25"/>
          <w:szCs w:val="25"/>
        </w:rPr>
        <w:t>）</w:t>
      </w:r>
      <w:r>
        <w:rPr>
          <w:rFonts w:ascii="仿宋" w:hAnsi="仿宋" w:eastAsia="仿宋" w:cs="仿宋"/>
          <w:spacing w:val="-55"/>
          <w:sz w:val="25"/>
          <w:szCs w:val="25"/>
        </w:rPr>
        <w:t xml:space="preserve"> </w:t>
      </w:r>
      <w:r>
        <w:rPr>
          <w:rFonts w:ascii="仿宋" w:hAnsi="仿宋" w:eastAsia="仿宋" w:cs="仿宋"/>
          <w:spacing w:val="6"/>
          <w:sz w:val="25"/>
          <w:szCs w:val="25"/>
        </w:rPr>
        <w:t>中</w:t>
      </w:r>
      <w:r>
        <w:rPr>
          <w:rFonts w:ascii="Times New Roman" w:hAnsi="Times New Roman" w:eastAsia="Times New Roman" w:cs="Times New Roman"/>
          <w:spacing w:val="6"/>
          <w:sz w:val="25"/>
          <w:szCs w:val="25"/>
        </w:rPr>
        <w:t>Ⅲ</w:t>
      </w:r>
      <w:r>
        <w:rPr>
          <w:rFonts w:ascii="仿宋" w:hAnsi="仿宋" w:eastAsia="仿宋" w:cs="仿宋"/>
          <w:spacing w:val="6"/>
          <w:sz w:val="25"/>
          <w:szCs w:val="25"/>
        </w:rPr>
        <w:t>级标准，受纳水体的水环境质量较好。</w:t>
      </w:r>
    </w:p>
    <w:p w14:paraId="3648C6CB">
      <w:pPr>
        <w:spacing w:line="318" w:lineRule="auto"/>
        <w:rPr>
          <w:rFonts w:ascii="仿宋" w:hAnsi="仿宋" w:eastAsia="仿宋" w:cs="仿宋"/>
          <w:sz w:val="25"/>
          <w:szCs w:val="25"/>
        </w:rPr>
        <w:sectPr>
          <w:headerReference r:id="rId109" w:type="default"/>
          <w:footerReference r:id="rId110" w:type="default"/>
          <w:pgSz w:w="11906" w:h="16839"/>
          <w:pgMar w:top="1116" w:right="1354" w:bottom="1480" w:left="1466" w:header="683" w:footer="1318" w:gutter="0"/>
          <w:cols w:space="720" w:num="1"/>
        </w:sectPr>
      </w:pPr>
    </w:p>
    <w:p w14:paraId="30544AF8">
      <w:pPr>
        <w:pStyle w:val="2"/>
        <w:spacing w:line="354" w:lineRule="auto"/>
      </w:pPr>
    </w:p>
    <w:p w14:paraId="3758E69C">
      <w:pPr>
        <w:pStyle w:val="2"/>
        <w:spacing w:line="355" w:lineRule="auto"/>
      </w:pPr>
    </w:p>
    <w:p w14:paraId="2D371727">
      <w:pPr>
        <w:spacing w:before="65" w:line="231" w:lineRule="auto"/>
        <w:ind w:left="4812"/>
        <w:rPr>
          <w:rFonts w:ascii="仿宋" w:hAnsi="仿宋" w:eastAsia="仿宋" w:cs="仿宋"/>
          <w:sz w:val="20"/>
          <w:szCs w:val="20"/>
        </w:rPr>
      </w:pPr>
      <w:r>
        <w:rPr>
          <w:rFonts w:ascii="仿宋" w:hAnsi="仿宋" w:eastAsia="仿宋" w:cs="仿宋"/>
          <w:b/>
          <w:bCs/>
          <w:spacing w:val="6"/>
          <w:sz w:val="20"/>
          <w:szCs w:val="20"/>
        </w:rPr>
        <w:t>表</w:t>
      </w:r>
      <w:r>
        <w:rPr>
          <w:rFonts w:ascii="仿宋" w:hAnsi="仿宋" w:eastAsia="仿宋" w:cs="仿宋"/>
          <w:spacing w:val="-43"/>
          <w:sz w:val="20"/>
          <w:szCs w:val="20"/>
        </w:rPr>
        <w:t xml:space="preserve"> </w:t>
      </w:r>
      <w:r>
        <w:rPr>
          <w:rFonts w:ascii="Times New Roman" w:hAnsi="Times New Roman" w:eastAsia="Times New Roman" w:cs="Times New Roman"/>
          <w:b/>
          <w:bCs/>
          <w:spacing w:val="6"/>
          <w:sz w:val="20"/>
          <w:szCs w:val="20"/>
        </w:rPr>
        <w:t xml:space="preserve">3.1-11    </w:t>
      </w:r>
      <w:r>
        <w:rPr>
          <w:rFonts w:ascii="仿宋" w:hAnsi="仿宋" w:eastAsia="仿宋" w:cs="仿宋"/>
          <w:b/>
          <w:bCs/>
          <w:spacing w:val="6"/>
          <w:sz w:val="20"/>
          <w:szCs w:val="20"/>
        </w:rPr>
        <w:t>黔江区部分区域地表水水质现状统计表</w:t>
      </w:r>
    </w:p>
    <w:p w14:paraId="4DF1C077">
      <w:pPr>
        <w:spacing w:line="21" w:lineRule="exact"/>
      </w:pPr>
    </w:p>
    <w:tbl>
      <w:tblPr>
        <w:tblStyle w:val="5"/>
        <w:tblW w:w="14166"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30"/>
        <w:gridCol w:w="1425"/>
        <w:gridCol w:w="1774"/>
        <w:gridCol w:w="328"/>
        <w:gridCol w:w="1063"/>
        <w:gridCol w:w="749"/>
        <w:gridCol w:w="854"/>
        <w:gridCol w:w="1168"/>
        <w:gridCol w:w="953"/>
        <w:gridCol w:w="1063"/>
        <w:gridCol w:w="834"/>
        <w:gridCol w:w="858"/>
        <w:gridCol w:w="1544"/>
        <w:gridCol w:w="1223"/>
      </w:tblGrid>
      <w:tr w14:paraId="3F7958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330" w:type="dxa"/>
            <w:vMerge w:val="restart"/>
            <w:tcBorders>
              <w:top w:val="single" w:color="000000" w:sz="10" w:space="0"/>
              <w:left w:val="single" w:color="000000" w:sz="10" w:space="0"/>
              <w:bottom w:val="nil"/>
            </w:tcBorders>
            <w:textDirection w:val="tbRlV"/>
            <w:vAlign w:val="top"/>
          </w:tcPr>
          <w:p w14:paraId="3BBF0C62">
            <w:pPr>
              <w:pStyle w:val="6"/>
              <w:spacing w:before="64" w:line="209" w:lineRule="auto"/>
              <w:ind w:left="403"/>
              <w:rPr>
                <w:sz w:val="20"/>
                <w:szCs w:val="20"/>
              </w:rPr>
            </w:pPr>
            <w:r>
              <w:rPr>
                <w:spacing w:val="13"/>
                <w:sz w:val="20"/>
                <w:szCs w:val="20"/>
              </w:rPr>
              <w:t>序</w:t>
            </w:r>
            <w:r>
              <w:rPr>
                <w:spacing w:val="-40"/>
                <w:sz w:val="20"/>
                <w:szCs w:val="20"/>
              </w:rPr>
              <w:t xml:space="preserve"> </w:t>
            </w:r>
            <w:r>
              <w:rPr>
                <w:spacing w:val="13"/>
                <w:sz w:val="20"/>
                <w:szCs w:val="20"/>
              </w:rPr>
              <w:t>号</w:t>
            </w:r>
          </w:p>
        </w:tc>
        <w:tc>
          <w:tcPr>
            <w:tcW w:w="1425" w:type="dxa"/>
            <w:vMerge w:val="restart"/>
            <w:tcBorders>
              <w:top w:val="single" w:color="000000" w:sz="10" w:space="0"/>
              <w:bottom w:val="nil"/>
            </w:tcBorders>
            <w:vAlign w:val="top"/>
          </w:tcPr>
          <w:p w14:paraId="121ECC74">
            <w:pPr>
              <w:spacing w:line="472" w:lineRule="auto"/>
              <w:rPr>
                <w:rFonts w:ascii="Arial"/>
                <w:sz w:val="21"/>
              </w:rPr>
            </w:pPr>
          </w:p>
          <w:p w14:paraId="2EE476B7">
            <w:pPr>
              <w:pStyle w:val="6"/>
              <w:spacing w:before="65" w:line="232" w:lineRule="auto"/>
              <w:ind w:left="298"/>
              <w:rPr>
                <w:sz w:val="20"/>
                <w:szCs w:val="20"/>
              </w:rPr>
            </w:pPr>
            <w:r>
              <w:rPr>
                <w:spacing w:val="4"/>
                <w:sz w:val="20"/>
                <w:szCs w:val="20"/>
              </w:rPr>
              <w:t>监测时间</w:t>
            </w:r>
          </w:p>
        </w:tc>
        <w:tc>
          <w:tcPr>
            <w:tcW w:w="1774" w:type="dxa"/>
            <w:vMerge w:val="restart"/>
            <w:tcBorders>
              <w:top w:val="single" w:color="000000" w:sz="10" w:space="0"/>
              <w:bottom w:val="nil"/>
            </w:tcBorders>
            <w:vAlign w:val="top"/>
          </w:tcPr>
          <w:p w14:paraId="250BCDCA">
            <w:pPr>
              <w:spacing w:line="473" w:lineRule="auto"/>
              <w:rPr>
                <w:rFonts w:ascii="Arial"/>
                <w:sz w:val="21"/>
              </w:rPr>
            </w:pPr>
          </w:p>
          <w:p w14:paraId="020E149B">
            <w:pPr>
              <w:pStyle w:val="6"/>
              <w:spacing w:before="65" w:line="229" w:lineRule="auto"/>
              <w:ind w:left="159"/>
              <w:rPr>
                <w:sz w:val="20"/>
                <w:szCs w:val="20"/>
              </w:rPr>
            </w:pPr>
            <w:r>
              <w:rPr>
                <w:spacing w:val="7"/>
                <w:sz w:val="20"/>
                <w:szCs w:val="20"/>
              </w:rPr>
              <w:t>监测河流及断面</w:t>
            </w:r>
          </w:p>
        </w:tc>
        <w:tc>
          <w:tcPr>
            <w:tcW w:w="328" w:type="dxa"/>
            <w:vMerge w:val="restart"/>
            <w:tcBorders>
              <w:top w:val="single" w:color="000000" w:sz="10" w:space="0"/>
              <w:bottom w:val="nil"/>
            </w:tcBorders>
            <w:textDirection w:val="tbRlV"/>
            <w:vAlign w:val="top"/>
          </w:tcPr>
          <w:p w14:paraId="4C8EB5D4">
            <w:pPr>
              <w:pStyle w:val="6"/>
              <w:spacing w:before="63" w:line="210" w:lineRule="auto"/>
              <w:ind w:left="130"/>
              <w:rPr>
                <w:sz w:val="20"/>
                <w:szCs w:val="20"/>
              </w:rPr>
            </w:pPr>
            <w:r>
              <w:rPr>
                <w:spacing w:val="13"/>
                <w:sz w:val="20"/>
                <w:szCs w:val="20"/>
              </w:rPr>
              <w:t>水</w:t>
            </w:r>
            <w:r>
              <w:rPr>
                <w:spacing w:val="-38"/>
                <w:sz w:val="20"/>
                <w:szCs w:val="20"/>
              </w:rPr>
              <w:t xml:space="preserve"> </w:t>
            </w:r>
            <w:r>
              <w:rPr>
                <w:spacing w:val="13"/>
                <w:sz w:val="20"/>
                <w:szCs w:val="20"/>
              </w:rPr>
              <w:t>域</w:t>
            </w:r>
            <w:r>
              <w:rPr>
                <w:spacing w:val="-43"/>
                <w:sz w:val="20"/>
                <w:szCs w:val="20"/>
              </w:rPr>
              <w:t xml:space="preserve"> </w:t>
            </w:r>
            <w:r>
              <w:rPr>
                <w:spacing w:val="13"/>
                <w:sz w:val="20"/>
                <w:szCs w:val="20"/>
              </w:rPr>
              <w:t>类</w:t>
            </w:r>
            <w:r>
              <w:rPr>
                <w:spacing w:val="-40"/>
                <w:sz w:val="20"/>
                <w:szCs w:val="20"/>
              </w:rPr>
              <w:t xml:space="preserve"> </w:t>
            </w:r>
            <w:r>
              <w:rPr>
                <w:spacing w:val="13"/>
                <w:sz w:val="20"/>
                <w:szCs w:val="20"/>
              </w:rPr>
              <w:t>别</w:t>
            </w:r>
          </w:p>
        </w:tc>
        <w:tc>
          <w:tcPr>
            <w:tcW w:w="9086" w:type="dxa"/>
            <w:gridSpan w:val="9"/>
            <w:tcBorders>
              <w:top w:val="single" w:color="000000" w:sz="10" w:space="0"/>
            </w:tcBorders>
            <w:vAlign w:val="top"/>
          </w:tcPr>
          <w:p w14:paraId="37830F96">
            <w:pPr>
              <w:pStyle w:val="6"/>
              <w:spacing w:before="125" w:line="221" w:lineRule="auto"/>
              <w:ind w:left="3337"/>
              <w:rPr>
                <w:rFonts w:ascii="Times New Roman" w:hAnsi="Times New Roman" w:eastAsia="Times New Roman" w:cs="Times New Roman"/>
                <w:sz w:val="20"/>
                <w:szCs w:val="20"/>
              </w:rPr>
            </w:pPr>
            <w:r>
              <w:rPr>
                <w:spacing w:val="5"/>
                <w:sz w:val="20"/>
                <w:szCs w:val="20"/>
              </w:rPr>
              <w:t>监测因子</w:t>
            </w:r>
            <w:r>
              <w:rPr>
                <w:spacing w:val="9"/>
                <w:sz w:val="20"/>
                <w:szCs w:val="20"/>
              </w:rPr>
              <w:t xml:space="preserve">     </w:t>
            </w:r>
            <w:r>
              <w:rPr>
                <w:spacing w:val="5"/>
                <w:sz w:val="20"/>
                <w:szCs w:val="20"/>
              </w:rPr>
              <w:t>单位：</w:t>
            </w:r>
            <w:r>
              <w:rPr>
                <w:rFonts w:ascii="Times New Roman" w:hAnsi="Times New Roman" w:eastAsia="Times New Roman" w:cs="Times New Roman"/>
                <w:sz w:val="20"/>
                <w:szCs w:val="20"/>
              </w:rPr>
              <w:t>mg</w:t>
            </w:r>
            <w:r>
              <w:rPr>
                <w:rFonts w:ascii="Times New Roman" w:hAnsi="Times New Roman" w:eastAsia="Times New Roman" w:cs="Times New Roman"/>
                <w:spacing w:val="5"/>
                <w:sz w:val="20"/>
                <w:szCs w:val="20"/>
              </w:rPr>
              <w:t>/L</w:t>
            </w:r>
          </w:p>
        </w:tc>
        <w:tc>
          <w:tcPr>
            <w:tcW w:w="1223" w:type="dxa"/>
            <w:vMerge w:val="restart"/>
            <w:tcBorders>
              <w:top w:val="single" w:color="000000" w:sz="10" w:space="0"/>
              <w:bottom w:val="nil"/>
              <w:right w:val="single" w:color="000000" w:sz="10" w:space="0"/>
            </w:tcBorders>
            <w:vAlign w:val="top"/>
          </w:tcPr>
          <w:p w14:paraId="3A8527C0">
            <w:pPr>
              <w:pStyle w:val="6"/>
              <w:spacing w:before="131" w:line="251" w:lineRule="auto"/>
              <w:ind w:left="135" w:right="42" w:firstLine="98"/>
              <w:rPr>
                <w:sz w:val="20"/>
                <w:szCs w:val="20"/>
              </w:rPr>
            </w:pPr>
            <w:r>
              <w:rPr>
                <w:spacing w:val="6"/>
                <w:sz w:val="20"/>
                <w:szCs w:val="20"/>
              </w:rPr>
              <w:t>数据来源</w:t>
            </w:r>
            <w:r>
              <w:rPr>
                <w:sz w:val="20"/>
                <w:szCs w:val="20"/>
              </w:rPr>
              <w:t xml:space="preserve">  </w:t>
            </w:r>
            <w:r>
              <w:rPr>
                <w:spacing w:val="6"/>
                <w:sz w:val="20"/>
                <w:szCs w:val="20"/>
              </w:rPr>
              <w:t>（建设项目</w:t>
            </w:r>
          </w:p>
          <w:p w14:paraId="64E6B6AF">
            <w:pPr>
              <w:pStyle w:val="6"/>
              <w:spacing w:line="253" w:lineRule="auto"/>
              <w:ind w:left="338" w:right="42" w:hanging="208"/>
              <w:rPr>
                <w:sz w:val="20"/>
                <w:szCs w:val="20"/>
              </w:rPr>
            </w:pPr>
            <w:r>
              <w:rPr>
                <w:spacing w:val="7"/>
                <w:sz w:val="20"/>
                <w:szCs w:val="20"/>
              </w:rPr>
              <w:t>环境影响报</w:t>
            </w:r>
            <w:r>
              <w:rPr>
                <w:sz w:val="20"/>
                <w:szCs w:val="20"/>
              </w:rPr>
              <w:t xml:space="preserve"> </w:t>
            </w:r>
            <w:r>
              <w:rPr>
                <w:spacing w:val="1"/>
                <w:sz w:val="20"/>
                <w:szCs w:val="20"/>
              </w:rPr>
              <w:t>告等）</w:t>
            </w:r>
          </w:p>
        </w:tc>
      </w:tr>
      <w:tr w14:paraId="2151B2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8" w:hRule="atLeast"/>
        </w:trPr>
        <w:tc>
          <w:tcPr>
            <w:tcW w:w="330" w:type="dxa"/>
            <w:vMerge w:val="continue"/>
            <w:tcBorders>
              <w:top w:val="nil"/>
              <w:left w:val="single" w:color="000000" w:sz="10" w:space="0"/>
            </w:tcBorders>
            <w:textDirection w:val="tbRlV"/>
            <w:vAlign w:val="top"/>
          </w:tcPr>
          <w:p w14:paraId="7CE0A789">
            <w:pPr>
              <w:rPr>
                <w:rFonts w:ascii="Arial"/>
                <w:sz w:val="21"/>
              </w:rPr>
            </w:pPr>
          </w:p>
        </w:tc>
        <w:tc>
          <w:tcPr>
            <w:tcW w:w="1425" w:type="dxa"/>
            <w:vMerge w:val="continue"/>
            <w:tcBorders>
              <w:top w:val="nil"/>
            </w:tcBorders>
            <w:vAlign w:val="top"/>
          </w:tcPr>
          <w:p w14:paraId="46B4AEEC">
            <w:pPr>
              <w:rPr>
                <w:rFonts w:ascii="Arial"/>
                <w:sz w:val="21"/>
              </w:rPr>
            </w:pPr>
          </w:p>
        </w:tc>
        <w:tc>
          <w:tcPr>
            <w:tcW w:w="1774" w:type="dxa"/>
            <w:vMerge w:val="continue"/>
            <w:tcBorders>
              <w:top w:val="nil"/>
            </w:tcBorders>
            <w:vAlign w:val="top"/>
          </w:tcPr>
          <w:p w14:paraId="7F8574AE">
            <w:pPr>
              <w:rPr>
                <w:rFonts w:ascii="Arial"/>
                <w:sz w:val="21"/>
              </w:rPr>
            </w:pPr>
          </w:p>
        </w:tc>
        <w:tc>
          <w:tcPr>
            <w:tcW w:w="328" w:type="dxa"/>
            <w:vMerge w:val="continue"/>
            <w:tcBorders>
              <w:top w:val="nil"/>
            </w:tcBorders>
            <w:textDirection w:val="tbRlV"/>
            <w:vAlign w:val="top"/>
          </w:tcPr>
          <w:p w14:paraId="5FDEE29E">
            <w:pPr>
              <w:rPr>
                <w:rFonts w:ascii="Arial"/>
                <w:sz w:val="21"/>
              </w:rPr>
            </w:pPr>
          </w:p>
        </w:tc>
        <w:tc>
          <w:tcPr>
            <w:tcW w:w="1063" w:type="dxa"/>
            <w:vAlign w:val="top"/>
          </w:tcPr>
          <w:p w14:paraId="142FC1D1">
            <w:pPr>
              <w:pStyle w:val="6"/>
              <w:spacing w:before="169" w:line="221" w:lineRule="auto"/>
              <w:ind w:left="80"/>
              <w:rPr>
                <w:sz w:val="20"/>
                <w:szCs w:val="20"/>
              </w:rPr>
            </w:pPr>
            <w:r>
              <w:rPr>
                <w:rFonts w:ascii="Times New Roman" w:hAnsi="Times New Roman" w:eastAsia="Times New Roman" w:cs="Times New Roman"/>
                <w:sz w:val="20"/>
                <w:szCs w:val="20"/>
              </w:rPr>
              <w:t>pH</w:t>
            </w:r>
            <w:r>
              <w:rPr>
                <w:spacing w:val="13"/>
                <w:sz w:val="20"/>
                <w:szCs w:val="20"/>
              </w:rPr>
              <w:t>（无量</w:t>
            </w:r>
          </w:p>
          <w:p w14:paraId="5872B7EC">
            <w:pPr>
              <w:pStyle w:val="6"/>
              <w:spacing w:before="31" w:line="233" w:lineRule="auto"/>
              <w:ind w:left="328"/>
              <w:rPr>
                <w:sz w:val="20"/>
                <w:szCs w:val="20"/>
              </w:rPr>
            </w:pPr>
            <w:r>
              <w:rPr>
                <w:spacing w:val="-4"/>
                <w:sz w:val="20"/>
                <w:szCs w:val="20"/>
              </w:rPr>
              <w:t>纲）</w:t>
            </w:r>
          </w:p>
        </w:tc>
        <w:tc>
          <w:tcPr>
            <w:tcW w:w="749" w:type="dxa"/>
            <w:vAlign w:val="top"/>
          </w:tcPr>
          <w:p w14:paraId="6C3CC060">
            <w:pPr>
              <w:spacing w:line="283" w:lineRule="auto"/>
              <w:rPr>
                <w:rFonts w:ascii="Arial"/>
                <w:sz w:val="21"/>
              </w:rPr>
            </w:pPr>
          </w:p>
          <w:p w14:paraId="62614852">
            <w:pPr>
              <w:spacing w:before="57" w:line="195" w:lineRule="auto"/>
              <w:ind w:left="15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854" w:type="dxa"/>
            <w:vAlign w:val="top"/>
          </w:tcPr>
          <w:p w14:paraId="038AB1A5">
            <w:pPr>
              <w:spacing w:line="283" w:lineRule="auto"/>
              <w:rPr>
                <w:rFonts w:ascii="Arial"/>
                <w:sz w:val="21"/>
              </w:rPr>
            </w:pPr>
          </w:p>
          <w:p w14:paraId="38E85007">
            <w:pPr>
              <w:spacing w:before="57" w:line="202" w:lineRule="auto"/>
              <w:ind w:left="170"/>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BOD</w:t>
            </w:r>
            <w:r>
              <w:rPr>
                <w:rFonts w:ascii="Times New Roman" w:hAnsi="Times New Roman" w:eastAsia="Times New Roman" w:cs="Times New Roman"/>
                <w:spacing w:val="5"/>
                <w:position w:val="-1"/>
                <w:sz w:val="13"/>
                <w:szCs w:val="13"/>
              </w:rPr>
              <w:t>5</w:t>
            </w:r>
          </w:p>
        </w:tc>
        <w:tc>
          <w:tcPr>
            <w:tcW w:w="1168" w:type="dxa"/>
            <w:vAlign w:val="top"/>
          </w:tcPr>
          <w:p w14:paraId="7BFB66BB">
            <w:pPr>
              <w:spacing w:line="285" w:lineRule="auto"/>
              <w:rPr>
                <w:rFonts w:ascii="Arial"/>
                <w:sz w:val="21"/>
              </w:rPr>
            </w:pPr>
          </w:p>
          <w:p w14:paraId="34C808A5">
            <w:pPr>
              <w:spacing w:before="58" w:line="209" w:lineRule="auto"/>
              <w:ind w:left="282"/>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9"/>
                <w:sz w:val="13"/>
                <w:szCs w:val="13"/>
              </w:rPr>
              <w:t>3</w:t>
            </w:r>
            <w:r>
              <w:rPr>
                <w:rFonts w:ascii="Times New Roman" w:hAnsi="Times New Roman" w:eastAsia="Times New Roman" w:cs="Times New Roman"/>
                <w:spacing w:val="9"/>
                <w:sz w:val="20"/>
                <w:szCs w:val="20"/>
              </w:rPr>
              <w:t>-N</w:t>
            </w:r>
          </w:p>
        </w:tc>
        <w:tc>
          <w:tcPr>
            <w:tcW w:w="953" w:type="dxa"/>
            <w:vAlign w:val="top"/>
          </w:tcPr>
          <w:p w14:paraId="6A96E87F">
            <w:pPr>
              <w:rPr>
                <w:rFonts w:ascii="Arial"/>
                <w:sz w:val="21"/>
              </w:rPr>
            </w:pPr>
          </w:p>
          <w:p w14:paraId="06F05713">
            <w:pPr>
              <w:pStyle w:val="6"/>
              <w:spacing w:before="65" w:line="232" w:lineRule="auto"/>
              <w:ind w:left="286"/>
              <w:rPr>
                <w:sz w:val="20"/>
                <w:szCs w:val="20"/>
              </w:rPr>
            </w:pPr>
            <w:r>
              <w:rPr>
                <w:spacing w:val="-3"/>
                <w:sz w:val="20"/>
                <w:szCs w:val="20"/>
              </w:rPr>
              <w:t>总氮</w:t>
            </w:r>
          </w:p>
        </w:tc>
        <w:tc>
          <w:tcPr>
            <w:tcW w:w="1063" w:type="dxa"/>
            <w:vAlign w:val="top"/>
          </w:tcPr>
          <w:p w14:paraId="27A2CB91">
            <w:pPr>
              <w:rPr>
                <w:rFonts w:ascii="Arial"/>
                <w:sz w:val="21"/>
              </w:rPr>
            </w:pPr>
          </w:p>
          <w:p w14:paraId="232E22F7">
            <w:pPr>
              <w:pStyle w:val="6"/>
              <w:spacing w:before="65" w:line="229" w:lineRule="auto"/>
              <w:ind w:left="344"/>
              <w:rPr>
                <w:sz w:val="20"/>
                <w:szCs w:val="20"/>
              </w:rPr>
            </w:pPr>
            <w:r>
              <w:rPr>
                <w:spacing w:val="-3"/>
                <w:sz w:val="20"/>
                <w:szCs w:val="20"/>
              </w:rPr>
              <w:t>总磷</w:t>
            </w:r>
          </w:p>
        </w:tc>
        <w:tc>
          <w:tcPr>
            <w:tcW w:w="834" w:type="dxa"/>
            <w:vAlign w:val="top"/>
          </w:tcPr>
          <w:p w14:paraId="46975635">
            <w:pPr>
              <w:pStyle w:val="6"/>
              <w:spacing w:before="306" w:line="233" w:lineRule="auto"/>
              <w:ind w:left="117"/>
              <w:rPr>
                <w:sz w:val="20"/>
                <w:szCs w:val="20"/>
              </w:rPr>
            </w:pPr>
            <w:r>
              <w:rPr>
                <w:spacing w:val="5"/>
                <w:sz w:val="20"/>
                <w:szCs w:val="20"/>
              </w:rPr>
              <w:t>石油类</w:t>
            </w:r>
          </w:p>
        </w:tc>
        <w:tc>
          <w:tcPr>
            <w:tcW w:w="858" w:type="dxa"/>
            <w:vAlign w:val="top"/>
          </w:tcPr>
          <w:p w14:paraId="3D3EFFA0">
            <w:pPr>
              <w:pStyle w:val="6"/>
              <w:spacing w:before="32" w:line="231" w:lineRule="auto"/>
              <w:ind w:left="146"/>
              <w:rPr>
                <w:sz w:val="20"/>
                <w:szCs w:val="20"/>
              </w:rPr>
            </w:pPr>
            <w:r>
              <w:rPr>
                <w:sz w:val="20"/>
                <w:szCs w:val="20"/>
              </w:rPr>
              <w:t>阴离子</w:t>
            </w:r>
          </w:p>
          <w:p w14:paraId="4BBC17D4">
            <w:pPr>
              <w:pStyle w:val="6"/>
              <w:spacing w:before="24" w:line="231" w:lineRule="auto"/>
              <w:ind w:left="238" w:right="105" w:hanging="104"/>
              <w:rPr>
                <w:sz w:val="20"/>
                <w:szCs w:val="20"/>
              </w:rPr>
            </w:pPr>
            <w:r>
              <w:rPr>
                <w:spacing w:val="4"/>
                <w:sz w:val="20"/>
                <w:szCs w:val="20"/>
              </w:rPr>
              <w:t>表面活</w:t>
            </w:r>
            <w:r>
              <w:rPr>
                <w:sz w:val="20"/>
                <w:szCs w:val="20"/>
              </w:rPr>
              <w:t xml:space="preserve"> 性剂</w:t>
            </w:r>
          </w:p>
        </w:tc>
        <w:tc>
          <w:tcPr>
            <w:tcW w:w="1544" w:type="dxa"/>
            <w:vAlign w:val="top"/>
          </w:tcPr>
          <w:p w14:paraId="6B58323B">
            <w:pPr>
              <w:pStyle w:val="6"/>
              <w:spacing w:before="169" w:line="231" w:lineRule="auto"/>
              <w:ind w:left="271"/>
              <w:rPr>
                <w:sz w:val="20"/>
                <w:szCs w:val="20"/>
              </w:rPr>
            </w:pPr>
            <w:r>
              <w:rPr>
                <w:spacing w:val="5"/>
                <w:sz w:val="20"/>
                <w:szCs w:val="20"/>
              </w:rPr>
              <w:t>粪大肠菌群</w:t>
            </w:r>
          </w:p>
          <w:p w14:paraId="6A5AFD18">
            <w:pPr>
              <w:pStyle w:val="6"/>
              <w:spacing w:before="21" w:line="265" w:lineRule="exact"/>
              <w:ind w:left="265"/>
              <w:rPr>
                <w:sz w:val="20"/>
                <w:szCs w:val="20"/>
              </w:rPr>
            </w:pPr>
            <w:r>
              <w:rPr>
                <w:spacing w:val="4"/>
                <w:position w:val="1"/>
                <w:sz w:val="20"/>
                <w:szCs w:val="20"/>
              </w:rPr>
              <w:t>（</w:t>
            </w:r>
            <w:r>
              <w:rPr>
                <w:rFonts w:ascii="Times New Roman" w:hAnsi="Times New Roman" w:eastAsia="Times New Roman" w:cs="Times New Roman"/>
                <w:position w:val="1"/>
                <w:sz w:val="20"/>
                <w:szCs w:val="20"/>
              </w:rPr>
              <w:t>MPN</w:t>
            </w:r>
            <w:r>
              <w:rPr>
                <w:rFonts w:ascii="Times New Roman" w:hAnsi="Times New Roman" w:eastAsia="Times New Roman" w:cs="Times New Roman"/>
                <w:spacing w:val="4"/>
                <w:position w:val="1"/>
                <w:sz w:val="20"/>
                <w:szCs w:val="20"/>
              </w:rPr>
              <w:t>/L</w:t>
            </w:r>
            <w:r>
              <w:rPr>
                <w:spacing w:val="4"/>
                <w:position w:val="1"/>
                <w:sz w:val="20"/>
                <w:szCs w:val="20"/>
              </w:rPr>
              <w:t>）</w:t>
            </w:r>
          </w:p>
        </w:tc>
        <w:tc>
          <w:tcPr>
            <w:tcW w:w="1223" w:type="dxa"/>
            <w:vMerge w:val="continue"/>
            <w:tcBorders>
              <w:top w:val="nil"/>
              <w:right w:val="single" w:color="000000" w:sz="10" w:space="0"/>
            </w:tcBorders>
            <w:vAlign w:val="top"/>
          </w:tcPr>
          <w:p w14:paraId="4F68B731">
            <w:pPr>
              <w:rPr>
                <w:rFonts w:ascii="Arial"/>
                <w:sz w:val="21"/>
              </w:rPr>
            </w:pPr>
          </w:p>
        </w:tc>
      </w:tr>
      <w:tr w14:paraId="1BE8DD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9" w:hRule="atLeast"/>
        </w:trPr>
        <w:tc>
          <w:tcPr>
            <w:tcW w:w="330" w:type="dxa"/>
            <w:tcBorders>
              <w:left w:val="single" w:color="000000" w:sz="10" w:space="0"/>
            </w:tcBorders>
            <w:vAlign w:val="top"/>
          </w:tcPr>
          <w:p w14:paraId="38E6F50B">
            <w:pPr>
              <w:spacing w:line="331" w:lineRule="auto"/>
              <w:rPr>
                <w:rFonts w:ascii="Arial"/>
                <w:sz w:val="21"/>
              </w:rPr>
            </w:pPr>
          </w:p>
          <w:p w14:paraId="7A06463D">
            <w:pPr>
              <w:spacing w:before="57" w:line="195" w:lineRule="auto"/>
              <w:ind w:left="6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p>
        </w:tc>
        <w:tc>
          <w:tcPr>
            <w:tcW w:w="1425" w:type="dxa"/>
            <w:vMerge w:val="restart"/>
            <w:tcBorders>
              <w:bottom w:val="nil"/>
            </w:tcBorders>
            <w:vAlign w:val="top"/>
          </w:tcPr>
          <w:p w14:paraId="39A822E7">
            <w:pPr>
              <w:spacing w:line="249" w:lineRule="auto"/>
              <w:rPr>
                <w:rFonts w:ascii="Arial"/>
                <w:sz w:val="21"/>
              </w:rPr>
            </w:pPr>
          </w:p>
          <w:p w14:paraId="20FF8D17">
            <w:pPr>
              <w:spacing w:line="249" w:lineRule="auto"/>
              <w:rPr>
                <w:rFonts w:ascii="Arial"/>
                <w:sz w:val="21"/>
              </w:rPr>
            </w:pPr>
          </w:p>
          <w:p w14:paraId="371C3A52">
            <w:pPr>
              <w:spacing w:line="250" w:lineRule="auto"/>
              <w:rPr>
                <w:rFonts w:ascii="Arial"/>
                <w:sz w:val="21"/>
              </w:rPr>
            </w:pPr>
          </w:p>
          <w:p w14:paraId="4ABB1CCD">
            <w:pPr>
              <w:spacing w:before="57" w:line="195" w:lineRule="auto"/>
              <w:ind w:left="4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2023.8.18~8.20</w:t>
            </w:r>
          </w:p>
        </w:tc>
        <w:tc>
          <w:tcPr>
            <w:tcW w:w="1774" w:type="dxa"/>
            <w:vAlign w:val="top"/>
          </w:tcPr>
          <w:p w14:paraId="7E29AEDD">
            <w:pPr>
              <w:pStyle w:val="6"/>
              <w:spacing w:before="218" w:line="252" w:lineRule="auto"/>
              <w:ind w:left="112" w:right="78" w:firstLine="45"/>
              <w:rPr>
                <w:sz w:val="20"/>
                <w:szCs w:val="20"/>
              </w:rPr>
            </w:pPr>
            <w:r>
              <w:rPr>
                <w:spacing w:val="7"/>
                <w:sz w:val="20"/>
                <w:szCs w:val="20"/>
              </w:rPr>
              <w:t>污水处理厂排污</w:t>
            </w:r>
            <w:r>
              <w:rPr>
                <w:sz w:val="20"/>
                <w:szCs w:val="20"/>
              </w:rPr>
              <w:t xml:space="preserve">  </w:t>
            </w:r>
            <w:r>
              <w:rPr>
                <w:spacing w:val="-2"/>
                <w:sz w:val="20"/>
                <w:szCs w:val="20"/>
              </w:rPr>
              <w:t>口上游</w:t>
            </w:r>
            <w:r>
              <w:rPr>
                <w:spacing w:val="-33"/>
                <w:sz w:val="20"/>
                <w:szCs w:val="20"/>
              </w:rPr>
              <w:t xml:space="preserve"> </w:t>
            </w:r>
            <w:r>
              <w:rPr>
                <w:rFonts w:ascii="Times New Roman" w:hAnsi="Times New Roman" w:eastAsia="Times New Roman" w:cs="Times New Roman"/>
                <w:spacing w:val="-2"/>
                <w:sz w:val="20"/>
                <w:szCs w:val="20"/>
              </w:rPr>
              <w:t>500m</w:t>
            </w:r>
            <w:r>
              <w:rPr>
                <w:rFonts w:ascii="Times New Roman" w:hAnsi="Times New Roman" w:eastAsia="Times New Roman" w:cs="Times New Roman"/>
                <w:spacing w:val="22"/>
                <w:w w:val="101"/>
                <w:sz w:val="20"/>
                <w:szCs w:val="20"/>
              </w:rPr>
              <w:t xml:space="preserve"> </w:t>
            </w:r>
            <w:r>
              <w:rPr>
                <w:spacing w:val="-2"/>
                <w:sz w:val="20"/>
                <w:szCs w:val="20"/>
              </w:rPr>
              <w:t>断面</w:t>
            </w:r>
          </w:p>
        </w:tc>
        <w:tc>
          <w:tcPr>
            <w:tcW w:w="328" w:type="dxa"/>
            <w:textDirection w:val="tbRlV"/>
            <w:vAlign w:val="top"/>
          </w:tcPr>
          <w:p w14:paraId="17556DC9">
            <w:pPr>
              <w:pStyle w:val="6"/>
              <w:spacing w:before="63" w:line="217" w:lineRule="auto"/>
              <w:ind w:left="217"/>
              <w:rPr>
                <w:sz w:val="20"/>
                <w:szCs w:val="20"/>
              </w:rPr>
            </w:pPr>
            <w:r>
              <w:rPr>
                <w:spacing w:val="13"/>
                <w:sz w:val="20"/>
                <w:szCs w:val="20"/>
              </w:rPr>
              <w:t>Ⅲ</w:t>
            </w:r>
            <w:r>
              <w:rPr>
                <w:spacing w:val="-40"/>
                <w:sz w:val="20"/>
                <w:szCs w:val="20"/>
              </w:rPr>
              <w:t xml:space="preserve"> </w:t>
            </w:r>
            <w:r>
              <w:rPr>
                <w:spacing w:val="13"/>
                <w:sz w:val="20"/>
                <w:szCs w:val="20"/>
              </w:rPr>
              <w:t>类</w:t>
            </w:r>
          </w:p>
        </w:tc>
        <w:tc>
          <w:tcPr>
            <w:tcW w:w="1063" w:type="dxa"/>
            <w:vAlign w:val="top"/>
          </w:tcPr>
          <w:p w14:paraId="2F6252DF">
            <w:pPr>
              <w:spacing w:line="331" w:lineRule="auto"/>
              <w:rPr>
                <w:rFonts w:ascii="Arial"/>
                <w:sz w:val="21"/>
              </w:rPr>
            </w:pPr>
          </w:p>
          <w:p w14:paraId="23A4570C">
            <w:pPr>
              <w:spacing w:before="57"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8.4~8.5</w:t>
            </w:r>
          </w:p>
        </w:tc>
        <w:tc>
          <w:tcPr>
            <w:tcW w:w="749" w:type="dxa"/>
            <w:vAlign w:val="top"/>
          </w:tcPr>
          <w:p w14:paraId="0A5F8E56">
            <w:pPr>
              <w:spacing w:line="331" w:lineRule="auto"/>
              <w:rPr>
                <w:rFonts w:ascii="Arial"/>
                <w:sz w:val="21"/>
              </w:rPr>
            </w:pPr>
          </w:p>
          <w:p w14:paraId="71543E8A">
            <w:pPr>
              <w:spacing w:before="57" w:line="195" w:lineRule="auto"/>
              <w:ind w:left="16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8~</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5"/>
                <w:sz w:val="20"/>
                <w:szCs w:val="20"/>
              </w:rPr>
              <w:t>10</w:t>
            </w:r>
          </w:p>
        </w:tc>
        <w:tc>
          <w:tcPr>
            <w:tcW w:w="854" w:type="dxa"/>
            <w:vAlign w:val="top"/>
          </w:tcPr>
          <w:p w14:paraId="04F8CF73">
            <w:pPr>
              <w:spacing w:line="331" w:lineRule="auto"/>
              <w:rPr>
                <w:rFonts w:ascii="Arial"/>
                <w:sz w:val="21"/>
              </w:rPr>
            </w:pPr>
          </w:p>
          <w:p w14:paraId="4D479578">
            <w:pPr>
              <w:spacing w:before="57" w:line="195" w:lineRule="auto"/>
              <w:ind w:left="10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2.6~2.7</w:t>
            </w:r>
          </w:p>
        </w:tc>
        <w:tc>
          <w:tcPr>
            <w:tcW w:w="1168" w:type="dxa"/>
            <w:vAlign w:val="top"/>
          </w:tcPr>
          <w:p w14:paraId="32529679">
            <w:pPr>
              <w:spacing w:line="331" w:lineRule="auto"/>
              <w:rPr>
                <w:rFonts w:ascii="Arial"/>
                <w:sz w:val="21"/>
              </w:rPr>
            </w:pPr>
          </w:p>
          <w:p w14:paraId="490F049D">
            <w:pPr>
              <w:spacing w:before="57" w:line="195" w:lineRule="auto"/>
              <w:ind w:left="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0.152~0.162</w:t>
            </w:r>
          </w:p>
        </w:tc>
        <w:tc>
          <w:tcPr>
            <w:tcW w:w="953" w:type="dxa"/>
            <w:vAlign w:val="top"/>
          </w:tcPr>
          <w:p w14:paraId="5E5C0A57">
            <w:pPr>
              <w:spacing w:line="331" w:lineRule="auto"/>
              <w:rPr>
                <w:rFonts w:ascii="Arial"/>
                <w:sz w:val="21"/>
              </w:rPr>
            </w:pPr>
          </w:p>
          <w:p w14:paraId="164447B3">
            <w:pPr>
              <w:spacing w:before="57" w:line="195" w:lineRule="auto"/>
              <w:ind w:left="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0.84~0.94</w:t>
            </w:r>
          </w:p>
        </w:tc>
        <w:tc>
          <w:tcPr>
            <w:tcW w:w="1063" w:type="dxa"/>
            <w:vAlign w:val="top"/>
          </w:tcPr>
          <w:p w14:paraId="4C628F43">
            <w:pPr>
              <w:spacing w:line="331" w:lineRule="auto"/>
              <w:rPr>
                <w:rFonts w:ascii="Arial"/>
                <w:sz w:val="21"/>
              </w:rPr>
            </w:pPr>
          </w:p>
          <w:p w14:paraId="4B81BF7C">
            <w:pPr>
              <w:spacing w:before="57"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0.05~0.08</w:t>
            </w:r>
          </w:p>
        </w:tc>
        <w:tc>
          <w:tcPr>
            <w:tcW w:w="834" w:type="dxa"/>
            <w:vAlign w:val="top"/>
          </w:tcPr>
          <w:p w14:paraId="0964B00D">
            <w:pPr>
              <w:spacing w:line="331" w:lineRule="auto"/>
              <w:rPr>
                <w:rFonts w:ascii="Arial"/>
                <w:sz w:val="21"/>
              </w:rPr>
            </w:pPr>
          </w:p>
          <w:p w14:paraId="3F2416F4">
            <w:pPr>
              <w:spacing w:before="57" w:line="195" w:lineRule="auto"/>
              <w:ind w:left="1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0.01L</w:t>
            </w:r>
          </w:p>
        </w:tc>
        <w:tc>
          <w:tcPr>
            <w:tcW w:w="858" w:type="dxa"/>
            <w:vAlign w:val="top"/>
          </w:tcPr>
          <w:p w14:paraId="00B9EE6D">
            <w:pPr>
              <w:spacing w:line="331" w:lineRule="auto"/>
              <w:rPr>
                <w:rFonts w:ascii="Arial"/>
                <w:sz w:val="21"/>
              </w:rPr>
            </w:pPr>
          </w:p>
          <w:p w14:paraId="759246F2">
            <w:pPr>
              <w:spacing w:before="57" w:line="195" w:lineRule="auto"/>
              <w:ind w:left="1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0.05L</w:t>
            </w:r>
          </w:p>
        </w:tc>
        <w:tc>
          <w:tcPr>
            <w:tcW w:w="1544" w:type="dxa"/>
            <w:vAlign w:val="top"/>
          </w:tcPr>
          <w:p w14:paraId="619ECBFE">
            <w:pPr>
              <w:spacing w:line="311" w:lineRule="auto"/>
              <w:rPr>
                <w:rFonts w:ascii="Arial"/>
                <w:sz w:val="21"/>
              </w:rPr>
            </w:pPr>
          </w:p>
          <w:p w14:paraId="620B3FA6">
            <w:pPr>
              <w:spacing w:before="57" w:line="215" w:lineRule="auto"/>
              <w:ind w:left="62"/>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2.2</w:t>
            </w:r>
            <w:r>
              <w:rPr>
                <w:rFonts w:ascii="Arial" w:hAnsi="Arial" w:eastAsia="Arial" w:cs="Arial"/>
                <w:spacing w:val="4"/>
                <w:sz w:val="20"/>
                <w:szCs w:val="20"/>
              </w:rPr>
              <w:t>×</w:t>
            </w:r>
            <w:r>
              <w:rPr>
                <w:rFonts w:ascii="Times New Roman" w:hAnsi="Times New Roman" w:eastAsia="Times New Roman" w:cs="Times New Roman"/>
                <w:spacing w:val="4"/>
                <w:sz w:val="20"/>
                <w:szCs w:val="20"/>
              </w:rPr>
              <w:t>10</w:t>
            </w:r>
            <w:r>
              <w:rPr>
                <w:rFonts w:ascii="Times New Roman" w:hAnsi="Times New Roman" w:eastAsia="Times New Roman" w:cs="Times New Roman"/>
                <w:spacing w:val="4"/>
                <w:position w:val="6"/>
                <w:sz w:val="13"/>
                <w:szCs w:val="13"/>
              </w:rPr>
              <w:t>2</w:t>
            </w:r>
            <w:r>
              <w:rPr>
                <w:rFonts w:ascii="Times New Roman" w:hAnsi="Times New Roman" w:eastAsia="Times New Roman" w:cs="Times New Roman"/>
                <w:spacing w:val="4"/>
                <w:sz w:val="20"/>
                <w:szCs w:val="20"/>
              </w:rPr>
              <w:t>~2.4</w:t>
            </w:r>
            <w:r>
              <w:rPr>
                <w:rFonts w:ascii="Arial" w:hAnsi="Arial" w:eastAsia="Arial" w:cs="Arial"/>
                <w:spacing w:val="4"/>
                <w:sz w:val="20"/>
                <w:szCs w:val="20"/>
              </w:rPr>
              <w:t>×</w:t>
            </w:r>
            <w:r>
              <w:rPr>
                <w:rFonts w:ascii="Times New Roman" w:hAnsi="Times New Roman" w:eastAsia="Times New Roman" w:cs="Times New Roman"/>
                <w:spacing w:val="4"/>
                <w:sz w:val="20"/>
                <w:szCs w:val="20"/>
              </w:rPr>
              <w:t>10</w:t>
            </w:r>
            <w:r>
              <w:rPr>
                <w:rFonts w:ascii="Times New Roman" w:hAnsi="Times New Roman" w:eastAsia="Times New Roman" w:cs="Times New Roman"/>
                <w:spacing w:val="4"/>
                <w:position w:val="6"/>
                <w:sz w:val="13"/>
                <w:szCs w:val="13"/>
              </w:rPr>
              <w:t>2</w:t>
            </w:r>
          </w:p>
        </w:tc>
        <w:tc>
          <w:tcPr>
            <w:tcW w:w="1223" w:type="dxa"/>
            <w:vMerge w:val="restart"/>
            <w:tcBorders>
              <w:bottom w:val="nil"/>
              <w:right w:val="single" w:color="000000" w:sz="10" w:space="0"/>
            </w:tcBorders>
            <w:vAlign w:val="top"/>
          </w:tcPr>
          <w:p w14:paraId="3E038AFD">
            <w:pPr>
              <w:spacing w:line="283" w:lineRule="auto"/>
              <w:rPr>
                <w:rFonts w:ascii="Arial"/>
                <w:sz w:val="21"/>
              </w:rPr>
            </w:pPr>
          </w:p>
          <w:p w14:paraId="5A4C5161">
            <w:pPr>
              <w:pStyle w:val="6"/>
              <w:spacing w:before="65" w:line="232" w:lineRule="auto"/>
              <w:ind w:left="106"/>
              <w:rPr>
                <w:sz w:val="20"/>
                <w:szCs w:val="20"/>
              </w:rPr>
            </w:pPr>
            <w:r>
              <w:rPr>
                <w:spacing w:val="6"/>
                <w:sz w:val="20"/>
                <w:szCs w:val="20"/>
              </w:rPr>
              <w:t>黔江区沙坝</w:t>
            </w:r>
          </w:p>
          <w:p w14:paraId="75023142">
            <w:pPr>
              <w:pStyle w:val="6"/>
              <w:spacing w:before="19" w:line="232" w:lineRule="auto"/>
              <w:ind w:left="101"/>
              <w:rPr>
                <w:sz w:val="20"/>
                <w:szCs w:val="20"/>
              </w:rPr>
            </w:pPr>
            <w:r>
              <w:rPr>
                <w:spacing w:val="7"/>
                <w:sz w:val="20"/>
                <w:szCs w:val="20"/>
              </w:rPr>
              <w:t>镇污水处理</w:t>
            </w:r>
          </w:p>
          <w:p w14:paraId="443BAE8B">
            <w:pPr>
              <w:pStyle w:val="6"/>
              <w:spacing w:before="19" w:line="232" w:lineRule="auto"/>
              <w:ind w:left="101"/>
              <w:rPr>
                <w:sz w:val="20"/>
                <w:szCs w:val="20"/>
              </w:rPr>
            </w:pPr>
            <w:r>
              <w:rPr>
                <w:spacing w:val="7"/>
                <w:sz w:val="20"/>
                <w:szCs w:val="20"/>
              </w:rPr>
              <w:t>厂改扩建工</w:t>
            </w:r>
          </w:p>
          <w:p w14:paraId="71FA5E79">
            <w:pPr>
              <w:pStyle w:val="6"/>
              <w:spacing w:before="22" w:line="253" w:lineRule="auto"/>
              <w:ind w:left="312" w:right="70" w:hanging="209"/>
              <w:rPr>
                <w:sz w:val="20"/>
                <w:szCs w:val="20"/>
              </w:rPr>
            </w:pPr>
            <w:r>
              <w:rPr>
                <w:spacing w:val="6"/>
                <w:sz w:val="20"/>
                <w:szCs w:val="20"/>
              </w:rPr>
              <w:t>程环境影响</w:t>
            </w:r>
            <w:r>
              <w:rPr>
                <w:spacing w:val="2"/>
                <w:sz w:val="20"/>
                <w:szCs w:val="20"/>
              </w:rPr>
              <w:t xml:space="preserve"> </w:t>
            </w:r>
            <w:r>
              <w:rPr>
                <w:spacing w:val="5"/>
                <w:sz w:val="20"/>
                <w:szCs w:val="20"/>
              </w:rPr>
              <w:t>报告表</w:t>
            </w:r>
          </w:p>
        </w:tc>
      </w:tr>
      <w:tr w14:paraId="03D438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9" w:hRule="atLeast"/>
        </w:trPr>
        <w:tc>
          <w:tcPr>
            <w:tcW w:w="330" w:type="dxa"/>
            <w:tcBorders>
              <w:left w:val="single" w:color="000000" w:sz="10" w:space="0"/>
            </w:tcBorders>
            <w:vAlign w:val="top"/>
          </w:tcPr>
          <w:p w14:paraId="0C0B8609">
            <w:pPr>
              <w:spacing w:line="414" w:lineRule="auto"/>
              <w:rPr>
                <w:rFonts w:ascii="Arial"/>
                <w:sz w:val="21"/>
              </w:rPr>
            </w:pPr>
          </w:p>
          <w:p w14:paraId="343FEE43">
            <w:pPr>
              <w:spacing w:before="58" w:line="195" w:lineRule="auto"/>
              <w:ind w:left="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w:t>
            </w:r>
          </w:p>
        </w:tc>
        <w:tc>
          <w:tcPr>
            <w:tcW w:w="1425" w:type="dxa"/>
            <w:vMerge w:val="continue"/>
            <w:tcBorders>
              <w:top w:val="nil"/>
            </w:tcBorders>
            <w:vAlign w:val="top"/>
          </w:tcPr>
          <w:p w14:paraId="65949C00">
            <w:pPr>
              <w:rPr>
                <w:rFonts w:ascii="Arial"/>
                <w:sz w:val="21"/>
              </w:rPr>
            </w:pPr>
          </w:p>
        </w:tc>
        <w:tc>
          <w:tcPr>
            <w:tcW w:w="1774" w:type="dxa"/>
            <w:vAlign w:val="top"/>
          </w:tcPr>
          <w:p w14:paraId="5AED60F6">
            <w:pPr>
              <w:pStyle w:val="6"/>
              <w:spacing w:before="165" w:line="231" w:lineRule="auto"/>
              <w:ind w:left="158"/>
              <w:rPr>
                <w:sz w:val="20"/>
                <w:szCs w:val="20"/>
              </w:rPr>
            </w:pPr>
            <w:r>
              <w:rPr>
                <w:spacing w:val="7"/>
                <w:sz w:val="20"/>
                <w:szCs w:val="20"/>
              </w:rPr>
              <w:t>污水处理厂排污</w:t>
            </w:r>
          </w:p>
          <w:p w14:paraId="459B90FB">
            <w:pPr>
              <w:pStyle w:val="6"/>
              <w:spacing w:before="23" w:line="229" w:lineRule="auto"/>
              <w:ind w:left="162"/>
              <w:rPr>
                <w:sz w:val="20"/>
                <w:szCs w:val="20"/>
              </w:rPr>
            </w:pPr>
            <w:r>
              <w:rPr>
                <w:spacing w:val="-1"/>
                <w:sz w:val="20"/>
                <w:szCs w:val="20"/>
              </w:rPr>
              <w:t>口下游</w:t>
            </w:r>
            <w:r>
              <w:rPr>
                <w:spacing w:val="-33"/>
                <w:sz w:val="20"/>
                <w:szCs w:val="20"/>
              </w:rPr>
              <w:t xml:space="preserve"> </w:t>
            </w:r>
            <w:r>
              <w:rPr>
                <w:rFonts w:ascii="Times New Roman" w:hAnsi="Times New Roman" w:eastAsia="Times New Roman" w:cs="Times New Roman"/>
                <w:spacing w:val="-1"/>
                <w:sz w:val="20"/>
                <w:szCs w:val="20"/>
              </w:rPr>
              <w:t>2000m</w:t>
            </w:r>
            <w:r>
              <w:rPr>
                <w:rFonts w:ascii="Times New Roman" w:hAnsi="Times New Roman" w:eastAsia="Times New Roman" w:cs="Times New Roman"/>
                <w:spacing w:val="25"/>
                <w:sz w:val="20"/>
                <w:szCs w:val="20"/>
              </w:rPr>
              <w:t xml:space="preserve"> </w:t>
            </w:r>
            <w:r>
              <w:rPr>
                <w:spacing w:val="-1"/>
                <w:sz w:val="20"/>
                <w:szCs w:val="20"/>
              </w:rPr>
              <w:t>断</w:t>
            </w:r>
          </w:p>
          <w:p w14:paraId="1C9524FA">
            <w:pPr>
              <w:pStyle w:val="6"/>
              <w:spacing w:before="22" w:line="235" w:lineRule="auto"/>
              <w:ind w:left="789"/>
              <w:rPr>
                <w:sz w:val="20"/>
                <w:szCs w:val="20"/>
              </w:rPr>
            </w:pPr>
            <w:r>
              <w:rPr>
                <w:sz w:val="20"/>
                <w:szCs w:val="20"/>
              </w:rPr>
              <w:t>面</w:t>
            </w:r>
          </w:p>
        </w:tc>
        <w:tc>
          <w:tcPr>
            <w:tcW w:w="328" w:type="dxa"/>
            <w:textDirection w:val="tbRlV"/>
            <w:vAlign w:val="top"/>
          </w:tcPr>
          <w:p w14:paraId="100684F8">
            <w:pPr>
              <w:pStyle w:val="6"/>
              <w:spacing w:before="63" w:line="217" w:lineRule="auto"/>
              <w:ind w:left="302"/>
              <w:rPr>
                <w:sz w:val="20"/>
                <w:szCs w:val="20"/>
              </w:rPr>
            </w:pPr>
            <w:r>
              <w:rPr>
                <w:spacing w:val="13"/>
                <w:sz w:val="20"/>
                <w:szCs w:val="20"/>
              </w:rPr>
              <w:t>Ⅲ</w:t>
            </w:r>
            <w:r>
              <w:rPr>
                <w:spacing w:val="-40"/>
                <w:sz w:val="20"/>
                <w:szCs w:val="20"/>
              </w:rPr>
              <w:t xml:space="preserve"> </w:t>
            </w:r>
            <w:r>
              <w:rPr>
                <w:spacing w:val="13"/>
                <w:sz w:val="20"/>
                <w:szCs w:val="20"/>
              </w:rPr>
              <w:t>类</w:t>
            </w:r>
          </w:p>
        </w:tc>
        <w:tc>
          <w:tcPr>
            <w:tcW w:w="1063" w:type="dxa"/>
            <w:vAlign w:val="top"/>
          </w:tcPr>
          <w:p w14:paraId="504E7C13">
            <w:pPr>
              <w:spacing w:line="414" w:lineRule="auto"/>
              <w:rPr>
                <w:rFonts w:ascii="Arial"/>
                <w:sz w:val="21"/>
              </w:rPr>
            </w:pPr>
          </w:p>
          <w:p w14:paraId="46A03373">
            <w:pPr>
              <w:spacing w:before="58" w:line="195" w:lineRule="auto"/>
              <w:ind w:left="2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7.6~7.7</w:t>
            </w:r>
          </w:p>
        </w:tc>
        <w:tc>
          <w:tcPr>
            <w:tcW w:w="749" w:type="dxa"/>
            <w:vAlign w:val="top"/>
          </w:tcPr>
          <w:p w14:paraId="648FBB18">
            <w:pPr>
              <w:spacing w:line="414" w:lineRule="auto"/>
              <w:rPr>
                <w:rFonts w:ascii="Arial"/>
                <w:sz w:val="21"/>
              </w:rPr>
            </w:pPr>
          </w:p>
          <w:p w14:paraId="2291DB5A">
            <w:pPr>
              <w:spacing w:before="58"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854" w:type="dxa"/>
            <w:vAlign w:val="top"/>
          </w:tcPr>
          <w:p w14:paraId="30E40329">
            <w:pPr>
              <w:spacing w:line="414" w:lineRule="auto"/>
              <w:rPr>
                <w:rFonts w:ascii="Arial"/>
                <w:sz w:val="21"/>
              </w:rPr>
            </w:pPr>
          </w:p>
          <w:p w14:paraId="7EEBBF4F">
            <w:pPr>
              <w:spacing w:before="58" w:line="195" w:lineRule="auto"/>
              <w:ind w:left="10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2.7~2.9</w:t>
            </w:r>
          </w:p>
        </w:tc>
        <w:tc>
          <w:tcPr>
            <w:tcW w:w="1168" w:type="dxa"/>
            <w:vAlign w:val="top"/>
          </w:tcPr>
          <w:p w14:paraId="7E103BE3">
            <w:pPr>
              <w:spacing w:line="414" w:lineRule="auto"/>
              <w:rPr>
                <w:rFonts w:ascii="Arial"/>
                <w:sz w:val="21"/>
              </w:rPr>
            </w:pPr>
          </w:p>
          <w:p w14:paraId="3A9631C0">
            <w:pPr>
              <w:spacing w:before="58" w:line="195" w:lineRule="auto"/>
              <w:ind w:left="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0.184~0.208</w:t>
            </w:r>
          </w:p>
        </w:tc>
        <w:tc>
          <w:tcPr>
            <w:tcW w:w="953" w:type="dxa"/>
            <w:vAlign w:val="top"/>
          </w:tcPr>
          <w:p w14:paraId="65267343">
            <w:pPr>
              <w:spacing w:line="414" w:lineRule="auto"/>
              <w:rPr>
                <w:rFonts w:ascii="Arial"/>
                <w:sz w:val="21"/>
              </w:rPr>
            </w:pPr>
          </w:p>
          <w:p w14:paraId="6248CD1A">
            <w:pPr>
              <w:spacing w:before="58" w:line="195" w:lineRule="auto"/>
              <w:ind w:left="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0.90~0.96</w:t>
            </w:r>
          </w:p>
        </w:tc>
        <w:tc>
          <w:tcPr>
            <w:tcW w:w="1063" w:type="dxa"/>
            <w:vAlign w:val="top"/>
          </w:tcPr>
          <w:p w14:paraId="6A228CE7">
            <w:pPr>
              <w:spacing w:line="414" w:lineRule="auto"/>
              <w:rPr>
                <w:rFonts w:ascii="Arial"/>
                <w:sz w:val="21"/>
              </w:rPr>
            </w:pPr>
          </w:p>
          <w:p w14:paraId="2B65BF2B">
            <w:pPr>
              <w:spacing w:before="58" w:line="195" w:lineRule="auto"/>
              <w:ind w:left="115"/>
              <w:rPr>
                <w:rFonts w:ascii="Times New Roman" w:hAnsi="Times New Roman" w:eastAsia="Times New Roman" w:cs="Times New Roman"/>
                <w:sz w:val="20"/>
                <w:szCs w:val="20"/>
              </w:rPr>
            </w:pPr>
            <w:r>
              <w:rPr>
                <w:rFonts w:ascii="Times New Roman" w:hAnsi="Times New Roman" w:eastAsia="Times New Roman" w:cs="Times New Roman"/>
                <w:sz w:val="20"/>
                <w:szCs w:val="20"/>
              </w:rPr>
              <w:t>0.09~0.</w:t>
            </w:r>
            <w:r>
              <w:rPr>
                <w:rFonts w:ascii="Times New Roman" w:hAnsi="Times New Roman" w:eastAsia="Times New Roman" w:cs="Times New Roman"/>
                <w:spacing w:val="-19"/>
                <w:sz w:val="20"/>
                <w:szCs w:val="20"/>
              </w:rPr>
              <w:t xml:space="preserve"> </w:t>
            </w:r>
            <w:r>
              <w:rPr>
                <w:rFonts w:ascii="Times New Roman" w:hAnsi="Times New Roman" w:eastAsia="Times New Roman" w:cs="Times New Roman"/>
                <w:sz w:val="20"/>
                <w:szCs w:val="20"/>
              </w:rPr>
              <w:t>12</w:t>
            </w:r>
          </w:p>
        </w:tc>
        <w:tc>
          <w:tcPr>
            <w:tcW w:w="834" w:type="dxa"/>
            <w:vAlign w:val="top"/>
          </w:tcPr>
          <w:p w14:paraId="66765F8A">
            <w:pPr>
              <w:spacing w:line="414" w:lineRule="auto"/>
              <w:rPr>
                <w:rFonts w:ascii="Arial"/>
                <w:sz w:val="21"/>
              </w:rPr>
            </w:pPr>
          </w:p>
          <w:p w14:paraId="21D23EF0">
            <w:pPr>
              <w:spacing w:before="58" w:line="195" w:lineRule="auto"/>
              <w:ind w:left="1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0.01L</w:t>
            </w:r>
          </w:p>
        </w:tc>
        <w:tc>
          <w:tcPr>
            <w:tcW w:w="858" w:type="dxa"/>
            <w:vAlign w:val="top"/>
          </w:tcPr>
          <w:p w14:paraId="50D21C8C">
            <w:pPr>
              <w:spacing w:line="414" w:lineRule="auto"/>
              <w:rPr>
                <w:rFonts w:ascii="Arial"/>
                <w:sz w:val="21"/>
              </w:rPr>
            </w:pPr>
          </w:p>
          <w:p w14:paraId="29FC8549">
            <w:pPr>
              <w:spacing w:before="58" w:line="195" w:lineRule="auto"/>
              <w:ind w:left="1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0.05L</w:t>
            </w:r>
          </w:p>
        </w:tc>
        <w:tc>
          <w:tcPr>
            <w:tcW w:w="1544" w:type="dxa"/>
            <w:vAlign w:val="top"/>
          </w:tcPr>
          <w:p w14:paraId="1DC59768">
            <w:pPr>
              <w:spacing w:line="395" w:lineRule="auto"/>
              <w:rPr>
                <w:rFonts w:ascii="Arial"/>
                <w:sz w:val="21"/>
              </w:rPr>
            </w:pPr>
          </w:p>
          <w:p w14:paraId="5600AD08">
            <w:pPr>
              <w:spacing w:before="57" w:line="215" w:lineRule="auto"/>
              <w:ind w:left="82"/>
              <w:rPr>
                <w:rFonts w:ascii="Times New Roman" w:hAnsi="Times New Roman" w:eastAsia="Times New Roman" w:cs="Times New Roman"/>
                <w:sz w:val="13"/>
                <w:szCs w:val="13"/>
              </w:rPr>
            </w:pPr>
            <w:r>
              <w:rPr>
                <w:rFonts w:ascii="Times New Roman" w:hAnsi="Times New Roman" w:eastAsia="Times New Roman" w:cs="Times New Roman"/>
                <w:sz w:val="20"/>
                <w:szCs w:val="20"/>
              </w:rPr>
              <w:t>1.8</w:t>
            </w:r>
            <w:r>
              <w:rPr>
                <w:rFonts w:ascii="Times New Roman" w:hAnsi="Times New Roman" w:eastAsia="Times New Roman" w:cs="Times New Roman"/>
                <w:spacing w:val="-26"/>
                <w:sz w:val="20"/>
                <w:szCs w:val="20"/>
              </w:rPr>
              <w:t xml:space="preserve"> </w:t>
            </w:r>
            <w:r>
              <w:rPr>
                <w:rFonts w:ascii="Arial" w:hAnsi="Arial" w:eastAsia="Arial" w:cs="Arial"/>
                <w:sz w:val="20"/>
                <w:szCs w:val="20"/>
              </w:rPr>
              <w:t>×</w:t>
            </w:r>
            <w:r>
              <w:rPr>
                <w:rFonts w:ascii="Times New Roman" w:hAnsi="Times New Roman" w:eastAsia="Times New Roman" w:cs="Times New Roman"/>
                <w:sz w:val="20"/>
                <w:szCs w:val="20"/>
              </w:rPr>
              <w:t>10</w:t>
            </w:r>
            <w:r>
              <w:rPr>
                <w:rFonts w:ascii="Times New Roman" w:hAnsi="Times New Roman" w:eastAsia="Times New Roman" w:cs="Times New Roman"/>
                <w:position w:val="6"/>
                <w:sz w:val="13"/>
                <w:szCs w:val="13"/>
              </w:rPr>
              <w:t>2</w:t>
            </w:r>
            <w:r>
              <w:rPr>
                <w:rFonts w:ascii="Times New Roman" w:hAnsi="Times New Roman" w:eastAsia="Times New Roman" w:cs="Times New Roman"/>
                <w:sz w:val="20"/>
                <w:szCs w:val="20"/>
              </w:rPr>
              <w:t>~2.8</w:t>
            </w:r>
            <w:r>
              <w:rPr>
                <w:rFonts w:ascii="Times New Roman" w:hAnsi="Times New Roman" w:eastAsia="Times New Roman" w:cs="Times New Roman"/>
                <w:spacing w:val="-33"/>
                <w:sz w:val="20"/>
                <w:szCs w:val="20"/>
              </w:rPr>
              <w:t xml:space="preserve"> </w:t>
            </w:r>
            <w:r>
              <w:rPr>
                <w:rFonts w:ascii="Arial" w:hAnsi="Arial" w:eastAsia="Arial" w:cs="Arial"/>
                <w:sz w:val="20"/>
                <w:szCs w:val="20"/>
              </w:rPr>
              <w:t>×</w:t>
            </w:r>
            <w:r>
              <w:rPr>
                <w:rFonts w:ascii="Times New Roman" w:hAnsi="Times New Roman" w:eastAsia="Times New Roman" w:cs="Times New Roman"/>
                <w:sz w:val="20"/>
                <w:szCs w:val="20"/>
              </w:rPr>
              <w:t>10</w:t>
            </w:r>
            <w:r>
              <w:rPr>
                <w:rFonts w:ascii="Times New Roman" w:hAnsi="Times New Roman" w:eastAsia="Times New Roman" w:cs="Times New Roman"/>
                <w:position w:val="6"/>
                <w:sz w:val="13"/>
                <w:szCs w:val="13"/>
              </w:rPr>
              <w:t>2</w:t>
            </w:r>
          </w:p>
        </w:tc>
        <w:tc>
          <w:tcPr>
            <w:tcW w:w="1223" w:type="dxa"/>
            <w:vMerge w:val="continue"/>
            <w:tcBorders>
              <w:top w:val="nil"/>
              <w:right w:val="single" w:color="000000" w:sz="10" w:space="0"/>
            </w:tcBorders>
            <w:vAlign w:val="top"/>
          </w:tcPr>
          <w:p w14:paraId="709340A9">
            <w:pPr>
              <w:rPr>
                <w:rFonts w:ascii="Arial"/>
                <w:sz w:val="21"/>
              </w:rPr>
            </w:pPr>
          </w:p>
        </w:tc>
      </w:tr>
      <w:tr w14:paraId="17B97A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1" w:hRule="atLeast"/>
        </w:trPr>
        <w:tc>
          <w:tcPr>
            <w:tcW w:w="330" w:type="dxa"/>
            <w:tcBorders>
              <w:left w:val="single" w:color="000000" w:sz="10" w:space="0"/>
            </w:tcBorders>
            <w:vAlign w:val="top"/>
          </w:tcPr>
          <w:p w14:paraId="4F817A1A">
            <w:pPr>
              <w:spacing w:line="351" w:lineRule="auto"/>
              <w:rPr>
                <w:rFonts w:ascii="Arial"/>
                <w:sz w:val="21"/>
              </w:rPr>
            </w:pPr>
          </w:p>
          <w:p w14:paraId="786EB580">
            <w:pPr>
              <w:spacing w:line="351" w:lineRule="auto"/>
              <w:rPr>
                <w:rFonts w:ascii="Arial"/>
                <w:sz w:val="21"/>
              </w:rPr>
            </w:pPr>
          </w:p>
          <w:p w14:paraId="10A6617E">
            <w:pPr>
              <w:spacing w:before="57" w:line="195" w:lineRule="auto"/>
              <w:ind w:left="50"/>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425" w:type="dxa"/>
            <w:vAlign w:val="top"/>
          </w:tcPr>
          <w:p w14:paraId="6F01AA67">
            <w:pPr>
              <w:spacing w:line="351" w:lineRule="auto"/>
              <w:rPr>
                <w:rFonts w:ascii="Arial"/>
                <w:sz w:val="21"/>
              </w:rPr>
            </w:pPr>
          </w:p>
          <w:p w14:paraId="03014DC7">
            <w:pPr>
              <w:spacing w:line="351" w:lineRule="auto"/>
              <w:rPr>
                <w:rFonts w:ascii="Arial"/>
                <w:sz w:val="21"/>
              </w:rPr>
            </w:pPr>
          </w:p>
          <w:p w14:paraId="54578DE4">
            <w:pPr>
              <w:spacing w:before="57" w:line="195" w:lineRule="auto"/>
              <w:ind w:left="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2023.6.9~6.</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pacing w:val="2"/>
                <w:sz w:val="20"/>
                <w:szCs w:val="20"/>
              </w:rPr>
              <w:t>11</w:t>
            </w:r>
          </w:p>
        </w:tc>
        <w:tc>
          <w:tcPr>
            <w:tcW w:w="1774" w:type="dxa"/>
            <w:vAlign w:val="top"/>
          </w:tcPr>
          <w:p w14:paraId="48A02940">
            <w:pPr>
              <w:spacing w:line="328" w:lineRule="auto"/>
              <w:rPr>
                <w:rFonts w:ascii="Arial"/>
                <w:sz w:val="21"/>
              </w:rPr>
            </w:pPr>
          </w:p>
          <w:p w14:paraId="531D5302">
            <w:pPr>
              <w:spacing w:line="328" w:lineRule="auto"/>
              <w:rPr>
                <w:rFonts w:ascii="Arial"/>
                <w:sz w:val="21"/>
              </w:rPr>
            </w:pPr>
          </w:p>
          <w:p w14:paraId="0457EEE7">
            <w:pPr>
              <w:pStyle w:val="6"/>
              <w:spacing w:before="65" w:line="231" w:lineRule="auto"/>
              <w:ind w:left="286"/>
              <w:rPr>
                <w:sz w:val="20"/>
                <w:szCs w:val="20"/>
              </w:rPr>
            </w:pPr>
            <w:r>
              <w:rPr>
                <w:spacing w:val="2"/>
                <w:sz w:val="20"/>
                <w:szCs w:val="20"/>
              </w:rPr>
              <w:t>中井河项目段</w:t>
            </w:r>
          </w:p>
        </w:tc>
        <w:tc>
          <w:tcPr>
            <w:tcW w:w="328" w:type="dxa"/>
            <w:textDirection w:val="tbRlV"/>
            <w:vAlign w:val="top"/>
          </w:tcPr>
          <w:p w14:paraId="402903DB">
            <w:pPr>
              <w:pStyle w:val="6"/>
              <w:spacing w:before="63" w:line="217" w:lineRule="auto"/>
              <w:ind w:left="591"/>
              <w:rPr>
                <w:sz w:val="20"/>
                <w:szCs w:val="20"/>
              </w:rPr>
            </w:pPr>
            <w:r>
              <w:rPr>
                <w:spacing w:val="13"/>
                <w:sz w:val="20"/>
                <w:szCs w:val="20"/>
              </w:rPr>
              <w:t>Ⅲ</w:t>
            </w:r>
            <w:r>
              <w:rPr>
                <w:spacing w:val="-43"/>
                <w:sz w:val="20"/>
                <w:szCs w:val="20"/>
              </w:rPr>
              <w:t xml:space="preserve"> </w:t>
            </w:r>
            <w:r>
              <w:rPr>
                <w:spacing w:val="13"/>
                <w:sz w:val="20"/>
                <w:szCs w:val="20"/>
              </w:rPr>
              <w:t>类</w:t>
            </w:r>
          </w:p>
        </w:tc>
        <w:tc>
          <w:tcPr>
            <w:tcW w:w="1063" w:type="dxa"/>
            <w:vAlign w:val="top"/>
          </w:tcPr>
          <w:p w14:paraId="0E677C90">
            <w:pPr>
              <w:spacing w:line="351" w:lineRule="auto"/>
              <w:rPr>
                <w:rFonts w:ascii="Arial"/>
                <w:sz w:val="21"/>
              </w:rPr>
            </w:pPr>
          </w:p>
          <w:p w14:paraId="724A00F8">
            <w:pPr>
              <w:spacing w:line="351" w:lineRule="auto"/>
              <w:rPr>
                <w:rFonts w:ascii="Arial"/>
                <w:sz w:val="21"/>
              </w:rPr>
            </w:pPr>
          </w:p>
          <w:p w14:paraId="792B2B04">
            <w:pPr>
              <w:spacing w:before="57" w:line="195" w:lineRule="auto"/>
              <w:ind w:left="1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7.27~7.83</w:t>
            </w:r>
          </w:p>
        </w:tc>
        <w:tc>
          <w:tcPr>
            <w:tcW w:w="749" w:type="dxa"/>
            <w:vAlign w:val="top"/>
          </w:tcPr>
          <w:p w14:paraId="35DA9FD1">
            <w:pPr>
              <w:spacing w:line="351" w:lineRule="auto"/>
              <w:rPr>
                <w:rFonts w:ascii="Arial"/>
                <w:sz w:val="21"/>
              </w:rPr>
            </w:pPr>
          </w:p>
          <w:p w14:paraId="52B8C334">
            <w:pPr>
              <w:spacing w:line="351" w:lineRule="auto"/>
              <w:rPr>
                <w:rFonts w:ascii="Arial"/>
                <w:sz w:val="21"/>
              </w:rPr>
            </w:pPr>
          </w:p>
          <w:p w14:paraId="138AF949">
            <w:pPr>
              <w:spacing w:before="57" w:line="195" w:lineRule="auto"/>
              <w:ind w:left="126"/>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14~</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19</w:t>
            </w:r>
          </w:p>
        </w:tc>
        <w:tc>
          <w:tcPr>
            <w:tcW w:w="854" w:type="dxa"/>
            <w:vAlign w:val="top"/>
          </w:tcPr>
          <w:p w14:paraId="702097A0">
            <w:pPr>
              <w:spacing w:line="351" w:lineRule="auto"/>
              <w:rPr>
                <w:rFonts w:ascii="Arial"/>
                <w:sz w:val="21"/>
              </w:rPr>
            </w:pPr>
          </w:p>
          <w:p w14:paraId="5247873E">
            <w:pPr>
              <w:spacing w:line="351" w:lineRule="auto"/>
              <w:rPr>
                <w:rFonts w:ascii="Arial"/>
                <w:sz w:val="21"/>
              </w:rPr>
            </w:pPr>
          </w:p>
          <w:p w14:paraId="6A1F22F5">
            <w:pPr>
              <w:spacing w:before="57" w:line="195" w:lineRule="auto"/>
              <w:ind w:left="12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1.7~</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3"/>
                <w:sz w:val="20"/>
                <w:szCs w:val="20"/>
              </w:rPr>
              <w:t>1.9</w:t>
            </w:r>
          </w:p>
        </w:tc>
        <w:tc>
          <w:tcPr>
            <w:tcW w:w="1168" w:type="dxa"/>
            <w:vAlign w:val="top"/>
          </w:tcPr>
          <w:p w14:paraId="0F49A6A5">
            <w:pPr>
              <w:spacing w:line="351" w:lineRule="auto"/>
              <w:rPr>
                <w:rFonts w:ascii="Arial"/>
                <w:sz w:val="21"/>
              </w:rPr>
            </w:pPr>
          </w:p>
          <w:p w14:paraId="2944FE06">
            <w:pPr>
              <w:spacing w:line="351" w:lineRule="auto"/>
              <w:rPr>
                <w:rFonts w:ascii="Arial"/>
                <w:sz w:val="21"/>
              </w:rPr>
            </w:pPr>
          </w:p>
          <w:p w14:paraId="7A36B8C6">
            <w:pPr>
              <w:spacing w:before="57" w:line="195" w:lineRule="auto"/>
              <w:ind w:left="1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0.68~0.875</w:t>
            </w:r>
          </w:p>
        </w:tc>
        <w:tc>
          <w:tcPr>
            <w:tcW w:w="953" w:type="dxa"/>
            <w:vAlign w:val="top"/>
          </w:tcPr>
          <w:p w14:paraId="50BD6DE9">
            <w:pPr>
              <w:spacing w:line="349" w:lineRule="auto"/>
              <w:rPr>
                <w:rFonts w:ascii="Arial"/>
                <w:sz w:val="21"/>
              </w:rPr>
            </w:pPr>
          </w:p>
          <w:p w14:paraId="76F658AE">
            <w:pPr>
              <w:spacing w:line="349" w:lineRule="auto"/>
              <w:rPr>
                <w:rFonts w:ascii="Arial"/>
                <w:sz w:val="21"/>
              </w:rPr>
            </w:pPr>
          </w:p>
          <w:p w14:paraId="2F384DFE">
            <w:pPr>
              <w:spacing w:before="58" w:line="199" w:lineRule="auto"/>
              <w:ind w:left="4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63" w:type="dxa"/>
            <w:vAlign w:val="top"/>
          </w:tcPr>
          <w:p w14:paraId="79F868A4">
            <w:pPr>
              <w:spacing w:line="351" w:lineRule="auto"/>
              <w:rPr>
                <w:rFonts w:ascii="Arial"/>
                <w:sz w:val="21"/>
              </w:rPr>
            </w:pPr>
          </w:p>
          <w:p w14:paraId="00233A11">
            <w:pPr>
              <w:spacing w:line="351" w:lineRule="auto"/>
              <w:rPr>
                <w:rFonts w:ascii="Arial"/>
                <w:sz w:val="21"/>
              </w:rPr>
            </w:pPr>
          </w:p>
          <w:p w14:paraId="0EBE252E">
            <w:pPr>
              <w:spacing w:before="57" w:line="195" w:lineRule="auto"/>
              <w:ind w:left="11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19"/>
                <w:sz w:val="20"/>
                <w:szCs w:val="20"/>
              </w:rPr>
              <w:t xml:space="preserve"> </w:t>
            </w:r>
            <w:r>
              <w:rPr>
                <w:rFonts w:ascii="Times New Roman" w:hAnsi="Times New Roman" w:eastAsia="Times New Roman" w:cs="Times New Roman"/>
                <w:sz w:val="20"/>
                <w:szCs w:val="20"/>
              </w:rPr>
              <w:t>12~0.15</w:t>
            </w:r>
          </w:p>
        </w:tc>
        <w:tc>
          <w:tcPr>
            <w:tcW w:w="834" w:type="dxa"/>
            <w:vAlign w:val="top"/>
          </w:tcPr>
          <w:p w14:paraId="038ACBF1">
            <w:pPr>
              <w:spacing w:line="351" w:lineRule="auto"/>
              <w:rPr>
                <w:rFonts w:ascii="Arial"/>
                <w:sz w:val="21"/>
              </w:rPr>
            </w:pPr>
          </w:p>
          <w:p w14:paraId="57B89290">
            <w:pPr>
              <w:spacing w:line="351" w:lineRule="auto"/>
              <w:rPr>
                <w:rFonts w:ascii="Arial"/>
                <w:sz w:val="21"/>
              </w:rPr>
            </w:pPr>
          </w:p>
          <w:p w14:paraId="048374C0">
            <w:pPr>
              <w:spacing w:before="57" w:line="195" w:lineRule="auto"/>
              <w:ind w:left="1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0.01L</w:t>
            </w:r>
          </w:p>
        </w:tc>
        <w:tc>
          <w:tcPr>
            <w:tcW w:w="858" w:type="dxa"/>
            <w:vAlign w:val="top"/>
          </w:tcPr>
          <w:p w14:paraId="2853BE9C">
            <w:pPr>
              <w:spacing w:line="349" w:lineRule="auto"/>
              <w:rPr>
                <w:rFonts w:ascii="Arial"/>
                <w:sz w:val="21"/>
              </w:rPr>
            </w:pPr>
          </w:p>
          <w:p w14:paraId="382C8555">
            <w:pPr>
              <w:spacing w:line="349" w:lineRule="auto"/>
              <w:rPr>
                <w:rFonts w:ascii="Arial"/>
                <w:sz w:val="21"/>
              </w:rPr>
            </w:pPr>
          </w:p>
          <w:p w14:paraId="309590C3">
            <w:pPr>
              <w:spacing w:before="58" w:line="199" w:lineRule="auto"/>
              <w:ind w:left="4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44" w:type="dxa"/>
            <w:vAlign w:val="top"/>
          </w:tcPr>
          <w:p w14:paraId="36D8CD0A">
            <w:pPr>
              <w:spacing w:line="349" w:lineRule="auto"/>
              <w:rPr>
                <w:rFonts w:ascii="Arial"/>
                <w:sz w:val="21"/>
              </w:rPr>
            </w:pPr>
          </w:p>
          <w:p w14:paraId="6F0A1625">
            <w:pPr>
              <w:spacing w:line="349" w:lineRule="auto"/>
              <w:rPr>
                <w:rFonts w:ascii="Arial"/>
                <w:sz w:val="21"/>
              </w:rPr>
            </w:pPr>
          </w:p>
          <w:p w14:paraId="2F688B8B">
            <w:pPr>
              <w:spacing w:before="58" w:line="199" w:lineRule="auto"/>
              <w:ind w:left="7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23" w:type="dxa"/>
            <w:tcBorders>
              <w:right w:val="single" w:color="000000" w:sz="10" w:space="0"/>
            </w:tcBorders>
            <w:vAlign w:val="top"/>
          </w:tcPr>
          <w:p w14:paraId="72D4A931">
            <w:pPr>
              <w:pStyle w:val="6"/>
              <w:spacing w:before="46" w:line="232" w:lineRule="auto"/>
              <w:ind w:left="102"/>
              <w:rPr>
                <w:sz w:val="20"/>
                <w:szCs w:val="20"/>
              </w:rPr>
            </w:pPr>
            <w:r>
              <w:rPr>
                <w:spacing w:val="6"/>
                <w:sz w:val="20"/>
                <w:szCs w:val="20"/>
              </w:rPr>
              <w:t>农业产业综</w:t>
            </w:r>
          </w:p>
          <w:p w14:paraId="08439CDD">
            <w:pPr>
              <w:pStyle w:val="6"/>
              <w:spacing w:before="19" w:line="232" w:lineRule="auto"/>
              <w:ind w:left="107"/>
              <w:rPr>
                <w:sz w:val="20"/>
                <w:szCs w:val="20"/>
              </w:rPr>
            </w:pPr>
            <w:r>
              <w:rPr>
                <w:spacing w:val="5"/>
                <w:sz w:val="20"/>
                <w:szCs w:val="20"/>
              </w:rPr>
              <w:t>合配套项目</w:t>
            </w:r>
          </w:p>
          <w:p w14:paraId="7D694FD6">
            <w:pPr>
              <w:pStyle w:val="6"/>
              <w:spacing w:before="21" w:line="221" w:lineRule="auto"/>
              <w:ind w:left="166"/>
              <w:rPr>
                <w:sz w:val="20"/>
                <w:szCs w:val="20"/>
              </w:rPr>
            </w:pPr>
            <w:r>
              <w:rPr>
                <w:rFonts w:ascii="Times New Roman" w:hAnsi="Times New Roman" w:eastAsia="Times New Roman" w:cs="Times New Roman"/>
                <w:spacing w:val="6"/>
                <w:sz w:val="20"/>
                <w:szCs w:val="20"/>
              </w:rPr>
              <w:t>(</w:t>
            </w:r>
            <w:r>
              <w:rPr>
                <w:spacing w:val="6"/>
                <w:sz w:val="20"/>
                <w:szCs w:val="20"/>
              </w:rPr>
              <w:t>生物质颗</w:t>
            </w:r>
          </w:p>
          <w:p w14:paraId="00D41214">
            <w:pPr>
              <w:pStyle w:val="6"/>
              <w:spacing w:before="32" w:line="221" w:lineRule="auto"/>
              <w:ind w:left="171"/>
              <w:rPr>
                <w:sz w:val="20"/>
                <w:szCs w:val="20"/>
              </w:rPr>
            </w:pPr>
            <w:r>
              <w:rPr>
                <w:spacing w:val="7"/>
                <w:sz w:val="20"/>
                <w:szCs w:val="20"/>
              </w:rPr>
              <w:t>粒燃料</w:t>
            </w:r>
            <w:r>
              <w:rPr>
                <w:rFonts w:ascii="Times New Roman" w:hAnsi="Times New Roman" w:eastAsia="Times New Roman" w:cs="Times New Roman"/>
                <w:spacing w:val="7"/>
                <w:sz w:val="20"/>
                <w:szCs w:val="20"/>
              </w:rPr>
              <w:t>)</w:t>
            </w:r>
            <w:r>
              <w:rPr>
                <w:spacing w:val="7"/>
                <w:sz w:val="20"/>
                <w:szCs w:val="20"/>
              </w:rPr>
              <w:t>一</w:t>
            </w:r>
          </w:p>
          <w:p w14:paraId="01D9AB38">
            <w:pPr>
              <w:pStyle w:val="6"/>
              <w:spacing w:before="34" w:line="224" w:lineRule="auto"/>
              <w:ind w:left="312" w:right="70" w:hanging="211"/>
              <w:rPr>
                <w:sz w:val="20"/>
                <w:szCs w:val="20"/>
              </w:rPr>
            </w:pPr>
            <w:r>
              <w:rPr>
                <w:spacing w:val="7"/>
                <w:sz w:val="20"/>
                <w:szCs w:val="20"/>
              </w:rPr>
              <w:t>期环境影响</w:t>
            </w:r>
            <w:r>
              <w:rPr>
                <w:sz w:val="20"/>
                <w:szCs w:val="20"/>
              </w:rPr>
              <w:t xml:space="preserve"> </w:t>
            </w:r>
            <w:r>
              <w:rPr>
                <w:spacing w:val="5"/>
                <w:sz w:val="20"/>
                <w:szCs w:val="20"/>
              </w:rPr>
              <w:t>报告表</w:t>
            </w:r>
          </w:p>
        </w:tc>
      </w:tr>
      <w:tr w14:paraId="6A63DC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3529" w:type="dxa"/>
            <w:gridSpan w:val="3"/>
            <w:tcBorders>
              <w:left w:val="single" w:color="000000" w:sz="10" w:space="0"/>
              <w:bottom w:val="single" w:color="000000" w:sz="10" w:space="0"/>
            </w:tcBorders>
            <w:vAlign w:val="top"/>
          </w:tcPr>
          <w:p w14:paraId="0553F795">
            <w:pPr>
              <w:pStyle w:val="6"/>
              <w:spacing w:before="54" w:line="231" w:lineRule="auto"/>
              <w:ind w:left="607"/>
              <w:rPr>
                <w:sz w:val="20"/>
                <w:szCs w:val="20"/>
              </w:rPr>
            </w:pPr>
            <w:r>
              <w:rPr>
                <w:spacing w:val="7"/>
                <w:sz w:val="20"/>
                <w:szCs w:val="20"/>
              </w:rPr>
              <w:t>《地表水环境质量标准》</w:t>
            </w:r>
          </w:p>
          <w:p w14:paraId="53302845">
            <w:pPr>
              <w:pStyle w:val="6"/>
              <w:spacing w:before="21" w:line="217" w:lineRule="auto"/>
              <w:ind w:left="955"/>
              <w:rPr>
                <w:sz w:val="20"/>
                <w:szCs w:val="20"/>
              </w:rPr>
            </w:pPr>
            <w:r>
              <w:rPr>
                <w:spacing w:val="4"/>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3838-2002</w:t>
            </w:r>
            <w:r>
              <w:rPr>
                <w:spacing w:val="4"/>
                <w:sz w:val="20"/>
                <w:szCs w:val="20"/>
              </w:rPr>
              <w:t>）</w:t>
            </w:r>
          </w:p>
        </w:tc>
        <w:tc>
          <w:tcPr>
            <w:tcW w:w="328" w:type="dxa"/>
            <w:tcBorders>
              <w:bottom w:val="single" w:color="000000" w:sz="10" w:space="0"/>
            </w:tcBorders>
            <w:textDirection w:val="tbRlV"/>
            <w:vAlign w:val="top"/>
          </w:tcPr>
          <w:p w14:paraId="7C16C46B">
            <w:pPr>
              <w:pStyle w:val="6"/>
              <w:spacing w:before="63" w:line="217" w:lineRule="auto"/>
              <w:ind w:left="54"/>
              <w:rPr>
                <w:sz w:val="20"/>
                <w:szCs w:val="20"/>
              </w:rPr>
            </w:pPr>
            <w:r>
              <w:rPr>
                <w:spacing w:val="13"/>
                <w:sz w:val="20"/>
                <w:szCs w:val="20"/>
              </w:rPr>
              <w:t>Ⅲ</w:t>
            </w:r>
            <w:r>
              <w:rPr>
                <w:spacing w:val="-42"/>
                <w:sz w:val="20"/>
                <w:szCs w:val="20"/>
              </w:rPr>
              <w:t xml:space="preserve"> </w:t>
            </w:r>
            <w:r>
              <w:rPr>
                <w:spacing w:val="13"/>
                <w:sz w:val="20"/>
                <w:szCs w:val="20"/>
              </w:rPr>
              <w:t>类</w:t>
            </w:r>
          </w:p>
        </w:tc>
        <w:tc>
          <w:tcPr>
            <w:tcW w:w="1063" w:type="dxa"/>
            <w:tcBorders>
              <w:bottom w:val="single" w:color="000000" w:sz="10" w:space="0"/>
            </w:tcBorders>
            <w:vAlign w:val="top"/>
          </w:tcPr>
          <w:p w14:paraId="5C460682">
            <w:pPr>
              <w:spacing w:before="227" w:line="195" w:lineRule="auto"/>
              <w:ind w:left="37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6~9</w:t>
            </w:r>
          </w:p>
        </w:tc>
        <w:tc>
          <w:tcPr>
            <w:tcW w:w="749" w:type="dxa"/>
            <w:tcBorders>
              <w:bottom w:val="single" w:color="000000" w:sz="10" w:space="0"/>
            </w:tcBorders>
            <w:vAlign w:val="top"/>
          </w:tcPr>
          <w:p w14:paraId="545B314B">
            <w:pPr>
              <w:spacing w:before="227" w:line="195" w:lineRule="auto"/>
              <w:ind w:left="20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w:t>
            </w:r>
          </w:p>
        </w:tc>
        <w:tc>
          <w:tcPr>
            <w:tcW w:w="854" w:type="dxa"/>
            <w:tcBorders>
              <w:bottom w:val="single" w:color="000000" w:sz="10" w:space="0"/>
            </w:tcBorders>
            <w:vAlign w:val="top"/>
          </w:tcPr>
          <w:p w14:paraId="54C9FFCA">
            <w:pPr>
              <w:spacing w:before="227"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w:t>
            </w:r>
          </w:p>
        </w:tc>
        <w:tc>
          <w:tcPr>
            <w:tcW w:w="1168" w:type="dxa"/>
            <w:tcBorders>
              <w:bottom w:val="single" w:color="000000" w:sz="10" w:space="0"/>
            </w:tcBorders>
            <w:vAlign w:val="top"/>
          </w:tcPr>
          <w:p w14:paraId="77E0F9D7">
            <w:pPr>
              <w:spacing w:before="227" w:line="195" w:lineRule="auto"/>
              <w:ind w:left="3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w:t>
            </w:r>
          </w:p>
        </w:tc>
        <w:tc>
          <w:tcPr>
            <w:tcW w:w="953" w:type="dxa"/>
            <w:tcBorders>
              <w:bottom w:val="single" w:color="000000" w:sz="10" w:space="0"/>
            </w:tcBorders>
            <w:vAlign w:val="top"/>
          </w:tcPr>
          <w:p w14:paraId="515717B6">
            <w:pPr>
              <w:spacing w:line="256" w:lineRule="auto"/>
              <w:rPr>
                <w:rFonts w:ascii="Arial"/>
                <w:sz w:val="21"/>
              </w:rPr>
            </w:pPr>
          </w:p>
          <w:p w14:paraId="2F12C315">
            <w:pPr>
              <w:spacing w:before="58" w:line="96" w:lineRule="exact"/>
              <w:ind w:left="44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1063" w:type="dxa"/>
            <w:tcBorders>
              <w:bottom w:val="single" w:color="000000" w:sz="10" w:space="0"/>
            </w:tcBorders>
            <w:vAlign w:val="top"/>
          </w:tcPr>
          <w:p w14:paraId="5D13D939">
            <w:pPr>
              <w:spacing w:before="227"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w:t>
            </w:r>
          </w:p>
        </w:tc>
        <w:tc>
          <w:tcPr>
            <w:tcW w:w="834" w:type="dxa"/>
            <w:tcBorders>
              <w:bottom w:val="single" w:color="000000" w:sz="10" w:space="0"/>
            </w:tcBorders>
            <w:vAlign w:val="top"/>
          </w:tcPr>
          <w:p w14:paraId="752E8BF5">
            <w:pPr>
              <w:spacing w:before="227" w:line="195" w:lineRule="auto"/>
              <w:ind w:left="18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≤0.05</w:t>
            </w:r>
          </w:p>
        </w:tc>
        <w:tc>
          <w:tcPr>
            <w:tcW w:w="858" w:type="dxa"/>
            <w:tcBorders>
              <w:bottom w:val="single" w:color="000000" w:sz="10" w:space="0"/>
            </w:tcBorders>
            <w:vAlign w:val="top"/>
          </w:tcPr>
          <w:p w14:paraId="1E421C00">
            <w:pPr>
              <w:spacing w:before="227" w:line="195" w:lineRule="auto"/>
              <w:ind w:left="2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w:t>
            </w:r>
          </w:p>
        </w:tc>
        <w:tc>
          <w:tcPr>
            <w:tcW w:w="1544" w:type="dxa"/>
            <w:tcBorders>
              <w:bottom w:val="single" w:color="000000" w:sz="10" w:space="0"/>
            </w:tcBorders>
            <w:vAlign w:val="top"/>
          </w:tcPr>
          <w:p w14:paraId="3454CFE0">
            <w:pPr>
              <w:spacing w:line="256" w:lineRule="auto"/>
              <w:rPr>
                <w:rFonts w:ascii="Arial"/>
                <w:sz w:val="21"/>
              </w:rPr>
            </w:pPr>
          </w:p>
          <w:p w14:paraId="7B125007">
            <w:pPr>
              <w:spacing w:before="58" w:line="96" w:lineRule="exact"/>
              <w:ind w:left="75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1223" w:type="dxa"/>
            <w:tcBorders>
              <w:bottom w:val="single" w:color="000000" w:sz="10" w:space="0"/>
              <w:right w:val="single" w:color="000000" w:sz="10" w:space="0"/>
            </w:tcBorders>
            <w:vAlign w:val="top"/>
          </w:tcPr>
          <w:p w14:paraId="6EB4031D">
            <w:pPr>
              <w:spacing w:before="223" w:line="199" w:lineRule="auto"/>
              <w:ind w:left="5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bl>
    <w:p w14:paraId="26F52FF3">
      <w:pPr>
        <w:pStyle w:val="2"/>
      </w:pPr>
    </w:p>
    <w:p w14:paraId="57115F77">
      <w:pPr>
        <w:sectPr>
          <w:headerReference r:id="rId111" w:type="default"/>
          <w:footerReference r:id="rId112" w:type="default"/>
          <w:pgSz w:w="16839" w:h="11906"/>
          <w:pgMar w:top="1116" w:right="1323" w:bottom="1480" w:left="1322" w:header="683" w:footer="1318" w:gutter="0"/>
          <w:cols w:space="720" w:num="1"/>
        </w:sectPr>
      </w:pPr>
    </w:p>
    <w:p w14:paraId="2F981027">
      <w:pPr>
        <w:pStyle w:val="2"/>
        <w:spacing w:line="325" w:lineRule="auto"/>
      </w:pPr>
    </w:p>
    <w:p w14:paraId="46E4BF85">
      <w:pPr>
        <w:pStyle w:val="2"/>
        <w:spacing w:line="325" w:lineRule="auto"/>
      </w:pPr>
    </w:p>
    <w:p w14:paraId="2E3F31B5">
      <w:pPr>
        <w:spacing w:before="82" w:line="229" w:lineRule="auto"/>
        <w:ind w:left="24"/>
        <w:outlineLvl w:val="3"/>
        <w:rPr>
          <w:rFonts w:ascii="仿宋" w:hAnsi="仿宋" w:eastAsia="仿宋" w:cs="仿宋"/>
          <w:sz w:val="25"/>
          <w:szCs w:val="25"/>
        </w:rPr>
      </w:pPr>
      <w:r>
        <w:rPr>
          <w:rFonts w:ascii="Times New Roman" w:hAnsi="Times New Roman" w:eastAsia="Times New Roman" w:cs="Times New Roman"/>
          <w:b/>
          <w:bCs/>
          <w:spacing w:val="4"/>
          <w:sz w:val="25"/>
          <w:szCs w:val="25"/>
        </w:rPr>
        <w:t>3.1.4.3</w:t>
      </w:r>
      <w:r>
        <w:rPr>
          <w:rFonts w:ascii="Times New Roman" w:hAnsi="Times New Roman" w:eastAsia="Times New Roman" w:cs="Times New Roman"/>
          <w:b/>
          <w:bCs/>
          <w:spacing w:val="34"/>
          <w:sz w:val="25"/>
          <w:szCs w:val="25"/>
        </w:rPr>
        <w:t xml:space="preserve"> </w:t>
      </w:r>
      <w:r>
        <w:rPr>
          <w:rFonts w:ascii="仿宋" w:hAnsi="仿宋" w:eastAsia="仿宋" w:cs="仿宋"/>
          <w:b/>
          <w:bCs/>
          <w:spacing w:val="4"/>
          <w:sz w:val="25"/>
          <w:szCs w:val="25"/>
        </w:rPr>
        <w:t>地下水环境质量现状</w:t>
      </w:r>
    </w:p>
    <w:p w14:paraId="5B512E66">
      <w:pPr>
        <w:spacing w:before="269" w:line="340" w:lineRule="auto"/>
        <w:ind w:left="39" w:right="20" w:firstLine="528"/>
        <w:jc w:val="both"/>
        <w:rPr>
          <w:rFonts w:ascii="仿宋" w:hAnsi="仿宋" w:eastAsia="仿宋" w:cs="仿宋"/>
          <w:sz w:val="25"/>
          <w:szCs w:val="25"/>
        </w:rPr>
      </w:pPr>
      <w:r>
        <w:rPr>
          <w:rFonts w:ascii="仿宋" w:hAnsi="仿宋" w:eastAsia="仿宋" w:cs="仿宋"/>
          <w:spacing w:val="8"/>
          <w:sz w:val="25"/>
          <w:szCs w:val="25"/>
        </w:rPr>
        <w:t>为了解区域地下水环境质量，评价收集了矿山周边区域或同一水文地质单元的地下水环境质量监测数据</w:t>
      </w:r>
      <w:r>
        <w:rPr>
          <w:rFonts w:ascii="仿宋" w:hAnsi="仿宋" w:eastAsia="仿宋" w:cs="仿宋"/>
          <w:spacing w:val="7"/>
          <w:sz w:val="25"/>
          <w:szCs w:val="25"/>
        </w:rPr>
        <w:t>，结果统计详见</w:t>
      </w:r>
      <w:r>
        <w:rPr>
          <w:rFonts w:ascii="仿宋" w:hAnsi="仿宋" w:eastAsia="仿宋" w:cs="仿宋"/>
          <w:sz w:val="25"/>
          <w:szCs w:val="25"/>
        </w:rPr>
        <w:t xml:space="preserve"> </w:t>
      </w:r>
      <w:r>
        <w:rPr>
          <w:rFonts w:ascii="仿宋" w:hAnsi="仿宋" w:eastAsia="仿宋" w:cs="仿宋"/>
          <w:spacing w:val="9"/>
          <w:sz w:val="25"/>
          <w:szCs w:val="25"/>
        </w:rPr>
        <w:t>表</w:t>
      </w:r>
      <w:r>
        <w:rPr>
          <w:rFonts w:ascii="仿宋" w:hAnsi="仿宋" w:eastAsia="仿宋" w:cs="仿宋"/>
          <w:spacing w:val="-47"/>
          <w:sz w:val="25"/>
          <w:szCs w:val="25"/>
        </w:rPr>
        <w:t xml:space="preserve"> </w:t>
      </w:r>
      <w:r>
        <w:rPr>
          <w:rFonts w:ascii="Times New Roman" w:hAnsi="Times New Roman" w:eastAsia="Times New Roman" w:cs="Times New Roman"/>
          <w:spacing w:val="9"/>
          <w:sz w:val="25"/>
          <w:szCs w:val="25"/>
        </w:rPr>
        <w:t>3.1-12</w:t>
      </w:r>
      <w:r>
        <w:rPr>
          <w:rFonts w:ascii="Times New Roman" w:hAnsi="Times New Roman" w:eastAsia="Times New Roman" w:cs="Times New Roman"/>
          <w:spacing w:val="-24"/>
          <w:sz w:val="25"/>
          <w:szCs w:val="25"/>
        </w:rPr>
        <w:t xml:space="preserve"> </w:t>
      </w:r>
      <w:r>
        <w:rPr>
          <w:rFonts w:ascii="仿宋" w:hAnsi="仿宋" w:eastAsia="仿宋" w:cs="仿宋"/>
          <w:spacing w:val="9"/>
          <w:sz w:val="25"/>
          <w:szCs w:val="25"/>
        </w:rPr>
        <w:t>。从统计结果看出，规划调整区域地下水质量总体较好，满足《地下水质量标准》</w:t>
      </w:r>
      <w:r>
        <w:rPr>
          <w:rFonts w:ascii="仿宋" w:hAnsi="仿宋" w:eastAsia="仿宋" w:cs="仿宋"/>
          <w:spacing w:val="-103"/>
          <w:sz w:val="25"/>
          <w:szCs w:val="25"/>
        </w:rPr>
        <w:t xml:space="preserve"> </w:t>
      </w:r>
      <w:r>
        <w:rPr>
          <w:rFonts w:ascii="仿宋" w:hAnsi="仿宋" w:eastAsia="仿宋" w:cs="仿宋"/>
          <w:spacing w:val="9"/>
          <w:sz w:val="25"/>
          <w:szCs w:val="25"/>
        </w:rPr>
        <w:t>（</w:t>
      </w:r>
      <w:r>
        <w:rPr>
          <w:rFonts w:ascii="Times New Roman" w:hAnsi="Times New Roman" w:eastAsia="Times New Roman" w:cs="Times New Roman"/>
          <w:sz w:val="25"/>
          <w:szCs w:val="25"/>
        </w:rPr>
        <w:t>GB</w:t>
      </w:r>
      <w:r>
        <w:rPr>
          <w:rFonts w:ascii="Times New Roman" w:hAnsi="Times New Roman" w:eastAsia="Times New Roman" w:cs="Times New Roman"/>
          <w:spacing w:val="9"/>
          <w:sz w:val="25"/>
          <w:szCs w:val="25"/>
        </w:rPr>
        <w:t>/T14848-2017</w:t>
      </w:r>
      <w:r>
        <w:rPr>
          <w:rFonts w:ascii="仿宋" w:hAnsi="仿宋" w:eastAsia="仿宋" w:cs="仿宋"/>
          <w:spacing w:val="8"/>
          <w:sz w:val="25"/>
          <w:szCs w:val="25"/>
        </w:rPr>
        <w:t>）</w:t>
      </w:r>
      <w:r>
        <w:rPr>
          <w:rFonts w:ascii="Times New Roman" w:hAnsi="Times New Roman" w:eastAsia="Times New Roman" w:cs="Times New Roman"/>
          <w:sz w:val="25"/>
          <w:szCs w:val="25"/>
        </w:rPr>
        <w:t>III</w:t>
      </w:r>
      <w:r>
        <w:rPr>
          <w:rFonts w:ascii="Times New Roman" w:hAnsi="Times New Roman" w:eastAsia="Times New Roman" w:cs="Times New Roman"/>
          <w:spacing w:val="25"/>
          <w:sz w:val="25"/>
          <w:szCs w:val="25"/>
        </w:rPr>
        <w:t xml:space="preserve"> </w:t>
      </w:r>
      <w:r>
        <w:rPr>
          <w:rFonts w:ascii="仿宋" w:hAnsi="仿宋" w:eastAsia="仿宋" w:cs="仿宋"/>
          <w:spacing w:val="8"/>
          <w:sz w:val="25"/>
          <w:szCs w:val="25"/>
        </w:rPr>
        <w:t>类标准</w:t>
      </w:r>
      <w:r>
        <w:rPr>
          <w:rFonts w:ascii="仿宋" w:hAnsi="仿宋" w:eastAsia="仿宋" w:cs="仿宋"/>
          <w:sz w:val="25"/>
          <w:szCs w:val="25"/>
        </w:rPr>
        <w:t xml:space="preserve"> </w:t>
      </w:r>
      <w:r>
        <w:rPr>
          <w:rFonts w:ascii="仿宋" w:hAnsi="仿宋" w:eastAsia="仿宋" w:cs="仿宋"/>
          <w:spacing w:val="-1"/>
          <w:sz w:val="25"/>
          <w:szCs w:val="25"/>
        </w:rPr>
        <w:t>要求。</w:t>
      </w:r>
    </w:p>
    <w:p w14:paraId="2BB8A167">
      <w:pPr>
        <w:spacing w:before="43" w:line="221" w:lineRule="auto"/>
        <w:ind w:left="3438"/>
        <w:rPr>
          <w:rFonts w:ascii="仿宋" w:hAnsi="仿宋" w:eastAsia="仿宋" w:cs="仿宋"/>
          <w:sz w:val="20"/>
          <w:szCs w:val="20"/>
        </w:rPr>
      </w:pPr>
      <w:r>
        <w:rPr>
          <w:rFonts w:ascii="仿宋" w:hAnsi="仿宋" w:eastAsia="仿宋" w:cs="仿宋"/>
          <w:b/>
          <w:bCs/>
          <w:spacing w:val="7"/>
          <w:sz w:val="20"/>
          <w:szCs w:val="20"/>
        </w:rPr>
        <w:t>表</w:t>
      </w:r>
      <w:r>
        <w:rPr>
          <w:rFonts w:ascii="仿宋" w:hAnsi="仿宋" w:eastAsia="仿宋" w:cs="仿宋"/>
          <w:spacing w:val="-42"/>
          <w:sz w:val="20"/>
          <w:szCs w:val="20"/>
        </w:rPr>
        <w:t xml:space="preserve"> </w:t>
      </w:r>
      <w:r>
        <w:rPr>
          <w:rFonts w:ascii="Times New Roman" w:hAnsi="Times New Roman" w:eastAsia="Times New Roman" w:cs="Times New Roman"/>
          <w:b/>
          <w:bCs/>
          <w:spacing w:val="7"/>
          <w:sz w:val="20"/>
          <w:szCs w:val="20"/>
        </w:rPr>
        <w:t xml:space="preserve">3.1-12  </w:t>
      </w:r>
      <w:r>
        <w:rPr>
          <w:rFonts w:ascii="仿宋" w:hAnsi="仿宋" w:eastAsia="仿宋" w:cs="仿宋"/>
          <w:b/>
          <w:bCs/>
          <w:spacing w:val="7"/>
          <w:sz w:val="20"/>
          <w:szCs w:val="20"/>
        </w:rPr>
        <w:t>黔江区部分区域地下水水质现状</w:t>
      </w:r>
      <w:r>
        <w:rPr>
          <w:rFonts w:ascii="仿宋" w:hAnsi="仿宋" w:eastAsia="仿宋" w:cs="仿宋"/>
          <w:b/>
          <w:bCs/>
          <w:spacing w:val="6"/>
          <w:sz w:val="20"/>
          <w:szCs w:val="20"/>
        </w:rPr>
        <w:t>统计表</w:t>
      </w:r>
      <w:r>
        <w:rPr>
          <w:rFonts w:ascii="仿宋" w:hAnsi="仿宋" w:eastAsia="仿宋" w:cs="仿宋"/>
          <w:spacing w:val="6"/>
          <w:sz w:val="20"/>
          <w:szCs w:val="20"/>
        </w:rPr>
        <w:t xml:space="preserve"> </w:t>
      </w:r>
      <w:r>
        <w:rPr>
          <w:rFonts w:ascii="仿宋" w:hAnsi="仿宋" w:eastAsia="仿宋" w:cs="仿宋"/>
          <w:b/>
          <w:bCs/>
          <w:spacing w:val="6"/>
          <w:sz w:val="20"/>
          <w:szCs w:val="20"/>
        </w:rPr>
        <w:t>单位：</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6"/>
          <w:sz w:val="20"/>
          <w:szCs w:val="20"/>
        </w:rPr>
        <w:t>/L</w:t>
      </w:r>
      <w:r>
        <w:rPr>
          <w:rFonts w:ascii="仿宋" w:hAnsi="仿宋" w:eastAsia="仿宋" w:cs="仿宋"/>
          <w:b/>
          <w:bCs/>
          <w:spacing w:val="6"/>
          <w:sz w:val="20"/>
          <w:szCs w:val="20"/>
        </w:rPr>
        <w:t>（</w:t>
      </w:r>
      <w:r>
        <w:rPr>
          <w:rFonts w:ascii="Times New Roman" w:hAnsi="Times New Roman" w:eastAsia="Times New Roman" w:cs="Times New Roman"/>
          <w:b/>
          <w:bCs/>
          <w:sz w:val="20"/>
          <w:szCs w:val="20"/>
        </w:rPr>
        <w:t>pH</w:t>
      </w:r>
      <w:r>
        <w:rPr>
          <w:rFonts w:ascii="Times New Roman" w:hAnsi="Times New Roman" w:eastAsia="Times New Roman" w:cs="Times New Roman"/>
          <w:b/>
          <w:bCs/>
          <w:spacing w:val="12"/>
          <w:w w:val="101"/>
          <w:sz w:val="20"/>
          <w:szCs w:val="20"/>
        </w:rPr>
        <w:t xml:space="preserve">  </w:t>
      </w:r>
      <w:r>
        <w:rPr>
          <w:rFonts w:ascii="仿宋" w:hAnsi="仿宋" w:eastAsia="仿宋" w:cs="仿宋"/>
          <w:b/>
          <w:bCs/>
          <w:spacing w:val="6"/>
          <w:sz w:val="20"/>
          <w:szCs w:val="20"/>
        </w:rPr>
        <w:t>无量纲）</w:t>
      </w:r>
    </w:p>
    <w:p w14:paraId="5B30E604">
      <w:pPr>
        <w:spacing w:line="31" w:lineRule="exact"/>
      </w:pPr>
    </w:p>
    <w:tbl>
      <w:tblPr>
        <w:tblStyle w:val="5"/>
        <w:tblW w:w="1398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5"/>
        <w:gridCol w:w="567"/>
        <w:gridCol w:w="1421"/>
        <w:gridCol w:w="568"/>
        <w:gridCol w:w="994"/>
        <w:gridCol w:w="710"/>
        <w:gridCol w:w="711"/>
        <w:gridCol w:w="895"/>
        <w:gridCol w:w="809"/>
        <w:gridCol w:w="842"/>
        <w:gridCol w:w="905"/>
        <w:gridCol w:w="904"/>
        <w:gridCol w:w="928"/>
        <w:gridCol w:w="1029"/>
        <w:gridCol w:w="2420"/>
      </w:tblGrid>
      <w:tr w14:paraId="10EFA8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285" w:type="dxa"/>
            <w:vMerge w:val="restart"/>
            <w:tcBorders>
              <w:bottom w:val="nil"/>
            </w:tcBorders>
            <w:textDirection w:val="tbRlV"/>
            <w:vAlign w:val="top"/>
          </w:tcPr>
          <w:p w14:paraId="3870E535">
            <w:pPr>
              <w:pStyle w:val="6"/>
              <w:spacing w:before="34" w:line="209" w:lineRule="auto"/>
              <w:ind w:left="208"/>
              <w:rPr>
                <w:sz w:val="20"/>
                <w:szCs w:val="20"/>
              </w:rPr>
            </w:pPr>
            <w:r>
              <w:rPr>
                <w:spacing w:val="13"/>
                <w:sz w:val="20"/>
                <w:szCs w:val="20"/>
              </w:rPr>
              <w:t>序</w:t>
            </w:r>
            <w:r>
              <w:rPr>
                <w:spacing w:val="-40"/>
                <w:sz w:val="20"/>
                <w:szCs w:val="20"/>
              </w:rPr>
              <w:t xml:space="preserve"> </w:t>
            </w:r>
            <w:r>
              <w:rPr>
                <w:spacing w:val="13"/>
                <w:sz w:val="20"/>
                <w:szCs w:val="20"/>
              </w:rPr>
              <w:t>号</w:t>
            </w:r>
          </w:p>
        </w:tc>
        <w:tc>
          <w:tcPr>
            <w:tcW w:w="567" w:type="dxa"/>
            <w:vMerge w:val="restart"/>
            <w:tcBorders>
              <w:bottom w:val="nil"/>
            </w:tcBorders>
            <w:vAlign w:val="top"/>
          </w:tcPr>
          <w:p w14:paraId="2D7D2780">
            <w:pPr>
              <w:pStyle w:val="6"/>
              <w:spacing w:before="207" w:line="232" w:lineRule="auto"/>
              <w:ind w:left="83"/>
              <w:rPr>
                <w:sz w:val="20"/>
                <w:szCs w:val="20"/>
              </w:rPr>
            </w:pPr>
            <w:r>
              <w:rPr>
                <w:spacing w:val="-1"/>
                <w:sz w:val="20"/>
                <w:szCs w:val="20"/>
              </w:rPr>
              <w:t>监测</w:t>
            </w:r>
          </w:p>
          <w:p w14:paraId="5004DDF7">
            <w:pPr>
              <w:pStyle w:val="6"/>
              <w:spacing w:before="22" w:line="232" w:lineRule="auto"/>
              <w:ind w:left="92"/>
              <w:rPr>
                <w:sz w:val="20"/>
                <w:szCs w:val="20"/>
              </w:rPr>
            </w:pPr>
            <w:r>
              <w:rPr>
                <w:spacing w:val="-6"/>
                <w:sz w:val="20"/>
                <w:szCs w:val="20"/>
              </w:rPr>
              <w:t>时间</w:t>
            </w:r>
          </w:p>
        </w:tc>
        <w:tc>
          <w:tcPr>
            <w:tcW w:w="1421" w:type="dxa"/>
            <w:vMerge w:val="restart"/>
            <w:tcBorders>
              <w:bottom w:val="nil"/>
            </w:tcBorders>
            <w:vAlign w:val="top"/>
          </w:tcPr>
          <w:p w14:paraId="1610B2AF">
            <w:pPr>
              <w:spacing w:line="278" w:lineRule="auto"/>
              <w:rPr>
                <w:rFonts w:ascii="Arial"/>
                <w:sz w:val="21"/>
              </w:rPr>
            </w:pPr>
          </w:p>
          <w:p w14:paraId="4FAC2991">
            <w:pPr>
              <w:pStyle w:val="6"/>
              <w:spacing w:before="65" w:line="232" w:lineRule="auto"/>
              <w:ind w:left="406"/>
              <w:rPr>
                <w:sz w:val="20"/>
                <w:szCs w:val="20"/>
              </w:rPr>
            </w:pPr>
            <w:r>
              <w:rPr>
                <w:spacing w:val="3"/>
                <w:sz w:val="20"/>
                <w:szCs w:val="20"/>
              </w:rPr>
              <w:t>监测点</w:t>
            </w:r>
          </w:p>
        </w:tc>
        <w:tc>
          <w:tcPr>
            <w:tcW w:w="568" w:type="dxa"/>
            <w:vMerge w:val="restart"/>
            <w:tcBorders>
              <w:bottom w:val="nil"/>
            </w:tcBorders>
            <w:vAlign w:val="top"/>
          </w:tcPr>
          <w:p w14:paraId="215DF137">
            <w:pPr>
              <w:pStyle w:val="6"/>
              <w:spacing w:before="207" w:line="232" w:lineRule="auto"/>
              <w:ind w:left="78"/>
              <w:rPr>
                <w:sz w:val="20"/>
                <w:szCs w:val="20"/>
              </w:rPr>
            </w:pPr>
            <w:r>
              <w:rPr>
                <w:spacing w:val="2"/>
                <w:sz w:val="20"/>
                <w:szCs w:val="20"/>
              </w:rPr>
              <w:t>水质</w:t>
            </w:r>
          </w:p>
          <w:p w14:paraId="4BDB2FE1">
            <w:pPr>
              <w:pStyle w:val="6"/>
              <w:spacing w:before="22" w:line="231" w:lineRule="auto"/>
              <w:ind w:left="78"/>
              <w:rPr>
                <w:sz w:val="20"/>
                <w:szCs w:val="20"/>
              </w:rPr>
            </w:pPr>
            <w:r>
              <w:rPr>
                <w:spacing w:val="2"/>
                <w:sz w:val="20"/>
                <w:szCs w:val="20"/>
              </w:rPr>
              <w:t>标准</w:t>
            </w:r>
          </w:p>
        </w:tc>
        <w:tc>
          <w:tcPr>
            <w:tcW w:w="8727" w:type="dxa"/>
            <w:gridSpan w:val="10"/>
            <w:vAlign w:val="top"/>
          </w:tcPr>
          <w:p w14:paraId="19B66FC9">
            <w:pPr>
              <w:pStyle w:val="6"/>
              <w:spacing w:before="51" w:line="232" w:lineRule="auto"/>
              <w:ind w:left="3956"/>
              <w:rPr>
                <w:sz w:val="20"/>
                <w:szCs w:val="20"/>
              </w:rPr>
            </w:pPr>
            <w:r>
              <w:rPr>
                <w:spacing w:val="4"/>
                <w:sz w:val="20"/>
                <w:szCs w:val="20"/>
              </w:rPr>
              <w:t>监测因子</w:t>
            </w:r>
          </w:p>
        </w:tc>
        <w:tc>
          <w:tcPr>
            <w:tcW w:w="2420" w:type="dxa"/>
            <w:vAlign w:val="top"/>
          </w:tcPr>
          <w:p w14:paraId="41AE2A52">
            <w:pPr>
              <w:rPr>
                <w:rFonts w:ascii="Arial"/>
                <w:sz w:val="21"/>
              </w:rPr>
            </w:pPr>
          </w:p>
        </w:tc>
      </w:tr>
      <w:tr w14:paraId="1D0DAE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285" w:type="dxa"/>
            <w:vMerge w:val="continue"/>
            <w:tcBorders>
              <w:top w:val="nil"/>
            </w:tcBorders>
            <w:textDirection w:val="tbRlV"/>
            <w:vAlign w:val="top"/>
          </w:tcPr>
          <w:p w14:paraId="657CF86C">
            <w:pPr>
              <w:rPr>
                <w:rFonts w:ascii="Arial"/>
                <w:sz w:val="21"/>
              </w:rPr>
            </w:pPr>
          </w:p>
        </w:tc>
        <w:tc>
          <w:tcPr>
            <w:tcW w:w="567" w:type="dxa"/>
            <w:vMerge w:val="continue"/>
            <w:tcBorders>
              <w:top w:val="nil"/>
            </w:tcBorders>
            <w:vAlign w:val="top"/>
          </w:tcPr>
          <w:p w14:paraId="604DF5EF">
            <w:pPr>
              <w:rPr>
                <w:rFonts w:ascii="Arial"/>
                <w:sz w:val="21"/>
              </w:rPr>
            </w:pPr>
          </w:p>
        </w:tc>
        <w:tc>
          <w:tcPr>
            <w:tcW w:w="1421" w:type="dxa"/>
            <w:vMerge w:val="continue"/>
            <w:tcBorders>
              <w:top w:val="nil"/>
            </w:tcBorders>
            <w:vAlign w:val="top"/>
          </w:tcPr>
          <w:p w14:paraId="52BB264E">
            <w:pPr>
              <w:rPr>
                <w:rFonts w:ascii="Arial"/>
                <w:sz w:val="21"/>
              </w:rPr>
            </w:pPr>
          </w:p>
        </w:tc>
        <w:tc>
          <w:tcPr>
            <w:tcW w:w="568" w:type="dxa"/>
            <w:vMerge w:val="continue"/>
            <w:tcBorders>
              <w:top w:val="nil"/>
            </w:tcBorders>
            <w:vAlign w:val="top"/>
          </w:tcPr>
          <w:p w14:paraId="1AA6A1EB">
            <w:pPr>
              <w:rPr>
                <w:rFonts w:ascii="Arial"/>
                <w:sz w:val="21"/>
              </w:rPr>
            </w:pPr>
          </w:p>
        </w:tc>
        <w:tc>
          <w:tcPr>
            <w:tcW w:w="994" w:type="dxa"/>
            <w:vAlign w:val="top"/>
          </w:tcPr>
          <w:p w14:paraId="200E0451">
            <w:pPr>
              <w:spacing w:before="218" w:line="194" w:lineRule="auto"/>
              <w:ind w:left="36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710" w:type="dxa"/>
            <w:vAlign w:val="top"/>
          </w:tcPr>
          <w:p w14:paraId="6B6F7FE4">
            <w:pPr>
              <w:pStyle w:val="6"/>
              <w:spacing w:before="179" w:line="232" w:lineRule="auto"/>
              <w:ind w:left="54"/>
              <w:rPr>
                <w:sz w:val="20"/>
                <w:szCs w:val="20"/>
              </w:rPr>
            </w:pPr>
            <w:r>
              <w:rPr>
                <w:spacing w:val="2"/>
                <w:sz w:val="20"/>
                <w:szCs w:val="20"/>
              </w:rPr>
              <w:t>总硬度</w:t>
            </w:r>
          </w:p>
        </w:tc>
        <w:tc>
          <w:tcPr>
            <w:tcW w:w="711" w:type="dxa"/>
            <w:vAlign w:val="top"/>
          </w:tcPr>
          <w:p w14:paraId="48F57B8D">
            <w:pPr>
              <w:pStyle w:val="6"/>
              <w:spacing w:before="44" w:line="229" w:lineRule="auto"/>
              <w:ind w:left="45"/>
              <w:rPr>
                <w:sz w:val="20"/>
                <w:szCs w:val="20"/>
              </w:rPr>
            </w:pPr>
            <w:r>
              <w:rPr>
                <w:spacing w:val="5"/>
                <w:sz w:val="20"/>
                <w:szCs w:val="20"/>
              </w:rPr>
              <w:t>溶解性</w:t>
            </w:r>
          </w:p>
          <w:p w14:paraId="070E6076">
            <w:pPr>
              <w:pStyle w:val="6"/>
              <w:spacing w:before="23" w:line="231" w:lineRule="auto"/>
              <w:ind w:left="55"/>
              <w:rPr>
                <w:sz w:val="20"/>
                <w:szCs w:val="20"/>
              </w:rPr>
            </w:pPr>
            <w:r>
              <w:rPr>
                <w:spacing w:val="2"/>
                <w:sz w:val="20"/>
                <w:szCs w:val="20"/>
              </w:rPr>
              <w:t>总固体</w:t>
            </w:r>
          </w:p>
        </w:tc>
        <w:tc>
          <w:tcPr>
            <w:tcW w:w="895" w:type="dxa"/>
            <w:vAlign w:val="top"/>
          </w:tcPr>
          <w:p w14:paraId="1FC0CCD7">
            <w:pPr>
              <w:pStyle w:val="6"/>
              <w:spacing w:before="179" w:line="232" w:lineRule="auto"/>
              <w:ind w:left="138"/>
              <w:rPr>
                <w:sz w:val="20"/>
                <w:szCs w:val="20"/>
              </w:rPr>
            </w:pPr>
            <w:r>
              <w:rPr>
                <w:spacing w:val="5"/>
                <w:sz w:val="20"/>
                <w:szCs w:val="20"/>
              </w:rPr>
              <w:t>硫酸盐</w:t>
            </w:r>
          </w:p>
        </w:tc>
        <w:tc>
          <w:tcPr>
            <w:tcW w:w="809" w:type="dxa"/>
            <w:vAlign w:val="top"/>
          </w:tcPr>
          <w:p w14:paraId="2B1B1B65">
            <w:pPr>
              <w:pStyle w:val="6"/>
              <w:spacing w:before="180" w:line="229" w:lineRule="auto"/>
              <w:ind w:left="100"/>
              <w:rPr>
                <w:sz w:val="20"/>
                <w:szCs w:val="20"/>
              </w:rPr>
            </w:pPr>
            <w:r>
              <w:rPr>
                <w:spacing w:val="3"/>
                <w:sz w:val="20"/>
                <w:szCs w:val="20"/>
              </w:rPr>
              <w:t>氯化物</w:t>
            </w:r>
          </w:p>
        </w:tc>
        <w:tc>
          <w:tcPr>
            <w:tcW w:w="842" w:type="dxa"/>
            <w:vAlign w:val="top"/>
          </w:tcPr>
          <w:p w14:paraId="5BFF62D7">
            <w:pPr>
              <w:pStyle w:val="6"/>
              <w:spacing w:before="179" w:line="232" w:lineRule="auto"/>
              <w:ind w:left="326"/>
              <w:rPr>
                <w:sz w:val="20"/>
                <w:szCs w:val="20"/>
              </w:rPr>
            </w:pPr>
            <w:r>
              <w:rPr>
                <w:sz w:val="20"/>
                <w:szCs w:val="20"/>
              </w:rPr>
              <w:t>铁</w:t>
            </w:r>
          </w:p>
        </w:tc>
        <w:tc>
          <w:tcPr>
            <w:tcW w:w="905" w:type="dxa"/>
            <w:vAlign w:val="top"/>
          </w:tcPr>
          <w:p w14:paraId="2BCFCFAF">
            <w:pPr>
              <w:pStyle w:val="6"/>
              <w:spacing w:before="180" w:line="239" w:lineRule="auto"/>
              <w:ind w:left="357"/>
              <w:rPr>
                <w:sz w:val="20"/>
                <w:szCs w:val="20"/>
              </w:rPr>
            </w:pPr>
            <w:r>
              <w:rPr>
                <w:sz w:val="20"/>
                <w:szCs w:val="20"/>
              </w:rPr>
              <w:t>锰</w:t>
            </w:r>
          </w:p>
        </w:tc>
        <w:tc>
          <w:tcPr>
            <w:tcW w:w="904" w:type="dxa"/>
            <w:vAlign w:val="top"/>
          </w:tcPr>
          <w:p w14:paraId="5A8D191B">
            <w:pPr>
              <w:pStyle w:val="6"/>
              <w:spacing w:before="179" w:line="231" w:lineRule="auto"/>
              <w:ind w:left="357"/>
              <w:rPr>
                <w:sz w:val="20"/>
                <w:szCs w:val="20"/>
              </w:rPr>
            </w:pPr>
            <w:r>
              <w:rPr>
                <w:sz w:val="20"/>
                <w:szCs w:val="20"/>
              </w:rPr>
              <w:t>锌</w:t>
            </w:r>
          </w:p>
        </w:tc>
        <w:tc>
          <w:tcPr>
            <w:tcW w:w="928" w:type="dxa"/>
            <w:vAlign w:val="top"/>
          </w:tcPr>
          <w:p w14:paraId="4127022F">
            <w:pPr>
              <w:pStyle w:val="6"/>
              <w:spacing w:before="179" w:line="231" w:lineRule="auto"/>
              <w:ind w:left="161"/>
              <w:rPr>
                <w:sz w:val="20"/>
                <w:szCs w:val="20"/>
              </w:rPr>
            </w:pPr>
            <w:r>
              <w:rPr>
                <w:spacing w:val="4"/>
                <w:sz w:val="20"/>
                <w:szCs w:val="20"/>
              </w:rPr>
              <w:t>挥发酚</w:t>
            </w:r>
          </w:p>
        </w:tc>
        <w:tc>
          <w:tcPr>
            <w:tcW w:w="1029" w:type="dxa"/>
            <w:vAlign w:val="top"/>
          </w:tcPr>
          <w:p w14:paraId="143BB136">
            <w:pPr>
              <w:pStyle w:val="6"/>
              <w:spacing w:before="179" w:line="231" w:lineRule="auto"/>
              <w:ind w:left="213"/>
              <w:rPr>
                <w:sz w:val="20"/>
                <w:szCs w:val="20"/>
              </w:rPr>
            </w:pPr>
            <w:r>
              <w:rPr>
                <w:spacing w:val="4"/>
                <w:sz w:val="20"/>
                <w:szCs w:val="20"/>
              </w:rPr>
              <w:t>耗氧量</w:t>
            </w:r>
          </w:p>
        </w:tc>
        <w:tc>
          <w:tcPr>
            <w:tcW w:w="2420" w:type="dxa"/>
            <w:vAlign w:val="top"/>
          </w:tcPr>
          <w:p w14:paraId="4901E301">
            <w:pPr>
              <w:rPr>
                <w:rFonts w:ascii="Arial"/>
                <w:sz w:val="21"/>
              </w:rPr>
            </w:pPr>
          </w:p>
        </w:tc>
      </w:tr>
      <w:tr w14:paraId="6C8EDF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285" w:type="dxa"/>
            <w:vMerge w:val="restart"/>
            <w:tcBorders>
              <w:bottom w:val="nil"/>
            </w:tcBorders>
            <w:vAlign w:val="top"/>
          </w:tcPr>
          <w:p w14:paraId="54714195">
            <w:pPr>
              <w:spacing w:line="250" w:lineRule="auto"/>
              <w:rPr>
                <w:rFonts w:ascii="Arial"/>
                <w:sz w:val="21"/>
              </w:rPr>
            </w:pPr>
          </w:p>
          <w:p w14:paraId="4865CE27">
            <w:pPr>
              <w:spacing w:line="250" w:lineRule="auto"/>
              <w:rPr>
                <w:rFonts w:ascii="Arial"/>
                <w:sz w:val="21"/>
              </w:rPr>
            </w:pPr>
          </w:p>
          <w:p w14:paraId="390CEF0B">
            <w:pPr>
              <w:spacing w:line="250" w:lineRule="auto"/>
              <w:rPr>
                <w:rFonts w:ascii="Arial"/>
                <w:sz w:val="21"/>
              </w:rPr>
            </w:pPr>
          </w:p>
          <w:p w14:paraId="7BA94DAE">
            <w:pPr>
              <w:spacing w:line="250" w:lineRule="auto"/>
              <w:rPr>
                <w:rFonts w:ascii="Arial"/>
                <w:sz w:val="21"/>
              </w:rPr>
            </w:pPr>
          </w:p>
          <w:p w14:paraId="4222996F">
            <w:pPr>
              <w:spacing w:line="250" w:lineRule="auto"/>
              <w:rPr>
                <w:rFonts w:ascii="Arial"/>
                <w:sz w:val="21"/>
              </w:rPr>
            </w:pPr>
          </w:p>
          <w:p w14:paraId="3FFCAE65">
            <w:pPr>
              <w:spacing w:line="250" w:lineRule="auto"/>
              <w:rPr>
                <w:rFonts w:ascii="Arial"/>
                <w:sz w:val="21"/>
              </w:rPr>
            </w:pPr>
          </w:p>
          <w:p w14:paraId="22E3F724">
            <w:pPr>
              <w:spacing w:line="250" w:lineRule="auto"/>
              <w:rPr>
                <w:rFonts w:ascii="Arial"/>
                <w:sz w:val="21"/>
              </w:rPr>
            </w:pPr>
          </w:p>
          <w:p w14:paraId="60D362B5">
            <w:pPr>
              <w:spacing w:line="251" w:lineRule="auto"/>
              <w:rPr>
                <w:rFonts w:ascii="Arial"/>
                <w:sz w:val="21"/>
              </w:rPr>
            </w:pPr>
          </w:p>
          <w:p w14:paraId="15686654">
            <w:pPr>
              <w:spacing w:line="251" w:lineRule="auto"/>
              <w:rPr>
                <w:rFonts w:ascii="Arial"/>
                <w:sz w:val="21"/>
              </w:rPr>
            </w:pPr>
          </w:p>
          <w:p w14:paraId="011A8827">
            <w:pPr>
              <w:spacing w:line="251" w:lineRule="auto"/>
              <w:rPr>
                <w:rFonts w:ascii="Arial"/>
                <w:sz w:val="21"/>
              </w:rPr>
            </w:pPr>
          </w:p>
          <w:p w14:paraId="124C9C3F">
            <w:pPr>
              <w:spacing w:before="57" w:line="195" w:lineRule="auto"/>
              <w:ind w:left="56"/>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1#</w:t>
            </w:r>
          </w:p>
        </w:tc>
        <w:tc>
          <w:tcPr>
            <w:tcW w:w="567" w:type="dxa"/>
            <w:vMerge w:val="restart"/>
            <w:tcBorders>
              <w:bottom w:val="nil"/>
            </w:tcBorders>
            <w:vAlign w:val="top"/>
          </w:tcPr>
          <w:p w14:paraId="4BDAF1A7">
            <w:pPr>
              <w:spacing w:line="264" w:lineRule="auto"/>
              <w:rPr>
                <w:rFonts w:ascii="Arial"/>
                <w:sz w:val="21"/>
              </w:rPr>
            </w:pPr>
          </w:p>
          <w:p w14:paraId="7A2DFE3E">
            <w:pPr>
              <w:spacing w:line="264" w:lineRule="auto"/>
              <w:rPr>
                <w:rFonts w:ascii="Arial"/>
                <w:sz w:val="21"/>
              </w:rPr>
            </w:pPr>
          </w:p>
          <w:p w14:paraId="1E16B87B">
            <w:pPr>
              <w:spacing w:line="265" w:lineRule="auto"/>
              <w:rPr>
                <w:rFonts w:ascii="Arial"/>
                <w:sz w:val="21"/>
              </w:rPr>
            </w:pPr>
          </w:p>
          <w:p w14:paraId="4529156F">
            <w:pPr>
              <w:spacing w:line="265" w:lineRule="auto"/>
              <w:rPr>
                <w:rFonts w:ascii="Arial"/>
                <w:sz w:val="21"/>
              </w:rPr>
            </w:pPr>
          </w:p>
          <w:p w14:paraId="6EBA75A2">
            <w:pPr>
              <w:spacing w:line="265" w:lineRule="auto"/>
              <w:rPr>
                <w:rFonts w:ascii="Arial"/>
                <w:sz w:val="21"/>
              </w:rPr>
            </w:pPr>
          </w:p>
          <w:p w14:paraId="665082C1">
            <w:pPr>
              <w:spacing w:line="265" w:lineRule="auto"/>
              <w:rPr>
                <w:rFonts w:ascii="Arial"/>
                <w:sz w:val="21"/>
              </w:rPr>
            </w:pPr>
          </w:p>
          <w:p w14:paraId="7A19333D">
            <w:pPr>
              <w:spacing w:line="265" w:lineRule="auto"/>
              <w:rPr>
                <w:rFonts w:ascii="Arial"/>
                <w:sz w:val="21"/>
              </w:rPr>
            </w:pPr>
          </w:p>
          <w:p w14:paraId="7CB6E9D9">
            <w:pPr>
              <w:spacing w:line="265" w:lineRule="auto"/>
              <w:rPr>
                <w:rFonts w:ascii="Arial"/>
                <w:sz w:val="21"/>
              </w:rPr>
            </w:pPr>
          </w:p>
          <w:p w14:paraId="479E3754">
            <w:pPr>
              <w:spacing w:line="265" w:lineRule="auto"/>
              <w:rPr>
                <w:rFonts w:ascii="Arial"/>
                <w:sz w:val="21"/>
              </w:rPr>
            </w:pPr>
          </w:p>
          <w:p w14:paraId="460C1FB0">
            <w:pPr>
              <w:spacing w:before="58" w:line="195" w:lineRule="auto"/>
              <w:ind w:left="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2023.</w:t>
            </w:r>
          </w:p>
          <w:p w14:paraId="3403BD30">
            <w:pPr>
              <w:spacing w:before="53" w:line="195" w:lineRule="auto"/>
              <w:ind w:left="150"/>
              <w:rPr>
                <w:rFonts w:ascii="Times New Roman" w:hAnsi="Times New Roman" w:eastAsia="Times New Roman" w:cs="Times New Roman"/>
                <w:sz w:val="20"/>
                <w:szCs w:val="20"/>
              </w:rPr>
            </w:pPr>
            <w:r>
              <w:rPr>
                <w:rFonts w:ascii="Times New Roman" w:hAnsi="Times New Roman" w:eastAsia="Times New Roman" w:cs="Times New Roman"/>
                <w:sz w:val="20"/>
                <w:szCs w:val="20"/>
              </w:rPr>
              <w:t>7.3</w:t>
            </w:r>
          </w:p>
        </w:tc>
        <w:tc>
          <w:tcPr>
            <w:tcW w:w="1421" w:type="dxa"/>
            <w:vAlign w:val="top"/>
          </w:tcPr>
          <w:p w14:paraId="658D8C4C">
            <w:pPr>
              <w:pStyle w:val="6"/>
              <w:spacing w:before="43" w:line="232" w:lineRule="auto"/>
              <w:ind w:left="84"/>
              <w:rPr>
                <w:sz w:val="20"/>
                <w:szCs w:val="20"/>
              </w:rPr>
            </w:pPr>
            <w:r>
              <w:rPr>
                <w:spacing w:val="7"/>
                <w:sz w:val="20"/>
                <w:szCs w:val="20"/>
              </w:rPr>
              <w:t>项目场地外西</w:t>
            </w:r>
          </w:p>
          <w:p w14:paraId="228030A4">
            <w:pPr>
              <w:pStyle w:val="6"/>
              <w:spacing w:before="22" w:line="231" w:lineRule="auto"/>
              <w:ind w:left="89"/>
              <w:rPr>
                <w:sz w:val="20"/>
                <w:szCs w:val="20"/>
              </w:rPr>
            </w:pPr>
            <w:r>
              <w:rPr>
                <w:spacing w:val="4"/>
                <w:sz w:val="20"/>
                <w:szCs w:val="20"/>
              </w:rPr>
              <w:t>北侧（上游）</w:t>
            </w:r>
          </w:p>
        </w:tc>
        <w:tc>
          <w:tcPr>
            <w:tcW w:w="568" w:type="dxa"/>
            <w:vAlign w:val="top"/>
          </w:tcPr>
          <w:p w14:paraId="67F1E992">
            <w:pPr>
              <w:pStyle w:val="6"/>
              <w:spacing w:before="181" w:line="233" w:lineRule="auto"/>
              <w:ind w:left="75"/>
              <w:rPr>
                <w:sz w:val="20"/>
                <w:szCs w:val="20"/>
              </w:rPr>
            </w:pPr>
            <w:r>
              <w:rPr>
                <w:rFonts w:ascii="Times New Roman" w:hAnsi="Times New Roman" w:eastAsia="Times New Roman" w:cs="Times New Roman"/>
                <w:spacing w:val="5"/>
                <w:sz w:val="20"/>
                <w:szCs w:val="20"/>
              </w:rPr>
              <w:t>Ⅲ</w:t>
            </w:r>
            <w:r>
              <w:rPr>
                <w:spacing w:val="5"/>
                <w:sz w:val="20"/>
                <w:szCs w:val="20"/>
              </w:rPr>
              <w:t>类</w:t>
            </w:r>
          </w:p>
        </w:tc>
        <w:tc>
          <w:tcPr>
            <w:tcW w:w="994" w:type="dxa"/>
            <w:vAlign w:val="top"/>
          </w:tcPr>
          <w:p w14:paraId="23C700CA">
            <w:pPr>
              <w:spacing w:before="219" w:line="192"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7.7</w:t>
            </w:r>
          </w:p>
        </w:tc>
        <w:tc>
          <w:tcPr>
            <w:tcW w:w="710" w:type="dxa"/>
            <w:vAlign w:val="top"/>
          </w:tcPr>
          <w:p w14:paraId="3BAFF3E1">
            <w:pPr>
              <w:spacing w:before="216"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219</w:t>
            </w:r>
          </w:p>
        </w:tc>
        <w:tc>
          <w:tcPr>
            <w:tcW w:w="711" w:type="dxa"/>
            <w:vAlign w:val="top"/>
          </w:tcPr>
          <w:p w14:paraId="2359B843">
            <w:pPr>
              <w:spacing w:before="216" w:line="195" w:lineRule="auto"/>
              <w:ind w:left="1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312</w:t>
            </w:r>
          </w:p>
        </w:tc>
        <w:tc>
          <w:tcPr>
            <w:tcW w:w="895" w:type="dxa"/>
            <w:vAlign w:val="top"/>
          </w:tcPr>
          <w:p w14:paraId="4214BC93">
            <w:pPr>
              <w:spacing w:before="216" w:line="195" w:lineRule="auto"/>
              <w:ind w:left="35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809" w:type="dxa"/>
            <w:vAlign w:val="top"/>
          </w:tcPr>
          <w:p w14:paraId="402AA91A">
            <w:pPr>
              <w:spacing w:before="216" w:line="195" w:lineRule="auto"/>
              <w:ind w:left="2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3.42</w:t>
            </w:r>
          </w:p>
        </w:tc>
        <w:tc>
          <w:tcPr>
            <w:tcW w:w="842" w:type="dxa"/>
            <w:vAlign w:val="top"/>
          </w:tcPr>
          <w:p w14:paraId="6E3A4A4A">
            <w:pPr>
              <w:spacing w:before="216" w:line="195" w:lineRule="auto"/>
              <w:ind w:left="1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0.01L</w:t>
            </w:r>
          </w:p>
        </w:tc>
        <w:tc>
          <w:tcPr>
            <w:tcW w:w="905" w:type="dxa"/>
            <w:vAlign w:val="top"/>
          </w:tcPr>
          <w:p w14:paraId="2FE2B84C">
            <w:pPr>
              <w:spacing w:before="216" w:line="195" w:lineRule="auto"/>
              <w:ind w:left="2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0.01L</w:t>
            </w:r>
          </w:p>
        </w:tc>
        <w:tc>
          <w:tcPr>
            <w:tcW w:w="904" w:type="dxa"/>
            <w:vAlign w:val="top"/>
          </w:tcPr>
          <w:p w14:paraId="7F19D8F5">
            <w:pPr>
              <w:spacing w:before="216" w:line="195" w:lineRule="auto"/>
              <w:ind w:left="1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0.009L</w:t>
            </w:r>
          </w:p>
        </w:tc>
        <w:tc>
          <w:tcPr>
            <w:tcW w:w="928" w:type="dxa"/>
            <w:vAlign w:val="top"/>
          </w:tcPr>
          <w:p w14:paraId="712D1D50">
            <w:pPr>
              <w:spacing w:before="216" w:line="195" w:lineRule="auto"/>
              <w:ind w:left="1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0.0003L</w:t>
            </w:r>
          </w:p>
        </w:tc>
        <w:tc>
          <w:tcPr>
            <w:tcW w:w="1029" w:type="dxa"/>
            <w:vAlign w:val="top"/>
          </w:tcPr>
          <w:p w14:paraId="76CD188B">
            <w:pPr>
              <w:spacing w:before="216" w:line="195" w:lineRule="auto"/>
              <w:ind w:left="33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2.54</w:t>
            </w:r>
          </w:p>
        </w:tc>
        <w:tc>
          <w:tcPr>
            <w:tcW w:w="2420" w:type="dxa"/>
            <w:vMerge w:val="restart"/>
            <w:tcBorders>
              <w:bottom w:val="nil"/>
            </w:tcBorders>
            <w:vAlign w:val="top"/>
          </w:tcPr>
          <w:p w14:paraId="793D4DF3">
            <w:pPr>
              <w:spacing w:line="256" w:lineRule="auto"/>
              <w:rPr>
                <w:rFonts w:ascii="Arial"/>
                <w:sz w:val="21"/>
              </w:rPr>
            </w:pPr>
          </w:p>
          <w:p w14:paraId="77A050DD">
            <w:pPr>
              <w:spacing w:line="256" w:lineRule="auto"/>
              <w:rPr>
                <w:rFonts w:ascii="Arial"/>
                <w:sz w:val="21"/>
              </w:rPr>
            </w:pPr>
          </w:p>
          <w:p w14:paraId="4F722819">
            <w:pPr>
              <w:spacing w:line="257" w:lineRule="auto"/>
              <w:rPr>
                <w:rFonts w:ascii="Arial"/>
                <w:sz w:val="21"/>
              </w:rPr>
            </w:pPr>
          </w:p>
          <w:p w14:paraId="4BF62A4C">
            <w:pPr>
              <w:spacing w:line="257" w:lineRule="auto"/>
              <w:rPr>
                <w:rFonts w:ascii="Arial"/>
                <w:sz w:val="21"/>
              </w:rPr>
            </w:pPr>
          </w:p>
          <w:p w14:paraId="05FD32A8">
            <w:pPr>
              <w:spacing w:line="257" w:lineRule="auto"/>
              <w:rPr>
                <w:rFonts w:ascii="Arial"/>
                <w:sz w:val="21"/>
              </w:rPr>
            </w:pPr>
          </w:p>
          <w:p w14:paraId="405D7337">
            <w:pPr>
              <w:spacing w:line="257" w:lineRule="auto"/>
              <w:rPr>
                <w:rFonts w:ascii="Arial"/>
                <w:sz w:val="21"/>
              </w:rPr>
            </w:pPr>
          </w:p>
          <w:p w14:paraId="08D2CFF7">
            <w:pPr>
              <w:spacing w:line="257" w:lineRule="auto"/>
              <w:rPr>
                <w:rFonts w:ascii="Arial"/>
                <w:sz w:val="21"/>
              </w:rPr>
            </w:pPr>
          </w:p>
          <w:p w14:paraId="0733C4AE">
            <w:pPr>
              <w:spacing w:line="257" w:lineRule="auto"/>
              <w:rPr>
                <w:rFonts w:ascii="Arial"/>
                <w:sz w:val="21"/>
              </w:rPr>
            </w:pPr>
          </w:p>
          <w:p w14:paraId="1B1E6BBD">
            <w:pPr>
              <w:pStyle w:val="6"/>
              <w:spacing w:before="65" w:line="231" w:lineRule="auto"/>
              <w:ind w:left="71"/>
              <w:rPr>
                <w:sz w:val="20"/>
                <w:szCs w:val="20"/>
              </w:rPr>
            </w:pPr>
            <w:r>
              <w:rPr>
                <w:spacing w:val="8"/>
                <w:sz w:val="20"/>
                <w:szCs w:val="20"/>
              </w:rPr>
              <w:t>重庆牛焱农业开发有限公</w:t>
            </w:r>
          </w:p>
          <w:p w14:paraId="615AD8A4">
            <w:pPr>
              <w:pStyle w:val="6"/>
              <w:spacing w:before="21" w:line="229" w:lineRule="auto"/>
              <w:ind w:left="54"/>
              <w:rPr>
                <w:sz w:val="20"/>
                <w:szCs w:val="20"/>
              </w:rPr>
            </w:pPr>
            <w:r>
              <w:rPr>
                <w:spacing w:val="5"/>
                <w:sz w:val="20"/>
                <w:szCs w:val="20"/>
              </w:rPr>
              <w:t>司</w:t>
            </w:r>
            <w:r>
              <w:rPr>
                <w:spacing w:val="-27"/>
                <w:sz w:val="20"/>
                <w:szCs w:val="20"/>
              </w:rPr>
              <w:t xml:space="preserve"> </w:t>
            </w:r>
            <w:r>
              <w:rPr>
                <w:spacing w:val="5"/>
                <w:sz w:val="20"/>
                <w:szCs w:val="20"/>
              </w:rPr>
              <w:t>黔江区肉牛养殖及牧草</w:t>
            </w:r>
          </w:p>
          <w:p w14:paraId="021E1E6C">
            <w:pPr>
              <w:pStyle w:val="6"/>
              <w:spacing w:before="23" w:line="229" w:lineRule="auto"/>
              <w:ind w:left="145"/>
              <w:rPr>
                <w:sz w:val="20"/>
                <w:szCs w:val="20"/>
              </w:rPr>
            </w:pPr>
            <w:r>
              <w:rPr>
                <w:spacing w:val="6"/>
                <w:sz w:val="20"/>
                <w:szCs w:val="20"/>
              </w:rPr>
              <w:t>种植项目</w:t>
            </w:r>
            <w:r>
              <w:rPr>
                <w:spacing w:val="-29"/>
                <w:sz w:val="20"/>
                <w:szCs w:val="20"/>
              </w:rPr>
              <w:t xml:space="preserve"> </w:t>
            </w:r>
            <w:r>
              <w:rPr>
                <w:spacing w:val="6"/>
                <w:sz w:val="20"/>
                <w:szCs w:val="20"/>
              </w:rPr>
              <w:t>环境影响报告</w:t>
            </w:r>
          </w:p>
          <w:p w14:paraId="07868B73">
            <w:pPr>
              <w:pStyle w:val="6"/>
              <w:spacing w:before="25" w:line="232" w:lineRule="auto"/>
              <w:ind w:left="1096"/>
              <w:rPr>
                <w:sz w:val="20"/>
                <w:szCs w:val="20"/>
              </w:rPr>
            </w:pPr>
            <w:r>
              <w:rPr>
                <w:sz w:val="20"/>
                <w:szCs w:val="20"/>
              </w:rPr>
              <w:t>书</w:t>
            </w:r>
          </w:p>
        </w:tc>
      </w:tr>
      <w:tr w14:paraId="566DB1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trPr>
        <w:tc>
          <w:tcPr>
            <w:tcW w:w="285" w:type="dxa"/>
            <w:vMerge w:val="continue"/>
            <w:tcBorders>
              <w:top w:val="nil"/>
              <w:bottom w:val="nil"/>
            </w:tcBorders>
            <w:vAlign w:val="top"/>
          </w:tcPr>
          <w:p w14:paraId="2A749F81">
            <w:pPr>
              <w:rPr>
                <w:rFonts w:ascii="Arial"/>
                <w:sz w:val="21"/>
              </w:rPr>
            </w:pPr>
          </w:p>
        </w:tc>
        <w:tc>
          <w:tcPr>
            <w:tcW w:w="567" w:type="dxa"/>
            <w:vMerge w:val="continue"/>
            <w:tcBorders>
              <w:top w:val="nil"/>
              <w:bottom w:val="nil"/>
            </w:tcBorders>
            <w:vAlign w:val="top"/>
          </w:tcPr>
          <w:p w14:paraId="24B17AE0">
            <w:pPr>
              <w:rPr>
                <w:rFonts w:ascii="Arial"/>
                <w:sz w:val="21"/>
              </w:rPr>
            </w:pPr>
          </w:p>
        </w:tc>
        <w:tc>
          <w:tcPr>
            <w:tcW w:w="1421" w:type="dxa"/>
            <w:vAlign w:val="top"/>
          </w:tcPr>
          <w:p w14:paraId="0FD4E07A">
            <w:pPr>
              <w:pStyle w:val="6"/>
              <w:spacing w:before="45" w:line="232" w:lineRule="auto"/>
              <w:ind w:left="84"/>
              <w:rPr>
                <w:sz w:val="20"/>
                <w:szCs w:val="20"/>
              </w:rPr>
            </w:pPr>
            <w:r>
              <w:rPr>
                <w:spacing w:val="7"/>
                <w:sz w:val="20"/>
                <w:szCs w:val="20"/>
              </w:rPr>
              <w:t>项目场地外东</w:t>
            </w:r>
          </w:p>
          <w:p w14:paraId="1F6C8B41">
            <w:pPr>
              <w:pStyle w:val="6"/>
              <w:spacing w:before="20" w:line="231" w:lineRule="auto"/>
              <w:ind w:left="93"/>
              <w:rPr>
                <w:sz w:val="20"/>
                <w:szCs w:val="20"/>
              </w:rPr>
            </w:pPr>
            <w:r>
              <w:rPr>
                <w:spacing w:val="4"/>
                <w:sz w:val="20"/>
                <w:szCs w:val="20"/>
              </w:rPr>
              <w:t>南侧（下游）</w:t>
            </w:r>
          </w:p>
        </w:tc>
        <w:tc>
          <w:tcPr>
            <w:tcW w:w="568" w:type="dxa"/>
            <w:vAlign w:val="top"/>
          </w:tcPr>
          <w:p w14:paraId="26A5D351">
            <w:pPr>
              <w:pStyle w:val="6"/>
              <w:spacing w:before="180" w:line="233" w:lineRule="auto"/>
              <w:ind w:left="75"/>
              <w:rPr>
                <w:sz w:val="20"/>
                <w:szCs w:val="20"/>
              </w:rPr>
            </w:pPr>
            <w:r>
              <w:rPr>
                <w:rFonts w:ascii="Times New Roman" w:hAnsi="Times New Roman" w:eastAsia="Times New Roman" w:cs="Times New Roman"/>
                <w:spacing w:val="5"/>
                <w:sz w:val="20"/>
                <w:szCs w:val="20"/>
              </w:rPr>
              <w:t>Ⅲ</w:t>
            </w:r>
            <w:r>
              <w:rPr>
                <w:spacing w:val="5"/>
                <w:sz w:val="20"/>
                <w:szCs w:val="20"/>
              </w:rPr>
              <w:t>类</w:t>
            </w:r>
          </w:p>
        </w:tc>
        <w:tc>
          <w:tcPr>
            <w:tcW w:w="994" w:type="dxa"/>
            <w:vAlign w:val="top"/>
          </w:tcPr>
          <w:p w14:paraId="22CA3736">
            <w:pPr>
              <w:spacing w:before="218"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7.8</w:t>
            </w:r>
          </w:p>
        </w:tc>
        <w:tc>
          <w:tcPr>
            <w:tcW w:w="710" w:type="dxa"/>
            <w:vAlign w:val="top"/>
          </w:tcPr>
          <w:p w14:paraId="4390EC42">
            <w:pPr>
              <w:spacing w:before="218"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119</w:t>
            </w:r>
          </w:p>
        </w:tc>
        <w:tc>
          <w:tcPr>
            <w:tcW w:w="711" w:type="dxa"/>
            <w:vAlign w:val="top"/>
          </w:tcPr>
          <w:p w14:paraId="588E57FA">
            <w:pPr>
              <w:spacing w:before="218" w:line="195" w:lineRule="auto"/>
              <w:ind w:left="1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301</w:t>
            </w:r>
          </w:p>
        </w:tc>
        <w:tc>
          <w:tcPr>
            <w:tcW w:w="895" w:type="dxa"/>
            <w:vAlign w:val="top"/>
          </w:tcPr>
          <w:p w14:paraId="670DEBB5">
            <w:pPr>
              <w:spacing w:before="218"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28.8</w:t>
            </w:r>
          </w:p>
        </w:tc>
        <w:tc>
          <w:tcPr>
            <w:tcW w:w="809" w:type="dxa"/>
            <w:vAlign w:val="top"/>
          </w:tcPr>
          <w:p w14:paraId="34362F97">
            <w:pPr>
              <w:spacing w:before="218" w:line="195" w:lineRule="auto"/>
              <w:ind w:left="2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3.02</w:t>
            </w:r>
          </w:p>
        </w:tc>
        <w:tc>
          <w:tcPr>
            <w:tcW w:w="842" w:type="dxa"/>
            <w:vAlign w:val="top"/>
          </w:tcPr>
          <w:p w14:paraId="502D161F">
            <w:pPr>
              <w:spacing w:before="218" w:line="195" w:lineRule="auto"/>
              <w:ind w:left="1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0.01L</w:t>
            </w:r>
          </w:p>
        </w:tc>
        <w:tc>
          <w:tcPr>
            <w:tcW w:w="905" w:type="dxa"/>
            <w:vAlign w:val="top"/>
          </w:tcPr>
          <w:p w14:paraId="7E165AB1">
            <w:pPr>
              <w:spacing w:before="218" w:line="195" w:lineRule="auto"/>
              <w:ind w:left="2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0.01L</w:t>
            </w:r>
          </w:p>
        </w:tc>
        <w:tc>
          <w:tcPr>
            <w:tcW w:w="904" w:type="dxa"/>
            <w:vAlign w:val="top"/>
          </w:tcPr>
          <w:p w14:paraId="624BD649">
            <w:pPr>
              <w:spacing w:before="218" w:line="195" w:lineRule="auto"/>
              <w:ind w:left="1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0.009L</w:t>
            </w:r>
          </w:p>
        </w:tc>
        <w:tc>
          <w:tcPr>
            <w:tcW w:w="928" w:type="dxa"/>
            <w:vAlign w:val="top"/>
          </w:tcPr>
          <w:p w14:paraId="247AF104">
            <w:pPr>
              <w:spacing w:before="218" w:line="195" w:lineRule="auto"/>
              <w:ind w:left="1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0.0003L</w:t>
            </w:r>
          </w:p>
        </w:tc>
        <w:tc>
          <w:tcPr>
            <w:tcW w:w="1029" w:type="dxa"/>
            <w:vAlign w:val="top"/>
          </w:tcPr>
          <w:p w14:paraId="191C7344">
            <w:pPr>
              <w:spacing w:before="218" w:line="195" w:lineRule="auto"/>
              <w:ind w:left="33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2.63</w:t>
            </w:r>
          </w:p>
        </w:tc>
        <w:tc>
          <w:tcPr>
            <w:tcW w:w="2420" w:type="dxa"/>
            <w:vMerge w:val="continue"/>
            <w:tcBorders>
              <w:top w:val="nil"/>
              <w:bottom w:val="nil"/>
            </w:tcBorders>
            <w:vAlign w:val="top"/>
          </w:tcPr>
          <w:p w14:paraId="7E696F95">
            <w:pPr>
              <w:rPr>
                <w:rFonts w:ascii="Arial"/>
                <w:sz w:val="21"/>
              </w:rPr>
            </w:pPr>
          </w:p>
        </w:tc>
      </w:tr>
      <w:tr w14:paraId="56BAED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285" w:type="dxa"/>
            <w:vMerge w:val="continue"/>
            <w:tcBorders>
              <w:top w:val="nil"/>
              <w:bottom w:val="nil"/>
            </w:tcBorders>
            <w:vAlign w:val="top"/>
          </w:tcPr>
          <w:p w14:paraId="3C06117B">
            <w:pPr>
              <w:rPr>
                <w:rFonts w:ascii="Arial"/>
                <w:sz w:val="21"/>
              </w:rPr>
            </w:pPr>
          </w:p>
        </w:tc>
        <w:tc>
          <w:tcPr>
            <w:tcW w:w="567" w:type="dxa"/>
            <w:vMerge w:val="continue"/>
            <w:tcBorders>
              <w:top w:val="nil"/>
              <w:bottom w:val="nil"/>
            </w:tcBorders>
            <w:vAlign w:val="top"/>
          </w:tcPr>
          <w:p w14:paraId="0B8976F9">
            <w:pPr>
              <w:rPr>
                <w:rFonts w:ascii="Arial"/>
                <w:sz w:val="21"/>
              </w:rPr>
            </w:pPr>
          </w:p>
        </w:tc>
        <w:tc>
          <w:tcPr>
            <w:tcW w:w="1421" w:type="dxa"/>
            <w:vAlign w:val="top"/>
          </w:tcPr>
          <w:p w14:paraId="457A854C">
            <w:pPr>
              <w:pStyle w:val="6"/>
              <w:spacing w:before="47" w:line="232" w:lineRule="auto"/>
              <w:ind w:left="84"/>
              <w:rPr>
                <w:sz w:val="20"/>
                <w:szCs w:val="20"/>
              </w:rPr>
            </w:pPr>
            <w:r>
              <w:rPr>
                <w:spacing w:val="7"/>
                <w:sz w:val="20"/>
                <w:szCs w:val="20"/>
              </w:rPr>
              <w:t>项目场地外东</w:t>
            </w:r>
          </w:p>
          <w:p w14:paraId="1FC2B07E">
            <w:pPr>
              <w:pStyle w:val="6"/>
              <w:spacing w:before="19" w:line="231" w:lineRule="auto"/>
              <w:ind w:left="93"/>
              <w:rPr>
                <w:sz w:val="20"/>
                <w:szCs w:val="20"/>
              </w:rPr>
            </w:pPr>
            <w:r>
              <w:rPr>
                <w:spacing w:val="4"/>
                <w:sz w:val="20"/>
                <w:szCs w:val="20"/>
              </w:rPr>
              <w:t>南侧（下游）</w:t>
            </w:r>
          </w:p>
        </w:tc>
        <w:tc>
          <w:tcPr>
            <w:tcW w:w="568" w:type="dxa"/>
            <w:vAlign w:val="top"/>
          </w:tcPr>
          <w:p w14:paraId="6071C552">
            <w:pPr>
              <w:pStyle w:val="6"/>
              <w:spacing w:before="182" w:line="233" w:lineRule="auto"/>
              <w:ind w:left="75"/>
              <w:rPr>
                <w:sz w:val="20"/>
                <w:szCs w:val="20"/>
              </w:rPr>
            </w:pPr>
            <w:r>
              <w:rPr>
                <w:rFonts w:ascii="Times New Roman" w:hAnsi="Times New Roman" w:eastAsia="Times New Roman" w:cs="Times New Roman"/>
                <w:spacing w:val="5"/>
                <w:sz w:val="20"/>
                <w:szCs w:val="20"/>
              </w:rPr>
              <w:t>Ⅲ</w:t>
            </w:r>
            <w:r>
              <w:rPr>
                <w:spacing w:val="5"/>
                <w:sz w:val="20"/>
                <w:szCs w:val="20"/>
              </w:rPr>
              <w:t>类</w:t>
            </w:r>
          </w:p>
        </w:tc>
        <w:tc>
          <w:tcPr>
            <w:tcW w:w="994" w:type="dxa"/>
            <w:vAlign w:val="top"/>
          </w:tcPr>
          <w:p w14:paraId="65365146">
            <w:pPr>
              <w:spacing w:before="221" w:line="192"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7.7</w:t>
            </w:r>
          </w:p>
        </w:tc>
        <w:tc>
          <w:tcPr>
            <w:tcW w:w="710" w:type="dxa"/>
            <w:vAlign w:val="top"/>
          </w:tcPr>
          <w:p w14:paraId="1E77AB92">
            <w:pPr>
              <w:spacing w:before="218" w:line="195" w:lineRule="auto"/>
              <w:ind w:left="2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87</w:t>
            </w:r>
          </w:p>
        </w:tc>
        <w:tc>
          <w:tcPr>
            <w:tcW w:w="711" w:type="dxa"/>
            <w:vAlign w:val="top"/>
          </w:tcPr>
          <w:p w14:paraId="61ABAC49">
            <w:pPr>
              <w:spacing w:before="218" w:line="195" w:lineRule="auto"/>
              <w:ind w:left="1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323</w:t>
            </w:r>
          </w:p>
        </w:tc>
        <w:tc>
          <w:tcPr>
            <w:tcW w:w="895" w:type="dxa"/>
            <w:vAlign w:val="top"/>
          </w:tcPr>
          <w:p w14:paraId="4AA11D45">
            <w:pPr>
              <w:spacing w:before="218"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2.26</w:t>
            </w:r>
          </w:p>
        </w:tc>
        <w:tc>
          <w:tcPr>
            <w:tcW w:w="809" w:type="dxa"/>
            <w:vAlign w:val="top"/>
          </w:tcPr>
          <w:p w14:paraId="77C9B3B5">
            <w:pPr>
              <w:spacing w:before="218" w:line="195" w:lineRule="auto"/>
              <w:ind w:left="1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0.824</w:t>
            </w:r>
          </w:p>
        </w:tc>
        <w:tc>
          <w:tcPr>
            <w:tcW w:w="842" w:type="dxa"/>
            <w:vAlign w:val="top"/>
          </w:tcPr>
          <w:p w14:paraId="342954C4">
            <w:pPr>
              <w:spacing w:before="218" w:line="195" w:lineRule="auto"/>
              <w:ind w:left="1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0.01L</w:t>
            </w:r>
          </w:p>
        </w:tc>
        <w:tc>
          <w:tcPr>
            <w:tcW w:w="905" w:type="dxa"/>
            <w:vAlign w:val="top"/>
          </w:tcPr>
          <w:p w14:paraId="36CF5852">
            <w:pPr>
              <w:spacing w:before="218" w:line="195" w:lineRule="auto"/>
              <w:ind w:left="2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0.01L</w:t>
            </w:r>
          </w:p>
        </w:tc>
        <w:tc>
          <w:tcPr>
            <w:tcW w:w="904" w:type="dxa"/>
            <w:vAlign w:val="top"/>
          </w:tcPr>
          <w:p w14:paraId="49127F7C">
            <w:pPr>
              <w:spacing w:before="218" w:line="195" w:lineRule="auto"/>
              <w:ind w:left="1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0.009L</w:t>
            </w:r>
          </w:p>
        </w:tc>
        <w:tc>
          <w:tcPr>
            <w:tcW w:w="928" w:type="dxa"/>
            <w:vAlign w:val="top"/>
          </w:tcPr>
          <w:p w14:paraId="1C9E36FA">
            <w:pPr>
              <w:spacing w:before="218" w:line="195" w:lineRule="auto"/>
              <w:ind w:left="1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0.0003L</w:t>
            </w:r>
          </w:p>
        </w:tc>
        <w:tc>
          <w:tcPr>
            <w:tcW w:w="1029" w:type="dxa"/>
            <w:vAlign w:val="top"/>
          </w:tcPr>
          <w:p w14:paraId="15F88BD4">
            <w:pPr>
              <w:spacing w:before="218" w:line="195" w:lineRule="auto"/>
              <w:ind w:left="3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2420" w:type="dxa"/>
            <w:vMerge w:val="continue"/>
            <w:tcBorders>
              <w:top w:val="nil"/>
              <w:bottom w:val="nil"/>
            </w:tcBorders>
            <w:vAlign w:val="top"/>
          </w:tcPr>
          <w:p w14:paraId="7854C771">
            <w:pPr>
              <w:rPr>
                <w:rFonts w:ascii="Arial"/>
                <w:sz w:val="21"/>
              </w:rPr>
            </w:pPr>
          </w:p>
        </w:tc>
      </w:tr>
      <w:tr w14:paraId="2489F5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2" w:hRule="atLeast"/>
        </w:trPr>
        <w:tc>
          <w:tcPr>
            <w:tcW w:w="285" w:type="dxa"/>
            <w:vMerge w:val="continue"/>
            <w:tcBorders>
              <w:top w:val="nil"/>
              <w:bottom w:val="nil"/>
            </w:tcBorders>
            <w:vAlign w:val="top"/>
          </w:tcPr>
          <w:p w14:paraId="2980B707">
            <w:pPr>
              <w:rPr>
                <w:rFonts w:ascii="Arial"/>
                <w:sz w:val="21"/>
              </w:rPr>
            </w:pPr>
          </w:p>
        </w:tc>
        <w:tc>
          <w:tcPr>
            <w:tcW w:w="567" w:type="dxa"/>
            <w:vMerge w:val="continue"/>
            <w:tcBorders>
              <w:top w:val="nil"/>
              <w:bottom w:val="nil"/>
            </w:tcBorders>
            <w:vAlign w:val="top"/>
          </w:tcPr>
          <w:p w14:paraId="06045D85">
            <w:pPr>
              <w:rPr>
                <w:rFonts w:ascii="Arial"/>
                <w:sz w:val="21"/>
              </w:rPr>
            </w:pPr>
          </w:p>
        </w:tc>
        <w:tc>
          <w:tcPr>
            <w:tcW w:w="1421" w:type="dxa"/>
            <w:vAlign w:val="top"/>
          </w:tcPr>
          <w:p w14:paraId="06213F39">
            <w:pPr>
              <w:pStyle w:val="6"/>
              <w:spacing w:before="50" w:line="250" w:lineRule="auto"/>
              <w:ind w:left="399" w:right="83" w:hanging="316"/>
              <w:rPr>
                <w:sz w:val="20"/>
                <w:szCs w:val="20"/>
              </w:rPr>
            </w:pPr>
            <w:r>
              <w:rPr>
                <w:spacing w:val="7"/>
                <w:sz w:val="20"/>
                <w:szCs w:val="20"/>
              </w:rPr>
              <w:t>《地下水质量</w:t>
            </w:r>
            <w:r>
              <w:rPr>
                <w:spacing w:val="1"/>
                <w:sz w:val="20"/>
                <w:szCs w:val="20"/>
              </w:rPr>
              <w:t xml:space="preserve"> 标准》</w:t>
            </w:r>
          </w:p>
          <w:p w14:paraId="448A7838">
            <w:pPr>
              <w:pStyle w:val="6"/>
              <w:spacing w:line="265" w:lineRule="exact"/>
              <w:ind w:left="26"/>
              <w:rPr>
                <w:rFonts w:ascii="Times New Roman" w:hAnsi="Times New Roman" w:eastAsia="Times New Roman" w:cs="Times New Roman"/>
                <w:sz w:val="20"/>
                <w:szCs w:val="20"/>
              </w:rPr>
            </w:pPr>
            <w:r>
              <w:rPr>
                <w:spacing w:val="4"/>
                <w:position w:val="1"/>
                <w:sz w:val="20"/>
                <w:szCs w:val="20"/>
              </w:rPr>
              <w:t>（</w:t>
            </w:r>
            <w:r>
              <w:rPr>
                <w:rFonts w:ascii="Times New Roman" w:hAnsi="Times New Roman" w:eastAsia="Times New Roman" w:cs="Times New Roman"/>
                <w:position w:val="1"/>
                <w:sz w:val="20"/>
                <w:szCs w:val="20"/>
              </w:rPr>
              <w:t>GB</w:t>
            </w:r>
            <w:r>
              <w:rPr>
                <w:rFonts w:ascii="Times New Roman" w:hAnsi="Times New Roman" w:eastAsia="Times New Roman" w:cs="Times New Roman"/>
                <w:spacing w:val="4"/>
                <w:position w:val="1"/>
                <w:sz w:val="20"/>
                <w:szCs w:val="20"/>
              </w:rPr>
              <w:t>/T14848-2</w:t>
            </w:r>
          </w:p>
          <w:p w14:paraId="5BF529DC">
            <w:pPr>
              <w:pStyle w:val="6"/>
              <w:spacing w:before="7" w:line="228" w:lineRule="auto"/>
              <w:ind w:left="444"/>
              <w:rPr>
                <w:sz w:val="20"/>
                <w:szCs w:val="20"/>
              </w:rPr>
            </w:pPr>
            <w:r>
              <w:rPr>
                <w:rFonts w:ascii="Times New Roman" w:hAnsi="Times New Roman" w:eastAsia="Times New Roman" w:cs="Times New Roman"/>
                <w:spacing w:val="2"/>
                <w:sz w:val="20"/>
                <w:szCs w:val="20"/>
              </w:rPr>
              <w:t>017</w:t>
            </w:r>
            <w:r>
              <w:rPr>
                <w:spacing w:val="2"/>
                <w:sz w:val="20"/>
                <w:szCs w:val="20"/>
              </w:rPr>
              <w:t>）</w:t>
            </w:r>
          </w:p>
        </w:tc>
        <w:tc>
          <w:tcPr>
            <w:tcW w:w="568" w:type="dxa"/>
            <w:vAlign w:val="top"/>
          </w:tcPr>
          <w:p w14:paraId="5341234E">
            <w:pPr>
              <w:spacing w:line="390" w:lineRule="auto"/>
              <w:rPr>
                <w:rFonts w:ascii="Arial"/>
                <w:sz w:val="21"/>
              </w:rPr>
            </w:pPr>
          </w:p>
          <w:p w14:paraId="552E454D">
            <w:pPr>
              <w:pStyle w:val="6"/>
              <w:spacing w:before="65" w:line="233" w:lineRule="auto"/>
              <w:ind w:left="75"/>
              <w:rPr>
                <w:sz w:val="20"/>
                <w:szCs w:val="20"/>
              </w:rPr>
            </w:pPr>
            <w:r>
              <w:rPr>
                <w:rFonts w:ascii="Times New Roman" w:hAnsi="Times New Roman" w:eastAsia="Times New Roman" w:cs="Times New Roman"/>
                <w:spacing w:val="5"/>
                <w:sz w:val="20"/>
                <w:szCs w:val="20"/>
              </w:rPr>
              <w:t>Ⅲ</w:t>
            </w:r>
            <w:r>
              <w:rPr>
                <w:spacing w:val="5"/>
                <w:sz w:val="20"/>
                <w:szCs w:val="20"/>
              </w:rPr>
              <w:t>类</w:t>
            </w:r>
          </w:p>
        </w:tc>
        <w:tc>
          <w:tcPr>
            <w:tcW w:w="994" w:type="dxa"/>
            <w:vAlign w:val="top"/>
          </w:tcPr>
          <w:p w14:paraId="3BF21326">
            <w:pPr>
              <w:spacing w:line="390" w:lineRule="auto"/>
              <w:rPr>
                <w:rFonts w:ascii="Arial"/>
                <w:sz w:val="21"/>
              </w:rPr>
            </w:pPr>
          </w:p>
          <w:p w14:paraId="60CC35B0">
            <w:pPr>
              <w:pStyle w:val="6"/>
              <w:spacing w:before="65" w:line="269" w:lineRule="exact"/>
              <w:ind w:left="130"/>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6.5</w:t>
            </w:r>
            <w:r>
              <w:rPr>
                <w:spacing w:val="3"/>
                <w:position w:val="1"/>
                <w:sz w:val="20"/>
                <w:szCs w:val="20"/>
              </w:rPr>
              <w:t>～</w:t>
            </w:r>
            <w:r>
              <w:rPr>
                <w:rFonts w:ascii="Times New Roman" w:hAnsi="Times New Roman" w:eastAsia="Times New Roman" w:cs="Times New Roman"/>
                <w:spacing w:val="3"/>
                <w:position w:val="1"/>
                <w:sz w:val="20"/>
                <w:szCs w:val="20"/>
              </w:rPr>
              <w:t>8.5</w:t>
            </w:r>
          </w:p>
        </w:tc>
        <w:tc>
          <w:tcPr>
            <w:tcW w:w="710" w:type="dxa"/>
            <w:vAlign w:val="top"/>
          </w:tcPr>
          <w:p w14:paraId="06FF22A1">
            <w:pPr>
              <w:spacing w:line="433" w:lineRule="auto"/>
              <w:rPr>
                <w:rFonts w:ascii="Arial"/>
                <w:sz w:val="21"/>
              </w:rPr>
            </w:pPr>
          </w:p>
          <w:p w14:paraId="1FA055F6">
            <w:pPr>
              <w:spacing w:before="57"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450</w:t>
            </w:r>
          </w:p>
        </w:tc>
        <w:tc>
          <w:tcPr>
            <w:tcW w:w="711" w:type="dxa"/>
            <w:vAlign w:val="top"/>
          </w:tcPr>
          <w:p w14:paraId="3F36153A">
            <w:pPr>
              <w:spacing w:line="433" w:lineRule="auto"/>
              <w:rPr>
                <w:rFonts w:ascii="Arial"/>
                <w:sz w:val="21"/>
              </w:rPr>
            </w:pPr>
          </w:p>
          <w:p w14:paraId="0D1A3D03">
            <w:pPr>
              <w:spacing w:before="57" w:line="195" w:lineRule="auto"/>
              <w:ind w:left="1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1000</w:t>
            </w:r>
          </w:p>
        </w:tc>
        <w:tc>
          <w:tcPr>
            <w:tcW w:w="895" w:type="dxa"/>
            <w:vAlign w:val="top"/>
          </w:tcPr>
          <w:p w14:paraId="725C09E2">
            <w:pPr>
              <w:spacing w:line="433" w:lineRule="auto"/>
              <w:rPr>
                <w:rFonts w:ascii="Arial"/>
                <w:sz w:val="21"/>
              </w:rPr>
            </w:pPr>
          </w:p>
          <w:p w14:paraId="10E5B0C6">
            <w:pPr>
              <w:spacing w:before="57" w:line="195"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w:t>
            </w:r>
          </w:p>
        </w:tc>
        <w:tc>
          <w:tcPr>
            <w:tcW w:w="809" w:type="dxa"/>
            <w:vAlign w:val="top"/>
          </w:tcPr>
          <w:p w14:paraId="10576E3E">
            <w:pPr>
              <w:spacing w:line="433" w:lineRule="auto"/>
              <w:rPr>
                <w:rFonts w:ascii="Arial"/>
                <w:sz w:val="21"/>
              </w:rPr>
            </w:pPr>
          </w:p>
          <w:p w14:paraId="026A610C">
            <w:pPr>
              <w:spacing w:before="57" w:line="195" w:lineRule="auto"/>
              <w:ind w:left="36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842" w:type="dxa"/>
            <w:vAlign w:val="top"/>
          </w:tcPr>
          <w:p w14:paraId="01C4E2BB">
            <w:pPr>
              <w:spacing w:line="433" w:lineRule="auto"/>
              <w:rPr>
                <w:rFonts w:ascii="Arial"/>
                <w:sz w:val="21"/>
              </w:rPr>
            </w:pPr>
          </w:p>
          <w:p w14:paraId="14F41A7F">
            <w:pPr>
              <w:spacing w:before="57" w:line="195" w:lineRule="auto"/>
              <w:ind w:left="29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w:t>
            </w:r>
          </w:p>
        </w:tc>
        <w:tc>
          <w:tcPr>
            <w:tcW w:w="905" w:type="dxa"/>
            <w:vAlign w:val="top"/>
          </w:tcPr>
          <w:p w14:paraId="7C725012">
            <w:pPr>
              <w:spacing w:line="433" w:lineRule="auto"/>
              <w:rPr>
                <w:rFonts w:ascii="Arial"/>
                <w:sz w:val="21"/>
              </w:rPr>
            </w:pPr>
          </w:p>
          <w:p w14:paraId="25CB43F7">
            <w:pPr>
              <w:spacing w:before="57" w:line="195" w:lineRule="auto"/>
              <w:ind w:left="32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904" w:type="dxa"/>
            <w:vAlign w:val="top"/>
          </w:tcPr>
          <w:p w14:paraId="3A664135">
            <w:pPr>
              <w:spacing w:line="433" w:lineRule="auto"/>
              <w:rPr>
                <w:rFonts w:ascii="Arial"/>
                <w:sz w:val="21"/>
              </w:rPr>
            </w:pPr>
          </w:p>
          <w:p w14:paraId="2BEAC850">
            <w:pPr>
              <w:spacing w:before="57" w:line="195" w:lineRule="auto"/>
              <w:ind w:left="34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c>
          <w:tcPr>
            <w:tcW w:w="928" w:type="dxa"/>
            <w:vAlign w:val="top"/>
          </w:tcPr>
          <w:p w14:paraId="38A689DB">
            <w:pPr>
              <w:spacing w:line="433" w:lineRule="auto"/>
              <w:rPr>
                <w:rFonts w:ascii="Arial"/>
                <w:sz w:val="21"/>
              </w:rPr>
            </w:pPr>
          </w:p>
          <w:p w14:paraId="234DA01C">
            <w:pPr>
              <w:spacing w:before="57"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029" w:type="dxa"/>
            <w:vAlign w:val="top"/>
          </w:tcPr>
          <w:p w14:paraId="6B9631AC">
            <w:pPr>
              <w:spacing w:line="433" w:lineRule="auto"/>
              <w:rPr>
                <w:rFonts w:ascii="Arial"/>
                <w:sz w:val="21"/>
              </w:rPr>
            </w:pPr>
          </w:p>
          <w:p w14:paraId="1FF40EE8">
            <w:pPr>
              <w:spacing w:before="57" w:line="195" w:lineRule="auto"/>
              <w:ind w:left="46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420" w:type="dxa"/>
            <w:vMerge w:val="continue"/>
            <w:tcBorders>
              <w:top w:val="nil"/>
              <w:bottom w:val="nil"/>
            </w:tcBorders>
            <w:vAlign w:val="top"/>
          </w:tcPr>
          <w:p w14:paraId="4791CFA8">
            <w:pPr>
              <w:rPr>
                <w:rFonts w:ascii="Arial"/>
                <w:sz w:val="21"/>
              </w:rPr>
            </w:pPr>
          </w:p>
        </w:tc>
      </w:tr>
      <w:tr w14:paraId="7CC081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285" w:type="dxa"/>
            <w:vMerge w:val="continue"/>
            <w:tcBorders>
              <w:top w:val="nil"/>
              <w:bottom w:val="nil"/>
            </w:tcBorders>
            <w:vAlign w:val="top"/>
          </w:tcPr>
          <w:p w14:paraId="45D6E714">
            <w:pPr>
              <w:rPr>
                <w:rFonts w:ascii="Arial"/>
                <w:sz w:val="21"/>
              </w:rPr>
            </w:pPr>
          </w:p>
        </w:tc>
        <w:tc>
          <w:tcPr>
            <w:tcW w:w="567" w:type="dxa"/>
            <w:vMerge w:val="continue"/>
            <w:tcBorders>
              <w:top w:val="nil"/>
              <w:bottom w:val="nil"/>
            </w:tcBorders>
            <w:vAlign w:val="top"/>
          </w:tcPr>
          <w:p w14:paraId="609D2921">
            <w:pPr>
              <w:rPr>
                <w:rFonts w:ascii="Arial"/>
                <w:sz w:val="21"/>
              </w:rPr>
            </w:pPr>
          </w:p>
        </w:tc>
        <w:tc>
          <w:tcPr>
            <w:tcW w:w="1421" w:type="dxa"/>
            <w:vMerge w:val="restart"/>
            <w:tcBorders>
              <w:bottom w:val="nil"/>
            </w:tcBorders>
            <w:vAlign w:val="top"/>
          </w:tcPr>
          <w:p w14:paraId="4B919B1D">
            <w:pPr>
              <w:spacing w:line="278" w:lineRule="auto"/>
              <w:rPr>
                <w:rFonts w:ascii="Arial"/>
                <w:sz w:val="21"/>
              </w:rPr>
            </w:pPr>
          </w:p>
          <w:p w14:paraId="3194D968">
            <w:pPr>
              <w:pStyle w:val="6"/>
              <w:spacing w:before="65" w:line="232" w:lineRule="auto"/>
              <w:ind w:left="406"/>
              <w:rPr>
                <w:sz w:val="20"/>
                <w:szCs w:val="20"/>
              </w:rPr>
            </w:pPr>
            <w:r>
              <w:rPr>
                <w:spacing w:val="3"/>
                <w:sz w:val="20"/>
                <w:szCs w:val="20"/>
              </w:rPr>
              <w:t>监测点</w:t>
            </w:r>
          </w:p>
        </w:tc>
        <w:tc>
          <w:tcPr>
            <w:tcW w:w="568" w:type="dxa"/>
            <w:vMerge w:val="restart"/>
            <w:tcBorders>
              <w:bottom w:val="nil"/>
            </w:tcBorders>
            <w:vAlign w:val="top"/>
          </w:tcPr>
          <w:p w14:paraId="1480D55C">
            <w:pPr>
              <w:pStyle w:val="6"/>
              <w:spacing w:before="208" w:line="232" w:lineRule="auto"/>
              <w:ind w:left="78"/>
              <w:rPr>
                <w:sz w:val="20"/>
                <w:szCs w:val="20"/>
              </w:rPr>
            </w:pPr>
            <w:r>
              <w:rPr>
                <w:spacing w:val="2"/>
                <w:sz w:val="20"/>
                <w:szCs w:val="20"/>
              </w:rPr>
              <w:t>水质</w:t>
            </w:r>
          </w:p>
          <w:p w14:paraId="7EDF2DFC">
            <w:pPr>
              <w:pStyle w:val="6"/>
              <w:spacing w:before="20" w:line="231" w:lineRule="auto"/>
              <w:ind w:left="78"/>
              <w:rPr>
                <w:sz w:val="20"/>
                <w:szCs w:val="20"/>
              </w:rPr>
            </w:pPr>
            <w:r>
              <w:rPr>
                <w:spacing w:val="2"/>
                <w:sz w:val="20"/>
                <w:szCs w:val="20"/>
              </w:rPr>
              <w:t>标准</w:t>
            </w:r>
          </w:p>
        </w:tc>
        <w:tc>
          <w:tcPr>
            <w:tcW w:w="8727" w:type="dxa"/>
            <w:gridSpan w:val="10"/>
            <w:vAlign w:val="top"/>
          </w:tcPr>
          <w:p w14:paraId="2EB79B99">
            <w:pPr>
              <w:pStyle w:val="6"/>
              <w:spacing w:before="50" w:line="228" w:lineRule="auto"/>
              <w:ind w:left="3956"/>
              <w:rPr>
                <w:sz w:val="20"/>
                <w:szCs w:val="20"/>
              </w:rPr>
            </w:pPr>
            <w:r>
              <w:rPr>
                <w:spacing w:val="4"/>
                <w:sz w:val="20"/>
                <w:szCs w:val="20"/>
              </w:rPr>
              <w:t>监测因子</w:t>
            </w:r>
          </w:p>
        </w:tc>
        <w:tc>
          <w:tcPr>
            <w:tcW w:w="2420" w:type="dxa"/>
            <w:vMerge w:val="continue"/>
            <w:tcBorders>
              <w:top w:val="nil"/>
              <w:bottom w:val="nil"/>
            </w:tcBorders>
            <w:vAlign w:val="top"/>
          </w:tcPr>
          <w:p w14:paraId="7FF2A8EF">
            <w:pPr>
              <w:rPr>
                <w:rFonts w:ascii="Arial"/>
                <w:sz w:val="21"/>
              </w:rPr>
            </w:pPr>
          </w:p>
        </w:tc>
      </w:tr>
      <w:tr w14:paraId="105450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285" w:type="dxa"/>
            <w:vMerge w:val="continue"/>
            <w:tcBorders>
              <w:top w:val="nil"/>
              <w:bottom w:val="nil"/>
            </w:tcBorders>
            <w:vAlign w:val="top"/>
          </w:tcPr>
          <w:p w14:paraId="661AED26">
            <w:pPr>
              <w:rPr>
                <w:rFonts w:ascii="Arial"/>
                <w:sz w:val="21"/>
              </w:rPr>
            </w:pPr>
          </w:p>
        </w:tc>
        <w:tc>
          <w:tcPr>
            <w:tcW w:w="567" w:type="dxa"/>
            <w:vMerge w:val="continue"/>
            <w:tcBorders>
              <w:top w:val="nil"/>
              <w:bottom w:val="nil"/>
            </w:tcBorders>
            <w:vAlign w:val="top"/>
          </w:tcPr>
          <w:p w14:paraId="1D2E3225">
            <w:pPr>
              <w:rPr>
                <w:rFonts w:ascii="Arial"/>
                <w:sz w:val="21"/>
              </w:rPr>
            </w:pPr>
          </w:p>
        </w:tc>
        <w:tc>
          <w:tcPr>
            <w:tcW w:w="1421" w:type="dxa"/>
            <w:vMerge w:val="continue"/>
            <w:tcBorders>
              <w:top w:val="nil"/>
            </w:tcBorders>
            <w:vAlign w:val="top"/>
          </w:tcPr>
          <w:p w14:paraId="5EA303FB">
            <w:pPr>
              <w:rPr>
                <w:rFonts w:ascii="Arial"/>
                <w:sz w:val="21"/>
              </w:rPr>
            </w:pPr>
          </w:p>
        </w:tc>
        <w:tc>
          <w:tcPr>
            <w:tcW w:w="568" w:type="dxa"/>
            <w:vMerge w:val="continue"/>
            <w:tcBorders>
              <w:top w:val="nil"/>
            </w:tcBorders>
            <w:vAlign w:val="top"/>
          </w:tcPr>
          <w:p w14:paraId="18F257ED">
            <w:pPr>
              <w:rPr>
                <w:rFonts w:ascii="Arial"/>
                <w:sz w:val="21"/>
              </w:rPr>
            </w:pPr>
          </w:p>
        </w:tc>
        <w:tc>
          <w:tcPr>
            <w:tcW w:w="994" w:type="dxa"/>
            <w:vAlign w:val="top"/>
          </w:tcPr>
          <w:p w14:paraId="15DDDB16">
            <w:pPr>
              <w:pStyle w:val="6"/>
              <w:spacing w:before="184" w:line="232" w:lineRule="auto"/>
              <w:ind w:left="298"/>
              <w:rPr>
                <w:sz w:val="20"/>
                <w:szCs w:val="20"/>
              </w:rPr>
            </w:pPr>
            <w:r>
              <w:rPr>
                <w:spacing w:val="-2"/>
                <w:sz w:val="20"/>
                <w:szCs w:val="20"/>
              </w:rPr>
              <w:t>氨氮</w:t>
            </w:r>
          </w:p>
        </w:tc>
        <w:tc>
          <w:tcPr>
            <w:tcW w:w="710" w:type="dxa"/>
            <w:vAlign w:val="top"/>
          </w:tcPr>
          <w:p w14:paraId="63F109AF">
            <w:pPr>
              <w:pStyle w:val="6"/>
              <w:spacing w:before="48"/>
              <w:ind w:left="154" w:right="39" w:hanging="100"/>
              <w:rPr>
                <w:sz w:val="20"/>
                <w:szCs w:val="20"/>
              </w:rPr>
            </w:pPr>
            <w:r>
              <w:rPr>
                <w:spacing w:val="2"/>
                <w:sz w:val="20"/>
                <w:szCs w:val="20"/>
              </w:rPr>
              <w:t>总大肠</w:t>
            </w:r>
            <w:r>
              <w:rPr>
                <w:sz w:val="20"/>
                <w:szCs w:val="20"/>
              </w:rPr>
              <w:t xml:space="preserve"> </w:t>
            </w:r>
            <w:r>
              <w:rPr>
                <w:spacing w:val="-1"/>
                <w:sz w:val="20"/>
                <w:szCs w:val="20"/>
              </w:rPr>
              <w:t>菌群</w:t>
            </w:r>
          </w:p>
        </w:tc>
        <w:tc>
          <w:tcPr>
            <w:tcW w:w="711" w:type="dxa"/>
            <w:vAlign w:val="top"/>
          </w:tcPr>
          <w:p w14:paraId="3CBADF3D">
            <w:pPr>
              <w:pStyle w:val="6"/>
              <w:spacing w:before="48"/>
              <w:ind w:left="254" w:right="39" w:hanging="204"/>
              <w:rPr>
                <w:sz w:val="20"/>
                <w:szCs w:val="20"/>
              </w:rPr>
            </w:pPr>
            <w:r>
              <w:rPr>
                <w:spacing w:val="3"/>
                <w:sz w:val="20"/>
                <w:szCs w:val="20"/>
              </w:rPr>
              <w:t>细菌总</w:t>
            </w:r>
            <w:r>
              <w:rPr>
                <w:spacing w:val="1"/>
                <w:sz w:val="20"/>
                <w:szCs w:val="20"/>
              </w:rPr>
              <w:t xml:space="preserve"> </w:t>
            </w:r>
            <w:r>
              <w:rPr>
                <w:sz w:val="20"/>
                <w:szCs w:val="20"/>
              </w:rPr>
              <w:t>数</w:t>
            </w:r>
          </w:p>
        </w:tc>
        <w:tc>
          <w:tcPr>
            <w:tcW w:w="895" w:type="dxa"/>
            <w:vAlign w:val="top"/>
          </w:tcPr>
          <w:p w14:paraId="0FA711FE">
            <w:pPr>
              <w:pStyle w:val="6"/>
              <w:spacing w:before="184" w:line="229" w:lineRule="auto"/>
              <w:ind w:left="148"/>
              <w:rPr>
                <w:sz w:val="20"/>
                <w:szCs w:val="20"/>
              </w:rPr>
            </w:pPr>
            <w:r>
              <w:rPr>
                <w:spacing w:val="1"/>
                <w:sz w:val="20"/>
                <w:szCs w:val="20"/>
              </w:rPr>
              <w:t>氰化物</w:t>
            </w:r>
          </w:p>
        </w:tc>
        <w:tc>
          <w:tcPr>
            <w:tcW w:w="809" w:type="dxa"/>
            <w:vAlign w:val="top"/>
          </w:tcPr>
          <w:p w14:paraId="4F456197">
            <w:pPr>
              <w:pStyle w:val="6"/>
              <w:spacing w:before="184" w:line="232" w:lineRule="auto"/>
              <w:ind w:left="308"/>
              <w:rPr>
                <w:sz w:val="20"/>
                <w:szCs w:val="20"/>
              </w:rPr>
            </w:pPr>
            <w:r>
              <w:rPr>
                <w:sz w:val="20"/>
                <w:szCs w:val="20"/>
              </w:rPr>
              <w:t>汞</w:t>
            </w:r>
          </w:p>
        </w:tc>
        <w:tc>
          <w:tcPr>
            <w:tcW w:w="842" w:type="dxa"/>
            <w:vAlign w:val="top"/>
          </w:tcPr>
          <w:p w14:paraId="488DFF56">
            <w:pPr>
              <w:pStyle w:val="6"/>
              <w:spacing w:before="184" w:line="229" w:lineRule="auto"/>
              <w:ind w:left="323"/>
              <w:rPr>
                <w:sz w:val="20"/>
                <w:szCs w:val="20"/>
              </w:rPr>
            </w:pPr>
            <w:r>
              <w:rPr>
                <w:sz w:val="20"/>
                <w:szCs w:val="20"/>
              </w:rPr>
              <w:t>砷</w:t>
            </w:r>
          </w:p>
        </w:tc>
        <w:tc>
          <w:tcPr>
            <w:tcW w:w="905" w:type="dxa"/>
            <w:vAlign w:val="top"/>
          </w:tcPr>
          <w:p w14:paraId="431B692B">
            <w:pPr>
              <w:pStyle w:val="6"/>
              <w:spacing w:before="184" w:line="230" w:lineRule="auto"/>
              <w:ind w:left="148"/>
              <w:rPr>
                <w:sz w:val="20"/>
                <w:szCs w:val="20"/>
              </w:rPr>
            </w:pPr>
            <w:r>
              <w:rPr>
                <w:spacing w:val="4"/>
                <w:sz w:val="20"/>
                <w:szCs w:val="20"/>
              </w:rPr>
              <w:t>六价铬</w:t>
            </w:r>
          </w:p>
        </w:tc>
        <w:tc>
          <w:tcPr>
            <w:tcW w:w="904" w:type="dxa"/>
            <w:vAlign w:val="top"/>
          </w:tcPr>
          <w:p w14:paraId="2FD7747A">
            <w:pPr>
              <w:pStyle w:val="6"/>
              <w:spacing w:before="184" w:line="232" w:lineRule="auto"/>
              <w:ind w:left="358"/>
              <w:rPr>
                <w:sz w:val="20"/>
                <w:szCs w:val="20"/>
              </w:rPr>
            </w:pPr>
            <w:r>
              <w:rPr>
                <w:sz w:val="20"/>
                <w:szCs w:val="20"/>
              </w:rPr>
              <w:t>镉</w:t>
            </w:r>
          </w:p>
        </w:tc>
        <w:tc>
          <w:tcPr>
            <w:tcW w:w="928" w:type="dxa"/>
            <w:vAlign w:val="top"/>
          </w:tcPr>
          <w:p w14:paraId="4D0204A9">
            <w:pPr>
              <w:pStyle w:val="6"/>
              <w:spacing w:before="184" w:line="231" w:lineRule="auto"/>
              <w:ind w:left="369"/>
              <w:rPr>
                <w:sz w:val="20"/>
                <w:szCs w:val="20"/>
              </w:rPr>
            </w:pPr>
            <w:r>
              <w:rPr>
                <w:sz w:val="20"/>
                <w:szCs w:val="20"/>
              </w:rPr>
              <w:t>铅</w:t>
            </w:r>
          </w:p>
        </w:tc>
        <w:tc>
          <w:tcPr>
            <w:tcW w:w="1029" w:type="dxa"/>
            <w:vAlign w:val="top"/>
          </w:tcPr>
          <w:p w14:paraId="45486A25">
            <w:pPr>
              <w:pStyle w:val="6"/>
              <w:spacing w:before="184" w:line="229" w:lineRule="auto"/>
              <w:ind w:left="218"/>
              <w:rPr>
                <w:sz w:val="20"/>
                <w:szCs w:val="20"/>
              </w:rPr>
            </w:pPr>
            <w:r>
              <w:rPr>
                <w:spacing w:val="3"/>
                <w:sz w:val="20"/>
                <w:szCs w:val="20"/>
              </w:rPr>
              <w:t>氟化物</w:t>
            </w:r>
          </w:p>
        </w:tc>
        <w:tc>
          <w:tcPr>
            <w:tcW w:w="2420" w:type="dxa"/>
            <w:vMerge w:val="continue"/>
            <w:tcBorders>
              <w:top w:val="nil"/>
              <w:bottom w:val="nil"/>
            </w:tcBorders>
            <w:vAlign w:val="top"/>
          </w:tcPr>
          <w:p w14:paraId="6E0483DB">
            <w:pPr>
              <w:rPr>
                <w:rFonts w:ascii="Arial"/>
                <w:sz w:val="21"/>
              </w:rPr>
            </w:pPr>
          </w:p>
        </w:tc>
      </w:tr>
      <w:tr w14:paraId="38AA0C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trPr>
        <w:tc>
          <w:tcPr>
            <w:tcW w:w="285" w:type="dxa"/>
            <w:vMerge w:val="continue"/>
            <w:tcBorders>
              <w:top w:val="nil"/>
              <w:bottom w:val="nil"/>
            </w:tcBorders>
            <w:vAlign w:val="top"/>
          </w:tcPr>
          <w:p w14:paraId="3FD60D4F">
            <w:pPr>
              <w:rPr>
                <w:rFonts w:ascii="Arial"/>
                <w:sz w:val="21"/>
              </w:rPr>
            </w:pPr>
          </w:p>
        </w:tc>
        <w:tc>
          <w:tcPr>
            <w:tcW w:w="567" w:type="dxa"/>
            <w:vMerge w:val="continue"/>
            <w:tcBorders>
              <w:top w:val="nil"/>
              <w:bottom w:val="nil"/>
            </w:tcBorders>
            <w:vAlign w:val="top"/>
          </w:tcPr>
          <w:p w14:paraId="096ED517">
            <w:pPr>
              <w:rPr>
                <w:rFonts w:ascii="Arial"/>
                <w:sz w:val="21"/>
              </w:rPr>
            </w:pPr>
          </w:p>
        </w:tc>
        <w:tc>
          <w:tcPr>
            <w:tcW w:w="1421" w:type="dxa"/>
            <w:vAlign w:val="top"/>
          </w:tcPr>
          <w:p w14:paraId="55D36ABB">
            <w:pPr>
              <w:pStyle w:val="6"/>
              <w:spacing w:before="50" w:line="232" w:lineRule="auto"/>
              <w:ind w:left="84"/>
              <w:rPr>
                <w:sz w:val="20"/>
                <w:szCs w:val="20"/>
              </w:rPr>
            </w:pPr>
            <w:r>
              <w:rPr>
                <w:spacing w:val="7"/>
                <w:sz w:val="20"/>
                <w:szCs w:val="20"/>
              </w:rPr>
              <w:t>项目场地外西</w:t>
            </w:r>
          </w:p>
          <w:p w14:paraId="0057867B">
            <w:pPr>
              <w:pStyle w:val="6"/>
              <w:spacing w:before="20" w:line="226" w:lineRule="auto"/>
              <w:ind w:left="89"/>
              <w:rPr>
                <w:sz w:val="20"/>
                <w:szCs w:val="20"/>
              </w:rPr>
            </w:pPr>
            <w:r>
              <w:rPr>
                <w:spacing w:val="4"/>
                <w:sz w:val="20"/>
                <w:szCs w:val="20"/>
              </w:rPr>
              <w:t>北侧（上游）</w:t>
            </w:r>
          </w:p>
        </w:tc>
        <w:tc>
          <w:tcPr>
            <w:tcW w:w="568" w:type="dxa"/>
            <w:vAlign w:val="top"/>
          </w:tcPr>
          <w:p w14:paraId="6363EA7E">
            <w:pPr>
              <w:pStyle w:val="6"/>
              <w:spacing w:before="185" w:line="233" w:lineRule="auto"/>
              <w:ind w:left="75"/>
              <w:rPr>
                <w:sz w:val="20"/>
                <w:szCs w:val="20"/>
              </w:rPr>
            </w:pPr>
            <w:r>
              <w:rPr>
                <w:rFonts w:ascii="Times New Roman" w:hAnsi="Times New Roman" w:eastAsia="Times New Roman" w:cs="Times New Roman"/>
                <w:spacing w:val="5"/>
                <w:sz w:val="20"/>
                <w:szCs w:val="20"/>
              </w:rPr>
              <w:t>Ⅲ</w:t>
            </w:r>
            <w:r>
              <w:rPr>
                <w:spacing w:val="5"/>
                <w:sz w:val="20"/>
                <w:szCs w:val="20"/>
              </w:rPr>
              <w:t>类</w:t>
            </w:r>
          </w:p>
        </w:tc>
        <w:tc>
          <w:tcPr>
            <w:tcW w:w="994" w:type="dxa"/>
            <w:vAlign w:val="top"/>
          </w:tcPr>
          <w:p w14:paraId="0A1AA004">
            <w:pPr>
              <w:spacing w:before="224"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0.131</w:t>
            </w:r>
          </w:p>
        </w:tc>
        <w:tc>
          <w:tcPr>
            <w:tcW w:w="710" w:type="dxa"/>
            <w:vAlign w:val="top"/>
          </w:tcPr>
          <w:p w14:paraId="5C8B8D35">
            <w:pPr>
              <w:spacing w:before="224" w:line="195" w:lineRule="auto"/>
              <w:ind w:left="2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&lt;2</w:t>
            </w:r>
          </w:p>
        </w:tc>
        <w:tc>
          <w:tcPr>
            <w:tcW w:w="711" w:type="dxa"/>
            <w:vAlign w:val="top"/>
          </w:tcPr>
          <w:p w14:paraId="0AA7D63B">
            <w:pPr>
              <w:spacing w:before="224" w:line="195" w:lineRule="auto"/>
              <w:ind w:left="2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95" w:type="dxa"/>
            <w:vAlign w:val="top"/>
          </w:tcPr>
          <w:p w14:paraId="5E65E874">
            <w:pPr>
              <w:spacing w:before="224" w:line="195" w:lineRule="auto"/>
              <w:ind w:left="1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0.002L</w:t>
            </w:r>
          </w:p>
        </w:tc>
        <w:tc>
          <w:tcPr>
            <w:tcW w:w="809" w:type="dxa"/>
            <w:vAlign w:val="top"/>
          </w:tcPr>
          <w:p w14:paraId="15B8E11A">
            <w:pPr>
              <w:spacing w:before="224" w:line="195" w:lineRule="auto"/>
              <w:ind w:left="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0.00008</w:t>
            </w:r>
          </w:p>
        </w:tc>
        <w:tc>
          <w:tcPr>
            <w:tcW w:w="842" w:type="dxa"/>
            <w:vAlign w:val="top"/>
          </w:tcPr>
          <w:p w14:paraId="240876F3">
            <w:pPr>
              <w:spacing w:before="224"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0.0004</w:t>
            </w:r>
          </w:p>
        </w:tc>
        <w:tc>
          <w:tcPr>
            <w:tcW w:w="905" w:type="dxa"/>
            <w:vAlign w:val="top"/>
          </w:tcPr>
          <w:p w14:paraId="1C49FE45">
            <w:pPr>
              <w:spacing w:before="224" w:line="195" w:lineRule="auto"/>
              <w:ind w:left="1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0.004L</w:t>
            </w:r>
          </w:p>
        </w:tc>
        <w:tc>
          <w:tcPr>
            <w:tcW w:w="904" w:type="dxa"/>
            <w:vAlign w:val="top"/>
          </w:tcPr>
          <w:p w14:paraId="3271CED8">
            <w:pPr>
              <w:spacing w:before="224" w:line="195" w:lineRule="auto"/>
              <w:ind w:left="10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0.0001L</w:t>
            </w:r>
          </w:p>
        </w:tc>
        <w:tc>
          <w:tcPr>
            <w:tcW w:w="928" w:type="dxa"/>
            <w:vAlign w:val="top"/>
          </w:tcPr>
          <w:p w14:paraId="3964597D">
            <w:pPr>
              <w:spacing w:before="224" w:line="195" w:lineRule="auto"/>
              <w:ind w:left="1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0.001L</w:t>
            </w:r>
          </w:p>
        </w:tc>
        <w:tc>
          <w:tcPr>
            <w:tcW w:w="1029" w:type="dxa"/>
            <w:vAlign w:val="top"/>
          </w:tcPr>
          <w:p w14:paraId="3A073F07">
            <w:pPr>
              <w:spacing w:before="224" w:line="195"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0.097</w:t>
            </w:r>
          </w:p>
        </w:tc>
        <w:tc>
          <w:tcPr>
            <w:tcW w:w="2420" w:type="dxa"/>
            <w:vMerge w:val="continue"/>
            <w:tcBorders>
              <w:top w:val="nil"/>
              <w:bottom w:val="nil"/>
            </w:tcBorders>
            <w:vAlign w:val="top"/>
          </w:tcPr>
          <w:p w14:paraId="5374C85A">
            <w:pPr>
              <w:rPr>
                <w:rFonts w:ascii="Arial"/>
                <w:sz w:val="21"/>
              </w:rPr>
            </w:pPr>
          </w:p>
        </w:tc>
      </w:tr>
      <w:tr w14:paraId="6DABE6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285" w:type="dxa"/>
            <w:vMerge w:val="continue"/>
            <w:tcBorders>
              <w:top w:val="nil"/>
              <w:bottom w:val="nil"/>
            </w:tcBorders>
            <w:vAlign w:val="top"/>
          </w:tcPr>
          <w:p w14:paraId="42747AE9">
            <w:pPr>
              <w:rPr>
                <w:rFonts w:ascii="Arial"/>
                <w:sz w:val="21"/>
              </w:rPr>
            </w:pPr>
          </w:p>
        </w:tc>
        <w:tc>
          <w:tcPr>
            <w:tcW w:w="567" w:type="dxa"/>
            <w:vMerge w:val="continue"/>
            <w:tcBorders>
              <w:top w:val="nil"/>
              <w:bottom w:val="nil"/>
            </w:tcBorders>
            <w:vAlign w:val="top"/>
          </w:tcPr>
          <w:p w14:paraId="297B1A55">
            <w:pPr>
              <w:rPr>
                <w:rFonts w:ascii="Arial"/>
                <w:sz w:val="21"/>
              </w:rPr>
            </w:pPr>
          </w:p>
        </w:tc>
        <w:tc>
          <w:tcPr>
            <w:tcW w:w="1421" w:type="dxa"/>
            <w:vAlign w:val="top"/>
          </w:tcPr>
          <w:p w14:paraId="7BA7EA9E">
            <w:pPr>
              <w:pStyle w:val="6"/>
              <w:spacing w:before="53" w:line="232" w:lineRule="auto"/>
              <w:ind w:left="84"/>
              <w:rPr>
                <w:sz w:val="20"/>
                <w:szCs w:val="20"/>
              </w:rPr>
            </w:pPr>
            <w:r>
              <w:rPr>
                <w:spacing w:val="7"/>
                <w:sz w:val="20"/>
                <w:szCs w:val="20"/>
              </w:rPr>
              <w:t>项目场地外东</w:t>
            </w:r>
          </w:p>
          <w:p w14:paraId="3509D892">
            <w:pPr>
              <w:pStyle w:val="6"/>
              <w:spacing w:before="20" w:line="225" w:lineRule="auto"/>
              <w:ind w:left="93"/>
              <w:rPr>
                <w:sz w:val="20"/>
                <w:szCs w:val="20"/>
              </w:rPr>
            </w:pPr>
            <w:r>
              <w:rPr>
                <w:spacing w:val="4"/>
                <w:sz w:val="20"/>
                <w:szCs w:val="20"/>
              </w:rPr>
              <w:t>南侧（下游）</w:t>
            </w:r>
          </w:p>
        </w:tc>
        <w:tc>
          <w:tcPr>
            <w:tcW w:w="568" w:type="dxa"/>
            <w:vAlign w:val="top"/>
          </w:tcPr>
          <w:p w14:paraId="6603437D">
            <w:pPr>
              <w:pStyle w:val="6"/>
              <w:spacing w:before="188" w:line="233" w:lineRule="auto"/>
              <w:ind w:left="75"/>
              <w:rPr>
                <w:sz w:val="20"/>
                <w:szCs w:val="20"/>
              </w:rPr>
            </w:pPr>
            <w:r>
              <w:rPr>
                <w:rFonts w:ascii="Times New Roman" w:hAnsi="Times New Roman" w:eastAsia="Times New Roman" w:cs="Times New Roman"/>
                <w:spacing w:val="5"/>
                <w:sz w:val="20"/>
                <w:szCs w:val="20"/>
              </w:rPr>
              <w:t>Ⅲ</w:t>
            </w:r>
            <w:r>
              <w:rPr>
                <w:spacing w:val="5"/>
                <w:sz w:val="20"/>
                <w:szCs w:val="20"/>
              </w:rPr>
              <w:t>类</w:t>
            </w:r>
          </w:p>
        </w:tc>
        <w:tc>
          <w:tcPr>
            <w:tcW w:w="994" w:type="dxa"/>
            <w:vAlign w:val="top"/>
          </w:tcPr>
          <w:p w14:paraId="46ECA1C6">
            <w:pPr>
              <w:spacing w:before="224"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0.057</w:t>
            </w:r>
          </w:p>
        </w:tc>
        <w:tc>
          <w:tcPr>
            <w:tcW w:w="710" w:type="dxa"/>
            <w:vAlign w:val="top"/>
          </w:tcPr>
          <w:p w14:paraId="2BA72353">
            <w:pPr>
              <w:spacing w:before="224" w:line="195" w:lineRule="auto"/>
              <w:ind w:left="2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&lt;2</w:t>
            </w:r>
          </w:p>
        </w:tc>
        <w:tc>
          <w:tcPr>
            <w:tcW w:w="711" w:type="dxa"/>
            <w:vAlign w:val="top"/>
          </w:tcPr>
          <w:p w14:paraId="55C8368D">
            <w:pPr>
              <w:spacing w:before="224"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895" w:type="dxa"/>
            <w:vAlign w:val="top"/>
          </w:tcPr>
          <w:p w14:paraId="3074C14A">
            <w:pPr>
              <w:spacing w:before="224" w:line="195" w:lineRule="auto"/>
              <w:ind w:left="1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0.002L</w:t>
            </w:r>
          </w:p>
        </w:tc>
        <w:tc>
          <w:tcPr>
            <w:tcW w:w="809" w:type="dxa"/>
            <w:vAlign w:val="top"/>
          </w:tcPr>
          <w:p w14:paraId="24D394BC">
            <w:pPr>
              <w:spacing w:before="224" w:line="195" w:lineRule="auto"/>
              <w:ind w:left="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0.00005</w:t>
            </w:r>
          </w:p>
        </w:tc>
        <w:tc>
          <w:tcPr>
            <w:tcW w:w="842" w:type="dxa"/>
            <w:vAlign w:val="top"/>
          </w:tcPr>
          <w:p w14:paraId="43F392CC">
            <w:pPr>
              <w:spacing w:before="224"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0.0003</w:t>
            </w:r>
          </w:p>
        </w:tc>
        <w:tc>
          <w:tcPr>
            <w:tcW w:w="905" w:type="dxa"/>
            <w:vAlign w:val="top"/>
          </w:tcPr>
          <w:p w14:paraId="434CC07D">
            <w:pPr>
              <w:spacing w:before="224" w:line="195" w:lineRule="auto"/>
              <w:ind w:left="1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0.004L</w:t>
            </w:r>
          </w:p>
        </w:tc>
        <w:tc>
          <w:tcPr>
            <w:tcW w:w="904" w:type="dxa"/>
            <w:vAlign w:val="top"/>
          </w:tcPr>
          <w:p w14:paraId="7BD7036F">
            <w:pPr>
              <w:spacing w:before="224" w:line="195" w:lineRule="auto"/>
              <w:ind w:left="10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0.0001L</w:t>
            </w:r>
          </w:p>
        </w:tc>
        <w:tc>
          <w:tcPr>
            <w:tcW w:w="928" w:type="dxa"/>
            <w:vAlign w:val="top"/>
          </w:tcPr>
          <w:p w14:paraId="2F5669C6">
            <w:pPr>
              <w:spacing w:before="224" w:line="195" w:lineRule="auto"/>
              <w:ind w:left="1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0.001L</w:t>
            </w:r>
          </w:p>
        </w:tc>
        <w:tc>
          <w:tcPr>
            <w:tcW w:w="1029" w:type="dxa"/>
            <w:vAlign w:val="top"/>
          </w:tcPr>
          <w:p w14:paraId="4D737944">
            <w:pPr>
              <w:spacing w:before="224" w:line="195"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0.088</w:t>
            </w:r>
          </w:p>
        </w:tc>
        <w:tc>
          <w:tcPr>
            <w:tcW w:w="2420" w:type="dxa"/>
            <w:vMerge w:val="continue"/>
            <w:tcBorders>
              <w:top w:val="nil"/>
              <w:bottom w:val="nil"/>
            </w:tcBorders>
            <w:vAlign w:val="top"/>
          </w:tcPr>
          <w:p w14:paraId="08CF5A75">
            <w:pPr>
              <w:rPr>
                <w:rFonts w:ascii="Arial"/>
                <w:sz w:val="21"/>
              </w:rPr>
            </w:pPr>
          </w:p>
        </w:tc>
      </w:tr>
      <w:tr w14:paraId="4288DD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85" w:type="dxa"/>
            <w:vMerge w:val="continue"/>
            <w:tcBorders>
              <w:top w:val="nil"/>
            </w:tcBorders>
            <w:vAlign w:val="top"/>
          </w:tcPr>
          <w:p w14:paraId="55C49873">
            <w:pPr>
              <w:rPr>
                <w:rFonts w:ascii="Arial"/>
                <w:sz w:val="21"/>
              </w:rPr>
            </w:pPr>
          </w:p>
        </w:tc>
        <w:tc>
          <w:tcPr>
            <w:tcW w:w="567" w:type="dxa"/>
            <w:vMerge w:val="continue"/>
            <w:tcBorders>
              <w:top w:val="nil"/>
            </w:tcBorders>
            <w:vAlign w:val="top"/>
          </w:tcPr>
          <w:p w14:paraId="6D0369F0">
            <w:pPr>
              <w:rPr>
                <w:rFonts w:ascii="Arial"/>
                <w:sz w:val="21"/>
              </w:rPr>
            </w:pPr>
          </w:p>
        </w:tc>
        <w:tc>
          <w:tcPr>
            <w:tcW w:w="1421" w:type="dxa"/>
            <w:vAlign w:val="top"/>
          </w:tcPr>
          <w:p w14:paraId="530E5EBA">
            <w:pPr>
              <w:pStyle w:val="6"/>
              <w:spacing w:before="52" w:line="230" w:lineRule="auto"/>
              <w:ind w:left="84"/>
              <w:rPr>
                <w:sz w:val="20"/>
                <w:szCs w:val="20"/>
              </w:rPr>
            </w:pPr>
            <w:r>
              <w:rPr>
                <w:spacing w:val="7"/>
                <w:sz w:val="20"/>
                <w:szCs w:val="20"/>
              </w:rPr>
              <w:t>项目场地外东</w:t>
            </w:r>
          </w:p>
        </w:tc>
        <w:tc>
          <w:tcPr>
            <w:tcW w:w="568" w:type="dxa"/>
            <w:vAlign w:val="top"/>
          </w:tcPr>
          <w:p w14:paraId="091F68E6">
            <w:pPr>
              <w:pStyle w:val="6"/>
              <w:spacing w:before="52" w:line="230" w:lineRule="auto"/>
              <w:ind w:left="75"/>
              <w:rPr>
                <w:sz w:val="20"/>
                <w:szCs w:val="20"/>
              </w:rPr>
            </w:pPr>
            <w:r>
              <w:rPr>
                <w:rFonts w:ascii="Times New Roman" w:hAnsi="Times New Roman" w:eastAsia="Times New Roman" w:cs="Times New Roman"/>
                <w:spacing w:val="5"/>
                <w:sz w:val="20"/>
                <w:szCs w:val="20"/>
              </w:rPr>
              <w:t>Ⅲ</w:t>
            </w:r>
            <w:r>
              <w:rPr>
                <w:spacing w:val="5"/>
                <w:sz w:val="20"/>
                <w:szCs w:val="20"/>
              </w:rPr>
              <w:t>类</w:t>
            </w:r>
          </w:p>
        </w:tc>
        <w:tc>
          <w:tcPr>
            <w:tcW w:w="994" w:type="dxa"/>
            <w:vAlign w:val="top"/>
          </w:tcPr>
          <w:p w14:paraId="0215FABE">
            <w:pPr>
              <w:spacing w:before="88"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0.421</w:t>
            </w:r>
          </w:p>
        </w:tc>
        <w:tc>
          <w:tcPr>
            <w:tcW w:w="710" w:type="dxa"/>
            <w:vAlign w:val="top"/>
          </w:tcPr>
          <w:p w14:paraId="51E15EAB">
            <w:pPr>
              <w:spacing w:before="88" w:line="195" w:lineRule="auto"/>
              <w:ind w:left="2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&lt;2</w:t>
            </w:r>
          </w:p>
        </w:tc>
        <w:tc>
          <w:tcPr>
            <w:tcW w:w="711" w:type="dxa"/>
            <w:vAlign w:val="top"/>
          </w:tcPr>
          <w:p w14:paraId="0EB862FC">
            <w:pPr>
              <w:spacing w:before="88" w:line="195" w:lineRule="auto"/>
              <w:ind w:left="249"/>
              <w:rPr>
                <w:rFonts w:ascii="Times New Roman" w:hAnsi="Times New Roman" w:eastAsia="Times New Roman" w:cs="Times New Roman"/>
                <w:sz w:val="20"/>
                <w:szCs w:val="20"/>
              </w:rPr>
            </w:pPr>
            <w:r>
              <w:rPr>
                <w:rFonts w:ascii="Times New Roman" w:hAnsi="Times New Roman" w:eastAsia="Times New Roman" w:cs="Times New Roman"/>
                <w:sz w:val="20"/>
                <w:szCs w:val="20"/>
              </w:rPr>
              <w:t>32</w:t>
            </w:r>
          </w:p>
        </w:tc>
        <w:tc>
          <w:tcPr>
            <w:tcW w:w="895" w:type="dxa"/>
            <w:vAlign w:val="top"/>
          </w:tcPr>
          <w:p w14:paraId="6D3EF7EA">
            <w:pPr>
              <w:spacing w:before="88" w:line="195" w:lineRule="auto"/>
              <w:ind w:left="1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0.002L</w:t>
            </w:r>
          </w:p>
        </w:tc>
        <w:tc>
          <w:tcPr>
            <w:tcW w:w="809" w:type="dxa"/>
            <w:vAlign w:val="top"/>
          </w:tcPr>
          <w:p w14:paraId="60D5F5E3">
            <w:pPr>
              <w:spacing w:before="88" w:line="195" w:lineRule="auto"/>
              <w:ind w:left="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0.00005</w:t>
            </w:r>
          </w:p>
        </w:tc>
        <w:tc>
          <w:tcPr>
            <w:tcW w:w="842" w:type="dxa"/>
            <w:vAlign w:val="top"/>
          </w:tcPr>
          <w:p w14:paraId="7388863B">
            <w:pPr>
              <w:spacing w:before="88"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0.0007</w:t>
            </w:r>
          </w:p>
        </w:tc>
        <w:tc>
          <w:tcPr>
            <w:tcW w:w="905" w:type="dxa"/>
            <w:vAlign w:val="top"/>
          </w:tcPr>
          <w:p w14:paraId="25547ECF">
            <w:pPr>
              <w:spacing w:before="88" w:line="195" w:lineRule="auto"/>
              <w:ind w:left="1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0.004L</w:t>
            </w:r>
          </w:p>
        </w:tc>
        <w:tc>
          <w:tcPr>
            <w:tcW w:w="904" w:type="dxa"/>
            <w:vAlign w:val="top"/>
          </w:tcPr>
          <w:p w14:paraId="0BCB338D">
            <w:pPr>
              <w:spacing w:before="88" w:line="195" w:lineRule="auto"/>
              <w:ind w:left="10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0.0001L</w:t>
            </w:r>
          </w:p>
        </w:tc>
        <w:tc>
          <w:tcPr>
            <w:tcW w:w="928" w:type="dxa"/>
            <w:vAlign w:val="top"/>
          </w:tcPr>
          <w:p w14:paraId="4842E73B">
            <w:pPr>
              <w:spacing w:before="88" w:line="195" w:lineRule="auto"/>
              <w:ind w:left="1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0.001L</w:t>
            </w:r>
          </w:p>
        </w:tc>
        <w:tc>
          <w:tcPr>
            <w:tcW w:w="1029" w:type="dxa"/>
            <w:vAlign w:val="top"/>
          </w:tcPr>
          <w:p w14:paraId="5CEC82F8">
            <w:pPr>
              <w:spacing w:before="88" w:line="195"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0.178</w:t>
            </w:r>
          </w:p>
        </w:tc>
        <w:tc>
          <w:tcPr>
            <w:tcW w:w="2420" w:type="dxa"/>
            <w:vMerge w:val="continue"/>
            <w:tcBorders>
              <w:top w:val="nil"/>
            </w:tcBorders>
            <w:vAlign w:val="top"/>
          </w:tcPr>
          <w:p w14:paraId="152B417D">
            <w:pPr>
              <w:rPr>
                <w:rFonts w:ascii="Arial"/>
                <w:sz w:val="21"/>
              </w:rPr>
            </w:pPr>
          </w:p>
        </w:tc>
      </w:tr>
    </w:tbl>
    <w:p w14:paraId="344DB23E">
      <w:pPr>
        <w:pStyle w:val="2"/>
        <w:spacing w:line="62" w:lineRule="exact"/>
        <w:rPr>
          <w:sz w:val="5"/>
        </w:rPr>
      </w:pPr>
    </w:p>
    <w:p w14:paraId="50C0462A">
      <w:pPr>
        <w:spacing w:line="62" w:lineRule="exact"/>
        <w:rPr>
          <w:sz w:val="5"/>
          <w:szCs w:val="5"/>
        </w:rPr>
        <w:sectPr>
          <w:headerReference r:id="rId113" w:type="default"/>
          <w:footerReference r:id="rId114" w:type="default"/>
          <w:pgSz w:w="16839" w:h="11906"/>
          <w:pgMar w:top="1116" w:right="1419" w:bottom="1480" w:left="1419" w:header="683" w:footer="1318" w:gutter="0"/>
          <w:cols w:space="720" w:num="1"/>
        </w:sectPr>
      </w:pPr>
    </w:p>
    <w:p w14:paraId="0C4505BB">
      <w:pPr>
        <w:spacing w:before="229"/>
      </w:pPr>
    </w:p>
    <w:tbl>
      <w:tblPr>
        <w:tblStyle w:val="5"/>
        <w:tblW w:w="1398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5"/>
        <w:gridCol w:w="567"/>
        <w:gridCol w:w="1421"/>
        <w:gridCol w:w="568"/>
        <w:gridCol w:w="994"/>
        <w:gridCol w:w="710"/>
        <w:gridCol w:w="711"/>
        <w:gridCol w:w="895"/>
        <w:gridCol w:w="809"/>
        <w:gridCol w:w="842"/>
        <w:gridCol w:w="905"/>
        <w:gridCol w:w="904"/>
        <w:gridCol w:w="928"/>
        <w:gridCol w:w="1029"/>
        <w:gridCol w:w="2420"/>
      </w:tblGrid>
      <w:tr w14:paraId="5F8766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285" w:type="dxa"/>
            <w:vMerge w:val="restart"/>
            <w:tcBorders>
              <w:bottom w:val="nil"/>
            </w:tcBorders>
            <w:vAlign w:val="top"/>
          </w:tcPr>
          <w:p w14:paraId="4F25A96B">
            <w:pPr>
              <w:rPr>
                <w:rFonts w:ascii="Arial"/>
                <w:sz w:val="21"/>
              </w:rPr>
            </w:pPr>
          </w:p>
        </w:tc>
        <w:tc>
          <w:tcPr>
            <w:tcW w:w="567" w:type="dxa"/>
            <w:vMerge w:val="restart"/>
            <w:tcBorders>
              <w:bottom w:val="nil"/>
            </w:tcBorders>
            <w:vAlign w:val="top"/>
          </w:tcPr>
          <w:p w14:paraId="17C89509">
            <w:pPr>
              <w:rPr>
                <w:rFonts w:ascii="Arial"/>
                <w:sz w:val="21"/>
              </w:rPr>
            </w:pPr>
          </w:p>
        </w:tc>
        <w:tc>
          <w:tcPr>
            <w:tcW w:w="1421" w:type="dxa"/>
            <w:vAlign w:val="top"/>
          </w:tcPr>
          <w:p w14:paraId="77F067A8">
            <w:pPr>
              <w:pStyle w:val="6"/>
              <w:spacing w:before="50" w:line="231" w:lineRule="auto"/>
              <w:ind w:left="93"/>
              <w:rPr>
                <w:sz w:val="20"/>
                <w:szCs w:val="20"/>
              </w:rPr>
            </w:pPr>
            <w:r>
              <w:rPr>
                <w:spacing w:val="4"/>
                <w:sz w:val="20"/>
                <w:szCs w:val="20"/>
              </w:rPr>
              <w:t>南侧（下游）</w:t>
            </w:r>
          </w:p>
        </w:tc>
        <w:tc>
          <w:tcPr>
            <w:tcW w:w="568" w:type="dxa"/>
            <w:vAlign w:val="top"/>
          </w:tcPr>
          <w:p w14:paraId="75FE6295">
            <w:pPr>
              <w:rPr>
                <w:rFonts w:ascii="Arial"/>
                <w:sz w:val="21"/>
              </w:rPr>
            </w:pPr>
          </w:p>
        </w:tc>
        <w:tc>
          <w:tcPr>
            <w:tcW w:w="994" w:type="dxa"/>
            <w:vAlign w:val="top"/>
          </w:tcPr>
          <w:p w14:paraId="7845343D">
            <w:pPr>
              <w:rPr>
                <w:rFonts w:ascii="Arial"/>
                <w:sz w:val="21"/>
              </w:rPr>
            </w:pPr>
          </w:p>
        </w:tc>
        <w:tc>
          <w:tcPr>
            <w:tcW w:w="710" w:type="dxa"/>
            <w:vAlign w:val="top"/>
          </w:tcPr>
          <w:p w14:paraId="650B9F19">
            <w:pPr>
              <w:rPr>
                <w:rFonts w:ascii="Arial"/>
                <w:sz w:val="21"/>
              </w:rPr>
            </w:pPr>
          </w:p>
        </w:tc>
        <w:tc>
          <w:tcPr>
            <w:tcW w:w="711" w:type="dxa"/>
            <w:vAlign w:val="top"/>
          </w:tcPr>
          <w:p w14:paraId="433356DF">
            <w:pPr>
              <w:rPr>
                <w:rFonts w:ascii="Arial"/>
                <w:sz w:val="21"/>
              </w:rPr>
            </w:pPr>
          </w:p>
        </w:tc>
        <w:tc>
          <w:tcPr>
            <w:tcW w:w="895" w:type="dxa"/>
            <w:vAlign w:val="top"/>
          </w:tcPr>
          <w:p w14:paraId="157F5E22">
            <w:pPr>
              <w:rPr>
                <w:rFonts w:ascii="Arial"/>
                <w:sz w:val="21"/>
              </w:rPr>
            </w:pPr>
          </w:p>
        </w:tc>
        <w:tc>
          <w:tcPr>
            <w:tcW w:w="809" w:type="dxa"/>
            <w:vAlign w:val="top"/>
          </w:tcPr>
          <w:p w14:paraId="7F519224">
            <w:pPr>
              <w:rPr>
                <w:rFonts w:ascii="Arial"/>
                <w:sz w:val="21"/>
              </w:rPr>
            </w:pPr>
          </w:p>
        </w:tc>
        <w:tc>
          <w:tcPr>
            <w:tcW w:w="842" w:type="dxa"/>
            <w:vAlign w:val="top"/>
          </w:tcPr>
          <w:p w14:paraId="5B52E91D">
            <w:pPr>
              <w:rPr>
                <w:rFonts w:ascii="Arial"/>
                <w:sz w:val="21"/>
              </w:rPr>
            </w:pPr>
          </w:p>
        </w:tc>
        <w:tc>
          <w:tcPr>
            <w:tcW w:w="905" w:type="dxa"/>
            <w:vAlign w:val="top"/>
          </w:tcPr>
          <w:p w14:paraId="1F5F56D7">
            <w:pPr>
              <w:rPr>
                <w:rFonts w:ascii="Arial"/>
                <w:sz w:val="21"/>
              </w:rPr>
            </w:pPr>
          </w:p>
        </w:tc>
        <w:tc>
          <w:tcPr>
            <w:tcW w:w="904" w:type="dxa"/>
            <w:vAlign w:val="top"/>
          </w:tcPr>
          <w:p w14:paraId="7EBFF1A4">
            <w:pPr>
              <w:rPr>
                <w:rFonts w:ascii="Arial"/>
                <w:sz w:val="21"/>
              </w:rPr>
            </w:pPr>
          </w:p>
        </w:tc>
        <w:tc>
          <w:tcPr>
            <w:tcW w:w="928" w:type="dxa"/>
            <w:vAlign w:val="top"/>
          </w:tcPr>
          <w:p w14:paraId="729A6D84">
            <w:pPr>
              <w:rPr>
                <w:rFonts w:ascii="Arial"/>
                <w:sz w:val="21"/>
              </w:rPr>
            </w:pPr>
          </w:p>
        </w:tc>
        <w:tc>
          <w:tcPr>
            <w:tcW w:w="1029" w:type="dxa"/>
            <w:vAlign w:val="top"/>
          </w:tcPr>
          <w:p w14:paraId="60E2CF99">
            <w:pPr>
              <w:rPr>
                <w:rFonts w:ascii="Arial"/>
                <w:sz w:val="21"/>
              </w:rPr>
            </w:pPr>
          </w:p>
        </w:tc>
        <w:tc>
          <w:tcPr>
            <w:tcW w:w="2420" w:type="dxa"/>
            <w:vMerge w:val="restart"/>
            <w:tcBorders>
              <w:bottom w:val="nil"/>
            </w:tcBorders>
            <w:vAlign w:val="top"/>
          </w:tcPr>
          <w:p w14:paraId="1C779B05">
            <w:pPr>
              <w:rPr>
                <w:rFonts w:ascii="Arial"/>
                <w:sz w:val="21"/>
              </w:rPr>
            </w:pPr>
          </w:p>
        </w:tc>
      </w:tr>
      <w:tr w14:paraId="31A3F0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4" w:hRule="atLeast"/>
        </w:trPr>
        <w:tc>
          <w:tcPr>
            <w:tcW w:w="285" w:type="dxa"/>
            <w:vMerge w:val="continue"/>
            <w:tcBorders>
              <w:top w:val="nil"/>
            </w:tcBorders>
            <w:vAlign w:val="top"/>
          </w:tcPr>
          <w:p w14:paraId="136CF7FB">
            <w:pPr>
              <w:rPr>
                <w:rFonts w:ascii="Arial"/>
                <w:sz w:val="21"/>
              </w:rPr>
            </w:pPr>
          </w:p>
        </w:tc>
        <w:tc>
          <w:tcPr>
            <w:tcW w:w="567" w:type="dxa"/>
            <w:vMerge w:val="continue"/>
            <w:tcBorders>
              <w:top w:val="nil"/>
            </w:tcBorders>
            <w:vAlign w:val="top"/>
          </w:tcPr>
          <w:p w14:paraId="46EBB7CA">
            <w:pPr>
              <w:rPr>
                <w:rFonts w:ascii="Arial"/>
                <w:sz w:val="21"/>
              </w:rPr>
            </w:pPr>
          </w:p>
        </w:tc>
        <w:tc>
          <w:tcPr>
            <w:tcW w:w="1421" w:type="dxa"/>
            <w:vAlign w:val="top"/>
          </w:tcPr>
          <w:p w14:paraId="7E3C89E3">
            <w:pPr>
              <w:pStyle w:val="6"/>
              <w:spacing w:before="44" w:line="251" w:lineRule="auto"/>
              <w:ind w:left="399" w:right="83" w:hanging="316"/>
              <w:rPr>
                <w:sz w:val="20"/>
                <w:szCs w:val="20"/>
              </w:rPr>
            </w:pPr>
            <w:r>
              <w:rPr>
                <w:spacing w:val="7"/>
                <w:sz w:val="20"/>
                <w:szCs w:val="20"/>
              </w:rPr>
              <w:t>《地下水质量</w:t>
            </w:r>
            <w:r>
              <w:rPr>
                <w:spacing w:val="1"/>
                <w:sz w:val="20"/>
                <w:szCs w:val="20"/>
              </w:rPr>
              <w:t xml:space="preserve"> 标准》</w:t>
            </w:r>
          </w:p>
          <w:p w14:paraId="22ED76EA">
            <w:pPr>
              <w:pStyle w:val="6"/>
              <w:spacing w:line="265" w:lineRule="exact"/>
              <w:ind w:left="26"/>
              <w:rPr>
                <w:rFonts w:ascii="Times New Roman" w:hAnsi="Times New Roman" w:eastAsia="Times New Roman" w:cs="Times New Roman"/>
                <w:sz w:val="20"/>
                <w:szCs w:val="20"/>
              </w:rPr>
            </w:pPr>
            <w:r>
              <w:rPr>
                <w:spacing w:val="4"/>
                <w:position w:val="1"/>
                <w:sz w:val="20"/>
                <w:szCs w:val="20"/>
              </w:rPr>
              <w:t>（</w:t>
            </w:r>
            <w:r>
              <w:rPr>
                <w:rFonts w:ascii="Times New Roman" w:hAnsi="Times New Roman" w:eastAsia="Times New Roman" w:cs="Times New Roman"/>
                <w:position w:val="1"/>
                <w:sz w:val="20"/>
                <w:szCs w:val="20"/>
              </w:rPr>
              <w:t>GB</w:t>
            </w:r>
            <w:r>
              <w:rPr>
                <w:rFonts w:ascii="Times New Roman" w:hAnsi="Times New Roman" w:eastAsia="Times New Roman" w:cs="Times New Roman"/>
                <w:spacing w:val="4"/>
                <w:position w:val="1"/>
                <w:sz w:val="20"/>
                <w:szCs w:val="20"/>
              </w:rPr>
              <w:t>/T14848-2</w:t>
            </w:r>
          </w:p>
          <w:p w14:paraId="417E8D10">
            <w:pPr>
              <w:pStyle w:val="6"/>
              <w:spacing w:before="7" w:line="233" w:lineRule="auto"/>
              <w:ind w:left="444"/>
              <w:rPr>
                <w:sz w:val="20"/>
                <w:szCs w:val="20"/>
              </w:rPr>
            </w:pPr>
            <w:r>
              <w:rPr>
                <w:rFonts w:ascii="Times New Roman" w:hAnsi="Times New Roman" w:eastAsia="Times New Roman" w:cs="Times New Roman"/>
                <w:spacing w:val="2"/>
                <w:sz w:val="20"/>
                <w:szCs w:val="20"/>
              </w:rPr>
              <w:t>017</w:t>
            </w:r>
            <w:r>
              <w:rPr>
                <w:spacing w:val="2"/>
                <w:sz w:val="20"/>
                <w:szCs w:val="20"/>
              </w:rPr>
              <w:t>）</w:t>
            </w:r>
          </w:p>
        </w:tc>
        <w:tc>
          <w:tcPr>
            <w:tcW w:w="568" w:type="dxa"/>
            <w:vAlign w:val="top"/>
          </w:tcPr>
          <w:p w14:paraId="55E64CBE">
            <w:pPr>
              <w:spacing w:line="384" w:lineRule="auto"/>
              <w:rPr>
                <w:rFonts w:ascii="Arial"/>
                <w:sz w:val="21"/>
              </w:rPr>
            </w:pPr>
          </w:p>
          <w:p w14:paraId="2AEE9302">
            <w:pPr>
              <w:pStyle w:val="6"/>
              <w:spacing w:before="65" w:line="233" w:lineRule="auto"/>
              <w:ind w:left="75"/>
              <w:rPr>
                <w:sz w:val="20"/>
                <w:szCs w:val="20"/>
              </w:rPr>
            </w:pPr>
            <w:r>
              <w:rPr>
                <w:rFonts w:ascii="Times New Roman" w:hAnsi="Times New Roman" w:eastAsia="Times New Roman" w:cs="Times New Roman"/>
                <w:spacing w:val="5"/>
                <w:sz w:val="20"/>
                <w:szCs w:val="20"/>
              </w:rPr>
              <w:t>Ⅲ</w:t>
            </w:r>
            <w:r>
              <w:rPr>
                <w:spacing w:val="5"/>
                <w:sz w:val="20"/>
                <w:szCs w:val="20"/>
              </w:rPr>
              <w:t>类</w:t>
            </w:r>
          </w:p>
        </w:tc>
        <w:tc>
          <w:tcPr>
            <w:tcW w:w="994" w:type="dxa"/>
            <w:vAlign w:val="top"/>
          </w:tcPr>
          <w:p w14:paraId="60DDA6D0">
            <w:pPr>
              <w:spacing w:line="427" w:lineRule="auto"/>
              <w:rPr>
                <w:rFonts w:ascii="Arial"/>
                <w:sz w:val="21"/>
              </w:rPr>
            </w:pPr>
          </w:p>
          <w:p w14:paraId="581365FA">
            <w:pPr>
              <w:spacing w:before="57" w:line="195" w:lineRule="auto"/>
              <w:ind w:left="36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710" w:type="dxa"/>
            <w:vAlign w:val="top"/>
          </w:tcPr>
          <w:p w14:paraId="676F8D63">
            <w:pPr>
              <w:spacing w:line="427" w:lineRule="auto"/>
              <w:rPr>
                <w:rFonts w:ascii="Arial"/>
                <w:sz w:val="21"/>
              </w:rPr>
            </w:pPr>
          </w:p>
          <w:p w14:paraId="41AD4F9B">
            <w:pPr>
              <w:spacing w:before="57" w:line="195" w:lineRule="auto"/>
              <w:ind w:left="22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3.0</w:t>
            </w:r>
          </w:p>
        </w:tc>
        <w:tc>
          <w:tcPr>
            <w:tcW w:w="711" w:type="dxa"/>
            <w:vAlign w:val="top"/>
          </w:tcPr>
          <w:p w14:paraId="308E5F7C">
            <w:pPr>
              <w:spacing w:line="427" w:lineRule="auto"/>
              <w:rPr>
                <w:rFonts w:ascii="Arial"/>
                <w:sz w:val="21"/>
              </w:rPr>
            </w:pPr>
          </w:p>
          <w:p w14:paraId="6AC5A5AE">
            <w:pPr>
              <w:spacing w:before="57"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895" w:type="dxa"/>
            <w:vAlign w:val="top"/>
          </w:tcPr>
          <w:p w14:paraId="0E051CE4">
            <w:pPr>
              <w:spacing w:line="427" w:lineRule="auto"/>
              <w:rPr>
                <w:rFonts w:ascii="Arial"/>
                <w:sz w:val="21"/>
              </w:rPr>
            </w:pPr>
          </w:p>
          <w:p w14:paraId="1317E772">
            <w:pPr>
              <w:spacing w:before="57" w:line="195"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809" w:type="dxa"/>
            <w:vAlign w:val="top"/>
          </w:tcPr>
          <w:p w14:paraId="07469FAF">
            <w:pPr>
              <w:spacing w:line="427" w:lineRule="auto"/>
              <w:rPr>
                <w:rFonts w:ascii="Arial"/>
                <w:sz w:val="21"/>
              </w:rPr>
            </w:pPr>
          </w:p>
          <w:p w14:paraId="0EF3FA81">
            <w:pPr>
              <w:spacing w:before="57" w:line="195" w:lineRule="auto"/>
              <w:ind w:left="1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0.001</w:t>
            </w:r>
          </w:p>
        </w:tc>
        <w:tc>
          <w:tcPr>
            <w:tcW w:w="842" w:type="dxa"/>
            <w:vAlign w:val="top"/>
          </w:tcPr>
          <w:p w14:paraId="7C76469D">
            <w:pPr>
              <w:spacing w:line="427" w:lineRule="auto"/>
              <w:rPr>
                <w:rFonts w:ascii="Arial"/>
                <w:sz w:val="21"/>
              </w:rPr>
            </w:pPr>
          </w:p>
          <w:p w14:paraId="632F3864">
            <w:pPr>
              <w:spacing w:before="57"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c>
          <w:tcPr>
            <w:tcW w:w="905" w:type="dxa"/>
            <w:vAlign w:val="top"/>
          </w:tcPr>
          <w:p w14:paraId="275BB224">
            <w:pPr>
              <w:spacing w:line="427" w:lineRule="auto"/>
              <w:rPr>
                <w:rFonts w:ascii="Arial"/>
                <w:sz w:val="21"/>
              </w:rPr>
            </w:pPr>
          </w:p>
          <w:p w14:paraId="324C6EB9">
            <w:pPr>
              <w:spacing w:before="57" w:line="195" w:lineRule="auto"/>
              <w:ind w:left="2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904" w:type="dxa"/>
            <w:vAlign w:val="top"/>
          </w:tcPr>
          <w:p w14:paraId="04644521">
            <w:pPr>
              <w:spacing w:line="427" w:lineRule="auto"/>
              <w:rPr>
                <w:rFonts w:ascii="Arial"/>
                <w:sz w:val="21"/>
              </w:rPr>
            </w:pPr>
          </w:p>
          <w:p w14:paraId="4F7617EE">
            <w:pPr>
              <w:spacing w:before="57"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928" w:type="dxa"/>
            <w:vAlign w:val="top"/>
          </w:tcPr>
          <w:p w14:paraId="14CBE4DE">
            <w:pPr>
              <w:spacing w:line="427" w:lineRule="auto"/>
              <w:rPr>
                <w:rFonts w:ascii="Arial"/>
                <w:sz w:val="21"/>
              </w:rPr>
            </w:pPr>
          </w:p>
          <w:p w14:paraId="6A243459">
            <w:pPr>
              <w:spacing w:before="57" w:line="195"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c>
          <w:tcPr>
            <w:tcW w:w="1029" w:type="dxa"/>
            <w:vAlign w:val="top"/>
          </w:tcPr>
          <w:p w14:paraId="1E7DFC70">
            <w:pPr>
              <w:spacing w:line="427" w:lineRule="auto"/>
              <w:rPr>
                <w:rFonts w:ascii="Arial"/>
                <w:sz w:val="21"/>
              </w:rPr>
            </w:pPr>
          </w:p>
          <w:p w14:paraId="3E823587">
            <w:pPr>
              <w:spacing w:before="57" w:line="195"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c>
          <w:tcPr>
            <w:tcW w:w="2420" w:type="dxa"/>
            <w:vMerge w:val="continue"/>
            <w:tcBorders>
              <w:top w:val="nil"/>
            </w:tcBorders>
            <w:vAlign w:val="top"/>
          </w:tcPr>
          <w:p w14:paraId="294395A1">
            <w:pPr>
              <w:rPr>
                <w:rFonts w:ascii="Arial"/>
                <w:sz w:val="21"/>
              </w:rPr>
            </w:pPr>
          </w:p>
        </w:tc>
      </w:tr>
      <w:tr w14:paraId="368801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285" w:type="dxa"/>
            <w:vMerge w:val="restart"/>
            <w:tcBorders>
              <w:bottom w:val="nil"/>
            </w:tcBorders>
            <w:vAlign w:val="top"/>
          </w:tcPr>
          <w:p w14:paraId="44BB609C">
            <w:pPr>
              <w:spacing w:line="252" w:lineRule="auto"/>
              <w:rPr>
                <w:rFonts w:ascii="Arial"/>
                <w:sz w:val="21"/>
              </w:rPr>
            </w:pPr>
          </w:p>
          <w:p w14:paraId="5082BDDB">
            <w:pPr>
              <w:spacing w:line="252" w:lineRule="auto"/>
              <w:rPr>
                <w:rFonts w:ascii="Arial"/>
                <w:sz w:val="21"/>
              </w:rPr>
            </w:pPr>
          </w:p>
          <w:p w14:paraId="7E019B38">
            <w:pPr>
              <w:spacing w:line="252" w:lineRule="auto"/>
              <w:rPr>
                <w:rFonts w:ascii="Arial"/>
                <w:sz w:val="21"/>
              </w:rPr>
            </w:pPr>
          </w:p>
          <w:p w14:paraId="78794A8F">
            <w:pPr>
              <w:spacing w:line="252" w:lineRule="auto"/>
              <w:rPr>
                <w:rFonts w:ascii="Arial"/>
                <w:sz w:val="21"/>
              </w:rPr>
            </w:pPr>
          </w:p>
          <w:p w14:paraId="64E16361">
            <w:pPr>
              <w:spacing w:line="252" w:lineRule="auto"/>
              <w:rPr>
                <w:rFonts w:ascii="Arial"/>
                <w:sz w:val="21"/>
              </w:rPr>
            </w:pPr>
          </w:p>
          <w:p w14:paraId="34EC5EC7">
            <w:pPr>
              <w:spacing w:line="253" w:lineRule="auto"/>
              <w:rPr>
                <w:rFonts w:ascii="Arial"/>
                <w:sz w:val="21"/>
              </w:rPr>
            </w:pPr>
          </w:p>
          <w:p w14:paraId="2D1C6201">
            <w:pPr>
              <w:spacing w:line="253" w:lineRule="auto"/>
              <w:rPr>
                <w:rFonts w:ascii="Arial"/>
                <w:sz w:val="21"/>
              </w:rPr>
            </w:pPr>
          </w:p>
          <w:p w14:paraId="03BFC663">
            <w:pPr>
              <w:spacing w:line="253" w:lineRule="auto"/>
              <w:rPr>
                <w:rFonts w:ascii="Arial"/>
                <w:sz w:val="21"/>
              </w:rPr>
            </w:pPr>
          </w:p>
          <w:p w14:paraId="0F0C2A16">
            <w:pPr>
              <w:spacing w:line="253" w:lineRule="auto"/>
              <w:rPr>
                <w:rFonts w:ascii="Arial"/>
                <w:sz w:val="21"/>
              </w:rPr>
            </w:pPr>
          </w:p>
          <w:p w14:paraId="1BCB6DAB">
            <w:pPr>
              <w:spacing w:line="253" w:lineRule="auto"/>
              <w:rPr>
                <w:rFonts w:ascii="Arial"/>
                <w:sz w:val="21"/>
              </w:rPr>
            </w:pPr>
          </w:p>
          <w:p w14:paraId="6230A2B8">
            <w:pPr>
              <w:spacing w:before="57" w:line="195" w:lineRule="auto"/>
              <w:ind w:left="3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w:t>
            </w:r>
          </w:p>
        </w:tc>
        <w:tc>
          <w:tcPr>
            <w:tcW w:w="567" w:type="dxa"/>
            <w:vMerge w:val="restart"/>
            <w:tcBorders>
              <w:bottom w:val="nil"/>
            </w:tcBorders>
            <w:vAlign w:val="top"/>
          </w:tcPr>
          <w:p w14:paraId="2D689188">
            <w:pPr>
              <w:rPr>
                <w:rFonts w:ascii="Arial"/>
                <w:sz w:val="21"/>
              </w:rPr>
            </w:pPr>
          </w:p>
          <w:p w14:paraId="3B9A80E1">
            <w:pPr>
              <w:rPr>
                <w:rFonts w:ascii="Arial"/>
                <w:sz w:val="21"/>
              </w:rPr>
            </w:pPr>
          </w:p>
          <w:p w14:paraId="2B795C0D">
            <w:pPr>
              <w:rPr>
                <w:rFonts w:ascii="Arial"/>
                <w:sz w:val="21"/>
              </w:rPr>
            </w:pPr>
          </w:p>
          <w:p w14:paraId="37D782F3">
            <w:pPr>
              <w:rPr>
                <w:rFonts w:ascii="Arial"/>
                <w:sz w:val="21"/>
              </w:rPr>
            </w:pPr>
          </w:p>
          <w:p w14:paraId="231557E5">
            <w:pPr>
              <w:spacing w:line="241" w:lineRule="auto"/>
              <w:rPr>
                <w:rFonts w:ascii="Arial"/>
                <w:sz w:val="21"/>
              </w:rPr>
            </w:pPr>
          </w:p>
          <w:p w14:paraId="5DA0BB92">
            <w:pPr>
              <w:spacing w:line="241" w:lineRule="auto"/>
              <w:rPr>
                <w:rFonts w:ascii="Arial"/>
                <w:sz w:val="21"/>
              </w:rPr>
            </w:pPr>
          </w:p>
          <w:p w14:paraId="3CD9616A">
            <w:pPr>
              <w:spacing w:line="241" w:lineRule="auto"/>
              <w:rPr>
                <w:rFonts w:ascii="Arial"/>
                <w:sz w:val="21"/>
              </w:rPr>
            </w:pPr>
          </w:p>
          <w:p w14:paraId="6357C11C">
            <w:pPr>
              <w:spacing w:line="241" w:lineRule="auto"/>
              <w:rPr>
                <w:rFonts w:ascii="Arial"/>
                <w:sz w:val="21"/>
              </w:rPr>
            </w:pPr>
          </w:p>
          <w:p w14:paraId="1CF1BEA9">
            <w:pPr>
              <w:spacing w:line="241" w:lineRule="auto"/>
              <w:rPr>
                <w:rFonts w:ascii="Arial"/>
                <w:sz w:val="21"/>
              </w:rPr>
            </w:pPr>
          </w:p>
          <w:p w14:paraId="3D67DCBD">
            <w:pPr>
              <w:spacing w:line="241" w:lineRule="auto"/>
              <w:rPr>
                <w:rFonts w:ascii="Arial"/>
                <w:sz w:val="21"/>
              </w:rPr>
            </w:pPr>
          </w:p>
          <w:p w14:paraId="4635B490">
            <w:pPr>
              <w:spacing w:before="57" w:line="195" w:lineRule="auto"/>
              <w:ind w:left="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2022.</w:t>
            </w:r>
          </w:p>
          <w:p w14:paraId="1B016A7A">
            <w:pPr>
              <w:spacing w:before="53" w:line="195" w:lineRule="auto"/>
              <w:ind w:left="1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12.7</w:t>
            </w:r>
          </w:p>
        </w:tc>
        <w:tc>
          <w:tcPr>
            <w:tcW w:w="1421" w:type="dxa"/>
            <w:vMerge w:val="restart"/>
            <w:tcBorders>
              <w:bottom w:val="nil"/>
            </w:tcBorders>
            <w:vAlign w:val="top"/>
          </w:tcPr>
          <w:p w14:paraId="67252F0B">
            <w:pPr>
              <w:spacing w:line="270" w:lineRule="auto"/>
              <w:rPr>
                <w:rFonts w:ascii="Arial"/>
                <w:sz w:val="21"/>
              </w:rPr>
            </w:pPr>
          </w:p>
          <w:p w14:paraId="443DD103">
            <w:pPr>
              <w:pStyle w:val="6"/>
              <w:spacing w:before="65" w:line="232" w:lineRule="auto"/>
              <w:ind w:left="406"/>
              <w:rPr>
                <w:sz w:val="20"/>
                <w:szCs w:val="20"/>
              </w:rPr>
            </w:pPr>
            <w:r>
              <w:rPr>
                <w:spacing w:val="3"/>
                <w:sz w:val="20"/>
                <w:szCs w:val="20"/>
              </w:rPr>
              <w:t>监测点</w:t>
            </w:r>
          </w:p>
        </w:tc>
        <w:tc>
          <w:tcPr>
            <w:tcW w:w="568" w:type="dxa"/>
            <w:vMerge w:val="restart"/>
            <w:tcBorders>
              <w:bottom w:val="nil"/>
            </w:tcBorders>
            <w:vAlign w:val="top"/>
          </w:tcPr>
          <w:p w14:paraId="0AE97C4A">
            <w:pPr>
              <w:pStyle w:val="6"/>
              <w:spacing w:before="202" w:line="232" w:lineRule="auto"/>
              <w:ind w:left="78"/>
              <w:rPr>
                <w:sz w:val="20"/>
                <w:szCs w:val="20"/>
              </w:rPr>
            </w:pPr>
            <w:r>
              <w:rPr>
                <w:spacing w:val="2"/>
                <w:sz w:val="20"/>
                <w:szCs w:val="20"/>
              </w:rPr>
              <w:t>水质</w:t>
            </w:r>
          </w:p>
          <w:p w14:paraId="7B4FCE25">
            <w:pPr>
              <w:pStyle w:val="6"/>
              <w:spacing w:before="20" w:line="231" w:lineRule="auto"/>
              <w:ind w:left="78"/>
              <w:rPr>
                <w:sz w:val="20"/>
                <w:szCs w:val="20"/>
              </w:rPr>
            </w:pPr>
            <w:r>
              <w:rPr>
                <w:spacing w:val="2"/>
                <w:sz w:val="20"/>
                <w:szCs w:val="20"/>
              </w:rPr>
              <w:t>标准</w:t>
            </w:r>
          </w:p>
        </w:tc>
        <w:tc>
          <w:tcPr>
            <w:tcW w:w="8727" w:type="dxa"/>
            <w:gridSpan w:val="10"/>
            <w:vAlign w:val="top"/>
          </w:tcPr>
          <w:p w14:paraId="4D57290F">
            <w:pPr>
              <w:pStyle w:val="6"/>
              <w:spacing w:before="44" w:line="232" w:lineRule="auto"/>
              <w:ind w:left="3956"/>
              <w:rPr>
                <w:sz w:val="20"/>
                <w:szCs w:val="20"/>
              </w:rPr>
            </w:pPr>
            <w:r>
              <w:rPr>
                <w:spacing w:val="4"/>
                <w:sz w:val="20"/>
                <w:szCs w:val="20"/>
              </w:rPr>
              <w:t>监测因子</w:t>
            </w:r>
          </w:p>
        </w:tc>
        <w:tc>
          <w:tcPr>
            <w:tcW w:w="2420" w:type="dxa"/>
            <w:vMerge w:val="restart"/>
            <w:tcBorders>
              <w:bottom w:val="nil"/>
            </w:tcBorders>
            <w:vAlign w:val="top"/>
          </w:tcPr>
          <w:p w14:paraId="6812E309">
            <w:pPr>
              <w:spacing w:line="247" w:lineRule="auto"/>
              <w:rPr>
                <w:rFonts w:ascii="Arial"/>
                <w:sz w:val="21"/>
              </w:rPr>
            </w:pPr>
          </w:p>
          <w:p w14:paraId="4ED7D4BE">
            <w:pPr>
              <w:spacing w:line="247" w:lineRule="auto"/>
              <w:rPr>
                <w:rFonts w:ascii="Arial"/>
                <w:sz w:val="21"/>
              </w:rPr>
            </w:pPr>
          </w:p>
          <w:p w14:paraId="12681DFB">
            <w:pPr>
              <w:spacing w:line="247" w:lineRule="auto"/>
              <w:rPr>
                <w:rFonts w:ascii="Arial"/>
                <w:sz w:val="21"/>
              </w:rPr>
            </w:pPr>
          </w:p>
          <w:p w14:paraId="64A27AC7">
            <w:pPr>
              <w:spacing w:line="247" w:lineRule="auto"/>
              <w:rPr>
                <w:rFonts w:ascii="Arial"/>
                <w:sz w:val="21"/>
              </w:rPr>
            </w:pPr>
          </w:p>
          <w:p w14:paraId="67EFE869">
            <w:pPr>
              <w:spacing w:line="247" w:lineRule="auto"/>
              <w:rPr>
                <w:rFonts w:ascii="Arial"/>
                <w:sz w:val="21"/>
              </w:rPr>
            </w:pPr>
          </w:p>
          <w:p w14:paraId="5F4FE3F6">
            <w:pPr>
              <w:spacing w:line="247" w:lineRule="auto"/>
              <w:rPr>
                <w:rFonts w:ascii="Arial"/>
                <w:sz w:val="21"/>
              </w:rPr>
            </w:pPr>
          </w:p>
          <w:p w14:paraId="79AB67CC">
            <w:pPr>
              <w:spacing w:line="247" w:lineRule="auto"/>
              <w:rPr>
                <w:rFonts w:ascii="Arial"/>
                <w:sz w:val="21"/>
              </w:rPr>
            </w:pPr>
          </w:p>
          <w:p w14:paraId="52D0DB8D">
            <w:pPr>
              <w:spacing w:line="247" w:lineRule="auto"/>
              <w:rPr>
                <w:rFonts w:ascii="Arial"/>
                <w:sz w:val="21"/>
              </w:rPr>
            </w:pPr>
          </w:p>
          <w:p w14:paraId="19AAAA5B">
            <w:pPr>
              <w:spacing w:line="248" w:lineRule="auto"/>
              <w:rPr>
                <w:rFonts w:ascii="Arial"/>
                <w:sz w:val="21"/>
              </w:rPr>
            </w:pPr>
          </w:p>
          <w:p w14:paraId="780BABAC">
            <w:pPr>
              <w:pStyle w:val="6"/>
              <w:spacing w:before="65" w:line="253" w:lineRule="auto"/>
              <w:ind w:left="275" w:right="50" w:hanging="209"/>
              <w:rPr>
                <w:sz w:val="20"/>
                <w:szCs w:val="20"/>
              </w:rPr>
            </w:pPr>
            <w:r>
              <w:rPr>
                <w:spacing w:val="8"/>
                <w:sz w:val="20"/>
                <w:szCs w:val="20"/>
              </w:rPr>
              <w:t>渝东南再生资源回收利用</w:t>
            </w:r>
            <w:r>
              <w:rPr>
                <w:spacing w:val="4"/>
                <w:sz w:val="20"/>
                <w:szCs w:val="20"/>
              </w:rPr>
              <w:t xml:space="preserve"> </w:t>
            </w:r>
            <w:r>
              <w:rPr>
                <w:spacing w:val="8"/>
                <w:sz w:val="20"/>
                <w:szCs w:val="20"/>
              </w:rPr>
              <w:t>基地环境影响报告表</w:t>
            </w:r>
          </w:p>
        </w:tc>
      </w:tr>
      <w:tr w14:paraId="297BDE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285" w:type="dxa"/>
            <w:vMerge w:val="continue"/>
            <w:tcBorders>
              <w:top w:val="nil"/>
              <w:bottom w:val="nil"/>
            </w:tcBorders>
            <w:vAlign w:val="top"/>
          </w:tcPr>
          <w:p w14:paraId="4000C714">
            <w:pPr>
              <w:rPr>
                <w:rFonts w:ascii="Arial"/>
                <w:sz w:val="21"/>
              </w:rPr>
            </w:pPr>
          </w:p>
        </w:tc>
        <w:tc>
          <w:tcPr>
            <w:tcW w:w="567" w:type="dxa"/>
            <w:vMerge w:val="continue"/>
            <w:tcBorders>
              <w:top w:val="nil"/>
              <w:bottom w:val="nil"/>
            </w:tcBorders>
            <w:vAlign w:val="top"/>
          </w:tcPr>
          <w:p w14:paraId="6CBD7180">
            <w:pPr>
              <w:rPr>
                <w:rFonts w:ascii="Arial"/>
                <w:sz w:val="21"/>
              </w:rPr>
            </w:pPr>
          </w:p>
        </w:tc>
        <w:tc>
          <w:tcPr>
            <w:tcW w:w="1421" w:type="dxa"/>
            <w:vMerge w:val="continue"/>
            <w:tcBorders>
              <w:top w:val="nil"/>
            </w:tcBorders>
            <w:vAlign w:val="top"/>
          </w:tcPr>
          <w:p w14:paraId="7E944002">
            <w:pPr>
              <w:rPr>
                <w:rFonts w:ascii="Arial"/>
                <w:sz w:val="21"/>
              </w:rPr>
            </w:pPr>
          </w:p>
        </w:tc>
        <w:tc>
          <w:tcPr>
            <w:tcW w:w="568" w:type="dxa"/>
            <w:vMerge w:val="continue"/>
            <w:tcBorders>
              <w:top w:val="nil"/>
            </w:tcBorders>
            <w:vAlign w:val="top"/>
          </w:tcPr>
          <w:p w14:paraId="76AB61CB">
            <w:pPr>
              <w:rPr>
                <w:rFonts w:ascii="Arial"/>
                <w:sz w:val="21"/>
              </w:rPr>
            </w:pPr>
          </w:p>
        </w:tc>
        <w:tc>
          <w:tcPr>
            <w:tcW w:w="994" w:type="dxa"/>
            <w:vAlign w:val="top"/>
          </w:tcPr>
          <w:p w14:paraId="582CEE85">
            <w:pPr>
              <w:spacing w:before="220" w:line="194" w:lineRule="auto"/>
              <w:ind w:left="36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710" w:type="dxa"/>
            <w:vAlign w:val="top"/>
          </w:tcPr>
          <w:p w14:paraId="79281A2B">
            <w:pPr>
              <w:pStyle w:val="6"/>
              <w:spacing w:before="181" w:line="232" w:lineRule="auto"/>
              <w:ind w:left="158"/>
              <w:rPr>
                <w:sz w:val="20"/>
                <w:szCs w:val="20"/>
              </w:rPr>
            </w:pPr>
            <w:r>
              <w:rPr>
                <w:spacing w:val="-2"/>
                <w:sz w:val="20"/>
                <w:szCs w:val="20"/>
              </w:rPr>
              <w:t>氨氮</w:t>
            </w:r>
          </w:p>
        </w:tc>
        <w:tc>
          <w:tcPr>
            <w:tcW w:w="711" w:type="dxa"/>
            <w:vAlign w:val="top"/>
          </w:tcPr>
          <w:p w14:paraId="670BD06C">
            <w:pPr>
              <w:pStyle w:val="6"/>
              <w:spacing w:before="181" w:line="229" w:lineRule="auto"/>
              <w:ind w:left="52"/>
              <w:rPr>
                <w:sz w:val="20"/>
                <w:szCs w:val="20"/>
              </w:rPr>
            </w:pPr>
            <w:r>
              <w:rPr>
                <w:spacing w:val="3"/>
                <w:sz w:val="20"/>
                <w:szCs w:val="20"/>
              </w:rPr>
              <w:t>氟化物</w:t>
            </w:r>
          </w:p>
        </w:tc>
        <w:tc>
          <w:tcPr>
            <w:tcW w:w="895" w:type="dxa"/>
            <w:vAlign w:val="top"/>
          </w:tcPr>
          <w:p w14:paraId="72895E15">
            <w:pPr>
              <w:pStyle w:val="6"/>
              <w:spacing w:before="181" w:line="228" w:lineRule="auto"/>
              <w:ind w:left="139"/>
              <w:rPr>
                <w:sz w:val="20"/>
                <w:szCs w:val="20"/>
              </w:rPr>
            </w:pPr>
            <w:r>
              <w:rPr>
                <w:spacing w:val="5"/>
                <w:sz w:val="20"/>
                <w:szCs w:val="20"/>
              </w:rPr>
              <w:t>硝酸盐</w:t>
            </w:r>
          </w:p>
        </w:tc>
        <w:tc>
          <w:tcPr>
            <w:tcW w:w="809" w:type="dxa"/>
            <w:vAlign w:val="top"/>
          </w:tcPr>
          <w:p w14:paraId="121EC7F6">
            <w:pPr>
              <w:pStyle w:val="6"/>
              <w:spacing w:before="181" w:line="232" w:lineRule="auto"/>
              <w:ind w:left="95"/>
              <w:rPr>
                <w:sz w:val="20"/>
                <w:szCs w:val="20"/>
              </w:rPr>
            </w:pPr>
            <w:r>
              <w:rPr>
                <w:spacing w:val="5"/>
                <w:sz w:val="20"/>
                <w:szCs w:val="20"/>
              </w:rPr>
              <w:t>硫酸盐</w:t>
            </w:r>
          </w:p>
        </w:tc>
        <w:tc>
          <w:tcPr>
            <w:tcW w:w="842" w:type="dxa"/>
            <w:vAlign w:val="top"/>
          </w:tcPr>
          <w:p w14:paraId="71347671">
            <w:pPr>
              <w:pStyle w:val="6"/>
              <w:spacing w:before="44" w:line="242" w:lineRule="auto"/>
              <w:ind w:left="323" w:right="104" w:hanging="207"/>
              <w:rPr>
                <w:sz w:val="20"/>
                <w:szCs w:val="20"/>
              </w:rPr>
            </w:pPr>
            <w:r>
              <w:rPr>
                <w:spacing w:val="3"/>
                <w:sz w:val="20"/>
                <w:szCs w:val="20"/>
              </w:rPr>
              <w:t>亚硝酸</w:t>
            </w:r>
            <w:r>
              <w:rPr>
                <w:spacing w:val="1"/>
                <w:sz w:val="20"/>
                <w:szCs w:val="20"/>
              </w:rPr>
              <w:t xml:space="preserve"> </w:t>
            </w:r>
            <w:r>
              <w:rPr>
                <w:sz w:val="20"/>
                <w:szCs w:val="20"/>
              </w:rPr>
              <w:t>盐</w:t>
            </w:r>
          </w:p>
        </w:tc>
        <w:tc>
          <w:tcPr>
            <w:tcW w:w="905" w:type="dxa"/>
            <w:vAlign w:val="top"/>
          </w:tcPr>
          <w:p w14:paraId="69DC0CDD">
            <w:pPr>
              <w:pStyle w:val="6"/>
              <w:spacing w:before="181" w:line="231" w:lineRule="auto"/>
              <w:ind w:left="148"/>
              <w:rPr>
                <w:sz w:val="20"/>
                <w:szCs w:val="20"/>
              </w:rPr>
            </w:pPr>
            <w:r>
              <w:rPr>
                <w:spacing w:val="4"/>
                <w:sz w:val="20"/>
                <w:szCs w:val="20"/>
              </w:rPr>
              <w:t>挥发酚</w:t>
            </w:r>
          </w:p>
        </w:tc>
        <w:tc>
          <w:tcPr>
            <w:tcW w:w="904" w:type="dxa"/>
            <w:vAlign w:val="top"/>
          </w:tcPr>
          <w:p w14:paraId="3045BCC6">
            <w:pPr>
              <w:pStyle w:val="6"/>
              <w:spacing w:before="181" w:line="230" w:lineRule="auto"/>
              <w:ind w:left="148"/>
              <w:rPr>
                <w:sz w:val="20"/>
                <w:szCs w:val="20"/>
              </w:rPr>
            </w:pPr>
            <w:r>
              <w:rPr>
                <w:spacing w:val="4"/>
                <w:sz w:val="20"/>
                <w:szCs w:val="20"/>
              </w:rPr>
              <w:t>六价铬</w:t>
            </w:r>
          </w:p>
        </w:tc>
        <w:tc>
          <w:tcPr>
            <w:tcW w:w="928" w:type="dxa"/>
            <w:vAlign w:val="top"/>
          </w:tcPr>
          <w:p w14:paraId="32784B81">
            <w:pPr>
              <w:pStyle w:val="6"/>
              <w:spacing w:before="181" w:line="229" w:lineRule="auto"/>
              <w:ind w:left="169"/>
              <w:rPr>
                <w:sz w:val="20"/>
                <w:szCs w:val="20"/>
              </w:rPr>
            </w:pPr>
            <w:r>
              <w:rPr>
                <w:spacing w:val="1"/>
                <w:sz w:val="20"/>
                <w:szCs w:val="20"/>
              </w:rPr>
              <w:t>氰化物</w:t>
            </w:r>
          </w:p>
        </w:tc>
        <w:tc>
          <w:tcPr>
            <w:tcW w:w="1029" w:type="dxa"/>
            <w:vAlign w:val="top"/>
          </w:tcPr>
          <w:p w14:paraId="2CF6DAF0">
            <w:pPr>
              <w:pStyle w:val="6"/>
              <w:spacing w:before="180" w:line="232" w:lineRule="auto"/>
              <w:ind w:left="221"/>
              <w:rPr>
                <w:sz w:val="20"/>
                <w:szCs w:val="20"/>
              </w:rPr>
            </w:pPr>
            <w:r>
              <w:rPr>
                <w:spacing w:val="2"/>
                <w:sz w:val="20"/>
                <w:szCs w:val="20"/>
              </w:rPr>
              <w:t>总硬度</w:t>
            </w:r>
          </w:p>
        </w:tc>
        <w:tc>
          <w:tcPr>
            <w:tcW w:w="2420" w:type="dxa"/>
            <w:vMerge w:val="continue"/>
            <w:tcBorders>
              <w:top w:val="nil"/>
              <w:bottom w:val="nil"/>
            </w:tcBorders>
            <w:vAlign w:val="top"/>
          </w:tcPr>
          <w:p w14:paraId="6440E44C">
            <w:pPr>
              <w:rPr>
                <w:rFonts w:ascii="Arial"/>
                <w:sz w:val="21"/>
              </w:rPr>
            </w:pPr>
          </w:p>
        </w:tc>
      </w:tr>
      <w:tr w14:paraId="1EC747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285" w:type="dxa"/>
            <w:vMerge w:val="continue"/>
            <w:tcBorders>
              <w:top w:val="nil"/>
              <w:bottom w:val="nil"/>
            </w:tcBorders>
            <w:vAlign w:val="top"/>
          </w:tcPr>
          <w:p w14:paraId="55879647">
            <w:pPr>
              <w:rPr>
                <w:rFonts w:ascii="Arial"/>
                <w:sz w:val="21"/>
              </w:rPr>
            </w:pPr>
          </w:p>
        </w:tc>
        <w:tc>
          <w:tcPr>
            <w:tcW w:w="567" w:type="dxa"/>
            <w:vMerge w:val="continue"/>
            <w:tcBorders>
              <w:top w:val="nil"/>
              <w:bottom w:val="nil"/>
            </w:tcBorders>
            <w:vAlign w:val="top"/>
          </w:tcPr>
          <w:p w14:paraId="3D9339B1">
            <w:pPr>
              <w:rPr>
                <w:rFonts w:ascii="Arial"/>
                <w:sz w:val="21"/>
              </w:rPr>
            </w:pPr>
          </w:p>
        </w:tc>
        <w:tc>
          <w:tcPr>
            <w:tcW w:w="1421" w:type="dxa"/>
            <w:vAlign w:val="top"/>
          </w:tcPr>
          <w:p w14:paraId="1D63999B">
            <w:pPr>
              <w:pStyle w:val="6"/>
              <w:spacing w:before="45" w:line="231" w:lineRule="auto"/>
              <w:ind w:left="89"/>
              <w:rPr>
                <w:sz w:val="20"/>
                <w:szCs w:val="20"/>
              </w:rPr>
            </w:pPr>
            <w:r>
              <w:rPr>
                <w:spacing w:val="6"/>
                <w:sz w:val="20"/>
                <w:szCs w:val="20"/>
              </w:rPr>
              <w:t>青杠片区北部</w:t>
            </w:r>
          </w:p>
        </w:tc>
        <w:tc>
          <w:tcPr>
            <w:tcW w:w="568" w:type="dxa"/>
            <w:vAlign w:val="top"/>
          </w:tcPr>
          <w:p w14:paraId="2AB44072">
            <w:pPr>
              <w:pStyle w:val="6"/>
              <w:spacing w:before="45" w:line="232" w:lineRule="auto"/>
              <w:ind w:left="75"/>
              <w:rPr>
                <w:sz w:val="20"/>
                <w:szCs w:val="20"/>
              </w:rPr>
            </w:pPr>
            <w:r>
              <w:rPr>
                <w:rFonts w:ascii="Times New Roman" w:hAnsi="Times New Roman" w:eastAsia="Times New Roman" w:cs="Times New Roman"/>
                <w:spacing w:val="5"/>
                <w:sz w:val="20"/>
                <w:szCs w:val="20"/>
              </w:rPr>
              <w:t>Ⅲ</w:t>
            </w:r>
            <w:r>
              <w:rPr>
                <w:spacing w:val="5"/>
                <w:sz w:val="20"/>
                <w:szCs w:val="20"/>
              </w:rPr>
              <w:t>类</w:t>
            </w:r>
          </w:p>
        </w:tc>
        <w:tc>
          <w:tcPr>
            <w:tcW w:w="994" w:type="dxa"/>
            <w:vAlign w:val="top"/>
          </w:tcPr>
          <w:p w14:paraId="6C660F08">
            <w:pPr>
              <w:spacing w:before="81" w:line="195" w:lineRule="auto"/>
              <w:ind w:left="3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8.25</w:t>
            </w:r>
          </w:p>
        </w:tc>
        <w:tc>
          <w:tcPr>
            <w:tcW w:w="710" w:type="dxa"/>
            <w:vAlign w:val="top"/>
          </w:tcPr>
          <w:p w14:paraId="4091FF4E">
            <w:pPr>
              <w:spacing w:before="81" w:line="195" w:lineRule="auto"/>
              <w:ind w:left="1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0.049</w:t>
            </w:r>
          </w:p>
        </w:tc>
        <w:tc>
          <w:tcPr>
            <w:tcW w:w="711" w:type="dxa"/>
            <w:vAlign w:val="top"/>
          </w:tcPr>
          <w:p w14:paraId="6D3331D6">
            <w:pPr>
              <w:spacing w:before="81" w:line="195" w:lineRule="auto"/>
              <w:ind w:left="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0.006L</w:t>
            </w:r>
          </w:p>
        </w:tc>
        <w:tc>
          <w:tcPr>
            <w:tcW w:w="895" w:type="dxa"/>
            <w:vAlign w:val="top"/>
          </w:tcPr>
          <w:p w14:paraId="317F1633">
            <w:pPr>
              <w:spacing w:before="81"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9.56</w:t>
            </w:r>
          </w:p>
        </w:tc>
        <w:tc>
          <w:tcPr>
            <w:tcW w:w="809" w:type="dxa"/>
            <w:vAlign w:val="top"/>
          </w:tcPr>
          <w:p w14:paraId="5480CFB4">
            <w:pPr>
              <w:spacing w:before="81"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w:t>
            </w:r>
          </w:p>
        </w:tc>
        <w:tc>
          <w:tcPr>
            <w:tcW w:w="842" w:type="dxa"/>
            <w:vAlign w:val="top"/>
          </w:tcPr>
          <w:p w14:paraId="60CE5F3C">
            <w:pPr>
              <w:spacing w:before="81" w:line="195" w:lineRule="auto"/>
              <w:ind w:left="12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0.005L</w:t>
            </w:r>
          </w:p>
        </w:tc>
        <w:tc>
          <w:tcPr>
            <w:tcW w:w="905" w:type="dxa"/>
            <w:vAlign w:val="top"/>
          </w:tcPr>
          <w:p w14:paraId="1AA00ADF">
            <w:pPr>
              <w:spacing w:before="81" w:line="195" w:lineRule="auto"/>
              <w:ind w:left="1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0.003L</w:t>
            </w:r>
          </w:p>
        </w:tc>
        <w:tc>
          <w:tcPr>
            <w:tcW w:w="904" w:type="dxa"/>
            <w:vAlign w:val="top"/>
          </w:tcPr>
          <w:p w14:paraId="205CAF19">
            <w:pPr>
              <w:spacing w:before="81" w:line="195" w:lineRule="auto"/>
              <w:ind w:left="1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0.004L</w:t>
            </w:r>
          </w:p>
        </w:tc>
        <w:tc>
          <w:tcPr>
            <w:tcW w:w="928" w:type="dxa"/>
            <w:vAlign w:val="top"/>
          </w:tcPr>
          <w:p w14:paraId="3AC04E7D">
            <w:pPr>
              <w:spacing w:before="81" w:line="195" w:lineRule="auto"/>
              <w:ind w:left="1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0.002L</w:t>
            </w:r>
          </w:p>
        </w:tc>
        <w:tc>
          <w:tcPr>
            <w:tcW w:w="1029" w:type="dxa"/>
            <w:vAlign w:val="top"/>
          </w:tcPr>
          <w:p w14:paraId="0B46F620">
            <w:pPr>
              <w:spacing w:before="82"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114</w:t>
            </w:r>
          </w:p>
        </w:tc>
        <w:tc>
          <w:tcPr>
            <w:tcW w:w="2420" w:type="dxa"/>
            <w:vMerge w:val="continue"/>
            <w:tcBorders>
              <w:top w:val="nil"/>
              <w:bottom w:val="nil"/>
            </w:tcBorders>
            <w:vAlign w:val="top"/>
          </w:tcPr>
          <w:p w14:paraId="7F55D741">
            <w:pPr>
              <w:rPr>
                <w:rFonts w:ascii="Arial"/>
                <w:sz w:val="21"/>
              </w:rPr>
            </w:pPr>
          </w:p>
        </w:tc>
      </w:tr>
      <w:tr w14:paraId="5DDA89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285" w:type="dxa"/>
            <w:vMerge w:val="continue"/>
            <w:tcBorders>
              <w:top w:val="nil"/>
              <w:bottom w:val="nil"/>
            </w:tcBorders>
            <w:vAlign w:val="top"/>
          </w:tcPr>
          <w:p w14:paraId="6D5A2776">
            <w:pPr>
              <w:rPr>
                <w:rFonts w:ascii="Arial"/>
                <w:sz w:val="21"/>
              </w:rPr>
            </w:pPr>
          </w:p>
        </w:tc>
        <w:tc>
          <w:tcPr>
            <w:tcW w:w="567" w:type="dxa"/>
            <w:vMerge w:val="continue"/>
            <w:tcBorders>
              <w:top w:val="nil"/>
              <w:bottom w:val="nil"/>
            </w:tcBorders>
            <w:vAlign w:val="top"/>
          </w:tcPr>
          <w:p w14:paraId="7567AEF9">
            <w:pPr>
              <w:rPr>
                <w:rFonts w:ascii="Arial"/>
                <w:sz w:val="21"/>
              </w:rPr>
            </w:pPr>
          </w:p>
        </w:tc>
        <w:tc>
          <w:tcPr>
            <w:tcW w:w="1421" w:type="dxa"/>
            <w:vAlign w:val="top"/>
          </w:tcPr>
          <w:p w14:paraId="3D1F229B">
            <w:pPr>
              <w:pStyle w:val="6"/>
              <w:spacing w:before="45" w:line="231" w:lineRule="auto"/>
              <w:ind w:left="89"/>
              <w:rPr>
                <w:sz w:val="20"/>
                <w:szCs w:val="20"/>
              </w:rPr>
            </w:pPr>
            <w:r>
              <w:rPr>
                <w:spacing w:val="6"/>
                <w:sz w:val="20"/>
                <w:szCs w:val="20"/>
              </w:rPr>
              <w:t>青杠片区西部</w:t>
            </w:r>
          </w:p>
        </w:tc>
        <w:tc>
          <w:tcPr>
            <w:tcW w:w="568" w:type="dxa"/>
            <w:vAlign w:val="top"/>
          </w:tcPr>
          <w:p w14:paraId="6F911873">
            <w:pPr>
              <w:pStyle w:val="6"/>
              <w:spacing w:before="45" w:line="231" w:lineRule="auto"/>
              <w:ind w:left="75"/>
              <w:rPr>
                <w:sz w:val="20"/>
                <w:szCs w:val="20"/>
              </w:rPr>
            </w:pPr>
            <w:r>
              <w:rPr>
                <w:rFonts w:ascii="Times New Roman" w:hAnsi="Times New Roman" w:eastAsia="Times New Roman" w:cs="Times New Roman"/>
                <w:spacing w:val="5"/>
                <w:sz w:val="20"/>
                <w:szCs w:val="20"/>
              </w:rPr>
              <w:t>Ⅲ</w:t>
            </w:r>
            <w:r>
              <w:rPr>
                <w:spacing w:val="5"/>
                <w:sz w:val="20"/>
                <w:szCs w:val="20"/>
              </w:rPr>
              <w:t>类</w:t>
            </w:r>
          </w:p>
        </w:tc>
        <w:tc>
          <w:tcPr>
            <w:tcW w:w="994" w:type="dxa"/>
            <w:vAlign w:val="top"/>
          </w:tcPr>
          <w:p w14:paraId="799E2705">
            <w:pPr>
              <w:spacing w:before="81" w:line="195" w:lineRule="auto"/>
              <w:ind w:left="3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7.95</w:t>
            </w:r>
          </w:p>
        </w:tc>
        <w:tc>
          <w:tcPr>
            <w:tcW w:w="710" w:type="dxa"/>
            <w:vAlign w:val="top"/>
          </w:tcPr>
          <w:p w14:paraId="56913FFD">
            <w:pPr>
              <w:spacing w:before="81" w:line="195" w:lineRule="auto"/>
              <w:ind w:left="1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3"/>
                <w:sz w:val="20"/>
                <w:szCs w:val="20"/>
              </w:rPr>
              <w:t>114</w:t>
            </w:r>
          </w:p>
        </w:tc>
        <w:tc>
          <w:tcPr>
            <w:tcW w:w="711" w:type="dxa"/>
            <w:vAlign w:val="top"/>
          </w:tcPr>
          <w:p w14:paraId="2AA88B13">
            <w:pPr>
              <w:spacing w:before="81" w:line="195" w:lineRule="auto"/>
              <w:ind w:left="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0.006L</w:t>
            </w:r>
          </w:p>
        </w:tc>
        <w:tc>
          <w:tcPr>
            <w:tcW w:w="895" w:type="dxa"/>
            <w:vAlign w:val="top"/>
          </w:tcPr>
          <w:p w14:paraId="21AEEF08">
            <w:pPr>
              <w:spacing w:before="81"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2.78</w:t>
            </w:r>
          </w:p>
        </w:tc>
        <w:tc>
          <w:tcPr>
            <w:tcW w:w="809" w:type="dxa"/>
            <w:vAlign w:val="top"/>
          </w:tcPr>
          <w:p w14:paraId="1F437014">
            <w:pPr>
              <w:spacing w:before="81" w:line="195" w:lineRule="auto"/>
              <w:ind w:left="2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9.81</w:t>
            </w:r>
          </w:p>
        </w:tc>
        <w:tc>
          <w:tcPr>
            <w:tcW w:w="842" w:type="dxa"/>
            <w:vAlign w:val="top"/>
          </w:tcPr>
          <w:p w14:paraId="383BD7B7">
            <w:pPr>
              <w:spacing w:before="81"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0.072</w:t>
            </w:r>
          </w:p>
        </w:tc>
        <w:tc>
          <w:tcPr>
            <w:tcW w:w="905" w:type="dxa"/>
            <w:vAlign w:val="top"/>
          </w:tcPr>
          <w:p w14:paraId="06E5B9B4">
            <w:pPr>
              <w:spacing w:before="81" w:line="195" w:lineRule="auto"/>
              <w:ind w:left="1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0.003L</w:t>
            </w:r>
          </w:p>
        </w:tc>
        <w:tc>
          <w:tcPr>
            <w:tcW w:w="904" w:type="dxa"/>
            <w:vAlign w:val="top"/>
          </w:tcPr>
          <w:p w14:paraId="2EF55E5D">
            <w:pPr>
              <w:spacing w:before="81" w:line="195" w:lineRule="auto"/>
              <w:ind w:left="1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0.004L</w:t>
            </w:r>
          </w:p>
        </w:tc>
        <w:tc>
          <w:tcPr>
            <w:tcW w:w="928" w:type="dxa"/>
            <w:vAlign w:val="top"/>
          </w:tcPr>
          <w:p w14:paraId="3B005C53">
            <w:pPr>
              <w:spacing w:before="81" w:line="195" w:lineRule="auto"/>
              <w:ind w:left="1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0.002L</w:t>
            </w:r>
          </w:p>
        </w:tc>
        <w:tc>
          <w:tcPr>
            <w:tcW w:w="1029" w:type="dxa"/>
            <w:vAlign w:val="top"/>
          </w:tcPr>
          <w:p w14:paraId="6C9595BF">
            <w:pPr>
              <w:spacing w:before="81" w:line="195" w:lineRule="auto"/>
              <w:ind w:left="418"/>
              <w:rPr>
                <w:rFonts w:ascii="Times New Roman" w:hAnsi="Times New Roman" w:eastAsia="Times New Roman" w:cs="Times New Roman"/>
                <w:sz w:val="20"/>
                <w:szCs w:val="20"/>
              </w:rPr>
            </w:pPr>
            <w:r>
              <w:rPr>
                <w:rFonts w:ascii="Times New Roman" w:hAnsi="Times New Roman" w:eastAsia="Times New Roman" w:cs="Times New Roman"/>
                <w:sz w:val="20"/>
                <w:szCs w:val="20"/>
              </w:rPr>
              <w:t>56</w:t>
            </w:r>
          </w:p>
        </w:tc>
        <w:tc>
          <w:tcPr>
            <w:tcW w:w="2420" w:type="dxa"/>
            <w:vMerge w:val="continue"/>
            <w:tcBorders>
              <w:top w:val="nil"/>
              <w:bottom w:val="nil"/>
            </w:tcBorders>
            <w:vAlign w:val="top"/>
          </w:tcPr>
          <w:p w14:paraId="2AB861AD">
            <w:pPr>
              <w:rPr>
                <w:rFonts w:ascii="Arial"/>
                <w:sz w:val="21"/>
              </w:rPr>
            </w:pPr>
          </w:p>
        </w:tc>
      </w:tr>
      <w:tr w14:paraId="237B5B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4" w:hRule="atLeast"/>
        </w:trPr>
        <w:tc>
          <w:tcPr>
            <w:tcW w:w="285" w:type="dxa"/>
            <w:vMerge w:val="continue"/>
            <w:tcBorders>
              <w:top w:val="nil"/>
              <w:bottom w:val="nil"/>
            </w:tcBorders>
            <w:vAlign w:val="top"/>
          </w:tcPr>
          <w:p w14:paraId="0D3D67E1">
            <w:pPr>
              <w:rPr>
                <w:rFonts w:ascii="Arial"/>
                <w:sz w:val="21"/>
              </w:rPr>
            </w:pPr>
          </w:p>
        </w:tc>
        <w:tc>
          <w:tcPr>
            <w:tcW w:w="567" w:type="dxa"/>
            <w:vMerge w:val="continue"/>
            <w:tcBorders>
              <w:top w:val="nil"/>
              <w:bottom w:val="nil"/>
            </w:tcBorders>
            <w:vAlign w:val="top"/>
          </w:tcPr>
          <w:p w14:paraId="049FC448">
            <w:pPr>
              <w:rPr>
                <w:rFonts w:ascii="Arial"/>
                <w:sz w:val="21"/>
              </w:rPr>
            </w:pPr>
          </w:p>
        </w:tc>
        <w:tc>
          <w:tcPr>
            <w:tcW w:w="1421" w:type="dxa"/>
            <w:vAlign w:val="top"/>
          </w:tcPr>
          <w:p w14:paraId="3DD4124A">
            <w:pPr>
              <w:pStyle w:val="6"/>
              <w:spacing w:before="47" w:line="251" w:lineRule="auto"/>
              <w:ind w:left="399" w:right="83" w:hanging="316"/>
              <w:rPr>
                <w:sz w:val="20"/>
                <w:szCs w:val="20"/>
              </w:rPr>
            </w:pPr>
            <w:r>
              <w:rPr>
                <w:spacing w:val="7"/>
                <w:sz w:val="20"/>
                <w:szCs w:val="20"/>
              </w:rPr>
              <w:t>《地下水质量</w:t>
            </w:r>
            <w:r>
              <w:rPr>
                <w:spacing w:val="1"/>
                <w:sz w:val="20"/>
                <w:szCs w:val="20"/>
              </w:rPr>
              <w:t xml:space="preserve"> 标准》</w:t>
            </w:r>
          </w:p>
          <w:p w14:paraId="7F5A4A8B">
            <w:pPr>
              <w:pStyle w:val="6"/>
              <w:spacing w:line="265" w:lineRule="exact"/>
              <w:ind w:left="26"/>
              <w:rPr>
                <w:rFonts w:ascii="Times New Roman" w:hAnsi="Times New Roman" w:eastAsia="Times New Roman" w:cs="Times New Roman"/>
                <w:sz w:val="20"/>
                <w:szCs w:val="20"/>
              </w:rPr>
            </w:pPr>
            <w:r>
              <w:rPr>
                <w:spacing w:val="4"/>
                <w:position w:val="1"/>
                <w:sz w:val="20"/>
                <w:szCs w:val="20"/>
              </w:rPr>
              <w:t>（</w:t>
            </w:r>
            <w:r>
              <w:rPr>
                <w:rFonts w:ascii="Times New Roman" w:hAnsi="Times New Roman" w:eastAsia="Times New Roman" w:cs="Times New Roman"/>
                <w:position w:val="1"/>
                <w:sz w:val="20"/>
                <w:szCs w:val="20"/>
              </w:rPr>
              <w:t>GB</w:t>
            </w:r>
            <w:r>
              <w:rPr>
                <w:rFonts w:ascii="Times New Roman" w:hAnsi="Times New Roman" w:eastAsia="Times New Roman" w:cs="Times New Roman"/>
                <w:spacing w:val="4"/>
                <w:position w:val="1"/>
                <w:sz w:val="20"/>
                <w:szCs w:val="20"/>
              </w:rPr>
              <w:t>/T14848-2</w:t>
            </w:r>
          </w:p>
          <w:p w14:paraId="18583E67">
            <w:pPr>
              <w:pStyle w:val="6"/>
              <w:spacing w:before="7" w:line="230" w:lineRule="auto"/>
              <w:ind w:left="444"/>
              <w:rPr>
                <w:sz w:val="20"/>
                <w:szCs w:val="20"/>
              </w:rPr>
            </w:pPr>
            <w:r>
              <w:rPr>
                <w:rFonts w:ascii="Times New Roman" w:hAnsi="Times New Roman" w:eastAsia="Times New Roman" w:cs="Times New Roman"/>
                <w:spacing w:val="2"/>
                <w:sz w:val="20"/>
                <w:szCs w:val="20"/>
              </w:rPr>
              <w:t>017</w:t>
            </w:r>
            <w:r>
              <w:rPr>
                <w:spacing w:val="2"/>
                <w:sz w:val="20"/>
                <w:szCs w:val="20"/>
              </w:rPr>
              <w:t>）</w:t>
            </w:r>
          </w:p>
        </w:tc>
        <w:tc>
          <w:tcPr>
            <w:tcW w:w="568" w:type="dxa"/>
            <w:vAlign w:val="top"/>
          </w:tcPr>
          <w:p w14:paraId="4EF20909">
            <w:pPr>
              <w:spacing w:line="387" w:lineRule="auto"/>
              <w:rPr>
                <w:rFonts w:ascii="Arial"/>
                <w:sz w:val="21"/>
              </w:rPr>
            </w:pPr>
          </w:p>
          <w:p w14:paraId="2811B6A9">
            <w:pPr>
              <w:pStyle w:val="6"/>
              <w:spacing w:before="65" w:line="233" w:lineRule="auto"/>
              <w:ind w:left="75"/>
              <w:rPr>
                <w:sz w:val="20"/>
                <w:szCs w:val="20"/>
              </w:rPr>
            </w:pPr>
            <w:r>
              <w:rPr>
                <w:rFonts w:ascii="Times New Roman" w:hAnsi="Times New Roman" w:eastAsia="Times New Roman" w:cs="Times New Roman"/>
                <w:spacing w:val="5"/>
                <w:sz w:val="20"/>
                <w:szCs w:val="20"/>
              </w:rPr>
              <w:t>Ⅲ</w:t>
            </w:r>
            <w:r>
              <w:rPr>
                <w:spacing w:val="5"/>
                <w:sz w:val="20"/>
                <w:szCs w:val="20"/>
              </w:rPr>
              <w:t>类</w:t>
            </w:r>
          </w:p>
        </w:tc>
        <w:tc>
          <w:tcPr>
            <w:tcW w:w="994" w:type="dxa"/>
            <w:vAlign w:val="top"/>
          </w:tcPr>
          <w:p w14:paraId="507298B3">
            <w:pPr>
              <w:spacing w:line="430" w:lineRule="auto"/>
              <w:rPr>
                <w:rFonts w:ascii="Arial"/>
                <w:sz w:val="21"/>
              </w:rPr>
            </w:pPr>
          </w:p>
          <w:p w14:paraId="3145C75A">
            <w:pPr>
              <w:spacing w:before="57" w:line="195" w:lineRule="auto"/>
              <w:ind w:left="1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6.5~8.5</w:t>
            </w:r>
          </w:p>
        </w:tc>
        <w:tc>
          <w:tcPr>
            <w:tcW w:w="710" w:type="dxa"/>
            <w:vAlign w:val="top"/>
          </w:tcPr>
          <w:p w14:paraId="2C8B21B6">
            <w:pPr>
              <w:spacing w:line="430" w:lineRule="auto"/>
              <w:rPr>
                <w:rFonts w:ascii="Arial"/>
                <w:sz w:val="21"/>
              </w:rPr>
            </w:pPr>
          </w:p>
          <w:p w14:paraId="6CFDC27E">
            <w:pPr>
              <w:spacing w:before="57"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711" w:type="dxa"/>
            <w:vAlign w:val="top"/>
          </w:tcPr>
          <w:p w14:paraId="1E22F7B1">
            <w:pPr>
              <w:spacing w:line="430" w:lineRule="auto"/>
              <w:rPr>
                <w:rFonts w:ascii="Arial"/>
                <w:sz w:val="21"/>
              </w:rPr>
            </w:pPr>
          </w:p>
          <w:p w14:paraId="6A70B2F4">
            <w:pPr>
              <w:spacing w:before="57" w:line="195" w:lineRule="auto"/>
              <w:ind w:left="31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895" w:type="dxa"/>
            <w:vAlign w:val="top"/>
          </w:tcPr>
          <w:p w14:paraId="2F80C435">
            <w:pPr>
              <w:spacing w:line="430" w:lineRule="auto"/>
              <w:rPr>
                <w:rFonts w:ascii="Arial"/>
                <w:sz w:val="21"/>
              </w:rPr>
            </w:pPr>
          </w:p>
          <w:p w14:paraId="6557F6B2">
            <w:pPr>
              <w:spacing w:before="57"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09" w:type="dxa"/>
            <w:vAlign w:val="top"/>
          </w:tcPr>
          <w:p w14:paraId="0E7659BB">
            <w:pPr>
              <w:spacing w:line="430" w:lineRule="auto"/>
              <w:rPr>
                <w:rFonts w:ascii="Arial"/>
                <w:sz w:val="21"/>
              </w:rPr>
            </w:pPr>
          </w:p>
          <w:p w14:paraId="216F8BDC">
            <w:pPr>
              <w:spacing w:before="57" w:line="195" w:lineRule="auto"/>
              <w:ind w:left="2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w:t>
            </w:r>
          </w:p>
        </w:tc>
        <w:tc>
          <w:tcPr>
            <w:tcW w:w="842" w:type="dxa"/>
            <w:vAlign w:val="top"/>
          </w:tcPr>
          <w:p w14:paraId="7007B029">
            <w:pPr>
              <w:spacing w:line="430" w:lineRule="auto"/>
              <w:rPr>
                <w:rFonts w:ascii="Arial"/>
                <w:sz w:val="21"/>
              </w:rPr>
            </w:pPr>
          </w:p>
          <w:p w14:paraId="4DB7C815">
            <w:pPr>
              <w:spacing w:before="57" w:line="195" w:lineRule="auto"/>
              <w:ind w:left="38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05" w:type="dxa"/>
            <w:vAlign w:val="top"/>
          </w:tcPr>
          <w:p w14:paraId="3DC0D79E">
            <w:pPr>
              <w:spacing w:line="430" w:lineRule="auto"/>
              <w:rPr>
                <w:rFonts w:ascii="Arial"/>
                <w:sz w:val="21"/>
              </w:rPr>
            </w:pPr>
          </w:p>
          <w:p w14:paraId="72319DB6">
            <w:pPr>
              <w:spacing w:before="57"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0.002</w:t>
            </w:r>
          </w:p>
        </w:tc>
        <w:tc>
          <w:tcPr>
            <w:tcW w:w="904" w:type="dxa"/>
            <w:vAlign w:val="top"/>
          </w:tcPr>
          <w:p w14:paraId="2493A620">
            <w:pPr>
              <w:spacing w:line="430" w:lineRule="auto"/>
              <w:rPr>
                <w:rFonts w:ascii="Arial"/>
                <w:sz w:val="21"/>
              </w:rPr>
            </w:pPr>
          </w:p>
          <w:p w14:paraId="62CFA059">
            <w:pPr>
              <w:spacing w:before="57" w:line="195" w:lineRule="auto"/>
              <w:ind w:left="2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928" w:type="dxa"/>
            <w:vAlign w:val="top"/>
          </w:tcPr>
          <w:p w14:paraId="71A3CA7C">
            <w:pPr>
              <w:spacing w:line="430" w:lineRule="auto"/>
              <w:rPr>
                <w:rFonts w:ascii="Arial"/>
                <w:sz w:val="21"/>
              </w:rPr>
            </w:pPr>
          </w:p>
          <w:p w14:paraId="07518374">
            <w:pPr>
              <w:spacing w:before="57" w:line="195"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1029" w:type="dxa"/>
            <w:vAlign w:val="top"/>
          </w:tcPr>
          <w:p w14:paraId="6A19B020">
            <w:pPr>
              <w:spacing w:line="430" w:lineRule="auto"/>
              <w:rPr>
                <w:rFonts w:ascii="Arial"/>
                <w:sz w:val="21"/>
              </w:rPr>
            </w:pPr>
          </w:p>
          <w:p w14:paraId="5A2E2135">
            <w:pPr>
              <w:spacing w:before="57" w:line="195" w:lineRule="auto"/>
              <w:ind w:left="35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450</w:t>
            </w:r>
          </w:p>
        </w:tc>
        <w:tc>
          <w:tcPr>
            <w:tcW w:w="2420" w:type="dxa"/>
            <w:vMerge w:val="continue"/>
            <w:tcBorders>
              <w:top w:val="nil"/>
              <w:bottom w:val="nil"/>
            </w:tcBorders>
            <w:vAlign w:val="top"/>
          </w:tcPr>
          <w:p w14:paraId="1A58F841">
            <w:pPr>
              <w:rPr>
                <w:rFonts w:ascii="Arial"/>
                <w:sz w:val="21"/>
              </w:rPr>
            </w:pPr>
          </w:p>
        </w:tc>
      </w:tr>
      <w:tr w14:paraId="3FB62A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285" w:type="dxa"/>
            <w:vMerge w:val="continue"/>
            <w:tcBorders>
              <w:top w:val="nil"/>
              <w:bottom w:val="nil"/>
            </w:tcBorders>
            <w:vAlign w:val="top"/>
          </w:tcPr>
          <w:p w14:paraId="363633E8">
            <w:pPr>
              <w:rPr>
                <w:rFonts w:ascii="Arial"/>
                <w:sz w:val="21"/>
              </w:rPr>
            </w:pPr>
          </w:p>
        </w:tc>
        <w:tc>
          <w:tcPr>
            <w:tcW w:w="567" w:type="dxa"/>
            <w:vMerge w:val="continue"/>
            <w:tcBorders>
              <w:top w:val="nil"/>
              <w:bottom w:val="nil"/>
            </w:tcBorders>
            <w:vAlign w:val="top"/>
          </w:tcPr>
          <w:p w14:paraId="2A196516">
            <w:pPr>
              <w:rPr>
                <w:rFonts w:ascii="Arial"/>
                <w:sz w:val="21"/>
              </w:rPr>
            </w:pPr>
          </w:p>
        </w:tc>
        <w:tc>
          <w:tcPr>
            <w:tcW w:w="1421" w:type="dxa"/>
            <w:vMerge w:val="restart"/>
            <w:tcBorders>
              <w:bottom w:val="nil"/>
            </w:tcBorders>
            <w:vAlign w:val="top"/>
          </w:tcPr>
          <w:p w14:paraId="555A56AE">
            <w:pPr>
              <w:spacing w:line="273" w:lineRule="auto"/>
              <w:rPr>
                <w:rFonts w:ascii="Arial"/>
                <w:sz w:val="21"/>
              </w:rPr>
            </w:pPr>
          </w:p>
          <w:p w14:paraId="26319061">
            <w:pPr>
              <w:pStyle w:val="6"/>
              <w:spacing w:before="65" w:line="232" w:lineRule="auto"/>
              <w:ind w:left="406"/>
              <w:rPr>
                <w:sz w:val="20"/>
                <w:szCs w:val="20"/>
              </w:rPr>
            </w:pPr>
            <w:r>
              <w:rPr>
                <w:spacing w:val="3"/>
                <w:sz w:val="20"/>
                <w:szCs w:val="20"/>
              </w:rPr>
              <w:t>监测点</w:t>
            </w:r>
          </w:p>
        </w:tc>
        <w:tc>
          <w:tcPr>
            <w:tcW w:w="568" w:type="dxa"/>
            <w:vMerge w:val="restart"/>
            <w:tcBorders>
              <w:bottom w:val="nil"/>
            </w:tcBorders>
            <w:vAlign w:val="top"/>
          </w:tcPr>
          <w:p w14:paraId="0AE28E14">
            <w:pPr>
              <w:pStyle w:val="6"/>
              <w:spacing w:before="205" w:line="232" w:lineRule="auto"/>
              <w:ind w:left="78"/>
              <w:rPr>
                <w:sz w:val="20"/>
                <w:szCs w:val="20"/>
              </w:rPr>
            </w:pPr>
            <w:r>
              <w:rPr>
                <w:spacing w:val="2"/>
                <w:sz w:val="20"/>
                <w:szCs w:val="20"/>
              </w:rPr>
              <w:t>水质</w:t>
            </w:r>
          </w:p>
          <w:p w14:paraId="04CC7E7F">
            <w:pPr>
              <w:pStyle w:val="6"/>
              <w:spacing w:before="20" w:line="231" w:lineRule="auto"/>
              <w:ind w:left="78"/>
              <w:rPr>
                <w:sz w:val="20"/>
                <w:szCs w:val="20"/>
              </w:rPr>
            </w:pPr>
            <w:r>
              <w:rPr>
                <w:spacing w:val="2"/>
                <w:sz w:val="20"/>
                <w:szCs w:val="20"/>
              </w:rPr>
              <w:t>标准</w:t>
            </w:r>
          </w:p>
        </w:tc>
        <w:tc>
          <w:tcPr>
            <w:tcW w:w="8727" w:type="dxa"/>
            <w:gridSpan w:val="10"/>
            <w:vAlign w:val="top"/>
          </w:tcPr>
          <w:p w14:paraId="14350D40">
            <w:pPr>
              <w:pStyle w:val="6"/>
              <w:spacing w:before="47" w:line="229" w:lineRule="auto"/>
              <w:ind w:left="3956"/>
              <w:rPr>
                <w:sz w:val="20"/>
                <w:szCs w:val="20"/>
              </w:rPr>
            </w:pPr>
            <w:r>
              <w:rPr>
                <w:spacing w:val="4"/>
                <w:sz w:val="20"/>
                <w:szCs w:val="20"/>
              </w:rPr>
              <w:t>监测因子</w:t>
            </w:r>
          </w:p>
        </w:tc>
        <w:tc>
          <w:tcPr>
            <w:tcW w:w="2420" w:type="dxa"/>
            <w:vMerge w:val="continue"/>
            <w:tcBorders>
              <w:top w:val="nil"/>
              <w:bottom w:val="nil"/>
            </w:tcBorders>
            <w:vAlign w:val="top"/>
          </w:tcPr>
          <w:p w14:paraId="46944D38">
            <w:pPr>
              <w:rPr>
                <w:rFonts w:ascii="Arial"/>
                <w:sz w:val="21"/>
              </w:rPr>
            </w:pPr>
          </w:p>
        </w:tc>
      </w:tr>
      <w:tr w14:paraId="39FFF3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285" w:type="dxa"/>
            <w:vMerge w:val="continue"/>
            <w:tcBorders>
              <w:top w:val="nil"/>
              <w:bottom w:val="nil"/>
            </w:tcBorders>
            <w:vAlign w:val="top"/>
          </w:tcPr>
          <w:p w14:paraId="2AD03AEA">
            <w:pPr>
              <w:rPr>
                <w:rFonts w:ascii="Arial"/>
                <w:sz w:val="21"/>
              </w:rPr>
            </w:pPr>
          </w:p>
        </w:tc>
        <w:tc>
          <w:tcPr>
            <w:tcW w:w="567" w:type="dxa"/>
            <w:vMerge w:val="continue"/>
            <w:tcBorders>
              <w:top w:val="nil"/>
              <w:bottom w:val="nil"/>
            </w:tcBorders>
            <w:vAlign w:val="top"/>
          </w:tcPr>
          <w:p w14:paraId="70A0E8F3">
            <w:pPr>
              <w:rPr>
                <w:rFonts w:ascii="Arial"/>
                <w:sz w:val="21"/>
              </w:rPr>
            </w:pPr>
          </w:p>
        </w:tc>
        <w:tc>
          <w:tcPr>
            <w:tcW w:w="1421" w:type="dxa"/>
            <w:vMerge w:val="continue"/>
            <w:tcBorders>
              <w:top w:val="nil"/>
            </w:tcBorders>
            <w:vAlign w:val="top"/>
          </w:tcPr>
          <w:p w14:paraId="76204555">
            <w:pPr>
              <w:rPr>
                <w:rFonts w:ascii="Arial"/>
                <w:sz w:val="21"/>
              </w:rPr>
            </w:pPr>
          </w:p>
        </w:tc>
        <w:tc>
          <w:tcPr>
            <w:tcW w:w="568" w:type="dxa"/>
            <w:vMerge w:val="continue"/>
            <w:tcBorders>
              <w:top w:val="nil"/>
            </w:tcBorders>
            <w:vAlign w:val="top"/>
          </w:tcPr>
          <w:p w14:paraId="2BA1416A">
            <w:pPr>
              <w:rPr>
                <w:rFonts w:ascii="Arial"/>
                <w:sz w:val="21"/>
              </w:rPr>
            </w:pPr>
          </w:p>
        </w:tc>
        <w:tc>
          <w:tcPr>
            <w:tcW w:w="994" w:type="dxa"/>
            <w:vAlign w:val="top"/>
          </w:tcPr>
          <w:p w14:paraId="6506B4ED">
            <w:pPr>
              <w:pStyle w:val="6"/>
              <w:spacing w:before="49"/>
              <w:ind w:left="188" w:right="77" w:hanging="107"/>
              <w:rPr>
                <w:sz w:val="20"/>
                <w:szCs w:val="20"/>
              </w:rPr>
            </w:pPr>
            <w:r>
              <w:rPr>
                <w:spacing w:val="6"/>
                <w:sz w:val="20"/>
                <w:szCs w:val="20"/>
              </w:rPr>
              <w:t>溶解性固</w:t>
            </w:r>
            <w:r>
              <w:rPr>
                <w:sz w:val="20"/>
                <w:szCs w:val="20"/>
              </w:rPr>
              <w:t xml:space="preserve"> </w:t>
            </w:r>
            <w:r>
              <w:rPr>
                <w:spacing w:val="4"/>
                <w:sz w:val="20"/>
                <w:szCs w:val="20"/>
              </w:rPr>
              <w:t>体总数</w:t>
            </w:r>
          </w:p>
        </w:tc>
        <w:tc>
          <w:tcPr>
            <w:tcW w:w="710" w:type="dxa"/>
            <w:vAlign w:val="top"/>
          </w:tcPr>
          <w:p w14:paraId="7746BF05">
            <w:pPr>
              <w:pStyle w:val="6"/>
              <w:spacing w:before="185" w:line="231" w:lineRule="auto"/>
              <w:ind w:left="46"/>
              <w:rPr>
                <w:sz w:val="20"/>
                <w:szCs w:val="20"/>
              </w:rPr>
            </w:pPr>
            <w:r>
              <w:rPr>
                <w:spacing w:val="4"/>
                <w:sz w:val="20"/>
                <w:szCs w:val="20"/>
              </w:rPr>
              <w:t>耗氧量</w:t>
            </w:r>
          </w:p>
        </w:tc>
        <w:tc>
          <w:tcPr>
            <w:tcW w:w="711" w:type="dxa"/>
            <w:vAlign w:val="top"/>
          </w:tcPr>
          <w:p w14:paraId="4EA0F757">
            <w:pPr>
              <w:pStyle w:val="6"/>
              <w:spacing w:before="49"/>
              <w:ind w:left="151" w:right="39" w:hanging="96"/>
              <w:rPr>
                <w:sz w:val="20"/>
                <w:szCs w:val="20"/>
              </w:rPr>
            </w:pPr>
            <w:r>
              <w:rPr>
                <w:spacing w:val="2"/>
                <w:sz w:val="20"/>
                <w:szCs w:val="20"/>
              </w:rPr>
              <w:t>总大肠</w:t>
            </w:r>
            <w:r>
              <w:rPr>
                <w:sz w:val="20"/>
                <w:szCs w:val="20"/>
              </w:rPr>
              <w:t xml:space="preserve"> </w:t>
            </w:r>
            <w:r>
              <w:rPr>
                <w:spacing w:val="2"/>
                <w:sz w:val="20"/>
                <w:szCs w:val="20"/>
              </w:rPr>
              <w:t>杆菌</w:t>
            </w:r>
          </w:p>
        </w:tc>
        <w:tc>
          <w:tcPr>
            <w:tcW w:w="895" w:type="dxa"/>
            <w:vAlign w:val="top"/>
          </w:tcPr>
          <w:p w14:paraId="0BAEA8E7">
            <w:pPr>
              <w:pStyle w:val="6"/>
              <w:spacing w:before="185" w:line="229" w:lineRule="auto"/>
              <w:ind w:left="143"/>
              <w:rPr>
                <w:sz w:val="20"/>
                <w:szCs w:val="20"/>
              </w:rPr>
            </w:pPr>
            <w:r>
              <w:rPr>
                <w:spacing w:val="3"/>
                <w:sz w:val="20"/>
                <w:szCs w:val="20"/>
              </w:rPr>
              <w:t>氯化物</w:t>
            </w:r>
          </w:p>
        </w:tc>
        <w:tc>
          <w:tcPr>
            <w:tcW w:w="809" w:type="dxa"/>
            <w:vAlign w:val="top"/>
          </w:tcPr>
          <w:p w14:paraId="02DFED3E">
            <w:pPr>
              <w:pStyle w:val="6"/>
              <w:spacing w:before="49"/>
              <w:ind w:left="306" w:right="87" w:hanging="206"/>
              <w:rPr>
                <w:sz w:val="20"/>
                <w:szCs w:val="20"/>
              </w:rPr>
            </w:pPr>
            <w:r>
              <w:rPr>
                <w:spacing w:val="3"/>
                <w:sz w:val="20"/>
                <w:szCs w:val="20"/>
              </w:rPr>
              <w:t>细菌总</w:t>
            </w:r>
            <w:r>
              <w:rPr>
                <w:spacing w:val="1"/>
                <w:sz w:val="20"/>
                <w:szCs w:val="20"/>
              </w:rPr>
              <w:t xml:space="preserve"> </w:t>
            </w:r>
            <w:r>
              <w:rPr>
                <w:sz w:val="20"/>
                <w:szCs w:val="20"/>
              </w:rPr>
              <w:t>数</w:t>
            </w:r>
          </w:p>
        </w:tc>
        <w:tc>
          <w:tcPr>
            <w:tcW w:w="842" w:type="dxa"/>
            <w:vAlign w:val="top"/>
          </w:tcPr>
          <w:p w14:paraId="47B79E62">
            <w:pPr>
              <w:pStyle w:val="6"/>
              <w:spacing w:before="185" w:line="239" w:lineRule="auto"/>
              <w:ind w:left="323"/>
              <w:rPr>
                <w:sz w:val="20"/>
                <w:szCs w:val="20"/>
              </w:rPr>
            </w:pPr>
            <w:r>
              <w:rPr>
                <w:sz w:val="20"/>
                <w:szCs w:val="20"/>
              </w:rPr>
              <w:t>锰</w:t>
            </w:r>
          </w:p>
        </w:tc>
        <w:tc>
          <w:tcPr>
            <w:tcW w:w="905" w:type="dxa"/>
            <w:vAlign w:val="top"/>
          </w:tcPr>
          <w:p w14:paraId="5FEC494C">
            <w:pPr>
              <w:pStyle w:val="6"/>
              <w:spacing w:before="185" w:line="232" w:lineRule="auto"/>
              <w:ind w:left="360"/>
              <w:rPr>
                <w:sz w:val="20"/>
                <w:szCs w:val="20"/>
              </w:rPr>
            </w:pPr>
            <w:r>
              <w:rPr>
                <w:sz w:val="20"/>
                <w:szCs w:val="20"/>
              </w:rPr>
              <w:t>铁</w:t>
            </w:r>
          </w:p>
        </w:tc>
        <w:tc>
          <w:tcPr>
            <w:tcW w:w="904" w:type="dxa"/>
            <w:vAlign w:val="top"/>
          </w:tcPr>
          <w:p w14:paraId="6D6E5782">
            <w:pPr>
              <w:pStyle w:val="6"/>
              <w:spacing w:before="185" w:line="229" w:lineRule="auto"/>
              <w:ind w:left="357"/>
              <w:rPr>
                <w:sz w:val="20"/>
                <w:szCs w:val="20"/>
              </w:rPr>
            </w:pPr>
            <w:r>
              <w:rPr>
                <w:sz w:val="20"/>
                <w:szCs w:val="20"/>
              </w:rPr>
              <w:t>砷</w:t>
            </w:r>
          </w:p>
        </w:tc>
        <w:tc>
          <w:tcPr>
            <w:tcW w:w="928" w:type="dxa"/>
            <w:vAlign w:val="top"/>
          </w:tcPr>
          <w:p w14:paraId="21B77C6B">
            <w:pPr>
              <w:pStyle w:val="6"/>
              <w:spacing w:before="185" w:line="232" w:lineRule="auto"/>
              <w:ind w:left="371"/>
              <w:rPr>
                <w:sz w:val="20"/>
                <w:szCs w:val="20"/>
              </w:rPr>
            </w:pPr>
            <w:r>
              <w:rPr>
                <w:sz w:val="20"/>
                <w:szCs w:val="20"/>
              </w:rPr>
              <w:t>镉</w:t>
            </w:r>
          </w:p>
        </w:tc>
        <w:tc>
          <w:tcPr>
            <w:tcW w:w="1029" w:type="dxa"/>
            <w:vAlign w:val="top"/>
          </w:tcPr>
          <w:p w14:paraId="7BA17AD7">
            <w:pPr>
              <w:pStyle w:val="6"/>
              <w:spacing w:before="185" w:line="231" w:lineRule="auto"/>
              <w:ind w:left="421"/>
              <w:rPr>
                <w:sz w:val="20"/>
                <w:szCs w:val="20"/>
              </w:rPr>
            </w:pPr>
            <w:r>
              <w:rPr>
                <w:sz w:val="20"/>
                <w:szCs w:val="20"/>
              </w:rPr>
              <w:t>铅</w:t>
            </w:r>
          </w:p>
        </w:tc>
        <w:tc>
          <w:tcPr>
            <w:tcW w:w="2420" w:type="dxa"/>
            <w:vMerge w:val="continue"/>
            <w:tcBorders>
              <w:top w:val="nil"/>
              <w:bottom w:val="nil"/>
            </w:tcBorders>
            <w:vAlign w:val="top"/>
          </w:tcPr>
          <w:p w14:paraId="657E1E63">
            <w:pPr>
              <w:rPr>
                <w:rFonts w:ascii="Arial"/>
                <w:sz w:val="21"/>
              </w:rPr>
            </w:pPr>
          </w:p>
        </w:tc>
      </w:tr>
      <w:tr w14:paraId="18CA11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285" w:type="dxa"/>
            <w:vMerge w:val="continue"/>
            <w:tcBorders>
              <w:top w:val="nil"/>
              <w:bottom w:val="nil"/>
            </w:tcBorders>
            <w:vAlign w:val="top"/>
          </w:tcPr>
          <w:p w14:paraId="38F14523">
            <w:pPr>
              <w:rPr>
                <w:rFonts w:ascii="Arial"/>
                <w:sz w:val="21"/>
              </w:rPr>
            </w:pPr>
          </w:p>
        </w:tc>
        <w:tc>
          <w:tcPr>
            <w:tcW w:w="567" w:type="dxa"/>
            <w:vMerge w:val="continue"/>
            <w:tcBorders>
              <w:top w:val="nil"/>
              <w:bottom w:val="nil"/>
            </w:tcBorders>
            <w:vAlign w:val="top"/>
          </w:tcPr>
          <w:p w14:paraId="15563E5C">
            <w:pPr>
              <w:rPr>
                <w:rFonts w:ascii="Arial"/>
                <w:sz w:val="21"/>
              </w:rPr>
            </w:pPr>
          </w:p>
        </w:tc>
        <w:tc>
          <w:tcPr>
            <w:tcW w:w="1421" w:type="dxa"/>
            <w:vAlign w:val="top"/>
          </w:tcPr>
          <w:p w14:paraId="0FDD544D">
            <w:pPr>
              <w:pStyle w:val="6"/>
              <w:spacing w:before="50" w:line="228" w:lineRule="auto"/>
              <w:ind w:left="89"/>
              <w:rPr>
                <w:sz w:val="20"/>
                <w:szCs w:val="20"/>
              </w:rPr>
            </w:pPr>
            <w:r>
              <w:rPr>
                <w:spacing w:val="6"/>
                <w:sz w:val="20"/>
                <w:szCs w:val="20"/>
              </w:rPr>
              <w:t>青杠片区北部</w:t>
            </w:r>
          </w:p>
        </w:tc>
        <w:tc>
          <w:tcPr>
            <w:tcW w:w="568" w:type="dxa"/>
            <w:vAlign w:val="top"/>
          </w:tcPr>
          <w:p w14:paraId="642DF80B">
            <w:pPr>
              <w:pStyle w:val="6"/>
              <w:spacing w:before="50" w:line="228" w:lineRule="auto"/>
              <w:ind w:left="75"/>
              <w:rPr>
                <w:sz w:val="20"/>
                <w:szCs w:val="20"/>
              </w:rPr>
            </w:pPr>
            <w:r>
              <w:rPr>
                <w:rFonts w:ascii="Times New Roman" w:hAnsi="Times New Roman" w:eastAsia="Times New Roman" w:cs="Times New Roman"/>
                <w:spacing w:val="5"/>
                <w:sz w:val="20"/>
                <w:szCs w:val="20"/>
              </w:rPr>
              <w:t>Ⅲ</w:t>
            </w:r>
            <w:r>
              <w:rPr>
                <w:spacing w:val="5"/>
                <w:sz w:val="20"/>
                <w:szCs w:val="20"/>
              </w:rPr>
              <w:t>类</w:t>
            </w:r>
          </w:p>
        </w:tc>
        <w:tc>
          <w:tcPr>
            <w:tcW w:w="994" w:type="dxa"/>
            <w:vAlign w:val="top"/>
          </w:tcPr>
          <w:p w14:paraId="14A96ABE">
            <w:pPr>
              <w:spacing w:before="85" w:line="195" w:lineRule="auto"/>
              <w:ind w:left="34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535</w:t>
            </w:r>
          </w:p>
        </w:tc>
        <w:tc>
          <w:tcPr>
            <w:tcW w:w="710" w:type="dxa"/>
            <w:vAlign w:val="top"/>
          </w:tcPr>
          <w:p w14:paraId="67B265C9">
            <w:pPr>
              <w:spacing w:before="85" w:line="195" w:lineRule="auto"/>
              <w:ind w:left="1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0.96</w:t>
            </w:r>
          </w:p>
        </w:tc>
        <w:tc>
          <w:tcPr>
            <w:tcW w:w="711" w:type="dxa"/>
            <w:vAlign w:val="top"/>
          </w:tcPr>
          <w:p w14:paraId="1BBF1779">
            <w:pPr>
              <w:spacing w:before="86" w:line="195" w:lineRule="auto"/>
              <w:ind w:left="29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895" w:type="dxa"/>
            <w:vAlign w:val="top"/>
          </w:tcPr>
          <w:p w14:paraId="6895FB80">
            <w:pPr>
              <w:spacing w:before="85"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16.8</w:t>
            </w:r>
          </w:p>
        </w:tc>
        <w:tc>
          <w:tcPr>
            <w:tcW w:w="809" w:type="dxa"/>
            <w:vAlign w:val="top"/>
          </w:tcPr>
          <w:p w14:paraId="3A0C6ED0">
            <w:pPr>
              <w:spacing w:before="85"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p>
        </w:tc>
        <w:tc>
          <w:tcPr>
            <w:tcW w:w="842" w:type="dxa"/>
            <w:vAlign w:val="top"/>
          </w:tcPr>
          <w:p w14:paraId="1E76F350">
            <w:pPr>
              <w:spacing w:before="85" w:line="195" w:lineRule="auto"/>
              <w:ind w:left="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3.30E-04</w:t>
            </w:r>
          </w:p>
        </w:tc>
        <w:tc>
          <w:tcPr>
            <w:tcW w:w="905" w:type="dxa"/>
            <w:vAlign w:val="top"/>
          </w:tcPr>
          <w:p w14:paraId="5550A75B">
            <w:pPr>
              <w:spacing w:before="85" w:line="195" w:lineRule="auto"/>
              <w:ind w:left="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9.92E-03</w:t>
            </w:r>
          </w:p>
        </w:tc>
        <w:tc>
          <w:tcPr>
            <w:tcW w:w="904" w:type="dxa"/>
            <w:vAlign w:val="top"/>
          </w:tcPr>
          <w:p w14:paraId="5632CD95">
            <w:pPr>
              <w:spacing w:before="66" w:line="212" w:lineRule="auto"/>
              <w:ind w:left="5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w:t>
            </w:r>
            <w:r>
              <w:rPr>
                <w:rFonts w:ascii="Arial" w:hAnsi="Arial" w:eastAsia="Arial" w:cs="Arial"/>
                <w:spacing w:val="1"/>
                <w:sz w:val="20"/>
                <w:szCs w:val="20"/>
              </w:rPr>
              <w:t>×</w:t>
            </w:r>
            <w:r>
              <w:rPr>
                <w:rFonts w:ascii="Times New Roman" w:hAnsi="Times New Roman" w:eastAsia="Times New Roman" w:cs="Times New Roman"/>
                <w:spacing w:val="1"/>
                <w:sz w:val="20"/>
                <w:szCs w:val="20"/>
              </w:rPr>
              <w:t>10</w:t>
            </w:r>
            <w:r>
              <w:rPr>
                <w:rFonts w:ascii="Times New Roman" w:hAnsi="Times New Roman" w:eastAsia="Times New Roman" w:cs="Times New Roman"/>
                <w:spacing w:val="1"/>
                <w:position w:val="6"/>
                <w:sz w:val="13"/>
                <w:szCs w:val="13"/>
              </w:rPr>
              <w:t>-4</w:t>
            </w:r>
            <w:r>
              <w:rPr>
                <w:rFonts w:ascii="Times New Roman" w:hAnsi="Times New Roman" w:eastAsia="Times New Roman" w:cs="Times New Roman"/>
                <w:spacing w:val="1"/>
                <w:sz w:val="20"/>
                <w:szCs w:val="20"/>
              </w:rPr>
              <w:t>L</w:t>
            </w:r>
          </w:p>
        </w:tc>
        <w:tc>
          <w:tcPr>
            <w:tcW w:w="928" w:type="dxa"/>
            <w:vAlign w:val="top"/>
          </w:tcPr>
          <w:p w14:paraId="2FC194E3">
            <w:pPr>
              <w:spacing w:before="68" w:line="210"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w:t>
            </w:r>
            <w:r>
              <w:rPr>
                <w:rFonts w:ascii="Arial" w:hAnsi="Arial" w:eastAsia="Arial" w:cs="Arial"/>
                <w:spacing w:val="2"/>
                <w:sz w:val="20"/>
                <w:szCs w:val="20"/>
              </w:rPr>
              <w:t>×</w:t>
            </w:r>
            <w:r>
              <w:rPr>
                <w:rFonts w:ascii="Times New Roman" w:hAnsi="Times New Roman" w:eastAsia="Times New Roman" w:cs="Times New Roman"/>
                <w:spacing w:val="2"/>
                <w:sz w:val="20"/>
                <w:szCs w:val="20"/>
              </w:rPr>
              <w:t>10</w:t>
            </w:r>
            <w:r>
              <w:rPr>
                <w:rFonts w:ascii="Times New Roman" w:hAnsi="Times New Roman" w:eastAsia="Times New Roman" w:cs="Times New Roman"/>
                <w:spacing w:val="2"/>
                <w:position w:val="6"/>
                <w:sz w:val="13"/>
                <w:szCs w:val="13"/>
              </w:rPr>
              <w:t>-5</w:t>
            </w:r>
            <w:r>
              <w:rPr>
                <w:rFonts w:ascii="Times New Roman" w:hAnsi="Times New Roman" w:eastAsia="Times New Roman" w:cs="Times New Roman"/>
                <w:spacing w:val="2"/>
                <w:sz w:val="20"/>
                <w:szCs w:val="20"/>
              </w:rPr>
              <w:t>L</w:t>
            </w:r>
          </w:p>
        </w:tc>
        <w:tc>
          <w:tcPr>
            <w:tcW w:w="1029" w:type="dxa"/>
            <w:vAlign w:val="top"/>
          </w:tcPr>
          <w:p w14:paraId="1BB21AEE">
            <w:pPr>
              <w:spacing w:before="68" w:line="210" w:lineRule="auto"/>
              <w:ind w:left="181"/>
              <w:rPr>
                <w:rFonts w:ascii="Times New Roman" w:hAnsi="Times New Roman" w:eastAsia="Times New Roman" w:cs="Times New Roman"/>
                <w:sz w:val="20"/>
                <w:szCs w:val="20"/>
              </w:rPr>
            </w:pPr>
            <w:r>
              <w:rPr>
                <w:rFonts w:ascii="Times New Roman" w:hAnsi="Times New Roman" w:eastAsia="Times New Roman" w:cs="Times New Roman"/>
                <w:sz w:val="20"/>
                <w:szCs w:val="20"/>
              </w:rPr>
              <w:t>9</w:t>
            </w:r>
            <w:r>
              <w:rPr>
                <w:rFonts w:ascii="Times New Roman" w:hAnsi="Times New Roman" w:eastAsia="Times New Roman" w:cs="Times New Roman"/>
                <w:spacing w:val="-30"/>
                <w:sz w:val="20"/>
                <w:szCs w:val="20"/>
              </w:rPr>
              <w:t xml:space="preserve"> </w:t>
            </w:r>
            <w:r>
              <w:rPr>
                <w:rFonts w:ascii="Arial" w:hAnsi="Arial" w:eastAsia="Arial" w:cs="Arial"/>
                <w:sz w:val="20"/>
                <w:szCs w:val="20"/>
              </w:rPr>
              <w:t>×</w:t>
            </w:r>
            <w:r>
              <w:rPr>
                <w:rFonts w:ascii="Times New Roman" w:hAnsi="Times New Roman" w:eastAsia="Times New Roman" w:cs="Times New Roman"/>
                <w:sz w:val="20"/>
                <w:szCs w:val="20"/>
              </w:rPr>
              <w:t>10</w:t>
            </w:r>
            <w:r>
              <w:rPr>
                <w:rFonts w:ascii="Times New Roman" w:hAnsi="Times New Roman" w:eastAsia="Times New Roman" w:cs="Times New Roman"/>
                <w:position w:val="6"/>
                <w:sz w:val="13"/>
                <w:szCs w:val="13"/>
              </w:rPr>
              <w:t>-5</w:t>
            </w:r>
            <w:r>
              <w:rPr>
                <w:rFonts w:ascii="Times New Roman" w:hAnsi="Times New Roman" w:eastAsia="Times New Roman" w:cs="Times New Roman"/>
                <w:sz w:val="20"/>
                <w:szCs w:val="20"/>
              </w:rPr>
              <w:t>L</w:t>
            </w:r>
          </w:p>
        </w:tc>
        <w:tc>
          <w:tcPr>
            <w:tcW w:w="2420" w:type="dxa"/>
            <w:vMerge w:val="continue"/>
            <w:tcBorders>
              <w:top w:val="nil"/>
              <w:bottom w:val="nil"/>
            </w:tcBorders>
            <w:vAlign w:val="top"/>
          </w:tcPr>
          <w:p w14:paraId="6CAE3B94">
            <w:pPr>
              <w:rPr>
                <w:rFonts w:ascii="Arial"/>
                <w:sz w:val="21"/>
              </w:rPr>
            </w:pPr>
          </w:p>
        </w:tc>
      </w:tr>
      <w:tr w14:paraId="724770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285" w:type="dxa"/>
            <w:vMerge w:val="continue"/>
            <w:tcBorders>
              <w:top w:val="nil"/>
              <w:bottom w:val="nil"/>
            </w:tcBorders>
            <w:vAlign w:val="top"/>
          </w:tcPr>
          <w:p w14:paraId="7D20F8F3">
            <w:pPr>
              <w:rPr>
                <w:rFonts w:ascii="Arial"/>
                <w:sz w:val="21"/>
              </w:rPr>
            </w:pPr>
          </w:p>
        </w:tc>
        <w:tc>
          <w:tcPr>
            <w:tcW w:w="567" w:type="dxa"/>
            <w:vMerge w:val="continue"/>
            <w:tcBorders>
              <w:top w:val="nil"/>
              <w:bottom w:val="nil"/>
            </w:tcBorders>
            <w:vAlign w:val="top"/>
          </w:tcPr>
          <w:p w14:paraId="0B8275AB">
            <w:pPr>
              <w:rPr>
                <w:rFonts w:ascii="Arial"/>
                <w:sz w:val="21"/>
              </w:rPr>
            </w:pPr>
          </w:p>
        </w:tc>
        <w:tc>
          <w:tcPr>
            <w:tcW w:w="1421" w:type="dxa"/>
            <w:vAlign w:val="top"/>
          </w:tcPr>
          <w:p w14:paraId="6DE978D7">
            <w:pPr>
              <w:pStyle w:val="6"/>
              <w:spacing w:before="50" w:line="228" w:lineRule="auto"/>
              <w:ind w:left="89"/>
              <w:rPr>
                <w:sz w:val="20"/>
                <w:szCs w:val="20"/>
              </w:rPr>
            </w:pPr>
            <w:r>
              <w:rPr>
                <w:spacing w:val="6"/>
                <w:sz w:val="20"/>
                <w:szCs w:val="20"/>
              </w:rPr>
              <w:t>青杠片区西部</w:t>
            </w:r>
          </w:p>
        </w:tc>
        <w:tc>
          <w:tcPr>
            <w:tcW w:w="568" w:type="dxa"/>
            <w:vAlign w:val="top"/>
          </w:tcPr>
          <w:p w14:paraId="1E1DEF60">
            <w:pPr>
              <w:pStyle w:val="6"/>
              <w:spacing w:before="50" w:line="228" w:lineRule="auto"/>
              <w:ind w:left="75"/>
              <w:rPr>
                <w:sz w:val="20"/>
                <w:szCs w:val="20"/>
              </w:rPr>
            </w:pPr>
            <w:r>
              <w:rPr>
                <w:rFonts w:ascii="Times New Roman" w:hAnsi="Times New Roman" w:eastAsia="Times New Roman" w:cs="Times New Roman"/>
                <w:spacing w:val="5"/>
                <w:sz w:val="20"/>
                <w:szCs w:val="20"/>
              </w:rPr>
              <w:t>Ⅲ</w:t>
            </w:r>
            <w:r>
              <w:rPr>
                <w:spacing w:val="5"/>
                <w:sz w:val="20"/>
                <w:szCs w:val="20"/>
              </w:rPr>
              <w:t>类</w:t>
            </w:r>
          </w:p>
        </w:tc>
        <w:tc>
          <w:tcPr>
            <w:tcW w:w="994" w:type="dxa"/>
            <w:vAlign w:val="top"/>
          </w:tcPr>
          <w:p w14:paraId="10406AAB">
            <w:pPr>
              <w:spacing w:before="85" w:line="195" w:lineRule="auto"/>
              <w:ind w:left="34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550</w:t>
            </w:r>
          </w:p>
        </w:tc>
        <w:tc>
          <w:tcPr>
            <w:tcW w:w="710" w:type="dxa"/>
            <w:vAlign w:val="top"/>
          </w:tcPr>
          <w:p w14:paraId="12B44596">
            <w:pPr>
              <w:spacing w:before="85" w:line="195" w:lineRule="auto"/>
              <w:ind w:left="1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1.75</w:t>
            </w:r>
          </w:p>
        </w:tc>
        <w:tc>
          <w:tcPr>
            <w:tcW w:w="711" w:type="dxa"/>
            <w:vAlign w:val="top"/>
          </w:tcPr>
          <w:p w14:paraId="2267A7F9">
            <w:pPr>
              <w:spacing w:before="85" w:line="195" w:lineRule="auto"/>
              <w:ind w:left="29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895" w:type="dxa"/>
            <w:vAlign w:val="top"/>
          </w:tcPr>
          <w:p w14:paraId="32B030F7">
            <w:pPr>
              <w:spacing w:before="85"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11.7</w:t>
            </w:r>
          </w:p>
        </w:tc>
        <w:tc>
          <w:tcPr>
            <w:tcW w:w="809" w:type="dxa"/>
            <w:vAlign w:val="top"/>
          </w:tcPr>
          <w:p w14:paraId="091F5C2A">
            <w:pPr>
              <w:spacing w:before="85" w:line="195" w:lineRule="auto"/>
              <w:ind w:left="30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78</w:t>
            </w:r>
          </w:p>
        </w:tc>
        <w:tc>
          <w:tcPr>
            <w:tcW w:w="842" w:type="dxa"/>
            <w:vAlign w:val="top"/>
          </w:tcPr>
          <w:p w14:paraId="2034F9F3">
            <w:pPr>
              <w:spacing w:before="85" w:line="195" w:lineRule="auto"/>
              <w:ind w:left="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5.97E-03</w:t>
            </w:r>
          </w:p>
        </w:tc>
        <w:tc>
          <w:tcPr>
            <w:tcW w:w="905" w:type="dxa"/>
            <w:vAlign w:val="top"/>
          </w:tcPr>
          <w:p w14:paraId="1A8E7B5E">
            <w:pPr>
              <w:spacing w:before="85" w:line="195" w:lineRule="auto"/>
              <w:ind w:left="1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0.0149</w:t>
            </w:r>
          </w:p>
        </w:tc>
        <w:tc>
          <w:tcPr>
            <w:tcW w:w="904" w:type="dxa"/>
            <w:vAlign w:val="top"/>
          </w:tcPr>
          <w:p w14:paraId="264EEDA8">
            <w:pPr>
              <w:spacing w:before="85" w:line="195" w:lineRule="auto"/>
              <w:ind w:left="1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0.00032</w:t>
            </w:r>
          </w:p>
        </w:tc>
        <w:tc>
          <w:tcPr>
            <w:tcW w:w="928" w:type="dxa"/>
            <w:vAlign w:val="top"/>
          </w:tcPr>
          <w:p w14:paraId="75ADE91A">
            <w:pPr>
              <w:spacing w:before="67" w:line="213"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w:t>
            </w:r>
            <w:r>
              <w:rPr>
                <w:rFonts w:ascii="Arial" w:hAnsi="Arial" w:eastAsia="Arial" w:cs="Arial"/>
                <w:spacing w:val="2"/>
                <w:sz w:val="20"/>
                <w:szCs w:val="20"/>
              </w:rPr>
              <w:t>×</w:t>
            </w:r>
            <w:r>
              <w:rPr>
                <w:rFonts w:ascii="Times New Roman" w:hAnsi="Times New Roman" w:eastAsia="Times New Roman" w:cs="Times New Roman"/>
                <w:spacing w:val="2"/>
                <w:sz w:val="20"/>
                <w:szCs w:val="20"/>
              </w:rPr>
              <w:t>10</w:t>
            </w:r>
            <w:r>
              <w:rPr>
                <w:rFonts w:ascii="Times New Roman" w:hAnsi="Times New Roman" w:eastAsia="Times New Roman" w:cs="Times New Roman"/>
                <w:spacing w:val="2"/>
                <w:position w:val="6"/>
                <w:sz w:val="13"/>
                <w:szCs w:val="13"/>
              </w:rPr>
              <w:t>-5</w:t>
            </w:r>
            <w:r>
              <w:rPr>
                <w:rFonts w:ascii="Times New Roman" w:hAnsi="Times New Roman" w:eastAsia="Times New Roman" w:cs="Times New Roman"/>
                <w:spacing w:val="2"/>
                <w:sz w:val="20"/>
                <w:szCs w:val="20"/>
              </w:rPr>
              <w:t>L</w:t>
            </w:r>
          </w:p>
        </w:tc>
        <w:tc>
          <w:tcPr>
            <w:tcW w:w="1029" w:type="dxa"/>
            <w:vAlign w:val="top"/>
          </w:tcPr>
          <w:p w14:paraId="53E82BB9">
            <w:pPr>
              <w:spacing w:before="67" w:line="213" w:lineRule="auto"/>
              <w:ind w:left="181"/>
              <w:rPr>
                <w:rFonts w:ascii="Times New Roman" w:hAnsi="Times New Roman" w:eastAsia="Times New Roman" w:cs="Times New Roman"/>
                <w:sz w:val="20"/>
                <w:szCs w:val="20"/>
              </w:rPr>
            </w:pPr>
            <w:r>
              <w:rPr>
                <w:rFonts w:ascii="Times New Roman" w:hAnsi="Times New Roman" w:eastAsia="Times New Roman" w:cs="Times New Roman"/>
                <w:sz w:val="20"/>
                <w:szCs w:val="20"/>
              </w:rPr>
              <w:t>9</w:t>
            </w:r>
            <w:r>
              <w:rPr>
                <w:rFonts w:ascii="Times New Roman" w:hAnsi="Times New Roman" w:eastAsia="Times New Roman" w:cs="Times New Roman"/>
                <w:spacing w:val="-30"/>
                <w:sz w:val="20"/>
                <w:szCs w:val="20"/>
              </w:rPr>
              <w:t xml:space="preserve"> </w:t>
            </w:r>
            <w:r>
              <w:rPr>
                <w:rFonts w:ascii="Arial" w:hAnsi="Arial" w:eastAsia="Arial" w:cs="Arial"/>
                <w:sz w:val="20"/>
                <w:szCs w:val="20"/>
              </w:rPr>
              <w:t>×</w:t>
            </w:r>
            <w:r>
              <w:rPr>
                <w:rFonts w:ascii="Times New Roman" w:hAnsi="Times New Roman" w:eastAsia="Times New Roman" w:cs="Times New Roman"/>
                <w:sz w:val="20"/>
                <w:szCs w:val="20"/>
              </w:rPr>
              <w:t>10</w:t>
            </w:r>
            <w:r>
              <w:rPr>
                <w:rFonts w:ascii="Times New Roman" w:hAnsi="Times New Roman" w:eastAsia="Times New Roman" w:cs="Times New Roman"/>
                <w:position w:val="6"/>
                <w:sz w:val="13"/>
                <w:szCs w:val="13"/>
              </w:rPr>
              <w:t>-5</w:t>
            </w:r>
            <w:r>
              <w:rPr>
                <w:rFonts w:ascii="Times New Roman" w:hAnsi="Times New Roman" w:eastAsia="Times New Roman" w:cs="Times New Roman"/>
                <w:sz w:val="20"/>
                <w:szCs w:val="20"/>
              </w:rPr>
              <w:t>L</w:t>
            </w:r>
          </w:p>
        </w:tc>
        <w:tc>
          <w:tcPr>
            <w:tcW w:w="2420" w:type="dxa"/>
            <w:vMerge w:val="continue"/>
            <w:tcBorders>
              <w:top w:val="nil"/>
              <w:bottom w:val="nil"/>
            </w:tcBorders>
            <w:vAlign w:val="top"/>
          </w:tcPr>
          <w:p w14:paraId="3AAE3F42">
            <w:pPr>
              <w:rPr>
                <w:rFonts w:ascii="Arial"/>
                <w:sz w:val="21"/>
              </w:rPr>
            </w:pPr>
          </w:p>
        </w:tc>
      </w:tr>
      <w:tr w14:paraId="6761AF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3" w:hRule="atLeast"/>
        </w:trPr>
        <w:tc>
          <w:tcPr>
            <w:tcW w:w="285" w:type="dxa"/>
            <w:vMerge w:val="continue"/>
            <w:tcBorders>
              <w:top w:val="nil"/>
            </w:tcBorders>
            <w:vAlign w:val="top"/>
          </w:tcPr>
          <w:p w14:paraId="27781ED1">
            <w:pPr>
              <w:rPr>
                <w:rFonts w:ascii="Arial"/>
                <w:sz w:val="21"/>
              </w:rPr>
            </w:pPr>
          </w:p>
        </w:tc>
        <w:tc>
          <w:tcPr>
            <w:tcW w:w="567" w:type="dxa"/>
            <w:vMerge w:val="continue"/>
            <w:tcBorders>
              <w:top w:val="nil"/>
            </w:tcBorders>
            <w:vAlign w:val="top"/>
          </w:tcPr>
          <w:p w14:paraId="13C2FAD3">
            <w:pPr>
              <w:rPr>
                <w:rFonts w:ascii="Arial"/>
                <w:sz w:val="21"/>
              </w:rPr>
            </w:pPr>
          </w:p>
        </w:tc>
        <w:tc>
          <w:tcPr>
            <w:tcW w:w="1421" w:type="dxa"/>
            <w:vAlign w:val="top"/>
          </w:tcPr>
          <w:p w14:paraId="4F0600D9">
            <w:pPr>
              <w:pStyle w:val="6"/>
              <w:spacing w:before="50" w:line="251" w:lineRule="auto"/>
              <w:ind w:left="399" w:right="83" w:hanging="316"/>
              <w:rPr>
                <w:sz w:val="20"/>
                <w:szCs w:val="20"/>
              </w:rPr>
            </w:pPr>
            <w:r>
              <w:rPr>
                <w:spacing w:val="7"/>
                <w:sz w:val="20"/>
                <w:szCs w:val="20"/>
              </w:rPr>
              <w:t>《地下水质量</w:t>
            </w:r>
            <w:r>
              <w:rPr>
                <w:spacing w:val="1"/>
                <w:sz w:val="20"/>
                <w:szCs w:val="20"/>
              </w:rPr>
              <w:t xml:space="preserve"> 标准》</w:t>
            </w:r>
          </w:p>
          <w:p w14:paraId="0920C710">
            <w:pPr>
              <w:pStyle w:val="6"/>
              <w:spacing w:line="265" w:lineRule="exact"/>
              <w:ind w:left="26"/>
              <w:rPr>
                <w:rFonts w:ascii="Times New Roman" w:hAnsi="Times New Roman" w:eastAsia="Times New Roman" w:cs="Times New Roman"/>
                <w:sz w:val="20"/>
                <w:szCs w:val="20"/>
              </w:rPr>
            </w:pPr>
            <w:r>
              <w:rPr>
                <w:spacing w:val="4"/>
                <w:position w:val="1"/>
                <w:sz w:val="20"/>
                <w:szCs w:val="20"/>
              </w:rPr>
              <w:t>（</w:t>
            </w:r>
            <w:r>
              <w:rPr>
                <w:rFonts w:ascii="Times New Roman" w:hAnsi="Times New Roman" w:eastAsia="Times New Roman" w:cs="Times New Roman"/>
                <w:position w:val="1"/>
                <w:sz w:val="20"/>
                <w:szCs w:val="20"/>
              </w:rPr>
              <w:t>GB</w:t>
            </w:r>
            <w:r>
              <w:rPr>
                <w:rFonts w:ascii="Times New Roman" w:hAnsi="Times New Roman" w:eastAsia="Times New Roman" w:cs="Times New Roman"/>
                <w:spacing w:val="4"/>
                <w:position w:val="1"/>
                <w:sz w:val="20"/>
                <w:szCs w:val="20"/>
              </w:rPr>
              <w:t>/T14848-2</w:t>
            </w:r>
          </w:p>
          <w:p w14:paraId="26F2D2CC">
            <w:pPr>
              <w:pStyle w:val="6"/>
              <w:spacing w:before="8" w:line="226" w:lineRule="auto"/>
              <w:ind w:left="444"/>
              <w:rPr>
                <w:sz w:val="20"/>
                <w:szCs w:val="20"/>
              </w:rPr>
            </w:pPr>
            <w:r>
              <w:rPr>
                <w:rFonts w:ascii="Times New Roman" w:hAnsi="Times New Roman" w:eastAsia="Times New Roman" w:cs="Times New Roman"/>
                <w:spacing w:val="2"/>
                <w:sz w:val="20"/>
                <w:szCs w:val="20"/>
              </w:rPr>
              <w:t>017</w:t>
            </w:r>
            <w:r>
              <w:rPr>
                <w:spacing w:val="2"/>
                <w:sz w:val="20"/>
                <w:szCs w:val="20"/>
              </w:rPr>
              <w:t>）</w:t>
            </w:r>
          </w:p>
        </w:tc>
        <w:tc>
          <w:tcPr>
            <w:tcW w:w="568" w:type="dxa"/>
            <w:vAlign w:val="top"/>
          </w:tcPr>
          <w:p w14:paraId="60FD62C9">
            <w:pPr>
              <w:spacing w:line="390" w:lineRule="auto"/>
              <w:rPr>
                <w:rFonts w:ascii="Arial"/>
                <w:sz w:val="21"/>
              </w:rPr>
            </w:pPr>
          </w:p>
          <w:p w14:paraId="4FE57B9A">
            <w:pPr>
              <w:pStyle w:val="6"/>
              <w:spacing w:before="65" w:line="233" w:lineRule="auto"/>
              <w:ind w:left="75"/>
              <w:rPr>
                <w:sz w:val="20"/>
                <w:szCs w:val="20"/>
              </w:rPr>
            </w:pPr>
            <w:r>
              <w:rPr>
                <w:rFonts w:ascii="Times New Roman" w:hAnsi="Times New Roman" w:eastAsia="Times New Roman" w:cs="Times New Roman"/>
                <w:spacing w:val="5"/>
                <w:sz w:val="20"/>
                <w:szCs w:val="20"/>
              </w:rPr>
              <w:t>Ⅲ</w:t>
            </w:r>
            <w:r>
              <w:rPr>
                <w:spacing w:val="5"/>
                <w:sz w:val="20"/>
                <w:szCs w:val="20"/>
              </w:rPr>
              <w:t>类</w:t>
            </w:r>
          </w:p>
        </w:tc>
        <w:tc>
          <w:tcPr>
            <w:tcW w:w="994" w:type="dxa"/>
            <w:vAlign w:val="top"/>
          </w:tcPr>
          <w:p w14:paraId="57DA9AB0">
            <w:pPr>
              <w:spacing w:line="433" w:lineRule="auto"/>
              <w:rPr>
                <w:rFonts w:ascii="Arial"/>
                <w:sz w:val="21"/>
              </w:rPr>
            </w:pPr>
          </w:p>
          <w:p w14:paraId="1B5BB6AC">
            <w:pPr>
              <w:spacing w:before="57" w:line="195" w:lineRule="auto"/>
              <w:ind w:left="30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1000</w:t>
            </w:r>
          </w:p>
        </w:tc>
        <w:tc>
          <w:tcPr>
            <w:tcW w:w="710" w:type="dxa"/>
            <w:vAlign w:val="top"/>
          </w:tcPr>
          <w:p w14:paraId="7C21C85B">
            <w:pPr>
              <w:spacing w:line="433" w:lineRule="auto"/>
              <w:rPr>
                <w:rFonts w:ascii="Arial"/>
                <w:sz w:val="21"/>
              </w:rPr>
            </w:pPr>
          </w:p>
          <w:p w14:paraId="0B8B20BA">
            <w:pPr>
              <w:spacing w:before="57" w:line="195" w:lineRule="auto"/>
              <w:ind w:left="30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711" w:type="dxa"/>
            <w:vAlign w:val="top"/>
          </w:tcPr>
          <w:p w14:paraId="5DD4A819">
            <w:pPr>
              <w:spacing w:line="433" w:lineRule="auto"/>
              <w:rPr>
                <w:rFonts w:ascii="Arial"/>
                <w:sz w:val="21"/>
              </w:rPr>
            </w:pPr>
          </w:p>
          <w:p w14:paraId="32606C6A">
            <w:pPr>
              <w:spacing w:before="57" w:line="195" w:lineRule="auto"/>
              <w:ind w:left="30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895" w:type="dxa"/>
            <w:vAlign w:val="top"/>
          </w:tcPr>
          <w:p w14:paraId="1C1CAA32">
            <w:pPr>
              <w:spacing w:line="433" w:lineRule="auto"/>
              <w:rPr>
                <w:rFonts w:ascii="Arial"/>
                <w:sz w:val="21"/>
              </w:rPr>
            </w:pPr>
          </w:p>
          <w:p w14:paraId="6DC8609F">
            <w:pPr>
              <w:spacing w:before="57" w:line="195"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w:t>
            </w:r>
          </w:p>
        </w:tc>
        <w:tc>
          <w:tcPr>
            <w:tcW w:w="809" w:type="dxa"/>
            <w:vAlign w:val="top"/>
          </w:tcPr>
          <w:p w14:paraId="76C8CC10">
            <w:pPr>
              <w:spacing w:line="433" w:lineRule="auto"/>
              <w:rPr>
                <w:rFonts w:ascii="Arial"/>
                <w:sz w:val="21"/>
              </w:rPr>
            </w:pPr>
          </w:p>
          <w:p w14:paraId="2AB7E533">
            <w:pPr>
              <w:spacing w:before="57"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842" w:type="dxa"/>
            <w:vAlign w:val="top"/>
          </w:tcPr>
          <w:p w14:paraId="034A613B">
            <w:pPr>
              <w:spacing w:line="433" w:lineRule="auto"/>
              <w:rPr>
                <w:rFonts w:ascii="Arial"/>
                <w:sz w:val="21"/>
              </w:rPr>
            </w:pPr>
          </w:p>
          <w:p w14:paraId="11E4FF74">
            <w:pPr>
              <w:spacing w:before="57" w:line="195" w:lineRule="auto"/>
              <w:ind w:left="29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905" w:type="dxa"/>
            <w:vAlign w:val="top"/>
          </w:tcPr>
          <w:p w14:paraId="0023102C">
            <w:pPr>
              <w:spacing w:line="433" w:lineRule="auto"/>
              <w:rPr>
                <w:rFonts w:ascii="Arial"/>
                <w:sz w:val="21"/>
              </w:rPr>
            </w:pPr>
          </w:p>
          <w:p w14:paraId="103708B4">
            <w:pPr>
              <w:spacing w:before="57" w:line="195"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w:t>
            </w:r>
          </w:p>
        </w:tc>
        <w:tc>
          <w:tcPr>
            <w:tcW w:w="904" w:type="dxa"/>
            <w:vAlign w:val="top"/>
          </w:tcPr>
          <w:p w14:paraId="02154D3C">
            <w:pPr>
              <w:spacing w:line="433" w:lineRule="auto"/>
              <w:rPr>
                <w:rFonts w:ascii="Arial"/>
                <w:sz w:val="21"/>
              </w:rPr>
            </w:pPr>
          </w:p>
          <w:p w14:paraId="45900BDE">
            <w:pPr>
              <w:spacing w:before="57" w:line="195" w:lineRule="auto"/>
              <w:ind w:left="2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c>
          <w:tcPr>
            <w:tcW w:w="928" w:type="dxa"/>
            <w:vAlign w:val="top"/>
          </w:tcPr>
          <w:p w14:paraId="4DA09D61">
            <w:pPr>
              <w:spacing w:line="433" w:lineRule="auto"/>
              <w:rPr>
                <w:rFonts w:ascii="Arial"/>
                <w:sz w:val="21"/>
              </w:rPr>
            </w:pPr>
          </w:p>
          <w:p w14:paraId="44D8D313">
            <w:pPr>
              <w:spacing w:before="57"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1029" w:type="dxa"/>
            <w:vAlign w:val="top"/>
          </w:tcPr>
          <w:p w14:paraId="54E8DB52">
            <w:pPr>
              <w:spacing w:line="433" w:lineRule="auto"/>
              <w:rPr>
                <w:rFonts w:ascii="Arial"/>
                <w:sz w:val="21"/>
              </w:rPr>
            </w:pPr>
          </w:p>
          <w:p w14:paraId="602712FE">
            <w:pPr>
              <w:spacing w:before="57" w:line="195" w:lineRule="auto"/>
              <w:ind w:left="3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c>
          <w:tcPr>
            <w:tcW w:w="2420" w:type="dxa"/>
            <w:vMerge w:val="continue"/>
            <w:tcBorders>
              <w:top w:val="nil"/>
            </w:tcBorders>
            <w:vAlign w:val="top"/>
          </w:tcPr>
          <w:p w14:paraId="38F9A1EE">
            <w:pPr>
              <w:rPr>
                <w:rFonts w:ascii="Arial"/>
                <w:sz w:val="21"/>
              </w:rPr>
            </w:pPr>
          </w:p>
        </w:tc>
      </w:tr>
      <w:tr w14:paraId="30F886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285" w:type="dxa"/>
            <w:vMerge w:val="restart"/>
            <w:tcBorders>
              <w:bottom w:val="nil"/>
            </w:tcBorders>
            <w:textDirection w:val="tbRlV"/>
            <w:vAlign w:val="top"/>
          </w:tcPr>
          <w:p w14:paraId="73B58DFD">
            <w:pPr>
              <w:pStyle w:val="6"/>
              <w:spacing w:before="34" w:line="209" w:lineRule="auto"/>
              <w:ind w:left="210"/>
              <w:rPr>
                <w:sz w:val="20"/>
                <w:szCs w:val="20"/>
              </w:rPr>
            </w:pPr>
            <w:r>
              <w:rPr>
                <w:spacing w:val="13"/>
                <w:sz w:val="20"/>
                <w:szCs w:val="20"/>
              </w:rPr>
              <w:t>序</w:t>
            </w:r>
            <w:r>
              <w:rPr>
                <w:spacing w:val="-42"/>
                <w:sz w:val="20"/>
                <w:szCs w:val="20"/>
              </w:rPr>
              <w:t xml:space="preserve"> </w:t>
            </w:r>
            <w:r>
              <w:rPr>
                <w:spacing w:val="13"/>
                <w:sz w:val="20"/>
                <w:szCs w:val="20"/>
              </w:rPr>
              <w:t>号</w:t>
            </w:r>
          </w:p>
        </w:tc>
        <w:tc>
          <w:tcPr>
            <w:tcW w:w="567" w:type="dxa"/>
            <w:vMerge w:val="restart"/>
            <w:tcBorders>
              <w:bottom w:val="nil"/>
            </w:tcBorders>
            <w:vAlign w:val="top"/>
          </w:tcPr>
          <w:p w14:paraId="289EABCE">
            <w:pPr>
              <w:pStyle w:val="6"/>
              <w:spacing w:before="209" w:line="232" w:lineRule="auto"/>
              <w:ind w:left="83"/>
              <w:rPr>
                <w:sz w:val="20"/>
                <w:szCs w:val="20"/>
              </w:rPr>
            </w:pPr>
            <w:r>
              <w:rPr>
                <w:spacing w:val="-1"/>
                <w:sz w:val="20"/>
                <w:szCs w:val="20"/>
              </w:rPr>
              <w:t>监测</w:t>
            </w:r>
          </w:p>
          <w:p w14:paraId="2B0E50AE">
            <w:pPr>
              <w:pStyle w:val="6"/>
              <w:spacing w:before="19" w:line="232" w:lineRule="auto"/>
              <w:ind w:left="92"/>
              <w:rPr>
                <w:sz w:val="20"/>
                <w:szCs w:val="20"/>
              </w:rPr>
            </w:pPr>
            <w:r>
              <w:rPr>
                <w:spacing w:val="-6"/>
                <w:sz w:val="20"/>
                <w:szCs w:val="20"/>
              </w:rPr>
              <w:t>时间</w:t>
            </w:r>
          </w:p>
        </w:tc>
        <w:tc>
          <w:tcPr>
            <w:tcW w:w="1421" w:type="dxa"/>
            <w:vMerge w:val="restart"/>
            <w:tcBorders>
              <w:bottom w:val="nil"/>
            </w:tcBorders>
            <w:vAlign w:val="top"/>
          </w:tcPr>
          <w:p w14:paraId="4F2AFA33">
            <w:pPr>
              <w:spacing w:line="277" w:lineRule="auto"/>
              <w:rPr>
                <w:rFonts w:ascii="Arial"/>
                <w:sz w:val="21"/>
              </w:rPr>
            </w:pPr>
          </w:p>
          <w:p w14:paraId="73CFDBD7">
            <w:pPr>
              <w:pStyle w:val="6"/>
              <w:spacing w:before="65" w:line="232" w:lineRule="auto"/>
              <w:ind w:left="406"/>
              <w:rPr>
                <w:sz w:val="20"/>
                <w:szCs w:val="20"/>
              </w:rPr>
            </w:pPr>
            <w:r>
              <w:rPr>
                <w:spacing w:val="3"/>
                <w:sz w:val="20"/>
                <w:szCs w:val="20"/>
              </w:rPr>
              <w:t>监测点</w:t>
            </w:r>
          </w:p>
        </w:tc>
        <w:tc>
          <w:tcPr>
            <w:tcW w:w="568" w:type="dxa"/>
            <w:vMerge w:val="restart"/>
            <w:tcBorders>
              <w:bottom w:val="nil"/>
            </w:tcBorders>
            <w:vAlign w:val="top"/>
          </w:tcPr>
          <w:p w14:paraId="06F18A79">
            <w:pPr>
              <w:pStyle w:val="6"/>
              <w:spacing w:before="209" w:line="232" w:lineRule="auto"/>
              <w:ind w:left="78"/>
              <w:rPr>
                <w:sz w:val="20"/>
                <w:szCs w:val="20"/>
              </w:rPr>
            </w:pPr>
            <w:r>
              <w:rPr>
                <w:spacing w:val="2"/>
                <w:sz w:val="20"/>
                <w:szCs w:val="20"/>
              </w:rPr>
              <w:t>水质</w:t>
            </w:r>
          </w:p>
          <w:p w14:paraId="750394D3">
            <w:pPr>
              <w:pStyle w:val="6"/>
              <w:spacing w:before="20" w:line="231" w:lineRule="auto"/>
              <w:ind w:left="78"/>
              <w:rPr>
                <w:sz w:val="20"/>
                <w:szCs w:val="20"/>
              </w:rPr>
            </w:pPr>
            <w:r>
              <w:rPr>
                <w:spacing w:val="2"/>
                <w:sz w:val="20"/>
                <w:szCs w:val="20"/>
              </w:rPr>
              <w:t>标准</w:t>
            </w:r>
          </w:p>
        </w:tc>
        <w:tc>
          <w:tcPr>
            <w:tcW w:w="8727" w:type="dxa"/>
            <w:gridSpan w:val="10"/>
            <w:vAlign w:val="top"/>
          </w:tcPr>
          <w:p w14:paraId="0B43CFBB">
            <w:pPr>
              <w:pStyle w:val="6"/>
              <w:spacing w:before="52" w:line="226" w:lineRule="auto"/>
              <w:ind w:left="3956"/>
              <w:rPr>
                <w:sz w:val="20"/>
                <w:szCs w:val="20"/>
              </w:rPr>
            </w:pPr>
            <w:r>
              <w:rPr>
                <w:spacing w:val="4"/>
                <w:sz w:val="20"/>
                <w:szCs w:val="20"/>
              </w:rPr>
              <w:t>监测因子</w:t>
            </w:r>
          </w:p>
        </w:tc>
        <w:tc>
          <w:tcPr>
            <w:tcW w:w="2420" w:type="dxa"/>
            <w:vMerge w:val="restart"/>
            <w:tcBorders>
              <w:bottom w:val="nil"/>
            </w:tcBorders>
            <w:vAlign w:val="top"/>
          </w:tcPr>
          <w:p w14:paraId="02421DE3">
            <w:pPr>
              <w:pStyle w:val="6"/>
              <w:spacing w:before="210" w:line="230" w:lineRule="auto"/>
              <w:ind w:left="64"/>
              <w:rPr>
                <w:sz w:val="20"/>
                <w:szCs w:val="20"/>
              </w:rPr>
            </w:pPr>
            <w:r>
              <w:rPr>
                <w:spacing w:val="8"/>
                <w:sz w:val="20"/>
                <w:szCs w:val="20"/>
              </w:rPr>
              <w:t>数据来源（建设项目环境</w:t>
            </w:r>
          </w:p>
          <w:p w14:paraId="764A1A29">
            <w:pPr>
              <w:pStyle w:val="6"/>
              <w:spacing w:before="21" w:line="231" w:lineRule="auto"/>
              <w:ind w:left="592"/>
              <w:rPr>
                <w:sz w:val="20"/>
                <w:szCs w:val="20"/>
              </w:rPr>
            </w:pPr>
            <w:r>
              <w:rPr>
                <w:spacing w:val="5"/>
                <w:sz w:val="20"/>
                <w:szCs w:val="20"/>
              </w:rPr>
              <w:t>影响报告等）</w:t>
            </w:r>
          </w:p>
        </w:tc>
      </w:tr>
      <w:tr w14:paraId="1E0A77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285" w:type="dxa"/>
            <w:vMerge w:val="continue"/>
            <w:tcBorders>
              <w:top w:val="nil"/>
            </w:tcBorders>
            <w:textDirection w:val="tbRlV"/>
            <w:vAlign w:val="top"/>
          </w:tcPr>
          <w:p w14:paraId="25FDEA9B">
            <w:pPr>
              <w:rPr>
                <w:rFonts w:ascii="Arial"/>
                <w:sz w:val="21"/>
              </w:rPr>
            </w:pPr>
          </w:p>
        </w:tc>
        <w:tc>
          <w:tcPr>
            <w:tcW w:w="567" w:type="dxa"/>
            <w:vMerge w:val="continue"/>
            <w:tcBorders>
              <w:top w:val="nil"/>
            </w:tcBorders>
            <w:vAlign w:val="top"/>
          </w:tcPr>
          <w:p w14:paraId="27801537">
            <w:pPr>
              <w:rPr>
                <w:rFonts w:ascii="Arial"/>
                <w:sz w:val="21"/>
              </w:rPr>
            </w:pPr>
          </w:p>
        </w:tc>
        <w:tc>
          <w:tcPr>
            <w:tcW w:w="1421" w:type="dxa"/>
            <w:vMerge w:val="continue"/>
            <w:tcBorders>
              <w:top w:val="nil"/>
            </w:tcBorders>
            <w:vAlign w:val="top"/>
          </w:tcPr>
          <w:p w14:paraId="66387D6E">
            <w:pPr>
              <w:rPr>
                <w:rFonts w:ascii="Arial"/>
                <w:sz w:val="21"/>
              </w:rPr>
            </w:pPr>
          </w:p>
        </w:tc>
        <w:tc>
          <w:tcPr>
            <w:tcW w:w="568" w:type="dxa"/>
            <w:vMerge w:val="continue"/>
            <w:tcBorders>
              <w:top w:val="nil"/>
            </w:tcBorders>
            <w:vAlign w:val="top"/>
          </w:tcPr>
          <w:p w14:paraId="7A6CB921">
            <w:pPr>
              <w:rPr>
                <w:rFonts w:ascii="Arial"/>
                <w:sz w:val="21"/>
              </w:rPr>
            </w:pPr>
          </w:p>
        </w:tc>
        <w:tc>
          <w:tcPr>
            <w:tcW w:w="994" w:type="dxa"/>
            <w:vAlign w:val="top"/>
          </w:tcPr>
          <w:p w14:paraId="24679968">
            <w:pPr>
              <w:spacing w:before="227" w:line="194" w:lineRule="auto"/>
              <w:ind w:left="36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710" w:type="dxa"/>
            <w:vAlign w:val="top"/>
          </w:tcPr>
          <w:p w14:paraId="08F24854">
            <w:pPr>
              <w:pStyle w:val="6"/>
              <w:spacing w:before="188" w:line="232" w:lineRule="auto"/>
              <w:ind w:left="158"/>
              <w:rPr>
                <w:sz w:val="20"/>
                <w:szCs w:val="20"/>
              </w:rPr>
            </w:pPr>
            <w:r>
              <w:rPr>
                <w:spacing w:val="-2"/>
                <w:sz w:val="20"/>
                <w:szCs w:val="20"/>
              </w:rPr>
              <w:t>氨氮</w:t>
            </w:r>
          </w:p>
        </w:tc>
        <w:tc>
          <w:tcPr>
            <w:tcW w:w="711" w:type="dxa"/>
            <w:vAlign w:val="top"/>
          </w:tcPr>
          <w:p w14:paraId="50AEA0F0">
            <w:pPr>
              <w:pStyle w:val="6"/>
              <w:spacing w:before="188" w:line="231" w:lineRule="auto"/>
              <w:ind w:left="47"/>
              <w:rPr>
                <w:sz w:val="20"/>
                <w:szCs w:val="20"/>
              </w:rPr>
            </w:pPr>
            <w:r>
              <w:rPr>
                <w:spacing w:val="4"/>
                <w:sz w:val="20"/>
                <w:szCs w:val="20"/>
              </w:rPr>
              <w:t>耗氧量</w:t>
            </w:r>
          </w:p>
        </w:tc>
        <w:tc>
          <w:tcPr>
            <w:tcW w:w="895" w:type="dxa"/>
            <w:vAlign w:val="top"/>
          </w:tcPr>
          <w:p w14:paraId="3B3DD083">
            <w:pPr>
              <w:pStyle w:val="6"/>
              <w:spacing w:before="51" w:line="229" w:lineRule="auto"/>
              <w:ind w:left="35"/>
              <w:rPr>
                <w:sz w:val="20"/>
                <w:szCs w:val="20"/>
              </w:rPr>
            </w:pPr>
            <w:r>
              <w:rPr>
                <w:spacing w:val="5"/>
                <w:sz w:val="20"/>
                <w:szCs w:val="20"/>
              </w:rPr>
              <w:t>挥发性酚</w:t>
            </w:r>
          </w:p>
          <w:p w14:paraId="7ED36369">
            <w:pPr>
              <w:pStyle w:val="6"/>
              <w:spacing w:before="25" w:line="225" w:lineRule="auto"/>
              <w:ind w:left="350"/>
              <w:rPr>
                <w:sz w:val="20"/>
                <w:szCs w:val="20"/>
              </w:rPr>
            </w:pPr>
            <w:r>
              <w:rPr>
                <w:sz w:val="20"/>
                <w:szCs w:val="20"/>
              </w:rPr>
              <w:t>类</w:t>
            </w:r>
          </w:p>
        </w:tc>
        <w:tc>
          <w:tcPr>
            <w:tcW w:w="809" w:type="dxa"/>
            <w:vAlign w:val="top"/>
          </w:tcPr>
          <w:p w14:paraId="429861F6">
            <w:pPr>
              <w:pStyle w:val="6"/>
              <w:spacing w:before="187" w:line="232" w:lineRule="auto"/>
              <w:ind w:left="105"/>
              <w:rPr>
                <w:sz w:val="20"/>
                <w:szCs w:val="20"/>
              </w:rPr>
            </w:pPr>
            <w:r>
              <w:rPr>
                <w:spacing w:val="2"/>
                <w:sz w:val="20"/>
                <w:szCs w:val="20"/>
              </w:rPr>
              <w:t>总硬度</w:t>
            </w:r>
          </w:p>
        </w:tc>
        <w:tc>
          <w:tcPr>
            <w:tcW w:w="842" w:type="dxa"/>
            <w:vAlign w:val="top"/>
          </w:tcPr>
          <w:p w14:paraId="62686F18">
            <w:pPr>
              <w:pStyle w:val="6"/>
              <w:spacing w:before="51" w:line="239" w:lineRule="auto"/>
              <w:ind w:left="220" w:right="104" w:hanging="106"/>
              <w:rPr>
                <w:sz w:val="20"/>
                <w:szCs w:val="20"/>
              </w:rPr>
            </w:pPr>
            <w:r>
              <w:rPr>
                <w:spacing w:val="4"/>
                <w:sz w:val="20"/>
                <w:szCs w:val="20"/>
              </w:rPr>
              <w:t>挥发性</w:t>
            </w:r>
            <w:r>
              <w:rPr>
                <w:sz w:val="20"/>
                <w:szCs w:val="20"/>
              </w:rPr>
              <w:t xml:space="preserve"> 酚类</w:t>
            </w:r>
          </w:p>
        </w:tc>
        <w:tc>
          <w:tcPr>
            <w:tcW w:w="905" w:type="dxa"/>
            <w:vAlign w:val="top"/>
          </w:tcPr>
          <w:p w14:paraId="31BEF3FA">
            <w:pPr>
              <w:pStyle w:val="6"/>
              <w:spacing w:before="51" w:line="229" w:lineRule="auto"/>
              <w:ind w:left="40"/>
              <w:rPr>
                <w:sz w:val="20"/>
                <w:szCs w:val="20"/>
              </w:rPr>
            </w:pPr>
            <w:r>
              <w:rPr>
                <w:spacing w:val="6"/>
                <w:sz w:val="20"/>
                <w:szCs w:val="20"/>
              </w:rPr>
              <w:t>溶解性总</w:t>
            </w:r>
          </w:p>
          <w:p w14:paraId="64BB25A3">
            <w:pPr>
              <w:pStyle w:val="6"/>
              <w:spacing w:before="25" w:line="225" w:lineRule="auto"/>
              <w:ind w:left="274"/>
              <w:rPr>
                <w:sz w:val="20"/>
                <w:szCs w:val="20"/>
              </w:rPr>
            </w:pPr>
            <w:r>
              <w:rPr>
                <w:spacing w:val="-10"/>
                <w:sz w:val="20"/>
                <w:szCs w:val="20"/>
              </w:rPr>
              <w:t>固体</w:t>
            </w:r>
          </w:p>
        </w:tc>
        <w:tc>
          <w:tcPr>
            <w:tcW w:w="904" w:type="dxa"/>
            <w:vAlign w:val="top"/>
          </w:tcPr>
          <w:p w14:paraId="0B6A6DB5">
            <w:pPr>
              <w:pStyle w:val="6"/>
              <w:spacing w:before="188" w:line="232" w:lineRule="auto"/>
              <w:ind w:left="360"/>
              <w:rPr>
                <w:sz w:val="20"/>
                <w:szCs w:val="20"/>
              </w:rPr>
            </w:pPr>
            <w:r>
              <w:rPr>
                <w:sz w:val="20"/>
                <w:szCs w:val="20"/>
              </w:rPr>
              <w:t>铁</w:t>
            </w:r>
          </w:p>
        </w:tc>
        <w:tc>
          <w:tcPr>
            <w:tcW w:w="928" w:type="dxa"/>
            <w:vAlign w:val="top"/>
          </w:tcPr>
          <w:p w14:paraId="685B3078">
            <w:pPr>
              <w:pStyle w:val="6"/>
              <w:spacing w:before="188" w:line="239" w:lineRule="auto"/>
              <w:ind w:left="370"/>
              <w:rPr>
                <w:sz w:val="20"/>
                <w:szCs w:val="20"/>
              </w:rPr>
            </w:pPr>
            <w:r>
              <w:rPr>
                <w:sz w:val="20"/>
                <w:szCs w:val="20"/>
              </w:rPr>
              <w:t>锰</w:t>
            </w:r>
          </w:p>
        </w:tc>
        <w:tc>
          <w:tcPr>
            <w:tcW w:w="1029" w:type="dxa"/>
            <w:vAlign w:val="top"/>
          </w:tcPr>
          <w:p w14:paraId="662C4020">
            <w:pPr>
              <w:pStyle w:val="6"/>
              <w:spacing w:before="188" w:line="233" w:lineRule="auto"/>
              <w:ind w:left="421"/>
              <w:rPr>
                <w:sz w:val="20"/>
                <w:szCs w:val="20"/>
              </w:rPr>
            </w:pPr>
            <w:r>
              <w:rPr>
                <w:sz w:val="20"/>
                <w:szCs w:val="20"/>
              </w:rPr>
              <w:t>钠</w:t>
            </w:r>
          </w:p>
        </w:tc>
        <w:tc>
          <w:tcPr>
            <w:tcW w:w="2420" w:type="dxa"/>
            <w:vMerge w:val="continue"/>
            <w:tcBorders>
              <w:top w:val="nil"/>
            </w:tcBorders>
            <w:vAlign w:val="top"/>
          </w:tcPr>
          <w:p w14:paraId="3BDFCAD1">
            <w:pPr>
              <w:rPr>
                <w:rFonts w:ascii="Arial"/>
                <w:sz w:val="21"/>
              </w:rPr>
            </w:pPr>
          </w:p>
        </w:tc>
      </w:tr>
      <w:tr w14:paraId="6CA03B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285" w:type="dxa"/>
            <w:vAlign w:val="top"/>
          </w:tcPr>
          <w:p w14:paraId="4F0BDEA5">
            <w:pPr>
              <w:spacing w:line="286" w:lineRule="auto"/>
              <w:rPr>
                <w:rFonts w:ascii="Arial"/>
                <w:sz w:val="21"/>
              </w:rPr>
            </w:pPr>
          </w:p>
          <w:p w14:paraId="3C177E98">
            <w:pPr>
              <w:spacing w:before="58" w:line="195" w:lineRule="auto"/>
              <w:ind w:left="4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p>
        </w:tc>
        <w:tc>
          <w:tcPr>
            <w:tcW w:w="567" w:type="dxa"/>
            <w:vAlign w:val="top"/>
          </w:tcPr>
          <w:p w14:paraId="2CEA5504">
            <w:pPr>
              <w:spacing w:before="223" w:line="195" w:lineRule="auto"/>
              <w:ind w:left="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2023.</w:t>
            </w:r>
          </w:p>
          <w:p w14:paraId="23DDD1D9">
            <w:pPr>
              <w:spacing w:before="55" w:line="195" w:lineRule="auto"/>
              <w:ind w:left="1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1.13</w:t>
            </w:r>
          </w:p>
        </w:tc>
        <w:tc>
          <w:tcPr>
            <w:tcW w:w="1421" w:type="dxa"/>
            <w:vAlign w:val="top"/>
          </w:tcPr>
          <w:p w14:paraId="6FAE2BCE">
            <w:pPr>
              <w:pStyle w:val="6"/>
              <w:spacing w:before="52" w:line="231" w:lineRule="auto"/>
              <w:ind w:left="83"/>
              <w:rPr>
                <w:sz w:val="20"/>
                <w:szCs w:val="20"/>
              </w:rPr>
            </w:pPr>
            <w:r>
              <w:rPr>
                <w:spacing w:val="7"/>
                <w:sz w:val="20"/>
                <w:szCs w:val="20"/>
              </w:rPr>
              <w:t>厂区东侧地下</w:t>
            </w:r>
          </w:p>
          <w:p w14:paraId="52C96A3C">
            <w:pPr>
              <w:pStyle w:val="6"/>
              <w:spacing w:before="20" w:line="232" w:lineRule="auto"/>
              <w:ind w:left="503"/>
              <w:rPr>
                <w:sz w:val="20"/>
                <w:szCs w:val="20"/>
              </w:rPr>
            </w:pPr>
            <w:r>
              <w:rPr>
                <w:spacing w:val="2"/>
                <w:sz w:val="20"/>
                <w:szCs w:val="20"/>
              </w:rPr>
              <w:t>水井</w:t>
            </w:r>
          </w:p>
        </w:tc>
        <w:tc>
          <w:tcPr>
            <w:tcW w:w="568" w:type="dxa"/>
            <w:vAlign w:val="top"/>
          </w:tcPr>
          <w:p w14:paraId="04D50E32">
            <w:pPr>
              <w:rPr>
                <w:rFonts w:ascii="Arial"/>
                <w:sz w:val="21"/>
              </w:rPr>
            </w:pPr>
          </w:p>
          <w:p w14:paraId="3265186F">
            <w:pPr>
              <w:pStyle w:val="6"/>
              <w:spacing w:before="65" w:line="233" w:lineRule="auto"/>
              <w:ind w:left="75"/>
              <w:rPr>
                <w:sz w:val="20"/>
                <w:szCs w:val="20"/>
              </w:rPr>
            </w:pPr>
            <w:r>
              <w:rPr>
                <w:rFonts w:ascii="Times New Roman" w:hAnsi="Times New Roman" w:eastAsia="Times New Roman" w:cs="Times New Roman"/>
                <w:spacing w:val="5"/>
                <w:sz w:val="20"/>
                <w:szCs w:val="20"/>
              </w:rPr>
              <w:t>Ⅲ</w:t>
            </w:r>
            <w:r>
              <w:rPr>
                <w:spacing w:val="5"/>
                <w:sz w:val="20"/>
                <w:szCs w:val="20"/>
              </w:rPr>
              <w:t>类</w:t>
            </w:r>
          </w:p>
        </w:tc>
        <w:tc>
          <w:tcPr>
            <w:tcW w:w="994" w:type="dxa"/>
            <w:vAlign w:val="top"/>
          </w:tcPr>
          <w:p w14:paraId="333038C3">
            <w:pPr>
              <w:spacing w:line="286" w:lineRule="auto"/>
              <w:rPr>
                <w:rFonts w:ascii="Arial"/>
                <w:sz w:val="21"/>
              </w:rPr>
            </w:pPr>
          </w:p>
          <w:p w14:paraId="7B19FF30">
            <w:pPr>
              <w:spacing w:before="58" w:line="195" w:lineRule="auto"/>
              <w:ind w:left="3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7.37</w:t>
            </w:r>
          </w:p>
        </w:tc>
        <w:tc>
          <w:tcPr>
            <w:tcW w:w="710" w:type="dxa"/>
            <w:vAlign w:val="top"/>
          </w:tcPr>
          <w:p w14:paraId="26F23355">
            <w:pPr>
              <w:spacing w:line="286" w:lineRule="auto"/>
              <w:rPr>
                <w:rFonts w:ascii="Arial"/>
                <w:sz w:val="21"/>
              </w:rPr>
            </w:pPr>
          </w:p>
          <w:p w14:paraId="0F7E9738">
            <w:pPr>
              <w:spacing w:before="58" w:line="195" w:lineRule="auto"/>
              <w:ind w:left="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0.025L</w:t>
            </w:r>
          </w:p>
        </w:tc>
        <w:tc>
          <w:tcPr>
            <w:tcW w:w="711" w:type="dxa"/>
            <w:vAlign w:val="top"/>
          </w:tcPr>
          <w:p w14:paraId="54F7A76D">
            <w:pPr>
              <w:spacing w:line="286" w:lineRule="auto"/>
              <w:rPr>
                <w:rFonts w:ascii="Arial"/>
                <w:sz w:val="21"/>
              </w:rPr>
            </w:pPr>
          </w:p>
          <w:p w14:paraId="3E4A414D">
            <w:pPr>
              <w:spacing w:before="58"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0.7</w:t>
            </w:r>
          </w:p>
        </w:tc>
        <w:tc>
          <w:tcPr>
            <w:tcW w:w="895" w:type="dxa"/>
            <w:vAlign w:val="top"/>
          </w:tcPr>
          <w:p w14:paraId="06668AF2">
            <w:pPr>
              <w:spacing w:line="286" w:lineRule="auto"/>
              <w:rPr>
                <w:rFonts w:ascii="Arial"/>
                <w:sz w:val="21"/>
              </w:rPr>
            </w:pPr>
          </w:p>
          <w:p w14:paraId="1E783647">
            <w:pPr>
              <w:spacing w:before="58" w:line="195" w:lineRule="auto"/>
              <w:ind w:left="1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0.003L</w:t>
            </w:r>
          </w:p>
        </w:tc>
        <w:tc>
          <w:tcPr>
            <w:tcW w:w="809" w:type="dxa"/>
            <w:vAlign w:val="top"/>
          </w:tcPr>
          <w:p w14:paraId="7E376ECF">
            <w:pPr>
              <w:spacing w:line="286" w:lineRule="auto"/>
              <w:rPr>
                <w:rFonts w:ascii="Arial"/>
                <w:sz w:val="21"/>
              </w:rPr>
            </w:pPr>
          </w:p>
          <w:p w14:paraId="15EBE588">
            <w:pPr>
              <w:spacing w:before="57" w:line="195" w:lineRule="auto"/>
              <w:ind w:left="302"/>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842" w:type="dxa"/>
            <w:vAlign w:val="top"/>
          </w:tcPr>
          <w:p w14:paraId="4E7A84DD">
            <w:pPr>
              <w:spacing w:line="286" w:lineRule="auto"/>
              <w:rPr>
                <w:rFonts w:ascii="Arial"/>
                <w:sz w:val="21"/>
              </w:rPr>
            </w:pPr>
          </w:p>
          <w:p w14:paraId="2ABCE7F2">
            <w:pPr>
              <w:spacing w:before="58" w:line="195" w:lineRule="auto"/>
              <w:ind w:left="12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0.003L</w:t>
            </w:r>
          </w:p>
        </w:tc>
        <w:tc>
          <w:tcPr>
            <w:tcW w:w="905" w:type="dxa"/>
            <w:vAlign w:val="top"/>
          </w:tcPr>
          <w:p w14:paraId="2B7B21D9">
            <w:pPr>
              <w:spacing w:line="286" w:lineRule="auto"/>
              <w:rPr>
                <w:rFonts w:ascii="Arial"/>
                <w:sz w:val="21"/>
              </w:rPr>
            </w:pPr>
          </w:p>
          <w:p w14:paraId="6B2F8CCC">
            <w:pPr>
              <w:spacing w:before="57" w:line="195" w:lineRule="auto"/>
              <w:ind w:left="353"/>
              <w:rPr>
                <w:rFonts w:ascii="Times New Roman" w:hAnsi="Times New Roman" w:eastAsia="Times New Roman" w:cs="Times New Roman"/>
                <w:sz w:val="20"/>
                <w:szCs w:val="20"/>
              </w:rPr>
            </w:pPr>
            <w:r>
              <w:rPr>
                <w:rFonts w:ascii="Times New Roman" w:hAnsi="Times New Roman" w:eastAsia="Times New Roman" w:cs="Times New Roman"/>
                <w:sz w:val="20"/>
                <w:szCs w:val="20"/>
              </w:rPr>
              <w:t>64</w:t>
            </w:r>
          </w:p>
        </w:tc>
        <w:tc>
          <w:tcPr>
            <w:tcW w:w="904" w:type="dxa"/>
            <w:vAlign w:val="top"/>
          </w:tcPr>
          <w:p w14:paraId="7817D71C">
            <w:pPr>
              <w:spacing w:line="286" w:lineRule="auto"/>
              <w:rPr>
                <w:rFonts w:ascii="Arial"/>
                <w:sz w:val="21"/>
              </w:rPr>
            </w:pPr>
          </w:p>
          <w:p w14:paraId="014658DF">
            <w:pPr>
              <w:spacing w:before="58" w:line="195" w:lineRule="auto"/>
              <w:ind w:left="2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0.03L</w:t>
            </w:r>
          </w:p>
        </w:tc>
        <w:tc>
          <w:tcPr>
            <w:tcW w:w="928" w:type="dxa"/>
            <w:vAlign w:val="top"/>
          </w:tcPr>
          <w:p w14:paraId="2B6D6BF5">
            <w:pPr>
              <w:spacing w:line="286" w:lineRule="auto"/>
              <w:rPr>
                <w:rFonts w:ascii="Arial"/>
                <w:sz w:val="21"/>
              </w:rPr>
            </w:pPr>
          </w:p>
          <w:p w14:paraId="3B2E0BEA">
            <w:pPr>
              <w:spacing w:before="58" w:line="195" w:lineRule="auto"/>
              <w:ind w:left="2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0.01L</w:t>
            </w:r>
          </w:p>
        </w:tc>
        <w:tc>
          <w:tcPr>
            <w:tcW w:w="1029" w:type="dxa"/>
            <w:vAlign w:val="top"/>
          </w:tcPr>
          <w:p w14:paraId="0E136C7A">
            <w:pPr>
              <w:spacing w:line="286" w:lineRule="auto"/>
              <w:rPr>
                <w:rFonts w:ascii="Arial"/>
                <w:sz w:val="21"/>
              </w:rPr>
            </w:pPr>
          </w:p>
          <w:p w14:paraId="79B9A3B0">
            <w:pPr>
              <w:spacing w:before="58" w:line="196" w:lineRule="auto"/>
              <w:ind w:left="3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4,28</w:t>
            </w:r>
          </w:p>
        </w:tc>
        <w:tc>
          <w:tcPr>
            <w:tcW w:w="2420" w:type="dxa"/>
            <w:vAlign w:val="top"/>
          </w:tcPr>
          <w:p w14:paraId="71447AB1">
            <w:pPr>
              <w:pStyle w:val="6"/>
              <w:spacing w:before="172" w:line="251" w:lineRule="auto"/>
              <w:ind w:left="484" w:right="50" w:hanging="418"/>
              <w:rPr>
                <w:sz w:val="20"/>
                <w:szCs w:val="20"/>
              </w:rPr>
            </w:pPr>
            <w:r>
              <w:rPr>
                <w:spacing w:val="8"/>
                <w:sz w:val="20"/>
                <w:szCs w:val="20"/>
              </w:rPr>
              <w:t>鸿园加油加气站建设项目</w:t>
            </w:r>
            <w:r>
              <w:rPr>
                <w:spacing w:val="4"/>
                <w:sz w:val="20"/>
                <w:szCs w:val="20"/>
              </w:rPr>
              <w:t xml:space="preserve"> </w:t>
            </w:r>
            <w:r>
              <w:rPr>
                <w:spacing w:val="7"/>
                <w:sz w:val="20"/>
                <w:szCs w:val="20"/>
              </w:rPr>
              <w:t>环境影响报告表</w:t>
            </w:r>
          </w:p>
        </w:tc>
      </w:tr>
    </w:tbl>
    <w:p w14:paraId="5C546E4D">
      <w:pPr>
        <w:pStyle w:val="2"/>
      </w:pPr>
    </w:p>
    <w:p w14:paraId="11C9E2D4">
      <w:pPr>
        <w:sectPr>
          <w:footerReference r:id="rId115" w:type="default"/>
          <w:pgSz w:w="16839" w:h="11906"/>
          <w:pgMar w:top="1116" w:right="1419" w:bottom="1480" w:left="1419" w:header="683" w:footer="1318" w:gutter="0"/>
          <w:cols w:space="720" w:num="1"/>
        </w:sectPr>
      </w:pPr>
    </w:p>
    <w:p w14:paraId="798D2779">
      <w:pPr>
        <w:spacing w:before="229"/>
      </w:pPr>
    </w:p>
    <w:tbl>
      <w:tblPr>
        <w:tblStyle w:val="5"/>
        <w:tblW w:w="1398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5"/>
        <w:gridCol w:w="567"/>
        <w:gridCol w:w="1421"/>
        <w:gridCol w:w="568"/>
        <w:gridCol w:w="994"/>
        <w:gridCol w:w="710"/>
        <w:gridCol w:w="711"/>
        <w:gridCol w:w="895"/>
        <w:gridCol w:w="809"/>
        <w:gridCol w:w="842"/>
        <w:gridCol w:w="905"/>
        <w:gridCol w:w="904"/>
        <w:gridCol w:w="928"/>
        <w:gridCol w:w="1029"/>
        <w:gridCol w:w="2420"/>
      </w:tblGrid>
      <w:tr w14:paraId="0AA088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8" w:hRule="atLeast"/>
        </w:trPr>
        <w:tc>
          <w:tcPr>
            <w:tcW w:w="285" w:type="dxa"/>
            <w:vMerge w:val="restart"/>
            <w:tcBorders>
              <w:bottom w:val="nil"/>
            </w:tcBorders>
            <w:vAlign w:val="top"/>
          </w:tcPr>
          <w:p w14:paraId="78E51451">
            <w:pPr>
              <w:rPr>
                <w:rFonts w:ascii="Arial"/>
                <w:sz w:val="21"/>
              </w:rPr>
            </w:pPr>
          </w:p>
        </w:tc>
        <w:tc>
          <w:tcPr>
            <w:tcW w:w="567" w:type="dxa"/>
            <w:vMerge w:val="restart"/>
            <w:tcBorders>
              <w:bottom w:val="nil"/>
            </w:tcBorders>
            <w:vAlign w:val="top"/>
          </w:tcPr>
          <w:p w14:paraId="5222F023">
            <w:pPr>
              <w:rPr>
                <w:rFonts w:ascii="Arial"/>
                <w:sz w:val="21"/>
              </w:rPr>
            </w:pPr>
          </w:p>
        </w:tc>
        <w:tc>
          <w:tcPr>
            <w:tcW w:w="1421" w:type="dxa"/>
            <w:vAlign w:val="top"/>
          </w:tcPr>
          <w:p w14:paraId="76F6EF8F">
            <w:pPr>
              <w:pStyle w:val="6"/>
              <w:spacing w:before="51" w:line="251" w:lineRule="auto"/>
              <w:ind w:left="399" w:right="83" w:hanging="316"/>
              <w:rPr>
                <w:sz w:val="20"/>
                <w:szCs w:val="20"/>
              </w:rPr>
            </w:pPr>
            <w:r>
              <w:rPr>
                <w:spacing w:val="7"/>
                <w:sz w:val="20"/>
                <w:szCs w:val="20"/>
              </w:rPr>
              <w:t>《地下水质量</w:t>
            </w:r>
            <w:r>
              <w:rPr>
                <w:spacing w:val="1"/>
                <w:sz w:val="20"/>
                <w:szCs w:val="20"/>
              </w:rPr>
              <w:t xml:space="preserve"> 标准》</w:t>
            </w:r>
          </w:p>
          <w:p w14:paraId="1B698DEE">
            <w:pPr>
              <w:pStyle w:val="6"/>
              <w:spacing w:line="265" w:lineRule="exact"/>
              <w:ind w:left="26"/>
              <w:rPr>
                <w:rFonts w:ascii="Times New Roman" w:hAnsi="Times New Roman" w:eastAsia="Times New Roman" w:cs="Times New Roman"/>
                <w:sz w:val="20"/>
                <w:szCs w:val="20"/>
              </w:rPr>
            </w:pPr>
            <w:r>
              <w:rPr>
                <w:spacing w:val="4"/>
                <w:position w:val="1"/>
                <w:sz w:val="20"/>
                <w:szCs w:val="20"/>
              </w:rPr>
              <w:t>（</w:t>
            </w:r>
            <w:r>
              <w:rPr>
                <w:rFonts w:ascii="Times New Roman" w:hAnsi="Times New Roman" w:eastAsia="Times New Roman" w:cs="Times New Roman"/>
                <w:position w:val="1"/>
                <w:sz w:val="20"/>
                <w:szCs w:val="20"/>
              </w:rPr>
              <w:t>GB</w:t>
            </w:r>
            <w:r>
              <w:rPr>
                <w:rFonts w:ascii="Times New Roman" w:hAnsi="Times New Roman" w:eastAsia="Times New Roman" w:cs="Times New Roman"/>
                <w:spacing w:val="4"/>
                <w:position w:val="1"/>
                <w:sz w:val="20"/>
                <w:szCs w:val="20"/>
              </w:rPr>
              <w:t>/T14848-2</w:t>
            </w:r>
          </w:p>
          <w:p w14:paraId="25E8D8DC">
            <w:pPr>
              <w:pStyle w:val="6"/>
              <w:spacing w:before="7" w:line="230" w:lineRule="auto"/>
              <w:ind w:left="444"/>
              <w:rPr>
                <w:sz w:val="20"/>
                <w:szCs w:val="20"/>
              </w:rPr>
            </w:pPr>
            <w:r>
              <w:rPr>
                <w:rFonts w:ascii="Times New Roman" w:hAnsi="Times New Roman" w:eastAsia="Times New Roman" w:cs="Times New Roman"/>
                <w:spacing w:val="2"/>
                <w:sz w:val="20"/>
                <w:szCs w:val="20"/>
              </w:rPr>
              <w:t>017</w:t>
            </w:r>
            <w:r>
              <w:rPr>
                <w:spacing w:val="2"/>
                <w:sz w:val="20"/>
                <w:szCs w:val="20"/>
              </w:rPr>
              <w:t>）</w:t>
            </w:r>
          </w:p>
        </w:tc>
        <w:tc>
          <w:tcPr>
            <w:tcW w:w="568" w:type="dxa"/>
            <w:vAlign w:val="top"/>
          </w:tcPr>
          <w:p w14:paraId="1BE12ADC">
            <w:pPr>
              <w:spacing w:line="391" w:lineRule="auto"/>
              <w:rPr>
                <w:rFonts w:ascii="Arial"/>
                <w:sz w:val="21"/>
              </w:rPr>
            </w:pPr>
          </w:p>
          <w:p w14:paraId="42D5DF98">
            <w:pPr>
              <w:pStyle w:val="6"/>
              <w:spacing w:before="65" w:line="233" w:lineRule="auto"/>
              <w:ind w:left="75"/>
              <w:rPr>
                <w:sz w:val="20"/>
                <w:szCs w:val="20"/>
              </w:rPr>
            </w:pPr>
            <w:r>
              <w:rPr>
                <w:rFonts w:ascii="Times New Roman" w:hAnsi="Times New Roman" w:eastAsia="Times New Roman" w:cs="Times New Roman"/>
                <w:spacing w:val="5"/>
                <w:sz w:val="20"/>
                <w:szCs w:val="20"/>
              </w:rPr>
              <w:t>Ⅲ</w:t>
            </w:r>
            <w:r>
              <w:rPr>
                <w:spacing w:val="5"/>
                <w:sz w:val="20"/>
                <w:szCs w:val="20"/>
              </w:rPr>
              <w:t>类</w:t>
            </w:r>
          </w:p>
        </w:tc>
        <w:tc>
          <w:tcPr>
            <w:tcW w:w="994" w:type="dxa"/>
            <w:vAlign w:val="top"/>
          </w:tcPr>
          <w:p w14:paraId="474EE525">
            <w:pPr>
              <w:spacing w:line="391" w:lineRule="auto"/>
              <w:rPr>
                <w:rFonts w:ascii="Arial"/>
                <w:sz w:val="21"/>
              </w:rPr>
            </w:pPr>
          </w:p>
          <w:p w14:paraId="5B878872">
            <w:pPr>
              <w:pStyle w:val="6"/>
              <w:spacing w:before="65" w:line="269" w:lineRule="exact"/>
              <w:ind w:left="130"/>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6.5</w:t>
            </w:r>
            <w:r>
              <w:rPr>
                <w:spacing w:val="3"/>
                <w:position w:val="1"/>
                <w:sz w:val="20"/>
                <w:szCs w:val="20"/>
              </w:rPr>
              <w:t>～</w:t>
            </w:r>
            <w:r>
              <w:rPr>
                <w:rFonts w:ascii="Times New Roman" w:hAnsi="Times New Roman" w:eastAsia="Times New Roman" w:cs="Times New Roman"/>
                <w:spacing w:val="3"/>
                <w:position w:val="1"/>
                <w:sz w:val="20"/>
                <w:szCs w:val="20"/>
              </w:rPr>
              <w:t>8.5</w:t>
            </w:r>
          </w:p>
        </w:tc>
        <w:tc>
          <w:tcPr>
            <w:tcW w:w="710" w:type="dxa"/>
            <w:vAlign w:val="top"/>
          </w:tcPr>
          <w:p w14:paraId="715E5975">
            <w:pPr>
              <w:spacing w:line="434" w:lineRule="auto"/>
              <w:rPr>
                <w:rFonts w:ascii="Arial"/>
                <w:sz w:val="21"/>
              </w:rPr>
            </w:pPr>
          </w:p>
          <w:p w14:paraId="7FC8DF51">
            <w:pPr>
              <w:spacing w:before="58" w:line="195" w:lineRule="auto"/>
              <w:ind w:left="1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0.50</w:t>
            </w:r>
          </w:p>
        </w:tc>
        <w:tc>
          <w:tcPr>
            <w:tcW w:w="711" w:type="dxa"/>
            <w:vAlign w:val="top"/>
          </w:tcPr>
          <w:p w14:paraId="7C63049C">
            <w:pPr>
              <w:spacing w:line="434" w:lineRule="auto"/>
              <w:rPr>
                <w:rFonts w:ascii="Arial"/>
                <w:sz w:val="21"/>
              </w:rPr>
            </w:pPr>
          </w:p>
          <w:p w14:paraId="79A3ABDB">
            <w:pPr>
              <w:spacing w:before="58" w:line="195" w:lineRule="auto"/>
              <w:ind w:left="22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3.0</w:t>
            </w:r>
          </w:p>
        </w:tc>
        <w:tc>
          <w:tcPr>
            <w:tcW w:w="895" w:type="dxa"/>
            <w:vAlign w:val="top"/>
          </w:tcPr>
          <w:p w14:paraId="2AFEF622">
            <w:pPr>
              <w:spacing w:line="434" w:lineRule="auto"/>
              <w:rPr>
                <w:rFonts w:ascii="Arial"/>
                <w:sz w:val="21"/>
              </w:rPr>
            </w:pPr>
          </w:p>
          <w:p w14:paraId="247EE64A">
            <w:pPr>
              <w:spacing w:before="58" w:line="195" w:lineRule="auto"/>
              <w:ind w:left="2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809" w:type="dxa"/>
            <w:vAlign w:val="top"/>
          </w:tcPr>
          <w:p w14:paraId="74F0C8AE">
            <w:pPr>
              <w:spacing w:line="434" w:lineRule="auto"/>
              <w:rPr>
                <w:rFonts w:ascii="Arial"/>
                <w:sz w:val="21"/>
              </w:rPr>
            </w:pPr>
          </w:p>
          <w:p w14:paraId="05F6D9B3">
            <w:pPr>
              <w:spacing w:before="58" w:line="195" w:lineRule="auto"/>
              <w:ind w:left="24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450</w:t>
            </w:r>
          </w:p>
        </w:tc>
        <w:tc>
          <w:tcPr>
            <w:tcW w:w="842" w:type="dxa"/>
            <w:vAlign w:val="top"/>
          </w:tcPr>
          <w:p w14:paraId="30F73A25">
            <w:pPr>
              <w:spacing w:line="434" w:lineRule="auto"/>
              <w:rPr>
                <w:rFonts w:ascii="Arial"/>
                <w:sz w:val="21"/>
              </w:rPr>
            </w:pPr>
          </w:p>
          <w:p w14:paraId="5DE7E4D8">
            <w:pPr>
              <w:spacing w:before="58"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905" w:type="dxa"/>
            <w:vAlign w:val="top"/>
          </w:tcPr>
          <w:p w14:paraId="0F879F0F">
            <w:pPr>
              <w:spacing w:line="434" w:lineRule="auto"/>
              <w:rPr>
                <w:rFonts w:ascii="Arial"/>
                <w:sz w:val="21"/>
              </w:rPr>
            </w:pPr>
          </w:p>
          <w:p w14:paraId="499FC083">
            <w:pPr>
              <w:spacing w:before="58"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1000</w:t>
            </w:r>
          </w:p>
        </w:tc>
        <w:tc>
          <w:tcPr>
            <w:tcW w:w="904" w:type="dxa"/>
            <w:vAlign w:val="top"/>
          </w:tcPr>
          <w:p w14:paraId="1B3322F2">
            <w:pPr>
              <w:spacing w:line="434" w:lineRule="auto"/>
              <w:rPr>
                <w:rFonts w:ascii="Arial"/>
                <w:sz w:val="21"/>
              </w:rPr>
            </w:pPr>
          </w:p>
          <w:p w14:paraId="30870B64">
            <w:pPr>
              <w:spacing w:before="58" w:line="195" w:lineRule="auto"/>
              <w:ind w:left="32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w:t>
            </w:r>
          </w:p>
        </w:tc>
        <w:tc>
          <w:tcPr>
            <w:tcW w:w="928" w:type="dxa"/>
            <w:vAlign w:val="top"/>
          </w:tcPr>
          <w:p w14:paraId="1D7C19A0">
            <w:pPr>
              <w:spacing w:line="434" w:lineRule="auto"/>
              <w:rPr>
                <w:rFonts w:ascii="Arial"/>
                <w:sz w:val="21"/>
              </w:rPr>
            </w:pPr>
          </w:p>
          <w:p w14:paraId="509A0D47">
            <w:pPr>
              <w:spacing w:before="58" w:line="195"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0.10</w:t>
            </w:r>
          </w:p>
        </w:tc>
        <w:tc>
          <w:tcPr>
            <w:tcW w:w="1029" w:type="dxa"/>
            <w:vAlign w:val="top"/>
          </w:tcPr>
          <w:p w14:paraId="1673BC19">
            <w:pPr>
              <w:spacing w:line="434" w:lineRule="auto"/>
              <w:rPr>
                <w:rFonts w:ascii="Arial"/>
                <w:sz w:val="21"/>
              </w:rPr>
            </w:pPr>
          </w:p>
          <w:p w14:paraId="5A1A89E3">
            <w:pPr>
              <w:spacing w:before="58" w:line="195" w:lineRule="auto"/>
              <w:ind w:left="3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2420" w:type="dxa"/>
            <w:vMerge w:val="restart"/>
            <w:tcBorders>
              <w:bottom w:val="nil"/>
            </w:tcBorders>
            <w:vAlign w:val="top"/>
          </w:tcPr>
          <w:p w14:paraId="1C1C0F69">
            <w:pPr>
              <w:rPr>
                <w:rFonts w:ascii="Arial"/>
                <w:sz w:val="21"/>
              </w:rPr>
            </w:pPr>
          </w:p>
        </w:tc>
      </w:tr>
      <w:tr w14:paraId="1A0903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285" w:type="dxa"/>
            <w:vMerge w:val="continue"/>
            <w:tcBorders>
              <w:top w:val="nil"/>
              <w:bottom w:val="nil"/>
            </w:tcBorders>
            <w:vAlign w:val="top"/>
          </w:tcPr>
          <w:p w14:paraId="2AAD4194">
            <w:pPr>
              <w:rPr>
                <w:rFonts w:ascii="Arial"/>
                <w:sz w:val="21"/>
              </w:rPr>
            </w:pPr>
          </w:p>
        </w:tc>
        <w:tc>
          <w:tcPr>
            <w:tcW w:w="567" w:type="dxa"/>
            <w:vMerge w:val="continue"/>
            <w:tcBorders>
              <w:top w:val="nil"/>
              <w:bottom w:val="nil"/>
            </w:tcBorders>
            <w:vAlign w:val="top"/>
          </w:tcPr>
          <w:p w14:paraId="2A9764F1">
            <w:pPr>
              <w:rPr>
                <w:rFonts w:ascii="Arial"/>
                <w:sz w:val="21"/>
              </w:rPr>
            </w:pPr>
          </w:p>
        </w:tc>
        <w:tc>
          <w:tcPr>
            <w:tcW w:w="1421" w:type="dxa"/>
            <w:vMerge w:val="restart"/>
            <w:tcBorders>
              <w:bottom w:val="nil"/>
            </w:tcBorders>
            <w:vAlign w:val="top"/>
          </w:tcPr>
          <w:p w14:paraId="3426BBE4">
            <w:pPr>
              <w:pStyle w:val="6"/>
              <w:spacing w:before="205" w:line="232" w:lineRule="auto"/>
              <w:ind w:left="406"/>
              <w:rPr>
                <w:sz w:val="20"/>
                <w:szCs w:val="20"/>
              </w:rPr>
            </w:pPr>
            <w:r>
              <w:rPr>
                <w:spacing w:val="3"/>
                <w:sz w:val="20"/>
                <w:szCs w:val="20"/>
              </w:rPr>
              <w:t>监测点</w:t>
            </w:r>
          </w:p>
        </w:tc>
        <w:tc>
          <w:tcPr>
            <w:tcW w:w="568" w:type="dxa"/>
            <w:vMerge w:val="restart"/>
            <w:tcBorders>
              <w:bottom w:val="nil"/>
            </w:tcBorders>
            <w:vAlign w:val="top"/>
          </w:tcPr>
          <w:p w14:paraId="3D10D62A">
            <w:pPr>
              <w:pStyle w:val="6"/>
              <w:spacing w:before="69" w:line="232" w:lineRule="auto"/>
              <w:ind w:left="78"/>
              <w:rPr>
                <w:sz w:val="20"/>
                <w:szCs w:val="20"/>
              </w:rPr>
            </w:pPr>
            <w:r>
              <w:rPr>
                <w:spacing w:val="2"/>
                <w:sz w:val="20"/>
                <w:szCs w:val="20"/>
              </w:rPr>
              <w:t>水质</w:t>
            </w:r>
          </w:p>
          <w:p w14:paraId="407CD840">
            <w:pPr>
              <w:pStyle w:val="6"/>
              <w:spacing w:before="20" w:line="231" w:lineRule="auto"/>
              <w:ind w:left="78"/>
              <w:rPr>
                <w:sz w:val="20"/>
                <w:szCs w:val="20"/>
              </w:rPr>
            </w:pPr>
            <w:r>
              <w:rPr>
                <w:spacing w:val="2"/>
                <w:sz w:val="20"/>
                <w:szCs w:val="20"/>
              </w:rPr>
              <w:t>标准</w:t>
            </w:r>
          </w:p>
        </w:tc>
        <w:tc>
          <w:tcPr>
            <w:tcW w:w="8727" w:type="dxa"/>
            <w:gridSpan w:val="10"/>
            <w:vAlign w:val="top"/>
          </w:tcPr>
          <w:p w14:paraId="42969A99">
            <w:pPr>
              <w:pStyle w:val="6"/>
              <w:spacing w:before="47" w:line="230" w:lineRule="auto"/>
              <w:ind w:left="3956"/>
              <w:rPr>
                <w:sz w:val="20"/>
                <w:szCs w:val="20"/>
              </w:rPr>
            </w:pPr>
            <w:r>
              <w:rPr>
                <w:spacing w:val="4"/>
                <w:sz w:val="20"/>
                <w:szCs w:val="20"/>
              </w:rPr>
              <w:t>监测因子</w:t>
            </w:r>
          </w:p>
        </w:tc>
        <w:tc>
          <w:tcPr>
            <w:tcW w:w="2420" w:type="dxa"/>
            <w:vMerge w:val="continue"/>
            <w:tcBorders>
              <w:top w:val="nil"/>
              <w:bottom w:val="nil"/>
            </w:tcBorders>
            <w:vAlign w:val="top"/>
          </w:tcPr>
          <w:p w14:paraId="663E93B0">
            <w:pPr>
              <w:rPr>
                <w:rFonts w:ascii="Arial"/>
                <w:sz w:val="21"/>
              </w:rPr>
            </w:pPr>
          </w:p>
        </w:tc>
      </w:tr>
      <w:tr w14:paraId="3D0DCB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285" w:type="dxa"/>
            <w:vMerge w:val="continue"/>
            <w:tcBorders>
              <w:top w:val="nil"/>
              <w:bottom w:val="nil"/>
            </w:tcBorders>
            <w:vAlign w:val="top"/>
          </w:tcPr>
          <w:p w14:paraId="62ACB658">
            <w:pPr>
              <w:rPr>
                <w:rFonts w:ascii="Arial"/>
                <w:sz w:val="21"/>
              </w:rPr>
            </w:pPr>
          </w:p>
        </w:tc>
        <w:tc>
          <w:tcPr>
            <w:tcW w:w="567" w:type="dxa"/>
            <w:vMerge w:val="continue"/>
            <w:tcBorders>
              <w:top w:val="nil"/>
              <w:bottom w:val="nil"/>
            </w:tcBorders>
            <w:vAlign w:val="top"/>
          </w:tcPr>
          <w:p w14:paraId="0B6CECA8">
            <w:pPr>
              <w:rPr>
                <w:rFonts w:ascii="Arial"/>
                <w:sz w:val="21"/>
              </w:rPr>
            </w:pPr>
          </w:p>
        </w:tc>
        <w:tc>
          <w:tcPr>
            <w:tcW w:w="1421" w:type="dxa"/>
            <w:vMerge w:val="continue"/>
            <w:tcBorders>
              <w:top w:val="nil"/>
            </w:tcBorders>
            <w:vAlign w:val="top"/>
          </w:tcPr>
          <w:p w14:paraId="027DFB0A">
            <w:pPr>
              <w:rPr>
                <w:rFonts w:ascii="Arial"/>
                <w:sz w:val="21"/>
              </w:rPr>
            </w:pPr>
          </w:p>
        </w:tc>
        <w:tc>
          <w:tcPr>
            <w:tcW w:w="568" w:type="dxa"/>
            <w:vMerge w:val="continue"/>
            <w:tcBorders>
              <w:top w:val="nil"/>
            </w:tcBorders>
            <w:vAlign w:val="top"/>
          </w:tcPr>
          <w:p w14:paraId="470AEBED">
            <w:pPr>
              <w:rPr>
                <w:rFonts w:ascii="Arial"/>
                <w:sz w:val="21"/>
              </w:rPr>
            </w:pPr>
          </w:p>
        </w:tc>
        <w:tc>
          <w:tcPr>
            <w:tcW w:w="994" w:type="dxa"/>
            <w:vAlign w:val="top"/>
          </w:tcPr>
          <w:p w14:paraId="2C01948F">
            <w:pPr>
              <w:pStyle w:val="6"/>
              <w:spacing w:before="47" w:line="229" w:lineRule="auto"/>
              <w:ind w:left="187"/>
              <w:rPr>
                <w:sz w:val="20"/>
                <w:szCs w:val="20"/>
              </w:rPr>
            </w:pPr>
            <w:r>
              <w:rPr>
                <w:spacing w:val="5"/>
                <w:sz w:val="20"/>
                <w:szCs w:val="20"/>
              </w:rPr>
              <w:t>硫酸盐</w:t>
            </w:r>
          </w:p>
        </w:tc>
        <w:tc>
          <w:tcPr>
            <w:tcW w:w="710" w:type="dxa"/>
            <w:vAlign w:val="top"/>
          </w:tcPr>
          <w:p w14:paraId="61F5815A">
            <w:pPr>
              <w:pStyle w:val="6"/>
              <w:spacing w:before="47" w:line="229" w:lineRule="auto"/>
              <w:ind w:left="49"/>
              <w:rPr>
                <w:sz w:val="20"/>
                <w:szCs w:val="20"/>
              </w:rPr>
            </w:pPr>
            <w:r>
              <w:rPr>
                <w:spacing w:val="3"/>
                <w:sz w:val="20"/>
                <w:szCs w:val="20"/>
              </w:rPr>
              <w:t>氯化物</w:t>
            </w:r>
          </w:p>
        </w:tc>
        <w:tc>
          <w:tcPr>
            <w:tcW w:w="711" w:type="dxa"/>
            <w:vAlign w:val="top"/>
          </w:tcPr>
          <w:p w14:paraId="117C9AFA">
            <w:pPr>
              <w:pStyle w:val="6"/>
              <w:spacing w:before="47" w:line="229" w:lineRule="auto"/>
              <w:ind w:left="46"/>
              <w:rPr>
                <w:sz w:val="20"/>
                <w:szCs w:val="20"/>
              </w:rPr>
            </w:pPr>
            <w:r>
              <w:rPr>
                <w:spacing w:val="5"/>
                <w:sz w:val="20"/>
                <w:szCs w:val="20"/>
              </w:rPr>
              <w:t>石油类</w:t>
            </w:r>
          </w:p>
        </w:tc>
        <w:tc>
          <w:tcPr>
            <w:tcW w:w="895" w:type="dxa"/>
            <w:vAlign w:val="top"/>
          </w:tcPr>
          <w:p w14:paraId="1FFACF74">
            <w:pPr>
              <w:pStyle w:val="6"/>
              <w:spacing w:before="47" w:line="229" w:lineRule="auto"/>
              <w:ind w:left="42"/>
              <w:rPr>
                <w:sz w:val="20"/>
                <w:szCs w:val="20"/>
              </w:rPr>
            </w:pPr>
            <w:r>
              <w:rPr>
                <w:spacing w:val="3"/>
                <w:sz w:val="20"/>
                <w:szCs w:val="20"/>
              </w:rPr>
              <w:t>总氰化物</w:t>
            </w:r>
          </w:p>
        </w:tc>
        <w:tc>
          <w:tcPr>
            <w:tcW w:w="809" w:type="dxa"/>
            <w:vAlign w:val="top"/>
          </w:tcPr>
          <w:p w14:paraId="01CE2478">
            <w:pPr>
              <w:pStyle w:val="6"/>
              <w:spacing w:before="47" w:line="229" w:lineRule="auto"/>
              <w:ind w:left="308"/>
              <w:rPr>
                <w:sz w:val="20"/>
                <w:szCs w:val="20"/>
              </w:rPr>
            </w:pPr>
            <w:r>
              <w:rPr>
                <w:sz w:val="20"/>
                <w:szCs w:val="20"/>
              </w:rPr>
              <w:t>汞</w:t>
            </w:r>
          </w:p>
        </w:tc>
        <w:tc>
          <w:tcPr>
            <w:tcW w:w="842" w:type="dxa"/>
            <w:vAlign w:val="top"/>
          </w:tcPr>
          <w:p w14:paraId="0AB1F8DB">
            <w:pPr>
              <w:pStyle w:val="6"/>
              <w:spacing w:before="47" w:line="229" w:lineRule="auto"/>
              <w:ind w:left="323"/>
              <w:rPr>
                <w:sz w:val="20"/>
                <w:szCs w:val="20"/>
              </w:rPr>
            </w:pPr>
            <w:r>
              <w:rPr>
                <w:sz w:val="20"/>
                <w:szCs w:val="20"/>
              </w:rPr>
              <w:t>砷</w:t>
            </w:r>
          </w:p>
        </w:tc>
        <w:tc>
          <w:tcPr>
            <w:tcW w:w="905" w:type="dxa"/>
            <w:vAlign w:val="top"/>
          </w:tcPr>
          <w:p w14:paraId="47E41E45">
            <w:pPr>
              <w:pStyle w:val="6"/>
              <w:spacing w:before="47" w:line="229" w:lineRule="auto"/>
              <w:ind w:left="357"/>
              <w:rPr>
                <w:sz w:val="20"/>
                <w:szCs w:val="20"/>
              </w:rPr>
            </w:pPr>
            <w:r>
              <w:rPr>
                <w:sz w:val="20"/>
                <w:szCs w:val="20"/>
              </w:rPr>
              <w:t>铅</w:t>
            </w:r>
          </w:p>
        </w:tc>
        <w:tc>
          <w:tcPr>
            <w:tcW w:w="904" w:type="dxa"/>
            <w:vAlign w:val="top"/>
          </w:tcPr>
          <w:p w14:paraId="56C83C22">
            <w:pPr>
              <w:pStyle w:val="6"/>
              <w:spacing w:before="47" w:line="229" w:lineRule="auto"/>
              <w:ind w:left="358"/>
              <w:rPr>
                <w:sz w:val="20"/>
                <w:szCs w:val="20"/>
              </w:rPr>
            </w:pPr>
            <w:r>
              <w:rPr>
                <w:sz w:val="20"/>
                <w:szCs w:val="20"/>
              </w:rPr>
              <w:t>镉</w:t>
            </w:r>
          </w:p>
        </w:tc>
        <w:tc>
          <w:tcPr>
            <w:tcW w:w="928" w:type="dxa"/>
            <w:vAlign w:val="top"/>
          </w:tcPr>
          <w:p w14:paraId="6338E456">
            <w:pPr>
              <w:pStyle w:val="6"/>
              <w:spacing w:before="47" w:line="229" w:lineRule="auto"/>
              <w:ind w:left="161"/>
              <w:rPr>
                <w:sz w:val="20"/>
                <w:szCs w:val="20"/>
              </w:rPr>
            </w:pPr>
            <w:r>
              <w:rPr>
                <w:spacing w:val="4"/>
                <w:sz w:val="20"/>
                <w:szCs w:val="20"/>
              </w:rPr>
              <w:t>六价铬</w:t>
            </w:r>
          </w:p>
        </w:tc>
        <w:tc>
          <w:tcPr>
            <w:tcW w:w="1029" w:type="dxa"/>
            <w:vAlign w:val="top"/>
          </w:tcPr>
          <w:p w14:paraId="073BA40E">
            <w:pPr>
              <w:pStyle w:val="6"/>
              <w:spacing w:before="47" w:line="229" w:lineRule="auto"/>
              <w:ind w:left="218"/>
              <w:rPr>
                <w:sz w:val="20"/>
                <w:szCs w:val="20"/>
              </w:rPr>
            </w:pPr>
            <w:r>
              <w:rPr>
                <w:spacing w:val="3"/>
                <w:sz w:val="20"/>
                <w:szCs w:val="20"/>
              </w:rPr>
              <w:t>氟化物</w:t>
            </w:r>
          </w:p>
        </w:tc>
        <w:tc>
          <w:tcPr>
            <w:tcW w:w="2420" w:type="dxa"/>
            <w:vMerge w:val="continue"/>
            <w:tcBorders>
              <w:top w:val="nil"/>
              <w:bottom w:val="nil"/>
            </w:tcBorders>
            <w:vAlign w:val="top"/>
          </w:tcPr>
          <w:p w14:paraId="6CCF7788">
            <w:pPr>
              <w:rPr>
                <w:rFonts w:ascii="Arial"/>
                <w:sz w:val="21"/>
              </w:rPr>
            </w:pPr>
          </w:p>
        </w:tc>
      </w:tr>
      <w:tr w14:paraId="694DBE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trPr>
        <w:tc>
          <w:tcPr>
            <w:tcW w:w="285" w:type="dxa"/>
            <w:vMerge w:val="continue"/>
            <w:tcBorders>
              <w:top w:val="nil"/>
              <w:bottom w:val="nil"/>
            </w:tcBorders>
            <w:vAlign w:val="top"/>
          </w:tcPr>
          <w:p w14:paraId="2A2CDCE9">
            <w:pPr>
              <w:rPr>
                <w:rFonts w:ascii="Arial"/>
                <w:sz w:val="21"/>
              </w:rPr>
            </w:pPr>
          </w:p>
        </w:tc>
        <w:tc>
          <w:tcPr>
            <w:tcW w:w="567" w:type="dxa"/>
            <w:vMerge w:val="continue"/>
            <w:tcBorders>
              <w:top w:val="nil"/>
              <w:bottom w:val="nil"/>
            </w:tcBorders>
            <w:vAlign w:val="top"/>
          </w:tcPr>
          <w:p w14:paraId="0FE38A9C">
            <w:pPr>
              <w:rPr>
                <w:rFonts w:ascii="Arial"/>
                <w:sz w:val="21"/>
              </w:rPr>
            </w:pPr>
          </w:p>
        </w:tc>
        <w:tc>
          <w:tcPr>
            <w:tcW w:w="1421" w:type="dxa"/>
            <w:vAlign w:val="top"/>
          </w:tcPr>
          <w:p w14:paraId="36211C94">
            <w:pPr>
              <w:pStyle w:val="6"/>
              <w:spacing w:before="48" w:line="231" w:lineRule="auto"/>
              <w:ind w:left="83"/>
              <w:rPr>
                <w:sz w:val="20"/>
                <w:szCs w:val="20"/>
              </w:rPr>
            </w:pPr>
            <w:r>
              <w:rPr>
                <w:spacing w:val="7"/>
                <w:sz w:val="20"/>
                <w:szCs w:val="20"/>
              </w:rPr>
              <w:t>水库东北侧农</w:t>
            </w:r>
          </w:p>
          <w:p w14:paraId="12F8F076">
            <w:pPr>
              <w:pStyle w:val="6"/>
              <w:spacing w:before="23" w:line="227" w:lineRule="auto"/>
              <w:ind w:left="503"/>
              <w:rPr>
                <w:sz w:val="20"/>
                <w:szCs w:val="20"/>
              </w:rPr>
            </w:pPr>
            <w:r>
              <w:rPr>
                <w:spacing w:val="2"/>
                <w:sz w:val="20"/>
                <w:szCs w:val="20"/>
              </w:rPr>
              <w:t>户处</w:t>
            </w:r>
          </w:p>
        </w:tc>
        <w:tc>
          <w:tcPr>
            <w:tcW w:w="568" w:type="dxa"/>
            <w:vAlign w:val="top"/>
          </w:tcPr>
          <w:p w14:paraId="0044BD1F">
            <w:pPr>
              <w:pStyle w:val="6"/>
              <w:spacing w:before="185" w:line="233" w:lineRule="auto"/>
              <w:ind w:left="75"/>
              <w:rPr>
                <w:sz w:val="20"/>
                <w:szCs w:val="20"/>
              </w:rPr>
            </w:pPr>
            <w:r>
              <w:rPr>
                <w:rFonts w:ascii="Times New Roman" w:hAnsi="Times New Roman" w:eastAsia="Times New Roman" w:cs="Times New Roman"/>
                <w:spacing w:val="5"/>
                <w:sz w:val="20"/>
                <w:szCs w:val="20"/>
              </w:rPr>
              <w:t>Ⅲ</w:t>
            </w:r>
            <w:r>
              <w:rPr>
                <w:spacing w:val="5"/>
                <w:sz w:val="20"/>
                <w:szCs w:val="20"/>
              </w:rPr>
              <w:t>类</w:t>
            </w:r>
          </w:p>
        </w:tc>
        <w:tc>
          <w:tcPr>
            <w:tcW w:w="994" w:type="dxa"/>
            <w:vAlign w:val="top"/>
          </w:tcPr>
          <w:p w14:paraId="217D2B95">
            <w:pPr>
              <w:spacing w:before="221" w:line="195" w:lineRule="auto"/>
              <w:ind w:left="3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c>
          <w:tcPr>
            <w:tcW w:w="710" w:type="dxa"/>
            <w:vAlign w:val="top"/>
          </w:tcPr>
          <w:p w14:paraId="44CB4B88">
            <w:pPr>
              <w:spacing w:before="224" w:line="192" w:lineRule="auto"/>
              <w:ind w:left="30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711" w:type="dxa"/>
            <w:vAlign w:val="top"/>
          </w:tcPr>
          <w:p w14:paraId="1942DB80">
            <w:pPr>
              <w:spacing w:before="221" w:line="195" w:lineRule="auto"/>
              <w:ind w:left="10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0.01L</w:t>
            </w:r>
          </w:p>
        </w:tc>
        <w:tc>
          <w:tcPr>
            <w:tcW w:w="895" w:type="dxa"/>
            <w:vAlign w:val="top"/>
          </w:tcPr>
          <w:p w14:paraId="28A273B8">
            <w:pPr>
              <w:spacing w:before="221" w:line="195" w:lineRule="auto"/>
              <w:ind w:left="1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0.004L</w:t>
            </w:r>
          </w:p>
        </w:tc>
        <w:tc>
          <w:tcPr>
            <w:tcW w:w="809" w:type="dxa"/>
            <w:vAlign w:val="top"/>
          </w:tcPr>
          <w:p w14:paraId="3857E9B8">
            <w:pPr>
              <w:spacing w:before="101" w:line="195" w:lineRule="auto"/>
              <w:ind w:left="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0.00004</w:t>
            </w:r>
          </w:p>
          <w:p w14:paraId="6D1CDCD9">
            <w:pPr>
              <w:spacing w:before="56" w:line="192"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L</w:t>
            </w:r>
          </w:p>
        </w:tc>
        <w:tc>
          <w:tcPr>
            <w:tcW w:w="842" w:type="dxa"/>
            <w:vAlign w:val="top"/>
          </w:tcPr>
          <w:p w14:paraId="4E2F7E28">
            <w:pPr>
              <w:spacing w:before="221"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0.0004</w:t>
            </w:r>
          </w:p>
        </w:tc>
        <w:tc>
          <w:tcPr>
            <w:tcW w:w="905" w:type="dxa"/>
            <w:vAlign w:val="top"/>
          </w:tcPr>
          <w:p w14:paraId="0E15B93F">
            <w:pPr>
              <w:spacing w:before="221"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0.003</w:t>
            </w:r>
          </w:p>
        </w:tc>
        <w:tc>
          <w:tcPr>
            <w:tcW w:w="904" w:type="dxa"/>
            <w:vAlign w:val="top"/>
          </w:tcPr>
          <w:p w14:paraId="0A5441C6">
            <w:pPr>
              <w:spacing w:before="221" w:line="195" w:lineRule="auto"/>
              <w:ind w:left="10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0.0001L</w:t>
            </w:r>
          </w:p>
        </w:tc>
        <w:tc>
          <w:tcPr>
            <w:tcW w:w="928" w:type="dxa"/>
            <w:vAlign w:val="top"/>
          </w:tcPr>
          <w:p w14:paraId="2FC91868">
            <w:pPr>
              <w:spacing w:before="221" w:line="195" w:lineRule="auto"/>
              <w:ind w:left="1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0.004L</w:t>
            </w:r>
          </w:p>
        </w:tc>
        <w:tc>
          <w:tcPr>
            <w:tcW w:w="1029" w:type="dxa"/>
            <w:vAlign w:val="top"/>
          </w:tcPr>
          <w:p w14:paraId="0A08087C">
            <w:pPr>
              <w:spacing w:before="221" w:line="195" w:lineRule="auto"/>
              <w:ind w:left="3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0.17</w:t>
            </w:r>
          </w:p>
        </w:tc>
        <w:tc>
          <w:tcPr>
            <w:tcW w:w="2420" w:type="dxa"/>
            <w:vMerge w:val="continue"/>
            <w:tcBorders>
              <w:top w:val="nil"/>
              <w:bottom w:val="nil"/>
            </w:tcBorders>
            <w:vAlign w:val="top"/>
          </w:tcPr>
          <w:p w14:paraId="465ADA3A">
            <w:pPr>
              <w:rPr>
                <w:rFonts w:ascii="Arial"/>
                <w:sz w:val="21"/>
              </w:rPr>
            </w:pPr>
          </w:p>
        </w:tc>
      </w:tr>
      <w:tr w14:paraId="247E0D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8" w:hRule="atLeast"/>
        </w:trPr>
        <w:tc>
          <w:tcPr>
            <w:tcW w:w="285" w:type="dxa"/>
            <w:vMerge w:val="continue"/>
            <w:tcBorders>
              <w:top w:val="nil"/>
            </w:tcBorders>
            <w:vAlign w:val="top"/>
          </w:tcPr>
          <w:p w14:paraId="284BA918">
            <w:pPr>
              <w:rPr>
                <w:rFonts w:ascii="Arial"/>
                <w:sz w:val="21"/>
              </w:rPr>
            </w:pPr>
          </w:p>
        </w:tc>
        <w:tc>
          <w:tcPr>
            <w:tcW w:w="567" w:type="dxa"/>
            <w:vMerge w:val="continue"/>
            <w:tcBorders>
              <w:top w:val="nil"/>
            </w:tcBorders>
            <w:vAlign w:val="top"/>
          </w:tcPr>
          <w:p w14:paraId="309C90DE">
            <w:pPr>
              <w:rPr>
                <w:rFonts w:ascii="Arial"/>
                <w:sz w:val="21"/>
              </w:rPr>
            </w:pPr>
          </w:p>
        </w:tc>
        <w:tc>
          <w:tcPr>
            <w:tcW w:w="1421" w:type="dxa"/>
            <w:vAlign w:val="top"/>
          </w:tcPr>
          <w:p w14:paraId="7569C7B5">
            <w:pPr>
              <w:pStyle w:val="6"/>
              <w:spacing w:before="51" w:line="250" w:lineRule="auto"/>
              <w:ind w:left="399" w:right="83" w:hanging="316"/>
              <w:rPr>
                <w:sz w:val="20"/>
                <w:szCs w:val="20"/>
              </w:rPr>
            </w:pPr>
            <w:r>
              <w:rPr>
                <w:spacing w:val="7"/>
                <w:sz w:val="20"/>
                <w:szCs w:val="20"/>
              </w:rPr>
              <w:t>《地下水质量</w:t>
            </w:r>
            <w:r>
              <w:rPr>
                <w:spacing w:val="1"/>
                <w:sz w:val="20"/>
                <w:szCs w:val="20"/>
              </w:rPr>
              <w:t xml:space="preserve"> 标准》</w:t>
            </w:r>
          </w:p>
          <w:p w14:paraId="6DA76565">
            <w:pPr>
              <w:pStyle w:val="6"/>
              <w:spacing w:line="265" w:lineRule="exact"/>
              <w:ind w:left="26"/>
              <w:rPr>
                <w:rFonts w:ascii="Times New Roman" w:hAnsi="Times New Roman" w:eastAsia="Times New Roman" w:cs="Times New Roman"/>
                <w:sz w:val="20"/>
                <w:szCs w:val="20"/>
              </w:rPr>
            </w:pPr>
            <w:r>
              <w:rPr>
                <w:spacing w:val="4"/>
                <w:position w:val="1"/>
                <w:sz w:val="20"/>
                <w:szCs w:val="20"/>
              </w:rPr>
              <w:t>（</w:t>
            </w:r>
            <w:r>
              <w:rPr>
                <w:rFonts w:ascii="Times New Roman" w:hAnsi="Times New Roman" w:eastAsia="Times New Roman" w:cs="Times New Roman"/>
                <w:position w:val="1"/>
                <w:sz w:val="20"/>
                <w:szCs w:val="20"/>
              </w:rPr>
              <w:t>GB</w:t>
            </w:r>
            <w:r>
              <w:rPr>
                <w:rFonts w:ascii="Times New Roman" w:hAnsi="Times New Roman" w:eastAsia="Times New Roman" w:cs="Times New Roman"/>
                <w:spacing w:val="4"/>
                <w:position w:val="1"/>
                <w:sz w:val="20"/>
                <w:szCs w:val="20"/>
              </w:rPr>
              <w:t>/T14848-2</w:t>
            </w:r>
          </w:p>
          <w:p w14:paraId="50FFFC8F">
            <w:pPr>
              <w:pStyle w:val="6"/>
              <w:spacing w:before="7" w:line="232" w:lineRule="auto"/>
              <w:ind w:left="444"/>
              <w:rPr>
                <w:sz w:val="20"/>
                <w:szCs w:val="20"/>
              </w:rPr>
            </w:pPr>
            <w:r>
              <w:rPr>
                <w:rFonts w:ascii="Times New Roman" w:hAnsi="Times New Roman" w:eastAsia="Times New Roman" w:cs="Times New Roman"/>
                <w:spacing w:val="2"/>
                <w:sz w:val="20"/>
                <w:szCs w:val="20"/>
              </w:rPr>
              <w:t>017</w:t>
            </w:r>
            <w:r>
              <w:rPr>
                <w:spacing w:val="2"/>
                <w:sz w:val="20"/>
                <w:szCs w:val="20"/>
              </w:rPr>
              <w:t>）</w:t>
            </w:r>
          </w:p>
        </w:tc>
        <w:tc>
          <w:tcPr>
            <w:tcW w:w="568" w:type="dxa"/>
            <w:vAlign w:val="top"/>
          </w:tcPr>
          <w:p w14:paraId="50F5FA38">
            <w:pPr>
              <w:spacing w:line="391" w:lineRule="auto"/>
              <w:rPr>
                <w:rFonts w:ascii="Arial"/>
                <w:sz w:val="21"/>
              </w:rPr>
            </w:pPr>
          </w:p>
          <w:p w14:paraId="4D8CDF27">
            <w:pPr>
              <w:pStyle w:val="6"/>
              <w:spacing w:before="65" w:line="233" w:lineRule="auto"/>
              <w:ind w:left="75"/>
              <w:rPr>
                <w:sz w:val="20"/>
                <w:szCs w:val="20"/>
              </w:rPr>
            </w:pPr>
            <w:r>
              <w:rPr>
                <w:rFonts w:ascii="Times New Roman" w:hAnsi="Times New Roman" w:eastAsia="Times New Roman" w:cs="Times New Roman"/>
                <w:spacing w:val="5"/>
                <w:sz w:val="20"/>
                <w:szCs w:val="20"/>
              </w:rPr>
              <w:t>Ⅲ</w:t>
            </w:r>
            <w:r>
              <w:rPr>
                <w:spacing w:val="5"/>
                <w:sz w:val="20"/>
                <w:szCs w:val="20"/>
              </w:rPr>
              <w:t>类</w:t>
            </w:r>
          </w:p>
        </w:tc>
        <w:tc>
          <w:tcPr>
            <w:tcW w:w="994" w:type="dxa"/>
            <w:vAlign w:val="top"/>
          </w:tcPr>
          <w:p w14:paraId="65E69997">
            <w:pPr>
              <w:spacing w:line="434" w:lineRule="auto"/>
              <w:rPr>
                <w:rFonts w:ascii="Arial"/>
                <w:sz w:val="21"/>
              </w:rPr>
            </w:pPr>
          </w:p>
          <w:p w14:paraId="381B9167">
            <w:pPr>
              <w:spacing w:before="58" w:line="195" w:lineRule="auto"/>
              <w:ind w:left="3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w:t>
            </w:r>
          </w:p>
        </w:tc>
        <w:tc>
          <w:tcPr>
            <w:tcW w:w="710" w:type="dxa"/>
            <w:vAlign w:val="top"/>
          </w:tcPr>
          <w:p w14:paraId="087B86FE">
            <w:pPr>
              <w:spacing w:line="434" w:lineRule="auto"/>
              <w:rPr>
                <w:rFonts w:ascii="Arial"/>
                <w:sz w:val="21"/>
              </w:rPr>
            </w:pPr>
          </w:p>
          <w:p w14:paraId="0FB60324">
            <w:pPr>
              <w:spacing w:before="58"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w:t>
            </w:r>
          </w:p>
        </w:tc>
        <w:tc>
          <w:tcPr>
            <w:tcW w:w="711" w:type="dxa"/>
            <w:vAlign w:val="top"/>
          </w:tcPr>
          <w:p w14:paraId="1C5DA2F0">
            <w:pPr>
              <w:spacing w:line="434" w:lineRule="auto"/>
              <w:rPr>
                <w:rFonts w:ascii="Arial"/>
                <w:sz w:val="21"/>
              </w:rPr>
            </w:pPr>
          </w:p>
          <w:p w14:paraId="2E95AC1B">
            <w:pPr>
              <w:spacing w:before="58" w:line="195" w:lineRule="auto"/>
              <w:ind w:left="1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895" w:type="dxa"/>
            <w:vAlign w:val="top"/>
          </w:tcPr>
          <w:p w14:paraId="581EE417">
            <w:pPr>
              <w:spacing w:line="434" w:lineRule="auto"/>
              <w:rPr>
                <w:rFonts w:ascii="Arial"/>
                <w:sz w:val="21"/>
              </w:rPr>
            </w:pPr>
          </w:p>
          <w:p w14:paraId="4522D672">
            <w:pPr>
              <w:spacing w:before="58" w:line="195"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809" w:type="dxa"/>
            <w:vAlign w:val="top"/>
          </w:tcPr>
          <w:p w14:paraId="49BEEBBB">
            <w:pPr>
              <w:spacing w:line="434" w:lineRule="auto"/>
              <w:rPr>
                <w:rFonts w:ascii="Arial"/>
                <w:sz w:val="21"/>
              </w:rPr>
            </w:pPr>
          </w:p>
          <w:p w14:paraId="35C54FFB">
            <w:pPr>
              <w:spacing w:before="58" w:line="195" w:lineRule="auto"/>
              <w:ind w:left="1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0.001</w:t>
            </w:r>
          </w:p>
        </w:tc>
        <w:tc>
          <w:tcPr>
            <w:tcW w:w="842" w:type="dxa"/>
            <w:vAlign w:val="top"/>
          </w:tcPr>
          <w:p w14:paraId="0FBEBFB2">
            <w:pPr>
              <w:spacing w:line="434" w:lineRule="auto"/>
              <w:rPr>
                <w:rFonts w:ascii="Arial"/>
                <w:sz w:val="21"/>
              </w:rPr>
            </w:pPr>
          </w:p>
          <w:p w14:paraId="4DDDCA7A">
            <w:pPr>
              <w:spacing w:before="58"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c>
          <w:tcPr>
            <w:tcW w:w="905" w:type="dxa"/>
            <w:vAlign w:val="top"/>
          </w:tcPr>
          <w:p w14:paraId="2FD92EAF">
            <w:pPr>
              <w:spacing w:line="434" w:lineRule="auto"/>
              <w:rPr>
                <w:rFonts w:ascii="Arial"/>
                <w:sz w:val="21"/>
              </w:rPr>
            </w:pPr>
          </w:p>
          <w:p w14:paraId="2A7FDC58">
            <w:pPr>
              <w:spacing w:before="58" w:line="195" w:lineRule="auto"/>
              <w:ind w:left="2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c>
          <w:tcPr>
            <w:tcW w:w="904" w:type="dxa"/>
            <w:vAlign w:val="top"/>
          </w:tcPr>
          <w:p w14:paraId="59114466">
            <w:pPr>
              <w:spacing w:line="434" w:lineRule="auto"/>
              <w:rPr>
                <w:rFonts w:ascii="Arial"/>
                <w:sz w:val="21"/>
              </w:rPr>
            </w:pPr>
          </w:p>
          <w:p w14:paraId="3062C2BF">
            <w:pPr>
              <w:spacing w:before="58"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928" w:type="dxa"/>
            <w:vAlign w:val="top"/>
          </w:tcPr>
          <w:p w14:paraId="6DA31500">
            <w:pPr>
              <w:spacing w:line="434" w:lineRule="auto"/>
              <w:rPr>
                <w:rFonts w:ascii="Arial"/>
                <w:sz w:val="21"/>
              </w:rPr>
            </w:pPr>
          </w:p>
          <w:p w14:paraId="588C43F3">
            <w:pPr>
              <w:spacing w:before="58" w:line="195"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1029" w:type="dxa"/>
            <w:vAlign w:val="top"/>
          </w:tcPr>
          <w:p w14:paraId="7F748CCE">
            <w:pPr>
              <w:spacing w:line="434" w:lineRule="auto"/>
              <w:rPr>
                <w:rFonts w:ascii="Arial"/>
                <w:sz w:val="21"/>
              </w:rPr>
            </w:pPr>
          </w:p>
          <w:p w14:paraId="44E72CA6">
            <w:pPr>
              <w:spacing w:before="58" w:line="195"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c>
          <w:tcPr>
            <w:tcW w:w="2420" w:type="dxa"/>
            <w:vMerge w:val="continue"/>
            <w:tcBorders>
              <w:top w:val="nil"/>
            </w:tcBorders>
            <w:vAlign w:val="top"/>
          </w:tcPr>
          <w:p w14:paraId="577B70AE">
            <w:pPr>
              <w:rPr>
                <w:rFonts w:ascii="Arial"/>
                <w:sz w:val="21"/>
              </w:rPr>
            </w:pPr>
          </w:p>
        </w:tc>
      </w:tr>
    </w:tbl>
    <w:p w14:paraId="0AF65101">
      <w:pPr>
        <w:pStyle w:val="2"/>
      </w:pPr>
    </w:p>
    <w:p w14:paraId="5E0AF9FF">
      <w:pPr>
        <w:sectPr>
          <w:footerReference r:id="rId116" w:type="default"/>
          <w:pgSz w:w="16839" w:h="11906"/>
          <w:pgMar w:top="1116" w:right="1419" w:bottom="1480" w:left="1419" w:header="683" w:footer="1318" w:gutter="0"/>
          <w:cols w:space="720" w:num="1"/>
        </w:sectPr>
      </w:pPr>
    </w:p>
    <w:p w14:paraId="6820F1BC">
      <w:pPr>
        <w:pStyle w:val="2"/>
        <w:spacing w:line="385" w:lineRule="auto"/>
      </w:pPr>
    </w:p>
    <w:p w14:paraId="66A6AB8F">
      <w:pPr>
        <w:spacing w:before="82" w:line="229" w:lineRule="auto"/>
        <w:ind w:left="125"/>
        <w:outlineLvl w:val="3"/>
        <w:rPr>
          <w:rFonts w:ascii="仿宋" w:hAnsi="仿宋" w:eastAsia="仿宋" w:cs="仿宋"/>
          <w:sz w:val="25"/>
          <w:szCs w:val="25"/>
        </w:rPr>
      </w:pPr>
      <w:r>
        <w:rPr>
          <w:rFonts w:ascii="Times New Roman" w:hAnsi="Times New Roman" w:eastAsia="Times New Roman" w:cs="Times New Roman"/>
          <w:b/>
          <w:bCs/>
          <w:spacing w:val="4"/>
          <w:sz w:val="25"/>
          <w:szCs w:val="25"/>
        </w:rPr>
        <w:t>3.1.4.4</w:t>
      </w:r>
      <w:r>
        <w:rPr>
          <w:rFonts w:ascii="Times New Roman" w:hAnsi="Times New Roman" w:eastAsia="Times New Roman" w:cs="Times New Roman"/>
          <w:b/>
          <w:bCs/>
          <w:spacing w:val="26"/>
          <w:w w:val="101"/>
          <w:sz w:val="25"/>
          <w:szCs w:val="25"/>
        </w:rPr>
        <w:t xml:space="preserve"> </w:t>
      </w:r>
      <w:r>
        <w:rPr>
          <w:rFonts w:ascii="仿宋" w:hAnsi="仿宋" w:eastAsia="仿宋" w:cs="仿宋"/>
          <w:b/>
          <w:bCs/>
          <w:spacing w:val="4"/>
          <w:sz w:val="25"/>
          <w:szCs w:val="25"/>
        </w:rPr>
        <w:t>声环境质量现状</w:t>
      </w:r>
    </w:p>
    <w:p w14:paraId="6FC8DE1D">
      <w:pPr>
        <w:spacing w:before="270" w:line="229" w:lineRule="auto"/>
        <w:ind w:left="623"/>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1</w:t>
      </w:r>
      <w:r>
        <w:rPr>
          <w:rFonts w:ascii="仿宋" w:hAnsi="仿宋" w:eastAsia="仿宋" w:cs="仿宋"/>
          <w:spacing w:val="7"/>
          <w:sz w:val="25"/>
          <w:szCs w:val="25"/>
        </w:rPr>
        <w:t>）黔江区声环境质量现状</w:t>
      </w:r>
    </w:p>
    <w:p w14:paraId="7B96979F">
      <w:pPr>
        <w:spacing w:before="146" w:line="341" w:lineRule="auto"/>
        <w:ind w:left="144" w:right="121" w:firstLine="475"/>
        <w:rPr>
          <w:rFonts w:ascii="仿宋" w:hAnsi="仿宋" w:eastAsia="仿宋" w:cs="仿宋"/>
          <w:sz w:val="25"/>
          <w:szCs w:val="25"/>
        </w:rPr>
      </w:pPr>
      <w:r>
        <w:rPr>
          <w:rFonts w:ascii="仿宋" w:hAnsi="仿宋" w:eastAsia="仿宋" w:cs="仿宋"/>
          <w:spacing w:val="9"/>
          <w:sz w:val="25"/>
          <w:szCs w:val="25"/>
        </w:rPr>
        <w:t>根据《重庆市黔江区环境质量报告书（</w:t>
      </w:r>
      <w:r>
        <w:rPr>
          <w:rFonts w:ascii="Times New Roman" w:hAnsi="Times New Roman" w:eastAsia="Times New Roman" w:cs="Times New Roman"/>
          <w:spacing w:val="9"/>
          <w:sz w:val="25"/>
          <w:szCs w:val="25"/>
        </w:rPr>
        <w:t>2020-202</w:t>
      </w:r>
      <w:r>
        <w:rPr>
          <w:rFonts w:ascii="Times New Roman" w:hAnsi="Times New Roman" w:eastAsia="Times New Roman" w:cs="Times New Roman"/>
          <w:spacing w:val="8"/>
          <w:sz w:val="25"/>
          <w:szCs w:val="25"/>
        </w:rPr>
        <w:t>3</w:t>
      </w:r>
      <w:r>
        <w:rPr>
          <w:rFonts w:ascii="Times New Roman" w:hAnsi="Times New Roman" w:eastAsia="Times New Roman" w:cs="Times New Roman"/>
          <w:spacing w:val="30"/>
          <w:sz w:val="25"/>
          <w:szCs w:val="25"/>
        </w:rPr>
        <w:t xml:space="preserve"> </w:t>
      </w:r>
      <w:r>
        <w:rPr>
          <w:rFonts w:ascii="仿宋" w:hAnsi="仿宋" w:eastAsia="仿宋" w:cs="仿宋"/>
          <w:spacing w:val="8"/>
          <w:sz w:val="25"/>
          <w:szCs w:val="25"/>
        </w:rPr>
        <w:t>年）》及《</w:t>
      </w:r>
      <w:r>
        <w:rPr>
          <w:rFonts w:ascii="Times New Roman" w:hAnsi="Times New Roman" w:eastAsia="Times New Roman" w:cs="Times New Roman"/>
          <w:spacing w:val="8"/>
          <w:sz w:val="25"/>
          <w:szCs w:val="25"/>
        </w:rPr>
        <w:t>2024</w:t>
      </w:r>
      <w:r>
        <w:rPr>
          <w:rFonts w:ascii="Times New Roman" w:hAnsi="Times New Roman" w:eastAsia="Times New Roman" w:cs="Times New Roman"/>
          <w:spacing w:val="27"/>
          <w:sz w:val="25"/>
          <w:szCs w:val="25"/>
        </w:rPr>
        <w:t xml:space="preserve"> </w:t>
      </w:r>
      <w:r>
        <w:rPr>
          <w:rFonts w:ascii="仿宋" w:hAnsi="仿宋" w:eastAsia="仿宋" w:cs="仿宋"/>
          <w:spacing w:val="8"/>
          <w:sz w:val="25"/>
          <w:szCs w:val="25"/>
        </w:rPr>
        <w:t>年黔江</w:t>
      </w:r>
      <w:r>
        <w:rPr>
          <w:rFonts w:ascii="仿宋" w:hAnsi="仿宋" w:eastAsia="仿宋" w:cs="仿宋"/>
          <w:sz w:val="25"/>
          <w:szCs w:val="25"/>
        </w:rPr>
        <w:t xml:space="preserve"> </w:t>
      </w:r>
      <w:r>
        <w:rPr>
          <w:rFonts w:ascii="仿宋" w:hAnsi="仿宋" w:eastAsia="仿宋" w:cs="仿宋"/>
          <w:spacing w:val="9"/>
          <w:sz w:val="25"/>
          <w:szCs w:val="25"/>
        </w:rPr>
        <w:t>区环境质量简报》，黔江区声环境质量保持较好。满足相应声环境功能区划的</w:t>
      </w:r>
      <w:r>
        <w:rPr>
          <w:rFonts w:ascii="仿宋" w:hAnsi="仿宋" w:eastAsia="仿宋" w:cs="仿宋"/>
          <w:spacing w:val="14"/>
          <w:sz w:val="25"/>
          <w:szCs w:val="25"/>
        </w:rPr>
        <w:t xml:space="preserve"> </w:t>
      </w:r>
      <w:r>
        <w:rPr>
          <w:rFonts w:ascii="仿宋" w:hAnsi="仿宋" w:eastAsia="仿宋" w:cs="仿宋"/>
          <w:spacing w:val="-2"/>
          <w:sz w:val="25"/>
          <w:szCs w:val="25"/>
        </w:rPr>
        <w:t>要求。</w:t>
      </w:r>
    </w:p>
    <w:p w14:paraId="17EA8406">
      <w:pPr>
        <w:spacing w:before="39" w:line="221" w:lineRule="auto"/>
        <w:ind w:left="871"/>
        <w:rPr>
          <w:rFonts w:ascii="Times New Roman" w:hAnsi="Times New Roman" w:eastAsia="Times New Roman" w:cs="Times New Roman"/>
          <w:sz w:val="20"/>
          <w:szCs w:val="20"/>
        </w:rPr>
      </w:pPr>
      <w:r>
        <w:rPr>
          <w:rFonts w:ascii="仿宋" w:hAnsi="仿宋" w:eastAsia="仿宋" w:cs="仿宋"/>
          <w:b/>
          <w:bCs/>
          <w:spacing w:val="6"/>
          <w:sz w:val="20"/>
          <w:szCs w:val="20"/>
        </w:rPr>
        <w:t>表</w:t>
      </w:r>
      <w:r>
        <w:rPr>
          <w:rFonts w:ascii="仿宋" w:hAnsi="仿宋" w:eastAsia="仿宋" w:cs="仿宋"/>
          <w:spacing w:val="-41"/>
          <w:sz w:val="20"/>
          <w:szCs w:val="20"/>
        </w:rPr>
        <w:t xml:space="preserve"> </w:t>
      </w:r>
      <w:r>
        <w:rPr>
          <w:rFonts w:ascii="Times New Roman" w:hAnsi="Times New Roman" w:eastAsia="Times New Roman" w:cs="Times New Roman"/>
          <w:b/>
          <w:bCs/>
          <w:spacing w:val="6"/>
          <w:sz w:val="20"/>
          <w:szCs w:val="20"/>
        </w:rPr>
        <w:t>3.1-13      2020-2024</w:t>
      </w:r>
      <w:r>
        <w:rPr>
          <w:rFonts w:ascii="Times New Roman" w:hAnsi="Times New Roman" w:eastAsia="Times New Roman" w:cs="Times New Roman"/>
          <w:b/>
          <w:bCs/>
          <w:spacing w:val="19"/>
          <w:w w:val="101"/>
          <w:sz w:val="20"/>
          <w:szCs w:val="20"/>
        </w:rPr>
        <w:t xml:space="preserve"> </w:t>
      </w:r>
      <w:r>
        <w:rPr>
          <w:rFonts w:ascii="仿宋" w:hAnsi="仿宋" w:eastAsia="仿宋" w:cs="仿宋"/>
          <w:b/>
          <w:bCs/>
          <w:spacing w:val="6"/>
          <w:sz w:val="20"/>
          <w:szCs w:val="20"/>
        </w:rPr>
        <w:t>年黔江区区域环境噪</w:t>
      </w:r>
      <w:r>
        <w:rPr>
          <w:rFonts w:ascii="仿宋" w:hAnsi="仿宋" w:eastAsia="仿宋" w:cs="仿宋"/>
          <w:b/>
          <w:bCs/>
          <w:spacing w:val="5"/>
          <w:sz w:val="20"/>
          <w:szCs w:val="20"/>
        </w:rPr>
        <w:t>声和道路交通噪声监测结果</w:t>
      </w:r>
      <w:r>
        <w:rPr>
          <w:rFonts w:ascii="仿宋" w:hAnsi="仿宋" w:eastAsia="仿宋" w:cs="仿宋"/>
          <w:spacing w:val="5"/>
          <w:sz w:val="20"/>
          <w:szCs w:val="20"/>
        </w:rPr>
        <w:t xml:space="preserve">   </w:t>
      </w:r>
      <w:r>
        <w:rPr>
          <w:rFonts w:ascii="Times New Roman" w:hAnsi="Times New Roman" w:eastAsia="Times New Roman" w:cs="Times New Roman"/>
          <w:b/>
          <w:bCs/>
          <w:sz w:val="20"/>
          <w:szCs w:val="20"/>
        </w:rPr>
        <w:t>dB</w:t>
      </w:r>
      <w:r>
        <w:rPr>
          <w:rFonts w:ascii="Times New Roman" w:hAnsi="Times New Roman" w:eastAsia="Times New Roman" w:cs="Times New Roman"/>
          <w:b/>
          <w:bCs/>
          <w:spacing w:val="5"/>
          <w:sz w:val="20"/>
          <w:szCs w:val="20"/>
        </w:rPr>
        <w:t>(A)</w:t>
      </w:r>
    </w:p>
    <w:p w14:paraId="635B445F">
      <w:pPr>
        <w:spacing w:line="32" w:lineRule="exact"/>
      </w:pPr>
    </w:p>
    <w:tbl>
      <w:tblPr>
        <w:tblStyle w:val="5"/>
        <w:tblW w:w="9060"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47"/>
        <w:gridCol w:w="1479"/>
        <w:gridCol w:w="1479"/>
        <w:gridCol w:w="1480"/>
        <w:gridCol w:w="1480"/>
        <w:gridCol w:w="1495"/>
      </w:tblGrid>
      <w:tr w14:paraId="2143BF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1647" w:type="dxa"/>
            <w:tcBorders>
              <w:top w:val="single" w:color="000000" w:sz="10" w:space="0"/>
              <w:left w:val="single" w:color="000000" w:sz="10" w:space="0"/>
            </w:tcBorders>
            <w:vAlign w:val="top"/>
          </w:tcPr>
          <w:p w14:paraId="61635F9E">
            <w:pPr>
              <w:pStyle w:val="6"/>
              <w:spacing w:before="131" w:line="232" w:lineRule="auto"/>
              <w:ind w:left="614"/>
              <w:rPr>
                <w:sz w:val="20"/>
                <w:szCs w:val="20"/>
              </w:rPr>
            </w:pPr>
            <w:r>
              <w:rPr>
                <w:sz w:val="20"/>
                <w:szCs w:val="20"/>
              </w:rPr>
              <w:t>类别</w:t>
            </w:r>
          </w:p>
        </w:tc>
        <w:tc>
          <w:tcPr>
            <w:tcW w:w="1479" w:type="dxa"/>
            <w:tcBorders>
              <w:top w:val="single" w:color="000000" w:sz="10" w:space="0"/>
            </w:tcBorders>
            <w:vAlign w:val="top"/>
          </w:tcPr>
          <w:p w14:paraId="579D0380">
            <w:pPr>
              <w:pStyle w:val="6"/>
              <w:spacing w:before="132" w:line="231" w:lineRule="auto"/>
              <w:ind w:left="393"/>
              <w:rPr>
                <w:sz w:val="20"/>
                <w:szCs w:val="20"/>
              </w:rPr>
            </w:pPr>
            <w:r>
              <w:rPr>
                <w:rFonts w:ascii="Times New Roman" w:hAnsi="Times New Roman" w:eastAsia="Times New Roman" w:cs="Times New Roman"/>
                <w:spacing w:val="3"/>
                <w:sz w:val="20"/>
                <w:szCs w:val="20"/>
              </w:rPr>
              <w:t>2020</w:t>
            </w:r>
            <w:r>
              <w:rPr>
                <w:rFonts w:ascii="Times New Roman" w:hAnsi="Times New Roman" w:eastAsia="Times New Roman" w:cs="Times New Roman"/>
                <w:spacing w:val="20"/>
                <w:sz w:val="20"/>
                <w:szCs w:val="20"/>
              </w:rPr>
              <w:t xml:space="preserve"> </w:t>
            </w:r>
            <w:r>
              <w:rPr>
                <w:spacing w:val="3"/>
                <w:sz w:val="20"/>
                <w:szCs w:val="20"/>
              </w:rPr>
              <w:t>年</w:t>
            </w:r>
          </w:p>
        </w:tc>
        <w:tc>
          <w:tcPr>
            <w:tcW w:w="1479" w:type="dxa"/>
            <w:tcBorders>
              <w:top w:val="single" w:color="000000" w:sz="10" w:space="0"/>
            </w:tcBorders>
            <w:vAlign w:val="top"/>
          </w:tcPr>
          <w:p w14:paraId="0AD23E7D">
            <w:pPr>
              <w:pStyle w:val="6"/>
              <w:spacing w:before="132" w:line="231" w:lineRule="auto"/>
              <w:ind w:left="397"/>
              <w:rPr>
                <w:sz w:val="20"/>
                <w:szCs w:val="20"/>
              </w:rPr>
            </w:pPr>
            <w:r>
              <w:rPr>
                <w:rFonts w:ascii="Times New Roman" w:hAnsi="Times New Roman" w:eastAsia="Times New Roman" w:cs="Times New Roman"/>
                <w:spacing w:val="3"/>
                <w:sz w:val="20"/>
                <w:szCs w:val="20"/>
              </w:rPr>
              <w:t>2021</w:t>
            </w:r>
            <w:r>
              <w:rPr>
                <w:rFonts w:ascii="Times New Roman" w:hAnsi="Times New Roman" w:eastAsia="Times New Roman" w:cs="Times New Roman"/>
                <w:spacing w:val="20"/>
                <w:sz w:val="20"/>
                <w:szCs w:val="20"/>
              </w:rPr>
              <w:t xml:space="preserve"> </w:t>
            </w:r>
            <w:r>
              <w:rPr>
                <w:spacing w:val="3"/>
                <w:sz w:val="20"/>
                <w:szCs w:val="20"/>
              </w:rPr>
              <w:t>年</w:t>
            </w:r>
          </w:p>
        </w:tc>
        <w:tc>
          <w:tcPr>
            <w:tcW w:w="1480" w:type="dxa"/>
            <w:tcBorders>
              <w:top w:val="single" w:color="000000" w:sz="10" w:space="0"/>
            </w:tcBorders>
            <w:vAlign w:val="top"/>
          </w:tcPr>
          <w:p w14:paraId="2B4F1D09">
            <w:pPr>
              <w:pStyle w:val="6"/>
              <w:spacing w:before="132" w:line="231" w:lineRule="auto"/>
              <w:ind w:left="402"/>
              <w:rPr>
                <w:sz w:val="20"/>
                <w:szCs w:val="20"/>
              </w:rPr>
            </w:pPr>
            <w:r>
              <w:rPr>
                <w:rFonts w:ascii="Times New Roman" w:hAnsi="Times New Roman" w:eastAsia="Times New Roman" w:cs="Times New Roman"/>
                <w:spacing w:val="3"/>
                <w:sz w:val="20"/>
                <w:szCs w:val="20"/>
              </w:rPr>
              <w:t>2022</w:t>
            </w:r>
            <w:r>
              <w:rPr>
                <w:rFonts w:ascii="Times New Roman" w:hAnsi="Times New Roman" w:eastAsia="Times New Roman" w:cs="Times New Roman"/>
                <w:spacing w:val="20"/>
                <w:sz w:val="20"/>
                <w:szCs w:val="20"/>
              </w:rPr>
              <w:t xml:space="preserve"> </w:t>
            </w:r>
            <w:r>
              <w:rPr>
                <w:spacing w:val="3"/>
                <w:sz w:val="20"/>
                <w:szCs w:val="20"/>
              </w:rPr>
              <w:t>年</w:t>
            </w:r>
          </w:p>
        </w:tc>
        <w:tc>
          <w:tcPr>
            <w:tcW w:w="1480" w:type="dxa"/>
            <w:tcBorders>
              <w:top w:val="single" w:color="000000" w:sz="10" w:space="0"/>
            </w:tcBorders>
            <w:vAlign w:val="top"/>
          </w:tcPr>
          <w:p w14:paraId="2F7D5B66">
            <w:pPr>
              <w:pStyle w:val="6"/>
              <w:spacing w:before="132" w:line="231" w:lineRule="auto"/>
              <w:ind w:left="407"/>
              <w:rPr>
                <w:sz w:val="20"/>
                <w:szCs w:val="20"/>
              </w:rPr>
            </w:pPr>
            <w:r>
              <w:rPr>
                <w:rFonts w:ascii="Times New Roman" w:hAnsi="Times New Roman" w:eastAsia="Times New Roman" w:cs="Times New Roman"/>
                <w:spacing w:val="2"/>
                <w:sz w:val="20"/>
                <w:szCs w:val="20"/>
              </w:rPr>
              <w:t>2023</w:t>
            </w:r>
            <w:r>
              <w:rPr>
                <w:rFonts w:ascii="Times New Roman" w:hAnsi="Times New Roman" w:eastAsia="Times New Roman" w:cs="Times New Roman"/>
                <w:spacing w:val="22"/>
                <w:w w:val="101"/>
                <w:sz w:val="20"/>
                <w:szCs w:val="20"/>
              </w:rPr>
              <w:t xml:space="preserve"> </w:t>
            </w:r>
            <w:r>
              <w:rPr>
                <w:spacing w:val="2"/>
                <w:sz w:val="20"/>
                <w:szCs w:val="20"/>
              </w:rPr>
              <w:t>年</w:t>
            </w:r>
          </w:p>
        </w:tc>
        <w:tc>
          <w:tcPr>
            <w:tcW w:w="1495" w:type="dxa"/>
            <w:tcBorders>
              <w:top w:val="single" w:color="000000" w:sz="10" w:space="0"/>
              <w:right w:val="single" w:color="000000" w:sz="10" w:space="0"/>
            </w:tcBorders>
            <w:vAlign w:val="top"/>
          </w:tcPr>
          <w:p w14:paraId="64C2C5FC">
            <w:pPr>
              <w:pStyle w:val="6"/>
              <w:spacing w:before="132" w:line="231" w:lineRule="auto"/>
              <w:ind w:left="410"/>
              <w:rPr>
                <w:sz w:val="20"/>
                <w:szCs w:val="20"/>
              </w:rPr>
            </w:pPr>
            <w:r>
              <w:rPr>
                <w:rFonts w:ascii="Times New Roman" w:hAnsi="Times New Roman" w:eastAsia="Times New Roman" w:cs="Times New Roman"/>
                <w:spacing w:val="3"/>
                <w:sz w:val="20"/>
                <w:szCs w:val="20"/>
              </w:rPr>
              <w:t>2024</w:t>
            </w:r>
            <w:r>
              <w:rPr>
                <w:rFonts w:ascii="Times New Roman" w:hAnsi="Times New Roman" w:eastAsia="Times New Roman" w:cs="Times New Roman"/>
                <w:spacing w:val="20"/>
                <w:sz w:val="20"/>
                <w:szCs w:val="20"/>
              </w:rPr>
              <w:t xml:space="preserve"> </w:t>
            </w:r>
            <w:r>
              <w:rPr>
                <w:spacing w:val="3"/>
                <w:sz w:val="20"/>
                <w:szCs w:val="20"/>
              </w:rPr>
              <w:t>年</w:t>
            </w:r>
          </w:p>
        </w:tc>
      </w:tr>
      <w:tr w14:paraId="40EBEB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647" w:type="dxa"/>
            <w:tcBorders>
              <w:left w:val="single" w:color="000000" w:sz="10" w:space="0"/>
            </w:tcBorders>
            <w:vAlign w:val="top"/>
          </w:tcPr>
          <w:p w14:paraId="2960F252">
            <w:pPr>
              <w:pStyle w:val="6"/>
              <w:spacing w:before="144" w:line="231" w:lineRule="auto"/>
              <w:ind w:left="210"/>
              <w:rPr>
                <w:sz w:val="20"/>
                <w:szCs w:val="20"/>
              </w:rPr>
            </w:pPr>
            <w:r>
              <w:rPr>
                <w:spacing w:val="4"/>
                <w:sz w:val="20"/>
                <w:szCs w:val="20"/>
              </w:rPr>
              <w:t>区域环境噪声</w:t>
            </w:r>
          </w:p>
        </w:tc>
        <w:tc>
          <w:tcPr>
            <w:tcW w:w="1479" w:type="dxa"/>
            <w:vAlign w:val="top"/>
          </w:tcPr>
          <w:p w14:paraId="6B8852DC">
            <w:pPr>
              <w:spacing w:before="180" w:line="195" w:lineRule="auto"/>
              <w:ind w:left="5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52.8</w:t>
            </w:r>
          </w:p>
        </w:tc>
        <w:tc>
          <w:tcPr>
            <w:tcW w:w="1479" w:type="dxa"/>
            <w:vAlign w:val="top"/>
          </w:tcPr>
          <w:p w14:paraId="34617E23">
            <w:pPr>
              <w:spacing w:before="180" w:line="195" w:lineRule="auto"/>
              <w:ind w:left="56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52.7</w:t>
            </w:r>
          </w:p>
        </w:tc>
        <w:tc>
          <w:tcPr>
            <w:tcW w:w="1480" w:type="dxa"/>
            <w:vAlign w:val="top"/>
          </w:tcPr>
          <w:p w14:paraId="1F167982">
            <w:pPr>
              <w:spacing w:before="180" w:line="195" w:lineRule="auto"/>
              <w:ind w:left="5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52.3</w:t>
            </w:r>
          </w:p>
        </w:tc>
        <w:tc>
          <w:tcPr>
            <w:tcW w:w="1480" w:type="dxa"/>
            <w:vAlign w:val="top"/>
          </w:tcPr>
          <w:p w14:paraId="20B4B307">
            <w:pPr>
              <w:spacing w:before="180" w:line="195" w:lineRule="auto"/>
              <w:ind w:left="5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52.8</w:t>
            </w:r>
          </w:p>
        </w:tc>
        <w:tc>
          <w:tcPr>
            <w:tcW w:w="1495" w:type="dxa"/>
            <w:tcBorders>
              <w:right w:val="single" w:color="000000" w:sz="10" w:space="0"/>
            </w:tcBorders>
            <w:vAlign w:val="top"/>
          </w:tcPr>
          <w:p w14:paraId="1F7D7814">
            <w:pPr>
              <w:spacing w:before="180" w:line="195" w:lineRule="auto"/>
              <w:ind w:left="57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52.7</w:t>
            </w:r>
          </w:p>
        </w:tc>
      </w:tr>
      <w:tr w14:paraId="349CEC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 w:hRule="atLeast"/>
        </w:trPr>
        <w:tc>
          <w:tcPr>
            <w:tcW w:w="1647" w:type="dxa"/>
            <w:tcBorders>
              <w:left w:val="single" w:color="000000" w:sz="10" w:space="0"/>
              <w:bottom w:val="single" w:color="000000" w:sz="10" w:space="0"/>
            </w:tcBorders>
            <w:vAlign w:val="top"/>
          </w:tcPr>
          <w:p w14:paraId="6F20551D">
            <w:pPr>
              <w:pStyle w:val="6"/>
              <w:spacing w:before="122" w:line="231" w:lineRule="auto"/>
              <w:ind w:left="193"/>
              <w:rPr>
                <w:sz w:val="20"/>
                <w:szCs w:val="20"/>
              </w:rPr>
            </w:pPr>
            <w:r>
              <w:rPr>
                <w:spacing w:val="7"/>
                <w:sz w:val="20"/>
                <w:szCs w:val="20"/>
              </w:rPr>
              <w:t>道路交通噪声</w:t>
            </w:r>
          </w:p>
        </w:tc>
        <w:tc>
          <w:tcPr>
            <w:tcW w:w="1479" w:type="dxa"/>
            <w:tcBorders>
              <w:bottom w:val="single" w:color="000000" w:sz="10" w:space="0"/>
            </w:tcBorders>
            <w:vAlign w:val="top"/>
          </w:tcPr>
          <w:p w14:paraId="4F177BB2">
            <w:pPr>
              <w:spacing w:before="158" w:line="195" w:lineRule="auto"/>
              <w:ind w:left="55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64.3</w:t>
            </w:r>
          </w:p>
        </w:tc>
        <w:tc>
          <w:tcPr>
            <w:tcW w:w="1479" w:type="dxa"/>
            <w:tcBorders>
              <w:bottom w:val="single" w:color="000000" w:sz="10" w:space="0"/>
            </w:tcBorders>
            <w:vAlign w:val="top"/>
          </w:tcPr>
          <w:p w14:paraId="2FC590CD">
            <w:pPr>
              <w:spacing w:before="158" w:line="195" w:lineRule="auto"/>
              <w:ind w:left="56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62.9</w:t>
            </w:r>
          </w:p>
        </w:tc>
        <w:tc>
          <w:tcPr>
            <w:tcW w:w="1480" w:type="dxa"/>
            <w:tcBorders>
              <w:bottom w:val="single" w:color="000000" w:sz="10" w:space="0"/>
            </w:tcBorders>
            <w:vAlign w:val="top"/>
          </w:tcPr>
          <w:p w14:paraId="6B8D65CF">
            <w:pPr>
              <w:spacing w:before="158" w:line="195" w:lineRule="auto"/>
              <w:ind w:left="5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63.3</w:t>
            </w:r>
          </w:p>
        </w:tc>
        <w:tc>
          <w:tcPr>
            <w:tcW w:w="1480" w:type="dxa"/>
            <w:tcBorders>
              <w:bottom w:val="single" w:color="000000" w:sz="10" w:space="0"/>
            </w:tcBorders>
            <w:vAlign w:val="top"/>
          </w:tcPr>
          <w:p w14:paraId="2C107F61">
            <w:pPr>
              <w:spacing w:before="158" w:line="195" w:lineRule="auto"/>
              <w:ind w:left="5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64.</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w:t>
            </w:r>
          </w:p>
        </w:tc>
        <w:tc>
          <w:tcPr>
            <w:tcW w:w="1495" w:type="dxa"/>
            <w:tcBorders>
              <w:bottom w:val="single" w:color="000000" w:sz="10" w:space="0"/>
              <w:right w:val="single" w:color="000000" w:sz="10" w:space="0"/>
            </w:tcBorders>
            <w:vAlign w:val="top"/>
          </w:tcPr>
          <w:p w14:paraId="0FA5637F">
            <w:pPr>
              <w:spacing w:before="158" w:line="195" w:lineRule="auto"/>
              <w:ind w:left="57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64.7</w:t>
            </w:r>
          </w:p>
        </w:tc>
      </w:tr>
    </w:tbl>
    <w:p w14:paraId="1D3BFA0D">
      <w:pPr>
        <w:pStyle w:val="2"/>
        <w:spacing w:line="243" w:lineRule="auto"/>
      </w:pPr>
    </w:p>
    <w:p w14:paraId="2D33DDAB">
      <w:pPr>
        <w:spacing w:before="65" w:line="231" w:lineRule="auto"/>
        <w:ind w:left="2366"/>
        <w:rPr>
          <w:rFonts w:ascii="仿宋" w:hAnsi="仿宋" w:eastAsia="仿宋" w:cs="仿宋"/>
          <w:sz w:val="20"/>
          <w:szCs w:val="20"/>
        </w:rPr>
      </w:pPr>
      <w:r>
        <w:rPr>
          <w:rFonts w:ascii="仿宋" w:hAnsi="仿宋" w:eastAsia="仿宋" w:cs="仿宋"/>
          <w:b/>
          <w:bCs/>
          <w:spacing w:val="6"/>
          <w:sz w:val="20"/>
          <w:szCs w:val="20"/>
        </w:rPr>
        <w:t>表</w:t>
      </w:r>
      <w:r>
        <w:rPr>
          <w:rFonts w:ascii="仿宋" w:hAnsi="仿宋" w:eastAsia="仿宋" w:cs="仿宋"/>
          <w:spacing w:val="-44"/>
          <w:sz w:val="20"/>
          <w:szCs w:val="20"/>
        </w:rPr>
        <w:t xml:space="preserve"> </w:t>
      </w:r>
      <w:r>
        <w:rPr>
          <w:rFonts w:ascii="Times New Roman" w:hAnsi="Times New Roman" w:eastAsia="Times New Roman" w:cs="Times New Roman"/>
          <w:b/>
          <w:bCs/>
          <w:spacing w:val="6"/>
          <w:sz w:val="20"/>
          <w:szCs w:val="20"/>
        </w:rPr>
        <w:t xml:space="preserve">3.1-14    </w:t>
      </w:r>
      <w:r>
        <w:rPr>
          <w:rFonts w:ascii="仿宋" w:hAnsi="仿宋" w:eastAsia="仿宋" w:cs="仿宋"/>
          <w:b/>
          <w:bCs/>
          <w:spacing w:val="6"/>
          <w:sz w:val="20"/>
          <w:szCs w:val="20"/>
        </w:rPr>
        <w:t>黔江区部分规划区域噪声现状统</w:t>
      </w:r>
      <w:r>
        <w:rPr>
          <w:rFonts w:ascii="仿宋" w:hAnsi="仿宋" w:eastAsia="仿宋" w:cs="仿宋"/>
          <w:b/>
          <w:bCs/>
          <w:spacing w:val="5"/>
          <w:sz w:val="20"/>
          <w:szCs w:val="20"/>
        </w:rPr>
        <w:t>计表</w:t>
      </w:r>
    </w:p>
    <w:p w14:paraId="4E6B9C0E">
      <w:pPr>
        <w:spacing w:line="21" w:lineRule="exact"/>
      </w:pPr>
    </w:p>
    <w:tbl>
      <w:tblPr>
        <w:tblStyle w:val="5"/>
        <w:tblW w:w="9059" w:type="dxa"/>
        <w:tblInd w:w="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8"/>
        <w:gridCol w:w="1739"/>
        <w:gridCol w:w="1581"/>
        <w:gridCol w:w="925"/>
        <w:gridCol w:w="1005"/>
        <w:gridCol w:w="768"/>
        <w:gridCol w:w="772"/>
        <w:gridCol w:w="1741"/>
      </w:tblGrid>
      <w:tr w14:paraId="72A1C0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528" w:type="dxa"/>
            <w:vMerge w:val="restart"/>
            <w:tcBorders>
              <w:top w:val="single" w:color="000000" w:sz="10" w:space="0"/>
              <w:left w:val="single" w:color="000000" w:sz="10" w:space="0"/>
              <w:bottom w:val="nil"/>
            </w:tcBorders>
            <w:textDirection w:val="tbRlV"/>
            <w:vAlign w:val="top"/>
          </w:tcPr>
          <w:p w14:paraId="73FB26A0">
            <w:pPr>
              <w:pStyle w:val="6"/>
              <w:spacing w:before="161" w:line="209" w:lineRule="auto"/>
              <w:ind w:left="171"/>
              <w:rPr>
                <w:sz w:val="20"/>
                <w:szCs w:val="20"/>
              </w:rPr>
            </w:pPr>
            <w:r>
              <w:rPr>
                <w:spacing w:val="13"/>
                <w:sz w:val="20"/>
                <w:szCs w:val="20"/>
              </w:rPr>
              <w:t>序</w:t>
            </w:r>
            <w:r>
              <w:rPr>
                <w:spacing w:val="-40"/>
                <w:sz w:val="20"/>
                <w:szCs w:val="20"/>
              </w:rPr>
              <w:t xml:space="preserve"> </w:t>
            </w:r>
            <w:r>
              <w:rPr>
                <w:spacing w:val="13"/>
                <w:sz w:val="20"/>
                <w:szCs w:val="20"/>
              </w:rPr>
              <w:t>号</w:t>
            </w:r>
          </w:p>
        </w:tc>
        <w:tc>
          <w:tcPr>
            <w:tcW w:w="1739" w:type="dxa"/>
            <w:vMerge w:val="restart"/>
            <w:tcBorders>
              <w:top w:val="single" w:color="000000" w:sz="10" w:space="0"/>
              <w:bottom w:val="nil"/>
            </w:tcBorders>
            <w:vAlign w:val="top"/>
          </w:tcPr>
          <w:p w14:paraId="5B6961B9">
            <w:pPr>
              <w:spacing w:line="242" w:lineRule="auto"/>
              <w:rPr>
                <w:rFonts w:ascii="Arial"/>
                <w:sz w:val="21"/>
              </w:rPr>
            </w:pPr>
          </w:p>
          <w:p w14:paraId="57901DB6">
            <w:pPr>
              <w:pStyle w:val="6"/>
              <w:spacing w:before="65" w:line="230" w:lineRule="auto"/>
              <w:ind w:left="455"/>
              <w:rPr>
                <w:sz w:val="20"/>
                <w:szCs w:val="20"/>
              </w:rPr>
            </w:pPr>
            <w:r>
              <w:rPr>
                <w:spacing w:val="4"/>
                <w:sz w:val="20"/>
                <w:szCs w:val="20"/>
              </w:rPr>
              <w:t>监测点位</w:t>
            </w:r>
          </w:p>
        </w:tc>
        <w:tc>
          <w:tcPr>
            <w:tcW w:w="1581" w:type="dxa"/>
            <w:vMerge w:val="restart"/>
            <w:tcBorders>
              <w:top w:val="single" w:color="000000" w:sz="10" w:space="0"/>
              <w:bottom w:val="nil"/>
            </w:tcBorders>
            <w:vAlign w:val="top"/>
          </w:tcPr>
          <w:p w14:paraId="17A3F77F">
            <w:pPr>
              <w:spacing w:line="241" w:lineRule="auto"/>
              <w:rPr>
                <w:rFonts w:ascii="Arial"/>
                <w:sz w:val="21"/>
              </w:rPr>
            </w:pPr>
          </w:p>
          <w:p w14:paraId="0D32B6FD">
            <w:pPr>
              <w:pStyle w:val="6"/>
              <w:spacing w:before="65" w:line="232" w:lineRule="auto"/>
              <w:ind w:left="379"/>
              <w:rPr>
                <w:sz w:val="20"/>
                <w:szCs w:val="20"/>
              </w:rPr>
            </w:pPr>
            <w:r>
              <w:rPr>
                <w:spacing w:val="4"/>
                <w:sz w:val="20"/>
                <w:szCs w:val="20"/>
              </w:rPr>
              <w:t>监测时间</w:t>
            </w:r>
          </w:p>
        </w:tc>
        <w:tc>
          <w:tcPr>
            <w:tcW w:w="925" w:type="dxa"/>
            <w:tcBorders>
              <w:top w:val="single" w:color="000000" w:sz="10" w:space="0"/>
            </w:tcBorders>
            <w:vAlign w:val="top"/>
          </w:tcPr>
          <w:p w14:paraId="4D0DACE6">
            <w:pPr>
              <w:pStyle w:val="6"/>
              <w:spacing w:before="38" w:line="216" w:lineRule="auto"/>
              <w:ind w:left="261"/>
              <w:rPr>
                <w:sz w:val="20"/>
                <w:szCs w:val="20"/>
              </w:rPr>
            </w:pPr>
            <w:r>
              <w:rPr>
                <w:spacing w:val="2"/>
                <w:sz w:val="20"/>
                <w:szCs w:val="20"/>
              </w:rPr>
              <w:t>昼间</w:t>
            </w:r>
          </w:p>
        </w:tc>
        <w:tc>
          <w:tcPr>
            <w:tcW w:w="1005" w:type="dxa"/>
            <w:tcBorders>
              <w:top w:val="single" w:color="000000" w:sz="10" w:space="0"/>
            </w:tcBorders>
            <w:vAlign w:val="top"/>
          </w:tcPr>
          <w:p w14:paraId="1190BFC3">
            <w:pPr>
              <w:pStyle w:val="6"/>
              <w:spacing w:before="38" w:line="216" w:lineRule="auto"/>
              <w:ind w:left="303"/>
              <w:rPr>
                <w:sz w:val="20"/>
                <w:szCs w:val="20"/>
              </w:rPr>
            </w:pPr>
            <w:r>
              <w:rPr>
                <w:spacing w:val="2"/>
                <w:sz w:val="20"/>
                <w:szCs w:val="20"/>
              </w:rPr>
              <w:t>夜间</w:t>
            </w:r>
          </w:p>
        </w:tc>
        <w:tc>
          <w:tcPr>
            <w:tcW w:w="1540" w:type="dxa"/>
            <w:gridSpan w:val="2"/>
            <w:tcBorders>
              <w:top w:val="single" w:color="000000" w:sz="10" w:space="0"/>
            </w:tcBorders>
            <w:vAlign w:val="top"/>
          </w:tcPr>
          <w:p w14:paraId="3FB848DF">
            <w:pPr>
              <w:pStyle w:val="6"/>
              <w:spacing w:before="38" w:line="216" w:lineRule="auto"/>
              <w:ind w:left="174"/>
              <w:rPr>
                <w:rFonts w:ascii="Times New Roman" w:hAnsi="Times New Roman" w:eastAsia="Times New Roman" w:cs="Times New Roman"/>
                <w:sz w:val="20"/>
                <w:szCs w:val="20"/>
              </w:rPr>
            </w:pPr>
            <w:r>
              <w:rPr>
                <w:spacing w:val="5"/>
                <w:sz w:val="20"/>
                <w:szCs w:val="20"/>
              </w:rPr>
              <w:t>标准值</w:t>
            </w:r>
            <w:r>
              <w:rPr>
                <w:spacing w:val="-39"/>
                <w:sz w:val="20"/>
                <w:szCs w:val="20"/>
              </w:rPr>
              <w:t xml:space="preserve"> </w:t>
            </w:r>
            <w:r>
              <w:rPr>
                <w:rFonts w:ascii="Times New Roman" w:hAnsi="Times New Roman" w:eastAsia="Times New Roman" w:cs="Times New Roman"/>
                <w:sz w:val="20"/>
                <w:szCs w:val="20"/>
              </w:rPr>
              <w:t>dB</w:t>
            </w:r>
            <w:r>
              <w:rPr>
                <w:rFonts w:ascii="Times New Roman" w:hAnsi="Times New Roman" w:eastAsia="Times New Roman" w:cs="Times New Roman"/>
                <w:spacing w:val="5"/>
                <w:sz w:val="20"/>
                <w:szCs w:val="20"/>
              </w:rPr>
              <w:t>(A)</w:t>
            </w:r>
          </w:p>
        </w:tc>
        <w:tc>
          <w:tcPr>
            <w:tcW w:w="1741" w:type="dxa"/>
            <w:vMerge w:val="restart"/>
            <w:tcBorders>
              <w:top w:val="single" w:color="000000" w:sz="10" w:space="0"/>
              <w:bottom w:val="nil"/>
              <w:right w:val="single" w:color="000000" w:sz="10" w:space="0"/>
            </w:tcBorders>
            <w:vAlign w:val="top"/>
          </w:tcPr>
          <w:p w14:paraId="36C99A62">
            <w:pPr>
              <w:pStyle w:val="6"/>
              <w:spacing w:before="37" w:line="230" w:lineRule="auto"/>
              <w:ind w:left="463"/>
              <w:rPr>
                <w:sz w:val="20"/>
                <w:szCs w:val="20"/>
              </w:rPr>
            </w:pPr>
            <w:r>
              <w:rPr>
                <w:spacing w:val="6"/>
                <w:sz w:val="20"/>
                <w:szCs w:val="20"/>
              </w:rPr>
              <w:t>数据来源</w:t>
            </w:r>
          </w:p>
          <w:p w14:paraId="59C5EAC6">
            <w:pPr>
              <w:pStyle w:val="6"/>
              <w:spacing w:before="21" w:line="231" w:lineRule="auto"/>
              <w:ind w:left="151"/>
              <w:rPr>
                <w:sz w:val="20"/>
                <w:szCs w:val="20"/>
              </w:rPr>
            </w:pPr>
            <w:r>
              <w:rPr>
                <w:spacing w:val="7"/>
                <w:sz w:val="20"/>
                <w:szCs w:val="20"/>
              </w:rPr>
              <w:t>（项目环境影响</w:t>
            </w:r>
          </w:p>
          <w:p w14:paraId="2608FE21">
            <w:pPr>
              <w:pStyle w:val="6"/>
              <w:spacing w:before="21" w:line="216" w:lineRule="auto"/>
              <w:ind w:left="463"/>
              <w:rPr>
                <w:sz w:val="20"/>
                <w:szCs w:val="20"/>
              </w:rPr>
            </w:pPr>
            <w:r>
              <w:rPr>
                <w:spacing w:val="3"/>
                <w:sz w:val="20"/>
                <w:szCs w:val="20"/>
              </w:rPr>
              <w:t>报告等）</w:t>
            </w:r>
          </w:p>
        </w:tc>
      </w:tr>
      <w:tr w14:paraId="2E4FC2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trPr>
        <w:tc>
          <w:tcPr>
            <w:tcW w:w="528" w:type="dxa"/>
            <w:vMerge w:val="continue"/>
            <w:tcBorders>
              <w:top w:val="nil"/>
              <w:left w:val="single" w:color="000000" w:sz="10" w:space="0"/>
            </w:tcBorders>
            <w:textDirection w:val="tbRlV"/>
            <w:vAlign w:val="top"/>
          </w:tcPr>
          <w:p w14:paraId="6E65BA43">
            <w:pPr>
              <w:rPr>
                <w:rFonts w:ascii="Arial"/>
                <w:sz w:val="21"/>
              </w:rPr>
            </w:pPr>
          </w:p>
        </w:tc>
        <w:tc>
          <w:tcPr>
            <w:tcW w:w="1739" w:type="dxa"/>
            <w:vMerge w:val="continue"/>
            <w:tcBorders>
              <w:top w:val="nil"/>
            </w:tcBorders>
            <w:vAlign w:val="top"/>
          </w:tcPr>
          <w:p w14:paraId="5F597694">
            <w:pPr>
              <w:rPr>
                <w:rFonts w:ascii="Arial"/>
                <w:sz w:val="21"/>
              </w:rPr>
            </w:pPr>
          </w:p>
        </w:tc>
        <w:tc>
          <w:tcPr>
            <w:tcW w:w="1581" w:type="dxa"/>
            <w:vMerge w:val="continue"/>
            <w:tcBorders>
              <w:top w:val="nil"/>
            </w:tcBorders>
            <w:vAlign w:val="top"/>
          </w:tcPr>
          <w:p w14:paraId="30F83DE8">
            <w:pPr>
              <w:rPr>
                <w:rFonts w:ascii="Arial"/>
                <w:sz w:val="21"/>
              </w:rPr>
            </w:pPr>
          </w:p>
        </w:tc>
        <w:tc>
          <w:tcPr>
            <w:tcW w:w="925" w:type="dxa"/>
            <w:vAlign w:val="top"/>
          </w:tcPr>
          <w:p w14:paraId="1D998E42">
            <w:pPr>
              <w:pStyle w:val="6"/>
              <w:spacing w:before="38" w:line="237" w:lineRule="auto"/>
              <w:ind w:left="193" w:right="143" w:hanging="32"/>
              <w:rPr>
                <w:rFonts w:ascii="Times New Roman" w:hAnsi="Times New Roman" w:eastAsia="Times New Roman" w:cs="Times New Roman"/>
                <w:sz w:val="20"/>
                <w:szCs w:val="20"/>
              </w:rPr>
            </w:pPr>
            <w:r>
              <w:rPr>
                <w:spacing w:val="3"/>
                <w:sz w:val="20"/>
                <w:szCs w:val="20"/>
              </w:rPr>
              <w:t>监测值</w:t>
            </w:r>
            <w:r>
              <w:rPr>
                <w:sz w:val="20"/>
                <w:szCs w:val="20"/>
              </w:rPr>
              <w:t xml:space="preserve"> </w:t>
            </w:r>
            <w:r>
              <w:rPr>
                <w:rFonts w:ascii="Times New Roman" w:hAnsi="Times New Roman" w:eastAsia="Times New Roman" w:cs="Times New Roman"/>
                <w:sz w:val="20"/>
                <w:szCs w:val="20"/>
              </w:rPr>
              <w:t>dB</w:t>
            </w:r>
            <w:r>
              <w:rPr>
                <w:rFonts w:ascii="Times New Roman" w:hAnsi="Times New Roman" w:eastAsia="Times New Roman" w:cs="Times New Roman"/>
                <w:spacing w:val="5"/>
                <w:sz w:val="20"/>
                <w:szCs w:val="20"/>
              </w:rPr>
              <w:t>(A)</w:t>
            </w:r>
          </w:p>
        </w:tc>
        <w:tc>
          <w:tcPr>
            <w:tcW w:w="1005" w:type="dxa"/>
            <w:vAlign w:val="top"/>
          </w:tcPr>
          <w:p w14:paraId="6516ABF8">
            <w:pPr>
              <w:pStyle w:val="6"/>
              <w:spacing w:before="32"/>
              <w:ind w:left="236" w:right="181" w:hanging="32"/>
              <w:rPr>
                <w:rFonts w:ascii="Times New Roman" w:hAnsi="Times New Roman" w:eastAsia="Times New Roman" w:cs="Times New Roman"/>
                <w:sz w:val="20"/>
                <w:szCs w:val="20"/>
              </w:rPr>
            </w:pPr>
            <w:r>
              <w:rPr>
                <w:spacing w:val="3"/>
                <w:sz w:val="20"/>
                <w:szCs w:val="20"/>
              </w:rPr>
              <w:t>监测值</w:t>
            </w:r>
            <w:r>
              <w:rPr>
                <w:sz w:val="20"/>
                <w:szCs w:val="20"/>
              </w:rPr>
              <w:t xml:space="preserve"> </w:t>
            </w:r>
            <w:r>
              <w:rPr>
                <w:rFonts w:ascii="Times New Roman" w:hAnsi="Times New Roman" w:eastAsia="Times New Roman" w:cs="Times New Roman"/>
                <w:sz w:val="20"/>
                <w:szCs w:val="20"/>
              </w:rPr>
              <w:t>dB</w:t>
            </w:r>
            <w:r>
              <w:rPr>
                <w:rFonts w:ascii="Times New Roman" w:hAnsi="Times New Roman" w:eastAsia="Times New Roman" w:cs="Times New Roman"/>
                <w:spacing w:val="5"/>
                <w:sz w:val="20"/>
                <w:szCs w:val="20"/>
              </w:rPr>
              <w:t>(A)</w:t>
            </w:r>
          </w:p>
        </w:tc>
        <w:tc>
          <w:tcPr>
            <w:tcW w:w="768" w:type="dxa"/>
            <w:vAlign w:val="top"/>
          </w:tcPr>
          <w:p w14:paraId="3673A9CF">
            <w:pPr>
              <w:pStyle w:val="6"/>
              <w:spacing w:before="157" w:line="232" w:lineRule="auto"/>
              <w:ind w:left="186"/>
              <w:rPr>
                <w:sz w:val="20"/>
                <w:szCs w:val="20"/>
              </w:rPr>
            </w:pPr>
            <w:r>
              <w:rPr>
                <w:spacing w:val="2"/>
                <w:sz w:val="20"/>
                <w:szCs w:val="20"/>
              </w:rPr>
              <w:t>昼间</w:t>
            </w:r>
          </w:p>
        </w:tc>
        <w:tc>
          <w:tcPr>
            <w:tcW w:w="772" w:type="dxa"/>
            <w:vAlign w:val="top"/>
          </w:tcPr>
          <w:p w14:paraId="3CF33351">
            <w:pPr>
              <w:pStyle w:val="6"/>
              <w:spacing w:before="158" w:line="231" w:lineRule="auto"/>
              <w:ind w:left="191"/>
              <w:rPr>
                <w:sz w:val="20"/>
                <w:szCs w:val="20"/>
              </w:rPr>
            </w:pPr>
            <w:r>
              <w:rPr>
                <w:spacing w:val="2"/>
                <w:sz w:val="20"/>
                <w:szCs w:val="20"/>
              </w:rPr>
              <w:t>夜间</w:t>
            </w:r>
          </w:p>
        </w:tc>
        <w:tc>
          <w:tcPr>
            <w:tcW w:w="1741" w:type="dxa"/>
            <w:vMerge w:val="continue"/>
            <w:tcBorders>
              <w:top w:val="nil"/>
              <w:right w:val="single" w:color="000000" w:sz="10" w:space="0"/>
            </w:tcBorders>
            <w:vAlign w:val="top"/>
          </w:tcPr>
          <w:p w14:paraId="58044F48">
            <w:pPr>
              <w:rPr>
                <w:rFonts w:ascii="Arial"/>
                <w:sz w:val="21"/>
              </w:rPr>
            </w:pPr>
          </w:p>
        </w:tc>
      </w:tr>
      <w:tr w14:paraId="05F35F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1" w:hRule="atLeast"/>
        </w:trPr>
        <w:tc>
          <w:tcPr>
            <w:tcW w:w="528" w:type="dxa"/>
            <w:vMerge w:val="restart"/>
            <w:tcBorders>
              <w:left w:val="single" w:color="000000" w:sz="10" w:space="0"/>
              <w:bottom w:val="nil"/>
            </w:tcBorders>
            <w:vAlign w:val="top"/>
          </w:tcPr>
          <w:p w14:paraId="7B78092A">
            <w:pPr>
              <w:spacing w:line="417" w:lineRule="auto"/>
              <w:rPr>
                <w:rFonts w:ascii="Arial"/>
                <w:sz w:val="21"/>
              </w:rPr>
            </w:pPr>
          </w:p>
          <w:p w14:paraId="70A76CF2">
            <w:pPr>
              <w:spacing w:before="58"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p>
        </w:tc>
        <w:tc>
          <w:tcPr>
            <w:tcW w:w="1739" w:type="dxa"/>
            <w:vAlign w:val="top"/>
          </w:tcPr>
          <w:p w14:paraId="6DF9E807">
            <w:pPr>
              <w:pStyle w:val="6"/>
              <w:spacing w:before="187" w:line="230" w:lineRule="auto"/>
              <w:ind w:left="138"/>
              <w:rPr>
                <w:sz w:val="20"/>
                <w:szCs w:val="20"/>
              </w:rPr>
            </w:pPr>
            <w:r>
              <w:rPr>
                <w:spacing w:val="7"/>
                <w:sz w:val="20"/>
                <w:szCs w:val="20"/>
              </w:rPr>
              <w:t>沙坝乡中心学校</w:t>
            </w:r>
          </w:p>
        </w:tc>
        <w:tc>
          <w:tcPr>
            <w:tcW w:w="1581" w:type="dxa"/>
            <w:vMerge w:val="restart"/>
            <w:tcBorders>
              <w:bottom w:val="nil"/>
            </w:tcBorders>
            <w:vAlign w:val="top"/>
          </w:tcPr>
          <w:p w14:paraId="3BC1A175">
            <w:pPr>
              <w:spacing w:line="417" w:lineRule="auto"/>
              <w:rPr>
                <w:rFonts w:ascii="Arial"/>
                <w:sz w:val="21"/>
              </w:rPr>
            </w:pPr>
          </w:p>
          <w:p w14:paraId="7E6046A8">
            <w:pPr>
              <w:spacing w:before="58"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2023.8.18</w:t>
            </w:r>
          </w:p>
        </w:tc>
        <w:tc>
          <w:tcPr>
            <w:tcW w:w="925" w:type="dxa"/>
            <w:vAlign w:val="top"/>
          </w:tcPr>
          <w:p w14:paraId="69D7E0AB">
            <w:pPr>
              <w:spacing w:before="223" w:line="195" w:lineRule="auto"/>
              <w:ind w:left="3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w:t>
            </w:r>
          </w:p>
        </w:tc>
        <w:tc>
          <w:tcPr>
            <w:tcW w:w="1005" w:type="dxa"/>
            <w:vAlign w:val="top"/>
          </w:tcPr>
          <w:p w14:paraId="3179F570">
            <w:pPr>
              <w:spacing w:before="223" w:line="195" w:lineRule="auto"/>
              <w:ind w:left="404"/>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tc>
        <w:tc>
          <w:tcPr>
            <w:tcW w:w="768" w:type="dxa"/>
            <w:vMerge w:val="restart"/>
            <w:tcBorders>
              <w:bottom w:val="nil"/>
            </w:tcBorders>
            <w:vAlign w:val="top"/>
          </w:tcPr>
          <w:p w14:paraId="473212C7">
            <w:pPr>
              <w:spacing w:line="417" w:lineRule="auto"/>
              <w:rPr>
                <w:rFonts w:ascii="Arial"/>
                <w:sz w:val="21"/>
              </w:rPr>
            </w:pPr>
          </w:p>
          <w:p w14:paraId="40374050">
            <w:pPr>
              <w:spacing w:before="58" w:line="195" w:lineRule="auto"/>
              <w:ind w:left="287"/>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772" w:type="dxa"/>
            <w:vMerge w:val="restart"/>
            <w:tcBorders>
              <w:bottom w:val="nil"/>
            </w:tcBorders>
            <w:vAlign w:val="top"/>
          </w:tcPr>
          <w:p w14:paraId="1EA61ACD">
            <w:pPr>
              <w:spacing w:line="417" w:lineRule="auto"/>
              <w:rPr>
                <w:rFonts w:ascii="Arial"/>
                <w:sz w:val="21"/>
              </w:rPr>
            </w:pPr>
          </w:p>
          <w:p w14:paraId="320F5209">
            <w:pPr>
              <w:spacing w:before="58" w:line="195" w:lineRule="auto"/>
              <w:ind w:left="293"/>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741" w:type="dxa"/>
            <w:vMerge w:val="restart"/>
            <w:tcBorders>
              <w:bottom w:val="nil"/>
              <w:right w:val="single" w:color="000000" w:sz="10" w:space="0"/>
            </w:tcBorders>
            <w:vAlign w:val="top"/>
          </w:tcPr>
          <w:p w14:paraId="61AF9FAC">
            <w:pPr>
              <w:pStyle w:val="6"/>
              <w:spacing w:before="33" w:line="232" w:lineRule="auto"/>
              <w:ind w:left="151"/>
              <w:rPr>
                <w:sz w:val="20"/>
                <w:szCs w:val="20"/>
              </w:rPr>
            </w:pPr>
            <w:r>
              <w:rPr>
                <w:spacing w:val="7"/>
                <w:sz w:val="20"/>
                <w:szCs w:val="20"/>
              </w:rPr>
              <w:t>黔江区沙坝镇污</w:t>
            </w:r>
          </w:p>
          <w:p w14:paraId="313AB848">
            <w:pPr>
              <w:pStyle w:val="6"/>
              <w:spacing w:before="22" w:line="232" w:lineRule="auto"/>
              <w:ind w:left="146"/>
              <w:rPr>
                <w:sz w:val="20"/>
                <w:szCs w:val="20"/>
              </w:rPr>
            </w:pPr>
            <w:r>
              <w:rPr>
                <w:spacing w:val="7"/>
                <w:sz w:val="20"/>
                <w:szCs w:val="20"/>
              </w:rPr>
              <w:t>水处理厂改扩建</w:t>
            </w:r>
          </w:p>
          <w:p w14:paraId="0D21832E">
            <w:pPr>
              <w:pStyle w:val="6"/>
              <w:spacing w:before="20" w:line="231" w:lineRule="auto"/>
              <w:ind w:left="151"/>
              <w:rPr>
                <w:sz w:val="20"/>
                <w:szCs w:val="20"/>
              </w:rPr>
            </w:pPr>
            <w:r>
              <w:rPr>
                <w:spacing w:val="7"/>
                <w:sz w:val="20"/>
                <w:szCs w:val="20"/>
              </w:rPr>
              <w:t>工程环境影响报</w:t>
            </w:r>
          </w:p>
          <w:p w14:paraId="7F09766F">
            <w:pPr>
              <w:pStyle w:val="6"/>
              <w:spacing w:before="24" w:line="207" w:lineRule="auto"/>
              <w:ind w:left="672"/>
              <w:rPr>
                <w:sz w:val="20"/>
                <w:szCs w:val="20"/>
              </w:rPr>
            </w:pPr>
            <w:r>
              <w:rPr>
                <w:spacing w:val="2"/>
                <w:sz w:val="20"/>
                <w:szCs w:val="20"/>
              </w:rPr>
              <w:t>告表</w:t>
            </w:r>
          </w:p>
        </w:tc>
      </w:tr>
      <w:tr w14:paraId="244188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6" w:hRule="atLeast"/>
        </w:trPr>
        <w:tc>
          <w:tcPr>
            <w:tcW w:w="528" w:type="dxa"/>
            <w:vMerge w:val="continue"/>
            <w:tcBorders>
              <w:top w:val="nil"/>
              <w:left w:val="single" w:color="000000" w:sz="10" w:space="0"/>
            </w:tcBorders>
            <w:vAlign w:val="top"/>
          </w:tcPr>
          <w:p w14:paraId="31E98867">
            <w:pPr>
              <w:rPr>
                <w:rFonts w:ascii="Arial"/>
                <w:sz w:val="21"/>
              </w:rPr>
            </w:pPr>
          </w:p>
        </w:tc>
        <w:tc>
          <w:tcPr>
            <w:tcW w:w="1739" w:type="dxa"/>
            <w:vAlign w:val="top"/>
          </w:tcPr>
          <w:p w14:paraId="6DE1F063">
            <w:pPr>
              <w:pStyle w:val="6"/>
              <w:spacing w:before="148" w:line="231" w:lineRule="auto"/>
              <w:ind w:left="555"/>
              <w:rPr>
                <w:sz w:val="20"/>
                <w:szCs w:val="20"/>
              </w:rPr>
            </w:pPr>
            <w:r>
              <w:rPr>
                <w:spacing w:val="5"/>
                <w:sz w:val="20"/>
                <w:szCs w:val="20"/>
              </w:rPr>
              <w:t>居民点</w:t>
            </w:r>
          </w:p>
        </w:tc>
        <w:tc>
          <w:tcPr>
            <w:tcW w:w="1581" w:type="dxa"/>
            <w:vMerge w:val="continue"/>
            <w:tcBorders>
              <w:top w:val="nil"/>
            </w:tcBorders>
            <w:vAlign w:val="top"/>
          </w:tcPr>
          <w:p w14:paraId="5C855ECE">
            <w:pPr>
              <w:rPr>
                <w:rFonts w:ascii="Arial"/>
                <w:sz w:val="21"/>
              </w:rPr>
            </w:pPr>
          </w:p>
        </w:tc>
        <w:tc>
          <w:tcPr>
            <w:tcW w:w="925" w:type="dxa"/>
            <w:vAlign w:val="top"/>
          </w:tcPr>
          <w:p w14:paraId="0995F29C">
            <w:pPr>
              <w:spacing w:before="184" w:line="195" w:lineRule="auto"/>
              <w:ind w:left="3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w:t>
            </w:r>
          </w:p>
        </w:tc>
        <w:tc>
          <w:tcPr>
            <w:tcW w:w="1005" w:type="dxa"/>
            <w:vAlign w:val="top"/>
          </w:tcPr>
          <w:p w14:paraId="1C541A51">
            <w:pPr>
              <w:spacing w:before="184" w:line="195" w:lineRule="auto"/>
              <w:ind w:left="404"/>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tc>
        <w:tc>
          <w:tcPr>
            <w:tcW w:w="768" w:type="dxa"/>
            <w:vMerge w:val="continue"/>
            <w:tcBorders>
              <w:top w:val="nil"/>
            </w:tcBorders>
            <w:vAlign w:val="top"/>
          </w:tcPr>
          <w:p w14:paraId="712D5067">
            <w:pPr>
              <w:rPr>
                <w:rFonts w:ascii="Arial"/>
                <w:sz w:val="21"/>
              </w:rPr>
            </w:pPr>
          </w:p>
        </w:tc>
        <w:tc>
          <w:tcPr>
            <w:tcW w:w="772" w:type="dxa"/>
            <w:vMerge w:val="continue"/>
            <w:tcBorders>
              <w:top w:val="nil"/>
            </w:tcBorders>
            <w:vAlign w:val="top"/>
          </w:tcPr>
          <w:p w14:paraId="2DD2E669">
            <w:pPr>
              <w:rPr>
                <w:rFonts w:ascii="Arial"/>
                <w:sz w:val="21"/>
              </w:rPr>
            </w:pPr>
          </w:p>
        </w:tc>
        <w:tc>
          <w:tcPr>
            <w:tcW w:w="1741" w:type="dxa"/>
            <w:vMerge w:val="continue"/>
            <w:tcBorders>
              <w:top w:val="nil"/>
              <w:right w:val="single" w:color="000000" w:sz="10" w:space="0"/>
            </w:tcBorders>
            <w:vAlign w:val="top"/>
          </w:tcPr>
          <w:p w14:paraId="17B6527C">
            <w:pPr>
              <w:rPr>
                <w:rFonts w:ascii="Arial"/>
                <w:sz w:val="21"/>
              </w:rPr>
            </w:pPr>
          </w:p>
        </w:tc>
      </w:tr>
      <w:tr w14:paraId="3CCAE5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528" w:type="dxa"/>
            <w:tcBorders>
              <w:left w:val="single" w:color="000000" w:sz="10" w:space="0"/>
            </w:tcBorders>
            <w:vAlign w:val="top"/>
          </w:tcPr>
          <w:p w14:paraId="080CF1E1">
            <w:pPr>
              <w:spacing w:line="291" w:lineRule="auto"/>
              <w:rPr>
                <w:rFonts w:ascii="Arial"/>
                <w:sz w:val="21"/>
              </w:rPr>
            </w:pPr>
          </w:p>
          <w:p w14:paraId="30A55867">
            <w:pPr>
              <w:spacing w:before="57" w:line="195" w:lineRule="auto"/>
              <w:ind w:left="1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w:t>
            </w:r>
          </w:p>
        </w:tc>
        <w:tc>
          <w:tcPr>
            <w:tcW w:w="1739" w:type="dxa"/>
            <w:vAlign w:val="top"/>
          </w:tcPr>
          <w:p w14:paraId="67F44C56">
            <w:pPr>
              <w:pStyle w:val="6"/>
              <w:spacing w:before="40" w:line="236" w:lineRule="auto"/>
              <w:ind w:left="185" w:right="138" w:hanging="46"/>
              <w:jc w:val="both"/>
              <w:rPr>
                <w:sz w:val="20"/>
                <w:szCs w:val="20"/>
              </w:rPr>
            </w:pPr>
            <w:r>
              <w:rPr>
                <w:spacing w:val="7"/>
                <w:sz w:val="20"/>
                <w:szCs w:val="20"/>
              </w:rPr>
              <w:t>黔江区中塘镇中</w:t>
            </w:r>
            <w:r>
              <w:rPr>
                <w:sz w:val="20"/>
                <w:szCs w:val="20"/>
              </w:rPr>
              <w:t xml:space="preserve"> </w:t>
            </w:r>
            <w:r>
              <w:rPr>
                <w:spacing w:val="2"/>
                <w:sz w:val="20"/>
                <w:szCs w:val="20"/>
              </w:rPr>
              <w:t>塘村</w:t>
            </w:r>
            <w:r>
              <w:rPr>
                <w:spacing w:val="17"/>
                <w:sz w:val="20"/>
                <w:szCs w:val="20"/>
              </w:rPr>
              <w:t xml:space="preserve"> </w:t>
            </w:r>
            <w:r>
              <w:rPr>
                <w:rFonts w:ascii="Times New Roman" w:hAnsi="Times New Roman" w:eastAsia="Times New Roman" w:cs="Times New Roman"/>
                <w:spacing w:val="2"/>
                <w:sz w:val="20"/>
                <w:szCs w:val="20"/>
              </w:rPr>
              <w:t>5</w:t>
            </w:r>
            <w:r>
              <w:rPr>
                <w:rFonts w:ascii="Times New Roman" w:hAnsi="Times New Roman" w:eastAsia="Times New Roman" w:cs="Times New Roman"/>
                <w:spacing w:val="10"/>
                <w:sz w:val="20"/>
                <w:szCs w:val="20"/>
              </w:rPr>
              <w:t xml:space="preserve">  </w:t>
            </w:r>
            <w:r>
              <w:rPr>
                <w:spacing w:val="2"/>
                <w:sz w:val="20"/>
                <w:szCs w:val="20"/>
              </w:rPr>
              <w:t>组拟建</w:t>
            </w:r>
            <w:r>
              <w:rPr>
                <w:spacing w:val="1"/>
                <w:sz w:val="20"/>
                <w:szCs w:val="20"/>
              </w:rPr>
              <w:t xml:space="preserve"> </w:t>
            </w:r>
            <w:r>
              <w:rPr>
                <w:spacing w:val="16"/>
                <w:sz w:val="20"/>
                <w:szCs w:val="20"/>
              </w:rPr>
              <w:t>升压站站址处</w:t>
            </w:r>
          </w:p>
        </w:tc>
        <w:tc>
          <w:tcPr>
            <w:tcW w:w="1581" w:type="dxa"/>
            <w:vAlign w:val="top"/>
          </w:tcPr>
          <w:p w14:paraId="4CA3BE25">
            <w:pPr>
              <w:spacing w:line="291" w:lineRule="auto"/>
              <w:rPr>
                <w:rFonts w:ascii="Arial"/>
                <w:sz w:val="21"/>
              </w:rPr>
            </w:pPr>
          </w:p>
          <w:p w14:paraId="37A789C7">
            <w:pPr>
              <w:spacing w:before="57" w:line="195" w:lineRule="auto"/>
              <w:ind w:left="14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2024.2.26-2.28</w:t>
            </w:r>
          </w:p>
        </w:tc>
        <w:tc>
          <w:tcPr>
            <w:tcW w:w="925" w:type="dxa"/>
            <w:vAlign w:val="top"/>
          </w:tcPr>
          <w:p w14:paraId="247F25D3">
            <w:pPr>
              <w:spacing w:line="291" w:lineRule="auto"/>
              <w:rPr>
                <w:rFonts w:ascii="Arial"/>
                <w:sz w:val="21"/>
              </w:rPr>
            </w:pPr>
          </w:p>
          <w:p w14:paraId="50E1ACB5">
            <w:pPr>
              <w:spacing w:before="57"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48-50</w:t>
            </w:r>
          </w:p>
        </w:tc>
        <w:tc>
          <w:tcPr>
            <w:tcW w:w="1005" w:type="dxa"/>
            <w:vAlign w:val="top"/>
          </w:tcPr>
          <w:p w14:paraId="09031EF0">
            <w:pPr>
              <w:spacing w:line="291" w:lineRule="auto"/>
              <w:rPr>
                <w:rFonts w:ascii="Arial"/>
                <w:sz w:val="21"/>
              </w:rPr>
            </w:pPr>
          </w:p>
          <w:p w14:paraId="13BE0CCE">
            <w:pPr>
              <w:spacing w:before="57" w:line="195"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38-39</w:t>
            </w:r>
          </w:p>
        </w:tc>
        <w:tc>
          <w:tcPr>
            <w:tcW w:w="768" w:type="dxa"/>
            <w:vAlign w:val="top"/>
          </w:tcPr>
          <w:p w14:paraId="73B3B6A4">
            <w:pPr>
              <w:spacing w:line="293" w:lineRule="auto"/>
              <w:rPr>
                <w:rFonts w:ascii="Arial"/>
                <w:sz w:val="21"/>
              </w:rPr>
            </w:pPr>
          </w:p>
          <w:p w14:paraId="1F18046F">
            <w:pPr>
              <w:spacing w:before="58" w:line="192" w:lineRule="auto"/>
              <w:ind w:left="288"/>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772" w:type="dxa"/>
            <w:vAlign w:val="top"/>
          </w:tcPr>
          <w:p w14:paraId="164B448B">
            <w:pPr>
              <w:spacing w:line="291" w:lineRule="auto"/>
              <w:rPr>
                <w:rFonts w:ascii="Arial"/>
                <w:sz w:val="21"/>
              </w:rPr>
            </w:pPr>
          </w:p>
          <w:p w14:paraId="0379912B">
            <w:pPr>
              <w:spacing w:before="57"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1741" w:type="dxa"/>
            <w:tcBorders>
              <w:right w:val="single" w:color="000000" w:sz="10" w:space="0"/>
            </w:tcBorders>
            <w:vAlign w:val="top"/>
          </w:tcPr>
          <w:p w14:paraId="56016848">
            <w:pPr>
              <w:pStyle w:val="6"/>
              <w:spacing w:before="40" w:line="236" w:lineRule="auto"/>
              <w:ind w:left="200" w:right="121" w:hanging="49"/>
              <w:jc w:val="both"/>
              <w:rPr>
                <w:sz w:val="20"/>
                <w:szCs w:val="20"/>
              </w:rPr>
            </w:pPr>
            <w:r>
              <w:rPr>
                <w:spacing w:val="7"/>
                <w:sz w:val="20"/>
                <w:szCs w:val="20"/>
              </w:rPr>
              <w:t>黔江中塘光伏项</w:t>
            </w:r>
            <w:r>
              <w:rPr>
                <w:sz w:val="20"/>
                <w:szCs w:val="20"/>
              </w:rPr>
              <w:t xml:space="preserve"> </w:t>
            </w:r>
            <w:r>
              <w:rPr>
                <w:spacing w:val="2"/>
                <w:sz w:val="20"/>
                <w:szCs w:val="20"/>
              </w:rPr>
              <w:t>目（</w:t>
            </w:r>
            <w:r>
              <w:rPr>
                <w:rFonts w:ascii="Times New Roman" w:hAnsi="Times New Roman" w:eastAsia="Times New Roman" w:cs="Times New Roman"/>
                <w:spacing w:val="2"/>
                <w:sz w:val="20"/>
                <w:szCs w:val="20"/>
              </w:rPr>
              <w:t>70</w:t>
            </w:r>
            <w:r>
              <w:rPr>
                <w:rFonts w:ascii="Times New Roman" w:hAnsi="Times New Roman" w:eastAsia="Times New Roman" w:cs="Times New Roman"/>
                <w:sz w:val="20"/>
                <w:szCs w:val="20"/>
              </w:rPr>
              <w:t>MW</w:t>
            </w:r>
            <w:r>
              <w:rPr>
                <w:spacing w:val="2"/>
                <w:sz w:val="20"/>
                <w:szCs w:val="20"/>
              </w:rPr>
              <w:t xml:space="preserve">）环 </w:t>
            </w:r>
            <w:r>
              <w:rPr>
                <w:spacing w:val="16"/>
                <w:sz w:val="20"/>
                <w:szCs w:val="20"/>
              </w:rPr>
              <w:t>境影响报告表</w:t>
            </w:r>
          </w:p>
        </w:tc>
      </w:tr>
      <w:tr w14:paraId="425D17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0" w:hRule="atLeast"/>
        </w:trPr>
        <w:tc>
          <w:tcPr>
            <w:tcW w:w="528" w:type="dxa"/>
            <w:tcBorders>
              <w:left w:val="single" w:color="000000" w:sz="10" w:space="0"/>
              <w:bottom w:val="single" w:color="000000" w:sz="10" w:space="0"/>
            </w:tcBorders>
            <w:vAlign w:val="top"/>
          </w:tcPr>
          <w:p w14:paraId="0043CC8F">
            <w:pPr>
              <w:spacing w:line="283" w:lineRule="auto"/>
              <w:rPr>
                <w:rFonts w:ascii="Arial"/>
                <w:sz w:val="21"/>
              </w:rPr>
            </w:pPr>
          </w:p>
          <w:p w14:paraId="681229C6">
            <w:pPr>
              <w:spacing w:line="283" w:lineRule="auto"/>
              <w:rPr>
                <w:rFonts w:ascii="Arial"/>
                <w:sz w:val="21"/>
              </w:rPr>
            </w:pPr>
          </w:p>
          <w:p w14:paraId="00F74841">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739" w:type="dxa"/>
            <w:tcBorders>
              <w:bottom w:val="single" w:color="000000" w:sz="10" w:space="0"/>
            </w:tcBorders>
            <w:vAlign w:val="top"/>
          </w:tcPr>
          <w:p w14:paraId="593608EC">
            <w:pPr>
              <w:spacing w:line="388" w:lineRule="auto"/>
              <w:rPr>
                <w:rFonts w:ascii="Arial"/>
                <w:sz w:val="21"/>
              </w:rPr>
            </w:pPr>
          </w:p>
          <w:p w14:paraId="5B5D3C5E">
            <w:pPr>
              <w:pStyle w:val="6"/>
              <w:spacing w:before="65" w:line="251" w:lineRule="auto"/>
              <w:ind w:left="668" w:right="138" w:hanging="532"/>
              <w:rPr>
                <w:sz w:val="20"/>
                <w:szCs w:val="20"/>
              </w:rPr>
            </w:pPr>
            <w:r>
              <w:rPr>
                <w:spacing w:val="7"/>
                <w:sz w:val="20"/>
                <w:szCs w:val="20"/>
              </w:rPr>
              <w:t>项目加工区厂界</w:t>
            </w:r>
            <w:r>
              <w:rPr>
                <w:spacing w:val="4"/>
                <w:sz w:val="20"/>
                <w:szCs w:val="20"/>
              </w:rPr>
              <w:t xml:space="preserve"> </w:t>
            </w:r>
            <w:r>
              <w:rPr>
                <w:spacing w:val="-3"/>
                <w:sz w:val="20"/>
                <w:szCs w:val="20"/>
              </w:rPr>
              <w:t>南侧</w:t>
            </w:r>
          </w:p>
        </w:tc>
        <w:tc>
          <w:tcPr>
            <w:tcW w:w="1581" w:type="dxa"/>
            <w:tcBorders>
              <w:bottom w:val="single" w:color="000000" w:sz="10" w:space="0"/>
            </w:tcBorders>
            <w:vAlign w:val="top"/>
          </w:tcPr>
          <w:p w14:paraId="1D388759">
            <w:pPr>
              <w:spacing w:line="283" w:lineRule="auto"/>
              <w:rPr>
                <w:rFonts w:ascii="Arial"/>
                <w:sz w:val="21"/>
              </w:rPr>
            </w:pPr>
          </w:p>
          <w:p w14:paraId="2C9DD663">
            <w:pPr>
              <w:spacing w:line="283" w:lineRule="auto"/>
              <w:rPr>
                <w:rFonts w:ascii="Arial"/>
                <w:sz w:val="21"/>
              </w:rPr>
            </w:pPr>
          </w:p>
          <w:p w14:paraId="03DF64C5">
            <w:pPr>
              <w:spacing w:before="57"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2022.10.17</w:t>
            </w:r>
          </w:p>
        </w:tc>
        <w:tc>
          <w:tcPr>
            <w:tcW w:w="925" w:type="dxa"/>
            <w:tcBorders>
              <w:bottom w:val="single" w:color="000000" w:sz="10" w:space="0"/>
            </w:tcBorders>
            <w:vAlign w:val="top"/>
          </w:tcPr>
          <w:p w14:paraId="60224DBC">
            <w:pPr>
              <w:spacing w:line="283" w:lineRule="auto"/>
              <w:rPr>
                <w:rFonts w:ascii="Arial"/>
                <w:sz w:val="21"/>
              </w:rPr>
            </w:pPr>
          </w:p>
          <w:p w14:paraId="6FCECF20">
            <w:pPr>
              <w:spacing w:line="283" w:lineRule="auto"/>
              <w:rPr>
                <w:rFonts w:ascii="Arial"/>
                <w:sz w:val="21"/>
              </w:rPr>
            </w:pPr>
          </w:p>
          <w:p w14:paraId="5624853D">
            <w:pPr>
              <w:spacing w:before="57" w:line="195" w:lineRule="auto"/>
              <w:ind w:left="3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p>
        </w:tc>
        <w:tc>
          <w:tcPr>
            <w:tcW w:w="1005" w:type="dxa"/>
            <w:tcBorders>
              <w:bottom w:val="single" w:color="000000" w:sz="10" w:space="0"/>
            </w:tcBorders>
            <w:vAlign w:val="top"/>
          </w:tcPr>
          <w:p w14:paraId="1DE6B03F">
            <w:pPr>
              <w:spacing w:line="283" w:lineRule="auto"/>
              <w:rPr>
                <w:rFonts w:ascii="Arial"/>
                <w:sz w:val="21"/>
              </w:rPr>
            </w:pPr>
          </w:p>
          <w:p w14:paraId="7846DA9A">
            <w:pPr>
              <w:spacing w:line="283" w:lineRule="auto"/>
              <w:rPr>
                <w:rFonts w:ascii="Arial"/>
                <w:sz w:val="21"/>
              </w:rPr>
            </w:pPr>
          </w:p>
          <w:p w14:paraId="5F991120">
            <w:pPr>
              <w:spacing w:before="57" w:line="195" w:lineRule="auto"/>
              <w:ind w:left="3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768" w:type="dxa"/>
            <w:tcBorders>
              <w:bottom w:val="single" w:color="000000" w:sz="10" w:space="0"/>
            </w:tcBorders>
            <w:vAlign w:val="top"/>
          </w:tcPr>
          <w:p w14:paraId="46B9A6CC">
            <w:pPr>
              <w:spacing w:line="283" w:lineRule="auto"/>
              <w:rPr>
                <w:rFonts w:ascii="Arial"/>
                <w:sz w:val="21"/>
              </w:rPr>
            </w:pPr>
          </w:p>
          <w:p w14:paraId="042CA248">
            <w:pPr>
              <w:spacing w:line="283" w:lineRule="auto"/>
              <w:rPr>
                <w:rFonts w:ascii="Arial"/>
                <w:sz w:val="21"/>
              </w:rPr>
            </w:pPr>
          </w:p>
          <w:p w14:paraId="0332E766">
            <w:pPr>
              <w:spacing w:before="57" w:line="195" w:lineRule="auto"/>
              <w:ind w:left="287"/>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772" w:type="dxa"/>
            <w:tcBorders>
              <w:bottom w:val="single" w:color="000000" w:sz="10" w:space="0"/>
            </w:tcBorders>
            <w:vAlign w:val="top"/>
          </w:tcPr>
          <w:p w14:paraId="6832502D">
            <w:pPr>
              <w:spacing w:line="283" w:lineRule="auto"/>
              <w:rPr>
                <w:rFonts w:ascii="Arial"/>
                <w:sz w:val="21"/>
              </w:rPr>
            </w:pPr>
          </w:p>
          <w:p w14:paraId="5332A39A">
            <w:pPr>
              <w:spacing w:line="283" w:lineRule="auto"/>
              <w:rPr>
                <w:rFonts w:ascii="Arial"/>
                <w:sz w:val="21"/>
              </w:rPr>
            </w:pPr>
          </w:p>
          <w:p w14:paraId="0855F8A6">
            <w:pPr>
              <w:spacing w:before="57" w:line="195" w:lineRule="auto"/>
              <w:ind w:left="293"/>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741" w:type="dxa"/>
            <w:tcBorders>
              <w:bottom w:val="single" w:color="000000" w:sz="10" w:space="0"/>
              <w:right w:val="single" w:color="000000" w:sz="10" w:space="0"/>
            </w:tcBorders>
            <w:vAlign w:val="top"/>
          </w:tcPr>
          <w:p w14:paraId="5FAFB8B7">
            <w:pPr>
              <w:pStyle w:val="6"/>
              <w:spacing w:before="46" w:line="231" w:lineRule="auto"/>
              <w:ind w:left="153"/>
              <w:rPr>
                <w:sz w:val="20"/>
                <w:szCs w:val="20"/>
              </w:rPr>
            </w:pPr>
            <w:r>
              <w:rPr>
                <w:spacing w:val="6"/>
                <w:sz w:val="20"/>
                <w:szCs w:val="20"/>
              </w:rPr>
              <w:t>重庆市黔江区杉</w:t>
            </w:r>
          </w:p>
          <w:p w14:paraId="7D345FC7">
            <w:pPr>
              <w:pStyle w:val="6"/>
              <w:spacing w:before="21" w:line="230" w:lineRule="auto"/>
              <w:ind w:left="151"/>
              <w:rPr>
                <w:sz w:val="20"/>
                <w:szCs w:val="20"/>
              </w:rPr>
            </w:pPr>
            <w:r>
              <w:rPr>
                <w:spacing w:val="7"/>
                <w:sz w:val="20"/>
                <w:szCs w:val="20"/>
              </w:rPr>
              <w:t>岭乡兴隆村后河</w:t>
            </w:r>
          </w:p>
          <w:p w14:paraId="45E37F6F">
            <w:pPr>
              <w:pStyle w:val="6"/>
              <w:spacing w:before="23" w:line="229" w:lineRule="auto"/>
              <w:ind w:left="146"/>
              <w:rPr>
                <w:sz w:val="20"/>
                <w:szCs w:val="20"/>
              </w:rPr>
            </w:pPr>
            <w:r>
              <w:rPr>
                <w:spacing w:val="7"/>
                <w:sz w:val="20"/>
                <w:szCs w:val="20"/>
              </w:rPr>
              <w:t>建筑石料用灰岩</w:t>
            </w:r>
          </w:p>
          <w:p w14:paraId="64836D96">
            <w:pPr>
              <w:pStyle w:val="6"/>
              <w:spacing w:before="23" w:line="231" w:lineRule="auto"/>
              <w:ind w:left="146"/>
              <w:rPr>
                <w:sz w:val="20"/>
                <w:szCs w:val="20"/>
              </w:rPr>
            </w:pPr>
            <w:r>
              <w:rPr>
                <w:spacing w:val="7"/>
                <w:sz w:val="20"/>
                <w:szCs w:val="20"/>
              </w:rPr>
              <w:t>矿山项目环境影</w:t>
            </w:r>
          </w:p>
          <w:p w14:paraId="4F1D2E0D">
            <w:pPr>
              <w:pStyle w:val="6"/>
              <w:spacing w:before="23" w:line="216" w:lineRule="auto"/>
              <w:ind w:left="470"/>
              <w:rPr>
                <w:sz w:val="20"/>
                <w:szCs w:val="20"/>
              </w:rPr>
            </w:pPr>
            <w:r>
              <w:rPr>
                <w:spacing w:val="4"/>
                <w:sz w:val="20"/>
                <w:szCs w:val="20"/>
              </w:rPr>
              <w:t>响报告表</w:t>
            </w:r>
          </w:p>
        </w:tc>
      </w:tr>
    </w:tbl>
    <w:p w14:paraId="551F030C">
      <w:pPr>
        <w:spacing w:before="266" w:line="229" w:lineRule="auto"/>
        <w:ind w:left="125"/>
        <w:outlineLvl w:val="3"/>
        <w:rPr>
          <w:rFonts w:ascii="仿宋" w:hAnsi="仿宋" w:eastAsia="仿宋" w:cs="仿宋"/>
          <w:sz w:val="25"/>
          <w:szCs w:val="25"/>
        </w:rPr>
      </w:pPr>
      <w:r>
        <w:rPr>
          <w:rFonts w:ascii="Times New Roman" w:hAnsi="Times New Roman" w:eastAsia="Times New Roman" w:cs="Times New Roman"/>
          <w:b/>
          <w:bCs/>
          <w:spacing w:val="4"/>
          <w:sz w:val="25"/>
          <w:szCs w:val="25"/>
        </w:rPr>
        <w:t>3.1.4.5</w:t>
      </w:r>
      <w:r>
        <w:rPr>
          <w:rFonts w:ascii="Times New Roman" w:hAnsi="Times New Roman" w:eastAsia="Times New Roman" w:cs="Times New Roman"/>
          <w:b/>
          <w:bCs/>
          <w:spacing w:val="39"/>
          <w:sz w:val="25"/>
          <w:szCs w:val="25"/>
        </w:rPr>
        <w:t xml:space="preserve"> </w:t>
      </w:r>
      <w:r>
        <w:rPr>
          <w:rFonts w:ascii="仿宋" w:hAnsi="仿宋" w:eastAsia="仿宋" w:cs="仿宋"/>
          <w:b/>
          <w:bCs/>
          <w:spacing w:val="4"/>
          <w:sz w:val="25"/>
          <w:szCs w:val="25"/>
        </w:rPr>
        <w:t>土壤环境监测现状调查</w:t>
      </w:r>
    </w:p>
    <w:p w14:paraId="6957586A">
      <w:pPr>
        <w:spacing w:before="271" w:line="228" w:lineRule="auto"/>
        <w:ind w:left="664"/>
        <w:rPr>
          <w:rFonts w:ascii="仿宋" w:hAnsi="仿宋" w:eastAsia="仿宋" w:cs="仿宋"/>
          <w:sz w:val="25"/>
          <w:szCs w:val="25"/>
        </w:rPr>
      </w:pPr>
      <w:r>
        <w:rPr>
          <w:rFonts w:ascii="仿宋" w:hAnsi="仿宋" w:eastAsia="仿宋" w:cs="仿宋"/>
          <w:spacing w:val="8"/>
          <w:sz w:val="25"/>
          <w:szCs w:val="25"/>
        </w:rPr>
        <w:t>（</w:t>
      </w:r>
      <w:r>
        <w:rPr>
          <w:rFonts w:ascii="Times New Roman" w:hAnsi="Times New Roman" w:eastAsia="Times New Roman" w:cs="Times New Roman"/>
          <w:spacing w:val="8"/>
          <w:sz w:val="25"/>
          <w:szCs w:val="25"/>
        </w:rPr>
        <w:t>1</w:t>
      </w:r>
      <w:r>
        <w:rPr>
          <w:rFonts w:ascii="仿宋" w:hAnsi="仿宋" w:eastAsia="仿宋" w:cs="仿宋"/>
          <w:spacing w:val="8"/>
          <w:sz w:val="25"/>
          <w:szCs w:val="25"/>
        </w:rPr>
        <w:t>）土壤中污染物含量调查与监测</w:t>
      </w:r>
    </w:p>
    <w:p w14:paraId="19236DF9">
      <w:pPr>
        <w:spacing w:before="151" w:line="340" w:lineRule="auto"/>
        <w:ind w:left="142" w:right="121" w:firstLine="518"/>
        <w:rPr>
          <w:rFonts w:ascii="仿宋" w:hAnsi="仿宋" w:eastAsia="仿宋" w:cs="仿宋"/>
          <w:sz w:val="25"/>
          <w:szCs w:val="25"/>
        </w:rPr>
      </w:pPr>
      <w:r>
        <w:rPr>
          <w:rFonts w:ascii="仿宋" w:hAnsi="仿宋" w:eastAsia="仿宋" w:cs="仿宋"/>
          <w:spacing w:val="4"/>
          <w:sz w:val="25"/>
          <w:szCs w:val="25"/>
        </w:rPr>
        <w:t>根据《重庆市黔江区环境质量报告书（</w:t>
      </w:r>
      <w:r>
        <w:rPr>
          <w:rFonts w:ascii="Times New Roman" w:hAnsi="Times New Roman" w:eastAsia="Times New Roman" w:cs="Times New Roman"/>
          <w:spacing w:val="4"/>
          <w:sz w:val="25"/>
          <w:szCs w:val="25"/>
        </w:rPr>
        <w:t>2023</w:t>
      </w:r>
      <w:r>
        <w:rPr>
          <w:rFonts w:ascii="Times New Roman" w:hAnsi="Times New Roman" w:eastAsia="Times New Roman" w:cs="Times New Roman"/>
          <w:spacing w:val="25"/>
          <w:sz w:val="25"/>
          <w:szCs w:val="25"/>
        </w:rPr>
        <w:t xml:space="preserve"> </w:t>
      </w:r>
      <w:r>
        <w:rPr>
          <w:rFonts w:ascii="仿宋" w:hAnsi="仿宋" w:eastAsia="仿宋" w:cs="仿宋"/>
          <w:spacing w:val="3"/>
          <w:sz w:val="25"/>
          <w:szCs w:val="25"/>
        </w:rPr>
        <w:t>年）》，</w:t>
      </w:r>
      <w:r>
        <w:rPr>
          <w:rFonts w:ascii="Times New Roman" w:hAnsi="Times New Roman" w:eastAsia="Times New Roman" w:cs="Times New Roman"/>
          <w:spacing w:val="3"/>
          <w:sz w:val="25"/>
          <w:szCs w:val="25"/>
        </w:rPr>
        <w:t>2023</w:t>
      </w:r>
      <w:r>
        <w:rPr>
          <w:rFonts w:ascii="Times New Roman" w:hAnsi="Times New Roman" w:eastAsia="Times New Roman" w:cs="Times New Roman"/>
          <w:spacing w:val="24"/>
          <w:w w:val="101"/>
          <w:sz w:val="25"/>
          <w:szCs w:val="25"/>
        </w:rPr>
        <w:t xml:space="preserve"> </w:t>
      </w:r>
      <w:r>
        <w:rPr>
          <w:rFonts w:ascii="仿宋" w:hAnsi="仿宋" w:eastAsia="仿宋" w:cs="仿宋"/>
          <w:spacing w:val="3"/>
          <w:sz w:val="25"/>
          <w:szCs w:val="25"/>
        </w:rPr>
        <w:t>年黔江区共布设</w:t>
      </w:r>
      <w:r>
        <w:rPr>
          <w:rFonts w:ascii="仿宋" w:hAnsi="仿宋" w:eastAsia="仿宋" w:cs="仿宋"/>
          <w:sz w:val="25"/>
          <w:szCs w:val="25"/>
        </w:rPr>
        <w:t xml:space="preserve"> </w:t>
      </w:r>
      <w:r>
        <w:rPr>
          <w:rFonts w:ascii="仿宋" w:hAnsi="仿宋" w:eastAsia="仿宋" w:cs="仿宋"/>
          <w:spacing w:val="8"/>
          <w:sz w:val="25"/>
          <w:szCs w:val="25"/>
        </w:rPr>
        <w:t>的</w:t>
      </w:r>
      <w:r>
        <w:rPr>
          <w:rFonts w:ascii="仿宋" w:hAnsi="仿宋" w:eastAsia="仿宋" w:cs="仿宋"/>
          <w:spacing w:val="-33"/>
          <w:sz w:val="25"/>
          <w:szCs w:val="25"/>
        </w:rPr>
        <w:t xml:space="preserve"> </w:t>
      </w:r>
      <w:r>
        <w:rPr>
          <w:rFonts w:ascii="Times New Roman" w:hAnsi="Times New Roman" w:eastAsia="Times New Roman" w:cs="Times New Roman"/>
          <w:spacing w:val="8"/>
          <w:sz w:val="25"/>
          <w:szCs w:val="25"/>
        </w:rPr>
        <w:t>7</w:t>
      </w:r>
      <w:r>
        <w:rPr>
          <w:rFonts w:ascii="Times New Roman" w:hAnsi="Times New Roman" w:eastAsia="Times New Roman" w:cs="Times New Roman"/>
          <w:spacing w:val="21"/>
          <w:sz w:val="25"/>
          <w:szCs w:val="25"/>
        </w:rPr>
        <w:t xml:space="preserve"> </w:t>
      </w:r>
      <w:r>
        <w:rPr>
          <w:rFonts w:ascii="仿宋" w:hAnsi="仿宋" w:eastAsia="仿宋" w:cs="仿宋"/>
          <w:spacing w:val="8"/>
          <w:sz w:val="25"/>
          <w:szCs w:val="25"/>
        </w:rPr>
        <w:t>个土壤监测点污染水平全部处于清洁和尚清洁水平，均能够达到安全利用</w:t>
      </w:r>
      <w:r>
        <w:rPr>
          <w:rFonts w:ascii="仿宋" w:hAnsi="仿宋" w:eastAsia="仿宋" w:cs="仿宋"/>
          <w:sz w:val="25"/>
          <w:szCs w:val="25"/>
        </w:rPr>
        <w:t xml:space="preserve"> </w:t>
      </w:r>
      <w:r>
        <w:rPr>
          <w:rFonts w:ascii="仿宋" w:hAnsi="仿宋" w:eastAsia="仿宋" w:cs="仿宋"/>
          <w:spacing w:val="8"/>
          <w:sz w:val="25"/>
          <w:szCs w:val="25"/>
        </w:rPr>
        <w:t>类及以上，土壤质量整体状况良好，土壤未受到污染。</w:t>
      </w:r>
    </w:p>
    <w:p w14:paraId="73A26263">
      <w:pPr>
        <w:spacing w:line="229" w:lineRule="auto"/>
        <w:ind w:left="584"/>
        <w:rPr>
          <w:rFonts w:ascii="仿宋" w:hAnsi="仿宋" w:eastAsia="仿宋" w:cs="仿宋"/>
          <w:sz w:val="25"/>
          <w:szCs w:val="25"/>
        </w:rPr>
      </w:pPr>
      <w:r>
        <w:rPr>
          <w:rFonts w:ascii="仿宋" w:hAnsi="仿宋" w:eastAsia="仿宋" w:cs="仿宋"/>
          <w:spacing w:val="8"/>
          <w:sz w:val="25"/>
          <w:szCs w:val="25"/>
        </w:rPr>
        <w:t>（</w:t>
      </w:r>
      <w:r>
        <w:rPr>
          <w:rFonts w:ascii="Times New Roman" w:hAnsi="Times New Roman" w:eastAsia="Times New Roman" w:cs="Times New Roman"/>
          <w:spacing w:val="8"/>
          <w:sz w:val="25"/>
          <w:szCs w:val="25"/>
        </w:rPr>
        <w:t>2</w:t>
      </w:r>
      <w:r>
        <w:rPr>
          <w:rFonts w:ascii="仿宋" w:hAnsi="仿宋" w:eastAsia="仿宋" w:cs="仿宋"/>
          <w:spacing w:val="8"/>
          <w:sz w:val="25"/>
          <w:szCs w:val="25"/>
        </w:rPr>
        <w:t>）部分规划区域土壤环境质量现状</w:t>
      </w:r>
    </w:p>
    <w:p w14:paraId="30B856AF">
      <w:pPr>
        <w:spacing w:before="146" w:line="341" w:lineRule="auto"/>
        <w:ind w:left="142" w:right="118" w:firstLine="526"/>
        <w:rPr>
          <w:rFonts w:ascii="仿宋" w:hAnsi="仿宋" w:eastAsia="仿宋" w:cs="仿宋"/>
          <w:sz w:val="25"/>
          <w:szCs w:val="25"/>
        </w:rPr>
      </w:pPr>
      <w:r>
        <w:rPr>
          <w:rFonts w:ascii="仿宋" w:hAnsi="仿宋" w:eastAsia="仿宋" w:cs="仿宋"/>
          <w:spacing w:val="9"/>
          <w:sz w:val="25"/>
          <w:szCs w:val="25"/>
        </w:rPr>
        <w:t>为了解区域的土壤环境质量现状，评价收集了矿山周边区域的土壤环境质</w:t>
      </w:r>
      <w:r>
        <w:rPr>
          <w:rFonts w:ascii="仿宋" w:hAnsi="仿宋" w:eastAsia="仿宋" w:cs="仿宋"/>
          <w:spacing w:val="7"/>
          <w:sz w:val="25"/>
          <w:szCs w:val="25"/>
        </w:rPr>
        <w:t xml:space="preserve"> </w:t>
      </w:r>
      <w:r>
        <w:rPr>
          <w:rFonts w:ascii="仿宋" w:hAnsi="仿宋" w:eastAsia="仿宋" w:cs="仿宋"/>
          <w:spacing w:val="4"/>
          <w:sz w:val="25"/>
          <w:szCs w:val="25"/>
        </w:rPr>
        <w:t>量监测数据，结果统计详见表</w:t>
      </w:r>
      <w:r>
        <w:rPr>
          <w:rFonts w:ascii="仿宋" w:hAnsi="仿宋" w:eastAsia="仿宋" w:cs="仿宋"/>
          <w:spacing w:val="-43"/>
          <w:sz w:val="25"/>
          <w:szCs w:val="25"/>
        </w:rPr>
        <w:t xml:space="preserve"> </w:t>
      </w:r>
      <w:r>
        <w:rPr>
          <w:rFonts w:ascii="Times New Roman" w:hAnsi="Times New Roman" w:eastAsia="Times New Roman" w:cs="Times New Roman"/>
          <w:spacing w:val="4"/>
          <w:sz w:val="25"/>
          <w:szCs w:val="25"/>
        </w:rPr>
        <w:t>3.1-15</w:t>
      </w:r>
      <w:r>
        <w:rPr>
          <w:rFonts w:ascii="仿宋" w:hAnsi="仿宋" w:eastAsia="仿宋" w:cs="仿宋"/>
          <w:spacing w:val="4"/>
          <w:sz w:val="25"/>
          <w:szCs w:val="25"/>
        </w:rPr>
        <w:t>、</w:t>
      </w:r>
      <w:r>
        <w:rPr>
          <w:rFonts w:ascii="Times New Roman" w:hAnsi="Times New Roman" w:eastAsia="Times New Roman" w:cs="Times New Roman"/>
          <w:spacing w:val="4"/>
          <w:sz w:val="25"/>
          <w:szCs w:val="25"/>
        </w:rPr>
        <w:t>3.1-16</w:t>
      </w:r>
      <w:r>
        <w:rPr>
          <w:rFonts w:ascii="Times New Roman" w:hAnsi="Times New Roman" w:eastAsia="Times New Roman" w:cs="Times New Roman"/>
          <w:spacing w:val="-26"/>
          <w:sz w:val="25"/>
          <w:szCs w:val="25"/>
        </w:rPr>
        <w:t xml:space="preserve"> </w:t>
      </w:r>
      <w:r>
        <w:rPr>
          <w:rFonts w:ascii="仿宋" w:hAnsi="仿宋" w:eastAsia="仿宋" w:cs="仿宋"/>
          <w:spacing w:val="4"/>
          <w:sz w:val="25"/>
          <w:szCs w:val="25"/>
        </w:rPr>
        <w:t>。从统计结果看出，矿山周边区域</w:t>
      </w:r>
      <w:r>
        <w:rPr>
          <w:rFonts w:ascii="仿宋" w:hAnsi="仿宋" w:eastAsia="仿宋" w:cs="仿宋"/>
          <w:sz w:val="25"/>
          <w:szCs w:val="25"/>
        </w:rPr>
        <w:t xml:space="preserve"> </w:t>
      </w:r>
      <w:r>
        <w:rPr>
          <w:rFonts w:ascii="仿宋" w:hAnsi="仿宋" w:eastAsia="仿宋" w:cs="仿宋"/>
          <w:spacing w:val="6"/>
          <w:sz w:val="25"/>
          <w:szCs w:val="25"/>
        </w:rPr>
        <w:t>土壤各监测点中各监测因子均未超过《土壤环境质</w:t>
      </w:r>
      <w:r>
        <w:rPr>
          <w:rFonts w:ascii="仿宋" w:hAnsi="仿宋" w:eastAsia="仿宋" w:cs="仿宋"/>
          <w:spacing w:val="5"/>
          <w:sz w:val="25"/>
          <w:szCs w:val="25"/>
        </w:rPr>
        <w:t>量 农用地土壤污染风险管控</w:t>
      </w:r>
    </w:p>
    <w:p w14:paraId="2D12796B">
      <w:pPr>
        <w:spacing w:line="341" w:lineRule="auto"/>
        <w:rPr>
          <w:rFonts w:ascii="仿宋" w:hAnsi="仿宋" w:eastAsia="仿宋" w:cs="仿宋"/>
          <w:sz w:val="25"/>
          <w:szCs w:val="25"/>
        </w:rPr>
        <w:sectPr>
          <w:headerReference r:id="rId117" w:type="default"/>
          <w:footerReference r:id="rId118" w:type="default"/>
          <w:pgSz w:w="11906" w:h="16839"/>
          <w:pgMar w:top="1116" w:right="1354" w:bottom="1480" w:left="1464" w:header="683" w:footer="1318" w:gutter="0"/>
          <w:cols w:space="720" w:num="1"/>
        </w:sectPr>
      </w:pPr>
    </w:p>
    <w:p w14:paraId="7C023E84">
      <w:pPr>
        <w:pStyle w:val="2"/>
        <w:spacing w:line="385" w:lineRule="auto"/>
      </w:pPr>
    </w:p>
    <w:p w14:paraId="0F265E6D">
      <w:pPr>
        <w:spacing w:before="82" w:line="340" w:lineRule="auto"/>
        <w:ind w:left="153" w:right="119" w:hanging="15"/>
        <w:rPr>
          <w:rFonts w:ascii="仿宋" w:hAnsi="仿宋" w:eastAsia="仿宋" w:cs="仿宋"/>
          <w:sz w:val="25"/>
          <w:szCs w:val="25"/>
        </w:rPr>
      </w:pPr>
      <w:r>
        <w:rPr>
          <w:rFonts w:ascii="仿宋" w:hAnsi="仿宋" w:eastAsia="仿宋" w:cs="仿宋"/>
          <w:spacing w:val="11"/>
          <w:sz w:val="25"/>
          <w:szCs w:val="25"/>
        </w:rPr>
        <w:t>标准》</w:t>
      </w:r>
      <w:r>
        <w:rPr>
          <w:rFonts w:ascii="仿宋" w:hAnsi="仿宋" w:eastAsia="仿宋" w:cs="仿宋"/>
          <w:spacing w:val="-103"/>
          <w:sz w:val="25"/>
          <w:szCs w:val="25"/>
        </w:rPr>
        <w:t xml:space="preserve"> </w:t>
      </w:r>
      <w:r>
        <w:rPr>
          <w:rFonts w:ascii="仿宋" w:hAnsi="仿宋" w:eastAsia="仿宋" w:cs="仿宋"/>
          <w:spacing w:val="11"/>
          <w:sz w:val="25"/>
          <w:szCs w:val="25"/>
        </w:rPr>
        <w:t>（试行</w:t>
      </w:r>
      <w:r>
        <w:rPr>
          <w:rFonts w:ascii="仿宋" w:hAnsi="仿宋" w:eastAsia="仿宋" w:cs="仿宋"/>
          <w:spacing w:val="-17"/>
          <w:sz w:val="25"/>
          <w:szCs w:val="25"/>
        </w:rPr>
        <w:t>）</w:t>
      </w:r>
      <w:r>
        <w:rPr>
          <w:rFonts w:ascii="仿宋" w:hAnsi="仿宋" w:eastAsia="仿宋" w:cs="仿宋"/>
          <w:spacing w:val="-104"/>
          <w:sz w:val="25"/>
          <w:szCs w:val="25"/>
        </w:rPr>
        <w:t xml:space="preserve"> </w:t>
      </w:r>
      <w:r>
        <w:rPr>
          <w:rFonts w:ascii="仿宋" w:hAnsi="仿宋" w:eastAsia="仿宋" w:cs="仿宋"/>
          <w:spacing w:val="-17"/>
          <w:sz w:val="25"/>
          <w:szCs w:val="25"/>
        </w:rPr>
        <w:t>（</w:t>
      </w:r>
      <w:r>
        <w:rPr>
          <w:rFonts w:ascii="Times New Roman" w:hAnsi="Times New Roman" w:eastAsia="Times New Roman" w:cs="Times New Roman"/>
          <w:sz w:val="25"/>
          <w:szCs w:val="25"/>
        </w:rPr>
        <w:t>GB</w:t>
      </w:r>
      <w:r>
        <w:rPr>
          <w:rFonts w:ascii="Times New Roman" w:hAnsi="Times New Roman" w:eastAsia="Times New Roman" w:cs="Times New Roman"/>
          <w:spacing w:val="11"/>
          <w:sz w:val="25"/>
          <w:szCs w:val="25"/>
        </w:rPr>
        <w:t>15618-2018</w:t>
      </w:r>
      <w:r>
        <w:rPr>
          <w:rFonts w:ascii="仿宋" w:hAnsi="仿宋" w:eastAsia="仿宋" w:cs="仿宋"/>
          <w:spacing w:val="11"/>
          <w:sz w:val="25"/>
          <w:szCs w:val="25"/>
        </w:rPr>
        <w:t xml:space="preserve">）和《土壤环境质量 </w:t>
      </w:r>
      <w:r>
        <w:rPr>
          <w:rFonts w:ascii="仿宋" w:hAnsi="仿宋" w:eastAsia="仿宋" w:cs="仿宋"/>
          <w:spacing w:val="10"/>
          <w:sz w:val="25"/>
          <w:szCs w:val="25"/>
        </w:rPr>
        <w:t>建设用地土壤污染风险</w:t>
      </w:r>
      <w:r>
        <w:rPr>
          <w:rFonts w:ascii="仿宋" w:hAnsi="仿宋" w:eastAsia="仿宋" w:cs="仿宋"/>
          <w:sz w:val="25"/>
          <w:szCs w:val="25"/>
        </w:rPr>
        <w:t xml:space="preserve"> </w:t>
      </w:r>
      <w:r>
        <w:rPr>
          <w:rFonts w:ascii="仿宋" w:hAnsi="仿宋" w:eastAsia="仿宋" w:cs="仿宋"/>
          <w:spacing w:val="7"/>
          <w:sz w:val="25"/>
          <w:szCs w:val="25"/>
        </w:rPr>
        <w:t>管控标准（试行）》（</w:t>
      </w:r>
      <w:r>
        <w:rPr>
          <w:rFonts w:ascii="Times New Roman" w:hAnsi="Times New Roman" w:eastAsia="Times New Roman" w:cs="Times New Roman"/>
          <w:sz w:val="25"/>
          <w:szCs w:val="25"/>
        </w:rPr>
        <w:t>GB</w:t>
      </w:r>
      <w:r>
        <w:rPr>
          <w:rFonts w:ascii="Times New Roman" w:hAnsi="Times New Roman" w:eastAsia="Times New Roman" w:cs="Times New Roman"/>
          <w:spacing w:val="7"/>
          <w:sz w:val="25"/>
          <w:szCs w:val="25"/>
        </w:rPr>
        <w:t>36600-2018</w:t>
      </w:r>
      <w:r>
        <w:rPr>
          <w:rFonts w:ascii="仿宋" w:hAnsi="仿宋" w:eastAsia="仿宋" w:cs="仿宋"/>
          <w:spacing w:val="7"/>
          <w:sz w:val="25"/>
          <w:szCs w:val="25"/>
        </w:rPr>
        <w:t>）相应用地筛选值。</w:t>
      </w:r>
    </w:p>
    <w:p w14:paraId="6B3F2B37">
      <w:pPr>
        <w:spacing w:before="41" w:line="221" w:lineRule="auto"/>
        <w:ind w:left="602"/>
        <w:rPr>
          <w:rFonts w:ascii="仿宋" w:hAnsi="仿宋" w:eastAsia="仿宋" w:cs="仿宋"/>
          <w:sz w:val="20"/>
          <w:szCs w:val="20"/>
        </w:rPr>
      </w:pPr>
      <w:r>
        <w:rPr>
          <w:rFonts w:ascii="仿宋" w:hAnsi="仿宋" w:eastAsia="仿宋" w:cs="仿宋"/>
          <w:b/>
          <w:bCs/>
          <w:spacing w:val="7"/>
          <w:sz w:val="20"/>
          <w:szCs w:val="20"/>
        </w:rPr>
        <w:t>表</w:t>
      </w:r>
      <w:r>
        <w:rPr>
          <w:rFonts w:ascii="仿宋" w:hAnsi="仿宋" w:eastAsia="仿宋" w:cs="仿宋"/>
          <w:spacing w:val="-44"/>
          <w:sz w:val="20"/>
          <w:szCs w:val="20"/>
        </w:rPr>
        <w:t xml:space="preserve"> </w:t>
      </w:r>
      <w:r>
        <w:rPr>
          <w:rFonts w:ascii="Times New Roman" w:hAnsi="Times New Roman" w:eastAsia="Times New Roman" w:cs="Times New Roman"/>
          <w:b/>
          <w:bCs/>
          <w:spacing w:val="7"/>
          <w:sz w:val="20"/>
          <w:szCs w:val="20"/>
        </w:rPr>
        <w:t xml:space="preserve">3.1-15    </w:t>
      </w:r>
      <w:r>
        <w:rPr>
          <w:rFonts w:ascii="仿宋" w:hAnsi="仿宋" w:eastAsia="仿宋" w:cs="仿宋"/>
          <w:b/>
          <w:bCs/>
          <w:spacing w:val="7"/>
          <w:sz w:val="20"/>
          <w:szCs w:val="20"/>
        </w:rPr>
        <w:t>周边区域土壤环境质量现状统计表（农用</w:t>
      </w:r>
      <w:r>
        <w:rPr>
          <w:rFonts w:ascii="仿宋" w:hAnsi="仿宋" w:eastAsia="仿宋" w:cs="仿宋"/>
          <w:b/>
          <w:bCs/>
          <w:spacing w:val="6"/>
          <w:sz w:val="20"/>
          <w:szCs w:val="20"/>
        </w:rPr>
        <w:t>地）单位：</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6"/>
          <w:sz w:val="20"/>
          <w:szCs w:val="20"/>
        </w:rPr>
        <w:t>/</w:t>
      </w:r>
      <w:r>
        <w:rPr>
          <w:rFonts w:ascii="Times New Roman" w:hAnsi="Times New Roman" w:eastAsia="Times New Roman" w:cs="Times New Roman"/>
          <w:b/>
          <w:bCs/>
          <w:sz w:val="20"/>
          <w:szCs w:val="20"/>
        </w:rPr>
        <w:t>kg</w:t>
      </w:r>
      <w:r>
        <w:rPr>
          <w:rFonts w:ascii="Times New Roman" w:hAnsi="Times New Roman" w:eastAsia="Times New Roman" w:cs="Times New Roman"/>
          <w:b/>
          <w:bCs/>
          <w:spacing w:val="6"/>
          <w:sz w:val="20"/>
          <w:szCs w:val="20"/>
        </w:rPr>
        <w:t xml:space="preserve">  </w:t>
      </w:r>
      <w:r>
        <w:rPr>
          <w:rFonts w:ascii="仿宋" w:hAnsi="仿宋" w:eastAsia="仿宋" w:cs="仿宋"/>
          <w:b/>
          <w:bCs/>
          <w:spacing w:val="6"/>
          <w:sz w:val="20"/>
          <w:szCs w:val="20"/>
        </w:rPr>
        <w:t>（</w:t>
      </w:r>
      <w:r>
        <w:rPr>
          <w:rFonts w:ascii="Times New Roman" w:hAnsi="Times New Roman" w:eastAsia="Times New Roman" w:cs="Times New Roman"/>
          <w:b/>
          <w:bCs/>
          <w:sz w:val="20"/>
          <w:szCs w:val="20"/>
        </w:rPr>
        <w:t>pH</w:t>
      </w:r>
      <w:r>
        <w:rPr>
          <w:rFonts w:ascii="Times New Roman" w:hAnsi="Times New Roman" w:eastAsia="Times New Roman" w:cs="Times New Roman"/>
          <w:b/>
          <w:bCs/>
          <w:spacing w:val="23"/>
          <w:sz w:val="20"/>
          <w:szCs w:val="20"/>
        </w:rPr>
        <w:t xml:space="preserve"> </w:t>
      </w:r>
      <w:r>
        <w:rPr>
          <w:rFonts w:ascii="仿宋" w:hAnsi="仿宋" w:eastAsia="仿宋" w:cs="仿宋"/>
          <w:b/>
          <w:bCs/>
          <w:spacing w:val="6"/>
          <w:sz w:val="20"/>
          <w:szCs w:val="20"/>
        </w:rPr>
        <w:t>无量纲）</w:t>
      </w:r>
    </w:p>
    <w:p w14:paraId="35AC75EA">
      <w:pPr>
        <w:spacing w:line="32" w:lineRule="exact"/>
      </w:pPr>
    </w:p>
    <w:tbl>
      <w:tblPr>
        <w:tblStyle w:val="5"/>
        <w:tblW w:w="9059" w:type="dxa"/>
        <w:tblInd w:w="1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29"/>
        <w:gridCol w:w="806"/>
        <w:gridCol w:w="1293"/>
        <w:gridCol w:w="790"/>
        <w:gridCol w:w="1244"/>
        <w:gridCol w:w="799"/>
        <w:gridCol w:w="1591"/>
        <w:gridCol w:w="808"/>
        <w:gridCol w:w="1299"/>
      </w:tblGrid>
      <w:tr w14:paraId="154123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1" w:hRule="atLeast"/>
        </w:trPr>
        <w:tc>
          <w:tcPr>
            <w:tcW w:w="429" w:type="dxa"/>
            <w:vMerge w:val="restart"/>
            <w:tcBorders>
              <w:top w:val="single" w:color="000000" w:sz="10" w:space="0"/>
              <w:left w:val="single" w:color="000000" w:sz="10" w:space="0"/>
              <w:bottom w:val="nil"/>
            </w:tcBorders>
            <w:textDirection w:val="tbRlV"/>
            <w:vAlign w:val="top"/>
          </w:tcPr>
          <w:p w14:paraId="098DF5C1">
            <w:pPr>
              <w:pStyle w:val="6"/>
              <w:spacing w:before="122" w:line="202" w:lineRule="auto"/>
              <w:ind w:left="553"/>
              <w:rPr>
                <w:sz w:val="18"/>
                <w:szCs w:val="18"/>
              </w:rPr>
            </w:pPr>
            <w:r>
              <w:rPr>
                <w:spacing w:val="28"/>
                <w:sz w:val="18"/>
                <w:szCs w:val="18"/>
              </w:rPr>
              <w:t>序号</w:t>
            </w:r>
          </w:p>
        </w:tc>
        <w:tc>
          <w:tcPr>
            <w:tcW w:w="806" w:type="dxa"/>
            <w:vMerge w:val="restart"/>
            <w:tcBorders>
              <w:top w:val="single" w:color="000000" w:sz="10" w:space="0"/>
              <w:bottom w:val="nil"/>
            </w:tcBorders>
            <w:vAlign w:val="top"/>
          </w:tcPr>
          <w:p w14:paraId="10E3DDF9">
            <w:pPr>
              <w:spacing w:line="246" w:lineRule="auto"/>
              <w:rPr>
                <w:rFonts w:ascii="Arial"/>
                <w:sz w:val="21"/>
              </w:rPr>
            </w:pPr>
          </w:p>
          <w:p w14:paraId="04C3438C">
            <w:pPr>
              <w:spacing w:line="246" w:lineRule="auto"/>
              <w:rPr>
                <w:rFonts w:ascii="Arial"/>
                <w:sz w:val="21"/>
              </w:rPr>
            </w:pPr>
          </w:p>
          <w:p w14:paraId="67B999A5">
            <w:pPr>
              <w:pStyle w:val="6"/>
              <w:spacing w:before="58" w:line="220" w:lineRule="auto"/>
              <w:ind w:left="127"/>
              <w:rPr>
                <w:sz w:val="18"/>
                <w:szCs w:val="18"/>
              </w:rPr>
            </w:pPr>
            <w:r>
              <w:rPr>
                <w:spacing w:val="-5"/>
                <w:sz w:val="18"/>
                <w:szCs w:val="18"/>
              </w:rPr>
              <w:t>检测项</w:t>
            </w:r>
          </w:p>
          <w:p w14:paraId="75F1C44B">
            <w:pPr>
              <w:pStyle w:val="6"/>
              <w:spacing w:before="18" w:line="226" w:lineRule="auto"/>
              <w:ind w:left="337"/>
              <w:rPr>
                <w:sz w:val="18"/>
                <w:szCs w:val="18"/>
              </w:rPr>
            </w:pPr>
            <w:r>
              <w:rPr>
                <w:sz w:val="18"/>
                <w:szCs w:val="18"/>
              </w:rPr>
              <w:t>目</w:t>
            </w:r>
          </w:p>
        </w:tc>
        <w:tc>
          <w:tcPr>
            <w:tcW w:w="1293" w:type="dxa"/>
            <w:vMerge w:val="restart"/>
            <w:tcBorders>
              <w:top w:val="single" w:color="000000" w:sz="10" w:space="0"/>
              <w:bottom w:val="nil"/>
            </w:tcBorders>
            <w:vAlign w:val="top"/>
          </w:tcPr>
          <w:p w14:paraId="0FCB326C">
            <w:pPr>
              <w:spacing w:line="304" w:lineRule="auto"/>
              <w:rPr>
                <w:rFonts w:ascii="Arial"/>
                <w:sz w:val="21"/>
              </w:rPr>
            </w:pPr>
          </w:p>
          <w:p w14:paraId="6CC7923D">
            <w:pPr>
              <w:spacing w:line="304" w:lineRule="auto"/>
              <w:rPr>
                <w:rFonts w:ascii="Arial"/>
                <w:sz w:val="21"/>
              </w:rPr>
            </w:pPr>
          </w:p>
          <w:p w14:paraId="694C5345">
            <w:pPr>
              <w:pStyle w:val="6"/>
              <w:spacing w:before="59" w:line="221" w:lineRule="auto"/>
              <w:ind w:left="466"/>
              <w:rPr>
                <w:sz w:val="18"/>
                <w:szCs w:val="18"/>
              </w:rPr>
            </w:pPr>
            <w:r>
              <w:rPr>
                <w:spacing w:val="-8"/>
                <w:sz w:val="18"/>
                <w:szCs w:val="18"/>
              </w:rPr>
              <w:t>单位</w:t>
            </w:r>
          </w:p>
        </w:tc>
        <w:tc>
          <w:tcPr>
            <w:tcW w:w="6531" w:type="dxa"/>
            <w:gridSpan w:val="6"/>
            <w:tcBorders>
              <w:top w:val="single" w:color="000000" w:sz="10" w:space="0"/>
              <w:right w:val="single" w:color="000000" w:sz="10" w:space="0"/>
            </w:tcBorders>
            <w:vAlign w:val="top"/>
          </w:tcPr>
          <w:p w14:paraId="6151CDE7">
            <w:pPr>
              <w:spacing w:before="63" w:line="188" w:lineRule="auto"/>
              <w:ind w:left="3184"/>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w:t>
            </w:r>
          </w:p>
        </w:tc>
      </w:tr>
      <w:tr w14:paraId="043A76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2" w:hRule="atLeast"/>
        </w:trPr>
        <w:tc>
          <w:tcPr>
            <w:tcW w:w="429" w:type="dxa"/>
            <w:vMerge w:val="continue"/>
            <w:tcBorders>
              <w:top w:val="nil"/>
              <w:left w:val="single" w:color="000000" w:sz="10" w:space="0"/>
              <w:bottom w:val="nil"/>
            </w:tcBorders>
            <w:textDirection w:val="tbRlV"/>
            <w:vAlign w:val="top"/>
          </w:tcPr>
          <w:p w14:paraId="0654F0B5">
            <w:pPr>
              <w:rPr>
                <w:rFonts w:ascii="Arial"/>
                <w:sz w:val="21"/>
              </w:rPr>
            </w:pPr>
          </w:p>
        </w:tc>
        <w:tc>
          <w:tcPr>
            <w:tcW w:w="806" w:type="dxa"/>
            <w:vMerge w:val="continue"/>
            <w:tcBorders>
              <w:top w:val="nil"/>
              <w:bottom w:val="nil"/>
            </w:tcBorders>
            <w:vAlign w:val="top"/>
          </w:tcPr>
          <w:p w14:paraId="627BD78C">
            <w:pPr>
              <w:rPr>
                <w:rFonts w:ascii="Arial"/>
                <w:sz w:val="21"/>
              </w:rPr>
            </w:pPr>
          </w:p>
        </w:tc>
        <w:tc>
          <w:tcPr>
            <w:tcW w:w="1293" w:type="dxa"/>
            <w:vMerge w:val="continue"/>
            <w:tcBorders>
              <w:top w:val="nil"/>
              <w:bottom w:val="nil"/>
            </w:tcBorders>
            <w:vAlign w:val="top"/>
          </w:tcPr>
          <w:p w14:paraId="02CD9148">
            <w:pPr>
              <w:rPr>
                <w:rFonts w:ascii="Arial"/>
                <w:sz w:val="21"/>
              </w:rPr>
            </w:pPr>
          </w:p>
        </w:tc>
        <w:tc>
          <w:tcPr>
            <w:tcW w:w="2034" w:type="dxa"/>
            <w:gridSpan w:val="2"/>
            <w:vAlign w:val="top"/>
          </w:tcPr>
          <w:p w14:paraId="235067F0">
            <w:pPr>
              <w:pStyle w:val="6"/>
              <w:spacing w:before="25" w:line="212" w:lineRule="auto"/>
              <w:ind w:left="577"/>
              <w:rPr>
                <w:sz w:val="18"/>
                <w:szCs w:val="18"/>
              </w:rPr>
            </w:pPr>
            <w:r>
              <w:rPr>
                <w:spacing w:val="-5"/>
                <w:sz w:val="18"/>
                <w:szCs w:val="18"/>
              </w:rPr>
              <w:t>南侧广场内</w:t>
            </w:r>
          </w:p>
        </w:tc>
        <w:tc>
          <w:tcPr>
            <w:tcW w:w="2390" w:type="dxa"/>
            <w:gridSpan w:val="2"/>
            <w:vAlign w:val="top"/>
          </w:tcPr>
          <w:p w14:paraId="135B1667">
            <w:pPr>
              <w:pStyle w:val="6"/>
              <w:spacing w:before="25" w:line="212" w:lineRule="auto"/>
              <w:ind w:left="754"/>
              <w:rPr>
                <w:sz w:val="18"/>
                <w:szCs w:val="18"/>
              </w:rPr>
            </w:pPr>
            <w:r>
              <w:rPr>
                <w:spacing w:val="-3"/>
                <w:sz w:val="18"/>
                <w:szCs w:val="18"/>
              </w:rPr>
              <w:t>西侧场地内</w:t>
            </w:r>
          </w:p>
        </w:tc>
        <w:tc>
          <w:tcPr>
            <w:tcW w:w="2107" w:type="dxa"/>
            <w:gridSpan w:val="2"/>
            <w:tcBorders>
              <w:right w:val="single" w:color="000000" w:sz="10" w:space="0"/>
            </w:tcBorders>
            <w:vAlign w:val="top"/>
          </w:tcPr>
          <w:p w14:paraId="10532D1A">
            <w:pPr>
              <w:pStyle w:val="6"/>
              <w:spacing w:before="25" w:line="212" w:lineRule="auto"/>
              <w:ind w:left="345"/>
              <w:rPr>
                <w:sz w:val="18"/>
                <w:szCs w:val="18"/>
              </w:rPr>
            </w:pPr>
            <w:r>
              <w:rPr>
                <w:spacing w:val="-3"/>
                <w:sz w:val="18"/>
                <w:szCs w:val="18"/>
              </w:rPr>
              <w:t>北侧田牛舍场地内</w:t>
            </w:r>
          </w:p>
        </w:tc>
      </w:tr>
      <w:tr w14:paraId="3504FE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7" w:hRule="atLeast"/>
        </w:trPr>
        <w:tc>
          <w:tcPr>
            <w:tcW w:w="429" w:type="dxa"/>
            <w:vMerge w:val="continue"/>
            <w:tcBorders>
              <w:top w:val="nil"/>
              <w:left w:val="single" w:color="000000" w:sz="10" w:space="0"/>
              <w:bottom w:val="nil"/>
            </w:tcBorders>
            <w:textDirection w:val="tbRlV"/>
            <w:vAlign w:val="top"/>
          </w:tcPr>
          <w:p w14:paraId="39AAFCBE">
            <w:pPr>
              <w:rPr>
                <w:rFonts w:ascii="Arial"/>
                <w:sz w:val="21"/>
              </w:rPr>
            </w:pPr>
          </w:p>
        </w:tc>
        <w:tc>
          <w:tcPr>
            <w:tcW w:w="806" w:type="dxa"/>
            <w:vMerge w:val="continue"/>
            <w:tcBorders>
              <w:top w:val="nil"/>
              <w:bottom w:val="nil"/>
            </w:tcBorders>
            <w:vAlign w:val="top"/>
          </w:tcPr>
          <w:p w14:paraId="0AB1F0DC">
            <w:pPr>
              <w:rPr>
                <w:rFonts w:ascii="Arial"/>
                <w:sz w:val="21"/>
              </w:rPr>
            </w:pPr>
          </w:p>
        </w:tc>
        <w:tc>
          <w:tcPr>
            <w:tcW w:w="1293" w:type="dxa"/>
            <w:vMerge w:val="continue"/>
            <w:tcBorders>
              <w:top w:val="nil"/>
              <w:bottom w:val="nil"/>
            </w:tcBorders>
            <w:vAlign w:val="top"/>
          </w:tcPr>
          <w:p w14:paraId="2A191AC3">
            <w:pPr>
              <w:rPr>
                <w:rFonts w:ascii="Arial"/>
                <w:sz w:val="21"/>
              </w:rPr>
            </w:pPr>
          </w:p>
        </w:tc>
        <w:tc>
          <w:tcPr>
            <w:tcW w:w="2034" w:type="dxa"/>
            <w:gridSpan w:val="2"/>
            <w:vAlign w:val="top"/>
          </w:tcPr>
          <w:p w14:paraId="44257E90">
            <w:pPr>
              <w:pStyle w:val="6"/>
              <w:spacing w:before="39" w:line="223" w:lineRule="auto"/>
              <w:ind w:left="748"/>
              <w:rPr>
                <w:sz w:val="18"/>
                <w:szCs w:val="18"/>
              </w:rPr>
            </w:pPr>
            <w:r>
              <w:rPr>
                <w:spacing w:val="-4"/>
                <w:sz w:val="18"/>
                <w:szCs w:val="18"/>
              </w:rPr>
              <w:t>黄棕色</w:t>
            </w:r>
          </w:p>
        </w:tc>
        <w:tc>
          <w:tcPr>
            <w:tcW w:w="2390" w:type="dxa"/>
            <w:gridSpan w:val="2"/>
            <w:vAlign w:val="top"/>
          </w:tcPr>
          <w:p w14:paraId="17AD6FCF">
            <w:pPr>
              <w:pStyle w:val="6"/>
              <w:spacing w:before="39" w:line="223" w:lineRule="auto"/>
              <w:ind w:left="932"/>
              <w:rPr>
                <w:sz w:val="18"/>
                <w:szCs w:val="18"/>
              </w:rPr>
            </w:pPr>
            <w:r>
              <w:rPr>
                <w:spacing w:val="-4"/>
                <w:sz w:val="18"/>
                <w:szCs w:val="18"/>
              </w:rPr>
              <w:t>黄棕色</w:t>
            </w:r>
          </w:p>
        </w:tc>
        <w:tc>
          <w:tcPr>
            <w:tcW w:w="2107" w:type="dxa"/>
            <w:gridSpan w:val="2"/>
            <w:tcBorders>
              <w:right w:val="single" w:color="000000" w:sz="10" w:space="0"/>
            </w:tcBorders>
            <w:vAlign w:val="top"/>
          </w:tcPr>
          <w:p w14:paraId="4D998A7D">
            <w:pPr>
              <w:pStyle w:val="6"/>
              <w:spacing w:before="39" w:line="223" w:lineRule="auto"/>
              <w:ind w:left="791"/>
              <w:rPr>
                <w:sz w:val="18"/>
                <w:szCs w:val="18"/>
              </w:rPr>
            </w:pPr>
            <w:r>
              <w:rPr>
                <w:spacing w:val="-4"/>
                <w:sz w:val="18"/>
                <w:szCs w:val="18"/>
              </w:rPr>
              <w:t>黄棕色</w:t>
            </w:r>
          </w:p>
        </w:tc>
      </w:tr>
      <w:tr w14:paraId="48784C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4" w:hRule="atLeast"/>
        </w:trPr>
        <w:tc>
          <w:tcPr>
            <w:tcW w:w="429" w:type="dxa"/>
            <w:vMerge w:val="continue"/>
            <w:tcBorders>
              <w:top w:val="nil"/>
              <w:left w:val="single" w:color="000000" w:sz="10" w:space="0"/>
            </w:tcBorders>
            <w:textDirection w:val="tbRlV"/>
            <w:vAlign w:val="top"/>
          </w:tcPr>
          <w:p w14:paraId="0F9D2D42">
            <w:pPr>
              <w:rPr>
                <w:rFonts w:ascii="Arial"/>
                <w:sz w:val="21"/>
              </w:rPr>
            </w:pPr>
          </w:p>
        </w:tc>
        <w:tc>
          <w:tcPr>
            <w:tcW w:w="806" w:type="dxa"/>
            <w:vMerge w:val="continue"/>
            <w:tcBorders>
              <w:top w:val="nil"/>
            </w:tcBorders>
            <w:vAlign w:val="top"/>
          </w:tcPr>
          <w:p w14:paraId="031C9748">
            <w:pPr>
              <w:rPr>
                <w:rFonts w:ascii="Arial"/>
                <w:sz w:val="21"/>
              </w:rPr>
            </w:pPr>
          </w:p>
        </w:tc>
        <w:tc>
          <w:tcPr>
            <w:tcW w:w="1293" w:type="dxa"/>
            <w:vMerge w:val="continue"/>
            <w:tcBorders>
              <w:top w:val="nil"/>
            </w:tcBorders>
            <w:vAlign w:val="top"/>
          </w:tcPr>
          <w:p w14:paraId="12FD426A">
            <w:pPr>
              <w:rPr>
                <w:rFonts w:ascii="Arial"/>
                <w:sz w:val="21"/>
              </w:rPr>
            </w:pPr>
          </w:p>
        </w:tc>
        <w:tc>
          <w:tcPr>
            <w:tcW w:w="790" w:type="dxa"/>
            <w:vAlign w:val="top"/>
          </w:tcPr>
          <w:p w14:paraId="07BB00D3">
            <w:pPr>
              <w:pStyle w:val="6"/>
              <w:spacing w:before="264" w:line="223" w:lineRule="auto"/>
              <w:ind w:left="129"/>
              <w:rPr>
                <w:sz w:val="18"/>
                <w:szCs w:val="18"/>
              </w:rPr>
            </w:pPr>
            <w:r>
              <w:rPr>
                <w:spacing w:val="-6"/>
                <w:sz w:val="18"/>
                <w:szCs w:val="18"/>
              </w:rPr>
              <w:t>监测值</w:t>
            </w:r>
          </w:p>
        </w:tc>
        <w:tc>
          <w:tcPr>
            <w:tcW w:w="1244" w:type="dxa"/>
            <w:vAlign w:val="top"/>
          </w:tcPr>
          <w:p w14:paraId="754D7DD6">
            <w:pPr>
              <w:pStyle w:val="6"/>
              <w:spacing w:before="31" w:line="222" w:lineRule="auto"/>
              <w:ind w:left="357"/>
              <w:rPr>
                <w:sz w:val="18"/>
                <w:szCs w:val="18"/>
              </w:rPr>
            </w:pPr>
            <w:r>
              <w:rPr>
                <w:spacing w:val="-5"/>
                <w:sz w:val="18"/>
                <w:szCs w:val="18"/>
              </w:rPr>
              <w:t>筛选值</w:t>
            </w:r>
          </w:p>
          <w:p w14:paraId="44DF9224">
            <w:pPr>
              <w:pStyle w:val="6"/>
              <w:spacing w:before="16" w:line="212" w:lineRule="auto"/>
              <w:ind w:left="115"/>
              <w:rPr>
                <w:sz w:val="18"/>
                <w:szCs w:val="18"/>
              </w:rPr>
            </w:pPr>
            <w:r>
              <w:rPr>
                <w:spacing w:val="-7"/>
                <w:sz w:val="18"/>
                <w:szCs w:val="18"/>
              </w:rPr>
              <w:t>（</w:t>
            </w:r>
            <w:r>
              <w:rPr>
                <w:rFonts w:ascii="Times New Roman" w:hAnsi="Times New Roman" w:eastAsia="Times New Roman" w:cs="Times New Roman"/>
                <w:spacing w:val="-7"/>
                <w:sz w:val="18"/>
                <w:szCs w:val="18"/>
              </w:rPr>
              <w:t>pH&gt;7.5</w:t>
            </w:r>
            <w:r>
              <w:rPr>
                <w:spacing w:val="-7"/>
                <w:sz w:val="18"/>
                <w:szCs w:val="18"/>
              </w:rPr>
              <w:t>，其</w:t>
            </w:r>
          </w:p>
          <w:p w14:paraId="359E2958">
            <w:pPr>
              <w:pStyle w:val="6"/>
              <w:spacing w:before="26" w:line="212" w:lineRule="auto"/>
              <w:ind w:left="446"/>
              <w:rPr>
                <w:sz w:val="18"/>
                <w:szCs w:val="18"/>
              </w:rPr>
            </w:pPr>
            <w:r>
              <w:rPr>
                <w:spacing w:val="-7"/>
                <w:sz w:val="18"/>
                <w:szCs w:val="18"/>
              </w:rPr>
              <w:t>他）</w:t>
            </w:r>
          </w:p>
        </w:tc>
        <w:tc>
          <w:tcPr>
            <w:tcW w:w="799" w:type="dxa"/>
            <w:vAlign w:val="top"/>
          </w:tcPr>
          <w:p w14:paraId="5F21A907">
            <w:pPr>
              <w:pStyle w:val="6"/>
              <w:spacing w:before="264" w:line="223" w:lineRule="auto"/>
              <w:ind w:left="140"/>
              <w:rPr>
                <w:sz w:val="18"/>
                <w:szCs w:val="18"/>
              </w:rPr>
            </w:pPr>
            <w:r>
              <w:rPr>
                <w:spacing w:val="-6"/>
                <w:sz w:val="18"/>
                <w:szCs w:val="18"/>
              </w:rPr>
              <w:t>监测值</w:t>
            </w:r>
          </w:p>
        </w:tc>
        <w:tc>
          <w:tcPr>
            <w:tcW w:w="1591" w:type="dxa"/>
            <w:vAlign w:val="top"/>
          </w:tcPr>
          <w:p w14:paraId="783360F2">
            <w:pPr>
              <w:pStyle w:val="6"/>
              <w:spacing w:before="31" w:line="222" w:lineRule="auto"/>
              <w:ind w:left="536"/>
              <w:rPr>
                <w:sz w:val="18"/>
                <w:szCs w:val="18"/>
              </w:rPr>
            </w:pPr>
            <w:r>
              <w:rPr>
                <w:spacing w:val="-5"/>
                <w:sz w:val="18"/>
                <w:szCs w:val="18"/>
              </w:rPr>
              <w:t>筛选值</w:t>
            </w:r>
          </w:p>
          <w:p w14:paraId="06EBED38">
            <w:pPr>
              <w:pStyle w:val="6"/>
              <w:spacing w:before="16" w:line="212" w:lineRule="auto"/>
              <w:ind w:left="119"/>
              <w:rPr>
                <w:sz w:val="18"/>
                <w:szCs w:val="18"/>
              </w:rPr>
            </w:pPr>
            <w:r>
              <w:rPr>
                <w:spacing w:val="-3"/>
                <w:sz w:val="18"/>
                <w:szCs w:val="18"/>
              </w:rPr>
              <w:t>（</w:t>
            </w:r>
            <w:r>
              <w:rPr>
                <w:rFonts w:ascii="Times New Roman" w:hAnsi="Times New Roman" w:eastAsia="Times New Roman" w:cs="Times New Roman"/>
                <w:spacing w:val="-3"/>
                <w:sz w:val="18"/>
                <w:szCs w:val="18"/>
              </w:rPr>
              <w:t>5.5≤pH≤6.5</w:t>
            </w:r>
            <w:r>
              <w:rPr>
                <w:spacing w:val="-3"/>
                <w:sz w:val="18"/>
                <w:szCs w:val="18"/>
              </w:rPr>
              <w:t>，其</w:t>
            </w:r>
          </w:p>
          <w:p w14:paraId="37CDBE47">
            <w:pPr>
              <w:pStyle w:val="6"/>
              <w:spacing w:before="26" w:line="212" w:lineRule="auto"/>
              <w:ind w:left="626"/>
              <w:rPr>
                <w:sz w:val="18"/>
                <w:szCs w:val="18"/>
              </w:rPr>
            </w:pPr>
            <w:r>
              <w:rPr>
                <w:spacing w:val="-7"/>
                <w:sz w:val="18"/>
                <w:szCs w:val="18"/>
              </w:rPr>
              <w:t>他）</w:t>
            </w:r>
          </w:p>
        </w:tc>
        <w:tc>
          <w:tcPr>
            <w:tcW w:w="808" w:type="dxa"/>
            <w:vAlign w:val="top"/>
          </w:tcPr>
          <w:p w14:paraId="7E9F5338">
            <w:pPr>
              <w:pStyle w:val="6"/>
              <w:spacing w:before="264" w:line="223" w:lineRule="auto"/>
              <w:ind w:left="153"/>
              <w:rPr>
                <w:sz w:val="18"/>
                <w:szCs w:val="18"/>
              </w:rPr>
            </w:pPr>
            <w:r>
              <w:rPr>
                <w:spacing w:val="-6"/>
                <w:sz w:val="18"/>
                <w:szCs w:val="18"/>
              </w:rPr>
              <w:t>监测值</w:t>
            </w:r>
          </w:p>
        </w:tc>
        <w:tc>
          <w:tcPr>
            <w:tcW w:w="1299" w:type="dxa"/>
            <w:tcBorders>
              <w:right w:val="single" w:color="000000" w:sz="10" w:space="0"/>
            </w:tcBorders>
            <w:vAlign w:val="top"/>
          </w:tcPr>
          <w:p w14:paraId="0DEE9320">
            <w:pPr>
              <w:pStyle w:val="6"/>
              <w:spacing w:before="31" w:line="222" w:lineRule="auto"/>
              <w:ind w:left="391"/>
              <w:rPr>
                <w:sz w:val="18"/>
                <w:szCs w:val="18"/>
              </w:rPr>
            </w:pPr>
            <w:r>
              <w:rPr>
                <w:spacing w:val="-5"/>
                <w:sz w:val="18"/>
                <w:szCs w:val="18"/>
              </w:rPr>
              <w:t>筛选值</w:t>
            </w:r>
          </w:p>
          <w:p w14:paraId="448ED4BD">
            <w:pPr>
              <w:pStyle w:val="6"/>
              <w:spacing w:before="16" w:line="212" w:lineRule="auto"/>
              <w:ind w:left="127"/>
              <w:rPr>
                <w:sz w:val="18"/>
                <w:szCs w:val="18"/>
              </w:rPr>
            </w:pPr>
            <w:r>
              <w:rPr>
                <w:spacing w:val="-5"/>
                <w:sz w:val="18"/>
                <w:szCs w:val="18"/>
              </w:rPr>
              <w:t>（</w:t>
            </w:r>
            <w:r>
              <w:rPr>
                <w:rFonts w:ascii="Times New Roman" w:hAnsi="Times New Roman" w:eastAsia="Times New Roman" w:cs="Times New Roman"/>
                <w:spacing w:val="-5"/>
                <w:sz w:val="18"/>
                <w:szCs w:val="18"/>
              </w:rPr>
              <w:t>pH&gt;7.5</w:t>
            </w:r>
            <w:r>
              <w:rPr>
                <w:rFonts w:ascii="Times New Roman" w:hAnsi="Times New Roman" w:eastAsia="Times New Roman" w:cs="Times New Roman"/>
                <w:spacing w:val="-19"/>
                <w:sz w:val="18"/>
                <w:szCs w:val="18"/>
              </w:rPr>
              <w:t xml:space="preserve"> </w:t>
            </w:r>
            <w:r>
              <w:rPr>
                <w:spacing w:val="-5"/>
                <w:sz w:val="18"/>
                <w:szCs w:val="18"/>
              </w:rPr>
              <w:t>，其</w:t>
            </w:r>
          </w:p>
          <w:p w14:paraId="78941E67">
            <w:pPr>
              <w:pStyle w:val="6"/>
              <w:spacing w:before="26" w:line="212" w:lineRule="auto"/>
              <w:ind w:left="478"/>
              <w:rPr>
                <w:sz w:val="18"/>
                <w:szCs w:val="18"/>
              </w:rPr>
            </w:pPr>
            <w:r>
              <w:rPr>
                <w:spacing w:val="-7"/>
                <w:sz w:val="18"/>
                <w:szCs w:val="18"/>
              </w:rPr>
              <w:t>他）</w:t>
            </w:r>
          </w:p>
        </w:tc>
      </w:tr>
      <w:tr w14:paraId="285016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6" w:hRule="atLeast"/>
        </w:trPr>
        <w:tc>
          <w:tcPr>
            <w:tcW w:w="429" w:type="dxa"/>
            <w:tcBorders>
              <w:left w:val="single" w:color="000000" w:sz="10" w:space="0"/>
            </w:tcBorders>
            <w:vAlign w:val="top"/>
          </w:tcPr>
          <w:p w14:paraId="2AFEE450">
            <w:pPr>
              <w:spacing w:before="94" w:line="188" w:lineRule="auto"/>
              <w:ind w:left="173"/>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806" w:type="dxa"/>
            <w:vAlign w:val="top"/>
          </w:tcPr>
          <w:p w14:paraId="491535A6">
            <w:pPr>
              <w:spacing w:before="97" w:line="185" w:lineRule="auto"/>
              <w:ind w:left="274"/>
              <w:rPr>
                <w:rFonts w:ascii="Times New Roman" w:hAnsi="Times New Roman" w:eastAsia="Times New Roman" w:cs="Times New Roman"/>
                <w:sz w:val="18"/>
                <w:szCs w:val="18"/>
              </w:rPr>
            </w:pPr>
            <w:r>
              <w:rPr>
                <w:rFonts w:ascii="Times New Roman" w:hAnsi="Times New Roman" w:eastAsia="Times New Roman" w:cs="Times New Roman"/>
                <w:sz w:val="18"/>
                <w:szCs w:val="18"/>
              </w:rPr>
              <w:t>pH</w:t>
            </w:r>
          </w:p>
        </w:tc>
        <w:tc>
          <w:tcPr>
            <w:tcW w:w="1293" w:type="dxa"/>
            <w:vAlign w:val="top"/>
          </w:tcPr>
          <w:p w14:paraId="55D3CC16">
            <w:pPr>
              <w:pStyle w:val="6"/>
              <w:spacing w:before="63" w:line="224" w:lineRule="auto"/>
              <w:ind w:left="376"/>
              <w:rPr>
                <w:sz w:val="18"/>
                <w:szCs w:val="18"/>
              </w:rPr>
            </w:pPr>
            <w:r>
              <w:rPr>
                <w:spacing w:val="-5"/>
                <w:sz w:val="18"/>
                <w:szCs w:val="18"/>
              </w:rPr>
              <w:t>无量纲</w:t>
            </w:r>
          </w:p>
        </w:tc>
        <w:tc>
          <w:tcPr>
            <w:tcW w:w="790" w:type="dxa"/>
            <w:vAlign w:val="top"/>
          </w:tcPr>
          <w:p w14:paraId="5B5C9121">
            <w:pPr>
              <w:spacing w:before="94" w:line="188" w:lineRule="auto"/>
              <w:ind w:left="236"/>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8.09</w:t>
            </w:r>
          </w:p>
        </w:tc>
        <w:tc>
          <w:tcPr>
            <w:tcW w:w="1244" w:type="dxa"/>
            <w:vAlign w:val="top"/>
          </w:tcPr>
          <w:p w14:paraId="76BDB459">
            <w:pPr>
              <w:spacing w:before="91" w:line="192" w:lineRule="auto"/>
              <w:ind w:left="58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99" w:type="dxa"/>
            <w:vAlign w:val="top"/>
          </w:tcPr>
          <w:p w14:paraId="7599723A">
            <w:pPr>
              <w:spacing w:before="97" w:line="185" w:lineRule="auto"/>
              <w:ind w:left="24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5.77</w:t>
            </w:r>
          </w:p>
        </w:tc>
        <w:tc>
          <w:tcPr>
            <w:tcW w:w="1591" w:type="dxa"/>
            <w:vAlign w:val="top"/>
          </w:tcPr>
          <w:p w14:paraId="041B528B">
            <w:pPr>
              <w:rPr>
                <w:rFonts w:ascii="Arial"/>
                <w:sz w:val="21"/>
              </w:rPr>
            </w:pPr>
          </w:p>
        </w:tc>
        <w:tc>
          <w:tcPr>
            <w:tcW w:w="808" w:type="dxa"/>
            <w:vAlign w:val="top"/>
          </w:tcPr>
          <w:p w14:paraId="346D815F">
            <w:pPr>
              <w:spacing w:before="94" w:line="188"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8.18</w:t>
            </w:r>
          </w:p>
        </w:tc>
        <w:tc>
          <w:tcPr>
            <w:tcW w:w="1299" w:type="dxa"/>
            <w:tcBorders>
              <w:right w:val="single" w:color="000000" w:sz="10" w:space="0"/>
            </w:tcBorders>
            <w:vAlign w:val="top"/>
          </w:tcPr>
          <w:p w14:paraId="617AB543">
            <w:pPr>
              <w:rPr>
                <w:rFonts w:ascii="Arial"/>
                <w:sz w:val="21"/>
              </w:rPr>
            </w:pPr>
          </w:p>
        </w:tc>
      </w:tr>
      <w:tr w14:paraId="3AC062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8" w:hRule="atLeast"/>
        </w:trPr>
        <w:tc>
          <w:tcPr>
            <w:tcW w:w="429" w:type="dxa"/>
            <w:tcBorders>
              <w:left w:val="single" w:color="000000" w:sz="10" w:space="0"/>
            </w:tcBorders>
            <w:vAlign w:val="top"/>
          </w:tcPr>
          <w:p w14:paraId="49AAB193">
            <w:pPr>
              <w:spacing w:before="116" w:line="188" w:lineRule="auto"/>
              <w:ind w:left="155"/>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806" w:type="dxa"/>
            <w:vAlign w:val="top"/>
          </w:tcPr>
          <w:p w14:paraId="3C5F65CE">
            <w:pPr>
              <w:pStyle w:val="6"/>
              <w:spacing w:before="85" w:line="220" w:lineRule="auto"/>
              <w:ind w:left="306"/>
              <w:rPr>
                <w:sz w:val="18"/>
                <w:szCs w:val="18"/>
              </w:rPr>
            </w:pPr>
            <w:r>
              <w:rPr>
                <w:sz w:val="18"/>
                <w:szCs w:val="18"/>
              </w:rPr>
              <w:t>砷</w:t>
            </w:r>
          </w:p>
        </w:tc>
        <w:tc>
          <w:tcPr>
            <w:tcW w:w="1293" w:type="dxa"/>
            <w:vAlign w:val="top"/>
          </w:tcPr>
          <w:p w14:paraId="12608DAA">
            <w:pPr>
              <w:spacing w:before="113" w:line="192" w:lineRule="auto"/>
              <w:ind w:left="40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mg/kg</w:t>
            </w:r>
          </w:p>
        </w:tc>
        <w:tc>
          <w:tcPr>
            <w:tcW w:w="790" w:type="dxa"/>
            <w:vAlign w:val="top"/>
          </w:tcPr>
          <w:p w14:paraId="4BA2F017">
            <w:pPr>
              <w:spacing w:before="116" w:line="188" w:lineRule="auto"/>
              <w:ind w:left="2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24.4</w:t>
            </w:r>
          </w:p>
        </w:tc>
        <w:tc>
          <w:tcPr>
            <w:tcW w:w="1244" w:type="dxa"/>
            <w:vAlign w:val="top"/>
          </w:tcPr>
          <w:p w14:paraId="69D0C881">
            <w:pPr>
              <w:spacing w:before="116" w:line="188" w:lineRule="auto"/>
              <w:ind w:left="52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25</w:t>
            </w:r>
          </w:p>
        </w:tc>
        <w:tc>
          <w:tcPr>
            <w:tcW w:w="799" w:type="dxa"/>
            <w:vAlign w:val="top"/>
          </w:tcPr>
          <w:p w14:paraId="16B24C70">
            <w:pPr>
              <w:spacing w:before="116" w:line="188" w:lineRule="auto"/>
              <w:ind w:left="24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20.3</w:t>
            </w:r>
          </w:p>
        </w:tc>
        <w:tc>
          <w:tcPr>
            <w:tcW w:w="1591" w:type="dxa"/>
            <w:vAlign w:val="top"/>
          </w:tcPr>
          <w:p w14:paraId="5403B93E">
            <w:pPr>
              <w:spacing w:before="116" w:line="188" w:lineRule="auto"/>
              <w:ind w:left="70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w:t>
            </w:r>
          </w:p>
        </w:tc>
        <w:tc>
          <w:tcPr>
            <w:tcW w:w="808" w:type="dxa"/>
            <w:vAlign w:val="top"/>
          </w:tcPr>
          <w:p w14:paraId="24BF40A0">
            <w:pPr>
              <w:spacing w:before="116" w:line="188" w:lineRule="auto"/>
              <w:ind w:left="267"/>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14.6</w:t>
            </w:r>
          </w:p>
        </w:tc>
        <w:tc>
          <w:tcPr>
            <w:tcW w:w="1299" w:type="dxa"/>
            <w:tcBorders>
              <w:right w:val="single" w:color="000000" w:sz="10" w:space="0"/>
            </w:tcBorders>
            <w:vAlign w:val="top"/>
          </w:tcPr>
          <w:p w14:paraId="7853A1F6">
            <w:pPr>
              <w:spacing w:before="116" w:line="188" w:lineRule="auto"/>
              <w:ind w:left="56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25</w:t>
            </w:r>
          </w:p>
        </w:tc>
      </w:tr>
      <w:tr w14:paraId="61F210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429" w:type="dxa"/>
            <w:tcBorders>
              <w:left w:val="single" w:color="000000" w:sz="10" w:space="0"/>
            </w:tcBorders>
            <w:vAlign w:val="top"/>
          </w:tcPr>
          <w:p w14:paraId="39E7A2E2">
            <w:pPr>
              <w:spacing w:before="101" w:line="188" w:lineRule="auto"/>
              <w:ind w:left="159"/>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806" w:type="dxa"/>
            <w:vAlign w:val="top"/>
          </w:tcPr>
          <w:p w14:paraId="772D8FD5">
            <w:pPr>
              <w:pStyle w:val="6"/>
              <w:spacing w:before="72" w:line="224" w:lineRule="auto"/>
              <w:ind w:left="307"/>
              <w:rPr>
                <w:sz w:val="18"/>
                <w:szCs w:val="18"/>
              </w:rPr>
            </w:pPr>
            <w:r>
              <w:rPr>
                <w:sz w:val="18"/>
                <w:szCs w:val="18"/>
              </w:rPr>
              <w:t>镉</w:t>
            </w:r>
          </w:p>
        </w:tc>
        <w:tc>
          <w:tcPr>
            <w:tcW w:w="1293" w:type="dxa"/>
            <w:vAlign w:val="top"/>
          </w:tcPr>
          <w:p w14:paraId="6C265799">
            <w:pPr>
              <w:spacing w:before="98" w:line="192" w:lineRule="auto"/>
              <w:ind w:left="40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mg/kg</w:t>
            </w:r>
          </w:p>
        </w:tc>
        <w:tc>
          <w:tcPr>
            <w:tcW w:w="790" w:type="dxa"/>
            <w:vAlign w:val="top"/>
          </w:tcPr>
          <w:p w14:paraId="49111867">
            <w:pPr>
              <w:spacing w:before="101" w:line="188" w:lineRule="auto"/>
              <w:ind w:left="23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0.19</w:t>
            </w:r>
          </w:p>
        </w:tc>
        <w:tc>
          <w:tcPr>
            <w:tcW w:w="1244" w:type="dxa"/>
            <w:vAlign w:val="top"/>
          </w:tcPr>
          <w:p w14:paraId="1572EC34">
            <w:pPr>
              <w:spacing w:before="101" w:line="188" w:lineRule="auto"/>
              <w:ind w:left="50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0.6</w:t>
            </w:r>
          </w:p>
        </w:tc>
        <w:tc>
          <w:tcPr>
            <w:tcW w:w="799" w:type="dxa"/>
            <w:vAlign w:val="top"/>
          </w:tcPr>
          <w:p w14:paraId="3FE24CFF">
            <w:pPr>
              <w:spacing w:before="101" w:line="188" w:lineRule="auto"/>
              <w:ind w:left="24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0.06</w:t>
            </w:r>
          </w:p>
        </w:tc>
        <w:tc>
          <w:tcPr>
            <w:tcW w:w="1591" w:type="dxa"/>
            <w:vAlign w:val="top"/>
          </w:tcPr>
          <w:p w14:paraId="26D40438">
            <w:pPr>
              <w:spacing w:before="101" w:line="188" w:lineRule="auto"/>
              <w:ind w:left="68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0.3</w:t>
            </w:r>
          </w:p>
        </w:tc>
        <w:tc>
          <w:tcPr>
            <w:tcW w:w="808" w:type="dxa"/>
            <w:vAlign w:val="top"/>
          </w:tcPr>
          <w:p w14:paraId="3BD62D37">
            <w:pPr>
              <w:spacing w:before="101" w:line="188" w:lineRule="auto"/>
              <w:ind w:left="253"/>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0.</w:t>
            </w:r>
            <w:r>
              <w:rPr>
                <w:rFonts w:ascii="Times New Roman" w:hAnsi="Times New Roman" w:eastAsia="Times New Roman" w:cs="Times New Roman"/>
                <w:spacing w:val="-23"/>
                <w:sz w:val="18"/>
                <w:szCs w:val="18"/>
              </w:rPr>
              <w:t xml:space="preserve"> </w:t>
            </w:r>
            <w:r>
              <w:rPr>
                <w:rFonts w:ascii="Times New Roman" w:hAnsi="Times New Roman" w:eastAsia="Times New Roman" w:cs="Times New Roman"/>
                <w:spacing w:val="-7"/>
                <w:sz w:val="18"/>
                <w:szCs w:val="18"/>
              </w:rPr>
              <w:t>12</w:t>
            </w:r>
          </w:p>
        </w:tc>
        <w:tc>
          <w:tcPr>
            <w:tcW w:w="1299" w:type="dxa"/>
            <w:tcBorders>
              <w:right w:val="single" w:color="000000" w:sz="10" w:space="0"/>
            </w:tcBorders>
            <w:vAlign w:val="top"/>
          </w:tcPr>
          <w:p w14:paraId="03DC9E5D">
            <w:pPr>
              <w:spacing w:before="101" w:line="188" w:lineRule="auto"/>
              <w:ind w:left="53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0.6</w:t>
            </w:r>
          </w:p>
        </w:tc>
      </w:tr>
      <w:tr w14:paraId="6C167D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8" w:hRule="atLeast"/>
        </w:trPr>
        <w:tc>
          <w:tcPr>
            <w:tcW w:w="429" w:type="dxa"/>
            <w:tcBorders>
              <w:left w:val="single" w:color="000000" w:sz="10" w:space="0"/>
            </w:tcBorders>
            <w:vAlign w:val="top"/>
          </w:tcPr>
          <w:p w14:paraId="58219CD1">
            <w:pPr>
              <w:spacing w:before="120" w:line="188" w:lineRule="auto"/>
              <w:ind w:left="154"/>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806" w:type="dxa"/>
            <w:vAlign w:val="top"/>
          </w:tcPr>
          <w:p w14:paraId="3E5CD609">
            <w:pPr>
              <w:pStyle w:val="6"/>
              <w:spacing w:before="89" w:line="223" w:lineRule="auto"/>
              <w:ind w:left="307"/>
              <w:rPr>
                <w:sz w:val="18"/>
                <w:szCs w:val="18"/>
              </w:rPr>
            </w:pPr>
            <w:r>
              <w:rPr>
                <w:sz w:val="18"/>
                <w:szCs w:val="18"/>
              </w:rPr>
              <w:t>铜</w:t>
            </w:r>
          </w:p>
        </w:tc>
        <w:tc>
          <w:tcPr>
            <w:tcW w:w="1293" w:type="dxa"/>
            <w:vAlign w:val="top"/>
          </w:tcPr>
          <w:p w14:paraId="04438913">
            <w:pPr>
              <w:spacing w:before="116" w:line="192" w:lineRule="auto"/>
              <w:ind w:left="40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mg/kg</w:t>
            </w:r>
          </w:p>
        </w:tc>
        <w:tc>
          <w:tcPr>
            <w:tcW w:w="790" w:type="dxa"/>
            <w:vAlign w:val="top"/>
          </w:tcPr>
          <w:p w14:paraId="4E91E850">
            <w:pPr>
              <w:spacing w:before="120" w:line="188" w:lineRule="auto"/>
              <w:ind w:left="30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60</w:t>
            </w:r>
          </w:p>
        </w:tc>
        <w:tc>
          <w:tcPr>
            <w:tcW w:w="1244" w:type="dxa"/>
            <w:vAlign w:val="top"/>
          </w:tcPr>
          <w:p w14:paraId="648CCBE5">
            <w:pPr>
              <w:spacing w:before="120" w:line="188" w:lineRule="auto"/>
              <w:ind w:left="498"/>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100</w:t>
            </w:r>
          </w:p>
        </w:tc>
        <w:tc>
          <w:tcPr>
            <w:tcW w:w="799" w:type="dxa"/>
            <w:vAlign w:val="top"/>
          </w:tcPr>
          <w:p w14:paraId="1821A7A7">
            <w:pPr>
              <w:spacing w:before="120" w:line="188" w:lineRule="auto"/>
              <w:ind w:left="31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34</w:t>
            </w:r>
          </w:p>
        </w:tc>
        <w:tc>
          <w:tcPr>
            <w:tcW w:w="1591" w:type="dxa"/>
            <w:vAlign w:val="top"/>
          </w:tcPr>
          <w:p w14:paraId="62F15585">
            <w:pPr>
              <w:spacing w:before="120" w:line="188" w:lineRule="auto"/>
              <w:ind w:left="71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50</w:t>
            </w:r>
          </w:p>
        </w:tc>
        <w:tc>
          <w:tcPr>
            <w:tcW w:w="808" w:type="dxa"/>
            <w:vAlign w:val="top"/>
          </w:tcPr>
          <w:p w14:paraId="438D4833">
            <w:pPr>
              <w:spacing w:before="120" w:line="188" w:lineRule="auto"/>
              <w:ind w:left="32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90</w:t>
            </w:r>
          </w:p>
        </w:tc>
        <w:tc>
          <w:tcPr>
            <w:tcW w:w="1299" w:type="dxa"/>
            <w:tcBorders>
              <w:right w:val="single" w:color="000000" w:sz="10" w:space="0"/>
            </w:tcBorders>
            <w:vAlign w:val="top"/>
          </w:tcPr>
          <w:p w14:paraId="36490C1A">
            <w:pPr>
              <w:spacing w:before="120" w:line="188" w:lineRule="auto"/>
              <w:ind w:left="53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100</w:t>
            </w:r>
          </w:p>
        </w:tc>
      </w:tr>
      <w:tr w14:paraId="75403C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429" w:type="dxa"/>
            <w:tcBorders>
              <w:left w:val="single" w:color="000000" w:sz="10" w:space="0"/>
            </w:tcBorders>
            <w:vAlign w:val="top"/>
          </w:tcPr>
          <w:p w14:paraId="51B6578D">
            <w:pPr>
              <w:spacing w:before="115" w:line="185" w:lineRule="auto"/>
              <w:ind w:left="160"/>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806" w:type="dxa"/>
            <w:vAlign w:val="top"/>
          </w:tcPr>
          <w:p w14:paraId="6FD76B93">
            <w:pPr>
              <w:pStyle w:val="6"/>
              <w:spacing w:before="81" w:line="222" w:lineRule="auto"/>
              <w:ind w:left="305"/>
              <w:rPr>
                <w:sz w:val="18"/>
                <w:szCs w:val="18"/>
              </w:rPr>
            </w:pPr>
            <w:r>
              <w:rPr>
                <w:sz w:val="18"/>
                <w:szCs w:val="18"/>
              </w:rPr>
              <w:t>铅</w:t>
            </w:r>
          </w:p>
        </w:tc>
        <w:tc>
          <w:tcPr>
            <w:tcW w:w="1293" w:type="dxa"/>
            <w:vAlign w:val="top"/>
          </w:tcPr>
          <w:p w14:paraId="25683D47">
            <w:pPr>
              <w:spacing w:before="109" w:line="192" w:lineRule="auto"/>
              <w:ind w:left="40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mg/kg</w:t>
            </w:r>
          </w:p>
        </w:tc>
        <w:tc>
          <w:tcPr>
            <w:tcW w:w="790" w:type="dxa"/>
            <w:vAlign w:val="top"/>
          </w:tcPr>
          <w:p w14:paraId="7B4BF67A">
            <w:pPr>
              <w:spacing w:before="112" w:line="188" w:lineRule="auto"/>
              <w:ind w:left="22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4.73</w:t>
            </w:r>
          </w:p>
        </w:tc>
        <w:tc>
          <w:tcPr>
            <w:tcW w:w="1244" w:type="dxa"/>
            <w:vAlign w:val="top"/>
          </w:tcPr>
          <w:p w14:paraId="164036A1">
            <w:pPr>
              <w:spacing w:before="112" w:line="188" w:lineRule="auto"/>
              <w:ind w:left="498"/>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170</w:t>
            </w:r>
          </w:p>
        </w:tc>
        <w:tc>
          <w:tcPr>
            <w:tcW w:w="799" w:type="dxa"/>
            <w:vAlign w:val="top"/>
          </w:tcPr>
          <w:p w14:paraId="5D0FF880">
            <w:pPr>
              <w:spacing w:before="112" w:line="188" w:lineRule="auto"/>
              <w:ind w:left="24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6.34</w:t>
            </w:r>
          </w:p>
        </w:tc>
        <w:tc>
          <w:tcPr>
            <w:tcW w:w="1591" w:type="dxa"/>
            <w:vAlign w:val="top"/>
          </w:tcPr>
          <w:p w14:paraId="0F969036">
            <w:pPr>
              <w:spacing w:before="112" w:line="188" w:lineRule="auto"/>
              <w:ind w:left="70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90</w:t>
            </w:r>
          </w:p>
        </w:tc>
        <w:tc>
          <w:tcPr>
            <w:tcW w:w="808" w:type="dxa"/>
            <w:vAlign w:val="top"/>
          </w:tcPr>
          <w:p w14:paraId="71B27801">
            <w:pPr>
              <w:spacing w:before="112" w:line="188" w:lineRule="auto"/>
              <w:ind w:left="313"/>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1.6</w:t>
            </w:r>
          </w:p>
        </w:tc>
        <w:tc>
          <w:tcPr>
            <w:tcW w:w="1299" w:type="dxa"/>
            <w:tcBorders>
              <w:right w:val="single" w:color="000000" w:sz="10" w:space="0"/>
            </w:tcBorders>
            <w:vAlign w:val="top"/>
          </w:tcPr>
          <w:p w14:paraId="2E3FBB8B">
            <w:pPr>
              <w:spacing w:before="112" w:line="188" w:lineRule="auto"/>
              <w:ind w:left="53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170</w:t>
            </w:r>
          </w:p>
        </w:tc>
      </w:tr>
      <w:tr w14:paraId="3F42BB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8" w:hRule="atLeast"/>
        </w:trPr>
        <w:tc>
          <w:tcPr>
            <w:tcW w:w="429" w:type="dxa"/>
            <w:tcBorders>
              <w:left w:val="single" w:color="000000" w:sz="10" w:space="0"/>
            </w:tcBorders>
            <w:vAlign w:val="top"/>
          </w:tcPr>
          <w:p w14:paraId="7CCA1794">
            <w:pPr>
              <w:spacing w:before="124" w:line="188" w:lineRule="auto"/>
              <w:ind w:left="159"/>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c>
          <w:tcPr>
            <w:tcW w:w="806" w:type="dxa"/>
            <w:vAlign w:val="top"/>
          </w:tcPr>
          <w:p w14:paraId="4D64AC21">
            <w:pPr>
              <w:pStyle w:val="6"/>
              <w:spacing w:before="92" w:line="224" w:lineRule="auto"/>
              <w:ind w:left="307"/>
              <w:rPr>
                <w:sz w:val="18"/>
                <w:szCs w:val="18"/>
              </w:rPr>
            </w:pPr>
            <w:r>
              <w:rPr>
                <w:sz w:val="18"/>
                <w:szCs w:val="18"/>
              </w:rPr>
              <w:t>汞</w:t>
            </w:r>
          </w:p>
        </w:tc>
        <w:tc>
          <w:tcPr>
            <w:tcW w:w="1293" w:type="dxa"/>
            <w:vAlign w:val="top"/>
          </w:tcPr>
          <w:p w14:paraId="1239CBD6">
            <w:pPr>
              <w:spacing w:before="120" w:line="192" w:lineRule="auto"/>
              <w:ind w:left="40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mg/kg</w:t>
            </w:r>
          </w:p>
        </w:tc>
        <w:tc>
          <w:tcPr>
            <w:tcW w:w="790" w:type="dxa"/>
            <w:vAlign w:val="top"/>
          </w:tcPr>
          <w:p w14:paraId="6C624209">
            <w:pPr>
              <w:spacing w:before="124" w:line="188" w:lineRule="auto"/>
              <w:ind w:left="18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0.201</w:t>
            </w:r>
          </w:p>
        </w:tc>
        <w:tc>
          <w:tcPr>
            <w:tcW w:w="1244" w:type="dxa"/>
            <w:vAlign w:val="top"/>
          </w:tcPr>
          <w:p w14:paraId="087C0C0B">
            <w:pPr>
              <w:spacing w:before="124" w:line="188" w:lineRule="auto"/>
              <w:ind w:left="50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3.4</w:t>
            </w:r>
          </w:p>
        </w:tc>
        <w:tc>
          <w:tcPr>
            <w:tcW w:w="799" w:type="dxa"/>
            <w:vAlign w:val="top"/>
          </w:tcPr>
          <w:p w14:paraId="1AF8D3B9">
            <w:pPr>
              <w:spacing w:before="124" w:line="188" w:lineRule="auto"/>
              <w:ind w:left="19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0.204</w:t>
            </w:r>
          </w:p>
        </w:tc>
        <w:tc>
          <w:tcPr>
            <w:tcW w:w="1591" w:type="dxa"/>
            <w:vAlign w:val="top"/>
          </w:tcPr>
          <w:p w14:paraId="48ED99FF">
            <w:pPr>
              <w:spacing w:before="124" w:line="188" w:lineRule="auto"/>
              <w:ind w:left="70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1.8</w:t>
            </w:r>
          </w:p>
        </w:tc>
        <w:tc>
          <w:tcPr>
            <w:tcW w:w="808" w:type="dxa"/>
            <w:vAlign w:val="top"/>
          </w:tcPr>
          <w:p w14:paraId="15AE1F61">
            <w:pPr>
              <w:spacing w:before="124" w:line="188" w:lineRule="auto"/>
              <w:ind w:left="20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0.204</w:t>
            </w:r>
          </w:p>
        </w:tc>
        <w:tc>
          <w:tcPr>
            <w:tcW w:w="1299" w:type="dxa"/>
            <w:tcBorders>
              <w:right w:val="single" w:color="000000" w:sz="10" w:space="0"/>
            </w:tcBorders>
            <w:vAlign w:val="top"/>
          </w:tcPr>
          <w:p w14:paraId="2EC950F2">
            <w:pPr>
              <w:spacing w:before="124" w:line="188" w:lineRule="auto"/>
              <w:ind w:left="54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3.4</w:t>
            </w:r>
          </w:p>
        </w:tc>
      </w:tr>
      <w:tr w14:paraId="655B52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429" w:type="dxa"/>
            <w:tcBorders>
              <w:left w:val="single" w:color="000000" w:sz="10" w:space="0"/>
            </w:tcBorders>
            <w:vAlign w:val="top"/>
          </w:tcPr>
          <w:p w14:paraId="4C551D90">
            <w:pPr>
              <w:spacing w:before="97" w:line="185" w:lineRule="auto"/>
              <w:ind w:left="158"/>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806" w:type="dxa"/>
            <w:vAlign w:val="top"/>
          </w:tcPr>
          <w:p w14:paraId="21AA691C">
            <w:pPr>
              <w:pStyle w:val="6"/>
              <w:spacing w:before="63" w:line="219" w:lineRule="auto"/>
              <w:ind w:left="307"/>
              <w:rPr>
                <w:sz w:val="18"/>
                <w:szCs w:val="18"/>
              </w:rPr>
            </w:pPr>
            <w:r>
              <w:rPr>
                <w:sz w:val="18"/>
                <w:szCs w:val="18"/>
              </w:rPr>
              <w:t>镍</w:t>
            </w:r>
          </w:p>
        </w:tc>
        <w:tc>
          <w:tcPr>
            <w:tcW w:w="1293" w:type="dxa"/>
            <w:vAlign w:val="top"/>
          </w:tcPr>
          <w:p w14:paraId="05D58D3F">
            <w:pPr>
              <w:spacing w:before="91" w:line="192" w:lineRule="auto"/>
              <w:ind w:left="40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mg/kg</w:t>
            </w:r>
          </w:p>
        </w:tc>
        <w:tc>
          <w:tcPr>
            <w:tcW w:w="790" w:type="dxa"/>
            <w:vAlign w:val="top"/>
          </w:tcPr>
          <w:p w14:paraId="02DFB171">
            <w:pPr>
              <w:spacing w:before="94" w:line="188" w:lineRule="auto"/>
              <w:ind w:left="30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54</w:t>
            </w:r>
          </w:p>
        </w:tc>
        <w:tc>
          <w:tcPr>
            <w:tcW w:w="1244" w:type="dxa"/>
            <w:vAlign w:val="top"/>
          </w:tcPr>
          <w:p w14:paraId="4A39FC26">
            <w:pPr>
              <w:spacing w:before="94" w:line="188" w:lineRule="auto"/>
              <w:ind w:left="498"/>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190</w:t>
            </w:r>
          </w:p>
        </w:tc>
        <w:tc>
          <w:tcPr>
            <w:tcW w:w="799" w:type="dxa"/>
            <w:vAlign w:val="top"/>
          </w:tcPr>
          <w:p w14:paraId="3A644415">
            <w:pPr>
              <w:spacing w:before="94" w:line="188" w:lineRule="auto"/>
              <w:ind w:left="324"/>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16</w:t>
            </w:r>
          </w:p>
        </w:tc>
        <w:tc>
          <w:tcPr>
            <w:tcW w:w="1591" w:type="dxa"/>
            <w:vAlign w:val="top"/>
          </w:tcPr>
          <w:p w14:paraId="15B1E453">
            <w:pPr>
              <w:spacing w:before="94" w:line="188" w:lineRule="auto"/>
              <w:ind w:left="70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70</w:t>
            </w:r>
          </w:p>
        </w:tc>
        <w:tc>
          <w:tcPr>
            <w:tcW w:w="808" w:type="dxa"/>
            <w:vAlign w:val="top"/>
          </w:tcPr>
          <w:p w14:paraId="3EBC37E6">
            <w:pPr>
              <w:spacing w:before="94" w:line="188" w:lineRule="auto"/>
              <w:ind w:left="32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78</w:t>
            </w:r>
          </w:p>
        </w:tc>
        <w:tc>
          <w:tcPr>
            <w:tcW w:w="1299" w:type="dxa"/>
            <w:tcBorders>
              <w:right w:val="single" w:color="000000" w:sz="10" w:space="0"/>
            </w:tcBorders>
            <w:vAlign w:val="top"/>
          </w:tcPr>
          <w:p w14:paraId="56907FFE">
            <w:pPr>
              <w:spacing w:before="94" w:line="188" w:lineRule="auto"/>
              <w:ind w:left="53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190</w:t>
            </w:r>
          </w:p>
        </w:tc>
      </w:tr>
      <w:tr w14:paraId="4E7277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6" w:hRule="atLeast"/>
        </w:trPr>
        <w:tc>
          <w:tcPr>
            <w:tcW w:w="429" w:type="dxa"/>
            <w:tcBorders>
              <w:left w:val="single" w:color="000000" w:sz="10" w:space="0"/>
            </w:tcBorders>
            <w:vAlign w:val="top"/>
          </w:tcPr>
          <w:p w14:paraId="2D431502">
            <w:pPr>
              <w:spacing w:before="104" w:line="188" w:lineRule="auto"/>
              <w:ind w:left="162"/>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tc>
        <w:tc>
          <w:tcPr>
            <w:tcW w:w="806" w:type="dxa"/>
            <w:vAlign w:val="top"/>
          </w:tcPr>
          <w:p w14:paraId="36DE9395">
            <w:pPr>
              <w:pStyle w:val="6"/>
              <w:spacing w:before="76" w:line="222" w:lineRule="auto"/>
              <w:ind w:left="306"/>
              <w:rPr>
                <w:sz w:val="18"/>
                <w:szCs w:val="18"/>
              </w:rPr>
            </w:pPr>
            <w:r>
              <w:rPr>
                <w:sz w:val="18"/>
                <w:szCs w:val="18"/>
              </w:rPr>
              <w:t>锌</w:t>
            </w:r>
          </w:p>
        </w:tc>
        <w:tc>
          <w:tcPr>
            <w:tcW w:w="1293" w:type="dxa"/>
            <w:vAlign w:val="top"/>
          </w:tcPr>
          <w:p w14:paraId="1B00C510">
            <w:pPr>
              <w:spacing w:before="101" w:line="192" w:lineRule="auto"/>
              <w:ind w:left="40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mg/kg</w:t>
            </w:r>
          </w:p>
        </w:tc>
        <w:tc>
          <w:tcPr>
            <w:tcW w:w="790" w:type="dxa"/>
            <w:vAlign w:val="top"/>
          </w:tcPr>
          <w:p w14:paraId="17092888">
            <w:pPr>
              <w:spacing w:before="104" w:line="188" w:lineRule="auto"/>
              <w:ind w:left="268"/>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136</w:t>
            </w:r>
          </w:p>
        </w:tc>
        <w:tc>
          <w:tcPr>
            <w:tcW w:w="1244" w:type="dxa"/>
            <w:vAlign w:val="top"/>
          </w:tcPr>
          <w:p w14:paraId="0D4C9D0D">
            <w:pPr>
              <w:spacing w:before="104" w:line="188" w:lineRule="auto"/>
              <w:ind w:left="48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300</w:t>
            </w:r>
          </w:p>
        </w:tc>
        <w:tc>
          <w:tcPr>
            <w:tcW w:w="799" w:type="dxa"/>
            <w:vAlign w:val="top"/>
          </w:tcPr>
          <w:p w14:paraId="30F04050">
            <w:pPr>
              <w:spacing w:before="104" w:line="188" w:lineRule="auto"/>
              <w:ind w:left="30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48</w:t>
            </w:r>
          </w:p>
        </w:tc>
        <w:tc>
          <w:tcPr>
            <w:tcW w:w="1591" w:type="dxa"/>
            <w:vAlign w:val="top"/>
          </w:tcPr>
          <w:p w14:paraId="52073E16">
            <w:pPr>
              <w:spacing w:before="104" w:line="188" w:lineRule="auto"/>
              <w:ind w:left="66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w:t>
            </w:r>
          </w:p>
        </w:tc>
        <w:tc>
          <w:tcPr>
            <w:tcW w:w="808" w:type="dxa"/>
            <w:vAlign w:val="top"/>
          </w:tcPr>
          <w:p w14:paraId="785189DF">
            <w:pPr>
              <w:spacing w:before="104" w:line="188" w:lineRule="auto"/>
              <w:ind w:left="2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198</w:t>
            </w:r>
          </w:p>
        </w:tc>
        <w:tc>
          <w:tcPr>
            <w:tcW w:w="1299" w:type="dxa"/>
            <w:tcBorders>
              <w:right w:val="single" w:color="000000" w:sz="10" w:space="0"/>
            </w:tcBorders>
            <w:vAlign w:val="top"/>
          </w:tcPr>
          <w:p w14:paraId="092722C5">
            <w:pPr>
              <w:spacing w:before="104" w:line="188" w:lineRule="auto"/>
              <w:ind w:left="51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300</w:t>
            </w:r>
          </w:p>
        </w:tc>
      </w:tr>
      <w:tr w14:paraId="7F7B8B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429" w:type="dxa"/>
            <w:tcBorders>
              <w:left w:val="single" w:color="000000" w:sz="10" w:space="0"/>
            </w:tcBorders>
            <w:vAlign w:val="top"/>
          </w:tcPr>
          <w:p w14:paraId="680BEF52">
            <w:pPr>
              <w:spacing w:before="131" w:line="188" w:lineRule="auto"/>
              <w:ind w:left="159"/>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tc>
        <w:tc>
          <w:tcPr>
            <w:tcW w:w="806" w:type="dxa"/>
            <w:vAlign w:val="top"/>
          </w:tcPr>
          <w:p w14:paraId="013223DD">
            <w:pPr>
              <w:pStyle w:val="6"/>
              <w:spacing w:before="100" w:line="222" w:lineRule="auto"/>
              <w:ind w:left="307"/>
              <w:rPr>
                <w:sz w:val="18"/>
                <w:szCs w:val="18"/>
              </w:rPr>
            </w:pPr>
            <w:r>
              <w:rPr>
                <w:sz w:val="18"/>
                <w:szCs w:val="18"/>
              </w:rPr>
              <w:t>铬</w:t>
            </w:r>
          </w:p>
        </w:tc>
        <w:tc>
          <w:tcPr>
            <w:tcW w:w="1293" w:type="dxa"/>
            <w:vAlign w:val="top"/>
          </w:tcPr>
          <w:p w14:paraId="06CCB30C">
            <w:pPr>
              <w:spacing w:before="128" w:line="192" w:lineRule="auto"/>
              <w:ind w:left="40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mg/kg</w:t>
            </w:r>
          </w:p>
        </w:tc>
        <w:tc>
          <w:tcPr>
            <w:tcW w:w="790" w:type="dxa"/>
            <w:vAlign w:val="top"/>
          </w:tcPr>
          <w:p w14:paraId="0A96B805">
            <w:pPr>
              <w:spacing w:before="131" w:line="188" w:lineRule="auto"/>
              <w:ind w:left="29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71</w:t>
            </w:r>
          </w:p>
        </w:tc>
        <w:tc>
          <w:tcPr>
            <w:tcW w:w="1244" w:type="dxa"/>
            <w:vAlign w:val="top"/>
          </w:tcPr>
          <w:p w14:paraId="0BFAF6D6">
            <w:pPr>
              <w:spacing w:before="131" w:line="188" w:lineRule="auto"/>
              <w:ind w:left="48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250</w:t>
            </w:r>
          </w:p>
        </w:tc>
        <w:tc>
          <w:tcPr>
            <w:tcW w:w="799" w:type="dxa"/>
            <w:vAlign w:val="top"/>
          </w:tcPr>
          <w:p w14:paraId="15826600">
            <w:pPr>
              <w:spacing w:before="131" w:line="188" w:lineRule="auto"/>
              <w:ind w:left="31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82</w:t>
            </w:r>
          </w:p>
        </w:tc>
        <w:tc>
          <w:tcPr>
            <w:tcW w:w="1591" w:type="dxa"/>
            <w:vAlign w:val="top"/>
          </w:tcPr>
          <w:p w14:paraId="2F6F07F0">
            <w:pPr>
              <w:spacing w:before="131" w:line="188" w:lineRule="auto"/>
              <w:ind w:left="680"/>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150</w:t>
            </w:r>
          </w:p>
        </w:tc>
        <w:tc>
          <w:tcPr>
            <w:tcW w:w="808" w:type="dxa"/>
            <w:vAlign w:val="top"/>
          </w:tcPr>
          <w:p w14:paraId="49F2CEB9">
            <w:pPr>
              <w:spacing w:before="131" w:line="188" w:lineRule="auto"/>
              <w:ind w:left="32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82</w:t>
            </w:r>
          </w:p>
        </w:tc>
        <w:tc>
          <w:tcPr>
            <w:tcW w:w="1299" w:type="dxa"/>
            <w:tcBorders>
              <w:right w:val="single" w:color="000000" w:sz="10" w:space="0"/>
            </w:tcBorders>
            <w:vAlign w:val="top"/>
          </w:tcPr>
          <w:p w14:paraId="1613AAC1">
            <w:pPr>
              <w:spacing w:before="131" w:line="188" w:lineRule="auto"/>
              <w:ind w:left="51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250</w:t>
            </w:r>
          </w:p>
        </w:tc>
      </w:tr>
      <w:tr w14:paraId="345E0B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8" w:hRule="atLeast"/>
        </w:trPr>
        <w:tc>
          <w:tcPr>
            <w:tcW w:w="1235" w:type="dxa"/>
            <w:gridSpan w:val="2"/>
            <w:tcBorders>
              <w:left w:val="single" w:color="000000" w:sz="10" w:space="0"/>
            </w:tcBorders>
            <w:vAlign w:val="top"/>
          </w:tcPr>
          <w:p w14:paraId="5D76343E">
            <w:pPr>
              <w:pStyle w:val="6"/>
              <w:spacing w:before="70" w:line="213" w:lineRule="auto"/>
              <w:ind w:left="257"/>
              <w:rPr>
                <w:sz w:val="18"/>
                <w:szCs w:val="18"/>
              </w:rPr>
            </w:pPr>
            <w:r>
              <w:rPr>
                <w:spacing w:val="-5"/>
                <w:sz w:val="18"/>
                <w:szCs w:val="18"/>
              </w:rPr>
              <w:t>监测时间</w:t>
            </w:r>
          </w:p>
        </w:tc>
        <w:tc>
          <w:tcPr>
            <w:tcW w:w="7824" w:type="dxa"/>
            <w:gridSpan w:val="7"/>
            <w:tcBorders>
              <w:right w:val="single" w:color="000000" w:sz="10" w:space="0"/>
            </w:tcBorders>
            <w:vAlign w:val="top"/>
          </w:tcPr>
          <w:p w14:paraId="7238357D">
            <w:pPr>
              <w:pStyle w:val="6"/>
              <w:spacing w:before="70" w:line="213" w:lineRule="auto"/>
              <w:ind w:left="3250"/>
              <w:rPr>
                <w:sz w:val="18"/>
                <w:szCs w:val="18"/>
              </w:rPr>
            </w:pPr>
            <w:r>
              <w:rPr>
                <w:rFonts w:ascii="Times New Roman" w:hAnsi="Times New Roman" w:eastAsia="Times New Roman" w:cs="Times New Roman"/>
                <w:spacing w:val="-6"/>
                <w:sz w:val="18"/>
                <w:szCs w:val="18"/>
              </w:rPr>
              <w:t>2023</w:t>
            </w:r>
            <w:r>
              <w:rPr>
                <w:rFonts w:ascii="Times New Roman" w:hAnsi="Times New Roman" w:eastAsia="Times New Roman" w:cs="Times New Roman"/>
                <w:spacing w:val="15"/>
                <w:sz w:val="18"/>
                <w:szCs w:val="18"/>
              </w:rPr>
              <w:t xml:space="preserve"> </w:t>
            </w:r>
            <w:r>
              <w:rPr>
                <w:spacing w:val="-6"/>
                <w:sz w:val="18"/>
                <w:szCs w:val="18"/>
              </w:rPr>
              <w:t>年</w:t>
            </w:r>
            <w:r>
              <w:rPr>
                <w:spacing w:val="-40"/>
                <w:sz w:val="18"/>
                <w:szCs w:val="18"/>
              </w:rPr>
              <w:t xml:space="preserve"> </w:t>
            </w:r>
            <w:r>
              <w:rPr>
                <w:rFonts w:ascii="Times New Roman" w:hAnsi="Times New Roman" w:eastAsia="Times New Roman" w:cs="Times New Roman"/>
                <w:spacing w:val="-6"/>
                <w:sz w:val="18"/>
                <w:szCs w:val="18"/>
              </w:rPr>
              <w:t>7</w:t>
            </w:r>
            <w:r>
              <w:rPr>
                <w:rFonts w:ascii="Times New Roman" w:hAnsi="Times New Roman" w:eastAsia="Times New Roman" w:cs="Times New Roman"/>
                <w:spacing w:val="22"/>
                <w:sz w:val="18"/>
                <w:szCs w:val="18"/>
              </w:rPr>
              <w:t xml:space="preserve"> </w:t>
            </w:r>
            <w:r>
              <w:rPr>
                <w:spacing w:val="-6"/>
                <w:sz w:val="18"/>
                <w:szCs w:val="18"/>
              </w:rPr>
              <w:t>月</w:t>
            </w:r>
            <w:r>
              <w:rPr>
                <w:spacing w:val="-39"/>
                <w:sz w:val="18"/>
                <w:szCs w:val="18"/>
              </w:rPr>
              <w:t xml:space="preserve"> </w:t>
            </w:r>
            <w:r>
              <w:rPr>
                <w:rFonts w:ascii="Times New Roman" w:hAnsi="Times New Roman" w:eastAsia="Times New Roman" w:cs="Times New Roman"/>
                <w:spacing w:val="-6"/>
                <w:sz w:val="18"/>
                <w:szCs w:val="18"/>
              </w:rPr>
              <w:t>3</w:t>
            </w:r>
            <w:r>
              <w:rPr>
                <w:rFonts w:ascii="Times New Roman" w:hAnsi="Times New Roman" w:eastAsia="Times New Roman" w:cs="Times New Roman"/>
                <w:spacing w:val="3"/>
                <w:sz w:val="18"/>
                <w:szCs w:val="18"/>
              </w:rPr>
              <w:t xml:space="preserve">  </w:t>
            </w:r>
            <w:r>
              <w:rPr>
                <w:spacing w:val="-6"/>
                <w:sz w:val="18"/>
                <w:szCs w:val="18"/>
              </w:rPr>
              <w:t>日</w:t>
            </w:r>
          </w:p>
        </w:tc>
      </w:tr>
      <w:tr w14:paraId="576C9A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235" w:type="dxa"/>
            <w:gridSpan w:val="2"/>
            <w:tcBorders>
              <w:left w:val="single" w:color="000000" w:sz="10" w:space="0"/>
              <w:bottom w:val="single" w:color="000000" w:sz="10" w:space="0"/>
            </w:tcBorders>
            <w:vAlign w:val="top"/>
          </w:tcPr>
          <w:p w14:paraId="299AAB5F">
            <w:pPr>
              <w:pStyle w:val="6"/>
              <w:spacing w:before="44" w:line="228" w:lineRule="auto"/>
              <w:ind w:left="110" w:right="55" w:firstLine="141"/>
              <w:rPr>
                <w:sz w:val="18"/>
                <w:szCs w:val="18"/>
              </w:rPr>
            </w:pPr>
            <w:r>
              <w:rPr>
                <w:spacing w:val="-3"/>
                <w:sz w:val="18"/>
                <w:szCs w:val="18"/>
              </w:rPr>
              <w:t>数据来源</w:t>
            </w:r>
            <w:r>
              <w:rPr>
                <w:sz w:val="18"/>
                <w:szCs w:val="18"/>
              </w:rPr>
              <w:t xml:space="preserve">   </w:t>
            </w:r>
            <w:r>
              <w:rPr>
                <w:spacing w:val="8"/>
                <w:sz w:val="18"/>
                <w:szCs w:val="18"/>
              </w:rPr>
              <w:t>（项目环境</w:t>
            </w:r>
            <w:r>
              <w:rPr>
                <w:sz w:val="18"/>
                <w:szCs w:val="18"/>
              </w:rPr>
              <w:t xml:space="preserve">  </w:t>
            </w:r>
            <w:r>
              <w:rPr>
                <w:spacing w:val="-6"/>
                <w:sz w:val="18"/>
                <w:szCs w:val="18"/>
              </w:rPr>
              <w:t>影响报告等）</w:t>
            </w:r>
          </w:p>
        </w:tc>
        <w:tc>
          <w:tcPr>
            <w:tcW w:w="7824" w:type="dxa"/>
            <w:gridSpan w:val="7"/>
            <w:tcBorders>
              <w:bottom w:val="single" w:color="000000" w:sz="10" w:space="0"/>
              <w:right w:val="single" w:color="000000" w:sz="10" w:space="0"/>
            </w:tcBorders>
            <w:vAlign w:val="top"/>
          </w:tcPr>
          <w:p w14:paraId="21CB5B14">
            <w:pPr>
              <w:pStyle w:val="6"/>
              <w:spacing w:before="263" w:line="229" w:lineRule="auto"/>
              <w:ind w:left="401"/>
              <w:rPr>
                <w:sz w:val="20"/>
                <w:szCs w:val="20"/>
              </w:rPr>
            </w:pPr>
            <w:r>
              <w:rPr>
                <w:spacing w:val="9"/>
                <w:sz w:val="20"/>
                <w:szCs w:val="20"/>
              </w:rPr>
              <w:t>重庆牛焱农业开发有限公司</w:t>
            </w:r>
            <w:r>
              <w:rPr>
                <w:spacing w:val="-27"/>
                <w:sz w:val="20"/>
                <w:szCs w:val="20"/>
              </w:rPr>
              <w:t xml:space="preserve"> </w:t>
            </w:r>
            <w:r>
              <w:rPr>
                <w:spacing w:val="9"/>
                <w:sz w:val="20"/>
                <w:szCs w:val="20"/>
              </w:rPr>
              <w:t>黔江区肉牛养殖及牧草种</w:t>
            </w:r>
            <w:r>
              <w:rPr>
                <w:spacing w:val="8"/>
                <w:sz w:val="20"/>
                <w:szCs w:val="20"/>
              </w:rPr>
              <w:t>植项目环境影响报告书</w:t>
            </w:r>
          </w:p>
        </w:tc>
      </w:tr>
    </w:tbl>
    <w:p w14:paraId="1DFED265">
      <w:pPr>
        <w:pStyle w:val="2"/>
        <w:spacing w:line="243" w:lineRule="auto"/>
      </w:pPr>
    </w:p>
    <w:p w14:paraId="69DB1167">
      <w:pPr>
        <w:spacing w:before="65" w:line="221" w:lineRule="auto"/>
        <w:ind w:left="497"/>
        <w:rPr>
          <w:rFonts w:ascii="仿宋" w:hAnsi="仿宋" w:eastAsia="仿宋" w:cs="仿宋"/>
          <w:sz w:val="20"/>
          <w:szCs w:val="20"/>
        </w:rPr>
      </w:pPr>
      <w:r>
        <w:rPr>
          <w:rFonts w:ascii="仿宋" w:hAnsi="仿宋" w:eastAsia="仿宋" w:cs="仿宋"/>
          <w:b/>
          <w:bCs/>
          <w:spacing w:val="7"/>
          <w:sz w:val="20"/>
          <w:szCs w:val="20"/>
        </w:rPr>
        <w:t>表</w:t>
      </w:r>
      <w:r>
        <w:rPr>
          <w:rFonts w:ascii="仿宋" w:hAnsi="仿宋" w:eastAsia="仿宋" w:cs="仿宋"/>
          <w:spacing w:val="-44"/>
          <w:sz w:val="20"/>
          <w:szCs w:val="20"/>
        </w:rPr>
        <w:t xml:space="preserve"> </w:t>
      </w:r>
      <w:r>
        <w:rPr>
          <w:rFonts w:ascii="Times New Roman" w:hAnsi="Times New Roman" w:eastAsia="Times New Roman" w:cs="Times New Roman"/>
          <w:b/>
          <w:bCs/>
          <w:spacing w:val="7"/>
          <w:sz w:val="20"/>
          <w:szCs w:val="20"/>
        </w:rPr>
        <w:t xml:space="preserve">3.1-16    </w:t>
      </w:r>
      <w:r>
        <w:rPr>
          <w:rFonts w:ascii="仿宋" w:hAnsi="仿宋" w:eastAsia="仿宋" w:cs="仿宋"/>
          <w:b/>
          <w:bCs/>
          <w:spacing w:val="7"/>
          <w:sz w:val="20"/>
          <w:szCs w:val="20"/>
        </w:rPr>
        <w:t>周边区域土壤环境质量现状统计表（建设用地）</w:t>
      </w:r>
      <w:r>
        <w:rPr>
          <w:rFonts w:ascii="仿宋" w:hAnsi="仿宋" w:eastAsia="仿宋" w:cs="仿宋"/>
          <w:b/>
          <w:bCs/>
          <w:spacing w:val="6"/>
          <w:sz w:val="20"/>
          <w:szCs w:val="20"/>
        </w:rPr>
        <w:t>单位：</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6"/>
          <w:sz w:val="20"/>
          <w:szCs w:val="20"/>
        </w:rPr>
        <w:t>/</w:t>
      </w:r>
      <w:r>
        <w:rPr>
          <w:rFonts w:ascii="Times New Roman" w:hAnsi="Times New Roman" w:eastAsia="Times New Roman" w:cs="Times New Roman"/>
          <w:b/>
          <w:bCs/>
          <w:sz w:val="20"/>
          <w:szCs w:val="20"/>
        </w:rPr>
        <w:t>kg</w:t>
      </w:r>
      <w:r>
        <w:rPr>
          <w:rFonts w:ascii="Times New Roman" w:hAnsi="Times New Roman" w:eastAsia="Times New Roman" w:cs="Times New Roman"/>
          <w:b/>
          <w:bCs/>
          <w:spacing w:val="6"/>
          <w:sz w:val="20"/>
          <w:szCs w:val="20"/>
        </w:rPr>
        <w:t xml:space="preserve">  </w:t>
      </w:r>
      <w:r>
        <w:rPr>
          <w:rFonts w:ascii="仿宋" w:hAnsi="仿宋" w:eastAsia="仿宋" w:cs="仿宋"/>
          <w:b/>
          <w:bCs/>
          <w:spacing w:val="6"/>
          <w:sz w:val="20"/>
          <w:szCs w:val="20"/>
        </w:rPr>
        <w:t>（</w:t>
      </w:r>
      <w:r>
        <w:rPr>
          <w:rFonts w:ascii="Times New Roman" w:hAnsi="Times New Roman" w:eastAsia="Times New Roman" w:cs="Times New Roman"/>
          <w:b/>
          <w:bCs/>
          <w:sz w:val="20"/>
          <w:szCs w:val="20"/>
        </w:rPr>
        <w:t>pH</w:t>
      </w:r>
      <w:r>
        <w:rPr>
          <w:rFonts w:ascii="Times New Roman" w:hAnsi="Times New Roman" w:eastAsia="Times New Roman" w:cs="Times New Roman"/>
          <w:b/>
          <w:bCs/>
          <w:spacing w:val="20"/>
          <w:w w:val="101"/>
          <w:sz w:val="20"/>
          <w:szCs w:val="20"/>
        </w:rPr>
        <w:t xml:space="preserve"> </w:t>
      </w:r>
      <w:r>
        <w:rPr>
          <w:rFonts w:ascii="仿宋" w:hAnsi="仿宋" w:eastAsia="仿宋" w:cs="仿宋"/>
          <w:b/>
          <w:bCs/>
          <w:spacing w:val="6"/>
          <w:sz w:val="20"/>
          <w:szCs w:val="20"/>
        </w:rPr>
        <w:t>无量纲）</w:t>
      </w:r>
    </w:p>
    <w:p w14:paraId="3D4E116E">
      <w:pPr>
        <w:spacing w:line="31" w:lineRule="exact"/>
      </w:pPr>
    </w:p>
    <w:tbl>
      <w:tblPr>
        <w:tblStyle w:val="5"/>
        <w:tblW w:w="8933" w:type="dxa"/>
        <w:tblInd w:w="12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2"/>
        <w:gridCol w:w="2917"/>
        <w:gridCol w:w="1616"/>
        <w:gridCol w:w="1586"/>
        <w:gridCol w:w="2132"/>
      </w:tblGrid>
      <w:tr w14:paraId="67A84B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82" w:type="dxa"/>
            <w:vMerge w:val="restart"/>
            <w:tcBorders>
              <w:top w:val="single" w:color="000000" w:sz="10" w:space="0"/>
              <w:left w:val="single" w:color="000000" w:sz="10" w:space="0"/>
              <w:bottom w:val="nil"/>
            </w:tcBorders>
            <w:vAlign w:val="top"/>
          </w:tcPr>
          <w:p w14:paraId="5A7B809D">
            <w:pPr>
              <w:rPr>
                <w:rFonts w:ascii="Arial"/>
                <w:sz w:val="21"/>
              </w:rPr>
            </w:pPr>
          </w:p>
          <w:p w14:paraId="0B2231E9">
            <w:pPr>
              <w:spacing w:line="241" w:lineRule="auto"/>
              <w:rPr>
                <w:rFonts w:ascii="Arial"/>
                <w:sz w:val="21"/>
              </w:rPr>
            </w:pPr>
          </w:p>
          <w:p w14:paraId="7FA3992E">
            <w:pPr>
              <w:pStyle w:val="6"/>
              <w:spacing w:before="59" w:line="222" w:lineRule="auto"/>
              <w:ind w:left="161"/>
              <w:rPr>
                <w:sz w:val="18"/>
                <w:szCs w:val="18"/>
              </w:rPr>
            </w:pPr>
            <w:r>
              <w:rPr>
                <w:spacing w:val="-6"/>
                <w:sz w:val="18"/>
                <w:szCs w:val="18"/>
              </w:rPr>
              <w:t>序号</w:t>
            </w:r>
          </w:p>
        </w:tc>
        <w:tc>
          <w:tcPr>
            <w:tcW w:w="2917" w:type="dxa"/>
            <w:vMerge w:val="restart"/>
            <w:tcBorders>
              <w:top w:val="single" w:color="000000" w:sz="10" w:space="0"/>
              <w:bottom w:val="nil"/>
            </w:tcBorders>
            <w:vAlign w:val="top"/>
          </w:tcPr>
          <w:p w14:paraId="10F5F0BD">
            <w:pPr>
              <w:rPr>
                <w:rFonts w:ascii="Arial"/>
                <w:sz w:val="21"/>
              </w:rPr>
            </w:pPr>
          </w:p>
          <w:p w14:paraId="70EDCF46">
            <w:pPr>
              <w:spacing w:line="241" w:lineRule="auto"/>
              <w:rPr>
                <w:rFonts w:ascii="Arial"/>
                <w:sz w:val="21"/>
              </w:rPr>
            </w:pPr>
          </w:p>
          <w:p w14:paraId="61968662">
            <w:pPr>
              <w:pStyle w:val="6"/>
              <w:spacing w:before="58" w:line="221" w:lineRule="auto"/>
              <w:ind w:left="1014"/>
              <w:rPr>
                <w:sz w:val="18"/>
                <w:szCs w:val="18"/>
              </w:rPr>
            </w:pPr>
            <w:r>
              <w:rPr>
                <w:spacing w:val="-4"/>
                <w:sz w:val="18"/>
                <w:szCs w:val="18"/>
              </w:rPr>
              <w:t>污染物项目</w:t>
            </w:r>
          </w:p>
        </w:tc>
        <w:tc>
          <w:tcPr>
            <w:tcW w:w="1616" w:type="dxa"/>
            <w:tcBorders>
              <w:top w:val="single" w:color="000000" w:sz="10" w:space="0"/>
            </w:tcBorders>
            <w:vAlign w:val="top"/>
          </w:tcPr>
          <w:p w14:paraId="6C2ADED3">
            <w:pPr>
              <w:spacing w:before="101" w:line="188" w:lineRule="auto"/>
              <w:ind w:left="71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w:t>
            </w:r>
          </w:p>
        </w:tc>
        <w:tc>
          <w:tcPr>
            <w:tcW w:w="1586" w:type="dxa"/>
            <w:tcBorders>
              <w:top w:val="single" w:color="000000" w:sz="10" w:space="0"/>
            </w:tcBorders>
            <w:vAlign w:val="top"/>
          </w:tcPr>
          <w:p w14:paraId="585EAF52">
            <w:pPr>
              <w:spacing w:before="101" w:line="188" w:lineRule="auto"/>
              <w:ind w:left="71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w:t>
            </w:r>
          </w:p>
        </w:tc>
        <w:tc>
          <w:tcPr>
            <w:tcW w:w="2132" w:type="dxa"/>
            <w:tcBorders>
              <w:top w:val="single" w:color="000000" w:sz="10" w:space="0"/>
              <w:right w:val="single" w:color="000000" w:sz="10" w:space="0"/>
            </w:tcBorders>
            <w:vAlign w:val="top"/>
          </w:tcPr>
          <w:p w14:paraId="4B7C3460">
            <w:pPr>
              <w:pStyle w:val="6"/>
              <w:spacing w:before="70" w:line="222" w:lineRule="auto"/>
              <w:ind w:left="802"/>
              <w:rPr>
                <w:sz w:val="18"/>
                <w:szCs w:val="18"/>
              </w:rPr>
            </w:pPr>
            <w:r>
              <w:rPr>
                <w:spacing w:val="-4"/>
                <w:sz w:val="18"/>
                <w:szCs w:val="18"/>
              </w:rPr>
              <w:t>标准值</w:t>
            </w:r>
          </w:p>
        </w:tc>
      </w:tr>
      <w:tr w14:paraId="7EC4C3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5" w:hRule="atLeast"/>
        </w:trPr>
        <w:tc>
          <w:tcPr>
            <w:tcW w:w="682" w:type="dxa"/>
            <w:vMerge w:val="continue"/>
            <w:tcBorders>
              <w:top w:val="nil"/>
              <w:left w:val="single" w:color="000000" w:sz="10" w:space="0"/>
            </w:tcBorders>
            <w:vAlign w:val="top"/>
          </w:tcPr>
          <w:p w14:paraId="2857E497">
            <w:pPr>
              <w:rPr>
                <w:rFonts w:ascii="Arial"/>
                <w:sz w:val="21"/>
              </w:rPr>
            </w:pPr>
          </w:p>
        </w:tc>
        <w:tc>
          <w:tcPr>
            <w:tcW w:w="2917" w:type="dxa"/>
            <w:vMerge w:val="continue"/>
            <w:tcBorders>
              <w:top w:val="nil"/>
            </w:tcBorders>
            <w:vAlign w:val="top"/>
          </w:tcPr>
          <w:p w14:paraId="1DA13B4E">
            <w:pPr>
              <w:rPr>
                <w:rFonts w:ascii="Arial"/>
                <w:sz w:val="21"/>
              </w:rPr>
            </w:pPr>
          </w:p>
        </w:tc>
        <w:tc>
          <w:tcPr>
            <w:tcW w:w="1616" w:type="dxa"/>
            <w:vAlign w:val="top"/>
          </w:tcPr>
          <w:p w14:paraId="14810408">
            <w:pPr>
              <w:spacing w:line="317" w:lineRule="auto"/>
              <w:rPr>
                <w:rFonts w:ascii="Arial"/>
                <w:sz w:val="21"/>
              </w:rPr>
            </w:pPr>
          </w:p>
          <w:p w14:paraId="52DA68F9">
            <w:pPr>
              <w:pStyle w:val="6"/>
              <w:spacing w:before="58" w:line="222" w:lineRule="auto"/>
              <w:ind w:left="367"/>
              <w:rPr>
                <w:sz w:val="18"/>
                <w:szCs w:val="18"/>
              </w:rPr>
            </w:pPr>
            <w:r>
              <w:rPr>
                <w:spacing w:val="-3"/>
                <w:sz w:val="18"/>
                <w:szCs w:val="18"/>
              </w:rPr>
              <w:t>场地内北侧</w:t>
            </w:r>
          </w:p>
        </w:tc>
        <w:tc>
          <w:tcPr>
            <w:tcW w:w="1586" w:type="dxa"/>
            <w:vAlign w:val="top"/>
          </w:tcPr>
          <w:p w14:paraId="1A2A3222">
            <w:pPr>
              <w:spacing w:line="317" w:lineRule="auto"/>
              <w:rPr>
                <w:rFonts w:ascii="Arial"/>
                <w:sz w:val="21"/>
              </w:rPr>
            </w:pPr>
          </w:p>
          <w:p w14:paraId="31AFB986">
            <w:pPr>
              <w:pStyle w:val="6"/>
              <w:spacing w:before="58" w:line="222" w:lineRule="auto"/>
              <w:ind w:left="177"/>
              <w:rPr>
                <w:sz w:val="18"/>
                <w:szCs w:val="18"/>
              </w:rPr>
            </w:pPr>
            <w:r>
              <w:rPr>
                <w:spacing w:val="-2"/>
                <w:sz w:val="18"/>
                <w:szCs w:val="18"/>
              </w:rPr>
              <w:t>项目占地范围内</w:t>
            </w:r>
          </w:p>
        </w:tc>
        <w:tc>
          <w:tcPr>
            <w:tcW w:w="2132" w:type="dxa"/>
            <w:tcBorders>
              <w:right w:val="single" w:color="000000" w:sz="10" w:space="0"/>
            </w:tcBorders>
            <w:vAlign w:val="top"/>
          </w:tcPr>
          <w:p w14:paraId="37FFBDDC">
            <w:pPr>
              <w:pStyle w:val="6"/>
              <w:spacing w:before="29" w:line="222" w:lineRule="auto"/>
              <w:ind w:left="38"/>
              <w:rPr>
                <w:sz w:val="18"/>
                <w:szCs w:val="18"/>
              </w:rPr>
            </w:pPr>
            <w:r>
              <w:rPr>
                <w:spacing w:val="-1"/>
                <w:sz w:val="18"/>
                <w:szCs w:val="18"/>
              </w:rPr>
              <w:t>《土壤环境质量 建设用地</w:t>
            </w:r>
          </w:p>
          <w:p w14:paraId="77AF3900">
            <w:pPr>
              <w:pStyle w:val="6"/>
              <w:spacing w:before="16" w:line="222" w:lineRule="auto"/>
              <w:ind w:left="85"/>
              <w:rPr>
                <w:sz w:val="18"/>
                <w:szCs w:val="18"/>
              </w:rPr>
            </w:pPr>
            <w:r>
              <w:rPr>
                <w:spacing w:val="-2"/>
                <w:sz w:val="18"/>
                <w:szCs w:val="18"/>
              </w:rPr>
              <w:t>土壤污染风险管控标准》</w:t>
            </w:r>
          </w:p>
          <w:p w14:paraId="24882155">
            <w:pPr>
              <w:pStyle w:val="6"/>
              <w:spacing w:before="16" w:line="222" w:lineRule="auto"/>
              <w:ind w:left="69"/>
              <w:rPr>
                <w:sz w:val="18"/>
                <w:szCs w:val="18"/>
              </w:rPr>
            </w:pPr>
            <w:r>
              <w:rPr>
                <w:spacing w:val="-2"/>
                <w:sz w:val="18"/>
                <w:szCs w:val="18"/>
              </w:rPr>
              <w:t>（</w:t>
            </w:r>
            <w:r>
              <w:rPr>
                <w:rFonts w:ascii="Times New Roman" w:hAnsi="Times New Roman" w:eastAsia="Times New Roman" w:cs="Times New Roman"/>
                <w:spacing w:val="-2"/>
                <w:sz w:val="18"/>
                <w:szCs w:val="18"/>
              </w:rPr>
              <w:t>GB36600-2018</w:t>
            </w:r>
            <w:r>
              <w:rPr>
                <w:spacing w:val="-2"/>
                <w:sz w:val="18"/>
                <w:szCs w:val="18"/>
              </w:rPr>
              <w:t>）第二类</w:t>
            </w:r>
          </w:p>
          <w:p w14:paraId="29309021">
            <w:pPr>
              <w:pStyle w:val="6"/>
              <w:spacing w:before="18" w:line="200" w:lineRule="auto"/>
              <w:ind w:left="623"/>
              <w:rPr>
                <w:sz w:val="18"/>
                <w:szCs w:val="18"/>
              </w:rPr>
            </w:pPr>
            <w:r>
              <w:rPr>
                <w:spacing w:val="-3"/>
                <w:sz w:val="18"/>
                <w:szCs w:val="18"/>
              </w:rPr>
              <w:t>用地筛选值</w:t>
            </w:r>
          </w:p>
        </w:tc>
      </w:tr>
      <w:tr w14:paraId="47A996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3599" w:type="dxa"/>
            <w:gridSpan w:val="2"/>
            <w:tcBorders>
              <w:left w:val="single" w:color="000000" w:sz="10" w:space="0"/>
            </w:tcBorders>
            <w:vAlign w:val="top"/>
          </w:tcPr>
          <w:p w14:paraId="1780006D">
            <w:pPr>
              <w:pStyle w:val="6"/>
              <w:spacing w:before="70" w:line="223" w:lineRule="auto"/>
              <w:ind w:left="1448"/>
              <w:rPr>
                <w:sz w:val="18"/>
                <w:szCs w:val="18"/>
              </w:rPr>
            </w:pPr>
            <w:r>
              <w:rPr>
                <w:spacing w:val="-5"/>
                <w:sz w:val="18"/>
                <w:szCs w:val="18"/>
              </w:rPr>
              <w:t>监测时间</w:t>
            </w:r>
          </w:p>
        </w:tc>
        <w:tc>
          <w:tcPr>
            <w:tcW w:w="1616" w:type="dxa"/>
            <w:vAlign w:val="top"/>
          </w:tcPr>
          <w:p w14:paraId="0C8B6CEA">
            <w:pPr>
              <w:pStyle w:val="6"/>
              <w:spacing w:before="71" w:line="222" w:lineRule="auto"/>
              <w:ind w:left="65"/>
              <w:rPr>
                <w:sz w:val="18"/>
                <w:szCs w:val="18"/>
              </w:rPr>
            </w:pPr>
            <w:r>
              <w:rPr>
                <w:rFonts w:ascii="Times New Roman" w:hAnsi="Times New Roman" w:eastAsia="Times New Roman" w:cs="Times New Roman"/>
                <w:spacing w:val="-6"/>
                <w:sz w:val="18"/>
                <w:szCs w:val="18"/>
              </w:rPr>
              <w:t>2022</w:t>
            </w:r>
            <w:r>
              <w:rPr>
                <w:rFonts w:ascii="Times New Roman" w:hAnsi="Times New Roman" w:eastAsia="Times New Roman" w:cs="Times New Roman"/>
                <w:spacing w:val="18"/>
                <w:sz w:val="18"/>
                <w:szCs w:val="18"/>
              </w:rPr>
              <w:t xml:space="preserve"> </w:t>
            </w:r>
            <w:r>
              <w:rPr>
                <w:spacing w:val="-6"/>
                <w:sz w:val="18"/>
                <w:szCs w:val="18"/>
              </w:rPr>
              <w:t>年</w:t>
            </w:r>
            <w:r>
              <w:rPr>
                <w:spacing w:val="-24"/>
                <w:sz w:val="18"/>
                <w:szCs w:val="18"/>
              </w:rPr>
              <w:t xml:space="preserve"> </w:t>
            </w:r>
            <w:r>
              <w:rPr>
                <w:rFonts w:ascii="Times New Roman" w:hAnsi="Times New Roman" w:eastAsia="Times New Roman" w:cs="Times New Roman"/>
                <w:spacing w:val="-6"/>
                <w:sz w:val="18"/>
                <w:szCs w:val="18"/>
              </w:rPr>
              <w:t>11</w:t>
            </w:r>
            <w:r>
              <w:rPr>
                <w:rFonts w:ascii="Times New Roman" w:hAnsi="Times New Roman" w:eastAsia="Times New Roman" w:cs="Times New Roman"/>
                <w:spacing w:val="20"/>
                <w:sz w:val="18"/>
                <w:szCs w:val="18"/>
              </w:rPr>
              <w:t xml:space="preserve"> </w:t>
            </w:r>
            <w:r>
              <w:rPr>
                <w:spacing w:val="-6"/>
                <w:sz w:val="18"/>
                <w:szCs w:val="18"/>
              </w:rPr>
              <w:t>月</w:t>
            </w:r>
            <w:r>
              <w:rPr>
                <w:spacing w:val="-26"/>
                <w:sz w:val="18"/>
                <w:szCs w:val="18"/>
              </w:rPr>
              <w:t xml:space="preserve"> </w:t>
            </w:r>
            <w:r>
              <w:rPr>
                <w:rFonts w:ascii="Times New Roman" w:hAnsi="Times New Roman" w:eastAsia="Times New Roman" w:cs="Times New Roman"/>
                <w:spacing w:val="-6"/>
                <w:sz w:val="18"/>
                <w:szCs w:val="18"/>
              </w:rPr>
              <w:t xml:space="preserve">15  </w:t>
            </w:r>
            <w:r>
              <w:rPr>
                <w:spacing w:val="-6"/>
                <w:sz w:val="18"/>
                <w:szCs w:val="18"/>
              </w:rPr>
              <w:t>日</w:t>
            </w:r>
          </w:p>
        </w:tc>
        <w:tc>
          <w:tcPr>
            <w:tcW w:w="1586" w:type="dxa"/>
            <w:vAlign w:val="top"/>
          </w:tcPr>
          <w:p w14:paraId="1EE5A833">
            <w:pPr>
              <w:pStyle w:val="6"/>
              <w:spacing w:before="71" w:line="222" w:lineRule="auto"/>
              <w:ind w:left="101"/>
              <w:rPr>
                <w:sz w:val="18"/>
                <w:szCs w:val="18"/>
              </w:rPr>
            </w:pPr>
            <w:r>
              <w:rPr>
                <w:rFonts w:ascii="Times New Roman" w:hAnsi="Times New Roman" w:eastAsia="Times New Roman" w:cs="Times New Roman"/>
                <w:spacing w:val="-6"/>
                <w:sz w:val="18"/>
                <w:szCs w:val="18"/>
              </w:rPr>
              <w:t>2023</w:t>
            </w:r>
            <w:r>
              <w:rPr>
                <w:rFonts w:ascii="Times New Roman" w:hAnsi="Times New Roman" w:eastAsia="Times New Roman" w:cs="Times New Roman"/>
                <w:spacing w:val="24"/>
                <w:w w:val="101"/>
                <w:sz w:val="18"/>
                <w:szCs w:val="18"/>
              </w:rPr>
              <w:t xml:space="preserve"> </w:t>
            </w:r>
            <w:r>
              <w:rPr>
                <w:spacing w:val="-6"/>
                <w:sz w:val="18"/>
                <w:szCs w:val="18"/>
              </w:rPr>
              <w:t>年</w:t>
            </w:r>
            <w:r>
              <w:rPr>
                <w:spacing w:val="-26"/>
                <w:sz w:val="18"/>
                <w:szCs w:val="18"/>
              </w:rPr>
              <w:t xml:space="preserve"> </w:t>
            </w:r>
            <w:r>
              <w:rPr>
                <w:rFonts w:ascii="Times New Roman" w:hAnsi="Times New Roman" w:eastAsia="Times New Roman" w:cs="Times New Roman"/>
                <w:spacing w:val="-6"/>
                <w:sz w:val="18"/>
                <w:szCs w:val="18"/>
              </w:rPr>
              <w:t>1</w:t>
            </w:r>
            <w:r>
              <w:rPr>
                <w:rFonts w:ascii="Times New Roman" w:hAnsi="Times New Roman" w:eastAsia="Times New Roman" w:cs="Times New Roman"/>
                <w:spacing w:val="22"/>
                <w:w w:val="101"/>
                <w:sz w:val="18"/>
                <w:szCs w:val="18"/>
              </w:rPr>
              <w:t xml:space="preserve"> </w:t>
            </w:r>
            <w:r>
              <w:rPr>
                <w:spacing w:val="-6"/>
                <w:sz w:val="18"/>
                <w:szCs w:val="18"/>
              </w:rPr>
              <w:t>月</w:t>
            </w:r>
            <w:r>
              <w:rPr>
                <w:spacing w:val="-40"/>
                <w:sz w:val="18"/>
                <w:szCs w:val="18"/>
              </w:rPr>
              <w:t xml:space="preserve"> </w:t>
            </w:r>
            <w:r>
              <w:rPr>
                <w:rFonts w:ascii="Times New Roman" w:hAnsi="Times New Roman" w:eastAsia="Times New Roman" w:cs="Times New Roman"/>
                <w:spacing w:val="-6"/>
                <w:sz w:val="18"/>
                <w:szCs w:val="18"/>
              </w:rPr>
              <w:t xml:space="preserve">30  </w:t>
            </w:r>
            <w:r>
              <w:rPr>
                <w:spacing w:val="-6"/>
                <w:sz w:val="18"/>
                <w:szCs w:val="18"/>
              </w:rPr>
              <w:t>日</w:t>
            </w:r>
          </w:p>
        </w:tc>
        <w:tc>
          <w:tcPr>
            <w:tcW w:w="2132" w:type="dxa"/>
            <w:tcBorders>
              <w:right w:val="single" w:color="000000" w:sz="10" w:space="0"/>
            </w:tcBorders>
            <w:vAlign w:val="top"/>
          </w:tcPr>
          <w:p w14:paraId="227BD40C">
            <w:pPr>
              <w:spacing w:before="98" w:line="192" w:lineRule="auto"/>
              <w:ind w:left="103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14:paraId="52F8F3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82" w:type="dxa"/>
            <w:tcBorders>
              <w:left w:val="single" w:color="000000" w:sz="10" w:space="0"/>
            </w:tcBorders>
            <w:vAlign w:val="top"/>
          </w:tcPr>
          <w:p w14:paraId="3A541CCD">
            <w:pPr>
              <w:spacing w:before="103" w:line="188" w:lineRule="auto"/>
              <w:ind w:left="305"/>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2917" w:type="dxa"/>
            <w:vAlign w:val="top"/>
          </w:tcPr>
          <w:p w14:paraId="6FC88DF8">
            <w:pPr>
              <w:spacing w:before="106" w:line="185" w:lineRule="auto"/>
              <w:ind w:left="1339"/>
              <w:rPr>
                <w:rFonts w:ascii="Times New Roman" w:hAnsi="Times New Roman" w:eastAsia="Times New Roman" w:cs="Times New Roman"/>
                <w:sz w:val="18"/>
                <w:szCs w:val="18"/>
              </w:rPr>
            </w:pPr>
            <w:r>
              <w:rPr>
                <w:rFonts w:ascii="Times New Roman" w:hAnsi="Times New Roman" w:eastAsia="Times New Roman" w:cs="Times New Roman"/>
                <w:sz w:val="18"/>
                <w:szCs w:val="18"/>
              </w:rPr>
              <w:t>pH</w:t>
            </w:r>
          </w:p>
        </w:tc>
        <w:tc>
          <w:tcPr>
            <w:tcW w:w="1616" w:type="dxa"/>
            <w:vAlign w:val="top"/>
          </w:tcPr>
          <w:p w14:paraId="5825FEBC">
            <w:pPr>
              <w:spacing w:before="100" w:line="192" w:lineRule="auto"/>
              <w:ind w:left="77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586" w:type="dxa"/>
            <w:vAlign w:val="top"/>
          </w:tcPr>
          <w:p w14:paraId="1D770B23">
            <w:pPr>
              <w:spacing w:before="103" w:line="188" w:lineRule="auto"/>
              <w:ind w:left="64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7.74</w:t>
            </w:r>
          </w:p>
        </w:tc>
        <w:tc>
          <w:tcPr>
            <w:tcW w:w="2132" w:type="dxa"/>
            <w:tcBorders>
              <w:right w:val="single" w:color="000000" w:sz="10" w:space="0"/>
            </w:tcBorders>
            <w:vAlign w:val="top"/>
          </w:tcPr>
          <w:p w14:paraId="6F01B5ED">
            <w:pPr>
              <w:pStyle w:val="6"/>
              <w:spacing w:before="72" w:line="223" w:lineRule="auto"/>
              <w:ind w:left="805"/>
              <w:rPr>
                <w:sz w:val="18"/>
                <w:szCs w:val="18"/>
              </w:rPr>
            </w:pPr>
            <w:r>
              <w:rPr>
                <w:spacing w:val="-5"/>
                <w:sz w:val="18"/>
                <w:szCs w:val="18"/>
              </w:rPr>
              <w:t>无量刚</w:t>
            </w:r>
          </w:p>
        </w:tc>
      </w:tr>
      <w:tr w14:paraId="4EE451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82" w:type="dxa"/>
            <w:tcBorders>
              <w:left w:val="single" w:color="000000" w:sz="10" w:space="0"/>
            </w:tcBorders>
            <w:vAlign w:val="top"/>
          </w:tcPr>
          <w:p w14:paraId="19179588">
            <w:pPr>
              <w:spacing w:before="106" w:line="188" w:lineRule="auto"/>
              <w:ind w:left="287"/>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2917" w:type="dxa"/>
            <w:vAlign w:val="top"/>
          </w:tcPr>
          <w:p w14:paraId="01752FDD">
            <w:pPr>
              <w:pStyle w:val="6"/>
              <w:spacing w:before="75" w:line="220" w:lineRule="auto"/>
              <w:ind w:left="1371"/>
              <w:rPr>
                <w:sz w:val="18"/>
                <w:szCs w:val="18"/>
              </w:rPr>
            </w:pPr>
            <w:r>
              <w:rPr>
                <w:sz w:val="18"/>
                <w:szCs w:val="18"/>
              </w:rPr>
              <w:t>砷</w:t>
            </w:r>
          </w:p>
        </w:tc>
        <w:tc>
          <w:tcPr>
            <w:tcW w:w="1616" w:type="dxa"/>
            <w:vAlign w:val="top"/>
          </w:tcPr>
          <w:p w14:paraId="416A6F3E">
            <w:pPr>
              <w:spacing w:before="106" w:line="188" w:lineRule="auto"/>
              <w:ind w:left="70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w:t>
            </w:r>
            <w:r>
              <w:rPr>
                <w:rFonts w:ascii="Times New Roman" w:hAnsi="Times New Roman" w:eastAsia="Times New Roman" w:cs="Times New Roman"/>
                <w:spacing w:val="-23"/>
                <w:sz w:val="18"/>
                <w:szCs w:val="18"/>
              </w:rPr>
              <w:t xml:space="preserve"> </w:t>
            </w:r>
            <w:r>
              <w:rPr>
                <w:rFonts w:ascii="Times New Roman" w:hAnsi="Times New Roman" w:eastAsia="Times New Roman" w:cs="Times New Roman"/>
                <w:spacing w:val="-3"/>
                <w:sz w:val="18"/>
                <w:szCs w:val="18"/>
              </w:rPr>
              <w:t>1</w:t>
            </w:r>
          </w:p>
        </w:tc>
        <w:tc>
          <w:tcPr>
            <w:tcW w:w="1586" w:type="dxa"/>
            <w:vAlign w:val="top"/>
          </w:tcPr>
          <w:p w14:paraId="07CF4CC1">
            <w:pPr>
              <w:spacing w:before="106" w:line="188" w:lineRule="auto"/>
              <w:ind w:left="658"/>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14.6</w:t>
            </w:r>
          </w:p>
        </w:tc>
        <w:tc>
          <w:tcPr>
            <w:tcW w:w="2132" w:type="dxa"/>
            <w:tcBorders>
              <w:right w:val="single" w:color="000000" w:sz="10" w:space="0"/>
            </w:tcBorders>
            <w:vAlign w:val="top"/>
          </w:tcPr>
          <w:p w14:paraId="1BD07C91">
            <w:pPr>
              <w:spacing w:before="106" w:line="188" w:lineRule="auto"/>
              <w:ind w:left="97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60</w:t>
            </w:r>
          </w:p>
        </w:tc>
      </w:tr>
      <w:tr w14:paraId="1930A9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682" w:type="dxa"/>
            <w:tcBorders>
              <w:left w:val="single" w:color="000000" w:sz="10" w:space="0"/>
            </w:tcBorders>
            <w:vAlign w:val="top"/>
          </w:tcPr>
          <w:p w14:paraId="39BBA268">
            <w:pPr>
              <w:spacing w:before="107" w:line="188" w:lineRule="auto"/>
              <w:ind w:left="291"/>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2917" w:type="dxa"/>
            <w:vAlign w:val="top"/>
          </w:tcPr>
          <w:p w14:paraId="59FCB300">
            <w:pPr>
              <w:pStyle w:val="6"/>
              <w:spacing w:before="75" w:line="224" w:lineRule="auto"/>
              <w:ind w:left="1371"/>
              <w:rPr>
                <w:sz w:val="18"/>
                <w:szCs w:val="18"/>
              </w:rPr>
            </w:pPr>
            <w:r>
              <w:rPr>
                <w:sz w:val="18"/>
                <w:szCs w:val="18"/>
              </w:rPr>
              <w:t>镉</w:t>
            </w:r>
          </w:p>
        </w:tc>
        <w:tc>
          <w:tcPr>
            <w:tcW w:w="1616" w:type="dxa"/>
            <w:vAlign w:val="top"/>
          </w:tcPr>
          <w:p w14:paraId="408E0EB3">
            <w:pPr>
              <w:spacing w:before="107" w:line="188" w:lineRule="auto"/>
              <w:ind w:left="69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w:t>
            </w:r>
            <w:r>
              <w:rPr>
                <w:rFonts w:ascii="Times New Roman" w:hAnsi="Times New Roman" w:eastAsia="Times New Roman" w:cs="Times New Roman"/>
                <w:spacing w:val="-24"/>
                <w:sz w:val="18"/>
                <w:szCs w:val="18"/>
              </w:rPr>
              <w:t xml:space="preserve"> </w:t>
            </w:r>
            <w:r>
              <w:rPr>
                <w:rFonts w:ascii="Times New Roman" w:hAnsi="Times New Roman" w:eastAsia="Times New Roman" w:cs="Times New Roman"/>
                <w:spacing w:val="-2"/>
                <w:sz w:val="18"/>
                <w:szCs w:val="18"/>
              </w:rPr>
              <w:t>1</w:t>
            </w:r>
          </w:p>
        </w:tc>
        <w:tc>
          <w:tcPr>
            <w:tcW w:w="1586" w:type="dxa"/>
            <w:vAlign w:val="top"/>
          </w:tcPr>
          <w:p w14:paraId="2BE6767B">
            <w:pPr>
              <w:spacing w:before="107" w:line="188" w:lineRule="auto"/>
              <w:ind w:left="64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0.15</w:t>
            </w:r>
          </w:p>
        </w:tc>
        <w:tc>
          <w:tcPr>
            <w:tcW w:w="2132" w:type="dxa"/>
            <w:tcBorders>
              <w:right w:val="single" w:color="000000" w:sz="10" w:space="0"/>
            </w:tcBorders>
            <w:vAlign w:val="top"/>
          </w:tcPr>
          <w:p w14:paraId="3BC592EA">
            <w:pPr>
              <w:spacing w:before="107" w:line="188" w:lineRule="auto"/>
              <w:ind w:left="97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65</w:t>
            </w:r>
          </w:p>
        </w:tc>
      </w:tr>
      <w:tr w14:paraId="68498F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682" w:type="dxa"/>
            <w:tcBorders>
              <w:left w:val="single" w:color="000000" w:sz="10" w:space="0"/>
            </w:tcBorders>
            <w:vAlign w:val="top"/>
          </w:tcPr>
          <w:p w14:paraId="130B801D">
            <w:pPr>
              <w:spacing w:before="108" w:line="188" w:lineRule="auto"/>
              <w:ind w:left="286"/>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2917" w:type="dxa"/>
            <w:vAlign w:val="top"/>
          </w:tcPr>
          <w:p w14:paraId="611EA4AA">
            <w:pPr>
              <w:pStyle w:val="6"/>
              <w:spacing w:before="77" w:line="222" w:lineRule="auto"/>
              <w:ind w:left="1192"/>
              <w:rPr>
                <w:sz w:val="18"/>
                <w:szCs w:val="18"/>
              </w:rPr>
            </w:pPr>
            <w:r>
              <w:rPr>
                <w:spacing w:val="-5"/>
                <w:sz w:val="18"/>
                <w:szCs w:val="18"/>
              </w:rPr>
              <w:t>六价铬</w:t>
            </w:r>
          </w:p>
        </w:tc>
        <w:tc>
          <w:tcPr>
            <w:tcW w:w="1616" w:type="dxa"/>
            <w:vAlign w:val="top"/>
          </w:tcPr>
          <w:p w14:paraId="6A7B3BF3">
            <w:pPr>
              <w:spacing w:before="111" w:line="185" w:lineRule="auto"/>
              <w:ind w:left="6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1586" w:type="dxa"/>
            <w:vAlign w:val="top"/>
          </w:tcPr>
          <w:p w14:paraId="677F50EB">
            <w:pPr>
              <w:spacing w:before="111" w:line="185" w:lineRule="auto"/>
              <w:ind w:left="66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2132" w:type="dxa"/>
            <w:tcBorders>
              <w:right w:val="single" w:color="000000" w:sz="10" w:space="0"/>
            </w:tcBorders>
            <w:vAlign w:val="top"/>
          </w:tcPr>
          <w:p w14:paraId="39815646">
            <w:pPr>
              <w:spacing w:before="111" w:line="185" w:lineRule="auto"/>
              <w:ind w:left="956"/>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5.7</w:t>
            </w:r>
          </w:p>
        </w:tc>
      </w:tr>
      <w:tr w14:paraId="70B300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682" w:type="dxa"/>
            <w:tcBorders>
              <w:left w:val="single" w:color="000000" w:sz="10" w:space="0"/>
            </w:tcBorders>
            <w:vAlign w:val="top"/>
          </w:tcPr>
          <w:p w14:paraId="6BEB169A">
            <w:pPr>
              <w:spacing w:before="113" w:line="185" w:lineRule="auto"/>
              <w:ind w:left="292"/>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2917" w:type="dxa"/>
            <w:vAlign w:val="top"/>
          </w:tcPr>
          <w:p w14:paraId="5A0A32C8">
            <w:pPr>
              <w:pStyle w:val="6"/>
              <w:spacing w:before="79" w:line="222" w:lineRule="auto"/>
              <w:ind w:left="1370"/>
              <w:rPr>
                <w:sz w:val="18"/>
                <w:szCs w:val="18"/>
              </w:rPr>
            </w:pPr>
            <w:r>
              <w:rPr>
                <w:sz w:val="18"/>
                <w:szCs w:val="18"/>
              </w:rPr>
              <w:t>铅</w:t>
            </w:r>
          </w:p>
        </w:tc>
        <w:tc>
          <w:tcPr>
            <w:tcW w:w="1616" w:type="dxa"/>
            <w:vAlign w:val="top"/>
          </w:tcPr>
          <w:p w14:paraId="41CE7AAD">
            <w:pPr>
              <w:spacing w:before="110" w:line="188" w:lineRule="auto"/>
              <w:ind w:left="65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26.7</w:t>
            </w:r>
          </w:p>
        </w:tc>
        <w:tc>
          <w:tcPr>
            <w:tcW w:w="1586" w:type="dxa"/>
            <w:vAlign w:val="top"/>
          </w:tcPr>
          <w:p w14:paraId="57B9BDAB">
            <w:pPr>
              <w:spacing w:before="110" w:line="188" w:lineRule="auto"/>
              <w:ind w:left="71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32</w:t>
            </w:r>
          </w:p>
        </w:tc>
        <w:tc>
          <w:tcPr>
            <w:tcW w:w="2132" w:type="dxa"/>
            <w:tcBorders>
              <w:right w:val="single" w:color="000000" w:sz="10" w:space="0"/>
            </w:tcBorders>
            <w:vAlign w:val="top"/>
          </w:tcPr>
          <w:p w14:paraId="092E5B32">
            <w:pPr>
              <w:spacing w:before="110" w:line="188" w:lineRule="auto"/>
              <w:ind w:left="93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800</w:t>
            </w:r>
          </w:p>
        </w:tc>
      </w:tr>
      <w:tr w14:paraId="2F27D5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682" w:type="dxa"/>
            <w:tcBorders>
              <w:left w:val="single" w:color="000000" w:sz="10" w:space="0"/>
            </w:tcBorders>
            <w:vAlign w:val="top"/>
          </w:tcPr>
          <w:p w14:paraId="05145CE2">
            <w:pPr>
              <w:spacing w:before="109" w:line="188" w:lineRule="auto"/>
              <w:ind w:left="291"/>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c>
          <w:tcPr>
            <w:tcW w:w="2917" w:type="dxa"/>
            <w:vAlign w:val="top"/>
          </w:tcPr>
          <w:p w14:paraId="77551961">
            <w:pPr>
              <w:pStyle w:val="6"/>
              <w:spacing w:before="78" w:line="224" w:lineRule="auto"/>
              <w:ind w:left="1371"/>
              <w:rPr>
                <w:sz w:val="18"/>
                <w:szCs w:val="18"/>
              </w:rPr>
            </w:pPr>
            <w:r>
              <w:rPr>
                <w:sz w:val="18"/>
                <w:szCs w:val="18"/>
              </w:rPr>
              <w:t>汞</w:t>
            </w:r>
          </w:p>
        </w:tc>
        <w:tc>
          <w:tcPr>
            <w:tcW w:w="1616" w:type="dxa"/>
            <w:vAlign w:val="top"/>
          </w:tcPr>
          <w:p w14:paraId="049B7661">
            <w:pPr>
              <w:spacing w:before="109" w:line="188" w:lineRule="auto"/>
              <w:ind w:left="56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0.0722</w:t>
            </w:r>
          </w:p>
        </w:tc>
        <w:tc>
          <w:tcPr>
            <w:tcW w:w="1586" w:type="dxa"/>
            <w:vAlign w:val="top"/>
          </w:tcPr>
          <w:p w14:paraId="0078CC1A">
            <w:pPr>
              <w:spacing w:before="109" w:line="188" w:lineRule="auto"/>
              <w:ind w:left="59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0.241</w:t>
            </w:r>
          </w:p>
        </w:tc>
        <w:tc>
          <w:tcPr>
            <w:tcW w:w="2132" w:type="dxa"/>
            <w:tcBorders>
              <w:right w:val="single" w:color="000000" w:sz="10" w:space="0"/>
            </w:tcBorders>
            <w:vAlign w:val="top"/>
          </w:tcPr>
          <w:p w14:paraId="2DB06B8B">
            <w:pPr>
              <w:spacing w:before="109" w:line="188" w:lineRule="auto"/>
              <w:ind w:left="97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38</w:t>
            </w:r>
          </w:p>
        </w:tc>
      </w:tr>
      <w:tr w14:paraId="4C651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682" w:type="dxa"/>
            <w:tcBorders>
              <w:left w:val="single" w:color="000000" w:sz="10" w:space="0"/>
            </w:tcBorders>
            <w:vAlign w:val="top"/>
          </w:tcPr>
          <w:p w14:paraId="4A4008F2">
            <w:pPr>
              <w:spacing w:before="113" w:line="185" w:lineRule="auto"/>
              <w:ind w:left="290"/>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2917" w:type="dxa"/>
            <w:vAlign w:val="top"/>
          </w:tcPr>
          <w:p w14:paraId="67533EC8">
            <w:pPr>
              <w:pStyle w:val="6"/>
              <w:spacing w:before="80" w:line="222" w:lineRule="auto"/>
              <w:ind w:left="1372"/>
              <w:rPr>
                <w:sz w:val="18"/>
                <w:szCs w:val="18"/>
              </w:rPr>
            </w:pPr>
            <w:r>
              <w:rPr>
                <w:sz w:val="18"/>
                <w:szCs w:val="18"/>
              </w:rPr>
              <w:t>镍</w:t>
            </w:r>
          </w:p>
        </w:tc>
        <w:tc>
          <w:tcPr>
            <w:tcW w:w="1616" w:type="dxa"/>
            <w:vAlign w:val="top"/>
          </w:tcPr>
          <w:p w14:paraId="6472AFEE">
            <w:pPr>
              <w:spacing w:before="111" w:line="188" w:lineRule="auto"/>
              <w:ind w:left="71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47</w:t>
            </w:r>
          </w:p>
        </w:tc>
        <w:tc>
          <w:tcPr>
            <w:tcW w:w="1586" w:type="dxa"/>
            <w:vAlign w:val="top"/>
          </w:tcPr>
          <w:p w14:paraId="676C0A7E">
            <w:pPr>
              <w:spacing w:before="111" w:line="188" w:lineRule="auto"/>
              <w:ind w:left="71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34</w:t>
            </w:r>
          </w:p>
        </w:tc>
        <w:tc>
          <w:tcPr>
            <w:tcW w:w="2132" w:type="dxa"/>
            <w:tcBorders>
              <w:right w:val="single" w:color="000000" w:sz="10" w:space="0"/>
            </w:tcBorders>
            <w:vAlign w:val="top"/>
          </w:tcPr>
          <w:p w14:paraId="5B12C05A">
            <w:pPr>
              <w:spacing w:before="111" w:line="188" w:lineRule="auto"/>
              <w:ind w:left="93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900</w:t>
            </w:r>
          </w:p>
        </w:tc>
      </w:tr>
      <w:tr w14:paraId="0B151D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82" w:type="dxa"/>
            <w:tcBorders>
              <w:left w:val="single" w:color="000000" w:sz="10" w:space="0"/>
            </w:tcBorders>
            <w:vAlign w:val="top"/>
          </w:tcPr>
          <w:p w14:paraId="1B1AFE62">
            <w:pPr>
              <w:spacing w:before="112" w:line="188" w:lineRule="auto"/>
              <w:ind w:left="294"/>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tc>
        <w:tc>
          <w:tcPr>
            <w:tcW w:w="2917" w:type="dxa"/>
            <w:vAlign w:val="top"/>
          </w:tcPr>
          <w:p w14:paraId="60FBD1DB">
            <w:pPr>
              <w:pStyle w:val="6"/>
              <w:spacing w:before="84" w:line="223" w:lineRule="auto"/>
              <w:ind w:left="1372"/>
              <w:rPr>
                <w:sz w:val="18"/>
                <w:szCs w:val="18"/>
              </w:rPr>
            </w:pPr>
            <w:r>
              <w:rPr>
                <w:sz w:val="18"/>
                <w:szCs w:val="18"/>
              </w:rPr>
              <w:t>铜</w:t>
            </w:r>
          </w:p>
        </w:tc>
        <w:tc>
          <w:tcPr>
            <w:tcW w:w="1616" w:type="dxa"/>
            <w:vAlign w:val="top"/>
          </w:tcPr>
          <w:p w14:paraId="626626E9">
            <w:pPr>
              <w:spacing w:before="112" w:line="188" w:lineRule="auto"/>
              <w:ind w:left="72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31</w:t>
            </w:r>
          </w:p>
        </w:tc>
        <w:tc>
          <w:tcPr>
            <w:tcW w:w="1586" w:type="dxa"/>
            <w:vAlign w:val="top"/>
          </w:tcPr>
          <w:p w14:paraId="1433FC8B">
            <w:pPr>
              <w:spacing w:before="112" w:line="188" w:lineRule="auto"/>
              <w:ind w:left="71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35</w:t>
            </w:r>
          </w:p>
        </w:tc>
        <w:tc>
          <w:tcPr>
            <w:tcW w:w="2132" w:type="dxa"/>
            <w:tcBorders>
              <w:right w:val="single" w:color="000000" w:sz="10" w:space="0"/>
            </w:tcBorders>
            <w:vAlign w:val="top"/>
          </w:tcPr>
          <w:p w14:paraId="72E91525">
            <w:pPr>
              <w:spacing w:before="112" w:line="188" w:lineRule="auto"/>
              <w:ind w:left="85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18000</w:t>
            </w:r>
          </w:p>
        </w:tc>
      </w:tr>
      <w:tr w14:paraId="0E9562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682" w:type="dxa"/>
            <w:tcBorders>
              <w:left w:val="single" w:color="000000" w:sz="10" w:space="0"/>
            </w:tcBorders>
            <w:vAlign w:val="top"/>
          </w:tcPr>
          <w:p w14:paraId="6BBCD3AE">
            <w:pPr>
              <w:spacing w:before="114" w:line="188" w:lineRule="auto"/>
              <w:ind w:left="291"/>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tc>
        <w:tc>
          <w:tcPr>
            <w:tcW w:w="2917" w:type="dxa"/>
            <w:vAlign w:val="top"/>
          </w:tcPr>
          <w:p w14:paraId="4832C419">
            <w:pPr>
              <w:pStyle w:val="6"/>
              <w:spacing w:before="83" w:line="222" w:lineRule="auto"/>
              <w:ind w:left="1123"/>
              <w:rPr>
                <w:sz w:val="18"/>
                <w:szCs w:val="18"/>
              </w:rPr>
            </w:pPr>
            <w:r>
              <w:rPr>
                <w:spacing w:val="-9"/>
                <w:sz w:val="18"/>
                <w:szCs w:val="18"/>
              </w:rPr>
              <w:t>四氯化碳</w:t>
            </w:r>
          </w:p>
        </w:tc>
        <w:tc>
          <w:tcPr>
            <w:tcW w:w="1616" w:type="dxa"/>
            <w:vAlign w:val="top"/>
          </w:tcPr>
          <w:p w14:paraId="0218E596">
            <w:pPr>
              <w:spacing w:before="117" w:line="185" w:lineRule="auto"/>
              <w:ind w:left="6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1586" w:type="dxa"/>
            <w:vAlign w:val="top"/>
          </w:tcPr>
          <w:p w14:paraId="7D310FCA">
            <w:pPr>
              <w:spacing w:before="117" w:line="185" w:lineRule="auto"/>
              <w:ind w:left="66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2132" w:type="dxa"/>
            <w:tcBorders>
              <w:right w:val="single" w:color="000000" w:sz="10" w:space="0"/>
            </w:tcBorders>
            <w:vAlign w:val="top"/>
          </w:tcPr>
          <w:p w14:paraId="0F82AA2D">
            <w:pPr>
              <w:spacing w:before="114" w:line="188" w:lineRule="auto"/>
              <w:ind w:left="95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2.8</w:t>
            </w:r>
          </w:p>
        </w:tc>
      </w:tr>
      <w:tr w14:paraId="7B32A8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682" w:type="dxa"/>
            <w:tcBorders>
              <w:left w:val="single" w:color="000000" w:sz="10" w:space="0"/>
            </w:tcBorders>
            <w:vAlign w:val="top"/>
          </w:tcPr>
          <w:p w14:paraId="6F66B14F">
            <w:pPr>
              <w:spacing w:before="116" w:line="188" w:lineRule="auto"/>
              <w:ind w:left="259"/>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10</w:t>
            </w:r>
          </w:p>
        </w:tc>
        <w:tc>
          <w:tcPr>
            <w:tcW w:w="2917" w:type="dxa"/>
            <w:vAlign w:val="top"/>
          </w:tcPr>
          <w:p w14:paraId="0207A346">
            <w:pPr>
              <w:pStyle w:val="6"/>
              <w:spacing w:before="85" w:line="222" w:lineRule="auto"/>
              <w:ind w:left="1285"/>
              <w:rPr>
                <w:sz w:val="18"/>
                <w:szCs w:val="18"/>
              </w:rPr>
            </w:pPr>
            <w:r>
              <w:rPr>
                <w:spacing w:val="-8"/>
                <w:sz w:val="18"/>
                <w:szCs w:val="18"/>
              </w:rPr>
              <w:t>氯仿</w:t>
            </w:r>
          </w:p>
        </w:tc>
        <w:tc>
          <w:tcPr>
            <w:tcW w:w="1616" w:type="dxa"/>
            <w:vAlign w:val="top"/>
          </w:tcPr>
          <w:p w14:paraId="76131EFB">
            <w:pPr>
              <w:spacing w:before="119" w:line="185" w:lineRule="auto"/>
              <w:ind w:left="6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1586" w:type="dxa"/>
            <w:vAlign w:val="top"/>
          </w:tcPr>
          <w:p w14:paraId="5106F90E">
            <w:pPr>
              <w:spacing w:before="119" w:line="185" w:lineRule="auto"/>
              <w:ind w:left="66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2132" w:type="dxa"/>
            <w:tcBorders>
              <w:right w:val="single" w:color="000000" w:sz="10" w:space="0"/>
            </w:tcBorders>
            <w:vAlign w:val="top"/>
          </w:tcPr>
          <w:p w14:paraId="1B9265E1">
            <w:pPr>
              <w:spacing w:before="116" w:line="188" w:lineRule="auto"/>
              <w:ind w:left="95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0.9</w:t>
            </w:r>
          </w:p>
        </w:tc>
      </w:tr>
      <w:tr w14:paraId="7C2070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682" w:type="dxa"/>
            <w:tcBorders>
              <w:left w:val="single" w:color="000000" w:sz="10" w:space="0"/>
            </w:tcBorders>
            <w:vAlign w:val="top"/>
          </w:tcPr>
          <w:p w14:paraId="35A15C92">
            <w:pPr>
              <w:spacing w:before="115" w:line="188" w:lineRule="auto"/>
              <w:ind w:left="259"/>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11</w:t>
            </w:r>
          </w:p>
        </w:tc>
        <w:tc>
          <w:tcPr>
            <w:tcW w:w="2917" w:type="dxa"/>
            <w:vAlign w:val="top"/>
          </w:tcPr>
          <w:p w14:paraId="4062A843">
            <w:pPr>
              <w:pStyle w:val="6"/>
              <w:spacing w:before="84" w:line="222" w:lineRule="auto"/>
              <w:ind w:left="1194"/>
              <w:rPr>
                <w:sz w:val="18"/>
                <w:szCs w:val="18"/>
              </w:rPr>
            </w:pPr>
            <w:r>
              <w:rPr>
                <w:spacing w:val="-6"/>
                <w:sz w:val="18"/>
                <w:szCs w:val="18"/>
              </w:rPr>
              <w:t>氯甲烷</w:t>
            </w:r>
          </w:p>
        </w:tc>
        <w:tc>
          <w:tcPr>
            <w:tcW w:w="1616" w:type="dxa"/>
            <w:vAlign w:val="top"/>
          </w:tcPr>
          <w:p w14:paraId="5EE2B3F8">
            <w:pPr>
              <w:spacing w:before="118" w:line="185" w:lineRule="auto"/>
              <w:ind w:left="6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1586" w:type="dxa"/>
            <w:vAlign w:val="top"/>
          </w:tcPr>
          <w:p w14:paraId="6E4C005A">
            <w:pPr>
              <w:spacing w:before="118" w:line="185" w:lineRule="auto"/>
              <w:ind w:left="66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2132" w:type="dxa"/>
            <w:tcBorders>
              <w:right w:val="single" w:color="000000" w:sz="10" w:space="0"/>
            </w:tcBorders>
            <w:vAlign w:val="top"/>
          </w:tcPr>
          <w:p w14:paraId="72661A62">
            <w:pPr>
              <w:spacing w:before="115" w:line="188" w:lineRule="auto"/>
              <w:ind w:left="97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37</w:t>
            </w:r>
          </w:p>
        </w:tc>
      </w:tr>
      <w:tr w14:paraId="052271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682" w:type="dxa"/>
            <w:tcBorders>
              <w:left w:val="single" w:color="000000" w:sz="10" w:space="0"/>
            </w:tcBorders>
            <w:vAlign w:val="top"/>
          </w:tcPr>
          <w:p w14:paraId="68497BE5">
            <w:pPr>
              <w:spacing w:before="117" w:line="188" w:lineRule="auto"/>
              <w:ind w:left="259"/>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12</w:t>
            </w:r>
          </w:p>
        </w:tc>
        <w:tc>
          <w:tcPr>
            <w:tcW w:w="2917" w:type="dxa"/>
            <w:vAlign w:val="top"/>
          </w:tcPr>
          <w:p w14:paraId="1C55C75A">
            <w:pPr>
              <w:pStyle w:val="6"/>
              <w:spacing w:before="88" w:line="222" w:lineRule="auto"/>
              <w:ind w:left="900"/>
              <w:rPr>
                <w:sz w:val="18"/>
                <w:szCs w:val="18"/>
              </w:rPr>
            </w:pPr>
            <w:r>
              <w:rPr>
                <w:rFonts w:ascii="Times New Roman" w:hAnsi="Times New Roman" w:eastAsia="Times New Roman" w:cs="Times New Roman"/>
                <w:spacing w:val="-6"/>
                <w:sz w:val="18"/>
                <w:szCs w:val="18"/>
              </w:rPr>
              <w:t>1</w:t>
            </w:r>
            <w:r>
              <w:rPr>
                <w:rFonts w:ascii="Times New Roman" w:hAnsi="Times New Roman" w:eastAsia="Times New Roman" w:cs="Times New Roman"/>
                <w:spacing w:val="-20"/>
                <w:sz w:val="18"/>
                <w:szCs w:val="18"/>
              </w:rPr>
              <w:t xml:space="preserve"> </w:t>
            </w:r>
            <w:r>
              <w:rPr>
                <w:spacing w:val="-6"/>
                <w:sz w:val="18"/>
                <w:szCs w:val="18"/>
              </w:rPr>
              <w:t>，</w:t>
            </w:r>
            <w:r>
              <w:rPr>
                <w:rFonts w:ascii="Times New Roman" w:hAnsi="Times New Roman" w:eastAsia="Times New Roman" w:cs="Times New Roman"/>
                <w:spacing w:val="-6"/>
                <w:sz w:val="18"/>
                <w:szCs w:val="18"/>
              </w:rPr>
              <w:t>1-</w:t>
            </w:r>
            <w:r>
              <w:rPr>
                <w:spacing w:val="-6"/>
                <w:sz w:val="18"/>
                <w:szCs w:val="18"/>
              </w:rPr>
              <w:t>二氯乙烷</w:t>
            </w:r>
          </w:p>
        </w:tc>
        <w:tc>
          <w:tcPr>
            <w:tcW w:w="1616" w:type="dxa"/>
            <w:vAlign w:val="top"/>
          </w:tcPr>
          <w:p w14:paraId="37CF79B9">
            <w:pPr>
              <w:spacing w:before="119" w:line="185" w:lineRule="auto"/>
              <w:ind w:left="6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1586" w:type="dxa"/>
            <w:vAlign w:val="top"/>
          </w:tcPr>
          <w:p w14:paraId="47D97AEA">
            <w:pPr>
              <w:spacing w:before="119" w:line="185" w:lineRule="auto"/>
              <w:ind w:left="66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2132" w:type="dxa"/>
            <w:tcBorders>
              <w:right w:val="single" w:color="000000" w:sz="10" w:space="0"/>
            </w:tcBorders>
            <w:vAlign w:val="top"/>
          </w:tcPr>
          <w:p w14:paraId="50C96585">
            <w:pPr>
              <w:spacing w:before="117" w:line="188" w:lineRule="auto"/>
              <w:ind w:left="1024"/>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tc>
      </w:tr>
      <w:tr w14:paraId="0F578B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682" w:type="dxa"/>
            <w:tcBorders>
              <w:left w:val="single" w:color="000000" w:sz="10" w:space="0"/>
            </w:tcBorders>
            <w:vAlign w:val="top"/>
          </w:tcPr>
          <w:p w14:paraId="1405A87A">
            <w:pPr>
              <w:spacing w:before="118" w:line="188" w:lineRule="auto"/>
              <w:ind w:left="259"/>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13</w:t>
            </w:r>
          </w:p>
        </w:tc>
        <w:tc>
          <w:tcPr>
            <w:tcW w:w="2917" w:type="dxa"/>
            <w:vAlign w:val="top"/>
          </w:tcPr>
          <w:p w14:paraId="2E6C4B9F">
            <w:pPr>
              <w:pStyle w:val="6"/>
              <w:spacing w:before="87" w:line="222" w:lineRule="auto"/>
              <w:ind w:left="900"/>
              <w:rPr>
                <w:sz w:val="18"/>
                <w:szCs w:val="18"/>
              </w:rPr>
            </w:pPr>
            <w:r>
              <w:rPr>
                <w:rFonts w:ascii="Times New Roman" w:hAnsi="Times New Roman" w:eastAsia="Times New Roman" w:cs="Times New Roman"/>
                <w:spacing w:val="-6"/>
                <w:sz w:val="18"/>
                <w:szCs w:val="18"/>
              </w:rPr>
              <w:t>1</w:t>
            </w:r>
            <w:r>
              <w:rPr>
                <w:rFonts w:ascii="Times New Roman" w:hAnsi="Times New Roman" w:eastAsia="Times New Roman" w:cs="Times New Roman"/>
                <w:spacing w:val="-20"/>
                <w:sz w:val="18"/>
                <w:szCs w:val="18"/>
              </w:rPr>
              <w:t xml:space="preserve"> </w:t>
            </w:r>
            <w:r>
              <w:rPr>
                <w:spacing w:val="-6"/>
                <w:sz w:val="18"/>
                <w:szCs w:val="18"/>
              </w:rPr>
              <w:t>，</w:t>
            </w:r>
            <w:r>
              <w:rPr>
                <w:rFonts w:ascii="Times New Roman" w:hAnsi="Times New Roman" w:eastAsia="Times New Roman" w:cs="Times New Roman"/>
                <w:spacing w:val="-6"/>
                <w:sz w:val="18"/>
                <w:szCs w:val="18"/>
              </w:rPr>
              <w:t>2-</w:t>
            </w:r>
            <w:r>
              <w:rPr>
                <w:spacing w:val="-6"/>
                <w:sz w:val="18"/>
                <w:szCs w:val="18"/>
              </w:rPr>
              <w:t>二氯乙烷</w:t>
            </w:r>
          </w:p>
        </w:tc>
        <w:tc>
          <w:tcPr>
            <w:tcW w:w="1616" w:type="dxa"/>
            <w:vAlign w:val="top"/>
          </w:tcPr>
          <w:p w14:paraId="2274CA67">
            <w:pPr>
              <w:spacing w:before="121" w:line="185" w:lineRule="auto"/>
              <w:ind w:left="6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1586" w:type="dxa"/>
            <w:vAlign w:val="top"/>
          </w:tcPr>
          <w:p w14:paraId="13A989CE">
            <w:pPr>
              <w:spacing w:before="121" w:line="185" w:lineRule="auto"/>
              <w:ind w:left="66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2132" w:type="dxa"/>
            <w:tcBorders>
              <w:right w:val="single" w:color="000000" w:sz="10" w:space="0"/>
            </w:tcBorders>
            <w:vAlign w:val="top"/>
          </w:tcPr>
          <w:p w14:paraId="4CEEF4B7">
            <w:pPr>
              <w:spacing w:before="121" w:line="185" w:lineRule="auto"/>
              <w:ind w:left="1025"/>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r>
      <w:tr w14:paraId="53448B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82" w:type="dxa"/>
            <w:tcBorders>
              <w:left w:val="single" w:color="000000" w:sz="10" w:space="0"/>
              <w:bottom w:val="single" w:color="000000" w:sz="10" w:space="0"/>
            </w:tcBorders>
            <w:vAlign w:val="top"/>
          </w:tcPr>
          <w:p w14:paraId="6A760140">
            <w:pPr>
              <w:spacing w:before="120" w:line="188" w:lineRule="auto"/>
              <w:ind w:left="259"/>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14</w:t>
            </w:r>
          </w:p>
        </w:tc>
        <w:tc>
          <w:tcPr>
            <w:tcW w:w="2917" w:type="dxa"/>
            <w:tcBorders>
              <w:bottom w:val="single" w:color="000000" w:sz="10" w:space="0"/>
            </w:tcBorders>
            <w:vAlign w:val="top"/>
          </w:tcPr>
          <w:p w14:paraId="669CAF6B">
            <w:pPr>
              <w:pStyle w:val="6"/>
              <w:spacing w:before="89" w:line="222" w:lineRule="auto"/>
              <w:ind w:left="900"/>
              <w:rPr>
                <w:sz w:val="18"/>
                <w:szCs w:val="18"/>
              </w:rPr>
            </w:pPr>
            <w:r>
              <w:rPr>
                <w:rFonts w:ascii="Times New Roman" w:hAnsi="Times New Roman" w:eastAsia="Times New Roman" w:cs="Times New Roman"/>
                <w:spacing w:val="-6"/>
                <w:sz w:val="18"/>
                <w:szCs w:val="18"/>
              </w:rPr>
              <w:t>1</w:t>
            </w:r>
            <w:r>
              <w:rPr>
                <w:rFonts w:ascii="Times New Roman" w:hAnsi="Times New Roman" w:eastAsia="Times New Roman" w:cs="Times New Roman"/>
                <w:spacing w:val="-20"/>
                <w:sz w:val="18"/>
                <w:szCs w:val="18"/>
              </w:rPr>
              <w:t xml:space="preserve"> </w:t>
            </w:r>
            <w:r>
              <w:rPr>
                <w:spacing w:val="-6"/>
                <w:sz w:val="18"/>
                <w:szCs w:val="18"/>
              </w:rPr>
              <w:t>，</w:t>
            </w:r>
            <w:r>
              <w:rPr>
                <w:rFonts w:ascii="Times New Roman" w:hAnsi="Times New Roman" w:eastAsia="Times New Roman" w:cs="Times New Roman"/>
                <w:spacing w:val="-6"/>
                <w:sz w:val="18"/>
                <w:szCs w:val="18"/>
              </w:rPr>
              <w:t>1-</w:t>
            </w:r>
            <w:r>
              <w:rPr>
                <w:spacing w:val="-6"/>
                <w:sz w:val="18"/>
                <w:szCs w:val="18"/>
              </w:rPr>
              <w:t>二氯乙烯</w:t>
            </w:r>
          </w:p>
        </w:tc>
        <w:tc>
          <w:tcPr>
            <w:tcW w:w="1616" w:type="dxa"/>
            <w:tcBorders>
              <w:bottom w:val="single" w:color="000000" w:sz="10" w:space="0"/>
            </w:tcBorders>
            <w:vAlign w:val="top"/>
          </w:tcPr>
          <w:p w14:paraId="1C87BBB7">
            <w:pPr>
              <w:spacing w:before="123" w:line="185" w:lineRule="auto"/>
              <w:ind w:left="6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1586" w:type="dxa"/>
            <w:tcBorders>
              <w:bottom w:val="single" w:color="000000" w:sz="10" w:space="0"/>
            </w:tcBorders>
            <w:vAlign w:val="top"/>
          </w:tcPr>
          <w:p w14:paraId="14767056">
            <w:pPr>
              <w:spacing w:before="123" w:line="185" w:lineRule="auto"/>
              <w:ind w:left="66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2132" w:type="dxa"/>
            <w:tcBorders>
              <w:bottom w:val="single" w:color="000000" w:sz="10" w:space="0"/>
              <w:right w:val="single" w:color="000000" w:sz="10" w:space="0"/>
            </w:tcBorders>
            <w:vAlign w:val="top"/>
          </w:tcPr>
          <w:p w14:paraId="7567D8C9">
            <w:pPr>
              <w:spacing w:before="120" w:line="188" w:lineRule="auto"/>
              <w:ind w:left="97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66</w:t>
            </w:r>
          </w:p>
        </w:tc>
      </w:tr>
    </w:tbl>
    <w:p w14:paraId="5DD56107">
      <w:pPr>
        <w:pStyle w:val="2"/>
        <w:spacing w:line="128" w:lineRule="exact"/>
        <w:rPr>
          <w:sz w:val="11"/>
        </w:rPr>
      </w:pPr>
    </w:p>
    <w:p w14:paraId="2CFDA71E">
      <w:pPr>
        <w:spacing w:line="128" w:lineRule="exact"/>
        <w:rPr>
          <w:sz w:val="11"/>
          <w:szCs w:val="11"/>
        </w:rPr>
        <w:sectPr>
          <w:headerReference r:id="rId119" w:type="default"/>
          <w:footerReference r:id="rId120" w:type="default"/>
          <w:pgSz w:w="11906" w:h="16839"/>
          <w:pgMar w:top="1116" w:right="1356" w:bottom="1480" w:left="1464" w:header="683" w:footer="1318" w:gutter="0"/>
          <w:cols w:space="720" w:num="1"/>
        </w:sectPr>
      </w:pPr>
    </w:p>
    <w:p w14:paraId="2811F723">
      <w:pPr>
        <w:spacing w:before="82"/>
      </w:pPr>
    </w:p>
    <w:tbl>
      <w:tblPr>
        <w:tblStyle w:val="5"/>
        <w:tblW w:w="893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2"/>
        <w:gridCol w:w="2917"/>
        <w:gridCol w:w="1616"/>
        <w:gridCol w:w="1586"/>
        <w:gridCol w:w="2132"/>
      </w:tblGrid>
      <w:tr w14:paraId="5E7791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682" w:type="dxa"/>
            <w:tcBorders>
              <w:top w:val="single" w:color="000000" w:sz="10" w:space="0"/>
              <w:left w:val="single" w:color="000000" w:sz="10" w:space="0"/>
            </w:tcBorders>
            <w:vAlign w:val="top"/>
          </w:tcPr>
          <w:p w14:paraId="20E38C6D">
            <w:pPr>
              <w:spacing w:before="102" w:line="188" w:lineRule="auto"/>
              <w:ind w:left="259"/>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15</w:t>
            </w:r>
          </w:p>
        </w:tc>
        <w:tc>
          <w:tcPr>
            <w:tcW w:w="2917" w:type="dxa"/>
            <w:tcBorders>
              <w:top w:val="single" w:color="000000" w:sz="10" w:space="0"/>
            </w:tcBorders>
            <w:vAlign w:val="top"/>
          </w:tcPr>
          <w:p w14:paraId="53ADC358">
            <w:pPr>
              <w:pStyle w:val="6"/>
              <w:spacing w:before="73" w:line="222" w:lineRule="auto"/>
              <w:ind w:left="771"/>
              <w:rPr>
                <w:sz w:val="18"/>
                <w:szCs w:val="18"/>
              </w:rPr>
            </w:pPr>
            <w:r>
              <w:rPr>
                <w:spacing w:val="-4"/>
                <w:sz w:val="18"/>
                <w:szCs w:val="18"/>
              </w:rPr>
              <w:t>顺</w:t>
            </w:r>
            <w:r>
              <w:rPr>
                <w:rFonts w:ascii="Times New Roman" w:hAnsi="Times New Roman" w:eastAsia="Times New Roman" w:cs="Times New Roman"/>
                <w:spacing w:val="-4"/>
                <w:sz w:val="18"/>
                <w:szCs w:val="18"/>
              </w:rPr>
              <w:t>-1</w:t>
            </w:r>
            <w:r>
              <w:rPr>
                <w:rFonts w:ascii="Times New Roman" w:hAnsi="Times New Roman" w:eastAsia="Times New Roman" w:cs="Times New Roman"/>
                <w:spacing w:val="-19"/>
                <w:sz w:val="18"/>
                <w:szCs w:val="18"/>
              </w:rPr>
              <w:t xml:space="preserve"> </w:t>
            </w:r>
            <w:r>
              <w:rPr>
                <w:spacing w:val="-4"/>
                <w:sz w:val="18"/>
                <w:szCs w:val="18"/>
              </w:rPr>
              <w:t>，</w:t>
            </w:r>
            <w:r>
              <w:rPr>
                <w:rFonts w:ascii="Times New Roman" w:hAnsi="Times New Roman" w:eastAsia="Times New Roman" w:cs="Times New Roman"/>
                <w:spacing w:val="-4"/>
                <w:sz w:val="18"/>
                <w:szCs w:val="18"/>
              </w:rPr>
              <w:t>2-</w:t>
            </w:r>
            <w:r>
              <w:rPr>
                <w:spacing w:val="-4"/>
                <w:sz w:val="18"/>
                <w:szCs w:val="18"/>
              </w:rPr>
              <w:t>二氯乙烯</w:t>
            </w:r>
          </w:p>
        </w:tc>
        <w:tc>
          <w:tcPr>
            <w:tcW w:w="1616" w:type="dxa"/>
            <w:tcBorders>
              <w:top w:val="single" w:color="000000" w:sz="10" w:space="0"/>
            </w:tcBorders>
            <w:vAlign w:val="top"/>
          </w:tcPr>
          <w:p w14:paraId="29468BAB">
            <w:pPr>
              <w:spacing w:before="104" w:line="185" w:lineRule="auto"/>
              <w:ind w:left="6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1586" w:type="dxa"/>
            <w:tcBorders>
              <w:top w:val="single" w:color="000000" w:sz="10" w:space="0"/>
            </w:tcBorders>
            <w:vAlign w:val="top"/>
          </w:tcPr>
          <w:p w14:paraId="7BED80FC">
            <w:pPr>
              <w:spacing w:before="104" w:line="185" w:lineRule="auto"/>
              <w:ind w:left="66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2132" w:type="dxa"/>
            <w:tcBorders>
              <w:top w:val="single" w:color="000000" w:sz="10" w:space="0"/>
              <w:right w:val="single" w:color="000000" w:sz="10" w:space="0"/>
            </w:tcBorders>
            <w:vAlign w:val="top"/>
          </w:tcPr>
          <w:p w14:paraId="071168A7">
            <w:pPr>
              <w:spacing w:before="102" w:line="188" w:lineRule="auto"/>
              <w:ind w:left="93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596</w:t>
            </w:r>
          </w:p>
        </w:tc>
      </w:tr>
      <w:tr w14:paraId="009FE2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682" w:type="dxa"/>
            <w:tcBorders>
              <w:left w:val="single" w:color="000000" w:sz="10" w:space="0"/>
            </w:tcBorders>
            <w:vAlign w:val="top"/>
          </w:tcPr>
          <w:p w14:paraId="56A8EAC9">
            <w:pPr>
              <w:spacing w:before="98" w:line="188" w:lineRule="auto"/>
              <w:ind w:left="259"/>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16</w:t>
            </w:r>
          </w:p>
        </w:tc>
        <w:tc>
          <w:tcPr>
            <w:tcW w:w="2917" w:type="dxa"/>
            <w:vAlign w:val="top"/>
          </w:tcPr>
          <w:p w14:paraId="23B8A0CB">
            <w:pPr>
              <w:pStyle w:val="6"/>
              <w:spacing w:before="67" w:line="222" w:lineRule="auto"/>
              <w:ind w:left="771"/>
              <w:rPr>
                <w:sz w:val="18"/>
                <w:szCs w:val="18"/>
              </w:rPr>
            </w:pPr>
            <w:r>
              <w:rPr>
                <w:spacing w:val="-4"/>
                <w:sz w:val="18"/>
                <w:szCs w:val="18"/>
              </w:rPr>
              <w:t>反</w:t>
            </w:r>
            <w:r>
              <w:rPr>
                <w:rFonts w:ascii="Times New Roman" w:hAnsi="Times New Roman" w:eastAsia="Times New Roman" w:cs="Times New Roman"/>
                <w:spacing w:val="-4"/>
                <w:sz w:val="18"/>
                <w:szCs w:val="18"/>
              </w:rPr>
              <w:t>-1</w:t>
            </w:r>
            <w:r>
              <w:rPr>
                <w:rFonts w:ascii="Times New Roman" w:hAnsi="Times New Roman" w:eastAsia="Times New Roman" w:cs="Times New Roman"/>
                <w:spacing w:val="-19"/>
                <w:sz w:val="18"/>
                <w:szCs w:val="18"/>
              </w:rPr>
              <w:t xml:space="preserve"> </w:t>
            </w:r>
            <w:r>
              <w:rPr>
                <w:spacing w:val="-4"/>
                <w:sz w:val="18"/>
                <w:szCs w:val="18"/>
              </w:rPr>
              <w:t>，</w:t>
            </w:r>
            <w:r>
              <w:rPr>
                <w:rFonts w:ascii="Times New Roman" w:hAnsi="Times New Roman" w:eastAsia="Times New Roman" w:cs="Times New Roman"/>
                <w:spacing w:val="-4"/>
                <w:sz w:val="18"/>
                <w:szCs w:val="18"/>
              </w:rPr>
              <w:t>2-</w:t>
            </w:r>
            <w:r>
              <w:rPr>
                <w:spacing w:val="-4"/>
                <w:sz w:val="18"/>
                <w:szCs w:val="18"/>
              </w:rPr>
              <w:t>二氯乙烯</w:t>
            </w:r>
          </w:p>
        </w:tc>
        <w:tc>
          <w:tcPr>
            <w:tcW w:w="1616" w:type="dxa"/>
            <w:vAlign w:val="top"/>
          </w:tcPr>
          <w:p w14:paraId="4931A167">
            <w:pPr>
              <w:spacing w:before="100" w:line="185" w:lineRule="auto"/>
              <w:ind w:left="6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1586" w:type="dxa"/>
            <w:vAlign w:val="top"/>
          </w:tcPr>
          <w:p w14:paraId="59C72DC0">
            <w:pPr>
              <w:spacing w:before="100" w:line="185" w:lineRule="auto"/>
              <w:ind w:left="66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2132" w:type="dxa"/>
            <w:tcBorders>
              <w:right w:val="single" w:color="000000" w:sz="10" w:space="0"/>
            </w:tcBorders>
            <w:vAlign w:val="top"/>
          </w:tcPr>
          <w:p w14:paraId="1A337EB2">
            <w:pPr>
              <w:spacing w:before="98" w:line="188" w:lineRule="auto"/>
              <w:ind w:left="98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54</w:t>
            </w:r>
          </w:p>
        </w:tc>
      </w:tr>
      <w:tr w14:paraId="417F3E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82" w:type="dxa"/>
            <w:tcBorders>
              <w:left w:val="single" w:color="000000" w:sz="10" w:space="0"/>
            </w:tcBorders>
            <w:vAlign w:val="top"/>
          </w:tcPr>
          <w:p w14:paraId="5FFBD646">
            <w:pPr>
              <w:spacing w:before="97" w:line="188" w:lineRule="auto"/>
              <w:ind w:left="259"/>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17</w:t>
            </w:r>
          </w:p>
        </w:tc>
        <w:tc>
          <w:tcPr>
            <w:tcW w:w="2917" w:type="dxa"/>
            <w:vAlign w:val="top"/>
          </w:tcPr>
          <w:p w14:paraId="272C768F">
            <w:pPr>
              <w:pStyle w:val="6"/>
              <w:spacing w:before="66" w:line="222" w:lineRule="auto"/>
              <w:ind w:left="1108"/>
              <w:rPr>
                <w:sz w:val="18"/>
                <w:szCs w:val="18"/>
              </w:rPr>
            </w:pPr>
            <w:r>
              <w:rPr>
                <w:spacing w:val="-5"/>
                <w:sz w:val="18"/>
                <w:szCs w:val="18"/>
              </w:rPr>
              <w:t>二氯甲烷</w:t>
            </w:r>
          </w:p>
        </w:tc>
        <w:tc>
          <w:tcPr>
            <w:tcW w:w="1616" w:type="dxa"/>
            <w:vAlign w:val="top"/>
          </w:tcPr>
          <w:p w14:paraId="681B0D99">
            <w:pPr>
              <w:spacing w:before="100" w:line="185" w:lineRule="auto"/>
              <w:ind w:left="6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1586" w:type="dxa"/>
            <w:vAlign w:val="top"/>
          </w:tcPr>
          <w:p w14:paraId="33F1C026">
            <w:pPr>
              <w:spacing w:before="100" w:line="185" w:lineRule="auto"/>
              <w:ind w:left="66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2132" w:type="dxa"/>
            <w:tcBorders>
              <w:right w:val="single" w:color="000000" w:sz="10" w:space="0"/>
            </w:tcBorders>
            <w:vAlign w:val="top"/>
          </w:tcPr>
          <w:p w14:paraId="7393DC76">
            <w:pPr>
              <w:spacing w:before="97" w:line="188" w:lineRule="auto"/>
              <w:ind w:left="93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616</w:t>
            </w:r>
          </w:p>
        </w:tc>
      </w:tr>
      <w:tr w14:paraId="78F1F7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682" w:type="dxa"/>
            <w:tcBorders>
              <w:left w:val="single" w:color="000000" w:sz="10" w:space="0"/>
            </w:tcBorders>
            <w:vAlign w:val="top"/>
          </w:tcPr>
          <w:p w14:paraId="7A7DB85A">
            <w:pPr>
              <w:spacing w:before="98" w:line="188" w:lineRule="auto"/>
              <w:ind w:left="259"/>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18</w:t>
            </w:r>
          </w:p>
        </w:tc>
        <w:tc>
          <w:tcPr>
            <w:tcW w:w="2917" w:type="dxa"/>
            <w:vAlign w:val="top"/>
          </w:tcPr>
          <w:p w14:paraId="7091AB7D">
            <w:pPr>
              <w:pStyle w:val="6"/>
              <w:spacing w:before="67" w:line="222" w:lineRule="auto"/>
              <w:ind w:left="900"/>
              <w:rPr>
                <w:sz w:val="18"/>
                <w:szCs w:val="18"/>
              </w:rPr>
            </w:pPr>
            <w:r>
              <w:rPr>
                <w:rFonts w:ascii="Times New Roman" w:hAnsi="Times New Roman" w:eastAsia="Times New Roman" w:cs="Times New Roman"/>
                <w:spacing w:val="-6"/>
                <w:sz w:val="18"/>
                <w:szCs w:val="18"/>
              </w:rPr>
              <w:t>1</w:t>
            </w:r>
            <w:r>
              <w:rPr>
                <w:rFonts w:ascii="Times New Roman" w:hAnsi="Times New Roman" w:eastAsia="Times New Roman" w:cs="Times New Roman"/>
                <w:spacing w:val="-20"/>
                <w:sz w:val="18"/>
                <w:szCs w:val="18"/>
              </w:rPr>
              <w:t xml:space="preserve"> </w:t>
            </w:r>
            <w:r>
              <w:rPr>
                <w:spacing w:val="-6"/>
                <w:sz w:val="18"/>
                <w:szCs w:val="18"/>
              </w:rPr>
              <w:t>，</w:t>
            </w:r>
            <w:r>
              <w:rPr>
                <w:rFonts w:ascii="Times New Roman" w:hAnsi="Times New Roman" w:eastAsia="Times New Roman" w:cs="Times New Roman"/>
                <w:spacing w:val="-6"/>
                <w:sz w:val="18"/>
                <w:szCs w:val="18"/>
              </w:rPr>
              <w:t>2-</w:t>
            </w:r>
            <w:r>
              <w:rPr>
                <w:spacing w:val="-6"/>
                <w:sz w:val="18"/>
                <w:szCs w:val="18"/>
              </w:rPr>
              <w:t>二氯丙烷</w:t>
            </w:r>
          </w:p>
        </w:tc>
        <w:tc>
          <w:tcPr>
            <w:tcW w:w="1616" w:type="dxa"/>
            <w:vAlign w:val="top"/>
          </w:tcPr>
          <w:p w14:paraId="3E616BA3">
            <w:pPr>
              <w:spacing w:before="100" w:line="185" w:lineRule="auto"/>
              <w:ind w:left="6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1586" w:type="dxa"/>
            <w:vAlign w:val="top"/>
          </w:tcPr>
          <w:p w14:paraId="693A9FD0">
            <w:pPr>
              <w:spacing w:before="100" w:line="185" w:lineRule="auto"/>
              <w:ind w:left="66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2132" w:type="dxa"/>
            <w:tcBorders>
              <w:right w:val="single" w:color="000000" w:sz="10" w:space="0"/>
            </w:tcBorders>
            <w:vAlign w:val="top"/>
          </w:tcPr>
          <w:p w14:paraId="27FA5B73">
            <w:pPr>
              <w:spacing w:before="100" w:line="185" w:lineRule="auto"/>
              <w:ind w:left="1025"/>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r>
      <w:tr w14:paraId="4999FE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82" w:type="dxa"/>
            <w:tcBorders>
              <w:left w:val="single" w:color="000000" w:sz="10" w:space="0"/>
            </w:tcBorders>
            <w:vAlign w:val="top"/>
          </w:tcPr>
          <w:p w14:paraId="3C456172">
            <w:pPr>
              <w:spacing w:before="99" w:line="188" w:lineRule="auto"/>
              <w:ind w:left="259"/>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19</w:t>
            </w:r>
          </w:p>
        </w:tc>
        <w:tc>
          <w:tcPr>
            <w:tcW w:w="2917" w:type="dxa"/>
            <w:vAlign w:val="top"/>
          </w:tcPr>
          <w:p w14:paraId="2322285C">
            <w:pPr>
              <w:pStyle w:val="6"/>
              <w:spacing w:before="68" w:line="222" w:lineRule="auto"/>
              <w:ind w:left="631"/>
              <w:rPr>
                <w:sz w:val="18"/>
                <w:szCs w:val="18"/>
              </w:rPr>
            </w:pPr>
            <w:r>
              <w:rPr>
                <w:rFonts w:ascii="Times New Roman" w:hAnsi="Times New Roman" w:eastAsia="Times New Roman" w:cs="Times New Roman"/>
                <w:spacing w:val="-9"/>
                <w:sz w:val="18"/>
                <w:szCs w:val="18"/>
              </w:rPr>
              <w:t>1</w:t>
            </w:r>
            <w:r>
              <w:rPr>
                <w:rFonts w:ascii="Times New Roman" w:hAnsi="Times New Roman" w:eastAsia="Times New Roman" w:cs="Times New Roman"/>
                <w:spacing w:val="-11"/>
                <w:sz w:val="18"/>
                <w:szCs w:val="18"/>
              </w:rPr>
              <w:t xml:space="preserve"> </w:t>
            </w:r>
            <w:r>
              <w:rPr>
                <w:spacing w:val="-9"/>
                <w:sz w:val="18"/>
                <w:szCs w:val="18"/>
              </w:rPr>
              <w:t>，</w:t>
            </w:r>
            <w:r>
              <w:rPr>
                <w:rFonts w:ascii="Times New Roman" w:hAnsi="Times New Roman" w:eastAsia="Times New Roman" w:cs="Times New Roman"/>
                <w:spacing w:val="-9"/>
                <w:sz w:val="18"/>
                <w:szCs w:val="18"/>
              </w:rPr>
              <w:t>1</w:t>
            </w:r>
            <w:r>
              <w:rPr>
                <w:rFonts w:ascii="Times New Roman" w:hAnsi="Times New Roman" w:eastAsia="Times New Roman" w:cs="Times New Roman"/>
                <w:spacing w:val="-19"/>
                <w:sz w:val="18"/>
                <w:szCs w:val="18"/>
              </w:rPr>
              <w:t xml:space="preserve"> </w:t>
            </w:r>
            <w:r>
              <w:rPr>
                <w:spacing w:val="-9"/>
                <w:sz w:val="18"/>
                <w:szCs w:val="18"/>
              </w:rPr>
              <w:t>，</w:t>
            </w:r>
            <w:r>
              <w:rPr>
                <w:rFonts w:ascii="Times New Roman" w:hAnsi="Times New Roman" w:eastAsia="Times New Roman" w:cs="Times New Roman"/>
                <w:spacing w:val="-9"/>
                <w:sz w:val="18"/>
                <w:szCs w:val="18"/>
              </w:rPr>
              <w:t>1</w:t>
            </w:r>
            <w:r>
              <w:rPr>
                <w:rFonts w:ascii="Times New Roman" w:hAnsi="Times New Roman" w:eastAsia="Times New Roman" w:cs="Times New Roman"/>
                <w:spacing w:val="-22"/>
                <w:sz w:val="18"/>
                <w:szCs w:val="18"/>
              </w:rPr>
              <w:t xml:space="preserve"> </w:t>
            </w:r>
            <w:r>
              <w:rPr>
                <w:spacing w:val="-9"/>
                <w:sz w:val="18"/>
                <w:szCs w:val="18"/>
              </w:rPr>
              <w:t>，</w:t>
            </w:r>
            <w:r>
              <w:rPr>
                <w:rFonts w:ascii="Times New Roman" w:hAnsi="Times New Roman" w:eastAsia="Times New Roman" w:cs="Times New Roman"/>
                <w:spacing w:val="-9"/>
                <w:sz w:val="18"/>
                <w:szCs w:val="18"/>
              </w:rPr>
              <w:t>2-</w:t>
            </w:r>
            <w:r>
              <w:rPr>
                <w:spacing w:val="-9"/>
                <w:sz w:val="18"/>
                <w:szCs w:val="18"/>
              </w:rPr>
              <w:t>四氯乙烷</w:t>
            </w:r>
          </w:p>
        </w:tc>
        <w:tc>
          <w:tcPr>
            <w:tcW w:w="1616" w:type="dxa"/>
            <w:vAlign w:val="top"/>
          </w:tcPr>
          <w:p w14:paraId="183B624D">
            <w:pPr>
              <w:spacing w:before="102" w:line="185" w:lineRule="auto"/>
              <w:ind w:left="6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1586" w:type="dxa"/>
            <w:vAlign w:val="top"/>
          </w:tcPr>
          <w:p w14:paraId="635DCEBF">
            <w:pPr>
              <w:spacing w:before="102" w:line="185" w:lineRule="auto"/>
              <w:ind w:left="66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2132" w:type="dxa"/>
            <w:tcBorders>
              <w:right w:val="single" w:color="000000" w:sz="10" w:space="0"/>
            </w:tcBorders>
            <w:vAlign w:val="top"/>
          </w:tcPr>
          <w:p w14:paraId="3B526E32">
            <w:pPr>
              <w:spacing w:before="99" w:line="188" w:lineRule="auto"/>
              <w:ind w:left="992"/>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10</w:t>
            </w:r>
          </w:p>
        </w:tc>
      </w:tr>
      <w:tr w14:paraId="66D357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82" w:type="dxa"/>
            <w:tcBorders>
              <w:left w:val="single" w:color="000000" w:sz="10" w:space="0"/>
            </w:tcBorders>
            <w:vAlign w:val="top"/>
          </w:tcPr>
          <w:p w14:paraId="5B706CDF">
            <w:pPr>
              <w:spacing w:before="100" w:line="188" w:lineRule="auto"/>
              <w:ind w:left="24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20</w:t>
            </w:r>
          </w:p>
        </w:tc>
        <w:tc>
          <w:tcPr>
            <w:tcW w:w="2917" w:type="dxa"/>
            <w:vAlign w:val="top"/>
          </w:tcPr>
          <w:p w14:paraId="0676E0DF">
            <w:pPr>
              <w:pStyle w:val="6"/>
              <w:spacing w:before="69" w:line="222" w:lineRule="auto"/>
              <w:ind w:left="631"/>
              <w:rPr>
                <w:sz w:val="18"/>
                <w:szCs w:val="18"/>
              </w:rPr>
            </w:pPr>
            <w:r>
              <w:rPr>
                <w:rFonts w:ascii="Times New Roman" w:hAnsi="Times New Roman" w:eastAsia="Times New Roman" w:cs="Times New Roman"/>
                <w:spacing w:val="-9"/>
                <w:sz w:val="18"/>
                <w:szCs w:val="18"/>
              </w:rPr>
              <w:t>1</w:t>
            </w:r>
            <w:r>
              <w:rPr>
                <w:rFonts w:ascii="Times New Roman" w:hAnsi="Times New Roman" w:eastAsia="Times New Roman" w:cs="Times New Roman"/>
                <w:spacing w:val="-11"/>
                <w:sz w:val="18"/>
                <w:szCs w:val="18"/>
              </w:rPr>
              <w:t xml:space="preserve"> </w:t>
            </w:r>
            <w:r>
              <w:rPr>
                <w:spacing w:val="-9"/>
                <w:sz w:val="18"/>
                <w:szCs w:val="18"/>
              </w:rPr>
              <w:t>，</w:t>
            </w:r>
            <w:r>
              <w:rPr>
                <w:rFonts w:ascii="Times New Roman" w:hAnsi="Times New Roman" w:eastAsia="Times New Roman" w:cs="Times New Roman"/>
                <w:spacing w:val="-9"/>
                <w:sz w:val="18"/>
                <w:szCs w:val="18"/>
              </w:rPr>
              <w:t>1</w:t>
            </w:r>
            <w:r>
              <w:rPr>
                <w:rFonts w:ascii="Times New Roman" w:hAnsi="Times New Roman" w:eastAsia="Times New Roman" w:cs="Times New Roman"/>
                <w:spacing w:val="-19"/>
                <w:sz w:val="18"/>
                <w:szCs w:val="18"/>
              </w:rPr>
              <w:t xml:space="preserve"> </w:t>
            </w:r>
            <w:r>
              <w:rPr>
                <w:spacing w:val="-9"/>
                <w:sz w:val="18"/>
                <w:szCs w:val="18"/>
              </w:rPr>
              <w:t>，</w:t>
            </w:r>
            <w:r>
              <w:rPr>
                <w:rFonts w:ascii="Times New Roman" w:hAnsi="Times New Roman" w:eastAsia="Times New Roman" w:cs="Times New Roman"/>
                <w:spacing w:val="-9"/>
                <w:sz w:val="18"/>
                <w:szCs w:val="18"/>
              </w:rPr>
              <w:t>2</w:t>
            </w:r>
            <w:r>
              <w:rPr>
                <w:rFonts w:ascii="Times New Roman" w:hAnsi="Times New Roman" w:eastAsia="Times New Roman" w:cs="Times New Roman"/>
                <w:spacing w:val="-22"/>
                <w:sz w:val="18"/>
                <w:szCs w:val="18"/>
              </w:rPr>
              <w:t xml:space="preserve"> </w:t>
            </w:r>
            <w:r>
              <w:rPr>
                <w:spacing w:val="-9"/>
                <w:sz w:val="18"/>
                <w:szCs w:val="18"/>
              </w:rPr>
              <w:t>，</w:t>
            </w:r>
            <w:r>
              <w:rPr>
                <w:rFonts w:ascii="Times New Roman" w:hAnsi="Times New Roman" w:eastAsia="Times New Roman" w:cs="Times New Roman"/>
                <w:spacing w:val="-9"/>
                <w:sz w:val="18"/>
                <w:szCs w:val="18"/>
              </w:rPr>
              <w:t>2-</w:t>
            </w:r>
            <w:r>
              <w:rPr>
                <w:spacing w:val="-9"/>
                <w:sz w:val="18"/>
                <w:szCs w:val="18"/>
              </w:rPr>
              <w:t>四氯乙烷</w:t>
            </w:r>
          </w:p>
        </w:tc>
        <w:tc>
          <w:tcPr>
            <w:tcW w:w="1616" w:type="dxa"/>
            <w:vAlign w:val="top"/>
          </w:tcPr>
          <w:p w14:paraId="5A2DE658">
            <w:pPr>
              <w:spacing w:before="102" w:line="185" w:lineRule="auto"/>
              <w:ind w:left="6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1586" w:type="dxa"/>
            <w:vAlign w:val="top"/>
          </w:tcPr>
          <w:p w14:paraId="02390DCE">
            <w:pPr>
              <w:spacing w:before="102" w:line="185" w:lineRule="auto"/>
              <w:ind w:left="66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2132" w:type="dxa"/>
            <w:tcBorders>
              <w:right w:val="single" w:color="000000" w:sz="10" w:space="0"/>
            </w:tcBorders>
            <w:vAlign w:val="top"/>
          </w:tcPr>
          <w:p w14:paraId="369C67A5">
            <w:pPr>
              <w:spacing w:before="100" w:line="188" w:lineRule="auto"/>
              <w:ind w:left="9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6.8</w:t>
            </w:r>
          </w:p>
        </w:tc>
      </w:tr>
      <w:tr w14:paraId="1629C0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82" w:type="dxa"/>
            <w:tcBorders>
              <w:left w:val="single" w:color="000000" w:sz="10" w:space="0"/>
            </w:tcBorders>
            <w:vAlign w:val="top"/>
          </w:tcPr>
          <w:p w14:paraId="72D5538C">
            <w:pPr>
              <w:spacing w:before="100" w:line="188" w:lineRule="auto"/>
              <w:ind w:left="24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21</w:t>
            </w:r>
          </w:p>
        </w:tc>
        <w:tc>
          <w:tcPr>
            <w:tcW w:w="2917" w:type="dxa"/>
            <w:vAlign w:val="top"/>
          </w:tcPr>
          <w:p w14:paraId="3533999A">
            <w:pPr>
              <w:pStyle w:val="6"/>
              <w:spacing w:before="69" w:line="222" w:lineRule="auto"/>
              <w:ind w:left="1123"/>
              <w:rPr>
                <w:sz w:val="18"/>
                <w:szCs w:val="18"/>
              </w:rPr>
            </w:pPr>
            <w:r>
              <w:rPr>
                <w:spacing w:val="-9"/>
                <w:sz w:val="18"/>
                <w:szCs w:val="18"/>
              </w:rPr>
              <w:t>四氯乙烯</w:t>
            </w:r>
          </w:p>
        </w:tc>
        <w:tc>
          <w:tcPr>
            <w:tcW w:w="1616" w:type="dxa"/>
            <w:vAlign w:val="top"/>
          </w:tcPr>
          <w:p w14:paraId="2EBBFC6B">
            <w:pPr>
              <w:spacing w:before="103" w:line="185" w:lineRule="auto"/>
              <w:ind w:left="6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1586" w:type="dxa"/>
            <w:vAlign w:val="top"/>
          </w:tcPr>
          <w:p w14:paraId="6F8A9FBF">
            <w:pPr>
              <w:spacing w:before="103" w:line="185" w:lineRule="auto"/>
              <w:ind w:left="66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2132" w:type="dxa"/>
            <w:tcBorders>
              <w:right w:val="single" w:color="000000" w:sz="10" w:space="0"/>
            </w:tcBorders>
            <w:vAlign w:val="top"/>
          </w:tcPr>
          <w:p w14:paraId="01204DD9">
            <w:pPr>
              <w:spacing w:before="100" w:line="188" w:lineRule="auto"/>
              <w:ind w:left="98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53</w:t>
            </w:r>
          </w:p>
        </w:tc>
      </w:tr>
      <w:tr w14:paraId="7BDE8E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682" w:type="dxa"/>
            <w:tcBorders>
              <w:left w:val="single" w:color="000000" w:sz="10" w:space="0"/>
            </w:tcBorders>
            <w:vAlign w:val="top"/>
          </w:tcPr>
          <w:p w14:paraId="670D2E76">
            <w:pPr>
              <w:spacing w:before="101" w:line="188" w:lineRule="auto"/>
              <w:ind w:left="24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22</w:t>
            </w:r>
          </w:p>
        </w:tc>
        <w:tc>
          <w:tcPr>
            <w:tcW w:w="2917" w:type="dxa"/>
            <w:vAlign w:val="top"/>
          </w:tcPr>
          <w:p w14:paraId="11EDA5F9">
            <w:pPr>
              <w:pStyle w:val="6"/>
              <w:spacing w:before="70" w:line="222" w:lineRule="auto"/>
              <w:ind w:left="765"/>
              <w:rPr>
                <w:sz w:val="18"/>
                <w:szCs w:val="18"/>
              </w:rPr>
            </w:pPr>
            <w:r>
              <w:rPr>
                <w:rFonts w:ascii="Times New Roman" w:hAnsi="Times New Roman" w:eastAsia="Times New Roman" w:cs="Times New Roman"/>
                <w:spacing w:val="-8"/>
                <w:sz w:val="18"/>
                <w:szCs w:val="18"/>
              </w:rPr>
              <w:t>1</w:t>
            </w:r>
            <w:r>
              <w:rPr>
                <w:rFonts w:ascii="Times New Roman" w:hAnsi="Times New Roman" w:eastAsia="Times New Roman" w:cs="Times New Roman"/>
                <w:spacing w:val="-15"/>
                <w:sz w:val="18"/>
                <w:szCs w:val="18"/>
              </w:rPr>
              <w:t xml:space="preserve"> </w:t>
            </w:r>
            <w:r>
              <w:rPr>
                <w:spacing w:val="-8"/>
                <w:sz w:val="18"/>
                <w:szCs w:val="18"/>
              </w:rPr>
              <w:t>，</w:t>
            </w:r>
            <w:r>
              <w:rPr>
                <w:rFonts w:ascii="Times New Roman" w:hAnsi="Times New Roman" w:eastAsia="Times New Roman" w:cs="Times New Roman"/>
                <w:spacing w:val="-8"/>
                <w:sz w:val="18"/>
                <w:szCs w:val="18"/>
              </w:rPr>
              <w:t>1</w:t>
            </w:r>
            <w:r>
              <w:rPr>
                <w:rFonts w:ascii="Times New Roman" w:hAnsi="Times New Roman" w:eastAsia="Times New Roman" w:cs="Times New Roman"/>
                <w:spacing w:val="-19"/>
                <w:sz w:val="18"/>
                <w:szCs w:val="18"/>
              </w:rPr>
              <w:t xml:space="preserve"> </w:t>
            </w:r>
            <w:r>
              <w:rPr>
                <w:spacing w:val="-8"/>
                <w:sz w:val="18"/>
                <w:szCs w:val="18"/>
              </w:rPr>
              <w:t>，</w:t>
            </w:r>
            <w:r>
              <w:rPr>
                <w:rFonts w:ascii="Times New Roman" w:hAnsi="Times New Roman" w:eastAsia="Times New Roman" w:cs="Times New Roman"/>
                <w:spacing w:val="-8"/>
                <w:sz w:val="18"/>
                <w:szCs w:val="18"/>
              </w:rPr>
              <w:t>1-</w:t>
            </w:r>
            <w:r>
              <w:rPr>
                <w:spacing w:val="-8"/>
                <w:sz w:val="18"/>
                <w:szCs w:val="18"/>
              </w:rPr>
              <w:t>三氯乙烷</w:t>
            </w:r>
          </w:p>
        </w:tc>
        <w:tc>
          <w:tcPr>
            <w:tcW w:w="1616" w:type="dxa"/>
            <w:vAlign w:val="top"/>
          </w:tcPr>
          <w:p w14:paraId="7CD1EB2A">
            <w:pPr>
              <w:spacing w:before="104" w:line="185" w:lineRule="auto"/>
              <w:ind w:left="6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1586" w:type="dxa"/>
            <w:vAlign w:val="top"/>
          </w:tcPr>
          <w:p w14:paraId="7F1353AE">
            <w:pPr>
              <w:spacing w:before="104" w:line="185" w:lineRule="auto"/>
              <w:ind w:left="66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2132" w:type="dxa"/>
            <w:tcBorders>
              <w:right w:val="single" w:color="000000" w:sz="10" w:space="0"/>
            </w:tcBorders>
            <w:vAlign w:val="top"/>
          </w:tcPr>
          <w:p w14:paraId="75220CA9">
            <w:pPr>
              <w:spacing w:before="101" w:line="188" w:lineRule="auto"/>
              <w:ind w:left="93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840</w:t>
            </w:r>
          </w:p>
        </w:tc>
      </w:tr>
      <w:tr w14:paraId="0DCF34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82" w:type="dxa"/>
            <w:tcBorders>
              <w:left w:val="single" w:color="000000" w:sz="10" w:space="0"/>
            </w:tcBorders>
            <w:vAlign w:val="top"/>
          </w:tcPr>
          <w:p w14:paraId="53A84B77">
            <w:pPr>
              <w:spacing w:before="103" w:line="188" w:lineRule="auto"/>
              <w:ind w:left="24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23</w:t>
            </w:r>
          </w:p>
        </w:tc>
        <w:tc>
          <w:tcPr>
            <w:tcW w:w="2917" w:type="dxa"/>
            <w:vAlign w:val="top"/>
          </w:tcPr>
          <w:p w14:paraId="7AF9D940">
            <w:pPr>
              <w:pStyle w:val="6"/>
              <w:spacing w:before="72" w:line="222" w:lineRule="auto"/>
              <w:ind w:left="765"/>
              <w:rPr>
                <w:sz w:val="18"/>
                <w:szCs w:val="18"/>
              </w:rPr>
            </w:pPr>
            <w:r>
              <w:rPr>
                <w:rFonts w:ascii="Times New Roman" w:hAnsi="Times New Roman" w:eastAsia="Times New Roman" w:cs="Times New Roman"/>
                <w:spacing w:val="-8"/>
                <w:sz w:val="18"/>
                <w:szCs w:val="18"/>
              </w:rPr>
              <w:t>1</w:t>
            </w:r>
            <w:r>
              <w:rPr>
                <w:rFonts w:ascii="Times New Roman" w:hAnsi="Times New Roman" w:eastAsia="Times New Roman" w:cs="Times New Roman"/>
                <w:spacing w:val="-15"/>
                <w:sz w:val="18"/>
                <w:szCs w:val="18"/>
              </w:rPr>
              <w:t xml:space="preserve"> </w:t>
            </w:r>
            <w:r>
              <w:rPr>
                <w:spacing w:val="-8"/>
                <w:sz w:val="18"/>
                <w:szCs w:val="18"/>
              </w:rPr>
              <w:t>，</w:t>
            </w:r>
            <w:r>
              <w:rPr>
                <w:rFonts w:ascii="Times New Roman" w:hAnsi="Times New Roman" w:eastAsia="Times New Roman" w:cs="Times New Roman"/>
                <w:spacing w:val="-8"/>
                <w:sz w:val="18"/>
                <w:szCs w:val="18"/>
              </w:rPr>
              <w:t>1</w:t>
            </w:r>
            <w:r>
              <w:rPr>
                <w:rFonts w:ascii="Times New Roman" w:hAnsi="Times New Roman" w:eastAsia="Times New Roman" w:cs="Times New Roman"/>
                <w:spacing w:val="-19"/>
                <w:sz w:val="18"/>
                <w:szCs w:val="18"/>
              </w:rPr>
              <w:t xml:space="preserve"> </w:t>
            </w:r>
            <w:r>
              <w:rPr>
                <w:spacing w:val="-8"/>
                <w:sz w:val="18"/>
                <w:szCs w:val="18"/>
              </w:rPr>
              <w:t>，</w:t>
            </w:r>
            <w:r>
              <w:rPr>
                <w:rFonts w:ascii="Times New Roman" w:hAnsi="Times New Roman" w:eastAsia="Times New Roman" w:cs="Times New Roman"/>
                <w:spacing w:val="-8"/>
                <w:sz w:val="18"/>
                <w:szCs w:val="18"/>
              </w:rPr>
              <w:t>2-</w:t>
            </w:r>
            <w:r>
              <w:rPr>
                <w:spacing w:val="-8"/>
                <w:sz w:val="18"/>
                <w:szCs w:val="18"/>
              </w:rPr>
              <w:t>三氯乙烷</w:t>
            </w:r>
          </w:p>
        </w:tc>
        <w:tc>
          <w:tcPr>
            <w:tcW w:w="1616" w:type="dxa"/>
            <w:vAlign w:val="top"/>
          </w:tcPr>
          <w:p w14:paraId="4833CD08">
            <w:pPr>
              <w:spacing w:before="105" w:line="185" w:lineRule="auto"/>
              <w:ind w:left="6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1586" w:type="dxa"/>
            <w:vAlign w:val="top"/>
          </w:tcPr>
          <w:p w14:paraId="6B5A8832">
            <w:pPr>
              <w:spacing w:before="105" w:line="185" w:lineRule="auto"/>
              <w:ind w:left="66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2132" w:type="dxa"/>
            <w:tcBorders>
              <w:right w:val="single" w:color="000000" w:sz="10" w:space="0"/>
            </w:tcBorders>
            <w:vAlign w:val="top"/>
          </w:tcPr>
          <w:p w14:paraId="13DDD6DE">
            <w:pPr>
              <w:spacing w:before="103" w:line="188" w:lineRule="auto"/>
              <w:ind w:left="95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2.8</w:t>
            </w:r>
          </w:p>
        </w:tc>
      </w:tr>
      <w:tr w14:paraId="4D0BEE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682" w:type="dxa"/>
            <w:tcBorders>
              <w:left w:val="single" w:color="000000" w:sz="10" w:space="0"/>
            </w:tcBorders>
            <w:vAlign w:val="top"/>
          </w:tcPr>
          <w:p w14:paraId="4710934D">
            <w:pPr>
              <w:spacing w:before="101" w:line="188" w:lineRule="auto"/>
              <w:ind w:left="24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24</w:t>
            </w:r>
          </w:p>
        </w:tc>
        <w:tc>
          <w:tcPr>
            <w:tcW w:w="2917" w:type="dxa"/>
            <w:vAlign w:val="top"/>
          </w:tcPr>
          <w:p w14:paraId="4436496F">
            <w:pPr>
              <w:pStyle w:val="6"/>
              <w:spacing w:before="70" w:line="222" w:lineRule="auto"/>
              <w:ind w:left="1107"/>
              <w:rPr>
                <w:sz w:val="18"/>
                <w:szCs w:val="18"/>
              </w:rPr>
            </w:pPr>
            <w:r>
              <w:rPr>
                <w:spacing w:val="-5"/>
                <w:sz w:val="18"/>
                <w:szCs w:val="18"/>
              </w:rPr>
              <w:t>三氯乙烯</w:t>
            </w:r>
          </w:p>
        </w:tc>
        <w:tc>
          <w:tcPr>
            <w:tcW w:w="1616" w:type="dxa"/>
            <w:vAlign w:val="top"/>
          </w:tcPr>
          <w:p w14:paraId="57292CCA">
            <w:pPr>
              <w:spacing w:before="104" w:line="185" w:lineRule="auto"/>
              <w:ind w:left="6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1586" w:type="dxa"/>
            <w:vAlign w:val="top"/>
          </w:tcPr>
          <w:p w14:paraId="5BBDDE63">
            <w:pPr>
              <w:spacing w:before="104" w:line="185" w:lineRule="auto"/>
              <w:ind w:left="66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2132" w:type="dxa"/>
            <w:tcBorders>
              <w:right w:val="single" w:color="000000" w:sz="10" w:space="0"/>
            </w:tcBorders>
            <w:vAlign w:val="top"/>
          </w:tcPr>
          <w:p w14:paraId="726E95BD">
            <w:pPr>
              <w:spacing w:before="101" w:line="188" w:lineRule="auto"/>
              <w:ind w:left="95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2.8</w:t>
            </w:r>
          </w:p>
        </w:tc>
      </w:tr>
      <w:tr w14:paraId="20C642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82" w:type="dxa"/>
            <w:tcBorders>
              <w:left w:val="single" w:color="000000" w:sz="10" w:space="0"/>
            </w:tcBorders>
            <w:vAlign w:val="top"/>
          </w:tcPr>
          <w:p w14:paraId="3E1AB901">
            <w:pPr>
              <w:spacing w:before="103" w:line="188" w:lineRule="auto"/>
              <w:ind w:left="24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25</w:t>
            </w:r>
          </w:p>
        </w:tc>
        <w:tc>
          <w:tcPr>
            <w:tcW w:w="2917" w:type="dxa"/>
            <w:vAlign w:val="top"/>
          </w:tcPr>
          <w:p w14:paraId="562FDF5C">
            <w:pPr>
              <w:pStyle w:val="6"/>
              <w:spacing w:before="72" w:line="222" w:lineRule="auto"/>
              <w:ind w:left="765"/>
              <w:rPr>
                <w:sz w:val="18"/>
                <w:szCs w:val="18"/>
              </w:rPr>
            </w:pPr>
            <w:r>
              <w:rPr>
                <w:rFonts w:ascii="Times New Roman" w:hAnsi="Times New Roman" w:eastAsia="Times New Roman" w:cs="Times New Roman"/>
                <w:spacing w:val="-8"/>
                <w:sz w:val="18"/>
                <w:szCs w:val="18"/>
              </w:rPr>
              <w:t>1</w:t>
            </w:r>
            <w:r>
              <w:rPr>
                <w:rFonts w:ascii="Times New Roman" w:hAnsi="Times New Roman" w:eastAsia="Times New Roman" w:cs="Times New Roman"/>
                <w:spacing w:val="-15"/>
                <w:sz w:val="18"/>
                <w:szCs w:val="18"/>
              </w:rPr>
              <w:t xml:space="preserve"> </w:t>
            </w:r>
            <w:r>
              <w:rPr>
                <w:spacing w:val="-8"/>
                <w:sz w:val="18"/>
                <w:szCs w:val="18"/>
              </w:rPr>
              <w:t>，</w:t>
            </w:r>
            <w:r>
              <w:rPr>
                <w:rFonts w:ascii="Times New Roman" w:hAnsi="Times New Roman" w:eastAsia="Times New Roman" w:cs="Times New Roman"/>
                <w:spacing w:val="-8"/>
                <w:sz w:val="18"/>
                <w:szCs w:val="18"/>
              </w:rPr>
              <w:t>2</w:t>
            </w:r>
            <w:r>
              <w:rPr>
                <w:rFonts w:ascii="Times New Roman" w:hAnsi="Times New Roman" w:eastAsia="Times New Roman" w:cs="Times New Roman"/>
                <w:spacing w:val="-19"/>
                <w:sz w:val="18"/>
                <w:szCs w:val="18"/>
              </w:rPr>
              <w:t xml:space="preserve"> </w:t>
            </w:r>
            <w:r>
              <w:rPr>
                <w:spacing w:val="-8"/>
                <w:sz w:val="18"/>
                <w:szCs w:val="18"/>
              </w:rPr>
              <w:t>，</w:t>
            </w:r>
            <w:r>
              <w:rPr>
                <w:rFonts w:ascii="Times New Roman" w:hAnsi="Times New Roman" w:eastAsia="Times New Roman" w:cs="Times New Roman"/>
                <w:spacing w:val="-8"/>
                <w:sz w:val="18"/>
                <w:szCs w:val="18"/>
              </w:rPr>
              <w:t>3-</w:t>
            </w:r>
            <w:r>
              <w:rPr>
                <w:spacing w:val="-8"/>
                <w:sz w:val="18"/>
                <w:szCs w:val="18"/>
              </w:rPr>
              <w:t>三氯丙烷</w:t>
            </w:r>
          </w:p>
        </w:tc>
        <w:tc>
          <w:tcPr>
            <w:tcW w:w="1616" w:type="dxa"/>
            <w:vAlign w:val="top"/>
          </w:tcPr>
          <w:p w14:paraId="40341775">
            <w:pPr>
              <w:spacing w:before="105" w:line="185" w:lineRule="auto"/>
              <w:ind w:left="6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1586" w:type="dxa"/>
            <w:vAlign w:val="top"/>
          </w:tcPr>
          <w:p w14:paraId="6E038A75">
            <w:pPr>
              <w:spacing w:before="105" w:line="185" w:lineRule="auto"/>
              <w:ind w:left="66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2132" w:type="dxa"/>
            <w:tcBorders>
              <w:right w:val="single" w:color="000000" w:sz="10" w:space="0"/>
            </w:tcBorders>
            <w:vAlign w:val="top"/>
          </w:tcPr>
          <w:p w14:paraId="157E2DD5">
            <w:pPr>
              <w:spacing w:before="103" w:line="188" w:lineRule="auto"/>
              <w:ind w:left="95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0.5</w:t>
            </w:r>
          </w:p>
        </w:tc>
      </w:tr>
      <w:tr w14:paraId="7E822A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682" w:type="dxa"/>
            <w:tcBorders>
              <w:left w:val="single" w:color="000000" w:sz="10" w:space="0"/>
            </w:tcBorders>
            <w:vAlign w:val="top"/>
          </w:tcPr>
          <w:p w14:paraId="714D7E36">
            <w:pPr>
              <w:spacing w:before="103" w:line="188" w:lineRule="auto"/>
              <w:ind w:left="24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26</w:t>
            </w:r>
          </w:p>
        </w:tc>
        <w:tc>
          <w:tcPr>
            <w:tcW w:w="2917" w:type="dxa"/>
            <w:vAlign w:val="top"/>
          </w:tcPr>
          <w:p w14:paraId="7AB8F68F">
            <w:pPr>
              <w:pStyle w:val="6"/>
              <w:spacing w:before="72" w:line="222" w:lineRule="auto"/>
              <w:ind w:left="1194"/>
              <w:rPr>
                <w:sz w:val="18"/>
                <w:szCs w:val="18"/>
              </w:rPr>
            </w:pPr>
            <w:r>
              <w:rPr>
                <w:spacing w:val="-6"/>
                <w:sz w:val="18"/>
                <w:szCs w:val="18"/>
              </w:rPr>
              <w:t>氯乙烯</w:t>
            </w:r>
          </w:p>
        </w:tc>
        <w:tc>
          <w:tcPr>
            <w:tcW w:w="1616" w:type="dxa"/>
            <w:vAlign w:val="top"/>
          </w:tcPr>
          <w:p w14:paraId="41B2CBC0">
            <w:pPr>
              <w:spacing w:before="106" w:line="185" w:lineRule="auto"/>
              <w:ind w:left="6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1586" w:type="dxa"/>
            <w:vAlign w:val="top"/>
          </w:tcPr>
          <w:p w14:paraId="21EB3D7A">
            <w:pPr>
              <w:spacing w:before="106" w:line="185" w:lineRule="auto"/>
              <w:ind w:left="66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2132" w:type="dxa"/>
            <w:tcBorders>
              <w:right w:val="single" w:color="000000" w:sz="10" w:space="0"/>
            </w:tcBorders>
            <w:vAlign w:val="top"/>
          </w:tcPr>
          <w:p w14:paraId="531414D0">
            <w:pPr>
              <w:spacing w:before="103" w:line="188" w:lineRule="auto"/>
              <w:ind w:left="91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0.43</w:t>
            </w:r>
          </w:p>
        </w:tc>
      </w:tr>
      <w:tr w14:paraId="52DA6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682" w:type="dxa"/>
            <w:tcBorders>
              <w:left w:val="single" w:color="000000" w:sz="10" w:space="0"/>
            </w:tcBorders>
            <w:vAlign w:val="top"/>
          </w:tcPr>
          <w:p w14:paraId="0599182F">
            <w:pPr>
              <w:spacing w:before="105" w:line="188" w:lineRule="auto"/>
              <w:ind w:left="24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27</w:t>
            </w:r>
          </w:p>
        </w:tc>
        <w:tc>
          <w:tcPr>
            <w:tcW w:w="2917" w:type="dxa"/>
            <w:vAlign w:val="top"/>
          </w:tcPr>
          <w:p w14:paraId="25457153">
            <w:pPr>
              <w:pStyle w:val="6"/>
              <w:spacing w:before="74" w:line="217" w:lineRule="auto"/>
              <w:ind w:left="1373"/>
              <w:rPr>
                <w:sz w:val="18"/>
                <w:szCs w:val="18"/>
              </w:rPr>
            </w:pPr>
            <w:r>
              <w:rPr>
                <w:sz w:val="18"/>
                <w:szCs w:val="18"/>
              </w:rPr>
              <w:t>苯</w:t>
            </w:r>
          </w:p>
        </w:tc>
        <w:tc>
          <w:tcPr>
            <w:tcW w:w="1616" w:type="dxa"/>
            <w:vAlign w:val="top"/>
          </w:tcPr>
          <w:p w14:paraId="0B370B47">
            <w:pPr>
              <w:spacing w:before="108" w:line="185" w:lineRule="auto"/>
              <w:ind w:left="6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1586" w:type="dxa"/>
            <w:vAlign w:val="top"/>
          </w:tcPr>
          <w:p w14:paraId="24367806">
            <w:pPr>
              <w:spacing w:before="108" w:line="185" w:lineRule="auto"/>
              <w:ind w:left="66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2132" w:type="dxa"/>
            <w:tcBorders>
              <w:right w:val="single" w:color="000000" w:sz="10" w:space="0"/>
            </w:tcBorders>
            <w:vAlign w:val="top"/>
          </w:tcPr>
          <w:p w14:paraId="2C93232C">
            <w:pPr>
              <w:spacing w:before="105" w:line="188" w:lineRule="auto"/>
              <w:ind w:left="1019"/>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r>
      <w:tr w14:paraId="5DDC21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82" w:type="dxa"/>
            <w:tcBorders>
              <w:left w:val="single" w:color="000000" w:sz="10" w:space="0"/>
            </w:tcBorders>
            <w:vAlign w:val="top"/>
          </w:tcPr>
          <w:p w14:paraId="34C5E95E">
            <w:pPr>
              <w:spacing w:before="104" w:line="188" w:lineRule="auto"/>
              <w:ind w:left="24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28</w:t>
            </w:r>
          </w:p>
        </w:tc>
        <w:tc>
          <w:tcPr>
            <w:tcW w:w="2917" w:type="dxa"/>
            <w:vAlign w:val="top"/>
          </w:tcPr>
          <w:p w14:paraId="06155090">
            <w:pPr>
              <w:pStyle w:val="6"/>
              <w:spacing w:before="73" w:line="217" w:lineRule="auto"/>
              <w:ind w:left="1285"/>
              <w:rPr>
                <w:sz w:val="18"/>
                <w:szCs w:val="18"/>
              </w:rPr>
            </w:pPr>
            <w:r>
              <w:rPr>
                <w:spacing w:val="-8"/>
                <w:sz w:val="18"/>
                <w:szCs w:val="18"/>
              </w:rPr>
              <w:t>氯苯</w:t>
            </w:r>
          </w:p>
        </w:tc>
        <w:tc>
          <w:tcPr>
            <w:tcW w:w="1616" w:type="dxa"/>
            <w:vAlign w:val="top"/>
          </w:tcPr>
          <w:p w14:paraId="2009184C">
            <w:pPr>
              <w:spacing w:before="107" w:line="185" w:lineRule="auto"/>
              <w:ind w:left="6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1586" w:type="dxa"/>
            <w:vAlign w:val="top"/>
          </w:tcPr>
          <w:p w14:paraId="0E948B53">
            <w:pPr>
              <w:spacing w:before="107" w:line="185" w:lineRule="auto"/>
              <w:ind w:left="66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2132" w:type="dxa"/>
            <w:tcBorders>
              <w:right w:val="single" w:color="000000" w:sz="10" w:space="0"/>
            </w:tcBorders>
            <w:vAlign w:val="top"/>
          </w:tcPr>
          <w:p w14:paraId="4BFD4508">
            <w:pPr>
              <w:spacing w:before="104" w:line="188" w:lineRule="auto"/>
              <w:ind w:left="9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270</w:t>
            </w:r>
          </w:p>
        </w:tc>
      </w:tr>
      <w:tr w14:paraId="493ED1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82" w:type="dxa"/>
            <w:tcBorders>
              <w:left w:val="single" w:color="000000" w:sz="10" w:space="0"/>
            </w:tcBorders>
            <w:vAlign w:val="top"/>
          </w:tcPr>
          <w:p w14:paraId="4D16EE3C">
            <w:pPr>
              <w:spacing w:before="107" w:line="188" w:lineRule="auto"/>
              <w:ind w:left="24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29</w:t>
            </w:r>
          </w:p>
        </w:tc>
        <w:tc>
          <w:tcPr>
            <w:tcW w:w="2917" w:type="dxa"/>
            <w:vAlign w:val="top"/>
          </w:tcPr>
          <w:p w14:paraId="49D1FAF4">
            <w:pPr>
              <w:pStyle w:val="6"/>
              <w:spacing w:before="76" w:line="217" w:lineRule="auto"/>
              <w:ind w:left="991"/>
              <w:rPr>
                <w:sz w:val="18"/>
                <w:szCs w:val="18"/>
              </w:rPr>
            </w:pPr>
            <w:r>
              <w:rPr>
                <w:rFonts w:ascii="Times New Roman" w:hAnsi="Times New Roman" w:eastAsia="Times New Roman" w:cs="Times New Roman"/>
                <w:spacing w:val="-7"/>
                <w:sz w:val="18"/>
                <w:szCs w:val="18"/>
              </w:rPr>
              <w:t>1</w:t>
            </w:r>
            <w:r>
              <w:rPr>
                <w:rFonts w:ascii="Times New Roman" w:hAnsi="Times New Roman" w:eastAsia="Times New Roman" w:cs="Times New Roman"/>
                <w:spacing w:val="-21"/>
                <w:sz w:val="18"/>
                <w:szCs w:val="18"/>
              </w:rPr>
              <w:t xml:space="preserve"> </w:t>
            </w:r>
            <w:r>
              <w:rPr>
                <w:spacing w:val="-7"/>
                <w:sz w:val="18"/>
                <w:szCs w:val="18"/>
              </w:rPr>
              <w:t>，</w:t>
            </w:r>
            <w:r>
              <w:rPr>
                <w:rFonts w:ascii="Times New Roman" w:hAnsi="Times New Roman" w:eastAsia="Times New Roman" w:cs="Times New Roman"/>
                <w:spacing w:val="-7"/>
                <w:sz w:val="18"/>
                <w:szCs w:val="18"/>
              </w:rPr>
              <w:t>2-</w:t>
            </w:r>
            <w:r>
              <w:rPr>
                <w:spacing w:val="-7"/>
                <w:sz w:val="18"/>
                <w:szCs w:val="18"/>
              </w:rPr>
              <w:t>二氯苯</w:t>
            </w:r>
          </w:p>
        </w:tc>
        <w:tc>
          <w:tcPr>
            <w:tcW w:w="1616" w:type="dxa"/>
            <w:vAlign w:val="top"/>
          </w:tcPr>
          <w:p w14:paraId="2C324983">
            <w:pPr>
              <w:spacing w:before="110" w:line="185" w:lineRule="auto"/>
              <w:ind w:left="6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1586" w:type="dxa"/>
            <w:vAlign w:val="top"/>
          </w:tcPr>
          <w:p w14:paraId="2B984A26">
            <w:pPr>
              <w:spacing w:before="110" w:line="185" w:lineRule="auto"/>
              <w:ind w:left="66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2132" w:type="dxa"/>
            <w:tcBorders>
              <w:right w:val="single" w:color="000000" w:sz="10" w:space="0"/>
            </w:tcBorders>
            <w:vAlign w:val="top"/>
          </w:tcPr>
          <w:p w14:paraId="32539F39">
            <w:pPr>
              <w:spacing w:before="107" w:line="188" w:lineRule="auto"/>
              <w:ind w:left="93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560</w:t>
            </w:r>
          </w:p>
        </w:tc>
      </w:tr>
      <w:tr w14:paraId="298FDA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682" w:type="dxa"/>
            <w:tcBorders>
              <w:left w:val="single" w:color="000000" w:sz="10" w:space="0"/>
            </w:tcBorders>
            <w:vAlign w:val="top"/>
          </w:tcPr>
          <w:p w14:paraId="769D426C">
            <w:pPr>
              <w:spacing w:before="106" w:line="188" w:lineRule="auto"/>
              <w:ind w:left="24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30</w:t>
            </w:r>
          </w:p>
        </w:tc>
        <w:tc>
          <w:tcPr>
            <w:tcW w:w="2917" w:type="dxa"/>
            <w:vAlign w:val="top"/>
          </w:tcPr>
          <w:p w14:paraId="205A0023">
            <w:pPr>
              <w:pStyle w:val="6"/>
              <w:spacing w:before="75" w:line="217" w:lineRule="auto"/>
              <w:ind w:left="991"/>
              <w:rPr>
                <w:sz w:val="18"/>
                <w:szCs w:val="18"/>
              </w:rPr>
            </w:pPr>
            <w:r>
              <w:rPr>
                <w:rFonts w:ascii="Times New Roman" w:hAnsi="Times New Roman" w:eastAsia="Times New Roman" w:cs="Times New Roman"/>
                <w:spacing w:val="-7"/>
                <w:sz w:val="18"/>
                <w:szCs w:val="18"/>
              </w:rPr>
              <w:t>1</w:t>
            </w:r>
            <w:r>
              <w:rPr>
                <w:rFonts w:ascii="Times New Roman" w:hAnsi="Times New Roman" w:eastAsia="Times New Roman" w:cs="Times New Roman"/>
                <w:spacing w:val="-21"/>
                <w:sz w:val="18"/>
                <w:szCs w:val="18"/>
              </w:rPr>
              <w:t xml:space="preserve"> </w:t>
            </w:r>
            <w:r>
              <w:rPr>
                <w:spacing w:val="-7"/>
                <w:sz w:val="18"/>
                <w:szCs w:val="18"/>
              </w:rPr>
              <w:t>，</w:t>
            </w:r>
            <w:r>
              <w:rPr>
                <w:rFonts w:ascii="Times New Roman" w:hAnsi="Times New Roman" w:eastAsia="Times New Roman" w:cs="Times New Roman"/>
                <w:spacing w:val="-7"/>
                <w:sz w:val="18"/>
                <w:szCs w:val="18"/>
              </w:rPr>
              <w:t>4-</w:t>
            </w:r>
            <w:r>
              <w:rPr>
                <w:spacing w:val="-7"/>
                <w:sz w:val="18"/>
                <w:szCs w:val="18"/>
              </w:rPr>
              <w:t>二氯苯</w:t>
            </w:r>
          </w:p>
        </w:tc>
        <w:tc>
          <w:tcPr>
            <w:tcW w:w="1616" w:type="dxa"/>
            <w:vAlign w:val="top"/>
          </w:tcPr>
          <w:p w14:paraId="4B1525D2">
            <w:pPr>
              <w:spacing w:before="108" w:line="185" w:lineRule="auto"/>
              <w:ind w:left="6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1586" w:type="dxa"/>
            <w:vAlign w:val="top"/>
          </w:tcPr>
          <w:p w14:paraId="0C77EA1F">
            <w:pPr>
              <w:spacing w:before="108" w:line="185" w:lineRule="auto"/>
              <w:ind w:left="66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2132" w:type="dxa"/>
            <w:tcBorders>
              <w:right w:val="single" w:color="000000" w:sz="10" w:space="0"/>
            </w:tcBorders>
            <w:vAlign w:val="top"/>
          </w:tcPr>
          <w:p w14:paraId="327EC114">
            <w:pPr>
              <w:spacing w:before="106" w:line="188" w:lineRule="auto"/>
              <w:ind w:left="97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20</w:t>
            </w:r>
          </w:p>
        </w:tc>
      </w:tr>
      <w:tr w14:paraId="5ED208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82" w:type="dxa"/>
            <w:tcBorders>
              <w:left w:val="single" w:color="000000" w:sz="10" w:space="0"/>
            </w:tcBorders>
            <w:vAlign w:val="top"/>
          </w:tcPr>
          <w:p w14:paraId="1363FC80">
            <w:pPr>
              <w:spacing w:before="107" w:line="188" w:lineRule="auto"/>
              <w:ind w:left="24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31</w:t>
            </w:r>
          </w:p>
        </w:tc>
        <w:tc>
          <w:tcPr>
            <w:tcW w:w="2917" w:type="dxa"/>
            <w:vAlign w:val="top"/>
          </w:tcPr>
          <w:p w14:paraId="5DE6A221">
            <w:pPr>
              <w:pStyle w:val="6"/>
              <w:spacing w:before="76" w:line="217" w:lineRule="auto"/>
              <w:ind w:left="1295"/>
              <w:rPr>
                <w:sz w:val="18"/>
                <w:szCs w:val="18"/>
              </w:rPr>
            </w:pPr>
            <w:r>
              <w:rPr>
                <w:spacing w:val="-13"/>
                <w:sz w:val="18"/>
                <w:szCs w:val="18"/>
              </w:rPr>
              <w:t>乙苯</w:t>
            </w:r>
          </w:p>
        </w:tc>
        <w:tc>
          <w:tcPr>
            <w:tcW w:w="1616" w:type="dxa"/>
            <w:vAlign w:val="top"/>
          </w:tcPr>
          <w:p w14:paraId="56BEF8B0">
            <w:pPr>
              <w:spacing w:before="110" w:line="185" w:lineRule="auto"/>
              <w:ind w:left="6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1586" w:type="dxa"/>
            <w:vAlign w:val="top"/>
          </w:tcPr>
          <w:p w14:paraId="12B93EF2">
            <w:pPr>
              <w:spacing w:before="110" w:line="185" w:lineRule="auto"/>
              <w:ind w:left="66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2132" w:type="dxa"/>
            <w:tcBorders>
              <w:right w:val="single" w:color="000000" w:sz="10" w:space="0"/>
            </w:tcBorders>
            <w:vAlign w:val="top"/>
          </w:tcPr>
          <w:p w14:paraId="0D5CDA16">
            <w:pPr>
              <w:spacing w:before="107" w:line="188" w:lineRule="auto"/>
              <w:ind w:left="97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28</w:t>
            </w:r>
          </w:p>
        </w:tc>
      </w:tr>
      <w:tr w14:paraId="348113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682" w:type="dxa"/>
            <w:tcBorders>
              <w:left w:val="single" w:color="000000" w:sz="10" w:space="0"/>
            </w:tcBorders>
            <w:vAlign w:val="top"/>
          </w:tcPr>
          <w:p w14:paraId="5AD5E4BF">
            <w:pPr>
              <w:spacing w:before="108" w:line="188" w:lineRule="auto"/>
              <w:ind w:left="24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32</w:t>
            </w:r>
          </w:p>
        </w:tc>
        <w:tc>
          <w:tcPr>
            <w:tcW w:w="2917" w:type="dxa"/>
            <w:vAlign w:val="top"/>
          </w:tcPr>
          <w:p w14:paraId="537E150E">
            <w:pPr>
              <w:pStyle w:val="6"/>
              <w:spacing w:before="77" w:line="217" w:lineRule="auto"/>
              <w:ind w:left="1193"/>
              <w:rPr>
                <w:sz w:val="18"/>
                <w:szCs w:val="18"/>
              </w:rPr>
            </w:pPr>
            <w:r>
              <w:rPr>
                <w:spacing w:val="-5"/>
                <w:sz w:val="18"/>
                <w:szCs w:val="18"/>
              </w:rPr>
              <w:t>苯乙烯</w:t>
            </w:r>
          </w:p>
        </w:tc>
        <w:tc>
          <w:tcPr>
            <w:tcW w:w="1616" w:type="dxa"/>
            <w:vAlign w:val="top"/>
          </w:tcPr>
          <w:p w14:paraId="10828A15">
            <w:pPr>
              <w:spacing w:before="111" w:line="185" w:lineRule="auto"/>
              <w:ind w:left="6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1586" w:type="dxa"/>
            <w:vAlign w:val="top"/>
          </w:tcPr>
          <w:p w14:paraId="2C6C701C">
            <w:pPr>
              <w:spacing w:before="111" w:line="185" w:lineRule="auto"/>
              <w:ind w:left="66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2132" w:type="dxa"/>
            <w:tcBorders>
              <w:right w:val="single" w:color="000000" w:sz="10" w:space="0"/>
            </w:tcBorders>
            <w:vAlign w:val="top"/>
          </w:tcPr>
          <w:p w14:paraId="1389AC07">
            <w:pPr>
              <w:spacing w:before="108" w:line="188" w:lineRule="auto"/>
              <w:ind w:left="901"/>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1290</w:t>
            </w:r>
          </w:p>
        </w:tc>
      </w:tr>
      <w:tr w14:paraId="63569A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682" w:type="dxa"/>
            <w:tcBorders>
              <w:left w:val="single" w:color="000000" w:sz="10" w:space="0"/>
            </w:tcBorders>
            <w:vAlign w:val="top"/>
          </w:tcPr>
          <w:p w14:paraId="77E47701">
            <w:pPr>
              <w:spacing w:before="110" w:line="188" w:lineRule="auto"/>
              <w:ind w:left="24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33</w:t>
            </w:r>
          </w:p>
        </w:tc>
        <w:tc>
          <w:tcPr>
            <w:tcW w:w="2917" w:type="dxa"/>
            <w:vAlign w:val="top"/>
          </w:tcPr>
          <w:p w14:paraId="582B032D">
            <w:pPr>
              <w:pStyle w:val="6"/>
              <w:spacing w:before="79" w:line="217" w:lineRule="auto"/>
              <w:ind w:left="1306"/>
              <w:rPr>
                <w:sz w:val="18"/>
                <w:szCs w:val="18"/>
              </w:rPr>
            </w:pPr>
            <w:r>
              <w:rPr>
                <w:spacing w:val="-18"/>
                <w:sz w:val="18"/>
                <w:szCs w:val="18"/>
              </w:rPr>
              <w:t>甲苯</w:t>
            </w:r>
          </w:p>
        </w:tc>
        <w:tc>
          <w:tcPr>
            <w:tcW w:w="1616" w:type="dxa"/>
            <w:vAlign w:val="top"/>
          </w:tcPr>
          <w:p w14:paraId="5A2E543E">
            <w:pPr>
              <w:spacing w:before="112" w:line="185" w:lineRule="auto"/>
              <w:ind w:left="6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1586" w:type="dxa"/>
            <w:vAlign w:val="top"/>
          </w:tcPr>
          <w:p w14:paraId="1BB9DE57">
            <w:pPr>
              <w:spacing w:before="112" w:line="185" w:lineRule="auto"/>
              <w:ind w:left="66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2132" w:type="dxa"/>
            <w:tcBorders>
              <w:right w:val="single" w:color="000000" w:sz="10" w:space="0"/>
            </w:tcBorders>
            <w:vAlign w:val="top"/>
          </w:tcPr>
          <w:p w14:paraId="4E544331">
            <w:pPr>
              <w:spacing w:before="110" w:line="188" w:lineRule="auto"/>
              <w:ind w:left="901"/>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1200</w:t>
            </w:r>
          </w:p>
        </w:tc>
      </w:tr>
      <w:tr w14:paraId="14998B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682" w:type="dxa"/>
            <w:tcBorders>
              <w:left w:val="single" w:color="000000" w:sz="10" w:space="0"/>
            </w:tcBorders>
            <w:vAlign w:val="top"/>
          </w:tcPr>
          <w:p w14:paraId="2250ACB7">
            <w:pPr>
              <w:spacing w:before="111" w:line="188" w:lineRule="auto"/>
              <w:ind w:left="24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34</w:t>
            </w:r>
          </w:p>
        </w:tc>
        <w:tc>
          <w:tcPr>
            <w:tcW w:w="2917" w:type="dxa"/>
            <w:vAlign w:val="top"/>
          </w:tcPr>
          <w:p w14:paraId="1F0AC6BA">
            <w:pPr>
              <w:pStyle w:val="6"/>
              <w:spacing w:before="80" w:line="217" w:lineRule="auto"/>
              <w:ind w:left="706"/>
              <w:rPr>
                <w:sz w:val="18"/>
                <w:szCs w:val="18"/>
              </w:rPr>
            </w:pPr>
            <w:r>
              <w:rPr>
                <w:spacing w:val="-4"/>
                <w:sz w:val="18"/>
                <w:szCs w:val="18"/>
              </w:rPr>
              <w:t>间二甲苯</w:t>
            </w:r>
            <w:r>
              <w:rPr>
                <w:rFonts w:ascii="Times New Roman" w:hAnsi="Times New Roman" w:eastAsia="Times New Roman" w:cs="Times New Roman"/>
                <w:spacing w:val="-4"/>
                <w:sz w:val="18"/>
                <w:szCs w:val="18"/>
              </w:rPr>
              <w:t>+</w:t>
            </w:r>
            <w:r>
              <w:rPr>
                <w:spacing w:val="-4"/>
                <w:sz w:val="18"/>
                <w:szCs w:val="18"/>
              </w:rPr>
              <w:t>对二甲苯</w:t>
            </w:r>
          </w:p>
        </w:tc>
        <w:tc>
          <w:tcPr>
            <w:tcW w:w="1616" w:type="dxa"/>
            <w:vAlign w:val="top"/>
          </w:tcPr>
          <w:p w14:paraId="266C4893">
            <w:pPr>
              <w:spacing w:before="114" w:line="185" w:lineRule="auto"/>
              <w:ind w:left="6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1586" w:type="dxa"/>
            <w:vAlign w:val="top"/>
          </w:tcPr>
          <w:p w14:paraId="5AD4F451">
            <w:pPr>
              <w:spacing w:before="114" w:line="185" w:lineRule="auto"/>
              <w:ind w:left="66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2132" w:type="dxa"/>
            <w:tcBorders>
              <w:right w:val="single" w:color="000000" w:sz="10" w:space="0"/>
            </w:tcBorders>
            <w:vAlign w:val="top"/>
          </w:tcPr>
          <w:p w14:paraId="2311D695">
            <w:pPr>
              <w:spacing w:before="111" w:line="188" w:lineRule="auto"/>
              <w:ind w:left="93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570</w:t>
            </w:r>
          </w:p>
        </w:tc>
      </w:tr>
      <w:tr w14:paraId="7219C5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82" w:type="dxa"/>
            <w:tcBorders>
              <w:left w:val="single" w:color="000000" w:sz="10" w:space="0"/>
            </w:tcBorders>
            <w:vAlign w:val="top"/>
          </w:tcPr>
          <w:p w14:paraId="3F93C1F7">
            <w:pPr>
              <w:spacing w:before="113" w:line="188" w:lineRule="auto"/>
              <w:ind w:left="24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35</w:t>
            </w:r>
          </w:p>
        </w:tc>
        <w:tc>
          <w:tcPr>
            <w:tcW w:w="2917" w:type="dxa"/>
            <w:vAlign w:val="top"/>
          </w:tcPr>
          <w:p w14:paraId="619FF7D4">
            <w:pPr>
              <w:pStyle w:val="6"/>
              <w:spacing w:before="82" w:line="217" w:lineRule="auto"/>
              <w:ind w:left="1102"/>
              <w:rPr>
                <w:sz w:val="18"/>
                <w:szCs w:val="18"/>
              </w:rPr>
            </w:pPr>
            <w:r>
              <w:rPr>
                <w:spacing w:val="-3"/>
                <w:sz w:val="18"/>
                <w:szCs w:val="18"/>
              </w:rPr>
              <w:t>邻二甲苯</w:t>
            </w:r>
          </w:p>
        </w:tc>
        <w:tc>
          <w:tcPr>
            <w:tcW w:w="1616" w:type="dxa"/>
            <w:vAlign w:val="top"/>
          </w:tcPr>
          <w:p w14:paraId="25C0FCFC">
            <w:pPr>
              <w:spacing w:before="115" w:line="185" w:lineRule="auto"/>
              <w:ind w:left="6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1586" w:type="dxa"/>
            <w:vAlign w:val="top"/>
          </w:tcPr>
          <w:p w14:paraId="75BDA5A5">
            <w:pPr>
              <w:spacing w:before="115" w:line="185" w:lineRule="auto"/>
              <w:ind w:left="66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2132" w:type="dxa"/>
            <w:tcBorders>
              <w:right w:val="single" w:color="000000" w:sz="10" w:space="0"/>
            </w:tcBorders>
            <w:vAlign w:val="top"/>
          </w:tcPr>
          <w:p w14:paraId="39F1EF0D">
            <w:pPr>
              <w:spacing w:before="113" w:line="188" w:lineRule="auto"/>
              <w:ind w:left="93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640</w:t>
            </w:r>
          </w:p>
        </w:tc>
      </w:tr>
      <w:tr w14:paraId="108559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682" w:type="dxa"/>
            <w:tcBorders>
              <w:left w:val="single" w:color="000000" w:sz="10" w:space="0"/>
            </w:tcBorders>
            <w:vAlign w:val="top"/>
          </w:tcPr>
          <w:p w14:paraId="78EE12EF">
            <w:pPr>
              <w:spacing w:before="111" w:line="188" w:lineRule="auto"/>
              <w:ind w:left="24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36</w:t>
            </w:r>
          </w:p>
        </w:tc>
        <w:tc>
          <w:tcPr>
            <w:tcW w:w="2917" w:type="dxa"/>
            <w:vAlign w:val="top"/>
          </w:tcPr>
          <w:p w14:paraId="2CBEF4D6">
            <w:pPr>
              <w:pStyle w:val="6"/>
              <w:spacing w:before="80" w:line="217" w:lineRule="auto"/>
              <w:ind w:left="1191"/>
              <w:rPr>
                <w:sz w:val="18"/>
                <w:szCs w:val="18"/>
              </w:rPr>
            </w:pPr>
            <w:r>
              <w:rPr>
                <w:spacing w:val="-4"/>
                <w:sz w:val="18"/>
                <w:szCs w:val="18"/>
              </w:rPr>
              <w:t>硝基苯</w:t>
            </w:r>
          </w:p>
        </w:tc>
        <w:tc>
          <w:tcPr>
            <w:tcW w:w="1616" w:type="dxa"/>
            <w:vAlign w:val="top"/>
          </w:tcPr>
          <w:p w14:paraId="50278EC2">
            <w:pPr>
              <w:spacing w:before="114" w:line="185" w:lineRule="auto"/>
              <w:ind w:left="6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1586" w:type="dxa"/>
            <w:vAlign w:val="top"/>
          </w:tcPr>
          <w:p w14:paraId="00B65E02">
            <w:pPr>
              <w:spacing w:before="114" w:line="185" w:lineRule="auto"/>
              <w:ind w:left="66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2132" w:type="dxa"/>
            <w:tcBorders>
              <w:right w:val="single" w:color="000000" w:sz="10" w:space="0"/>
            </w:tcBorders>
            <w:vAlign w:val="top"/>
          </w:tcPr>
          <w:p w14:paraId="0717A41F">
            <w:pPr>
              <w:spacing w:before="111" w:line="188" w:lineRule="auto"/>
              <w:ind w:left="97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76</w:t>
            </w:r>
          </w:p>
        </w:tc>
      </w:tr>
      <w:tr w14:paraId="7C8835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682" w:type="dxa"/>
            <w:tcBorders>
              <w:left w:val="single" w:color="000000" w:sz="10" w:space="0"/>
            </w:tcBorders>
            <w:vAlign w:val="top"/>
          </w:tcPr>
          <w:p w14:paraId="590088EE">
            <w:pPr>
              <w:spacing w:before="113" w:line="188" w:lineRule="auto"/>
              <w:ind w:left="24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37</w:t>
            </w:r>
          </w:p>
        </w:tc>
        <w:tc>
          <w:tcPr>
            <w:tcW w:w="2917" w:type="dxa"/>
            <w:vAlign w:val="top"/>
          </w:tcPr>
          <w:p w14:paraId="48C68319">
            <w:pPr>
              <w:pStyle w:val="6"/>
              <w:spacing w:before="82" w:line="217" w:lineRule="auto"/>
              <w:ind w:left="1284"/>
              <w:rPr>
                <w:sz w:val="18"/>
                <w:szCs w:val="18"/>
              </w:rPr>
            </w:pPr>
            <w:r>
              <w:rPr>
                <w:spacing w:val="-8"/>
                <w:sz w:val="18"/>
                <w:szCs w:val="18"/>
              </w:rPr>
              <w:t>苯胺</w:t>
            </w:r>
          </w:p>
        </w:tc>
        <w:tc>
          <w:tcPr>
            <w:tcW w:w="1616" w:type="dxa"/>
            <w:vAlign w:val="top"/>
          </w:tcPr>
          <w:p w14:paraId="746E8B29">
            <w:pPr>
              <w:spacing w:before="116" w:line="185" w:lineRule="auto"/>
              <w:ind w:left="6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1586" w:type="dxa"/>
            <w:vAlign w:val="top"/>
          </w:tcPr>
          <w:p w14:paraId="5B687545">
            <w:pPr>
              <w:spacing w:before="116" w:line="185" w:lineRule="auto"/>
              <w:ind w:left="66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2132" w:type="dxa"/>
            <w:tcBorders>
              <w:right w:val="single" w:color="000000" w:sz="10" w:space="0"/>
            </w:tcBorders>
            <w:vAlign w:val="top"/>
          </w:tcPr>
          <w:p w14:paraId="41CA871B">
            <w:pPr>
              <w:spacing w:before="113" w:line="188" w:lineRule="auto"/>
              <w:ind w:left="9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260</w:t>
            </w:r>
          </w:p>
        </w:tc>
      </w:tr>
      <w:tr w14:paraId="7310EC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682" w:type="dxa"/>
            <w:tcBorders>
              <w:left w:val="single" w:color="000000" w:sz="10" w:space="0"/>
            </w:tcBorders>
            <w:vAlign w:val="top"/>
          </w:tcPr>
          <w:p w14:paraId="289C656E">
            <w:pPr>
              <w:spacing w:before="115" w:line="188" w:lineRule="auto"/>
              <w:ind w:left="24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38</w:t>
            </w:r>
          </w:p>
        </w:tc>
        <w:tc>
          <w:tcPr>
            <w:tcW w:w="2917" w:type="dxa"/>
            <w:vAlign w:val="top"/>
          </w:tcPr>
          <w:p w14:paraId="533C4D3C">
            <w:pPr>
              <w:pStyle w:val="6"/>
              <w:spacing w:before="84" w:line="222" w:lineRule="auto"/>
              <w:ind w:left="1197"/>
              <w:rPr>
                <w:sz w:val="18"/>
                <w:szCs w:val="18"/>
              </w:rPr>
            </w:pPr>
            <w:r>
              <w:rPr>
                <w:rFonts w:ascii="Times New Roman" w:hAnsi="Times New Roman" w:eastAsia="Times New Roman" w:cs="Times New Roman"/>
                <w:spacing w:val="-2"/>
                <w:sz w:val="18"/>
                <w:szCs w:val="18"/>
              </w:rPr>
              <w:t>2-</w:t>
            </w:r>
            <w:r>
              <w:rPr>
                <w:spacing w:val="-2"/>
                <w:sz w:val="18"/>
                <w:szCs w:val="18"/>
              </w:rPr>
              <w:t>氯酚</w:t>
            </w:r>
          </w:p>
        </w:tc>
        <w:tc>
          <w:tcPr>
            <w:tcW w:w="1616" w:type="dxa"/>
            <w:vAlign w:val="top"/>
          </w:tcPr>
          <w:p w14:paraId="03E156FF">
            <w:pPr>
              <w:spacing w:before="117" w:line="185" w:lineRule="auto"/>
              <w:ind w:left="6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1586" w:type="dxa"/>
            <w:vAlign w:val="top"/>
          </w:tcPr>
          <w:p w14:paraId="79975876">
            <w:pPr>
              <w:spacing w:before="117" w:line="185" w:lineRule="auto"/>
              <w:ind w:left="66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2132" w:type="dxa"/>
            <w:tcBorders>
              <w:right w:val="single" w:color="000000" w:sz="10" w:space="0"/>
            </w:tcBorders>
            <w:vAlign w:val="top"/>
          </w:tcPr>
          <w:p w14:paraId="6E2E3074">
            <w:pPr>
              <w:spacing w:before="115" w:line="188" w:lineRule="auto"/>
              <w:ind w:left="88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2256</w:t>
            </w:r>
          </w:p>
        </w:tc>
      </w:tr>
      <w:tr w14:paraId="3D6C12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682" w:type="dxa"/>
            <w:tcBorders>
              <w:left w:val="single" w:color="000000" w:sz="10" w:space="0"/>
            </w:tcBorders>
            <w:vAlign w:val="top"/>
          </w:tcPr>
          <w:p w14:paraId="5250EE6A">
            <w:pPr>
              <w:spacing w:before="116" w:line="188" w:lineRule="auto"/>
              <w:ind w:left="24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39</w:t>
            </w:r>
          </w:p>
        </w:tc>
        <w:tc>
          <w:tcPr>
            <w:tcW w:w="2917" w:type="dxa"/>
            <w:vAlign w:val="top"/>
          </w:tcPr>
          <w:p w14:paraId="17ADF3B9">
            <w:pPr>
              <w:pStyle w:val="6"/>
              <w:spacing w:before="85" w:line="210" w:lineRule="auto"/>
              <w:ind w:left="1092"/>
              <w:rPr>
                <w:sz w:val="18"/>
                <w:szCs w:val="18"/>
              </w:rPr>
            </w:pPr>
            <w:r>
              <w:rPr>
                <w:spacing w:val="-3"/>
                <w:sz w:val="18"/>
                <w:szCs w:val="18"/>
              </w:rPr>
              <w:t>苯并</w:t>
            </w:r>
            <w:r>
              <w:rPr>
                <w:rFonts w:ascii="Times New Roman" w:hAnsi="Times New Roman" w:eastAsia="Times New Roman" w:cs="Times New Roman"/>
                <w:spacing w:val="-3"/>
                <w:sz w:val="18"/>
                <w:szCs w:val="18"/>
              </w:rPr>
              <w:t>[a]</w:t>
            </w:r>
            <w:r>
              <w:rPr>
                <w:spacing w:val="-3"/>
                <w:sz w:val="18"/>
                <w:szCs w:val="18"/>
              </w:rPr>
              <w:t>蒽</w:t>
            </w:r>
          </w:p>
        </w:tc>
        <w:tc>
          <w:tcPr>
            <w:tcW w:w="1616" w:type="dxa"/>
            <w:vAlign w:val="top"/>
          </w:tcPr>
          <w:p w14:paraId="57900768">
            <w:pPr>
              <w:spacing w:before="119" w:line="185" w:lineRule="auto"/>
              <w:ind w:left="6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1586" w:type="dxa"/>
            <w:vAlign w:val="top"/>
          </w:tcPr>
          <w:p w14:paraId="350DBFC3">
            <w:pPr>
              <w:spacing w:before="119" w:line="185" w:lineRule="auto"/>
              <w:ind w:left="66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2132" w:type="dxa"/>
            <w:tcBorders>
              <w:right w:val="single" w:color="000000" w:sz="10" w:space="0"/>
            </w:tcBorders>
            <w:vAlign w:val="top"/>
          </w:tcPr>
          <w:p w14:paraId="317FF6A1">
            <w:pPr>
              <w:spacing w:before="116" w:line="188" w:lineRule="auto"/>
              <w:ind w:left="992"/>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15</w:t>
            </w:r>
          </w:p>
        </w:tc>
      </w:tr>
      <w:tr w14:paraId="38E620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682" w:type="dxa"/>
            <w:tcBorders>
              <w:left w:val="single" w:color="000000" w:sz="10" w:space="0"/>
            </w:tcBorders>
            <w:vAlign w:val="top"/>
          </w:tcPr>
          <w:p w14:paraId="005BBB2E">
            <w:pPr>
              <w:spacing w:before="115" w:line="188" w:lineRule="auto"/>
              <w:ind w:left="24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w:t>
            </w:r>
          </w:p>
        </w:tc>
        <w:tc>
          <w:tcPr>
            <w:tcW w:w="2917" w:type="dxa"/>
            <w:vAlign w:val="top"/>
          </w:tcPr>
          <w:p w14:paraId="5EDFC525">
            <w:pPr>
              <w:pStyle w:val="6"/>
              <w:spacing w:before="84" w:line="212" w:lineRule="auto"/>
              <w:ind w:left="1092"/>
              <w:rPr>
                <w:sz w:val="18"/>
                <w:szCs w:val="18"/>
              </w:rPr>
            </w:pPr>
            <w:r>
              <w:rPr>
                <w:spacing w:val="-3"/>
                <w:sz w:val="18"/>
                <w:szCs w:val="18"/>
              </w:rPr>
              <w:t>苯并</w:t>
            </w:r>
            <w:r>
              <w:rPr>
                <w:rFonts w:ascii="Times New Roman" w:hAnsi="Times New Roman" w:eastAsia="Times New Roman" w:cs="Times New Roman"/>
                <w:spacing w:val="-3"/>
                <w:sz w:val="18"/>
                <w:szCs w:val="18"/>
              </w:rPr>
              <w:t>[a]</w:t>
            </w:r>
            <w:r>
              <w:rPr>
                <w:spacing w:val="-3"/>
                <w:sz w:val="18"/>
                <w:szCs w:val="18"/>
              </w:rPr>
              <w:t>芘</w:t>
            </w:r>
          </w:p>
        </w:tc>
        <w:tc>
          <w:tcPr>
            <w:tcW w:w="1616" w:type="dxa"/>
            <w:vAlign w:val="top"/>
          </w:tcPr>
          <w:p w14:paraId="17571CBB">
            <w:pPr>
              <w:spacing w:before="118" w:line="185" w:lineRule="auto"/>
              <w:ind w:left="6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1586" w:type="dxa"/>
            <w:vAlign w:val="top"/>
          </w:tcPr>
          <w:p w14:paraId="5045496F">
            <w:pPr>
              <w:spacing w:before="118" w:line="185" w:lineRule="auto"/>
              <w:ind w:left="66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2132" w:type="dxa"/>
            <w:tcBorders>
              <w:right w:val="single" w:color="000000" w:sz="10" w:space="0"/>
            </w:tcBorders>
            <w:vAlign w:val="top"/>
          </w:tcPr>
          <w:p w14:paraId="666D14CB">
            <w:pPr>
              <w:spacing w:before="115" w:line="188" w:lineRule="auto"/>
              <w:ind w:left="968"/>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1.5</w:t>
            </w:r>
          </w:p>
        </w:tc>
      </w:tr>
      <w:tr w14:paraId="27FB71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682" w:type="dxa"/>
            <w:tcBorders>
              <w:left w:val="single" w:color="000000" w:sz="10" w:space="0"/>
            </w:tcBorders>
            <w:vAlign w:val="top"/>
          </w:tcPr>
          <w:p w14:paraId="515D53C6">
            <w:pPr>
              <w:spacing w:before="117" w:line="188" w:lineRule="auto"/>
              <w:ind w:left="24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41</w:t>
            </w:r>
          </w:p>
        </w:tc>
        <w:tc>
          <w:tcPr>
            <w:tcW w:w="2917" w:type="dxa"/>
            <w:vAlign w:val="top"/>
          </w:tcPr>
          <w:p w14:paraId="49500B44">
            <w:pPr>
              <w:pStyle w:val="6"/>
              <w:spacing w:before="86" w:line="212" w:lineRule="auto"/>
              <w:ind w:left="998"/>
              <w:rPr>
                <w:sz w:val="18"/>
                <w:szCs w:val="18"/>
              </w:rPr>
            </w:pPr>
            <w:r>
              <w:rPr>
                <w:spacing w:val="-3"/>
                <w:sz w:val="18"/>
                <w:szCs w:val="18"/>
              </w:rPr>
              <w:t>苯并</w:t>
            </w:r>
            <w:r>
              <w:rPr>
                <w:rFonts w:ascii="Times New Roman" w:hAnsi="Times New Roman" w:eastAsia="Times New Roman" w:cs="Times New Roman"/>
                <w:spacing w:val="-3"/>
                <w:sz w:val="18"/>
                <w:szCs w:val="18"/>
              </w:rPr>
              <w:t>[b]</w:t>
            </w:r>
            <w:r>
              <w:rPr>
                <w:spacing w:val="-3"/>
                <w:sz w:val="18"/>
                <w:szCs w:val="18"/>
              </w:rPr>
              <w:t>荧蒽</w:t>
            </w:r>
          </w:p>
        </w:tc>
        <w:tc>
          <w:tcPr>
            <w:tcW w:w="1616" w:type="dxa"/>
            <w:vAlign w:val="top"/>
          </w:tcPr>
          <w:p w14:paraId="601008DD">
            <w:pPr>
              <w:spacing w:before="120" w:line="185" w:lineRule="auto"/>
              <w:ind w:left="6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1586" w:type="dxa"/>
            <w:vAlign w:val="top"/>
          </w:tcPr>
          <w:p w14:paraId="13F80D03">
            <w:pPr>
              <w:spacing w:before="120" w:line="185" w:lineRule="auto"/>
              <w:ind w:left="66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2132" w:type="dxa"/>
            <w:tcBorders>
              <w:right w:val="single" w:color="000000" w:sz="10" w:space="0"/>
            </w:tcBorders>
            <w:vAlign w:val="top"/>
          </w:tcPr>
          <w:p w14:paraId="7CF6E117">
            <w:pPr>
              <w:spacing w:before="117" w:line="188" w:lineRule="auto"/>
              <w:ind w:left="992"/>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15</w:t>
            </w:r>
          </w:p>
        </w:tc>
      </w:tr>
      <w:tr w14:paraId="33A053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82" w:type="dxa"/>
            <w:tcBorders>
              <w:left w:val="single" w:color="000000" w:sz="10" w:space="0"/>
            </w:tcBorders>
            <w:vAlign w:val="top"/>
          </w:tcPr>
          <w:p w14:paraId="52DE33B2">
            <w:pPr>
              <w:spacing w:before="119" w:line="188" w:lineRule="auto"/>
              <w:ind w:left="24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42</w:t>
            </w:r>
          </w:p>
        </w:tc>
        <w:tc>
          <w:tcPr>
            <w:tcW w:w="2917" w:type="dxa"/>
            <w:vAlign w:val="top"/>
          </w:tcPr>
          <w:p w14:paraId="245E64EE">
            <w:pPr>
              <w:pStyle w:val="6"/>
              <w:spacing w:before="87" w:line="212" w:lineRule="auto"/>
              <w:ind w:left="998"/>
              <w:rPr>
                <w:sz w:val="18"/>
                <w:szCs w:val="18"/>
              </w:rPr>
            </w:pPr>
            <w:r>
              <w:rPr>
                <w:spacing w:val="-3"/>
                <w:sz w:val="18"/>
                <w:szCs w:val="18"/>
              </w:rPr>
              <w:t>苯并</w:t>
            </w:r>
            <w:r>
              <w:rPr>
                <w:rFonts w:ascii="Times New Roman" w:hAnsi="Times New Roman" w:eastAsia="Times New Roman" w:cs="Times New Roman"/>
                <w:spacing w:val="-3"/>
                <w:sz w:val="18"/>
                <w:szCs w:val="18"/>
              </w:rPr>
              <w:t>[k]</w:t>
            </w:r>
            <w:r>
              <w:rPr>
                <w:spacing w:val="-3"/>
                <w:sz w:val="18"/>
                <w:szCs w:val="18"/>
              </w:rPr>
              <w:t>荧蒽</w:t>
            </w:r>
          </w:p>
        </w:tc>
        <w:tc>
          <w:tcPr>
            <w:tcW w:w="1616" w:type="dxa"/>
            <w:vAlign w:val="top"/>
          </w:tcPr>
          <w:p w14:paraId="01A302F4">
            <w:pPr>
              <w:spacing w:before="121" w:line="185" w:lineRule="auto"/>
              <w:ind w:left="6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1586" w:type="dxa"/>
            <w:vAlign w:val="top"/>
          </w:tcPr>
          <w:p w14:paraId="61D99BA0">
            <w:pPr>
              <w:spacing w:before="121" w:line="185" w:lineRule="auto"/>
              <w:ind w:left="66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2132" w:type="dxa"/>
            <w:tcBorders>
              <w:right w:val="single" w:color="000000" w:sz="10" w:space="0"/>
            </w:tcBorders>
            <w:vAlign w:val="top"/>
          </w:tcPr>
          <w:p w14:paraId="55A616B1">
            <w:pPr>
              <w:spacing w:before="119" w:line="188" w:lineRule="auto"/>
              <w:ind w:left="94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151</w:t>
            </w:r>
          </w:p>
        </w:tc>
      </w:tr>
      <w:tr w14:paraId="343A83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82" w:type="dxa"/>
            <w:tcBorders>
              <w:left w:val="single" w:color="000000" w:sz="10" w:space="0"/>
            </w:tcBorders>
            <w:vAlign w:val="top"/>
          </w:tcPr>
          <w:p w14:paraId="0F8ABD71">
            <w:pPr>
              <w:spacing w:before="118" w:line="188" w:lineRule="auto"/>
              <w:ind w:left="24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43</w:t>
            </w:r>
          </w:p>
        </w:tc>
        <w:tc>
          <w:tcPr>
            <w:tcW w:w="2917" w:type="dxa"/>
            <w:vAlign w:val="top"/>
          </w:tcPr>
          <w:p w14:paraId="75746E58">
            <w:pPr>
              <w:pStyle w:val="6"/>
              <w:spacing w:before="87" w:line="224" w:lineRule="auto"/>
              <w:ind w:left="1372"/>
              <w:rPr>
                <w:sz w:val="18"/>
                <w:szCs w:val="18"/>
              </w:rPr>
            </w:pPr>
            <w:r>
              <w:rPr>
                <w:sz w:val="18"/>
                <w:szCs w:val="18"/>
              </w:rPr>
              <w:t>䓛</w:t>
            </w:r>
          </w:p>
        </w:tc>
        <w:tc>
          <w:tcPr>
            <w:tcW w:w="1616" w:type="dxa"/>
            <w:vAlign w:val="top"/>
          </w:tcPr>
          <w:p w14:paraId="701970F1">
            <w:pPr>
              <w:spacing w:before="121" w:line="185" w:lineRule="auto"/>
              <w:ind w:left="6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1586" w:type="dxa"/>
            <w:vAlign w:val="top"/>
          </w:tcPr>
          <w:p w14:paraId="1D4F1CAD">
            <w:pPr>
              <w:spacing w:before="121" w:line="185" w:lineRule="auto"/>
              <w:ind w:left="66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2132" w:type="dxa"/>
            <w:tcBorders>
              <w:right w:val="single" w:color="000000" w:sz="10" w:space="0"/>
            </w:tcBorders>
            <w:vAlign w:val="top"/>
          </w:tcPr>
          <w:p w14:paraId="37CD306B">
            <w:pPr>
              <w:spacing w:before="118" w:line="188" w:lineRule="auto"/>
              <w:ind w:left="901"/>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1293</w:t>
            </w:r>
          </w:p>
        </w:tc>
      </w:tr>
      <w:tr w14:paraId="0DEA00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82" w:type="dxa"/>
            <w:tcBorders>
              <w:left w:val="single" w:color="000000" w:sz="10" w:space="0"/>
            </w:tcBorders>
            <w:vAlign w:val="top"/>
          </w:tcPr>
          <w:p w14:paraId="7CE7E777">
            <w:pPr>
              <w:spacing w:before="119" w:line="188" w:lineRule="auto"/>
              <w:ind w:left="24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w:t>
            </w:r>
          </w:p>
        </w:tc>
        <w:tc>
          <w:tcPr>
            <w:tcW w:w="2917" w:type="dxa"/>
            <w:vAlign w:val="top"/>
          </w:tcPr>
          <w:p w14:paraId="4C965CD4">
            <w:pPr>
              <w:pStyle w:val="6"/>
              <w:spacing w:before="90" w:line="210" w:lineRule="auto"/>
              <w:ind w:left="827"/>
              <w:rPr>
                <w:sz w:val="18"/>
                <w:szCs w:val="18"/>
              </w:rPr>
            </w:pPr>
            <w:r>
              <w:rPr>
                <w:spacing w:val="-5"/>
                <w:sz w:val="18"/>
                <w:szCs w:val="18"/>
              </w:rPr>
              <w:t>二苯并</w:t>
            </w:r>
            <w:r>
              <w:rPr>
                <w:rFonts w:ascii="Times New Roman" w:hAnsi="Times New Roman" w:eastAsia="Times New Roman" w:cs="Times New Roman"/>
                <w:spacing w:val="-5"/>
                <w:sz w:val="18"/>
                <w:szCs w:val="18"/>
              </w:rPr>
              <w:t>[a</w:t>
            </w:r>
            <w:r>
              <w:rPr>
                <w:rFonts w:ascii="Times New Roman" w:hAnsi="Times New Roman" w:eastAsia="Times New Roman" w:cs="Times New Roman"/>
                <w:spacing w:val="-15"/>
                <w:sz w:val="18"/>
                <w:szCs w:val="18"/>
              </w:rPr>
              <w:t xml:space="preserve"> </w:t>
            </w:r>
            <w:r>
              <w:rPr>
                <w:spacing w:val="-5"/>
                <w:sz w:val="18"/>
                <w:szCs w:val="18"/>
              </w:rPr>
              <w:t xml:space="preserve">， </w:t>
            </w:r>
            <w:r>
              <w:rPr>
                <w:rFonts w:ascii="Times New Roman" w:hAnsi="Times New Roman" w:eastAsia="Times New Roman" w:cs="Times New Roman"/>
                <w:spacing w:val="-5"/>
                <w:sz w:val="18"/>
                <w:szCs w:val="18"/>
              </w:rPr>
              <w:t>h]</w:t>
            </w:r>
            <w:r>
              <w:rPr>
                <w:spacing w:val="-5"/>
                <w:sz w:val="18"/>
                <w:szCs w:val="18"/>
              </w:rPr>
              <w:t>蒽</w:t>
            </w:r>
          </w:p>
        </w:tc>
        <w:tc>
          <w:tcPr>
            <w:tcW w:w="1616" w:type="dxa"/>
            <w:vAlign w:val="top"/>
          </w:tcPr>
          <w:p w14:paraId="53F6880D">
            <w:pPr>
              <w:spacing w:before="121" w:line="185" w:lineRule="auto"/>
              <w:ind w:left="6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1586" w:type="dxa"/>
            <w:vAlign w:val="top"/>
          </w:tcPr>
          <w:p w14:paraId="1DD926DD">
            <w:pPr>
              <w:spacing w:before="121" w:line="185" w:lineRule="auto"/>
              <w:ind w:left="66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2132" w:type="dxa"/>
            <w:tcBorders>
              <w:right w:val="single" w:color="000000" w:sz="10" w:space="0"/>
            </w:tcBorders>
            <w:vAlign w:val="top"/>
          </w:tcPr>
          <w:p w14:paraId="36708553">
            <w:pPr>
              <w:spacing w:before="119" w:line="188" w:lineRule="auto"/>
              <w:ind w:left="968"/>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1.5</w:t>
            </w:r>
          </w:p>
        </w:tc>
      </w:tr>
      <w:tr w14:paraId="271C53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682" w:type="dxa"/>
            <w:tcBorders>
              <w:left w:val="single" w:color="000000" w:sz="10" w:space="0"/>
            </w:tcBorders>
            <w:vAlign w:val="top"/>
          </w:tcPr>
          <w:p w14:paraId="144611B9">
            <w:pPr>
              <w:spacing w:before="119" w:line="188" w:lineRule="auto"/>
              <w:ind w:left="24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45</w:t>
            </w:r>
          </w:p>
        </w:tc>
        <w:tc>
          <w:tcPr>
            <w:tcW w:w="2917" w:type="dxa"/>
            <w:vAlign w:val="top"/>
          </w:tcPr>
          <w:p w14:paraId="4996C824">
            <w:pPr>
              <w:pStyle w:val="6"/>
              <w:spacing w:before="88" w:line="212" w:lineRule="auto"/>
              <w:ind w:left="709"/>
              <w:rPr>
                <w:sz w:val="18"/>
                <w:szCs w:val="18"/>
              </w:rPr>
            </w:pPr>
            <w:r>
              <w:rPr>
                <w:spacing w:val="-6"/>
                <w:sz w:val="18"/>
                <w:szCs w:val="18"/>
              </w:rPr>
              <w:t>茚并</w:t>
            </w:r>
            <w:r>
              <w:rPr>
                <w:rFonts w:ascii="Times New Roman" w:hAnsi="Times New Roman" w:eastAsia="Times New Roman" w:cs="Times New Roman"/>
                <w:spacing w:val="-6"/>
                <w:sz w:val="18"/>
                <w:szCs w:val="18"/>
              </w:rPr>
              <w:t>[1</w:t>
            </w:r>
            <w:r>
              <w:rPr>
                <w:rFonts w:ascii="Times New Roman" w:hAnsi="Times New Roman" w:eastAsia="Times New Roman" w:cs="Times New Roman"/>
                <w:spacing w:val="-13"/>
                <w:sz w:val="18"/>
                <w:szCs w:val="18"/>
              </w:rPr>
              <w:t xml:space="preserve"> </w:t>
            </w:r>
            <w:r>
              <w:rPr>
                <w:spacing w:val="-6"/>
                <w:sz w:val="18"/>
                <w:szCs w:val="18"/>
              </w:rPr>
              <w:t>，</w:t>
            </w:r>
            <w:r>
              <w:rPr>
                <w:rFonts w:ascii="Times New Roman" w:hAnsi="Times New Roman" w:eastAsia="Times New Roman" w:cs="Times New Roman"/>
                <w:spacing w:val="-6"/>
                <w:sz w:val="18"/>
                <w:szCs w:val="18"/>
              </w:rPr>
              <w:t>2</w:t>
            </w:r>
            <w:r>
              <w:rPr>
                <w:rFonts w:ascii="Times New Roman" w:hAnsi="Times New Roman" w:eastAsia="Times New Roman" w:cs="Times New Roman"/>
                <w:spacing w:val="-21"/>
                <w:sz w:val="18"/>
                <w:szCs w:val="18"/>
              </w:rPr>
              <w:t xml:space="preserve"> </w:t>
            </w:r>
            <w:r>
              <w:rPr>
                <w:spacing w:val="-6"/>
                <w:sz w:val="18"/>
                <w:szCs w:val="18"/>
              </w:rPr>
              <w:t>，</w:t>
            </w:r>
            <w:r>
              <w:rPr>
                <w:rFonts w:ascii="Times New Roman" w:hAnsi="Times New Roman" w:eastAsia="Times New Roman" w:cs="Times New Roman"/>
                <w:spacing w:val="-6"/>
                <w:sz w:val="18"/>
                <w:szCs w:val="18"/>
              </w:rPr>
              <w:t>3-cd]</w:t>
            </w:r>
            <w:r>
              <w:rPr>
                <w:spacing w:val="-6"/>
                <w:sz w:val="18"/>
                <w:szCs w:val="18"/>
              </w:rPr>
              <w:t>芘</w:t>
            </w:r>
          </w:p>
        </w:tc>
        <w:tc>
          <w:tcPr>
            <w:tcW w:w="1616" w:type="dxa"/>
            <w:vAlign w:val="top"/>
          </w:tcPr>
          <w:p w14:paraId="71D95B09">
            <w:pPr>
              <w:spacing w:before="122" w:line="185" w:lineRule="auto"/>
              <w:ind w:left="6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1586" w:type="dxa"/>
            <w:vAlign w:val="top"/>
          </w:tcPr>
          <w:p w14:paraId="08E567AC">
            <w:pPr>
              <w:spacing w:before="122" w:line="185" w:lineRule="auto"/>
              <w:ind w:left="66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2132" w:type="dxa"/>
            <w:tcBorders>
              <w:right w:val="single" w:color="000000" w:sz="10" w:space="0"/>
            </w:tcBorders>
            <w:vAlign w:val="top"/>
          </w:tcPr>
          <w:p w14:paraId="05DDA644">
            <w:pPr>
              <w:spacing w:before="119" w:line="188" w:lineRule="auto"/>
              <w:ind w:left="992"/>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15</w:t>
            </w:r>
          </w:p>
        </w:tc>
      </w:tr>
      <w:tr w14:paraId="04B177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82" w:type="dxa"/>
            <w:tcBorders>
              <w:left w:val="single" w:color="000000" w:sz="10" w:space="0"/>
            </w:tcBorders>
            <w:vAlign w:val="top"/>
          </w:tcPr>
          <w:p w14:paraId="5D58AE7B">
            <w:pPr>
              <w:spacing w:before="121" w:line="188" w:lineRule="auto"/>
              <w:ind w:left="24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46</w:t>
            </w:r>
          </w:p>
        </w:tc>
        <w:tc>
          <w:tcPr>
            <w:tcW w:w="2917" w:type="dxa"/>
            <w:vAlign w:val="top"/>
          </w:tcPr>
          <w:p w14:paraId="2AE114FF">
            <w:pPr>
              <w:pStyle w:val="6"/>
              <w:spacing w:before="90" w:line="221" w:lineRule="auto"/>
              <w:ind w:left="1371"/>
              <w:rPr>
                <w:sz w:val="18"/>
                <w:szCs w:val="18"/>
              </w:rPr>
            </w:pPr>
            <w:r>
              <w:rPr>
                <w:sz w:val="18"/>
                <w:szCs w:val="18"/>
              </w:rPr>
              <w:t>萘</w:t>
            </w:r>
          </w:p>
        </w:tc>
        <w:tc>
          <w:tcPr>
            <w:tcW w:w="1616" w:type="dxa"/>
            <w:vAlign w:val="top"/>
          </w:tcPr>
          <w:p w14:paraId="4A731EC4">
            <w:pPr>
              <w:spacing w:before="124" w:line="185" w:lineRule="auto"/>
              <w:ind w:left="6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1586" w:type="dxa"/>
            <w:vAlign w:val="top"/>
          </w:tcPr>
          <w:p w14:paraId="62466A31">
            <w:pPr>
              <w:spacing w:before="124" w:line="185" w:lineRule="auto"/>
              <w:ind w:left="66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2132" w:type="dxa"/>
            <w:tcBorders>
              <w:right w:val="single" w:color="000000" w:sz="10" w:space="0"/>
            </w:tcBorders>
            <w:vAlign w:val="top"/>
          </w:tcPr>
          <w:p w14:paraId="00013B97">
            <w:pPr>
              <w:spacing w:before="121" w:line="188" w:lineRule="auto"/>
              <w:ind w:left="97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70</w:t>
            </w:r>
          </w:p>
        </w:tc>
      </w:tr>
      <w:tr w14:paraId="279E30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8" w:hRule="atLeast"/>
        </w:trPr>
        <w:tc>
          <w:tcPr>
            <w:tcW w:w="3599" w:type="dxa"/>
            <w:gridSpan w:val="2"/>
            <w:tcBorders>
              <w:left w:val="single" w:color="000000" w:sz="10" w:space="0"/>
              <w:bottom w:val="single" w:color="000000" w:sz="10" w:space="0"/>
            </w:tcBorders>
            <w:vAlign w:val="top"/>
          </w:tcPr>
          <w:p w14:paraId="6B2284F0">
            <w:pPr>
              <w:pStyle w:val="6"/>
              <w:spacing w:before="167" w:line="222" w:lineRule="auto"/>
              <w:ind w:left="1442"/>
              <w:rPr>
                <w:sz w:val="18"/>
                <w:szCs w:val="18"/>
              </w:rPr>
            </w:pPr>
            <w:r>
              <w:rPr>
                <w:spacing w:val="-3"/>
                <w:sz w:val="18"/>
                <w:szCs w:val="18"/>
              </w:rPr>
              <w:t>数据来源</w:t>
            </w:r>
          </w:p>
          <w:p w14:paraId="358D9336">
            <w:pPr>
              <w:pStyle w:val="6"/>
              <w:spacing w:before="17" w:line="222" w:lineRule="auto"/>
              <w:ind w:left="819"/>
              <w:rPr>
                <w:sz w:val="18"/>
                <w:szCs w:val="18"/>
              </w:rPr>
            </w:pPr>
            <w:r>
              <w:rPr>
                <w:spacing w:val="-2"/>
                <w:sz w:val="18"/>
                <w:szCs w:val="18"/>
              </w:rPr>
              <w:t>（项目环境影响报告等）</w:t>
            </w:r>
          </w:p>
        </w:tc>
        <w:tc>
          <w:tcPr>
            <w:tcW w:w="1616" w:type="dxa"/>
            <w:tcBorders>
              <w:bottom w:val="single" w:color="000000" w:sz="10" w:space="0"/>
            </w:tcBorders>
            <w:vAlign w:val="top"/>
          </w:tcPr>
          <w:p w14:paraId="4F615466">
            <w:pPr>
              <w:pStyle w:val="6"/>
              <w:spacing w:before="51" w:line="222" w:lineRule="auto"/>
              <w:ind w:left="99"/>
              <w:rPr>
                <w:sz w:val="18"/>
                <w:szCs w:val="18"/>
              </w:rPr>
            </w:pPr>
            <w:r>
              <w:rPr>
                <w:spacing w:val="-2"/>
                <w:sz w:val="18"/>
                <w:szCs w:val="18"/>
              </w:rPr>
              <w:t>渝东南再生资源回</w:t>
            </w:r>
          </w:p>
          <w:p w14:paraId="6E27F6E2">
            <w:pPr>
              <w:pStyle w:val="6"/>
              <w:spacing w:before="17" w:line="222" w:lineRule="auto"/>
              <w:ind w:left="107"/>
              <w:rPr>
                <w:sz w:val="18"/>
                <w:szCs w:val="18"/>
              </w:rPr>
            </w:pPr>
            <w:r>
              <w:rPr>
                <w:spacing w:val="-3"/>
                <w:sz w:val="18"/>
                <w:szCs w:val="18"/>
              </w:rPr>
              <w:t>收利用基地环境影</w:t>
            </w:r>
          </w:p>
          <w:p w14:paraId="64798EED">
            <w:pPr>
              <w:pStyle w:val="6"/>
              <w:spacing w:before="16" w:line="205" w:lineRule="auto"/>
              <w:ind w:left="463"/>
              <w:rPr>
                <w:sz w:val="18"/>
                <w:szCs w:val="18"/>
              </w:rPr>
            </w:pPr>
            <w:r>
              <w:rPr>
                <w:spacing w:val="-5"/>
                <w:sz w:val="18"/>
                <w:szCs w:val="18"/>
              </w:rPr>
              <w:t>响报告表</w:t>
            </w:r>
          </w:p>
        </w:tc>
        <w:tc>
          <w:tcPr>
            <w:tcW w:w="1586" w:type="dxa"/>
            <w:tcBorders>
              <w:bottom w:val="single" w:color="000000" w:sz="10" w:space="0"/>
            </w:tcBorders>
            <w:vAlign w:val="top"/>
          </w:tcPr>
          <w:p w14:paraId="54A7AE97">
            <w:pPr>
              <w:pStyle w:val="6"/>
              <w:spacing w:before="52" w:line="223" w:lineRule="auto"/>
              <w:ind w:left="89"/>
              <w:rPr>
                <w:sz w:val="18"/>
                <w:szCs w:val="18"/>
              </w:rPr>
            </w:pPr>
            <w:r>
              <w:rPr>
                <w:spacing w:val="-2"/>
                <w:sz w:val="18"/>
                <w:szCs w:val="18"/>
              </w:rPr>
              <w:t>鸿园加油加气站建</w:t>
            </w:r>
          </w:p>
          <w:p w14:paraId="59329801">
            <w:pPr>
              <w:pStyle w:val="6"/>
              <w:spacing w:before="15" w:line="222" w:lineRule="auto"/>
              <w:ind w:left="87"/>
              <w:rPr>
                <w:sz w:val="18"/>
                <w:szCs w:val="18"/>
              </w:rPr>
            </w:pPr>
            <w:r>
              <w:rPr>
                <w:spacing w:val="-2"/>
                <w:sz w:val="18"/>
                <w:szCs w:val="18"/>
              </w:rPr>
              <w:t>设项目环境影响报</w:t>
            </w:r>
          </w:p>
          <w:p w14:paraId="46102C4C">
            <w:pPr>
              <w:pStyle w:val="6"/>
              <w:spacing w:before="16" w:line="205" w:lineRule="auto"/>
              <w:ind w:left="627"/>
              <w:rPr>
                <w:sz w:val="18"/>
                <w:szCs w:val="18"/>
              </w:rPr>
            </w:pPr>
            <w:r>
              <w:rPr>
                <w:spacing w:val="-6"/>
                <w:sz w:val="18"/>
                <w:szCs w:val="18"/>
              </w:rPr>
              <w:t>告表</w:t>
            </w:r>
          </w:p>
        </w:tc>
        <w:tc>
          <w:tcPr>
            <w:tcW w:w="2132" w:type="dxa"/>
            <w:tcBorders>
              <w:bottom w:val="single" w:color="000000" w:sz="10" w:space="0"/>
              <w:right w:val="single" w:color="000000" w:sz="10" w:space="0"/>
            </w:tcBorders>
            <w:vAlign w:val="top"/>
          </w:tcPr>
          <w:p w14:paraId="521B68D5">
            <w:pPr>
              <w:spacing w:line="259" w:lineRule="auto"/>
              <w:rPr>
                <w:rFonts w:ascii="Arial"/>
                <w:sz w:val="21"/>
              </w:rPr>
            </w:pPr>
          </w:p>
          <w:p w14:paraId="56323F43">
            <w:pPr>
              <w:spacing w:before="52" w:line="192" w:lineRule="auto"/>
              <w:ind w:left="103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bl>
    <w:p w14:paraId="7044F5B0">
      <w:pPr>
        <w:spacing w:before="268" w:line="228" w:lineRule="auto"/>
        <w:ind w:left="17"/>
        <w:outlineLvl w:val="2"/>
        <w:rPr>
          <w:rFonts w:ascii="仿宋" w:hAnsi="仿宋" w:eastAsia="仿宋" w:cs="仿宋"/>
          <w:sz w:val="25"/>
          <w:szCs w:val="25"/>
        </w:rPr>
      </w:pPr>
      <w:r>
        <w:rPr>
          <w:rFonts w:ascii="Times New Roman" w:hAnsi="Times New Roman" w:eastAsia="Times New Roman" w:cs="Times New Roman"/>
          <w:b/>
          <w:bCs/>
          <w:spacing w:val="3"/>
          <w:sz w:val="25"/>
          <w:szCs w:val="25"/>
        </w:rPr>
        <w:t>3.1.5</w:t>
      </w:r>
      <w:r>
        <w:rPr>
          <w:rFonts w:ascii="Times New Roman" w:hAnsi="Times New Roman" w:eastAsia="Times New Roman" w:cs="Times New Roman"/>
          <w:b/>
          <w:bCs/>
          <w:spacing w:val="49"/>
          <w:sz w:val="25"/>
          <w:szCs w:val="25"/>
        </w:rPr>
        <w:t xml:space="preserve"> </w:t>
      </w:r>
      <w:r>
        <w:rPr>
          <w:rFonts w:ascii="仿宋" w:hAnsi="仿宋" w:eastAsia="仿宋" w:cs="仿宋"/>
          <w:b/>
          <w:bCs/>
          <w:spacing w:val="3"/>
          <w:sz w:val="25"/>
          <w:szCs w:val="25"/>
        </w:rPr>
        <w:t>生态状况及生态功能</w:t>
      </w:r>
    </w:p>
    <w:p w14:paraId="2B578314">
      <w:pPr>
        <w:spacing w:before="269" w:line="229" w:lineRule="auto"/>
        <w:ind w:left="561"/>
        <w:rPr>
          <w:rFonts w:ascii="仿宋" w:hAnsi="仿宋" w:eastAsia="仿宋" w:cs="仿宋"/>
          <w:sz w:val="25"/>
          <w:szCs w:val="25"/>
        </w:rPr>
      </w:pPr>
      <w:r>
        <w:rPr>
          <w:rFonts w:ascii="仿宋" w:hAnsi="仿宋" w:eastAsia="仿宋" w:cs="仿宋"/>
          <w:spacing w:val="-10"/>
          <w:sz w:val="25"/>
          <w:szCs w:val="25"/>
        </w:rPr>
        <w:t>略。</w:t>
      </w:r>
    </w:p>
    <w:p w14:paraId="049C32A5">
      <w:pPr>
        <w:spacing w:before="270" w:line="229" w:lineRule="auto"/>
        <w:ind w:left="17"/>
        <w:outlineLvl w:val="2"/>
        <w:rPr>
          <w:rFonts w:ascii="仿宋" w:hAnsi="仿宋" w:eastAsia="仿宋" w:cs="仿宋"/>
          <w:sz w:val="25"/>
          <w:szCs w:val="25"/>
        </w:rPr>
      </w:pPr>
      <w:r>
        <w:rPr>
          <w:rFonts w:ascii="Times New Roman" w:hAnsi="Times New Roman" w:eastAsia="Times New Roman" w:cs="Times New Roman"/>
          <w:b/>
          <w:bCs/>
          <w:spacing w:val="3"/>
          <w:sz w:val="25"/>
          <w:szCs w:val="25"/>
        </w:rPr>
        <w:t>3.1.6</w:t>
      </w:r>
      <w:r>
        <w:rPr>
          <w:rFonts w:ascii="Times New Roman" w:hAnsi="Times New Roman" w:eastAsia="Times New Roman" w:cs="Times New Roman"/>
          <w:b/>
          <w:bCs/>
          <w:spacing w:val="27"/>
          <w:w w:val="101"/>
          <w:sz w:val="25"/>
          <w:szCs w:val="25"/>
        </w:rPr>
        <w:t xml:space="preserve"> </w:t>
      </w:r>
      <w:r>
        <w:rPr>
          <w:rFonts w:ascii="仿宋" w:hAnsi="仿宋" w:eastAsia="仿宋" w:cs="仿宋"/>
          <w:b/>
          <w:bCs/>
          <w:spacing w:val="3"/>
          <w:sz w:val="25"/>
          <w:szCs w:val="25"/>
        </w:rPr>
        <w:t>环境敏感区</w:t>
      </w:r>
    </w:p>
    <w:p w14:paraId="4C0E3CB0">
      <w:pPr>
        <w:spacing w:before="269" w:line="315" w:lineRule="auto"/>
        <w:ind w:left="30" w:right="101" w:firstLine="526"/>
        <w:rPr>
          <w:rFonts w:ascii="仿宋" w:hAnsi="仿宋" w:eastAsia="仿宋" w:cs="仿宋"/>
          <w:sz w:val="25"/>
          <w:szCs w:val="25"/>
        </w:rPr>
      </w:pPr>
      <w:r>
        <w:rPr>
          <w:rFonts w:ascii="仿宋" w:hAnsi="仿宋" w:eastAsia="仿宋" w:cs="仿宋"/>
          <w:spacing w:val="9"/>
          <w:sz w:val="25"/>
          <w:szCs w:val="25"/>
        </w:rPr>
        <w:t>黔江区境内主要环境敏感区有小南海市级自然保护区、武陵山市级自然保</w:t>
      </w:r>
      <w:r>
        <w:rPr>
          <w:rFonts w:ascii="仿宋" w:hAnsi="仿宋" w:eastAsia="仿宋" w:cs="仿宋"/>
          <w:spacing w:val="11"/>
          <w:sz w:val="25"/>
          <w:szCs w:val="25"/>
        </w:rPr>
        <w:t xml:space="preserve"> </w:t>
      </w:r>
      <w:r>
        <w:rPr>
          <w:rFonts w:ascii="仿宋" w:hAnsi="仿宋" w:eastAsia="仿宋" w:cs="仿宋"/>
          <w:spacing w:val="10"/>
          <w:sz w:val="25"/>
          <w:szCs w:val="25"/>
        </w:rPr>
        <w:t>护区、小南海湿地县级自然保护区、小南海市</w:t>
      </w:r>
      <w:r>
        <w:rPr>
          <w:rFonts w:ascii="仿宋" w:hAnsi="仿宋" w:eastAsia="仿宋" w:cs="仿宋"/>
          <w:spacing w:val="9"/>
          <w:sz w:val="25"/>
          <w:szCs w:val="25"/>
        </w:rPr>
        <w:t>级风景名胜区、黔江国家森林公</w:t>
      </w:r>
    </w:p>
    <w:p w14:paraId="3C739D47">
      <w:pPr>
        <w:spacing w:line="315" w:lineRule="auto"/>
        <w:rPr>
          <w:rFonts w:ascii="仿宋" w:hAnsi="仿宋" w:eastAsia="仿宋" w:cs="仿宋"/>
          <w:sz w:val="25"/>
          <w:szCs w:val="25"/>
        </w:rPr>
        <w:sectPr>
          <w:headerReference r:id="rId121" w:type="default"/>
          <w:footerReference r:id="rId122" w:type="default"/>
          <w:pgSz w:w="11906" w:h="16839"/>
          <w:pgMar w:top="1116" w:right="1374" w:bottom="1480" w:left="1572" w:header="683" w:footer="1318" w:gutter="0"/>
          <w:cols w:space="720" w:num="1"/>
        </w:sectPr>
      </w:pPr>
    </w:p>
    <w:p w14:paraId="7F89988A">
      <w:pPr>
        <w:pStyle w:val="2"/>
        <w:spacing w:line="386" w:lineRule="auto"/>
      </w:pPr>
    </w:p>
    <w:p w14:paraId="76234FAA">
      <w:pPr>
        <w:spacing w:before="82" w:line="339" w:lineRule="auto"/>
        <w:ind w:left="70" w:right="2" w:firstLine="25"/>
        <w:rPr>
          <w:rFonts w:ascii="仿宋" w:hAnsi="仿宋" w:eastAsia="仿宋" w:cs="仿宋"/>
          <w:sz w:val="25"/>
          <w:szCs w:val="25"/>
        </w:rPr>
      </w:pPr>
      <w:r>
        <w:rPr>
          <w:rFonts w:ascii="仿宋" w:hAnsi="仿宋" w:eastAsia="仿宋" w:cs="仿宋"/>
          <w:spacing w:val="9"/>
          <w:sz w:val="25"/>
          <w:szCs w:val="25"/>
        </w:rPr>
        <w:t>园、仰头山市级森林公园、阿蓬江国家湿地公园、小南海国家地</w:t>
      </w:r>
      <w:r>
        <w:rPr>
          <w:rFonts w:ascii="仿宋" w:hAnsi="仿宋" w:eastAsia="仿宋" w:cs="仿宋"/>
          <w:spacing w:val="8"/>
          <w:sz w:val="25"/>
          <w:szCs w:val="25"/>
        </w:rPr>
        <w:t>质公园等。各</w:t>
      </w:r>
      <w:r>
        <w:rPr>
          <w:rFonts w:ascii="仿宋" w:hAnsi="仿宋" w:eastAsia="仿宋" w:cs="仿宋"/>
          <w:sz w:val="25"/>
          <w:szCs w:val="25"/>
        </w:rPr>
        <w:t xml:space="preserve"> </w:t>
      </w:r>
      <w:r>
        <w:rPr>
          <w:rFonts w:ascii="仿宋" w:hAnsi="仿宋" w:eastAsia="仿宋" w:cs="仿宋"/>
          <w:spacing w:val="8"/>
          <w:sz w:val="25"/>
          <w:szCs w:val="25"/>
        </w:rPr>
        <w:t>环境敏感区与原《规划环评》对比，均未发生变化。</w:t>
      </w:r>
    </w:p>
    <w:p w14:paraId="00064552">
      <w:pPr>
        <w:spacing w:before="1" w:line="339" w:lineRule="auto"/>
        <w:ind w:left="69" w:right="2" w:firstLine="522"/>
        <w:rPr>
          <w:rFonts w:ascii="仿宋" w:hAnsi="仿宋" w:eastAsia="仿宋" w:cs="仿宋"/>
          <w:sz w:val="25"/>
          <w:szCs w:val="25"/>
        </w:rPr>
      </w:pPr>
      <w:r>
        <w:rPr>
          <w:rFonts w:ascii="仿宋" w:hAnsi="仿宋" w:eastAsia="仿宋" w:cs="仿宋"/>
          <w:spacing w:val="5"/>
          <w:sz w:val="25"/>
          <w:szCs w:val="25"/>
        </w:rPr>
        <w:t>本次《规划调整》</w:t>
      </w:r>
      <w:r>
        <w:rPr>
          <w:rFonts w:ascii="仿宋" w:hAnsi="仿宋" w:eastAsia="仿宋" w:cs="仿宋"/>
          <w:spacing w:val="-51"/>
          <w:sz w:val="25"/>
          <w:szCs w:val="25"/>
        </w:rPr>
        <w:t xml:space="preserve"> </w:t>
      </w:r>
      <w:r>
        <w:rPr>
          <w:rFonts w:ascii="仿宋" w:hAnsi="仿宋" w:eastAsia="仿宋" w:cs="仿宋"/>
          <w:spacing w:val="5"/>
          <w:sz w:val="25"/>
          <w:szCs w:val="25"/>
        </w:rPr>
        <w:t>中的</w:t>
      </w:r>
      <w:r>
        <w:rPr>
          <w:rFonts w:ascii="Times New Roman" w:hAnsi="Times New Roman" w:eastAsia="Times New Roman" w:cs="Times New Roman"/>
          <w:spacing w:val="5"/>
          <w:sz w:val="25"/>
          <w:szCs w:val="25"/>
        </w:rPr>
        <w:t>2</w:t>
      </w:r>
      <w:r>
        <w:rPr>
          <w:rFonts w:ascii="Times New Roman" w:hAnsi="Times New Roman" w:eastAsia="Times New Roman" w:cs="Times New Roman"/>
          <w:spacing w:val="20"/>
          <w:w w:val="101"/>
          <w:sz w:val="25"/>
          <w:szCs w:val="25"/>
        </w:rPr>
        <w:t xml:space="preserve"> </w:t>
      </w:r>
      <w:r>
        <w:rPr>
          <w:rFonts w:ascii="仿宋" w:hAnsi="仿宋" w:eastAsia="仿宋" w:cs="仿宋"/>
          <w:spacing w:val="5"/>
          <w:sz w:val="25"/>
          <w:szCs w:val="25"/>
        </w:rPr>
        <w:t>个勘查区块及调整的</w:t>
      </w:r>
      <w:r>
        <w:rPr>
          <w:rFonts w:ascii="仿宋" w:hAnsi="仿宋" w:eastAsia="仿宋" w:cs="仿宋"/>
          <w:spacing w:val="-28"/>
          <w:sz w:val="25"/>
          <w:szCs w:val="25"/>
        </w:rPr>
        <w:t xml:space="preserve"> </w:t>
      </w:r>
      <w:r>
        <w:rPr>
          <w:rFonts w:ascii="Times New Roman" w:hAnsi="Times New Roman" w:eastAsia="Times New Roman" w:cs="Times New Roman"/>
          <w:spacing w:val="5"/>
          <w:sz w:val="25"/>
          <w:szCs w:val="25"/>
        </w:rPr>
        <w:t>1</w:t>
      </w:r>
      <w:r>
        <w:rPr>
          <w:rFonts w:ascii="Times New Roman" w:hAnsi="Times New Roman" w:eastAsia="Times New Roman" w:cs="Times New Roman"/>
          <w:spacing w:val="21"/>
          <w:sz w:val="25"/>
          <w:szCs w:val="25"/>
        </w:rPr>
        <w:t xml:space="preserve"> </w:t>
      </w:r>
      <w:r>
        <w:rPr>
          <w:rFonts w:ascii="仿宋" w:hAnsi="仿宋" w:eastAsia="仿宋" w:cs="仿宋"/>
          <w:spacing w:val="5"/>
          <w:sz w:val="25"/>
          <w:szCs w:val="25"/>
        </w:rPr>
        <w:t>个勘查区块和</w:t>
      </w:r>
      <w:r>
        <w:rPr>
          <w:rFonts w:ascii="仿宋" w:hAnsi="仿宋" w:eastAsia="仿宋" w:cs="仿宋"/>
          <w:spacing w:val="-27"/>
          <w:sz w:val="25"/>
          <w:szCs w:val="25"/>
        </w:rPr>
        <w:t xml:space="preserve"> </w:t>
      </w:r>
      <w:r>
        <w:rPr>
          <w:rFonts w:ascii="Times New Roman" w:hAnsi="Times New Roman" w:eastAsia="Times New Roman" w:cs="Times New Roman"/>
          <w:spacing w:val="5"/>
          <w:sz w:val="25"/>
          <w:szCs w:val="25"/>
        </w:rPr>
        <w:t>1</w:t>
      </w:r>
      <w:r>
        <w:rPr>
          <w:rFonts w:ascii="Times New Roman" w:hAnsi="Times New Roman" w:eastAsia="Times New Roman" w:cs="Times New Roman"/>
          <w:spacing w:val="20"/>
          <w:w w:val="101"/>
          <w:sz w:val="25"/>
          <w:szCs w:val="25"/>
        </w:rPr>
        <w:t xml:space="preserve"> </w:t>
      </w:r>
      <w:r>
        <w:rPr>
          <w:rFonts w:ascii="仿宋" w:hAnsi="仿宋" w:eastAsia="仿宋" w:cs="仿宋"/>
          <w:spacing w:val="5"/>
          <w:sz w:val="25"/>
          <w:szCs w:val="25"/>
        </w:rPr>
        <w:t>个开采区</w:t>
      </w:r>
      <w:r>
        <w:rPr>
          <w:rFonts w:ascii="仿宋" w:hAnsi="仿宋" w:eastAsia="仿宋" w:cs="仿宋"/>
          <w:sz w:val="25"/>
          <w:szCs w:val="25"/>
        </w:rPr>
        <w:t xml:space="preserve"> </w:t>
      </w:r>
      <w:r>
        <w:rPr>
          <w:rFonts w:ascii="仿宋" w:hAnsi="仿宋" w:eastAsia="仿宋" w:cs="仿宋"/>
          <w:spacing w:val="8"/>
          <w:sz w:val="25"/>
          <w:szCs w:val="25"/>
        </w:rPr>
        <w:t>块不占用上述重要环境敏感区。各重要环境敏感区分布图见附图</w:t>
      </w:r>
      <w:r>
        <w:rPr>
          <w:rFonts w:ascii="仿宋" w:hAnsi="仿宋" w:eastAsia="仿宋" w:cs="仿宋"/>
          <w:spacing w:val="-44"/>
          <w:sz w:val="25"/>
          <w:szCs w:val="25"/>
        </w:rPr>
        <w:t xml:space="preserve"> </w:t>
      </w:r>
      <w:r>
        <w:rPr>
          <w:rFonts w:ascii="Times New Roman" w:hAnsi="Times New Roman" w:eastAsia="Times New Roman" w:cs="Times New Roman"/>
          <w:spacing w:val="8"/>
          <w:sz w:val="25"/>
          <w:szCs w:val="25"/>
        </w:rPr>
        <w:t>3-10</w:t>
      </w:r>
      <w:r>
        <w:rPr>
          <w:rFonts w:ascii="仿宋" w:hAnsi="仿宋" w:eastAsia="仿宋" w:cs="仿宋"/>
          <w:spacing w:val="8"/>
          <w:sz w:val="25"/>
          <w:szCs w:val="25"/>
        </w:rPr>
        <w:t>。</w:t>
      </w:r>
    </w:p>
    <w:p w14:paraId="7B2410DE">
      <w:pPr>
        <w:spacing w:before="122" w:line="228" w:lineRule="auto"/>
        <w:ind w:left="57"/>
        <w:outlineLvl w:val="2"/>
        <w:rPr>
          <w:rFonts w:ascii="仿宋" w:hAnsi="仿宋" w:eastAsia="仿宋" w:cs="仿宋"/>
          <w:sz w:val="25"/>
          <w:szCs w:val="25"/>
        </w:rPr>
      </w:pPr>
      <w:r>
        <w:rPr>
          <w:rFonts w:ascii="Times New Roman" w:hAnsi="Times New Roman" w:eastAsia="Times New Roman" w:cs="Times New Roman"/>
          <w:b/>
          <w:bCs/>
          <w:spacing w:val="4"/>
          <w:sz w:val="25"/>
          <w:szCs w:val="25"/>
        </w:rPr>
        <w:t>3.1.7</w:t>
      </w:r>
      <w:r>
        <w:rPr>
          <w:rFonts w:ascii="Times New Roman" w:hAnsi="Times New Roman" w:eastAsia="Times New Roman" w:cs="Times New Roman"/>
          <w:b/>
          <w:bCs/>
          <w:spacing w:val="57"/>
          <w:w w:val="101"/>
          <w:sz w:val="25"/>
          <w:szCs w:val="25"/>
        </w:rPr>
        <w:t xml:space="preserve"> </w:t>
      </w:r>
      <w:r>
        <w:rPr>
          <w:rFonts w:ascii="仿宋" w:hAnsi="仿宋" w:eastAsia="仿宋" w:cs="仿宋"/>
          <w:b/>
          <w:bCs/>
          <w:spacing w:val="4"/>
          <w:sz w:val="25"/>
          <w:szCs w:val="25"/>
        </w:rPr>
        <w:t>区域生态环境质量变化趋势分析</w:t>
      </w:r>
    </w:p>
    <w:p w14:paraId="33E1DCBA">
      <w:pPr>
        <w:spacing w:before="266" w:line="340" w:lineRule="auto"/>
        <w:ind w:left="69" w:firstLine="526"/>
        <w:jc w:val="both"/>
        <w:rPr>
          <w:rFonts w:ascii="仿宋" w:hAnsi="仿宋" w:eastAsia="仿宋" w:cs="仿宋"/>
          <w:sz w:val="25"/>
          <w:szCs w:val="25"/>
        </w:rPr>
      </w:pPr>
      <w:r>
        <w:rPr>
          <w:rFonts w:ascii="仿宋" w:hAnsi="仿宋" w:eastAsia="仿宋" w:cs="仿宋"/>
          <w:spacing w:val="10"/>
          <w:sz w:val="25"/>
          <w:szCs w:val="25"/>
        </w:rPr>
        <w:t>通过对黔江区</w:t>
      </w:r>
      <w:r>
        <w:rPr>
          <w:rFonts w:ascii="Times New Roman" w:hAnsi="Times New Roman" w:eastAsia="Times New Roman" w:cs="Times New Roman"/>
          <w:spacing w:val="10"/>
          <w:sz w:val="25"/>
          <w:szCs w:val="25"/>
        </w:rPr>
        <w:t>“</w:t>
      </w:r>
      <w:r>
        <w:rPr>
          <w:rFonts w:ascii="仿宋" w:hAnsi="仿宋" w:eastAsia="仿宋" w:cs="仿宋"/>
          <w:spacing w:val="10"/>
          <w:sz w:val="25"/>
          <w:szCs w:val="25"/>
        </w:rPr>
        <w:t>十四五</w:t>
      </w:r>
      <w:r>
        <w:rPr>
          <w:rFonts w:ascii="Times New Roman" w:hAnsi="Times New Roman" w:eastAsia="Times New Roman" w:cs="Times New Roman"/>
          <w:spacing w:val="10"/>
          <w:sz w:val="25"/>
          <w:szCs w:val="25"/>
        </w:rPr>
        <w:t>”</w:t>
      </w:r>
      <w:r>
        <w:rPr>
          <w:rFonts w:ascii="仿宋" w:hAnsi="仿宋" w:eastAsia="仿宋" w:cs="仿宋"/>
          <w:spacing w:val="10"/>
          <w:sz w:val="25"/>
          <w:szCs w:val="25"/>
        </w:rPr>
        <w:t>矿规实施期间的环境质量进行综合分析评价可知，</w:t>
      </w:r>
      <w:r>
        <w:rPr>
          <w:rFonts w:ascii="仿宋" w:hAnsi="仿宋" w:eastAsia="仿宋" w:cs="仿宋"/>
          <w:sz w:val="25"/>
          <w:szCs w:val="25"/>
        </w:rPr>
        <w:t xml:space="preserve"> </w:t>
      </w:r>
      <w:r>
        <w:rPr>
          <w:rFonts w:ascii="仿宋" w:hAnsi="仿宋" w:eastAsia="仿宋" w:cs="仿宋"/>
          <w:spacing w:val="8"/>
          <w:sz w:val="25"/>
          <w:szCs w:val="25"/>
        </w:rPr>
        <w:t>从</w:t>
      </w:r>
      <w:r>
        <w:rPr>
          <w:rFonts w:ascii="仿宋" w:hAnsi="仿宋" w:eastAsia="仿宋" w:cs="仿宋"/>
          <w:spacing w:val="-50"/>
          <w:sz w:val="25"/>
          <w:szCs w:val="25"/>
        </w:rPr>
        <w:t xml:space="preserve"> </w:t>
      </w:r>
      <w:r>
        <w:rPr>
          <w:rFonts w:ascii="Times New Roman" w:hAnsi="Times New Roman" w:eastAsia="Times New Roman" w:cs="Times New Roman"/>
          <w:spacing w:val="8"/>
          <w:sz w:val="25"/>
          <w:szCs w:val="25"/>
        </w:rPr>
        <w:t>2020-2024</w:t>
      </w:r>
      <w:r>
        <w:rPr>
          <w:rFonts w:ascii="Times New Roman" w:hAnsi="Times New Roman" w:eastAsia="Times New Roman" w:cs="Times New Roman"/>
          <w:spacing w:val="30"/>
          <w:sz w:val="25"/>
          <w:szCs w:val="25"/>
        </w:rPr>
        <w:t xml:space="preserve"> </w:t>
      </w:r>
      <w:r>
        <w:rPr>
          <w:rFonts w:ascii="仿宋" w:hAnsi="仿宋" w:eastAsia="仿宋" w:cs="仿宋"/>
          <w:spacing w:val="8"/>
          <w:sz w:val="25"/>
          <w:szCs w:val="25"/>
        </w:rPr>
        <w:t>年大气环境质量趋势</w:t>
      </w:r>
      <w:r>
        <w:rPr>
          <w:rFonts w:ascii="仿宋" w:hAnsi="仿宋" w:eastAsia="仿宋" w:cs="仿宋"/>
          <w:spacing w:val="7"/>
          <w:sz w:val="25"/>
          <w:szCs w:val="25"/>
        </w:rPr>
        <w:t>分析可知，</w:t>
      </w:r>
      <w:r>
        <w:rPr>
          <w:rFonts w:ascii="Times New Roman" w:hAnsi="Times New Roman" w:eastAsia="Times New Roman" w:cs="Times New Roman"/>
          <w:spacing w:val="7"/>
          <w:sz w:val="25"/>
          <w:szCs w:val="25"/>
        </w:rPr>
        <w:t>2020</w:t>
      </w:r>
      <w:r>
        <w:rPr>
          <w:rFonts w:ascii="Times New Roman" w:hAnsi="Times New Roman" w:eastAsia="Times New Roman" w:cs="Times New Roman"/>
          <w:spacing w:val="27"/>
          <w:sz w:val="25"/>
          <w:szCs w:val="25"/>
        </w:rPr>
        <w:t xml:space="preserve"> </w:t>
      </w:r>
      <w:r>
        <w:rPr>
          <w:rFonts w:ascii="仿宋" w:hAnsi="仿宋" w:eastAsia="仿宋" w:cs="仿宋"/>
          <w:spacing w:val="7"/>
          <w:sz w:val="25"/>
          <w:szCs w:val="25"/>
        </w:rPr>
        <w:t>年</w:t>
      </w:r>
      <w:r>
        <w:rPr>
          <w:rFonts w:ascii="Times New Roman" w:hAnsi="Times New Roman" w:eastAsia="Times New Roman" w:cs="Times New Roman"/>
          <w:spacing w:val="7"/>
          <w:sz w:val="25"/>
          <w:szCs w:val="25"/>
        </w:rPr>
        <w:t>-2024</w:t>
      </w:r>
      <w:r>
        <w:rPr>
          <w:rFonts w:ascii="Times New Roman" w:hAnsi="Times New Roman" w:eastAsia="Times New Roman" w:cs="Times New Roman"/>
          <w:spacing w:val="29"/>
          <w:w w:val="101"/>
          <w:sz w:val="25"/>
          <w:szCs w:val="25"/>
        </w:rPr>
        <w:t xml:space="preserve"> </w:t>
      </w:r>
      <w:r>
        <w:rPr>
          <w:rFonts w:ascii="仿宋" w:hAnsi="仿宋" w:eastAsia="仿宋" w:cs="仿宋"/>
          <w:spacing w:val="7"/>
          <w:sz w:val="25"/>
          <w:szCs w:val="25"/>
        </w:rPr>
        <w:t>年间黔江区大气污</w:t>
      </w:r>
      <w:r>
        <w:rPr>
          <w:rFonts w:ascii="仿宋" w:hAnsi="仿宋" w:eastAsia="仿宋" w:cs="仿宋"/>
          <w:sz w:val="25"/>
          <w:szCs w:val="25"/>
        </w:rPr>
        <w:t xml:space="preserve"> </w:t>
      </w:r>
      <w:r>
        <w:rPr>
          <w:rFonts w:ascii="仿宋" w:hAnsi="仿宋" w:eastAsia="仿宋" w:cs="仿宋"/>
          <w:spacing w:val="4"/>
          <w:sz w:val="25"/>
          <w:szCs w:val="25"/>
        </w:rPr>
        <w:t xml:space="preserve">染物 </w:t>
      </w:r>
      <w:r>
        <w:rPr>
          <w:rFonts w:ascii="Times New Roman" w:hAnsi="Times New Roman" w:eastAsia="Times New Roman" w:cs="Times New Roman"/>
          <w:sz w:val="25"/>
          <w:szCs w:val="25"/>
        </w:rPr>
        <w:t>PM</w:t>
      </w:r>
      <w:r>
        <w:rPr>
          <w:rFonts w:ascii="Times New Roman" w:hAnsi="Times New Roman" w:eastAsia="Times New Roman" w:cs="Times New Roman"/>
          <w:spacing w:val="4"/>
          <w:position w:val="-1"/>
          <w:sz w:val="16"/>
          <w:szCs w:val="16"/>
        </w:rPr>
        <w:t xml:space="preserve">10 </w:t>
      </w:r>
      <w:r>
        <w:rPr>
          <w:rFonts w:ascii="仿宋" w:hAnsi="仿宋" w:eastAsia="仿宋" w:cs="仿宋"/>
          <w:spacing w:val="4"/>
          <w:sz w:val="25"/>
          <w:szCs w:val="25"/>
        </w:rPr>
        <w:t>、</w:t>
      </w:r>
      <w:r>
        <w:rPr>
          <w:rFonts w:ascii="Times New Roman" w:hAnsi="Times New Roman" w:eastAsia="Times New Roman" w:cs="Times New Roman"/>
          <w:sz w:val="25"/>
          <w:szCs w:val="25"/>
        </w:rPr>
        <w:t>SO</w:t>
      </w:r>
      <w:r>
        <w:rPr>
          <w:rFonts w:ascii="Times New Roman" w:hAnsi="Times New Roman" w:eastAsia="Times New Roman" w:cs="Times New Roman"/>
          <w:spacing w:val="4"/>
          <w:position w:val="-1"/>
          <w:sz w:val="16"/>
          <w:szCs w:val="16"/>
        </w:rPr>
        <w:t xml:space="preserve">2 </w:t>
      </w:r>
      <w:r>
        <w:rPr>
          <w:rFonts w:ascii="仿宋" w:hAnsi="仿宋" w:eastAsia="仿宋" w:cs="仿宋"/>
          <w:spacing w:val="4"/>
          <w:sz w:val="25"/>
          <w:szCs w:val="25"/>
        </w:rPr>
        <w:t>、</w:t>
      </w:r>
      <w:r>
        <w:rPr>
          <w:rFonts w:ascii="Times New Roman" w:hAnsi="Times New Roman" w:eastAsia="Times New Roman" w:cs="Times New Roman"/>
          <w:sz w:val="25"/>
          <w:szCs w:val="25"/>
        </w:rPr>
        <w:t>NO</w:t>
      </w:r>
      <w:r>
        <w:rPr>
          <w:rFonts w:ascii="Times New Roman" w:hAnsi="Times New Roman" w:eastAsia="Times New Roman" w:cs="Times New Roman"/>
          <w:spacing w:val="4"/>
          <w:position w:val="-1"/>
          <w:sz w:val="16"/>
          <w:szCs w:val="16"/>
        </w:rPr>
        <w:t xml:space="preserve">2 </w:t>
      </w:r>
      <w:r>
        <w:rPr>
          <w:rFonts w:ascii="仿宋" w:hAnsi="仿宋" w:eastAsia="仿宋" w:cs="仿宋"/>
          <w:spacing w:val="4"/>
          <w:sz w:val="25"/>
          <w:szCs w:val="25"/>
        </w:rPr>
        <w:t>、</w:t>
      </w:r>
      <w:r>
        <w:rPr>
          <w:rFonts w:ascii="Times New Roman" w:hAnsi="Times New Roman" w:eastAsia="Times New Roman" w:cs="Times New Roman"/>
          <w:sz w:val="25"/>
          <w:szCs w:val="25"/>
        </w:rPr>
        <w:t>CO</w:t>
      </w:r>
      <w:r>
        <w:rPr>
          <w:rFonts w:ascii="Times New Roman" w:hAnsi="Times New Roman" w:eastAsia="Times New Roman" w:cs="Times New Roman"/>
          <w:spacing w:val="-17"/>
          <w:sz w:val="25"/>
          <w:szCs w:val="25"/>
        </w:rPr>
        <w:t xml:space="preserve"> </w:t>
      </w:r>
      <w:r>
        <w:rPr>
          <w:rFonts w:ascii="仿宋" w:hAnsi="仿宋" w:eastAsia="仿宋" w:cs="仿宋"/>
          <w:spacing w:val="4"/>
          <w:sz w:val="25"/>
          <w:szCs w:val="25"/>
        </w:rPr>
        <w:t>、</w:t>
      </w:r>
      <w:r>
        <w:rPr>
          <w:rFonts w:ascii="Times New Roman" w:hAnsi="Times New Roman" w:eastAsia="Times New Roman" w:cs="Times New Roman"/>
          <w:spacing w:val="4"/>
          <w:sz w:val="25"/>
          <w:szCs w:val="25"/>
        </w:rPr>
        <w:t>O</w:t>
      </w:r>
      <w:r>
        <w:rPr>
          <w:rFonts w:ascii="Times New Roman" w:hAnsi="Times New Roman" w:eastAsia="Times New Roman" w:cs="Times New Roman"/>
          <w:spacing w:val="4"/>
          <w:position w:val="-1"/>
          <w:sz w:val="16"/>
          <w:szCs w:val="16"/>
        </w:rPr>
        <w:t xml:space="preserve">3 </w:t>
      </w:r>
      <w:r>
        <w:rPr>
          <w:rFonts w:ascii="仿宋" w:hAnsi="仿宋" w:eastAsia="仿宋" w:cs="仿宋"/>
          <w:spacing w:val="4"/>
          <w:sz w:val="25"/>
          <w:szCs w:val="25"/>
        </w:rPr>
        <w:t>、</w:t>
      </w:r>
      <w:r>
        <w:rPr>
          <w:rFonts w:ascii="Times New Roman" w:hAnsi="Times New Roman" w:eastAsia="Times New Roman" w:cs="Times New Roman"/>
          <w:sz w:val="25"/>
          <w:szCs w:val="25"/>
        </w:rPr>
        <w:t>PM</w:t>
      </w:r>
      <w:r>
        <w:rPr>
          <w:rFonts w:ascii="Times New Roman" w:hAnsi="Times New Roman" w:eastAsia="Times New Roman" w:cs="Times New Roman"/>
          <w:spacing w:val="4"/>
          <w:position w:val="-1"/>
          <w:sz w:val="16"/>
          <w:szCs w:val="16"/>
        </w:rPr>
        <w:t>2.5</w:t>
      </w:r>
      <w:r>
        <w:rPr>
          <w:rFonts w:ascii="Times New Roman" w:hAnsi="Times New Roman" w:eastAsia="Times New Roman" w:cs="Times New Roman"/>
          <w:spacing w:val="29"/>
          <w:position w:val="-1"/>
          <w:sz w:val="16"/>
          <w:szCs w:val="16"/>
        </w:rPr>
        <w:t xml:space="preserve"> </w:t>
      </w:r>
      <w:r>
        <w:rPr>
          <w:rFonts w:ascii="仿宋" w:hAnsi="仿宋" w:eastAsia="仿宋" w:cs="仿宋"/>
          <w:spacing w:val="4"/>
          <w:sz w:val="25"/>
          <w:szCs w:val="25"/>
        </w:rPr>
        <w:t>总体比较平稳，均满足《环境空气质</w:t>
      </w:r>
      <w:r>
        <w:rPr>
          <w:rFonts w:ascii="仿宋" w:hAnsi="仿宋" w:eastAsia="仿宋" w:cs="仿宋"/>
          <w:sz w:val="25"/>
          <w:szCs w:val="25"/>
        </w:rPr>
        <w:t xml:space="preserve"> </w:t>
      </w:r>
      <w:r>
        <w:rPr>
          <w:rFonts w:ascii="仿宋" w:hAnsi="仿宋" w:eastAsia="仿宋" w:cs="仿宋"/>
          <w:spacing w:val="5"/>
          <w:sz w:val="25"/>
          <w:szCs w:val="25"/>
        </w:rPr>
        <w:t>量标准》（</w:t>
      </w:r>
      <w:r>
        <w:rPr>
          <w:rFonts w:ascii="Times New Roman" w:hAnsi="Times New Roman" w:eastAsia="Times New Roman" w:cs="Times New Roman"/>
          <w:sz w:val="25"/>
          <w:szCs w:val="25"/>
        </w:rPr>
        <w:t>GB</w:t>
      </w:r>
      <w:r>
        <w:rPr>
          <w:rFonts w:ascii="Times New Roman" w:hAnsi="Times New Roman" w:eastAsia="Times New Roman" w:cs="Times New Roman"/>
          <w:spacing w:val="5"/>
          <w:sz w:val="25"/>
          <w:szCs w:val="25"/>
        </w:rPr>
        <w:t>3095-2012</w:t>
      </w:r>
      <w:r>
        <w:rPr>
          <w:rFonts w:ascii="仿宋" w:hAnsi="仿宋" w:eastAsia="仿宋" w:cs="仿宋"/>
          <w:spacing w:val="5"/>
          <w:sz w:val="25"/>
          <w:szCs w:val="25"/>
        </w:rPr>
        <w:t>）中二级标准。</w:t>
      </w:r>
      <w:r>
        <w:rPr>
          <w:rFonts w:ascii="Times New Roman" w:hAnsi="Times New Roman" w:eastAsia="Times New Roman" w:cs="Times New Roman"/>
          <w:spacing w:val="5"/>
          <w:sz w:val="25"/>
          <w:szCs w:val="25"/>
        </w:rPr>
        <w:t>2020-2024</w:t>
      </w:r>
      <w:r>
        <w:rPr>
          <w:rFonts w:ascii="Times New Roman" w:hAnsi="Times New Roman" w:eastAsia="Times New Roman" w:cs="Times New Roman"/>
          <w:spacing w:val="40"/>
          <w:sz w:val="25"/>
          <w:szCs w:val="25"/>
        </w:rPr>
        <w:t xml:space="preserve"> </w:t>
      </w:r>
      <w:r>
        <w:rPr>
          <w:rFonts w:ascii="仿宋" w:hAnsi="仿宋" w:eastAsia="仿宋" w:cs="仿宋"/>
          <w:spacing w:val="5"/>
          <w:sz w:val="25"/>
          <w:szCs w:val="25"/>
        </w:rPr>
        <w:t>年期间，黔江区地表水水质</w:t>
      </w:r>
      <w:r>
        <w:rPr>
          <w:rFonts w:ascii="仿宋" w:hAnsi="仿宋" w:eastAsia="仿宋" w:cs="仿宋"/>
          <w:sz w:val="25"/>
          <w:szCs w:val="25"/>
        </w:rPr>
        <w:t xml:space="preserve"> </w:t>
      </w:r>
      <w:r>
        <w:rPr>
          <w:rFonts w:ascii="仿宋" w:hAnsi="仿宋" w:eastAsia="仿宋" w:cs="仿宋"/>
          <w:spacing w:val="2"/>
          <w:sz w:val="25"/>
          <w:szCs w:val="25"/>
        </w:rPr>
        <w:t>保持稳定，均满足水域功能要求。矿山影响区域地下水环境质量较好，达到《地</w:t>
      </w:r>
      <w:r>
        <w:rPr>
          <w:rFonts w:ascii="仿宋" w:hAnsi="仿宋" w:eastAsia="仿宋" w:cs="仿宋"/>
          <w:spacing w:val="6"/>
          <w:sz w:val="25"/>
          <w:szCs w:val="25"/>
        </w:rPr>
        <w:t xml:space="preserve"> </w:t>
      </w:r>
      <w:r>
        <w:rPr>
          <w:rFonts w:ascii="仿宋" w:hAnsi="仿宋" w:eastAsia="仿宋" w:cs="仿宋"/>
          <w:spacing w:val="7"/>
          <w:sz w:val="25"/>
          <w:szCs w:val="25"/>
        </w:rPr>
        <w:t>下水质量标准》（</w:t>
      </w:r>
      <w:r>
        <w:rPr>
          <w:rFonts w:ascii="Times New Roman" w:hAnsi="Times New Roman" w:eastAsia="Times New Roman" w:cs="Times New Roman"/>
          <w:sz w:val="25"/>
          <w:szCs w:val="25"/>
        </w:rPr>
        <w:t>GB</w:t>
      </w:r>
      <w:r>
        <w:rPr>
          <w:rFonts w:ascii="Times New Roman" w:hAnsi="Times New Roman" w:eastAsia="Times New Roman" w:cs="Times New Roman"/>
          <w:spacing w:val="7"/>
          <w:sz w:val="25"/>
          <w:szCs w:val="25"/>
        </w:rPr>
        <w:t>/T14848-2017</w:t>
      </w:r>
      <w:r>
        <w:rPr>
          <w:rFonts w:ascii="仿宋" w:hAnsi="仿宋" w:eastAsia="仿宋" w:cs="仿宋"/>
          <w:spacing w:val="7"/>
          <w:sz w:val="25"/>
          <w:szCs w:val="25"/>
        </w:rPr>
        <w:t>）</w:t>
      </w:r>
      <w:r>
        <w:rPr>
          <w:rFonts w:ascii="Times New Roman" w:hAnsi="Times New Roman" w:eastAsia="Times New Roman" w:cs="Times New Roman"/>
          <w:spacing w:val="7"/>
          <w:sz w:val="25"/>
          <w:szCs w:val="25"/>
        </w:rPr>
        <w:t>Ⅲ</w:t>
      </w:r>
      <w:r>
        <w:rPr>
          <w:rFonts w:ascii="仿宋" w:hAnsi="仿宋" w:eastAsia="仿宋" w:cs="仿宋"/>
          <w:spacing w:val="7"/>
          <w:sz w:val="25"/>
          <w:szCs w:val="25"/>
        </w:rPr>
        <w:t>类标准。</w:t>
      </w:r>
    </w:p>
    <w:p w14:paraId="231754A3">
      <w:pPr>
        <w:spacing w:line="340" w:lineRule="auto"/>
        <w:ind w:left="69" w:right="2" w:firstLine="521"/>
        <w:jc w:val="both"/>
        <w:rPr>
          <w:rFonts w:ascii="仿宋" w:hAnsi="仿宋" w:eastAsia="仿宋" w:cs="仿宋"/>
          <w:sz w:val="25"/>
          <w:szCs w:val="25"/>
        </w:rPr>
      </w:pPr>
      <w:r>
        <w:rPr>
          <w:rFonts w:ascii="仿宋" w:hAnsi="仿宋" w:eastAsia="仿宋" w:cs="仿宋"/>
          <w:spacing w:val="2"/>
          <w:sz w:val="25"/>
          <w:szCs w:val="25"/>
        </w:rPr>
        <w:t>矿山周边区域土壤环境质量较好，土壤各监测点</w:t>
      </w:r>
      <w:r>
        <w:rPr>
          <w:rFonts w:ascii="仿宋" w:hAnsi="仿宋" w:eastAsia="仿宋" w:cs="仿宋"/>
          <w:spacing w:val="1"/>
          <w:sz w:val="25"/>
          <w:szCs w:val="25"/>
        </w:rPr>
        <w:t>中各监测因子均未超过《土</w:t>
      </w:r>
      <w:r>
        <w:rPr>
          <w:rFonts w:ascii="仿宋" w:hAnsi="仿宋" w:eastAsia="仿宋" w:cs="仿宋"/>
          <w:sz w:val="25"/>
          <w:szCs w:val="25"/>
        </w:rPr>
        <w:t xml:space="preserve"> </w:t>
      </w:r>
      <w:r>
        <w:rPr>
          <w:rFonts w:ascii="仿宋" w:hAnsi="仿宋" w:eastAsia="仿宋" w:cs="仿宋"/>
          <w:spacing w:val="6"/>
          <w:sz w:val="25"/>
          <w:szCs w:val="25"/>
        </w:rPr>
        <w:t>壤环境质量 农用地土壤污染风险管控标准》（试行</w:t>
      </w:r>
      <w:r>
        <w:rPr>
          <w:rFonts w:ascii="仿宋" w:hAnsi="仿宋" w:eastAsia="仿宋" w:cs="仿宋"/>
          <w:spacing w:val="-39"/>
          <w:sz w:val="25"/>
          <w:szCs w:val="25"/>
        </w:rPr>
        <w:t>）（</w:t>
      </w:r>
      <w:r>
        <w:rPr>
          <w:rFonts w:ascii="Times New Roman" w:hAnsi="Times New Roman" w:eastAsia="Times New Roman" w:cs="Times New Roman"/>
          <w:sz w:val="25"/>
          <w:szCs w:val="25"/>
        </w:rPr>
        <w:t>GB</w:t>
      </w:r>
      <w:r>
        <w:rPr>
          <w:rFonts w:ascii="Times New Roman" w:hAnsi="Times New Roman" w:eastAsia="Times New Roman" w:cs="Times New Roman"/>
          <w:spacing w:val="6"/>
          <w:sz w:val="25"/>
          <w:szCs w:val="25"/>
        </w:rPr>
        <w:t>15618-2018</w:t>
      </w:r>
      <w:r>
        <w:rPr>
          <w:rFonts w:ascii="仿宋" w:hAnsi="仿宋" w:eastAsia="仿宋" w:cs="仿宋"/>
          <w:spacing w:val="6"/>
          <w:sz w:val="25"/>
          <w:szCs w:val="25"/>
        </w:rPr>
        <w:t>）和《土</w:t>
      </w:r>
      <w:r>
        <w:rPr>
          <w:rFonts w:ascii="仿宋" w:hAnsi="仿宋" w:eastAsia="仿宋" w:cs="仿宋"/>
          <w:spacing w:val="1"/>
          <w:sz w:val="25"/>
          <w:szCs w:val="25"/>
        </w:rPr>
        <w:t xml:space="preserve"> </w:t>
      </w:r>
      <w:r>
        <w:rPr>
          <w:rFonts w:ascii="仿宋" w:hAnsi="仿宋" w:eastAsia="仿宋" w:cs="仿宋"/>
          <w:spacing w:val="10"/>
          <w:sz w:val="25"/>
          <w:szCs w:val="25"/>
        </w:rPr>
        <w:t>壤环境质量 建设用地土壤污染风险管控标准（试行）》（</w:t>
      </w:r>
      <w:r>
        <w:rPr>
          <w:rFonts w:ascii="Times New Roman" w:hAnsi="Times New Roman" w:eastAsia="Times New Roman" w:cs="Times New Roman"/>
          <w:sz w:val="25"/>
          <w:szCs w:val="25"/>
        </w:rPr>
        <w:t>GB</w:t>
      </w:r>
      <w:r>
        <w:rPr>
          <w:rFonts w:ascii="Times New Roman" w:hAnsi="Times New Roman" w:eastAsia="Times New Roman" w:cs="Times New Roman"/>
          <w:spacing w:val="10"/>
          <w:sz w:val="25"/>
          <w:szCs w:val="25"/>
        </w:rPr>
        <w:t>36600-2018</w:t>
      </w:r>
      <w:r>
        <w:rPr>
          <w:rFonts w:ascii="仿宋" w:hAnsi="仿宋" w:eastAsia="仿宋" w:cs="仿宋"/>
          <w:spacing w:val="10"/>
          <w:sz w:val="25"/>
          <w:szCs w:val="25"/>
        </w:rPr>
        <w:t>）相</w:t>
      </w:r>
      <w:r>
        <w:rPr>
          <w:rFonts w:ascii="仿宋" w:hAnsi="仿宋" w:eastAsia="仿宋" w:cs="仿宋"/>
          <w:spacing w:val="15"/>
          <w:sz w:val="25"/>
          <w:szCs w:val="25"/>
        </w:rPr>
        <w:t xml:space="preserve"> </w:t>
      </w:r>
      <w:r>
        <w:rPr>
          <w:rFonts w:ascii="仿宋" w:hAnsi="仿宋" w:eastAsia="仿宋" w:cs="仿宋"/>
          <w:spacing w:val="10"/>
          <w:sz w:val="25"/>
          <w:szCs w:val="25"/>
        </w:rPr>
        <w:t>应用地筛选值。矿产资源开发活动对环境空气</w:t>
      </w:r>
      <w:r>
        <w:rPr>
          <w:rFonts w:ascii="仿宋" w:hAnsi="仿宋" w:eastAsia="仿宋" w:cs="仿宋"/>
          <w:spacing w:val="9"/>
          <w:sz w:val="25"/>
          <w:szCs w:val="25"/>
        </w:rPr>
        <w:t>质量、地表水、地下水、土壤和</w:t>
      </w:r>
      <w:r>
        <w:rPr>
          <w:rFonts w:ascii="仿宋" w:hAnsi="仿宋" w:eastAsia="仿宋" w:cs="仿宋"/>
          <w:sz w:val="25"/>
          <w:szCs w:val="25"/>
        </w:rPr>
        <w:t xml:space="preserve"> </w:t>
      </w:r>
      <w:r>
        <w:rPr>
          <w:rFonts w:ascii="仿宋" w:hAnsi="仿宋" w:eastAsia="仿宋" w:cs="仿宋"/>
          <w:spacing w:val="7"/>
          <w:sz w:val="25"/>
          <w:szCs w:val="25"/>
        </w:rPr>
        <w:t>声环境质量影响很小。</w:t>
      </w:r>
    </w:p>
    <w:p w14:paraId="6ADC810C">
      <w:pPr>
        <w:spacing w:before="11" w:line="229" w:lineRule="auto"/>
        <w:ind w:left="57"/>
        <w:outlineLvl w:val="1"/>
        <w:rPr>
          <w:rFonts w:ascii="仿宋" w:hAnsi="仿宋" w:eastAsia="仿宋" w:cs="仿宋"/>
          <w:sz w:val="25"/>
          <w:szCs w:val="25"/>
        </w:rPr>
      </w:pPr>
      <w:bookmarkStart w:id="18" w:name="bookmark16"/>
      <w:bookmarkEnd w:id="18"/>
      <w:r>
        <w:rPr>
          <w:rFonts w:ascii="Times New Roman" w:hAnsi="Times New Roman" w:eastAsia="Times New Roman" w:cs="Times New Roman"/>
          <w:b/>
          <w:bCs/>
          <w:spacing w:val="7"/>
          <w:sz w:val="25"/>
          <w:szCs w:val="25"/>
        </w:rPr>
        <w:t xml:space="preserve">3.2  </w:t>
      </w:r>
      <w:r>
        <w:rPr>
          <w:rFonts w:ascii="仿宋" w:hAnsi="仿宋" w:eastAsia="仿宋" w:cs="仿宋"/>
          <w:b/>
          <w:bCs/>
          <w:spacing w:val="7"/>
          <w:sz w:val="25"/>
          <w:szCs w:val="25"/>
        </w:rPr>
        <w:t>规划实施及实施过程中对规划环评落实情况的回顾</w:t>
      </w:r>
    </w:p>
    <w:p w14:paraId="66DE83B3">
      <w:pPr>
        <w:spacing w:before="253" w:line="340" w:lineRule="auto"/>
        <w:ind w:left="70" w:right="2" w:firstLine="519"/>
        <w:jc w:val="both"/>
        <w:rPr>
          <w:rFonts w:ascii="仿宋" w:hAnsi="仿宋" w:eastAsia="仿宋" w:cs="仿宋"/>
          <w:sz w:val="25"/>
          <w:szCs w:val="25"/>
        </w:rPr>
      </w:pPr>
      <w:r>
        <w:rPr>
          <w:rFonts w:ascii="仿宋" w:hAnsi="仿宋" w:eastAsia="仿宋" w:cs="仿宋"/>
          <w:spacing w:val="9"/>
          <w:sz w:val="25"/>
          <w:szCs w:val="25"/>
        </w:rPr>
        <w:t>《规划》实施以来，黔江区按照《规划》确定的目标任务，积极争取各类</w:t>
      </w:r>
      <w:r>
        <w:rPr>
          <w:rFonts w:ascii="仿宋" w:hAnsi="仿宋" w:eastAsia="仿宋" w:cs="仿宋"/>
          <w:spacing w:val="18"/>
          <w:sz w:val="25"/>
          <w:szCs w:val="25"/>
        </w:rPr>
        <w:t xml:space="preserve"> </w:t>
      </w:r>
      <w:r>
        <w:rPr>
          <w:rFonts w:ascii="仿宋" w:hAnsi="仿宋" w:eastAsia="仿宋" w:cs="仿宋"/>
          <w:spacing w:val="10"/>
          <w:sz w:val="25"/>
          <w:szCs w:val="25"/>
        </w:rPr>
        <w:t>项目资金，加大矿产勘查投入，矿产勘查有</w:t>
      </w:r>
      <w:r>
        <w:rPr>
          <w:rFonts w:ascii="仿宋" w:hAnsi="仿宋" w:eastAsia="仿宋" w:cs="仿宋"/>
          <w:spacing w:val="9"/>
          <w:sz w:val="25"/>
          <w:szCs w:val="25"/>
        </w:rPr>
        <w:t>序开展，部分矿种保有储量稳步增</w:t>
      </w:r>
      <w:r>
        <w:rPr>
          <w:rFonts w:ascii="仿宋" w:hAnsi="仿宋" w:eastAsia="仿宋" w:cs="仿宋"/>
          <w:sz w:val="25"/>
          <w:szCs w:val="25"/>
        </w:rPr>
        <w:t xml:space="preserve"> </w:t>
      </w:r>
      <w:r>
        <w:rPr>
          <w:rFonts w:ascii="仿宋" w:hAnsi="仿宋" w:eastAsia="仿宋" w:cs="仿宋"/>
          <w:spacing w:val="10"/>
          <w:sz w:val="25"/>
          <w:szCs w:val="25"/>
        </w:rPr>
        <w:t>长；有序设置采矿权，优化整合矿山企业，</w:t>
      </w:r>
      <w:r>
        <w:rPr>
          <w:rFonts w:ascii="仿宋" w:hAnsi="仿宋" w:eastAsia="仿宋" w:cs="仿宋"/>
          <w:spacing w:val="9"/>
          <w:sz w:val="25"/>
          <w:szCs w:val="25"/>
        </w:rPr>
        <w:t>矿产资源开发利用稳步发展，整顿</w:t>
      </w:r>
      <w:r>
        <w:rPr>
          <w:rFonts w:ascii="仿宋" w:hAnsi="仿宋" w:eastAsia="仿宋" w:cs="仿宋"/>
          <w:sz w:val="25"/>
          <w:szCs w:val="25"/>
        </w:rPr>
        <w:t xml:space="preserve"> </w:t>
      </w:r>
      <w:r>
        <w:rPr>
          <w:rFonts w:ascii="仿宋" w:hAnsi="仿宋" w:eastAsia="仿宋" w:cs="仿宋"/>
          <w:spacing w:val="10"/>
          <w:sz w:val="25"/>
          <w:szCs w:val="25"/>
        </w:rPr>
        <w:t>和规范开发秩序取得积极成效；加大了增储上产力度；矿山</w:t>
      </w:r>
      <w:r>
        <w:rPr>
          <w:rFonts w:ascii="Times New Roman" w:hAnsi="Times New Roman" w:eastAsia="Times New Roman" w:cs="Times New Roman"/>
          <w:spacing w:val="10"/>
          <w:sz w:val="25"/>
          <w:szCs w:val="25"/>
        </w:rPr>
        <w:t>“</w:t>
      </w:r>
      <w:r>
        <w:rPr>
          <w:rFonts w:ascii="仿宋" w:hAnsi="仿宋" w:eastAsia="仿宋" w:cs="仿宋"/>
          <w:spacing w:val="10"/>
          <w:sz w:val="25"/>
          <w:szCs w:val="25"/>
        </w:rPr>
        <w:t>三率</w:t>
      </w:r>
      <w:r>
        <w:rPr>
          <w:rFonts w:ascii="Times New Roman" w:hAnsi="Times New Roman" w:eastAsia="Times New Roman" w:cs="Times New Roman"/>
          <w:spacing w:val="10"/>
          <w:sz w:val="25"/>
          <w:szCs w:val="25"/>
        </w:rPr>
        <w:t>”</w:t>
      </w:r>
      <w:r>
        <w:rPr>
          <w:rFonts w:ascii="仿宋" w:hAnsi="仿宋" w:eastAsia="仿宋" w:cs="仿宋"/>
          <w:spacing w:val="10"/>
          <w:sz w:val="25"/>
          <w:szCs w:val="25"/>
        </w:rPr>
        <w:t>水平不断提</w:t>
      </w:r>
      <w:r>
        <w:rPr>
          <w:rFonts w:ascii="仿宋" w:hAnsi="仿宋" w:eastAsia="仿宋" w:cs="仿宋"/>
          <w:spacing w:val="3"/>
          <w:sz w:val="25"/>
          <w:szCs w:val="25"/>
        </w:rPr>
        <w:t xml:space="preserve"> </w:t>
      </w:r>
      <w:r>
        <w:rPr>
          <w:rFonts w:ascii="仿宋" w:hAnsi="仿宋" w:eastAsia="仿宋" w:cs="仿宋"/>
          <w:spacing w:val="10"/>
          <w:sz w:val="25"/>
          <w:szCs w:val="25"/>
        </w:rPr>
        <w:t>高；矿山地质环境恢复治理工作进展有序，</w:t>
      </w:r>
      <w:r>
        <w:rPr>
          <w:rFonts w:ascii="仿宋" w:hAnsi="仿宋" w:eastAsia="仿宋" w:cs="仿宋"/>
          <w:spacing w:val="9"/>
          <w:sz w:val="25"/>
          <w:szCs w:val="25"/>
        </w:rPr>
        <w:t>持续促进黔江区矿业经济绿色低碳</w:t>
      </w:r>
      <w:r>
        <w:rPr>
          <w:rFonts w:ascii="仿宋" w:hAnsi="仿宋" w:eastAsia="仿宋" w:cs="仿宋"/>
          <w:sz w:val="25"/>
          <w:szCs w:val="25"/>
        </w:rPr>
        <w:t xml:space="preserve"> 发展。</w:t>
      </w:r>
    </w:p>
    <w:p w14:paraId="5CCE0BC1">
      <w:pPr>
        <w:spacing w:before="118" w:line="229" w:lineRule="auto"/>
        <w:ind w:left="57"/>
        <w:outlineLvl w:val="2"/>
        <w:rPr>
          <w:rFonts w:ascii="仿宋" w:hAnsi="仿宋" w:eastAsia="仿宋" w:cs="仿宋"/>
          <w:sz w:val="25"/>
          <w:szCs w:val="25"/>
        </w:rPr>
      </w:pPr>
      <w:r>
        <w:rPr>
          <w:rFonts w:ascii="Times New Roman" w:hAnsi="Times New Roman" w:eastAsia="Times New Roman" w:cs="Times New Roman"/>
          <w:b/>
          <w:bCs/>
          <w:spacing w:val="4"/>
          <w:sz w:val="25"/>
          <w:szCs w:val="25"/>
        </w:rPr>
        <w:t>3.2.1</w:t>
      </w:r>
      <w:r>
        <w:rPr>
          <w:rFonts w:ascii="Times New Roman" w:hAnsi="Times New Roman" w:eastAsia="Times New Roman" w:cs="Times New Roman"/>
          <w:b/>
          <w:bCs/>
          <w:spacing w:val="30"/>
          <w:sz w:val="25"/>
          <w:szCs w:val="25"/>
        </w:rPr>
        <w:t xml:space="preserve"> </w:t>
      </w:r>
      <w:r>
        <w:rPr>
          <w:rFonts w:ascii="仿宋" w:hAnsi="仿宋" w:eastAsia="仿宋" w:cs="仿宋"/>
          <w:b/>
          <w:bCs/>
          <w:spacing w:val="4"/>
          <w:sz w:val="25"/>
          <w:szCs w:val="25"/>
        </w:rPr>
        <w:t>规划实施情况回顾</w:t>
      </w:r>
    </w:p>
    <w:p w14:paraId="5FFB66A5">
      <w:pPr>
        <w:spacing w:before="271" w:line="229" w:lineRule="auto"/>
        <w:outlineLvl w:val="3"/>
        <w:rPr>
          <w:rFonts w:ascii="仿宋" w:hAnsi="仿宋" w:eastAsia="仿宋" w:cs="仿宋"/>
          <w:sz w:val="25"/>
          <w:szCs w:val="25"/>
        </w:rPr>
      </w:pPr>
      <w:r>
        <w:rPr>
          <w:rFonts w:ascii="Times New Roman" w:hAnsi="Times New Roman" w:eastAsia="Times New Roman" w:cs="Times New Roman"/>
          <w:b/>
          <w:bCs/>
          <w:spacing w:val="4"/>
          <w:sz w:val="25"/>
          <w:szCs w:val="25"/>
        </w:rPr>
        <w:t>3.2.1.1</w:t>
      </w:r>
      <w:r>
        <w:rPr>
          <w:rFonts w:ascii="Times New Roman" w:hAnsi="Times New Roman" w:eastAsia="Times New Roman" w:cs="Times New Roman"/>
          <w:b/>
          <w:bCs/>
          <w:spacing w:val="29"/>
          <w:sz w:val="25"/>
          <w:szCs w:val="25"/>
        </w:rPr>
        <w:t xml:space="preserve"> </w:t>
      </w:r>
      <w:r>
        <w:rPr>
          <w:rFonts w:ascii="仿宋" w:hAnsi="仿宋" w:eastAsia="仿宋" w:cs="仿宋"/>
          <w:b/>
          <w:bCs/>
          <w:spacing w:val="4"/>
          <w:sz w:val="25"/>
          <w:szCs w:val="25"/>
        </w:rPr>
        <w:t>主要指标完成情况</w:t>
      </w:r>
    </w:p>
    <w:p w14:paraId="278B429A">
      <w:pPr>
        <w:spacing w:before="268" w:line="229" w:lineRule="auto"/>
        <w:ind w:left="555"/>
        <w:rPr>
          <w:rFonts w:ascii="仿宋" w:hAnsi="仿宋" w:eastAsia="仿宋" w:cs="仿宋"/>
          <w:sz w:val="25"/>
          <w:szCs w:val="25"/>
        </w:rPr>
      </w:pPr>
      <w:r>
        <w:rPr>
          <w:rFonts w:ascii="仿宋" w:hAnsi="仿宋" w:eastAsia="仿宋" w:cs="仿宋"/>
          <w:spacing w:val="8"/>
          <w:sz w:val="25"/>
          <w:szCs w:val="25"/>
        </w:rPr>
        <w:t>（</w:t>
      </w:r>
      <w:r>
        <w:rPr>
          <w:rFonts w:ascii="Times New Roman" w:hAnsi="Times New Roman" w:eastAsia="Times New Roman" w:cs="Times New Roman"/>
          <w:spacing w:val="8"/>
          <w:sz w:val="25"/>
          <w:szCs w:val="25"/>
        </w:rPr>
        <w:t>1</w:t>
      </w:r>
      <w:r>
        <w:rPr>
          <w:rFonts w:ascii="仿宋" w:hAnsi="仿宋" w:eastAsia="仿宋" w:cs="仿宋"/>
          <w:spacing w:val="8"/>
          <w:sz w:val="25"/>
          <w:szCs w:val="25"/>
        </w:rPr>
        <w:t>）新发现和评价重要矿产地</w:t>
      </w:r>
    </w:p>
    <w:p w14:paraId="55417AA6">
      <w:pPr>
        <w:spacing w:line="229" w:lineRule="auto"/>
        <w:rPr>
          <w:rFonts w:ascii="仿宋" w:hAnsi="仿宋" w:eastAsia="仿宋" w:cs="仿宋"/>
          <w:sz w:val="25"/>
          <w:szCs w:val="25"/>
        </w:rPr>
        <w:sectPr>
          <w:headerReference r:id="rId123" w:type="default"/>
          <w:footerReference r:id="rId124" w:type="default"/>
          <w:pgSz w:w="11906" w:h="16839"/>
          <w:pgMar w:top="1116" w:right="1473" w:bottom="1477" w:left="1532" w:header="683" w:footer="1318" w:gutter="0"/>
          <w:cols w:space="720" w:num="1"/>
        </w:sectPr>
      </w:pPr>
    </w:p>
    <w:p w14:paraId="5AF1957F">
      <w:pPr>
        <w:pStyle w:val="2"/>
        <w:spacing w:line="384" w:lineRule="auto"/>
      </w:pPr>
    </w:p>
    <w:p w14:paraId="6A4879D1">
      <w:pPr>
        <w:spacing w:before="81" w:line="340" w:lineRule="auto"/>
        <w:ind w:left="138" w:right="124" w:firstLine="521"/>
        <w:rPr>
          <w:rFonts w:ascii="仿宋" w:hAnsi="仿宋" w:eastAsia="仿宋" w:cs="仿宋"/>
          <w:sz w:val="25"/>
          <w:szCs w:val="25"/>
        </w:rPr>
      </w:pPr>
      <w:r>
        <w:rPr>
          <w:rFonts w:ascii="仿宋" w:hAnsi="仿宋" w:eastAsia="仿宋" w:cs="仿宋"/>
          <w:spacing w:val="3"/>
          <w:sz w:val="25"/>
          <w:szCs w:val="25"/>
        </w:rPr>
        <w:t>截至</w:t>
      </w:r>
      <w:r>
        <w:rPr>
          <w:rFonts w:ascii="仿宋" w:hAnsi="仿宋" w:eastAsia="仿宋" w:cs="仿宋"/>
          <w:spacing w:val="-52"/>
          <w:sz w:val="25"/>
          <w:szCs w:val="25"/>
        </w:rPr>
        <w:t xml:space="preserve"> </w:t>
      </w:r>
      <w:r>
        <w:rPr>
          <w:rFonts w:ascii="Times New Roman" w:hAnsi="Times New Roman" w:eastAsia="Times New Roman" w:cs="Times New Roman"/>
          <w:spacing w:val="3"/>
          <w:sz w:val="25"/>
          <w:szCs w:val="25"/>
        </w:rPr>
        <w:t>2024</w:t>
      </w:r>
      <w:r>
        <w:rPr>
          <w:rFonts w:ascii="Times New Roman" w:hAnsi="Times New Roman" w:eastAsia="Times New Roman" w:cs="Times New Roman"/>
          <w:spacing w:val="25"/>
          <w:sz w:val="25"/>
          <w:szCs w:val="25"/>
        </w:rPr>
        <w:t xml:space="preserve"> </w:t>
      </w:r>
      <w:r>
        <w:rPr>
          <w:rFonts w:ascii="仿宋" w:hAnsi="仿宋" w:eastAsia="仿宋" w:cs="仿宋"/>
          <w:spacing w:val="3"/>
          <w:sz w:val="25"/>
          <w:szCs w:val="25"/>
        </w:rPr>
        <w:t>年</w:t>
      </w:r>
      <w:r>
        <w:rPr>
          <w:rFonts w:ascii="仿宋" w:hAnsi="仿宋" w:eastAsia="仿宋" w:cs="仿宋"/>
          <w:spacing w:val="-27"/>
          <w:sz w:val="25"/>
          <w:szCs w:val="25"/>
        </w:rPr>
        <w:t xml:space="preserve"> </w:t>
      </w:r>
      <w:r>
        <w:rPr>
          <w:rFonts w:ascii="Times New Roman" w:hAnsi="Times New Roman" w:eastAsia="Times New Roman" w:cs="Times New Roman"/>
          <w:spacing w:val="3"/>
          <w:sz w:val="25"/>
          <w:szCs w:val="25"/>
        </w:rPr>
        <w:t>12</w:t>
      </w:r>
      <w:r>
        <w:rPr>
          <w:rFonts w:ascii="Times New Roman" w:hAnsi="Times New Roman" w:eastAsia="Times New Roman" w:cs="Times New Roman"/>
          <w:spacing w:val="31"/>
          <w:w w:val="101"/>
          <w:sz w:val="25"/>
          <w:szCs w:val="25"/>
        </w:rPr>
        <w:t xml:space="preserve"> </w:t>
      </w:r>
      <w:r>
        <w:rPr>
          <w:rFonts w:ascii="仿宋" w:hAnsi="仿宋" w:eastAsia="仿宋" w:cs="仿宋"/>
          <w:spacing w:val="3"/>
          <w:sz w:val="25"/>
          <w:szCs w:val="25"/>
        </w:rPr>
        <w:t>月，铝土矿新增资源储量</w:t>
      </w:r>
      <w:r>
        <w:rPr>
          <w:rFonts w:ascii="仿宋" w:hAnsi="仿宋" w:eastAsia="仿宋" w:cs="仿宋"/>
          <w:spacing w:val="-30"/>
          <w:sz w:val="25"/>
          <w:szCs w:val="25"/>
        </w:rPr>
        <w:t xml:space="preserve"> </w:t>
      </w:r>
      <w:r>
        <w:rPr>
          <w:rFonts w:ascii="Times New Roman" w:hAnsi="Times New Roman" w:eastAsia="Times New Roman" w:cs="Times New Roman"/>
          <w:spacing w:val="3"/>
          <w:sz w:val="25"/>
          <w:szCs w:val="25"/>
        </w:rPr>
        <w:t>1</w:t>
      </w:r>
      <w:r>
        <w:rPr>
          <w:rFonts w:ascii="Times New Roman" w:hAnsi="Times New Roman" w:eastAsia="Times New Roman" w:cs="Times New Roman"/>
          <w:spacing w:val="2"/>
          <w:sz w:val="25"/>
          <w:szCs w:val="25"/>
        </w:rPr>
        <w:t>600.4</w:t>
      </w:r>
      <w:r>
        <w:rPr>
          <w:rFonts w:ascii="Times New Roman" w:hAnsi="Times New Roman" w:eastAsia="Times New Roman" w:cs="Times New Roman"/>
          <w:spacing w:val="24"/>
          <w:sz w:val="25"/>
          <w:szCs w:val="25"/>
        </w:rPr>
        <w:t xml:space="preserve"> </w:t>
      </w:r>
      <w:r>
        <w:rPr>
          <w:rFonts w:ascii="仿宋" w:hAnsi="仿宋" w:eastAsia="仿宋" w:cs="仿宋"/>
          <w:spacing w:val="2"/>
          <w:sz w:val="25"/>
          <w:szCs w:val="25"/>
        </w:rPr>
        <w:t>万吨，完成比例</w:t>
      </w:r>
      <w:r>
        <w:rPr>
          <w:rFonts w:ascii="仿宋" w:hAnsi="仿宋" w:eastAsia="仿宋" w:cs="仿宋"/>
          <w:spacing w:val="-30"/>
          <w:sz w:val="25"/>
          <w:szCs w:val="25"/>
        </w:rPr>
        <w:t xml:space="preserve"> </w:t>
      </w:r>
      <w:r>
        <w:rPr>
          <w:rFonts w:ascii="Times New Roman" w:hAnsi="Times New Roman" w:eastAsia="Times New Roman" w:cs="Times New Roman"/>
          <w:spacing w:val="2"/>
          <w:sz w:val="25"/>
          <w:szCs w:val="25"/>
        </w:rPr>
        <w:t>174%</w:t>
      </w:r>
      <w:r>
        <w:rPr>
          <w:rFonts w:ascii="仿宋" w:hAnsi="仿宋" w:eastAsia="仿宋" w:cs="仿宋"/>
          <w:spacing w:val="2"/>
          <w:sz w:val="25"/>
          <w:szCs w:val="25"/>
        </w:rPr>
        <w:t>；</w:t>
      </w:r>
      <w:r>
        <w:rPr>
          <w:rFonts w:ascii="仿宋" w:hAnsi="仿宋" w:eastAsia="仿宋" w:cs="仿宋"/>
          <w:sz w:val="25"/>
          <w:szCs w:val="25"/>
        </w:rPr>
        <w:t xml:space="preserve"> </w:t>
      </w:r>
      <w:r>
        <w:rPr>
          <w:rFonts w:ascii="仿宋" w:hAnsi="仿宋" w:eastAsia="仿宋" w:cs="仿宋"/>
          <w:spacing w:val="5"/>
          <w:sz w:val="25"/>
          <w:szCs w:val="25"/>
        </w:rPr>
        <w:t>水泥用灰岩新增资源储</w:t>
      </w:r>
      <w:r>
        <w:rPr>
          <w:rFonts w:ascii="仿宋" w:hAnsi="仿宋" w:eastAsia="仿宋" w:cs="仿宋"/>
          <w:spacing w:val="-44"/>
          <w:sz w:val="25"/>
          <w:szCs w:val="25"/>
        </w:rPr>
        <w:t xml:space="preserve"> </w:t>
      </w:r>
      <w:r>
        <w:rPr>
          <w:rFonts w:ascii="Times New Roman" w:hAnsi="Times New Roman" w:eastAsia="Times New Roman" w:cs="Times New Roman"/>
          <w:spacing w:val="5"/>
          <w:sz w:val="25"/>
          <w:szCs w:val="25"/>
        </w:rPr>
        <w:t>6198.73</w:t>
      </w:r>
      <w:r>
        <w:rPr>
          <w:rFonts w:ascii="Times New Roman" w:hAnsi="Times New Roman" w:eastAsia="Times New Roman" w:cs="Times New Roman"/>
          <w:spacing w:val="24"/>
          <w:sz w:val="25"/>
          <w:szCs w:val="25"/>
        </w:rPr>
        <w:t xml:space="preserve"> </w:t>
      </w:r>
      <w:r>
        <w:rPr>
          <w:rFonts w:ascii="仿宋" w:hAnsi="仿宋" w:eastAsia="仿宋" w:cs="仿宋"/>
          <w:spacing w:val="5"/>
          <w:sz w:val="25"/>
          <w:szCs w:val="25"/>
        </w:rPr>
        <w:t>万吨，完成比例</w:t>
      </w:r>
      <w:r>
        <w:rPr>
          <w:rFonts w:ascii="仿宋" w:hAnsi="仿宋" w:eastAsia="仿宋" w:cs="仿宋"/>
          <w:spacing w:val="-30"/>
          <w:sz w:val="25"/>
          <w:szCs w:val="25"/>
        </w:rPr>
        <w:t xml:space="preserve"> </w:t>
      </w:r>
      <w:r>
        <w:rPr>
          <w:rFonts w:ascii="Times New Roman" w:hAnsi="Times New Roman" w:eastAsia="Times New Roman" w:cs="Times New Roman"/>
          <w:spacing w:val="5"/>
          <w:sz w:val="25"/>
          <w:szCs w:val="25"/>
        </w:rPr>
        <w:t>177.</w:t>
      </w:r>
      <w:r>
        <w:rPr>
          <w:rFonts w:ascii="Times New Roman" w:hAnsi="Times New Roman" w:eastAsia="Times New Roman" w:cs="Times New Roman"/>
          <w:spacing w:val="-32"/>
          <w:sz w:val="25"/>
          <w:szCs w:val="25"/>
        </w:rPr>
        <w:t xml:space="preserve"> </w:t>
      </w:r>
      <w:r>
        <w:rPr>
          <w:rFonts w:ascii="Times New Roman" w:hAnsi="Times New Roman" w:eastAsia="Times New Roman" w:cs="Times New Roman"/>
          <w:spacing w:val="5"/>
          <w:sz w:val="25"/>
          <w:szCs w:val="25"/>
        </w:rPr>
        <w:t>1%</w:t>
      </w:r>
      <w:r>
        <w:rPr>
          <w:rFonts w:ascii="仿宋" w:hAnsi="仿宋" w:eastAsia="仿宋" w:cs="仿宋"/>
          <w:spacing w:val="5"/>
          <w:sz w:val="25"/>
          <w:szCs w:val="25"/>
        </w:rPr>
        <w:t>；萤石、重晶石、饰面</w:t>
      </w:r>
      <w:r>
        <w:rPr>
          <w:rFonts w:ascii="仿宋" w:hAnsi="仿宋" w:eastAsia="仿宋" w:cs="仿宋"/>
          <w:sz w:val="25"/>
          <w:szCs w:val="25"/>
        </w:rPr>
        <w:t xml:space="preserve"> </w:t>
      </w:r>
      <w:r>
        <w:rPr>
          <w:rFonts w:ascii="仿宋" w:hAnsi="仿宋" w:eastAsia="仿宋" w:cs="仿宋"/>
          <w:spacing w:val="6"/>
          <w:sz w:val="25"/>
          <w:szCs w:val="25"/>
        </w:rPr>
        <w:t>用灰岩勘查暂未实施；新发现大中型矿产地</w:t>
      </w:r>
      <w:r>
        <w:rPr>
          <w:rFonts w:ascii="仿宋" w:hAnsi="仿宋" w:eastAsia="仿宋" w:cs="仿宋"/>
          <w:spacing w:val="-9"/>
          <w:sz w:val="25"/>
          <w:szCs w:val="25"/>
        </w:rPr>
        <w:t xml:space="preserve"> </w:t>
      </w:r>
      <w:r>
        <w:rPr>
          <w:rFonts w:ascii="Times New Roman" w:hAnsi="Times New Roman" w:eastAsia="Times New Roman" w:cs="Times New Roman"/>
          <w:spacing w:val="6"/>
          <w:sz w:val="25"/>
          <w:szCs w:val="25"/>
        </w:rPr>
        <w:t>1</w:t>
      </w:r>
      <w:r>
        <w:rPr>
          <w:rFonts w:ascii="Times New Roman" w:hAnsi="Times New Roman" w:eastAsia="Times New Roman" w:cs="Times New Roman"/>
          <w:spacing w:val="20"/>
          <w:w w:val="101"/>
          <w:sz w:val="25"/>
          <w:szCs w:val="25"/>
        </w:rPr>
        <w:t xml:space="preserve"> </w:t>
      </w:r>
      <w:r>
        <w:rPr>
          <w:rFonts w:ascii="仿宋" w:hAnsi="仿宋" w:eastAsia="仿宋" w:cs="仿宋"/>
          <w:spacing w:val="6"/>
          <w:sz w:val="25"/>
          <w:szCs w:val="25"/>
        </w:rPr>
        <w:t>个，完成比例</w:t>
      </w:r>
      <w:r>
        <w:rPr>
          <w:rFonts w:ascii="仿宋" w:hAnsi="仿宋" w:eastAsia="仿宋" w:cs="仿宋"/>
          <w:spacing w:val="-55"/>
          <w:sz w:val="25"/>
          <w:szCs w:val="25"/>
        </w:rPr>
        <w:t xml:space="preserve"> </w:t>
      </w:r>
      <w:r>
        <w:rPr>
          <w:rFonts w:ascii="Times New Roman" w:hAnsi="Times New Roman" w:eastAsia="Times New Roman" w:cs="Times New Roman"/>
          <w:spacing w:val="6"/>
          <w:sz w:val="25"/>
          <w:szCs w:val="25"/>
        </w:rPr>
        <w:t>25%</w:t>
      </w:r>
      <w:r>
        <w:rPr>
          <w:rFonts w:ascii="仿宋" w:hAnsi="仿宋" w:eastAsia="仿宋" w:cs="仿宋"/>
          <w:spacing w:val="6"/>
          <w:sz w:val="25"/>
          <w:szCs w:val="25"/>
        </w:rPr>
        <w:t>。</w:t>
      </w:r>
    </w:p>
    <w:p w14:paraId="4940BD08">
      <w:pPr>
        <w:spacing w:before="42" w:line="231" w:lineRule="auto"/>
        <w:ind w:left="1680"/>
        <w:rPr>
          <w:rFonts w:ascii="仿宋" w:hAnsi="仿宋" w:eastAsia="仿宋" w:cs="仿宋"/>
          <w:sz w:val="20"/>
          <w:szCs w:val="20"/>
        </w:rPr>
      </w:pPr>
      <w:r>
        <w:rPr>
          <w:rFonts w:ascii="仿宋" w:hAnsi="仿宋" w:eastAsia="仿宋" w:cs="仿宋"/>
          <w:b/>
          <w:bCs/>
          <w:spacing w:val="6"/>
          <w:sz w:val="20"/>
          <w:szCs w:val="20"/>
        </w:rPr>
        <w:t>表</w:t>
      </w:r>
      <w:r>
        <w:rPr>
          <w:rFonts w:ascii="仿宋" w:hAnsi="仿宋" w:eastAsia="仿宋" w:cs="仿宋"/>
          <w:spacing w:val="-41"/>
          <w:sz w:val="20"/>
          <w:szCs w:val="20"/>
        </w:rPr>
        <w:t xml:space="preserve"> </w:t>
      </w:r>
      <w:r>
        <w:rPr>
          <w:rFonts w:ascii="Times New Roman" w:hAnsi="Times New Roman" w:eastAsia="Times New Roman" w:cs="Times New Roman"/>
          <w:b/>
          <w:bCs/>
          <w:spacing w:val="6"/>
          <w:sz w:val="20"/>
          <w:szCs w:val="20"/>
        </w:rPr>
        <w:t xml:space="preserve">3.2-1      </w:t>
      </w:r>
      <w:r>
        <w:rPr>
          <w:rFonts w:ascii="仿宋" w:hAnsi="仿宋" w:eastAsia="仿宋" w:cs="仿宋"/>
          <w:b/>
          <w:bCs/>
          <w:spacing w:val="6"/>
          <w:sz w:val="20"/>
          <w:szCs w:val="20"/>
        </w:rPr>
        <w:t>黔江区</w:t>
      </w:r>
      <w:r>
        <w:rPr>
          <w:rFonts w:ascii="仿宋" w:hAnsi="仿宋" w:eastAsia="仿宋" w:cs="仿宋"/>
          <w:spacing w:val="6"/>
          <w:sz w:val="20"/>
          <w:szCs w:val="20"/>
        </w:rPr>
        <w:t xml:space="preserve"> </w:t>
      </w:r>
      <w:r>
        <w:rPr>
          <w:rFonts w:ascii="Times New Roman" w:hAnsi="Times New Roman" w:eastAsia="Times New Roman" w:cs="Times New Roman"/>
          <w:b/>
          <w:bCs/>
          <w:spacing w:val="6"/>
          <w:sz w:val="20"/>
          <w:szCs w:val="20"/>
        </w:rPr>
        <w:t>“</w:t>
      </w:r>
      <w:r>
        <w:rPr>
          <w:rFonts w:ascii="仿宋" w:hAnsi="仿宋" w:eastAsia="仿宋" w:cs="仿宋"/>
          <w:b/>
          <w:bCs/>
          <w:spacing w:val="6"/>
          <w:sz w:val="20"/>
          <w:szCs w:val="20"/>
        </w:rPr>
        <w:t>十四五</w:t>
      </w:r>
      <w:r>
        <w:rPr>
          <w:rFonts w:ascii="Times New Roman" w:hAnsi="Times New Roman" w:eastAsia="Times New Roman" w:cs="Times New Roman"/>
          <w:b/>
          <w:bCs/>
          <w:spacing w:val="6"/>
          <w:sz w:val="20"/>
          <w:szCs w:val="20"/>
        </w:rPr>
        <w:t>”</w:t>
      </w:r>
      <w:r>
        <w:rPr>
          <w:rFonts w:ascii="仿宋" w:hAnsi="仿宋" w:eastAsia="仿宋" w:cs="仿宋"/>
          <w:b/>
          <w:bCs/>
          <w:spacing w:val="6"/>
          <w:sz w:val="20"/>
          <w:szCs w:val="20"/>
        </w:rPr>
        <w:t>期间地质勘查指标完成进度统计表</w:t>
      </w:r>
    </w:p>
    <w:p w14:paraId="649C46B6">
      <w:pPr>
        <w:spacing w:line="21" w:lineRule="exact"/>
      </w:pPr>
    </w:p>
    <w:tbl>
      <w:tblPr>
        <w:tblStyle w:val="5"/>
        <w:tblW w:w="9064"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86"/>
        <w:gridCol w:w="1023"/>
        <w:gridCol w:w="1083"/>
        <w:gridCol w:w="1057"/>
        <w:gridCol w:w="1119"/>
        <w:gridCol w:w="1083"/>
        <w:gridCol w:w="1113"/>
      </w:tblGrid>
      <w:tr w14:paraId="741E88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2586" w:type="dxa"/>
            <w:vMerge w:val="restart"/>
            <w:tcBorders>
              <w:top w:val="single" w:color="000000" w:sz="10" w:space="0"/>
              <w:left w:val="single" w:color="000000" w:sz="10" w:space="0"/>
              <w:bottom w:val="nil"/>
            </w:tcBorders>
            <w:vAlign w:val="top"/>
          </w:tcPr>
          <w:p w14:paraId="0C091A7A">
            <w:pPr>
              <w:spacing w:line="280" w:lineRule="auto"/>
              <w:rPr>
                <w:rFonts w:ascii="Arial"/>
                <w:sz w:val="21"/>
              </w:rPr>
            </w:pPr>
          </w:p>
          <w:p w14:paraId="30868C7E">
            <w:pPr>
              <w:pStyle w:val="6"/>
              <w:spacing w:before="65" w:line="229" w:lineRule="auto"/>
              <w:ind w:left="1082"/>
              <w:rPr>
                <w:sz w:val="20"/>
                <w:szCs w:val="20"/>
              </w:rPr>
            </w:pPr>
            <w:r>
              <w:rPr>
                <w:spacing w:val="2"/>
                <w:sz w:val="20"/>
                <w:szCs w:val="20"/>
              </w:rPr>
              <w:t>矿种</w:t>
            </w:r>
          </w:p>
        </w:tc>
        <w:tc>
          <w:tcPr>
            <w:tcW w:w="3163" w:type="dxa"/>
            <w:gridSpan w:val="3"/>
            <w:tcBorders>
              <w:top w:val="single" w:color="000000" w:sz="10" w:space="0"/>
            </w:tcBorders>
            <w:vAlign w:val="top"/>
          </w:tcPr>
          <w:p w14:paraId="5ECF4FD1">
            <w:pPr>
              <w:pStyle w:val="6"/>
              <w:spacing w:before="68" w:line="231" w:lineRule="auto"/>
              <w:ind w:right="8"/>
              <w:jc w:val="right"/>
              <w:rPr>
                <w:sz w:val="20"/>
                <w:szCs w:val="20"/>
              </w:rPr>
            </w:pPr>
            <w:r>
              <w:rPr>
                <w:spacing w:val="2"/>
                <w:sz w:val="20"/>
                <w:szCs w:val="20"/>
              </w:rPr>
              <w:t>新增资源储量（万吨、万立方米）</w:t>
            </w:r>
          </w:p>
        </w:tc>
        <w:tc>
          <w:tcPr>
            <w:tcW w:w="3315" w:type="dxa"/>
            <w:gridSpan w:val="3"/>
            <w:tcBorders>
              <w:top w:val="single" w:color="000000" w:sz="10" w:space="0"/>
              <w:right w:val="single" w:color="000000" w:sz="10" w:space="0"/>
            </w:tcBorders>
            <w:vAlign w:val="top"/>
          </w:tcPr>
          <w:p w14:paraId="3B495EF7">
            <w:pPr>
              <w:pStyle w:val="6"/>
              <w:spacing w:before="68" w:line="231" w:lineRule="auto"/>
              <w:ind w:left="409"/>
              <w:rPr>
                <w:sz w:val="20"/>
                <w:szCs w:val="20"/>
              </w:rPr>
            </w:pPr>
            <w:r>
              <w:rPr>
                <w:spacing w:val="7"/>
                <w:sz w:val="20"/>
                <w:szCs w:val="20"/>
              </w:rPr>
              <w:t>新发现大中型矿产地（个）</w:t>
            </w:r>
          </w:p>
        </w:tc>
      </w:tr>
      <w:tr w14:paraId="14CC48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2586" w:type="dxa"/>
            <w:vMerge w:val="continue"/>
            <w:tcBorders>
              <w:top w:val="nil"/>
              <w:left w:val="single" w:color="000000" w:sz="10" w:space="0"/>
            </w:tcBorders>
            <w:vAlign w:val="top"/>
          </w:tcPr>
          <w:p w14:paraId="2C5BFD8A">
            <w:pPr>
              <w:rPr>
                <w:rFonts w:ascii="Arial"/>
                <w:sz w:val="21"/>
              </w:rPr>
            </w:pPr>
          </w:p>
        </w:tc>
        <w:tc>
          <w:tcPr>
            <w:tcW w:w="1023" w:type="dxa"/>
            <w:vAlign w:val="top"/>
          </w:tcPr>
          <w:p w14:paraId="7468D15D">
            <w:pPr>
              <w:pStyle w:val="6"/>
              <w:spacing w:before="34" w:line="231" w:lineRule="auto"/>
              <w:ind w:left="413" w:right="199" w:hanging="211"/>
              <w:rPr>
                <w:sz w:val="20"/>
                <w:szCs w:val="20"/>
              </w:rPr>
            </w:pPr>
            <w:r>
              <w:rPr>
                <w:spacing w:val="5"/>
                <w:sz w:val="20"/>
                <w:szCs w:val="20"/>
              </w:rPr>
              <w:t>规划目</w:t>
            </w:r>
            <w:r>
              <w:rPr>
                <w:sz w:val="20"/>
                <w:szCs w:val="20"/>
              </w:rPr>
              <w:t xml:space="preserve"> 标</w:t>
            </w:r>
          </w:p>
        </w:tc>
        <w:tc>
          <w:tcPr>
            <w:tcW w:w="1083" w:type="dxa"/>
            <w:vAlign w:val="top"/>
          </w:tcPr>
          <w:p w14:paraId="36A91F0E">
            <w:pPr>
              <w:pStyle w:val="6"/>
              <w:spacing w:before="168" w:line="231" w:lineRule="auto"/>
              <w:ind w:left="137"/>
              <w:rPr>
                <w:sz w:val="20"/>
                <w:szCs w:val="20"/>
              </w:rPr>
            </w:pPr>
            <w:r>
              <w:rPr>
                <w:spacing w:val="4"/>
                <w:sz w:val="20"/>
                <w:szCs w:val="20"/>
              </w:rPr>
              <w:t>完成情况</w:t>
            </w:r>
          </w:p>
        </w:tc>
        <w:tc>
          <w:tcPr>
            <w:tcW w:w="1057" w:type="dxa"/>
            <w:vAlign w:val="top"/>
          </w:tcPr>
          <w:p w14:paraId="01BA84E7">
            <w:pPr>
              <w:pStyle w:val="6"/>
              <w:spacing w:before="168" w:line="232" w:lineRule="auto"/>
              <w:ind w:left="127"/>
              <w:rPr>
                <w:sz w:val="20"/>
                <w:szCs w:val="20"/>
              </w:rPr>
            </w:pPr>
            <w:r>
              <w:rPr>
                <w:spacing w:val="4"/>
                <w:sz w:val="20"/>
                <w:szCs w:val="20"/>
              </w:rPr>
              <w:t>完成比例</w:t>
            </w:r>
          </w:p>
        </w:tc>
        <w:tc>
          <w:tcPr>
            <w:tcW w:w="1119" w:type="dxa"/>
            <w:vAlign w:val="top"/>
          </w:tcPr>
          <w:p w14:paraId="2D1C027E">
            <w:pPr>
              <w:pStyle w:val="6"/>
              <w:spacing w:before="168" w:line="231" w:lineRule="auto"/>
              <w:ind w:left="154"/>
              <w:rPr>
                <w:sz w:val="20"/>
                <w:szCs w:val="20"/>
              </w:rPr>
            </w:pPr>
            <w:r>
              <w:rPr>
                <w:spacing w:val="6"/>
                <w:sz w:val="20"/>
                <w:szCs w:val="20"/>
              </w:rPr>
              <w:t>规划目标</w:t>
            </w:r>
          </w:p>
        </w:tc>
        <w:tc>
          <w:tcPr>
            <w:tcW w:w="1083" w:type="dxa"/>
            <w:vAlign w:val="top"/>
          </w:tcPr>
          <w:p w14:paraId="2BB25672">
            <w:pPr>
              <w:pStyle w:val="6"/>
              <w:spacing w:before="168" w:line="231" w:lineRule="auto"/>
              <w:ind w:left="144"/>
              <w:rPr>
                <w:sz w:val="20"/>
                <w:szCs w:val="20"/>
              </w:rPr>
            </w:pPr>
            <w:r>
              <w:rPr>
                <w:spacing w:val="4"/>
                <w:sz w:val="20"/>
                <w:szCs w:val="20"/>
              </w:rPr>
              <w:t>完成情况</w:t>
            </w:r>
          </w:p>
        </w:tc>
        <w:tc>
          <w:tcPr>
            <w:tcW w:w="1113" w:type="dxa"/>
            <w:tcBorders>
              <w:right w:val="single" w:color="000000" w:sz="10" w:space="0"/>
            </w:tcBorders>
            <w:vAlign w:val="top"/>
          </w:tcPr>
          <w:p w14:paraId="58C12F3A">
            <w:pPr>
              <w:pStyle w:val="6"/>
              <w:spacing w:before="168" w:line="232" w:lineRule="auto"/>
              <w:ind w:left="156"/>
              <w:rPr>
                <w:sz w:val="20"/>
                <w:szCs w:val="20"/>
              </w:rPr>
            </w:pPr>
            <w:r>
              <w:rPr>
                <w:spacing w:val="4"/>
                <w:sz w:val="20"/>
                <w:szCs w:val="20"/>
              </w:rPr>
              <w:t>完成比例</w:t>
            </w:r>
          </w:p>
        </w:tc>
      </w:tr>
      <w:tr w14:paraId="391742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 w:hRule="atLeast"/>
        </w:trPr>
        <w:tc>
          <w:tcPr>
            <w:tcW w:w="2586" w:type="dxa"/>
            <w:tcBorders>
              <w:left w:val="single" w:color="000000" w:sz="10" w:space="0"/>
            </w:tcBorders>
            <w:vAlign w:val="top"/>
          </w:tcPr>
          <w:p w14:paraId="6B6D3E2C">
            <w:pPr>
              <w:pStyle w:val="6"/>
              <w:spacing w:before="48" w:line="219" w:lineRule="auto"/>
              <w:ind w:left="296"/>
              <w:rPr>
                <w:sz w:val="20"/>
                <w:szCs w:val="20"/>
              </w:rPr>
            </w:pPr>
            <w:r>
              <w:rPr>
                <w:spacing w:val="5"/>
                <w:sz w:val="20"/>
                <w:szCs w:val="20"/>
              </w:rPr>
              <w:t>铝土矿（矿石</w:t>
            </w:r>
            <w:r>
              <w:rPr>
                <w:spacing w:val="23"/>
                <w:sz w:val="20"/>
                <w:szCs w:val="20"/>
              </w:rPr>
              <w:t xml:space="preserve"> </w:t>
            </w:r>
            <w:r>
              <w:rPr>
                <w:spacing w:val="5"/>
                <w:sz w:val="20"/>
                <w:szCs w:val="20"/>
              </w:rPr>
              <w:t>万吨）</w:t>
            </w:r>
          </w:p>
        </w:tc>
        <w:tc>
          <w:tcPr>
            <w:tcW w:w="1023" w:type="dxa"/>
            <w:vAlign w:val="top"/>
          </w:tcPr>
          <w:p w14:paraId="4106AE77">
            <w:pPr>
              <w:spacing w:before="84" w:line="195"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920</w:t>
            </w:r>
          </w:p>
        </w:tc>
        <w:tc>
          <w:tcPr>
            <w:tcW w:w="1083" w:type="dxa"/>
            <w:vAlign w:val="top"/>
          </w:tcPr>
          <w:p w14:paraId="2CFAE365">
            <w:pPr>
              <w:spacing w:before="84" w:line="195" w:lineRule="auto"/>
              <w:ind w:left="273"/>
              <w:rPr>
                <w:rFonts w:ascii="Times New Roman" w:hAnsi="Times New Roman" w:eastAsia="Times New Roman" w:cs="Times New Roman"/>
                <w:sz w:val="20"/>
                <w:szCs w:val="20"/>
              </w:rPr>
            </w:pPr>
            <w:r>
              <w:rPr>
                <w:rFonts w:ascii="Times New Roman" w:hAnsi="Times New Roman" w:eastAsia="Times New Roman" w:cs="Times New Roman"/>
                <w:sz w:val="20"/>
                <w:szCs w:val="20"/>
              </w:rPr>
              <w:t>1600.4</w:t>
            </w:r>
          </w:p>
        </w:tc>
        <w:tc>
          <w:tcPr>
            <w:tcW w:w="1057" w:type="dxa"/>
            <w:vAlign w:val="top"/>
          </w:tcPr>
          <w:p w14:paraId="4371D36E">
            <w:pPr>
              <w:spacing w:before="84"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174%</w:t>
            </w:r>
          </w:p>
        </w:tc>
        <w:tc>
          <w:tcPr>
            <w:tcW w:w="1119" w:type="dxa"/>
            <w:vAlign w:val="top"/>
          </w:tcPr>
          <w:p w14:paraId="2D2BF82D">
            <w:pPr>
              <w:spacing w:before="84" w:line="195" w:lineRule="auto"/>
              <w:ind w:left="53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083" w:type="dxa"/>
            <w:vAlign w:val="top"/>
          </w:tcPr>
          <w:p w14:paraId="7DC4AA44">
            <w:pPr>
              <w:spacing w:before="84" w:line="195" w:lineRule="auto"/>
              <w:ind w:left="51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13" w:type="dxa"/>
            <w:tcBorders>
              <w:right w:val="single" w:color="000000" w:sz="10" w:space="0"/>
            </w:tcBorders>
            <w:vAlign w:val="top"/>
          </w:tcPr>
          <w:p w14:paraId="7887D52A">
            <w:pPr>
              <w:spacing w:before="84" w:line="195" w:lineRule="auto"/>
              <w:ind w:left="33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w:t>
            </w:r>
          </w:p>
        </w:tc>
      </w:tr>
      <w:tr w14:paraId="5FA9CB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2586" w:type="dxa"/>
            <w:tcBorders>
              <w:left w:val="single" w:color="000000" w:sz="10" w:space="0"/>
            </w:tcBorders>
            <w:vAlign w:val="top"/>
          </w:tcPr>
          <w:p w14:paraId="19DB8C5E">
            <w:pPr>
              <w:pStyle w:val="6"/>
              <w:spacing w:before="43" w:line="204" w:lineRule="auto"/>
              <w:ind w:right="18"/>
              <w:jc w:val="right"/>
              <w:rPr>
                <w:sz w:val="20"/>
                <w:szCs w:val="20"/>
              </w:rPr>
            </w:pPr>
            <w:r>
              <w:rPr>
                <w:spacing w:val="2"/>
                <w:sz w:val="20"/>
                <w:szCs w:val="20"/>
              </w:rPr>
              <w:t>萤石（普通</w:t>
            </w:r>
            <w:r>
              <w:rPr>
                <w:spacing w:val="-55"/>
                <w:sz w:val="20"/>
                <w:szCs w:val="20"/>
              </w:rPr>
              <w:t>）（</w:t>
            </w:r>
            <w:r>
              <w:rPr>
                <w:spacing w:val="2"/>
                <w:sz w:val="20"/>
                <w:szCs w:val="20"/>
              </w:rPr>
              <w:t>矿石</w:t>
            </w:r>
            <w:r>
              <w:rPr>
                <w:spacing w:val="24"/>
                <w:sz w:val="20"/>
                <w:szCs w:val="20"/>
              </w:rPr>
              <w:t xml:space="preserve"> </w:t>
            </w:r>
            <w:r>
              <w:rPr>
                <w:spacing w:val="2"/>
                <w:sz w:val="20"/>
                <w:szCs w:val="20"/>
              </w:rPr>
              <w:t>万吨）</w:t>
            </w:r>
          </w:p>
        </w:tc>
        <w:tc>
          <w:tcPr>
            <w:tcW w:w="1023" w:type="dxa"/>
            <w:vAlign w:val="top"/>
          </w:tcPr>
          <w:p w14:paraId="566B5844">
            <w:pPr>
              <w:spacing w:before="79" w:line="193" w:lineRule="auto"/>
              <w:ind w:left="410"/>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083" w:type="dxa"/>
            <w:vAlign w:val="top"/>
          </w:tcPr>
          <w:p w14:paraId="5E4B8E9C">
            <w:pPr>
              <w:spacing w:before="79" w:line="193" w:lineRule="auto"/>
              <w:ind w:left="49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057" w:type="dxa"/>
            <w:vAlign w:val="top"/>
          </w:tcPr>
          <w:p w14:paraId="3FCCA9AF">
            <w:pPr>
              <w:spacing w:before="79" w:line="193" w:lineRule="auto"/>
              <w:ind w:left="48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119" w:type="dxa"/>
            <w:vAlign w:val="top"/>
          </w:tcPr>
          <w:p w14:paraId="525E9743">
            <w:pPr>
              <w:spacing w:before="79" w:line="193" w:lineRule="auto"/>
              <w:ind w:left="53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083" w:type="dxa"/>
            <w:vAlign w:val="top"/>
          </w:tcPr>
          <w:p w14:paraId="34CCF0C6">
            <w:pPr>
              <w:spacing w:before="79" w:line="193" w:lineRule="auto"/>
              <w:ind w:left="50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113" w:type="dxa"/>
            <w:tcBorders>
              <w:right w:val="single" w:color="000000" w:sz="10" w:space="0"/>
            </w:tcBorders>
            <w:vAlign w:val="top"/>
          </w:tcPr>
          <w:p w14:paraId="51F4F06F">
            <w:pPr>
              <w:spacing w:before="79" w:line="193" w:lineRule="auto"/>
              <w:ind w:left="51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45EBA3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2586" w:type="dxa"/>
            <w:tcBorders>
              <w:left w:val="single" w:color="000000" w:sz="10" w:space="0"/>
            </w:tcBorders>
            <w:vAlign w:val="top"/>
          </w:tcPr>
          <w:p w14:paraId="0EDE6DC6">
            <w:pPr>
              <w:pStyle w:val="6"/>
              <w:spacing w:before="96" w:line="232" w:lineRule="auto"/>
              <w:ind w:left="302"/>
              <w:rPr>
                <w:sz w:val="20"/>
                <w:szCs w:val="20"/>
              </w:rPr>
            </w:pPr>
            <w:r>
              <w:rPr>
                <w:spacing w:val="4"/>
                <w:sz w:val="20"/>
                <w:szCs w:val="20"/>
              </w:rPr>
              <w:t>重晶石（矿石</w:t>
            </w:r>
            <w:r>
              <w:rPr>
                <w:spacing w:val="25"/>
                <w:sz w:val="20"/>
                <w:szCs w:val="20"/>
              </w:rPr>
              <w:t xml:space="preserve"> </w:t>
            </w:r>
            <w:r>
              <w:rPr>
                <w:spacing w:val="4"/>
                <w:sz w:val="20"/>
                <w:szCs w:val="20"/>
              </w:rPr>
              <w:t>万吨）</w:t>
            </w:r>
          </w:p>
        </w:tc>
        <w:tc>
          <w:tcPr>
            <w:tcW w:w="1023" w:type="dxa"/>
            <w:vAlign w:val="top"/>
          </w:tcPr>
          <w:p w14:paraId="72DC1559">
            <w:pPr>
              <w:spacing w:before="132" w:line="195" w:lineRule="auto"/>
              <w:ind w:left="409"/>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083" w:type="dxa"/>
            <w:vAlign w:val="top"/>
          </w:tcPr>
          <w:p w14:paraId="26D03503">
            <w:pPr>
              <w:spacing w:before="132" w:line="195" w:lineRule="auto"/>
              <w:ind w:left="49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057" w:type="dxa"/>
            <w:vAlign w:val="top"/>
          </w:tcPr>
          <w:p w14:paraId="0DC9638D">
            <w:pPr>
              <w:spacing w:before="132" w:line="195" w:lineRule="auto"/>
              <w:ind w:left="48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119" w:type="dxa"/>
            <w:vAlign w:val="top"/>
          </w:tcPr>
          <w:p w14:paraId="4D4E6674">
            <w:pPr>
              <w:spacing w:before="133" w:line="195" w:lineRule="auto"/>
              <w:ind w:left="53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083" w:type="dxa"/>
            <w:vAlign w:val="top"/>
          </w:tcPr>
          <w:p w14:paraId="1D31EEF5">
            <w:pPr>
              <w:spacing w:before="132" w:line="195" w:lineRule="auto"/>
              <w:ind w:left="50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113" w:type="dxa"/>
            <w:tcBorders>
              <w:right w:val="single" w:color="000000" w:sz="10" w:space="0"/>
            </w:tcBorders>
            <w:vAlign w:val="top"/>
          </w:tcPr>
          <w:p w14:paraId="313EA2A9">
            <w:pPr>
              <w:spacing w:before="132" w:line="195" w:lineRule="auto"/>
              <w:ind w:left="51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18D910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2586" w:type="dxa"/>
            <w:tcBorders>
              <w:left w:val="single" w:color="000000" w:sz="10" w:space="0"/>
            </w:tcBorders>
            <w:vAlign w:val="top"/>
          </w:tcPr>
          <w:p w14:paraId="1C249FD7">
            <w:pPr>
              <w:pStyle w:val="6"/>
              <w:spacing w:before="47" w:line="201" w:lineRule="auto"/>
              <w:ind w:left="109"/>
              <w:rPr>
                <w:sz w:val="20"/>
                <w:szCs w:val="20"/>
              </w:rPr>
            </w:pPr>
            <w:r>
              <w:rPr>
                <w:spacing w:val="7"/>
                <w:sz w:val="20"/>
                <w:szCs w:val="20"/>
              </w:rPr>
              <w:t>水泥用灰岩（矿石 万吨）</w:t>
            </w:r>
          </w:p>
        </w:tc>
        <w:tc>
          <w:tcPr>
            <w:tcW w:w="1023" w:type="dxa"/>
            <w:vAlign w:val="top"/>
          </w:tcPr>
          <w:p w14:paraId="01D243CD">
            <w:pPr>
              <w:spacing w:before="83" w:line="189" w:lineRule="auto"/>
              <w:ind w:left="30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3500</w:t>
            </w:r>
          </w:p>
        </w:tc>
        <w:tc>
          <w:tcPr>
            <w:tcW w:w="1083" w:type="dxa"/>
            <w:vAlign w:val="top"/>
          </w:tcPr>
          <w:p w14:paraId="1E31C905">
            <w:pPr>
              <w:spacing w:before="83" w:line="189" w:lineRule="auto"/>
              <w:ind w:left="2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6198.73</w:t>
            </w:r>
          </w:p>
        </w:tc>
        <w:tc>
          <w:tcPr>
            <w:tcW w:w="1057" w:type="dxa"/>
            <w:vAlign w:val="top"/>
          </w:tcPr>
          <w:p w14:paraId="016833BA">
            <w:pPr>
              <w:spacing w:before="83" w:line="189"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177.</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pacing w:val="-4"/>
                <w:sz w:val="20"/>
                <w:szCs w:val="20"/>
              </w:rPr>
              <w:t>1%</w:t>
            </w:r>
          </w:p>
        </w:tc>
        <w:tc>
          <w:tcPr>
            <w:tcW w:w="1119" w:type="dxa"/>
            <w:vAlign w:val="top"/>
          </w:tcPr>
          <w:p w14:paraId="416FC85C">
            <w:pPr>
              <w:spacing w:before="83" w:line="189" w:lineRule="auto"/>
              <w:ind w:left="51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083" w:type="dxa"/>
            <w:vAlign w:val="top"/>
          </w:tcPr>
          <w:p w14:paraId="51D7C32E">
            <w:pPr>
              <w:spacing w:before="83" w:line="189" w:lineRule="auto"/>
              <w:ind w:left="50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113" w:type="dxa"/>
            <w:tcBorders>
              <w:right w:val="single" w:color="000000" w:sz="10" w:space="0"/>
            </w:tcBorders>
            <w:vAlign w:val="top"/>
          </w:tcPr>
          <w:p w14:paraId="0FC9D27E">
            <w:pPr>
              <w:spacing w:before="80" w:line="193" w:lineRule="auto"/>
              <w:ind w:left="5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6DC98D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2586" w:type="dxa"/>
            <w:tcBorders>
              <w:left w:val="single" w:color="000000" w:sz="10" w:space="0"/>
            </w:tcBorders>
            <w:vAlign w:val="top"/>
          </w:tcPr>
          <w:p w14:paraId="351F4C78">
            <w:pPr>
              <w:pStyle w:val="6"/>
              <w:spacing w:before="49" w:line="233" w:lineRule="auto"/>
              <w:ind w:left="141"/>
              <w:rPr>
                <w:sz w:val="19"/>
                <w:szCs w:val="19"/>
              </w:rPr>
            </w:pPr>
            <w:r>
              <w:rPr>
                <w:spacing w:val="8"/>
                <w:sz w:val="19"/>
                <w:szCs w:val="19"/>
              </w:rPr>
              <w:t>饰面用灰岩（矿石 万立方</w:t>
            </w:r>
          </w:p>
          <w:p w14:paraId="53B746DA">
            <w:pPr>
              <w:pStyle w:val="6"/>
              <w:spacing w:before="19" w:line="195" w:lineRule="auto"/>
              <w:ind w:left="1093"/>
              <w:rPr>
                <w:sz w:val="19"/>
                <w:szCs w:val="19"/>
              </w:rPr>
            </w:pPr>
            <w:r>
              <w:rPr>
                <w:spacing w:val="-4"/>
                <w:sz w:val="19"/>
                <w:szCs w:val="19"/>
              </w:rPr>
              <w:t>米）</w:t>
            </w:r>
          </w:p>
        </w:tc>
        <w:tc>
          <w:tcPr>
            <w:tcW w:w="1023" w:type="dxa"/>
            <w:vAlign w:val="top"/>
          </w:tcPr>
          <w:p w14:paraId="2D5B7DDC">
            <w:pPr>
              <w:spacing w:before="213" w:line="195" w:lineRule="auto"/>
              <w:ind w:left="378"/>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140</w:t>
            </w:r>
          </w:p>
        </w:tc>
        <w:tc>
          <w:tcPr>
            <w:tcW w:w="1083" w:type="dxa"/>
            <w:vAlign w:val="top"/>
          </w:tcPr>
          <w:p w14:paraId="73D52993">
            <w:pPr>
              <w:spacing w:before="213" w:line="195" w:lineRule="auto"/>
              <w:ind w:left="496"/>
              <w:rPr>
                <w:rFonts w:ascii="Times New Roman" w:hAnsi="Times New Roman" w:eastAsia="Times New Roman" w:cs="Times New Roman"/>
                <w:sz w:val="19"/>
                <w:szCs w:val="19"/>
              </w:rPr>
            </w:pPr>
            <w:r>
              <w:rPr>
                <w:rFonts w:ascii="Times New Roman" w:hAnsi="Times New Roman" w:eastAsia="Times New Roman" w:cs="Times New Roman"/>
                <w:sz w:val="19"/>
                <w:szCs w:val="19"/>
              </w:rPr>
              <w:t>0</w:t>
            </w:r>
          </w:p>
        </w:tc>
        <w:tc>
          <w:tcPr>
            <w:tcW w:w="1057" w:type="dxa"/>
            <w:vAlign w:val="top"/>
          </w:tcPr>
          <w:p w14:paraId="572790AC">
            <w:pPr>
              <w:spacing w:before="209" w:line="195" w:lineRule="auto"/>
              <w:ind w:left="48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119" w:type="dxa"/>
            <w:vAlign w:val="top"/>
          </w:tcPr>
          <w:p w14:paraId="3177CAC3">
            <w:pPr>
              <w:spacing w:before="209" w:line="195" w:lineRule="auto"/>
              <w:ind w:left="53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083" w:type="dxa"/>
            <w:vAlign w:val="top"/>
          </w:tcPr>
          <w:p w14:paraId="28118976">
            <w:pPr>
              <w:spacing w:before="209" w:line="195" w:lineRule="auto"/>
              <w:ind w:left="50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113" w:type="dxa"/>
            <w:tcBorders>
              <w:right w:val="single" w:color="000000" w:sz="10" w:space="0"/>
            </w:tcBorders>
            <w:vAlign w:val="top"/>
          </w:tcPr>
          <w:p w14:paraId="72B8D342">
            <w:pPr>
              <w:spacing w:before="209" w:line="195" w:lineRule="auto"/>
              <w:ind w:left="51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5C8F5D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2586" w:type="dxa"/>
            <w:tcBorders>
              <w:left w:val="single" w:color="000000" w:sz="10" w:space="0"/>
              <w:bottom w:val="single" w:color="000000" w:sz="10" w:space="0"/>
            </w:tcBorders>
            <w:vAlign w:val="top"/>
          </w:tcPr>
          <w:p w14:paraId="512A43B3">
            <w:pPr>
              <w:pStyle w:val="6"/>
              <w:spacing w:before="96" w:line="229" w:lineRule="auto"/>
              <w:ind w:left="871"/>
              <w:rPr>
                <w:sz w:val="20"/>
                <w:szCs w:val="20"/>
              </w:rPr>
            </w:pPr>
            <w:r>
              <w:rPr>
                <w:spacing w:val="5"/>
                <w:sz w:val="20"/>
                <w:szCs w:val="20"/>
              </w:rPr>
              <w:t>指标属性</w:t>
            </w:r>
          </w:p>
        </w:tc>
        <w:tc>
          <w:tcPr>
            <w:tcW w:w="6478" w:type="dxa"/>
            <w:gridSpan w:val="6"/>
            <w:tcBorders>
              <w:bottom w:val="single" w:color="000000" w:sz="10" w:space="0"/>
              <w:right w:val="single" w:color="000000" w:sz="10" w:space="0"/>
            </w:tcBorders>
            <w:vAlign w:val="top"/>
          </w:tcPr>
          <w:p w14:paraId="0A9C59B4">
            <w:pPr>
              <w:pStyle w:val="6"/>
              <w:spacing w:before="96" w:line="229" w:lineRule="auto"/>
              <w:ind w:left="2933"/>
              <w:rPr>
                <w:sz w:val="20"/>
                <w:szCs w:val="20"/>
              </w:rPr>
            </w:pPr>
            <w:r>
              <w:rPr>
                <w:spacing w:val="4"/>
                <w:sz w:val="20"/>
                <w:szCs w:val="20"/>
              </w:rPr>
              <w:t>预期性</w:t>
            </w:r>
          </w:p>
        </w:tc>
      </w:tr>
    </w:tbl>
    <w:p w14:paraId="06A941BA">
      <w:pPr>
        <w:spacing w:before="146" w:line="229" w:lineRule="auto"/>
        <w:ind w:left="623"/>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2</w:t>
      </w:r>
      <w:r>
        <w:rPr>
          <w:rFonts w:ascii="仿宋" w:hAnsi="仿宋" w:eastAsia="仿宋" w:cs="仿宋"/>
          <w:spacing w:val="7"/>
          <w:sz w:val="25"/>
          <w:szCs w:val="25"/>
        </w:rPr>
        <w:t>）主要矿产年开采总量</w:t>
      </w:r>
    </w:p>
    <w:p w14:paraId="7536EE87">
      <w:pPr>
        <w:spacing w:before="153" w:line="339" w:lineRule="auto"/>
        <w:ind w:left="138" w:right="124" w:firstLine="485"/>
        <w:rPr>
          <w:rFonts w:ascii="仿宋" w:hAnsi="仿宋" w:eastAsia="仿宋" w:cs="仿宋"/>
          <w:sz w:val="25"/>
          <w:szCs w:val="25"/>
        </w:rPr>
      </w:pPr>
      <w:r>
        <w:rPr>
          <w:rFonts w:ascii="仿宋" w:hAnsi="仿宋" w:eastAsia="仿宋" w:cs="仿宋"/>
          <w:spacing w:val="3"/>
          <w:sz w:val="25"/>
          <w:szCs w:val="25"/>
        </w:rPr>
        <w:t>黔江区</w:t>
      </w:r>
      <w:r>
        <w:rPr>
          <w:rFonts w:ascii="仿宋" w:hAnsi="仿宋" w:eastAsia="仿宋" w:cs="仿宋"/>
          <w:spacing w:val="-54"/>
          <w:sz w:val="25"/>
          <w:szCs w:val="25"/>
        </w:rPr>
        <w:t xml:space="preserve"> </w:t>
      </w:r>
      <w:r>
        <w:rPr>
          <w:rFonts w:ascii="Times New Roman" w:hAnsi="Times New Roman" w:eastAsia="Times New Roman" w:cs="Times New Roman"/>
          <w:spacing w:val="3"/>
          <w:sz w:val="25"/>
          <w:szCs w:val="25"/>
        </w:rPr>
        <w:t>2024</w:t>
      </w:r>
      <w:r>
        <w:rPr>
          <w:rFonts w:ascii="Times New Roman" w:hAnsi="Times New Roman" w:eastAsia="Times New Roman" w:cs="Times New Roman"/>
          <w:spacing w:val="24"/>
          <w:w w:val="101"/>
          <w:sz w:val="25"/>
          <w:szCs w:val="25"/>
        </w:rPr>
        <w:t xml:space="preserve"> </w:t>
      </w:r>
      <w:r>
        <w:rPr>
          <w:rFonts w:ascii="仿宋" w:hAnsi="仿宋" w:eastAsia="仿宋" w:cs="仿宋"/>
          <w:spacing w:val="3"/>
          <w:sz w:val="25"/>
          <w:szCs w:val="25"/>
        </w:rPr>
        <w:t>年度开采矿石总量</w:t>
      </w:r>
      <w:r>
        <w:rPr>
          <w:rFonts w:ascii="仿宋" w:hAnsi="仿宋" w:eastAsia="仿宋" w:cs="仿宋"/>
          <w:spacing w:val="-54"/>
          <w:sz w:val="25"/>
          <w:szCs w:val="25"/>
        </w:rPr>
        <w:t xml:space="preserve"> </w:t>
      </w:r>
      <w:r>
        <w:rPr>
          <w:rFonts w:ascii="Times New Roman" w:hAnsi="Times New Roman" w:eastAsia="Times New Roman" w:cs="Times New Roman"/>
          <w:spacing w:val="3"/>
          <w:sz w:val="25"/>
          <w:szCs w:val="25"/>
        </w:rPr>
        <w:t>408.9</w:t>
      </w:r>
      <w:r>
        <w:rPr>
          <w:rFonts w:ascii="Times New Roman" w:hAnsi="Times New Roman" w:eastAsia="Times New Roman" w:cs="Times New Roman"/>
          <w:spacing w:val="24"/>
          <w:w w:val="101"/>
          <w:sz w:val="25"/>
          <w:szCs w:val="25"/>
        </w:rPr>
        <w:t xml:space="preserve"> </w:t>
      </w:r>
      <w:r>
        <w:rPr>
          <w:rFonts w:ascii="仿宋" w:hAnsi="仿宋" w:eastAsia="仿宋" w:cs="仿宋"/>
          <w:spacing w:val="3"/>
          <w:sz w:val="25"/>
          <w:szCs w:val="25"/>
        </w:rPr>
        <w:t>万吨，其中建筑用石料开采</w:t>
      </w:r>
      <w:r>
        <w:rPr>
          <w:rFonts w:ascii="仿宋" w:hAnsi="仿宋" w:eastAsia="仿宋" w:cs="仿宋"/>
          <w:spacing w:val="-55"/>
          <w:sz w:val="25"/>
          <w:szCs w:val="25"/>
        </w:rPr>
        <w:t xml:space="preserve"> </w:t>
      </w:r>
      <w:r>
        <w:rPr>
          <w:rFonts w:ascii="Times New Roman" w:hAnsi="Times New Roman" w:eastAsia="Times New Roman" w:cs="Times New Roman"/>
          <w:spacing w:val="3"/>
          <w:sz w:val="25"/>
          <w:szCs w:val="25"/>
        </w:rPr>
        <w:t>272.51</w:t>
      </w:r>
      <w:r>
        <w:rPr>
          <w:rFonts w:ascii="Times New Roman" w:hAnsi="Times New Roman" w:eastAsia="Times New Roman" w:cs="Times New Roman"/>
          <w:spacing w:val="24"/>
          <w:w w:val="101"/>
          <w:sz w:val="25"/>
          <w:szCs w:val="25"/>
        </w:rPr>
        <w:t xml:space="preserve"> </w:t>
      </w:r>
      <w:r>
        <w:rPr>
          <w:rFonts w:ascii="仿宋" w:hAnsi="仿宋" w:eastAsia="仿宋" w:cs="仿宋"/>
          <w:spacing w:val="3"/>
          <w:sz w:val="25"/>
          <w:szCs w:val="25"/>
        </w:rPr>
        <w:t>万</w:t>
      </w:r>
      <w:r>
        <w:rPr>
          <w:rFonts w:ascii="仿宋" w:hAnsi="仿宋" w:eastAsia="仿宋" w:cs="仿宋"/>
          <w:sz w:val="25"/>
          <w:szCs w:val="25"/>
        </w:rPr>
        <w:t xml:space="preserve"> </w:t>
      </w:r>
      <w:r>
        <w:rPr>
          <w:rFonts w:ascii="仿宋" w:hAnsi="仿宋" w:eastAsia="仿宋" w:cs="仿宋"/>
          <w:spacing w:val="2"/>
          <w:sz w:val="25"/>
          <w:szCs w:val="25"/>
        </w:rPr>
        <w:t>吨，水泥用灰岩开采</w:t>
      </w:r>
      <w:r>
        <w:rPr>
          <w:rFonts w:ascii="仿宋" w:hAnsi="仿宋" w:eastAsia="仿宋" w:cs="仿宋"/>
          <w:spacing w:val="-20"/>
          <w:sz w:val="25"/>
          <w:szCs w:val="25"/>
        </w:rPr>
        <w:t xml:space="preserve"> </w:t>
      </w:r>
      <w:r>
        <w:rPr>
          <w:rFonts w:ascii="Times New Roman" w:hAnsi="Times New Roman" w:eastAsia="Times New Roman" w:cs="Times New Roman"/>
          <w:spacing w:val="2"/>
          <w:sz w:val="25"/>
          <w:szCs w:val="25"/>
        </w:rPr>
        <w:t>135.4</w:t>
      </w:r>
      <w:r>
        <w:rPr>
          <w:rFonts w:ascii="Times New Roman" w:hAnsi="Times New Roman" w:eastAsia="Times New Roman" w:cs="Times New Roman"/>
          <w:spacing w:val="21"/>
          <w:w w:val="101"/>
          <w:sz w:val="25"/>
          <w:szCs w:val="25"/>
        </w:rPr>
        <w:t xml:space="preserve"> </w:t>
      </w:r>
      <w:r>
        <w:rPr>
          <w:rFonts w:ascii="仿宋" w:hAnsi="仿宋" w:eastAsia="仿宋" w:cs="仿宋"/>
          <w:spacing w:val="2"/>
          <w:sz w:val="25"/>
          <w:szCs w:val="25"/>
        </w:rPr>
        <w:t>万吨，水泥用灰岩和建筑石料用灰岩产量未超出《规</w:t>
      </w:r>
      <w:r>
        <w:rPr>
          <w:rFonts w:ascii="仿宋" w:hAnsi="仿宋" w:eastAsia="仿宋" w:cs="仿宋"/>
          <w:sz w:val="25"/>
          <w:szCs w:val="25"/>
        </w:rPr>
        <w:t xml:space="preserve"> </w:t>
      </w:r>
      <w:r>
        <w:rPr>
          <w:rFonts w:ascii="仿宋" w:hAnsi="仿宋" w:eastAsia="仿宋" w:cs="仿宋"/>
          <w:spacing w:val="11"/>
          <w:sz w:val="25"/>
          <w:szCs w:val="25"/>
        </w:rPr>
        <w:t>划》矿石开采总量指标（约束性）。饰面用石灰岩开采</w:t>
      </w:r>
      <w:r>
        <w:rPr>
          <w:rFonts w:ascii="Times New Roman" w:hAnsi="Times New Roman" w:eastAsia="Times New Roman" w:cs="Times New Roman"/>
          <w:spacing w:val="11"/>
          <w:sz w:val="25"/>
          <w:szCs w:val="25"/>
        </w:rPr>
        <w:t>0</w:t>
      </w:r>
      <w:r>
        <w:rPr>
          <w:rFonts w:ascii="Times New Roman" w:hAnsi="Times New Roman" w:eastAsia="Times New Roman" w:cs="Times New Roman"/>
          <w:spacing w:val="22"/>
          <w:sz w:val="25"/>
          <w:szCs w:val="25"/>
        </w:rPr>
        <w:t xml:space="preserve"> </w:t>
      </w:r>
      <w:r>
        <w:rPr>
          <w:rFonts w:ascii="仿宋" w:hAnsi="仿宋" w:eastAsia="仿宋" w:cs="仿宋"/>
          <w:spacing w:val="11"/>
          <w:sz w:val="25"/>
          <w:szCs w:val="25"/>
        </w:rPr>
        <w:t>万</w:t>
      </w:r>
      <w:r>
        <w:rPr>
          <w:rFonts w:ascii="仿宋" w:hAnsi="仿宋" w:eastAsia="仿宋" w:cs="仿宋"/>
          <w:spacing w:val="10"/>
          <w:sz w:val="25"/>
          <w:szCs w:val="25"/>
        </w:rPr>
        <w:t>立方米，萤石重晶</w:t>
      </w:r>
      <w:r>
        <w:rPr>
          <w:rFonts w:ascii="仿宋" w:hAnsi="仿宋" w:eastAsia="仿宋" w:cs="仿宋"/>
          <w:sz w:val="25"/>
          <w:szCs w:val="25"/>
        </w:rPr>
        <w:t xml:space="preserve"> </w:t>
      </w:r>
      <w:r>
        <w:rPr>
          <w:rFonts w:ascii="仿宋" w:hAnsi="仿宋" w:eastAsia="仿宋" w:cs="仿宋"/>
          <w:spacing w:val="6"/>
          <w:sz w:val="25"/>
          <w:szCs w:val="25"/>
        </w:rPr>
        <w:t>石开采</w:t>
      </w:r>
      <w:r>
        <w:rPr>
          <w:rFonts w:ascii="仿宋" w:hAnsi="仿宋" w:eastAsia="仿宋" w:cs="仿宋"/>
          <w:spacing w:val="-40"/>
          <w:sz w:val="25"/>
          <w:szCs w:val="25"/>
        </w:rPr>
        <w:t xml:space="preserve"> </w:t>
      </w:r>
      <w:r>
        <w:rPr>
          <w:rFonts w:ascii="Times New Roman" w:hAnsi="Times New Roman" w:eastAsia="Times New Roman" w:cs="Times New Roman"/>
          <w:spacing w:val="6"/>
          <w:sz w:val="25"/>
          <w:szCs w:val="25"/>
        </w:rPr>
        <w:t>0.99</w:t>
      </w:r>
      <w:r>
        <w:rPr>
          <w:rFonts w:ascii="Times New Roman" w:hAnsi="Times New Roman" w:eastAsia="Times New Roman" w:cs="Times New Roman"/>
          <w:spacing w:val="24"/>
          <w:w w:val="101"/>
          <w:sz w:val="25"/>
          <w:szCs w:val="25"/>
        </w:rPr>
        <w:t xml:space="preserve"> </w:t>
      </w:r>
      <w:r>
        <w:rPr>
          <w:rFonts w:ascii="仿宋" w:hAnsi="仿宋" w:eastAsia="仿宋" w:cs="仿宋"/>
          <w:spacing w:val="6"/>
          <w:sz w:val="25"/>
          <w:szCs w:val="25"/>
        </w:rPr>
        <w:t>万吨，未达到本轮《规划》开采总量指标（预期性）。其余矿种因</w:t>
      </w:r>
      <w:r>
        <w:rPr>
          <w:rFonts w:ascii="仿宋" w:hAnsi="仿宋" w:eastAsia="仿宋" w:cs="仿宋"/>
          <w:sz w:val="25"/>
          <w:szCs w:val="25"/>
        </w:rPr>
        <w:t xml:space="preserve"> </w:t>
      </w:r>
      <w:r>
        <w:rPr>
          <w:rFonts w:ascii="仿宋" w:hAnsi="仿宋" w:eastAsia="仿宋" w:cs="仿宋"/>
          <w:spacing w:val="10"/>
          <w:sz w:val="25"/>
          <w:szCs w:val="25"/>
        </w:rPr>
        <w:t>部分矿山停产、关闭等原因导致矿石产量未</w:t>
      </w:r>
      <w:r>
        <w:rPr>
          <w:rFonts w:ascii="仿宋" w:hAnsi="仿宋" w:eastAsia="仿宋" w:cs="仿宋"/>
          <w:spacing w:val="9"/>
          <w:sz w:val="25"/>
          <w:szCs w:val="25"/>
        </w:rPr>
        <w:t>达到《</w:t>
      </w:r>
      <w:r>
        <w:rPr>
          <w:rFonts w:hint="eastAsia" w:ascii="仿宋" w:hAnsi="仿宋" w:eastAsia="仿宋" w:cs="仿宋"/>
          <w:spacing w:val="9"/>
          <w:sz w:val="25"/>
          <w:szCs w:val="25"/>
          <w:lang w:eastAsia="zh-CN"/>
        </w:rPr>
        <w:t>“</w:t>
      </w:r>
      <w:r>
        <w:rPr>
          <w:rFonts w:ascii="仿宋" w:hAnsi="仿宋" w:eastAsia="仿宋" w:cs="仿宋"/>
          <w:spacing w:val="9"/>
          <w:sz w:val="25"/>
          <w:szCs w:val="25"/>
        </w:rPr>
        <w:t>十四五</w:t>
      </w:r>
      <w:r>
        <w:rPr>
          <w:rFonts w:hint="eastAsia" w:ascii="仿宋" w:hAnsi="仿宋" w:eastAsia="仿宋" w:cs="仿宋"/>
          <w:spacing w:val="9"/>
          <w:sz w:val="25"/>
          <w:szCs w:val="25"/>
          <w:lang w:eastAsia="zh-CN"/>
        </w:rPr>
        <w:t>”</w:t>
      </w:r>
      <w:r>
        <w:rPr>
          <w:rFonts w:ascii="仿宋" w:hAnsi="仿宋" w:eastAsia="仿宋" w:cs="仿宋"/>
          <w:spacing w:val="9"/>
          <w:sz w:val="25"/>
          <w:szCs w:val="25"/>
        </w:rPr>
        <w:t>矿规》矿石开采总量</w:t>
      </w:r>
      <w:r>
        <w:rPr>
          <w:rFonts w:ascii="仿宋" w:hAnsi="仿宋" w:eastAsia="仿宋" w:cs="仿宋"/>
          <w:sz w:val="25"/>
          <w:szCs w:val="25"/>
        </w:rPr>
        <w:t xml:space="preserve"> </w:t>
      </w:r>
      <w:r>
        <w:rPr>
          <w:rFonts w:ascii="仿宋" w:hAnsi="仿宋" w:eastAsia="仿宋" w:cs="仿宋"/>
          <w:spacing w:val="5"/>
          <w:sz w:val="25"/>
          <w:szCs w:val="25"/>
        </w:rPr>
        <w:t>指标（预期性）。</w:t>
      </w:r>
    </w:p>
    <w:p w14:paraId="5716A23C">
      <w:pPr>
        <w:spacing w:before="3" w:line="229" w:lineRule="auto"/>
        <w:ind w:left="623"/>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3</w:t>
      </w:r>
      <w:r>
        <w:rPr>
          <w:rFonts w:ascii="仿宋" w:hAnsi="仿宋" w:eastAsia="仿宋" w:cs="仿宋"/>
          <w:spacing w:val="7"/>
          <w:sz w:val="25"/>
          <w:szCs w:val="25"/>
        </w:rPr>
        <w:t>）非油气矿山数量</w:t>
      </w:r>
    </w:p>
    <w:p w14:paraId="03783026">
      <w:pPr>
        <w:spacing w:before="149" w:line="340" w:lineRule="auto"/>
        <w:ind w:left="144" w:right="38" w:firstLine="475"/>
        <w:rPr>
          <w:rFonts w:ascii="仿宋" w:hAnsi="仿宋" w:eastAsia="仿宋" w:cs="仿宋"/>
          <w:sz w:val="25"/>
          <w:szCs w:val="25"/>
        </w:rPr>
      </w:pPr>
      <w:r>
        <w:rPr>
          <w:rFonts w:ascii="仿宋" w:hAnsi="仿宋" w:eastAsia="仿宋" w:cs="仿宋"/>
          <w:spacing w:val="6"/>
          <w:sz w:val="25"/>
          <w:szCs w:val="25"/>
        </w:rPr>
        <w:t>本轮规划初期（</w:t>
      </w:r>
      <w:r>
        <w:rPr>
          <w:rFonts w:ascii="Times New Roman" w:hAnsi="Times New Roman" w:eastAsia="Times New Roman" w:cs="Times New Roman"/>
          <w:spacing w:val="6"/>
          <w:sz w:val="25"/>
          <w:szCs w:val="25"/>
        </w:rPr>
        <w:t>2020</w:t>
      </w:r>
      <w:r>
        <w:rPr>
          <w:rFonts w:ascii="Times New Roman" w:hAnsi="Times New Roman" w:eastAsia="Times New Roman" w:cs="Times New Roman"/>
          <w:spacing w:val="26"/>
          <w:sz w:val="25"/>
          <w:szCs w:val="25"/>
        </w:rPr>
        <w:t xml:space="preserve"> </w:t>
      </w:r>
      <w:r>
        <w:rPr>
          <w:rFonts w:ascii="仿宋" w:hAnsi="仿宋" w:eastAsia="仿宋" w:cs="仿宋"/>
          <w:spacing w:val="6"/>
          <w:sz w:val="25"/>
          <w:szCs w:val="25"/>
        </w:rPr>
        <w:t>年</w:t>
      </w:r>
      <w:r>
        <w:rPr>
          <w:rFonts w:ascii="仿宋" w:hAnsi="仿宋" w:eastAsia="仿宋" w:cs="仿宋"/>
          <w:spacing w:val="21"/>
          <w:sz w:val="25"/>
          <w:szCs w:val="25"/>
        </w:rPr>
        <w:t>），</w:t>
      </w:r>
      <w:r>
        <w:rPr>
          <w:rFonts w:ascii="仿宋" w:hAnsi="仿宋" w:eastAsia="仿宋" w:cs="仿宋"/>
          <w:spacing w:val="6"/>
          <w:sz w:val="25"/>
          <w:szCs w:val="25"/>
        </w:rPr>
        <w:t>黔江区有持证非油气采</w:t>
      </w:r>
      <w:r>
        <w:rPr>
          <w:rFonts w:ascii="仿宋" w:hAnsi="仿宋" w:eastAsia="仿宋" w:cs="仿宋"/>
          <w:spacing w:val="5"/>
          <w:sz w:val="25"/>
          <w:szCs w:val="25"/>
        </w:rPr>
        <w:t>矿权</w:t>
      </w:r>
      <w:r>
        <w:rPr>
          <w:rFonts w:ascii="仿宋" w:hAnsi="仿宋" w:eastAsia="仿宋" w:cs="仿宋"/>
          <w:spacing w:val="-54"/>
          <w:sz w:val="25"/>
          <w:szCs w:val="25"/>
        </w:rPr>
        <w:t xml:space="preserve"> </w:t>
      </w:r>
      <w:r>
        <w:rPr>
          <w:rFonts w:ascii="Times New Roman" w:hAnsi="Times New Roman" w:eastAsia="Times New Roman" w:cs="Times New Roman"/>
          <w:spacing w:val="5"/>
          <w:sz w:val="25"/>
          <w:szCs w:val="25"/>
        </w:rPr>
        <w:t>25</w:t>
      </w:r>
      <w:r>
        <w:rPr>
          <w:rFonts w:ascii="Times New Roman" w:hAnsi="Times New Roman" w:eastAsia="Times New Roman" w:cs="Times New Roman"/>
          <w:spacing w:val="25"/>
          <w:sz w:val="25"/>
          <w:szCs w:val="25"/>
        </w:rPr>
        <w:t xml:space="preserve"> </w:t>
      </w:r>
      <w:r>
        <w:rPr>
          <w:rFonts w:ascii="仿宋" w:hAnsi="仿宋" w:eastAsia="仿宋" w:cs="仿宋"/>
          <w:spacing w:val="5"/>
          <w:sz w:val="25"/>
          <w:szCs w:val="25"/>
        </w:rPr>
        <w:t>家。截至</w:t>
      </w:r>
      <w:r>
        <w:rPr>
          <w:rFonts w:ascii="仿宋" w:hAnsi="仿宋" w:eastAsia="仿宋" w:cs="仿宋"/>
          <w:spacing w:val="-55"/>
          <w:sz w:val="25"/>
          <w:szCs w:val="25"/>
        </w:rPr>
        <w:t xml:space="preserve"> </w:t>
      </w:r>
      <w:r>
        <w:rPr>
          <w:rFonts w:ascii="Times New Roman" w:hAnsi="Times New Roman" w:eastAsia="Times New Roman" w:cs="Times New Roman"/>
          <w:spacing w:val="5"/>
          <w:sz w:val="25"/>
          <w:szCs w:val="25"/>
        </w:rPr>
        <w:t>2024</w:t>
      </w:r>
      <w:r>
        <w:rPr>
          <w:rFonts w:ascii="Times New Roman" w:hAnsi="Times New Roman" w:eastAsia="Times New Roman" w:cs="Times New Roman"/>
          <w:sz w:val="25"/>
          <w:szCs w:val="25"/>
        </w:rPr>
        <w:t xml:space="preserve">   </w:t>
      </w:r>
      <w:r>
        <w:rPr>
          <w:rFonts w:ascii="仿宋" w:hAnsi="仿宋" w:eastAsia="仿宋" w:cs="仿宋"/>
          <w:spacing w:val="4"/>
          <w:sz w:val="25"/>
          <w:szCs w:val="25"/>
        </w:rPr>
        <w:t>年</w:t>
      </w:r>
      <w:r>
        <w:rPr>
          <w:rFonts w:ascii="仿宋" w:hAnsi="仿宋" w:eastAsia="仿宋" w:cs="仿宋"/>
          <w:spacing w:val="-28"/>
          <w:sz w:val="25"/>
          <w:szCs w:val="25"/>
        </w:rPr>
        <w:t xml:space="preserve"> </w:t>
      </w:r>
      <w:r>
        <w:rPr>
          <w:rFonts w:ascii="Times New Roman" w:hAnsi="Times New Roman" w:eastAsia="Times New Roman" w:cs="Times New Roman"/>
          <w:spacing w:val="4"/>
          <w:sz w:val="25"/>
          <w:szCs w:val="25"/>
        </w:rPr>
        <w:t>12</w:t>
      </w:r>
      <w:r>
        <w:rPr>
          <w:rFonts w:ascii="Times New Roman" w:hAnsi="Times New Roman" w:eastAsia="Times New Roman" w:cs="Times New Roman"/>
          <w:spacing w:val="32"/>
          <w:sz w:val="25"/>
          <w:szCs w:val="25"/>
        </w:rPr>
        <w:t xml:space="preserve"> </w:t>
      </w:r>
      <w:r>
        <w:rPr>
          <w:rFonts w:ascii="仿宋" w:hAnsi="仿宋" w:eastAsia="仿宋" w:cs="仿宋"/>
          <w:spacing w:val="4"/>
          <w:sz w:val="25"/>
          <w:szCs w:val="25"/>
        </w:rPr>
        <w:t>月底，黔江区非油气矿山采矿权</w:t>
      </w:r>
      <w:r>
        <w:rPr>
          <w:rFonts w:ascii="仿宋" w:hAnsi="仿宋" w:eastAsia="仿宋" w:cs="仿宋"/>
          <w:spacing w:val="-27"/>
          <w:sz w:val="25"/>
          <w:szCs w:val="25"/>
        </w:rPr>
        <w:t xml:space="preserve"> </w:t>
      </w:r>
      <w:r>
        <w:rPr>
          <w:rFonts w:ascii="Times New Roman" w:hAnsi="Times New Roman" w:eastAsia="Times New Roman" w:cs="Times New Roman"/>
          <w:spacing w:val="4"/>
          <w:sz w:val="25"/>
          <w:szCs w:val="25"/>
        </w:rPr>
        <w:t>14</w:t>
      </w:r>
      <w:r>
        <w:rPr>
          <w:rFonts w:ascii="Times New Roman" w:hAnsi="Times New Roman" w:eastAsia="Times New Roman" w:cs="Times New Roman"/>
          <w:spacing w:val="22"/>
          <w:w w:val="101"/>
          <w:sz w:val="25"/>
          <w:szCs w:val="25"/>
        </w:rPr>
        <w:t xml:space="preserve"> </w:t>
      </w:r>
      <w:r>
        <w:rPr>
          <w:rFonts w:ascii="仿宋" w:hAnsi="仿宋" w:eastAsia="仿宋" w:cs="仿宋"/>
          <w:spacing w:val="4"/>
          <w:sz w:val="25"/>
          <w:szCs w:val="25"/>
        </w:rPr>
        <w:t>家</w:t>
      </w:r>
      <w:r>
        <w:rPr>
          <w:rFonts w:ascii="仿宋" w:hAnsi="仿宋" w:eastAsia="仿宋" w:cs="仿宋"/>
          <w:spacing w:val="3"/>
          <w:sz w:val="25"/>
          <w:szCs w:val="25"/>
        </w:rPr>
        <w:t>，矿山数量未突破规划指标</w:t>
      </w:r>
      <w:r>
        <w:rPr>
          <w:rFonts w:ascii="仿宋" w:hAnsi="仿宋" w:eastAsia="仿宋" w:cs="仿宋"/>
          <w:spacing w:val="-55"/>
          <w:sz w:val="25"/>
          <w:szCs w:val="25"/>
        </w:rPr>
        <w:t xml:space="preserve"> </w:t>
      </w:r>
      <w:r>
        <w:rPr>
          <w:rFonts w:ascii="Times New Roman" w:hAnsi="Times New Roman" w:eastAsia="Times New Roman" w:cs="Times New Roman"/>
          <w:spacing w:val="3"/>
          <w:sz w:val="25"/>
          <w:szCs w:val="25"/>
        </w:rPr>
        <w:t>28</w:t>
      </w:r>
      <w:r>
        <w:rPr>
          <w:rFonts w:ascii="Times New Roman" w:hAnsi="Times New Roman" w:eastAsia="Times New Roman" w:cs="Times New Roman"/>
          <w:spacing w:val="21"/>
          <w:sz w:val="25"/>
          <w:szCs w:val="25"/>
        </w:rPr>
        <w:t xml:space="preserve"> </w:t>
      </w:r>
      <w:r>
        <w:rPr>
          <w:rFonts w:ascii="仿宋" w:hAnsi="仿宋" w:eastAsia="仿宋" w:cs="仿宋"/>
          <w:spacing w:val="3"/>
          <w:sz w:val="25"/>
          <w:szCs w:val="25"/>
        </w:rPr>
        <w:t>个。</w:t>
      </w:r>
    </w:p>
    <w:p w14:paraId="4E15B6C6">
      <w:pPr>
        <w:spacing w:line="229" w:lineRule="auto"/>
        <w:ind w:left="664"/>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2</w:t>
      </w:r>
      <w:r>
        <w:rPr>
          <w:rFonts w:ascii="仿宋" w:hAnsi="仿宋" w:eastAsia="仿宋" w:cs="仿宋"/>
          <w:spacing w:val="7"/>
          <w:sz w:val="25"/>
          <w:szCs w:val="25"/>
        </w:rPr>
        <w:t>）非油气大中型矿山比例</w:t>
      </w:r>
    </w:p>
    <w:p w14:paraId="02E74590">
      <w:pPr>
        <w:spacing w:before="148" w:line="340" w:lineRule="auto"/>
        <w:ind w:left="132" w:right="124" w:firstLine="486"/>
        <w:rPr>
          <w:rFonts w:ascii="仿宋" w:hAnsi="仿宋" w:eastAsia="仿宋" w:cs="仿宋"/>
          <w:sz w:val="25"/>
          <w:szCs w:val="25"/>
        </w:rPr>
      </w:pPr>
      <w:r>
        <w:rPr>
          <w:rFonts w:ascii="仿宋" w:hAnsi="仿宋" w:eastAsia="仿宋" w:cs="仿宋"/>
          <w:spacing w:val="2"/>
          <w:sz w:val="25"/>
          <w:szCs w:val="25"/>
        </w:rPr>
        <w:t>截至</w:t>
      </w:r>
      <w:r>
        <w:rPr>
          <w:rFonts w:ascii="仿宋" w:hAnsi="仿宋" w:eastAsia="仿宋" w:cs="仿宋"/>
          <w:spacing w:val="-52"/>
          <w:sz w:val="25"/>
          <w:szCs w:val="25"/>
        </w:rPr>
        <w:t xml:space="preserve"> </w:t>
      </w:r>
      <w:r>
        <w:rPr>
          <w:rFonts w:ascii="Times New Roman" w:hAnsi="Times New Roman" w:eastAsia="Times New Roman" w:cs="Times New Roman"/>
          <w:spacing w:val="2"/>
          <w:sz w:val="25"/>
          <w:szCs w:val="25"/>
        </w:rPr>
        <w:t>2024</w:t>
      </w:r>
      <w:r>
        <w:rPr>
          <w:rFonts w:ascii="Times New Roman" w:hAnsi="Times New Roman" w:eastAsia="Times New Roman" w:cs="Times New Roman"/>
          <w:spacing w:val="27"/>
          <w:w w:val="101"/>
          <w:sz w:val="25"/>
          <w:szCs w:val="25"/>
        </w:rPr>
        <w:t xml:space="preserve"> </w:t>
      </w:r>
      <w:r>
        <w:rPr>
          <w:rFonts w:ascii="仿宋" w:hAnsi="仿宋" w:eastAsia="仿宋" w:cs="仿宋"/>
          <w:spacing w:val="2"/>
          <w:sz w:val="25"/>
          <w:szCs w:val="25"/>
        </w:rPr>
        <w:t>年</w:t>
      </w:r>
      <w:r>
        <w:rPr>
          <w:rFonts w:ascii="仿宋" w:hAnsi="仿宋" w:eastAsia="仿宋" w:cs="仿宋"/>
          <w:spacing w:val="-30"/>
          <w:sz w:val="25"/>
          <w:szCs w:val="25"/>
        </w:rPr>
        <w:t xml:space="preserve"> </w:t>
      </w:r>
      <w:r>
        <w:rPr>
          <w:rFonts w:ascii="Times New Roman" w:hAnsi="Times New Roman" w:eastAsia="Times New Roman" w:cs="Times New Roman"/>
          <w:spacing w:val="2"/>
          <w:sz w:val="25"/>
          <w:szCs w:val="25"/>
        </w:rPr>
        <w:t>12</w:t>
      </w:r>
      <w:r>
        <w:rPr>
          <w:rFonts w:ascii="Times New Roman" w:hAnsi="Times New Roman" w:eastAsia="Times New Roman" w:cs="Times New Roman"/>
          <w:spacing w:val="34"/>
          <w:sz w:val="25"/>
          <w:szCs w:val="25"/>
        </w:rPr>
        <w:t xml:space="preserve"> </w:t>
      </w:r>
      <w:r>
        <w:rPr>
          <w:rFonts w:ascii="仿宋" w:hAnsi="仿宋" w:eastAsia="仿宋" w:cs="仿宋"/>
          <w:spacing w:val="2"/>
          <w:sz w:val="25"/>
          <w:szCs w:val="25"/>
        </w:rPr>
        <w:t>月底，黔江区区有持证非油气采矿权</w:t>
      </w:r>
      <w:r>
        <w:rPr>
          <w:rFonts w:ascii="仿宋" w:hAnsi="仿宋" w:eastAsia="仿宋" w:cs="仿宋"/>
          <w:spacing w:val="-30"/>
          <w:sz w:val="25"/>
          <w:szCs w:val="25"/>
        </w:rPr>
        <w:t xml:space="preserve"> </w:t>
      </w:r>
      <w:r>
        <w:rPr>
          <w:rFonts w:ascii="Times New Roman" w:hAnsi="Times New Roman" w:eastAsia="Times New Roman" w:cs="Times New Roman"/>
          <w:spacing w:val="1"/>
          <w:sz w:val="25"/>
          <w:szCs w:val="25"/>
        </w:rPr>
        <w:t>14</w:t>
      </w:r>
      <w:r>
        <w:rPr>
          <w:rFonts w:ascii="Times New Roman" w:hAnsi="Times New Roman" w:eastAsia="Times New Roman" w:cs="Times New Roman"/>
          <w:spacing w:val="23"/>
          <w:sz w:val="25"/>
          <w:szCs w:val="25"/>
        </w:rPr>
        <w:t xml:space="preserve"> </w:t>
      </w:r>
      <w:r>
        <w:rPr>
          <w:rFonts w:ascii="仿宋" w:hAnsi="仿宋" w:eastAsia="仿宋" w:cs="仿宋"/>
          <w:spacing w:val="1"/>
          <w:sz w:val="25"/>
          <w:szCs w:val="25"/>
        </w:rPr>
        <w:t>家，其中大型矿山</w:t>
      </w:r>
      <w:r>
        <w:rPr>
          <w:rFonts w:ascii="仿宋" w:hAnsi="仿宋" w:eastAsia="仿宋" w:cs="仿宋"/>
          <w:sz w:val="25"/>
          <w:szCs w:val="25"/>
        </w:rPr>
        <w:t xml:space="preserve"> </w:t>
      </w:r>
      <w:r>
        <w:rPr>
          <w:rFonts w:ascii="Times New Roman" w:hAnsi="Times New Roman" w:eastAsia="Times New Roman" w:cs="Times New Roman"/>
          <w:spacing w:val="6"/>
          <w:sz w:val="25"/>
          <w:szCs w:val="25"/>
        </w:rPr>
        <w:t>3</w:t>
      </w:r>
      <w:r>
        <w:rPr>
          <w:rFonts w:ascii="Times New Roman" w:hAnsi="Times New Roman" w:eastAsia="Times New Roman" w:cs="Times New Roman"/>
          <w:spacing w:val="28"/>
          <w:sz w:val="25"/>
          <w:szCs w:val="25"/>
        </w:rPr>
        <w:t xml:space="preserve"> </w:t>
      </w:r>
      <w:r>
        <w:rPr>
          <w:rFonts w:ascii="仿宋" w:hAnsi="仿宋" w:eastAsia="仿宋" w:cs="仿宋"/>
          <w:spacing w:val="6"/>
          <w:sz w:val="25"/>
          <w:szCs w:val="25"/>
        </w:rPr>
        <w:t>家，</w:t>
      </w:r>
      <w:r>
        <w:rPr>
          <w:rFonts w:ascii="仿宋" w:hAnsi="仿宋" w:eastAsia="仿宋" w:cs="仿宋"/>
          <w:spacing w:val="-64"/>
          <w:sz w:val="25"/>
          <w:szCs w:val="25"/>
        </w:rPr>
        <w:t xml:space="preserve"> </w:t>
      </w:r>
      <w:r>
        <w:rPr>
          <w:rFonts w:ascii="仿宋" w:hAnsi="仿宋" w:eastAsia="仿宋" w:cs="仿宋"/>
          <w:spacing w:val="6"/>
          <w:sz w:val="25"/>
          <w:szCs w:val="25"/>
        </w:rPr>
        <w:t>中型矿山</w:t>
      </w:r>
      <w:r>
        <w:rPr>
          <w:rFonts w:ascii="仿宋" w:hAnsi="仿宋" w:eastAsia="仿宋" w:cs="仿宋"/>
          <w:spacing w:val="-44"/>
          <w:sz w:val="25"/>
          <w:szCs w:val="25"/>
        </w:rPr>
        <w:t xml:space="preserve"> </w:t>
      </w:r>
      <w:r>
        <w:rPr>
          <w:rFonts w:ascii="Times New Roman" w:hAnsi="Times New Roman" w:eastAsia="Times New Roman" w:cs="Times New Roman"/>
          <w:spacing w:val="6"/>
          <w:sz w:val="25"/>
          <w:szCs w:val="25"/>
        </w:rPr>
        <w:t>3</w:t>
      </w:r>
      <w:r>
        <w:rPr>
          <w:rFonts w:ascii="Times New Roman" w:hAnsi="Times New Roman" w:eastAsia="Times New Roman" w:cs="Times New Roman"/>
          <w:spacing w:val="27"/>
          <w:w w:val="101"/>
          <w:sz w:val="25"/>
          <w:szCs w:val="25"/>
        </w:rPr>
        <w:t xml:space="preserve"> </w:t>
      </w:r>
      <w:r>
        <w:rPr>
          <w:rFonts w:ascii="仿宋" w:hAnsi="仿宋" w:eastAsia="仿宋" w:cs="仿宋"/>
          <w:spacing w:val="6"/>
          <w:sz w:val="25"/>
          <w:szCs w:val="25"/>
        </w:rPr>
        <w:t>家，小型矿山</w:t>
      </w:r>
      <w:r>
        <w:rPr>
          <w:rFonts w:ascii="仿宋" w:hAnsi="仿宋" w:eastAsia="仿宋" w:cs="仿宋"/>
          <w:spacing w:val="-40"/>
          <w:sz w:val="25"/>
          <w:szCs w:val="25"/>
        </w:rPr>
        <w:t xml:space="preserve"> </w:t>
      </w:r>
      <w:r>
        <w:rPr>
          <w:rFonts w:ascii="Times New Roman" w:hAnsi="Times New Roman" w:eastAsia="Times New Roman" w:cs="Times New Roman"/>
          <w:spacing w:val="6"/>
          <w:sz w:val="25"/>
          <w:szCs w:val="25"/>
        </w:rPr>
        <w:t>8</w:t>
      </w:r>
      <w:r>
        <w:rPr>
          <w:rFonts w:ascii="Times New Roman" w:hAnsi="Times New Roman" w:eastAsia="Times New Roman" w:cs="Times New Roman"/>
          <w:spacing w:val="28"/>
          <w:sz w:val="25"/>
          <w:szCs w:val="25"/>
        </w:rPr>
        <w:t xml:space="preserve"> </w:t>
      </w:r>
      <w:r>
        <w:rPr>
          <w:rFonts w:ascii="仿宋" w:hAnsi="仿宋" w:eastAsia="仿宋" w:cs="仿宋"/>
          <w:spacing w:val="6"/>
          <w:sz w:val="25"/>
          <w:szCs w:val="25"/>
        </w:rPr>
        <w:t>家，大中型矿</w:t>
      </w:r>
      <w:r>
        <w:rPr>
          <w:rFonts w:ascii="仿宋" w:hAnsi="仿宋" w:eastAsia="仿宋" w:cs="仿宋"/>
          <w:spacing w:val="5"/>
          <w:sz w:val="25"/>
          <w:szCs w:val="25"/>
        </w:rPr>
        <w:t>山占比为</w:t>
      </w:r>
      <w:r>
        <w:rPr>
          <w:rFonts w:ascii="仿宋" w:hAnsi="仿宋" w:eastAsia="仿宋" w:cs="仿宋"/>
          <w:spacing w:val="-54"/>
          <w:sz w:val="25"/>
          <w:szCs w:val="25"/>
        </w:rPr>
        <w:t xml:space="preserve"> </w:t>
      </w:r>
      <w:r>
        <w:rPr>
          <w:rFonts w:ascii="Times New Roman" w:hAnsi="Times New Roman" w:eastAsia="Times New Roman" w:cs="Times New Roman"/>
          <w:spacing w:val="5"/>
          <w:sz w:val="25"/>
          <w:szCs w:val="25"/>
        </w:rPr>
        <w:t>42.9%</w:t>
      </w:r>
      <w:r>
        <w:rPr>
          <w:rFonts w:ascii="Times New Roman" w:hAnsi="Times New Roman" w:eastAsia="Times New Roman" w:cs="Times New Roman"/>
          <w:spacing w:val="-22"/>
          <w:sz w:val="25"/>
          <w:szCs w:val="25"/>
        </w:rPr>
        <w:t xml:space="preserve"> </w:t>
      </w:r>
      <w:r>
        <w:rPr>
          <w:rFonts w:ascii="仿宋" w:hAnsi="仿宋" w:eastAsia="仿宋" w:cs="仿宋"/>
          <w:spacing w:val="5"/>
          <w:sz w:val="25"/>
          <w:szCs w:val="25"/>
        </w:rPr>
        <w:t>，低于规划目</w:t>
      </w:r>
      <w:r>
        <w:rPr>
          <w:rFonts w:ascii="仿宋" w:hAnsi="仿宋" w:eastAsia="仿宋" w:cs="仿宋"/>
          <w:sz w:val="25"/>
          <w:szCs w:val="25"/>
        </w:rPr>
        <w:t xml:space="preserve"> </w:t>
      </w:r>
      <w:r>
        <w:rPr>
          <w:rFonts w:ascii="仿宋" w:hAnsi="仿宋" w:eastAsia="仿宋" w:cs="仿宋"/>
          <w:spacing w:val="5"/>
          <w:sz w:val="25"/>
          <w:szCs w:val="25"/>
        </w:rPr>
        <w:t>标</w:t>
      </w:r>
      <w:r>
        <w:rPr>
          <w:rFonts w:ascii="仿宋" w:hAnsi="仿宋" w:eastAsia="仿宋" w:cs="仿宋"/>
          <w:spacing w:val="-37"/>
          <w:sz w:val="25"/>
          <w:szCs w:val="25"/>
        </w:rPr>
        <w:t xml:space="preserve"> </w:t>
      </w:r>
      <w:r>
        <w:rPr>
          <w:rFonts w:ascii="Times New Roman" w:hAnsi="Times New Roman" w:eastAsia="Times New Roman" w:cs="Times New Roman"/>
          <w:spacing w:val="5"/>
          <w:sz w:val="25"/>
          <w:szCs w:val="25"/>
        </w:rPr>
        <w:t>60%</w:t>
      </w:r>
      <w:r>
        <w:rPr>
          <w:rFonts w:ascii="仿宋" w:hAnsi="仿宋" w:eastAsia="仿宋" w:cs="仿宋"/>
          <w:spacing w:val="5"/>
          <w:sz w:val="25"/>
          <w:szCs w:val="25"/>
        </w:rPr>
        <w:t>。大中型矿山比例由</w:t>
      </w:r>
      <w:r>
        <w:rPr>
          <w:rFonts w:ascii="仿宋" w:hAnsi="仿宋" w:eastAsia="仿宋" w:cs="仿宋"/>
          <w:spacing w:val="-52"/>
          <w:sz w:val="25"/>
          <w:szCs w:val="25"/>
        </w:rPr>
        <w:t xml:space="preserve"> </w:t>
      </w:r>
      <w:r>
        <w:rPr>
          <w:rFonts w:ascii="Times New Roman" w:hAnsi="Times New Roman" w:eastAsia="Times New Roman" w:cs="Times New Roman"/>
          <w:spacing w:val="5"/>
          <w:sz w:val="25"/>
          <w:szCs w:val="25"/>
        </w:rPr>
        <w:t>2020</w:t>
      </w:r>
      <w:r>
        <w:rPr>
          <w:rFonts w:ascii="Times New Roman" w:hAnsi="Times New Roman" w:eastAsia="Times New Roman" w:cs="Times New Roman"/>
          <w:spacing w:val="27"/>
          <w:sz w:val="25"/>
          <w:szCs w:val="25"/>
        </w:rPr>
        <w:t xml:space="preserve"> </w:t>
      </w:r>
      <w:r>
        <w:rPr>
          <w:rFonts w:ascii="仿宋" w:hAnsi="仿宋" w:eastAsia="仿宋" w:cs="仿宋"/>
          <w:spacing w:val="5"/>
          <w:sz w:val="25"/>
          <w:szCs w:val="25"/>
        </w:rPr>
        <w:t>年的</w:t>
      </w:r>
      <w:r>
        <w:rPr>
          <w:rFonts w:ascii="Times New Roman" w:hAnsi="Times New Roman" w:eastAsia="Times New Roman" w:cs="Times New Roman"/>
          <w:spacing w:val="5"/>
          <w:sz w:val="25"/>
          <w:szCs w:val="25"/>
        </w:rPr>
        <w:t>28%</w:t>
      </w:r>
      <w:r>
        <w:rPr>
          <w:rFonts w:ascii="仿宋" w:hAnsi="仿宋" w:eastAsia="仿宋" w:cs="仿宋"/>
          <w:spacing w:val="5"/>
          <w:sz w:val="25"/>
          <w:szCs w:val="25"/>
        </w:rPr>
        <w:t>上升至</w:t>
      </w:r>
      <w:r>
        <w:rPr>
          <w:rFonts w:ascii="仿宋" w:hAnsi="仿宋" w:eastAsia="仿宋" w:cs="仿宋"/>
          <w:spacing w:val="-56"/>
          <w:sz w:val="25"/>
          <w:szCs w:val="25"/>
        </w:rPr>
        <w:t xml:space="preserve"> </w:t>
      </w:r>
      <w:r>
        <w:rPr>
          <w:rFonts w:ascii="Times New Roman" w:hAnsi="Times New Roman" w:eastAsia="Times New Roman" w:cs="Times New Roman"/>
          <w:spacing w:val="5"/>
          <w:sz w:val="25"/>
          <w:szCs w:val="25"/>
        </w:rPr>
        <w:t>42.9%</w:t>
      </w:r>
      <w:r>
        <w:rPr>
          <w:rFonts w:ascii="仿宋" w:hAnsi="仿宋" w:eastAsia="仿宋" w:cs="仿宋"/>
          <w:spacing w:val="5"/>
          <w:sz w:val="25"/>
          <w:szCs w:val="25"/>
        </w:rPr>
        <w:t>，虽然</w:t>
      </w:r>
      <w:r>
        <w:rPr>
          <w:rFonts w:hint="eastAsia" w:ascii="仿宋" w:hAnsi="仿宋" w:eastAsia="仿宋" w:cs="仿宋"/>
          <w:spacing w:val="5"/>
          <w:sz w:val="25"/>
          <w:szCs w:val="25"/>
          <w:lang w:eastAsia="zh-CN"/>
        </w:rPr>
        <w:t>“</w:t>
      </w:r>
      <w:r>
        <w:rPr>
          <w:rFonts w:ascii="仿宋" w:hAnsi="仿宋" w:eastAsia="仿宋" w:cs="仿宋"/>
          <w:spacing w:val="5"/>
          <w:sz w:val="25"/>
          <w:szCs w:val="25"/>
        </w:rPr>
        <w:t>十四五</w:t>
      </w:r>
      <w:r>
        <w:rPr>
          <w:rFonts w:hint="eastAsia" w:ascii="仿宋" w:hAnsi="仿宋" w:eastAsia="仿宋" w:cs="仿宋"/>
          <w:spacing w:val="5"/>
          <w:sz w:val="25"/>
          <w:szCs w:val="25"/>
          <w:lang w:eastAsia="zh-CN"/>
        </w:rPr>
        <w:t>”</w:t>
      </w:r>
      <w:r>
        <w:rPr>
          <w:rFonts w:ascii="仿宋" w:hAnsi="仿宋" w:eastAsia="仿宋" w:cs="仿宋"/>
          <w:spacing w:val="5"/>
          <w:sz w:val="25"/>
          <w:szCs w:val="25"/>
        </w:rPr>
        <w:t>期间全区</w:t>
      </w:r>
      <w:r>
        <w:rPr>
          <w:rFonts w:ascii="仿宋" w:hAnsi="仿宋" w:eastAsia="仿宋" w:cs="仿宋"/>
          <w:sz w:val="25"/>
          <w:szCs w:val="25"/>
        </w:rPr>
        <w:t xml:space="preserve"> </w:t>
      </w:r>
      <w:r>
        <w:rPr>
          <w:rFonts w:ascii="仿宋" w:hAnsi="仿宋" w:eastAsia="仿宋" w:cs="仿宋"/>
          <w:spacing w:val="4"/>
          <w:sz w:val="25"/>
          <w:szCs w:val="25"/>
        </w:rPr>
        <w:t>关闭了</w:t>
      </w:r>
      <w:r>
        <w:rPr>
          <w:rFonts w:ascii="仿宋" w:hAnsi="仿宋" w:eastAsia="仿宋" w:cs="仿宋"/>
          <w:spacing w:val="-19"/>
          <w:sz w:val="25"/>
          <w:szCs w:val="25"/>
        </w:rPr>
        <w:t xml:space="preserve"> </w:t>
      </w:r>
      <w:r>
        <w:rPr>
          <w:rFonts w:ascii="Times New Roman" w:hAnsi="Times New Roman" w:eastAsia="Times New Roman" w:cs="Times New Roman"/>
          <w:spacing w:val="4"/>
          <w:sz w:val="25"/>
          <w:szCs w:val="25"/>
        </w:rPr>
        <w:t>11</w:t>
      </w:r>
      <w:r>
        <w:rPr>
          <w:rFonts w:ascii="Times New Roman" w:hAnsi="Times New Roman" w:eastAsia="Times New Roman" w:cs="Times New Roman"/>
          <w:spacing w:val="23"/>
          <w:w w:val="101"/>
          <w:sz w:val="25"/>
          <w:szCs w:val="25"/>
        </w:rPr>
        <w:t xml:space="preserve"> </w:t>
      </w:r>
      <w:r>
        <w:rPr>
          <w:rFonts w:ascii="仿宋" w:hAnsi="仿宋" w:eastAsia="仿宋" w:cs="仿宋"/>
          <w:spacing w:val="4"/>
          <w:sz w:val="25"/>
          <w:szCs w:val="25"/>
        </w:rPr>
        <w:t>个矿山，但黔江区原本小型矿山较多，</w:t>
      </w:r>
      <w:r>
        <w:rPr>
          <w:rFonts w:hint="eastAsia" w:ascii="仿宋" w:hAnsi="仿宋" w:eastAsia="仿宋" w:cs="仿宋"/>
          <w:spacing w:val="4"/>
          <w:sz w:val="25"/>
          <w:szCs w:val="25"/>
          <w:lang w:eastAsia="zh-CN"/>
        </w:rPr>
        <w:t>“</w:t>
      </w:r>
      <w:r>
        <w:rPr>
          <w:rFonts w:ascii="仿宋" w:hAnsi="仿宋" w:eastAsia="仿宋" w:cs="仿宋"/>
          <w:spacing w:val="4"/>
          <w:sz w:val="25"/>
          <w:szCs w:val="25"/>
        </w:rPr>
        <w:t>十四五</w:t>
      </w:r>
      <w:r>
        <w:rPr>
          <w:rFonts w:hint="eastAsia" w:ascii="仿宋" w:hAnsi="仿宋" w:eastAsia="仿宋" w:cs="仿宋"/>
          <w:spacing w:val="4"/>
          <w:sz w:val="25"/>
          <w:szCs w:val="25"/>
          <w:lang w:eastAsia="zh-CN"/>
        </w:rPr>
        <w:t>”</w:t>
      </w:r>
      <w:r>
        <w:rPr>
          <w:rFonts w:ascii="仿宋" w:hAnsi="仿宋" w:eastAsia="仿宋" w:cs="仿宋"/>
          <w:spacing w:val="4"/>
          <w:sz w:val="25"/>
          <w:szCs w:val="25"/>
        </w:rPr>
        <w:t>规划新设的大中型矿山</w:t>
      </w:r>
      <w:r>
        <w:rPr>
          <w:rFonts w:ascii="仿宋" w:hAnsi="仿宋" w:eastAsia="仿宋" w:cs="仿宋"/>
          <w:sz w:val="25"/>
          <w:szCs w:val="25"/>
        </w:rPr>
        <w:t xml:space="preserve"> </w:t>
      </w:r>
      <w:r>
        <w:rPr>
          <w:rFonts w:ascii="仿宋" w:hAnsi="仿宋" w:eastAsia="仿宋" w:cs="仿宋"/>
          <w:spacing w:val="7"/>
          <w:sz w:val="25"/>
          <w:szCs w:val="25"/>
        </w:rPr>
        <w:t>大部分未投放，</w:t>
      </w:r>
      <w:r>
        <w:rPr>
          <w:rFonts w:ascii="仿宋" w:hAnsi="仿宋" w:eastAsia="仿宋" w:cs="仿宋"/>
          <w:spacing w:val="-59"/>
          <w:sz w:val="25"/>
          <w:szCs w:val="25"/>
        </w:rPr>
        <w:t xml:space="preserve"> </w:t>
      </w:r>
      <w:r>
        <w:rPr>
          <w:rFonts w:ascii="仿宋" w:hAnsi="仿宋" w:eastAsia="仿宋" w:cs="仿宋"/>
          <w:spacing w:val="7"/>
          <w:sz w:val="25"/>
          <w:szCs w:val="25"/>
        </w:rPr>
        <w:t>因此大中型矿山比例提高不多，未完成规划指标。</w:t>
      </w:r>
    </w:p>
    <w:p w14:paraId="4C8D1066">
      <w:pPr>
        <w:spacing w:line="229" w:lineRule="auto"/>
        <w:ind w:left="659"/>
        <w:rPr>
          <w:rFonts w:ascii="仿宋" w:hAnsi="仿宋" w:eastAsia="仿宋" w:cs="仿宋"/>
          <w:sz w:val="25"/>
          <w:szCs w:val="25"/>
        </w:rPr>
      </w:pPr>
      <w:r>
        <w:rPr>
          <w:rFonts w:ascii="仿宋" w:hAnsi="仿宋" w:eastAsia="仿宋" w:cs="仿宋"/>
          <w:spacing w:val="6"/>
          <w:sz w:val="25"/>
          <w:szCs w:val="25"/>
        </w:rPr>
        <w:t>矿规主要指标完成情况见表</w:t>
      </w:r>
      <w:r>
        <w:rPr>
          <w:rFonts w:ascii="仿宋" w:hAnsi="仿宋" w:eastAsia="仿宋" w:cs="仿宋"/>
          <w:spacing w:val="-48"/>
          <w:sz w:val="25"/>
          <w:szCs w:val="25"/>
        </w:rPr>
        <w:t xml:space="preserve"> </w:t>
      </w:r>
      <w:r>
        <w:rPr>
          <w:rFonts w:ascii="Times New Roman" w:hAnsi="Times New Roman" w:eastAsia="Times New Roman" w:cs="Times New Roman"/>
          <w:spacing w:val="6"/>
          <w:sz w:val="25"/>
          <w:szCs w:val="25"/>
        </w:rPr>
        <w:t>3.2-2</w:t>
      </w:r>
      <w:r>
        <w:rPr>
          <w:rFonts w:ascii="仿宋" w:hAnsi="仿宋" w:eastAsia="仿宋" w:cs="仿宋"/>
          <w:spacing w:val="6"/>
          <w:sz w:val="25"/>
          <w:szCs w:val="25"/>
        </w:rPr>
        <w:t>。</w:t>
      </w:r>
    </w:p>
    <w:p w14:paraId="1E54386F">
      <w:pPr>
        <w:spacing w:before="191" w:line="231" w:lineRule="auto"/>
        <w:ind w:left="1997"/>
        <w:rPr>
          <w:rFonts w:ascii="仿宋" w:hAnsi="仿宋" w:eastAsia="仿宋" w:cs="仿宋"/>
          <w:sz w:val="20"/>
          <w:szCs w:val="20"/>
        </w:rPr>
      </w:pPr>
      <w:r>
        <w:rPr>
          <w:rFonts w:ascii="仿宋" w:hAnsi="仿宋" w:eastAsia="仿宋" w:cs="仿宋"/>
          <w:b/>
          <w:bCs/>
          <w:spacing w:val="6"/>
          <w:sz w:val="20"/>
          <w:szCs w:val="20"/>
        </w:rPr>
        <w:t>表</w:t>
      </w:r>
      <w:r>
        <w:rPr>
          <w:rFonts w:ascii="仿宋" w:hAnsi="仿宋" w:eastAsia="仿宋" w:cs="仿宋"/>
          <w:spacing w:val="-37"/>
          <w:sz w:val="20"/>
          <w:szCs w:val="20"/>
        </w:rPr>
        <w:t xml:space="preserve"> </w:t>
      </w:r>
      <w:r>
        <w:rPr>
          <w:rFonts w:ascii="Times New Roman" w:hAnsi="Times New Roman" w:eastAsia="Times New Roman" w:cs="Times New Roman"/>
          <w:b/>
          <w:bCs/>
          <w:spacing w:val="6"/>
          <w:sz w:val="20"/>
          <w:szCs w:val="20"/>
        </w:rPr>
        <w:t xml:space="preserve">3.2-2    </w:t>
      </w:r>
      <w:r>
        <w:rPr>
          <w:rFonts w:ascii="仿宋" w:hAnsi="仿宋" w:eastAsia="仿宋" w:cs="仿宋"/>
          <w:b/>
          <w:bCs/>
          <w:spacing w:val="6"/>
          <w:sz w:val="20"/>
          <w:szCs w:val="20"/>
        </w:rPr>
        <w:t>黔江区</w:t>
      </w:r>
      <w:r>
        <w:rPr>
          <w:rFonts w:ascii="Times New Roman" w:hAnsi="Times New Roman" w:eastAsia="Times New Roman" w:cs="Times New Roman"/>
          <w:b/>
          <w:bCs/>
          <w:spacing w:val="6"/>
          <w:sz w:val="20"/>
          <w:szCs w:val="20"/>
        </w:rPr>
        <w:t>“</w:t>
      </w:r>
      <w:r>
        <w:rPr>
          <w:rFonts w:ascii="仿宋" w:hAnsi="仿宋" w:eastAsia="仿宋" w:cs="仿宋"/>
          <w:b/>
          <w:bCs/>
          <w:spacing w:val="6"/>
          <w:sz w:val="20"/>
          <w:szCs w:val="20"/>
        </w:rPr>
        <w:t>十四五</w:t>
      </w:r>
      <w:r>
        <w:rPr>
          <w:rFonts w:ascii="Times New Roman" w:hAnsi="Times New Roman" w:eastAsia="Times New Roman" w:cs="Times New Roman"/>
          <w:b/>
          <w:bCs/>
          <w:spacing w:val="6"/>
          <w:sz w:val="20"/>
          <w:szCs w:val="20"/>
        </w:rPr>
        <w:t>”</w:t>
      </w:r>
      <w:r>
        <w:rPr>
          <w:rFonts w:ascii="仿宋" w:hAnsi="仿宋" w:eastAsia="仿宋" w:cs="仿宋"/>
          <w:b/>
          <w:bCs/>
          <w:spacing w:val="6"/>
          <w:sz w:val="20"/>
          <w:szCs w:val="20"/>
        </w:rPr>
        <w:t>期间矿规主要指标完成情况表</w:t>
      </w:r>
    </w:p>
    <w:p w14:paraId="3899313D">
      <w:pPr>
        <w:spacing w:line="23" w:lineRule="exact"/>
      </w:pPr>
    </w:p>
    <w:tbl>
      <w:tblPr>
        <w:tblStyle w:val="5"/>
        <w:tblW w:w="8873" w:type="dxa"/>
        <w:tblInd w:w="107"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3789"/>
        <w:gridCol w:w="1106"/>
        <w:gridCol w:w="1203"/>
        <w:gridCol w:w="920"/>
        <w:gridCol w:w="920"/>
        <w:gridCol w:w="935"/>
      </w:tblGrid>
      <w:tr w14:paraId="5B719917">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555" w:hRule="atLeast"/>
        </w:trPr>
        <w:tc>
          <w:tcPr>
            <w:tcW w:w="3789" w:type="dxa"/>
            <w:tcBorders>
              <w:right w:val="single" w:color="000000" w:sz="4" w:space="0"/>
            </w:tcBorders>
            <w:vAlign w:val="top"/>
          </w:tcPr>
          <w:p w14:paraId="103BC16E">
            <w:pPr>
              <w:pStyle w:val="6"/>
              <w:spacing w:before="179" w:line="231" w:lineRule="auto"/>
              <w:ind w:left="1445"/>
              <w:rPr>
                <w:sz w:val="19"/>
                <w:szCs w:val="19"/>
              </w:rPr>
            </w:pPr>
            <w:r>
              <w:rPr>
                <w:spacing w:val="-3"/>
                <w:sz w:val="19"/>
                <w:szCs w:val="19"/>
              </w:rPr>
              <w:t>指</w:t>
            </w:r>
            <w:r>
              <w:rPr>
                <w:spacing w:val="7"/>
                <w:sz w:val="19"/>
                <w:szCs w:val="19"/>
              </w:rPr>
              <w:t xml:space="preserve">     </w:t>
            </w:r>
            <w:r>
              <w:rPr>
                <w:spacing w:val="-3"/>
                <w:sz w:val="19"/>
                <w:szCs w:val="19"/>
              </w:rPr>
              <w:t>标</w:t>
            </w:r>
          </w:p>
        </w:tc>
        <w:tc>
          <w:tcPr>
            <w:tcW w:w="1106" w:type="dxa"/>
            <w:tcBorders>
              <w:left w:val="single" w:color="000000" w:sz="4" w:space="0"/>
              <w:right w:val="single" w:color="000000" w:sz="4" w:space="0"/>
            </w:tcBorders>
            <w:vAlign w:val="top"/>
          </w:tcPr>
          <w:p w14:paraId="60DA45F7">
            <w:pPr>
              <w:pStyle w:val="6"/>
              <w:spacing w:before="178" w:line="230" w:lineRule="auto"/>
              <w:ind w:left="363"/>
              <w:rPr>
                <w:sz w:val="19"/>
                <w:szCs w:val="19"/>
              </w:rPr>
            </w:pPr>
            <w:r>
              <w:rPr>
                <w:sz w:val="19"/>
                <w:szCs w:val="19"/>
              </w:rPr>
              <w:t>单位</w:t>
            </w:r>
          </w:p>
        </w:tc>
        <w:tc>
          <w:tcPr>
            <w:tcW w:w="1203" w:type="dxa"/>
            <w:tcBorders>
              <w:left w:val="single" w:color="000000" w:sz="4" w:space="0"/>
              <w:right w:val="single" w:color="000000" w:sz="4" w:space="0"/>
            </w:tcBorders>
            <w:vAlign w:val="top"/>
          </w:tcPr>
          <w:p w14:paraId="02C1B0E9">
            <w:pPr>
              <w:pStyle w:val="6"/>
              <w:spacing w:before="51" w:line="233" w:lineRule="auto"/>
              <w:ind w:left="212"/>
              <w:rPr>
                <w:sz w:val="19"/>
                <w:szCs w:val="19"/>
              </w:rPr>
            </w:pPr>
            <w:r>
              <w:rPr>
                <w:spacing w:val="4"/>
                <w:sz w:val="19"/>
                <w:szCs w:val="19"/>
              </w:rPr>
              <w:t>《规划》</w:t>
            </w:r>
          </w:p>
          <w:p w14:paraId="71567648">
            <w:pPr>
              <w:pStyle w:val="6"/>
              <w:spacing w:before="19" w:line="228" w:lineRule="auto"/>
              <w:ind w:left="278"/>
              <w:rPr>
                <w:sz w:val="19"/>
                <w:szCs w:val="19"/>
              </w:rPr>
            </w:pPr>
            <w:r>
              <w:rPr>
                <w:rFonts w:ascii="Times New Roman" w:hAnsi="Times New Roman" w:eastAsia="Times New Roman" w:cs="Times New Roman"/>
                <w:spacing w:val="3"/>
                <w:sz w:val="19"/>
                <w:szCs w:val="19"/>
              </w:rPr>
              <w:t>2025</w:t>
            </w:r>
            <w:r>
              <w:rPr>
                <w:rFonts w:ascii="Times New Roman" w:hAnsi="Times New Roman" w:eastAsia="Times New Roman" w:cs="Times New Roman"/>
                <w:spacing w:val="18"/>
                <w:w w:val="101"/>
                <w:sz w:val="19"/>
                <w:szCs w:val="19"/>
              </w:rPr>
              <w:t xml:space="preserve"> </w:t>
            </w:r>
            <w:r>
              <w:rPr>
                <w:spacing w:val="3"/>
                <w:sz w:val="19"/>
                <w:szCs w:val="19"/>
              </w:rPr>
              <w:t>年</w:t>
            </w:r>
          </w:p>
        </w:tc>
        <w:tc>
          <w:tcPr>
            <w:tcW w:w="920" w:type="dxa"/>
            <w:tcBorders>
              <w:left w:val="single" w:color="000000" w:sz="4" w:space="0"/>
              <w:right w:val="single" w:color="000000" w:sz="4" w:space="0"/>
            </w:tcBorders>
            <w:vAlign w:val="top"/>
          </w:tcPr>
          <w:p w14:paraId="4581AE0A">
            <w:pPr>
              <w:pStyle w:val="6"/>
              <w:spacing w:before="51"/>
              <w:ind w:left="274" w:right="50" w:hanging="201"/>
              <w:rPr>
                <w:sz w:val="19"/>
                <w:szCs w:val="19"/>
              </w:rPr>
            </w:pPr>
            <w:r>
              <w:rPr>
                <w:spacing w:val="6"/>
                <w:sz w:val="19"/>
                <w:szCs w:val="19"/>
              </w:rPr>
              <w:t>《规划调</w:t>
            </w:r>
            <w:r>
              <w:rPr>
                <w:sz w:val="19"/>
                <w:szCs w:val="19"/>
              </w:rPr>
              <w:t xml:space="preserve"> </w:t>
            </w:r>
            <w:r>
              <w:rPr>
                <w:spacing w:val="-3"/>
                <w:sz w:val="19"/>
                <w:szCs w:val="19"/>
              </w:rPr>
              <w:t>整》</w:t>
            </w:r>
          </w:p>
        </w:tc>
        <w:tc>
          <w:tcPr>
            <w:tcW w:w="920" w:type="dxa"/>
            <w:tcBorders>
              <w:left w:val="single" w:color="000000" w:sz="4" w:space="0"/>
              <w:right w:val="single" w:color="000000" w:sz="4" w:space="0"/>
            </w:tcBorders>
            <w:vAlign w:val="top"/>
          </w:tcPr>
          <w:p w14:paraId="57E8019D">
            <w:pPr>
              <w:pStyle w:val="6"/>
              <w:spacing w:before="51"/>
              <w:ind w:left="130" w:right="21" w:hanging="80"/>
              <w:rPr>
                <w:sz w:val="19"/>
                <w:szCs w:val="19"/>
              </w:rPr>
            </w:pPr>
            <w:r>
              <w:rPr>
                <w:spacing w:val="3"/>
                <w:sz w:val="19"/>
                <w:szCs w:val="19"/>
              </w:rPr>
              <w:t>截止</w:t>
            </w:r>
            <w:r>
              <w:rPr>
                <w:spacing w:val="-37"/>
                <w:sz w:val="19"/>
                <w:szCs w:val="19"/>
              </w:rPr>
              <w:t xml:space="preserve"> </w:t>
            </w:r>
            <w:r>
              <w:rPr>
                <w:rFonts w:ascii="Times New Roman" w:hAnsi="Times New Roman" w:eastAsia="Times New Roman" w:cs="Times New Roman"/>
                <w:spacing w:val="3"/>
                <w:sz w:val="19"/>
                <w:szCs w:val="19"/>
              </w:rPr>
              <w:t>2024</w:t>
            </w:r>
            <w:r>
              <w:rPr>
                <w:rFonts w:ascii="Times New Roman" w:hAnsi="Times New Roman" w:eastAsia="Times New Roman" w:cs="Times New Roman"/>
                <w:sz w:val="19"/>
                <w:szCs w:val="19"/>
              </w:rPr>
              <w:t xml:space="preserve"> </w:t>
            </w:r>
            <w:r>
              <w:rPr>
                <w:spacing w:val="-6"/>
                <w:sz w:val="19"/>
                <w:szCs w:val="19"/>
              </w:rPr>
              <w:t>年</w:t>
            </w:r>
            <w:r>
              <w:rPr>
                <w:spacing w:val="-20"/>
                <w:sz w:val="19"/>
                <w:szCs w:val="19"/>
              </w:rPr>
              <w:t xml:space="preserve"> </w:t>
            </w:r>
            <w:r>
              <w:rPr>
                <w:rFonts w:ascii="Times New Roman" w:hAnsi="Times New Roman" w:eastAsia="Times New Roman" w:cs="Times New Roman"/>
                <w:spacing w:val="-6"/>
                <w:sz w:val="19"/>
                <w:szCs w:val="19"/>
              </w:rPr>
              <w:t>12</w:t>
            </w:r>
            <w:r>
              <w:rPr>
                <w:rFonts w:ascii="Times New Roman" w:hAnsi="Times New Roman" w:eastAsia="Times New Roman" w:cs="Times New Roman"/>
                <w:spacing w:val="25"/>
                <w:sz w:val="19"/>
                <w:szCs w:val="19"/>
              </w:rPr>
              <w:t xml:space="preserve"> </w:t>
            </w:r>
            <w:r>
              <w:rPr>
                <w:spacing w:val="-6"/>
                <w:sz w:val="19"/>
                <w:szCs w:val="19"/>
              </w:rPr>
              <w:t>月</w:t>
            </w:r>
          </w:p>
        </w:tc>
        <w:tc>
          <w:tcPr>
            <w:tcW w:w="935" w:type="dxa"/>
            <w:tcBorders>
              <w:left w:val="single" w:color="000000" w:sz="4" w:space="0"/>
            </w:tcBorders>
            <w:vAlign w:val="top"/>
          </w:tcPr>
          <w:p w14:paraId="04663C6F">
            <w:pPr>
              <w:pStyle w:val="6"/>
              <w:spacing w:before="178" w:line="229" w:lineRule="auto"/>
              <w:ind w:left="280"/>
              <w:rPr>
                <w:sz w:val="19"/>
                <w:szCs w:val="19"/>
              </w:rPr>
            </w:pPr>
            <w:r>
              <w:rPr>
                <w:spacing w:val="2"/>
                <w:sz w:val="19"/>
                <w:szCs w:val="19"/>
              </w:rPr>
              <w:t>属性</w:t>
            </w:r>
          </w:p>
        </w:tc>
      </w:tr>
    </w:tbl>
    <w:p w14:paraId="4B544123">
      <w:pPr>
        <w:pStyle w:val="2"/>
        <w:spacing w:line="74" w:lineRule="exact"/>
        <w:rPr>
          <w:sz w:val="6"/>
        </w:rPr>
      </w:pPr>
    </w:p>
    <w:p w14:paraId="423C7535">
      <w:pPr>
        <w:spacing w:line="74" w:lineRule="exact"/>
        <w:rPr>
          <w:sz w:val="6"/>
          <w:szCs w:val="6"/>
        </w:rPr>
        <w:sectPr>
          <w:headerReference r:id="rId125" w:type="default"/>
          <w:footerReference r:id="rId126" w:type="default"/>
          <w:pgSz w:w="11906" w:h="16839"/>
          <w:pgMar w:top="1116" w:right="1351" w:bottom="1480" w:left="1464" w:header="683" w:footer="1318" w:gutter="0"/>
          <w:cols w:space="720" w:num="1"/>
        </w:sectPr>
      </w:pPr>
    </w:p>
    <w:p w14:paraId="4222D318">
      <w:pPr>
        <w:spacing w:before="82"/>
      </w:pPr>
    </w:p>
    <w:tbl>
      <w:tblPr>
        <w:tblStyle w:val="5"/>
        <w:tblW w:w="8873" w:type="dxa"/>
        <w:tblInd w:w="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37"/>
        <w:gridCol w:w="2152"/>
        <w:gridCol w:w="1106"/>
        <w:gridCol w:w="1203"/>
        <w:gridCol w:w="920"/>
        <w:gridCol w:w="920"/>
        <w:gridCol w:w="935"/>
      </w:tblGrid>
      <w:tr w14:paraId="5A4E7F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3789" w:type="dxa"/>
            <w:gridSpan w:val="2"/>
            <w:tcBorders>
              <w:top w:val="single" w:color="000000" w:sz="10" w:space="0"/>
              <w:left w:val="single" w:color="000000" w:sz="10" w:space="0"/>
            </w:tcBorders>
            <w:vAlign w:val="top"/>
          </w:tcPr>
          <w:p w14:paraId="1B819709">
            <w:pPr>
              <w:pStyle w:val="6"/>
              <w:spacing w:before="105" w:line="231" w:lineRule="auto"/>
              <w:ind w:left="794"/>
              <w:rPr>
                <w:sz w:val="19"/>
                <w:szCs w:val="19"/>
              </w:rPr>
            </w:pPr>
            <w:r>
              <w:rPr>
                <w:spacing w:val="8"/>
                <w:sz w:val="19"/>
                <w:szCs w:val="19"/>
              </w:rPr>
              <w:t>新发现和评价重要矿产地</w:t>
            </w:r>
          </w:p>
        </w:tc>
        <w:tc>
          <w:tcPr>
            <w:tcW w:w="1106" w:type="dxa"/>
            <w:tcBorders>
              <w:top w:val="single" w:color="000000" w:sz="10" w:space="0"/>
            </w:tcBorders>
            <w:vAlign w:val="top"/>
          </w:tcPr>
          <w:p w14:paraId="789EBF7C">
            <w:pPr>
              <w:pStyle w:val="6"/>
              <w:spacing w:before="104" w:line="238" w:lineRule="auto"/>
              <w:ind w:left="460"/>
              <w:rPr>
                <w:sz w:val="19"/>
                <w:szCs w:val="19"/>
              </w:rPr>
            </w:pPr>
            <w:r>
              <w:rPr>
                <w:sz w:val="19"/>
                <w:szCs w:val="19"/>
              </w:rPr>
              <w:t>处</w:t>
            </w:r>
          </w:p>
        </w:tc>
        <w:tc>
          <w:tcPr>
            <w:tcW w:w="1203" w:type="dxa"/>
            <w:tcBorders>
              <w:top w:val="single" w:color="000000" w:sz="10" w:space="0"/>
            </w:tcBorders>
            <w:vAlign w:val="top"/>
          </w:tcPr>
          <w:p w14:paraId="59EA6A36">
            <w:pPr>
              <w:spacing w:before="139" w:line="195" w:lineRule="auto"/>
              <w:ind w:left="551"/>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4</w:t>
            </w:r>
          </w:p>
        </w:tc>
        <w:tc>
          <w:tcPr>
            <w:tcW w:w="920" w:type="dxa"/>
            <w:tcBorders>
              <w:top w:val="single" w:color="000000" w:sz="10" w:space="0"/>
            </w:tcBorders>
            <w:vAlign w:val="top"/>
          </w:tcPr>
          <w:p w14:paraId="36BBF54A">
            <w:pPr>
              <w:spacing w:before="139" w:line="195" w:lineRule="auto"/>
              <w:ind w:left="413"/>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4</w:t>
            </w:r>
          </w:p>
        </w:tc>
        <w:tc>
          <w:tcPr>
            <w:tcW w:w="920" w:type="dxa"/>
            <w:tcBorders>
              <w:top w:val="single" w:color="000000" w:sz="10" w:space="0"/>
            </w:tcBorders>
            <w:vAlign w:val="top"/>
          </w:tcPr>
          <w:p w14:paraId="71873FF4">
            <w:pPr>
              <w:spacing w:before="139" w:line="195" w:lineRule="auto"/>
              <w:ind w:left="437"/>
              <w:rPr>
                <w:rFonts w:ascii="Times New Roman" w:hAnsi="Times New Roman" w:eastAsia="Times New Roman" w:cs="Times New Roman"/>
                <w:sz w:val="19"/>
                <w:szCs w:val="19"/>
              </w:rPr>
            </w:pPr>
            <w:r>
              <w:rPr>
                <w:rFonts w:ascii="Times New Roman" w:hAnsi="Times New Roman" w:eastAsia="Times New Roman" w:cs="Times New Roman"/>
                <w:sz w:val="19"/>
                <w:szCs w:val="19"/>
              </w:rPr>
              <w:t>1</w:t>
            </w:r>
          </w:p>
        </w:tc>
        <w:tc>
          <w:tcPr>
            <w:tcW w:w="935" w:type="dxa"/>
            <w:tcBorders>
              <w:top w:val="single" w:color="000000" w:sz="10" w:space="0"/>
              <w:right w:val="single" w:color="000000" w:sz="10" w:space="0"/>
            </w:tcBorders>
            <w:vAlign w:val="top"/>
          </w:tcPr>
          <w:p w14:paraId="73EA6623">
            <w:pPr>
              <w:pStyle w:val="6"/>
              <w:spacing w:before="105" w:line="229" w:lineRule="auto"/>
              <w:ind w:left="181"/>
              <w:rPr>
                <w:sz w:val="19"/>
                <w:szCs w:val="19"/>
              </w:rPr>
            </w:pPr>
            <w:r>
              <w:rPr>
                <w:spacing w:val="5"/>
                <w:sz w:val="19"/>
                <w:szCs w:val="19"/>
              </w:rPr>
              <w:t>预期性</w:t>
            </w:r>
          </w:p>
        </w:tc>
      </w:tr>
      <w:tr w14:paraId="12D2D6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637" w:type="dxa"/>
            <w:vMerge w:val="restart"/>
            <w:tcBorders>
              <w:left w:val="single" w:color="000000" w:sz="10" w:space="0"/>
              <w:bottom w:val="nil"/>
            </w:tcBorders>
            <w:vAlign w:val="top"/>
          </w:tcPr>
          <w:p w14:paraId="281650CD">
            <w:pPr>
              <w:spacing w:line="281" w:lineRule="auto"/>
              <w:rPr>
                <w:rFonts w:ascii="Arial"/>
                <w:sz w:val="21"/>
              </w:rPr>
            </w:pPr>
          </w:p>
          <w:p w14:paraId="36F95F90">
            <w:pPr>
              <w:spacing w:line="281" w:lineRule="auto"/>
              <w:rPr>
                <w:rFonts w:ascii="Arial"/>
                <w:sz w:val="21"/>
              </w:rPr>
            </w:pPr>
          </w:p>
          <w:p w14:paraId="508133E2">
            <w:pPr>
              <w:spacing w:line="282" w:lineRule="auto"/>
              <w:rPr>
                <w:rFonts w:ascii="Arial"/>
                <w:sz w:val="21"/>
              </w:rPr>
            </w:pPr>
          </w:p>
          <w:p w14:paraId="684F3310">
            <w:pPr>
              <w:pStyle w:val="6"/>
              <w:spacing w:before="62" w:line="231" w:lineRule="auto"/>
              <w:ind w:left="215"/>
              <w:rPr>
                <w:sz w:val="19"/>
                <w:szCs w:val="19"/>
              </w:rPr>
            </w:pPr>
            <w:r>
              <w:rPr>
                <w:spacing w:val="7"/>
                <w:sz w:val="19"/>
                <w:szCs w:val="19"/>
              </w:rPr>
              <w:t>新增资源储量</w:t>
            </w:r>
          </w:p>
        </w:tc>
        <w:tc>
          <w:tcPr>
            <w:tcW w:w="2152" w:type="dxa"/>
            <w:vAlign w:val="top"/>
          </w:tcPr>
          <w:p w14:paraId="4FEC779A">
            <w:pPr>
              <w:pStyle w:val="6"/>
              <w:spacing w:before="97" w:line="233" w:lineRule="auto"/>
              <w:ind w:left="779"/>
              <w:rPr>
                <w:sz w:val="19"/>
                <w:szCs w:val="19"/>
              </w:rPr>
            </w:pPr>
            <w:r>
              <w:rPr>
                <w:spacing w:val="5"/>
                <w:sz w:val="19"/>
                <w:szCs w:val="19"/>
              </w:rPr>
              <w:t>铝土矿</w:t>
            </w:r>
          </w:p>
        </w:tc>
        <w:tc>
          <w:tcPr>
            <w:tcW w:w="1106" w:type="dxa"/>
            <w:vAlign w:val="top"/>
          </w:tcPr>
          <w:p w14:paraId="6DC0BFF9">
            <w:pPr>
              <w:pStyle w:val="6"/>
              <w:spacing w:before="97" w:line="235" w:lineRule="auto"/>
              <w:ind w:left="360"/>
              <w:rPr>
                <w:sz w:val="19"/>
                <w:szCs w:val="19"/>
              </w:rPr>
            </w:pPr>
            <w:r>
              <w:rPr>
                <w:spacing w:val="1"/>
                <w:sz w:val="19"/>
                <w:szCs w:val="19"/>
              </w:rPr>
              <w:t>万吨</w:t>
            </w:r>
          </w:p>
        </w:tc>
        <w:tc>
          <w:tcPr>
            <w:tcW w:w="1203" w:type="dxa"/>
            <w:vAlign w:val="top"/>
          </w:tcPr>
          <w:p w14:paraId="4DB6B5EC">
            <w:pPr>
              <w:spacing w:before="132" w:line="195" w:lineRule="auto"/>
              <w:ind w:left="457"/>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920</w:t>
            </w:r>
          </w:p>
        </w:tc>
        <w:tc>
          <w:tcPr>
            <w:tcW w:w="920" w:type="dxa"/>
            <w:vAlign w:val="top"/>
          </w:tcPr>
          <w:p w14:paraId="61CE39E3">
            <w:pPr>
              <w:spacing w:before="132" w:line="195" w:lineRule="auto"/>
              <w:ind w:left="317"/>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920</w:t>
            </w:r>
          </w:p>
        </w:tc>
        <w:tc>
          <w:tcPr>
            <w:tcW w:w="920" w:type="dxa"/>
            <w:vAlign w:val="top"/>
          </w:tcPr>
          <w:p w14:paraId="388A3BFC">
            <w:pPr>
              <w:spacing w:before="132" w:line="195" w:lineRule="auto"/>
              <w:ind w:left="212"/>
              <w:rPr>
                <w:rFonts w:ascii="Times New Roman" w:hAnsi="Times New Roman" w:eastAsia="Times New Roman" w:cs="Times New Roman"/>
                <w:sz w:val="19"/>
                <w:szCs w:val="19"/>
              </w:rPr>
            </w:pPr>
            <w:r>
              <w:rPr>
                <w:rFonts w:ascii="Times New Roman" w:hAnsi="Times New Roman" w:eastAsia="Times New Roman" w:cs="Times New Roman"/>
                <w:sz w:val="19"/>
                <w:szCs w:val="19"/>
              </w:rPr>
              <w:t>1600.4</w:t>
            </w:r>
          </w:p>
        </w:tc>
        <w:tc>
          <w:tcPr>
            <w:tcW w:w="935" w:type="dxa"/>
            <w:vMerge w:val="restart"/>
            <w:tcBorders>
              <w:bottom w:val="nil"/>
              <w:right w:val="single" w:color="000000" w:sz="10" w:space="0"/>
            </w:tcBorders>
            <w:vAlign w:val="top"/>
          </w:tcPr>
          <w:p w14:paraId="5B7F0A35">
            <w:pPr>
              <w:spacing w:line="281" w:lineRule="auto"/>
              <w:rPr>
                <w:rFonts w:ascii="Arial"/>
                <w:sz w:val="21"/>
              </w:rPr>
            </w:pPr>
          </w:p>
          <w:p w14:paraId="564CF1E8">
            <w:pPr>
              <w:spacing w:line="281" w:lineRule="auto"/>
              <w:rPr>
                <w:rFonts w:ascii="Arial"/>
                <w:sz w:val="21"/>
              </w:rPr>
            </w:pPr>
          </w:p>
          <w:p w14:paraId="0CC3FB89">
            <w:pPr>
              <w:spacing w:line="282" w:lineRule="auto"/>
              <w:rPr>
                <w:rFonts w:ascii="Arial"/>
                <w:sz w:val="21"/>
              </w:rPr>
            </w:pPr>
          </w:p>
          <w:p w14:paraId="4C0EA181">
            <w:pPr>
              <w:pStyle w:val="6"/>
              <w:spacing w:before="62" w:line="229" w:lineRule="auto"/>
              <w:ind w:left="181"/>
              <w:rPr>
                <w:sz w:val="19"/>
                <w:szCs w:val="19"/>
              </w:rPr>
            </w:pPr>
            <w:r>
              <w:rPr>
                <w:spacing w:val="5"/>
                <w:sz w:val="19"/>
                <w:szCs w:val="19"/>
              </w:rPr>
              <w:t>预期性</w:t>
            </w:r>
          </w:p>
        </w:tc>
      </w:tr>
      <w:tr w14:paraId="1B1C5F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637" w:type="dxa"/>
            <w:vMerge w:val="continue"/>
            <w:tcBorders>
              <w:top w:val="nil"/>
              <w:left w:val="single" w:color="000000" w:sz="10" w:space="0"/>
              <w:bottom w:val="nil"/>
            </w:tcBorders>
            <w:vAlign w:val="top"/>
          </w:tcPr>
          <w:p w14:paraId="391181F9">
            <w:pPr>
              <w:rPr>
                <w:rFonts w:ascii="Arial"/>
                <w:sz w:val="21"/>
              </w:rPr>
            </w:pPr>
          </w:p>
        </w:tc>
        <w:tc>
          <w:tcPr>
            <w:tcW w:w="2152" w:type="dxa"/>
            <w:vAlign w:val="top"/>
          </w:tcPr>
          <w:p w14:paraId="725EE9BF">
            <w:pPr>
              <w:pStyle w:val="6"/>
              <w:spacing w:before="101" w:line="234" w:lineRule="auto"/>
              <w:ind w:left="484"/>
              <w:rPr>
                <w:sz w:val="19"/>
                <w:szCs w:val="19"/>
              </w:rPr>
            </w:pPr>
            <w:r>
              <w:rPr>
                <w:spacing w:val="4"/>
                <w:sz w:val="19"/>
                <w:szCs w:val="19"/>
              </w:rPr>
              <w:t>萤石（普通）</w:t>
            </w:r>
          </w:p>
        </w:tc>
        <w:tc>
          <w:tcPr>
            <w:tcW w:w="1106" w:type="dxa"/>
            <w:vAlign w:val="top"/>
          </w:tcPr>
          <w:p w14:paraId="1E723B75">
            <w:pPr>
              <w:pStyle w:val="6"/>
              <w:spacing w:before="100" w:line="235" w:lineRule="auto"/>
              <w:ind w:left="360"/>
              <w:rPr>
                <w:sz w:val="19"/>
                <w:szCs w:val="19"/>
              </w:rPr>
            </w:pPr>
            <w:r>
              <w:rPr>
                <w:spacing w:val="1"/>
                <w:sz w:val="19"/>
                <w:szCs w:val="19"/>
              </w:rPr>
              <w:t>万吨</w:t>
            </w:r>
          </w:p>
        </w:tc>
        <w:tc>
          <w:tcPr>
            <w:tcW w:w="1203" w:type="dxa"/>
            <w:vAlign w:val="top"/>
          </w:tcPr>
          <w:p w14:paraId="0668A262">
            <w:pPr>
              <w:spacing w:before="135" w:line="195" w:lineRule="auto"/>
              <w:ind w:left="509"/>
              <w:rPr>
                <w:rFonts w:ascii="Times New Roman" w:hAnsi="Times New Roman" w:eastAsia="Times New Roman" w:cs="Times New Roman"/>
                <w:sz w:val="19"/>
                <w:szCs w:val="19"/>
              </w:rPr>
            </w:pPr>
            <w:r>
              <w:rPr>
                <w:rFonts w:ascii="Times New Roman" w:hAnsi="Times New Roman" w:eastAsia="Times New Roman" w:cs="Times New Roman"/>
                <w:sz w:val="19"/>
                <w:szCs w:val="19"/>
              </w:rPr>
              <w:t>50</w:t>
            </w:r>
          </w:p>
        </w:tc>
        <w:tc>
          <w:tcPr>
            <w:tcW w:w="920" w:type="dxa"/>
            <w:vAlign w:val="top"/>
          </w:tcPr>
          <w:p w14:paraId="0270ED1A">
            <w:pPr>
              <w:spacing w:before="135" w:line="195" w:lineRule="auto"/>
              <w:ind w:left="369"/>
              <w:rPr>
                <w:rFonts w:ascii="Times New Roman" w:hAnsi="Times New Roman" w:eastAsia="Times New Roman" w:cs="Times New Roman"/>
                <w:sz w:val="19"/>
                <w:szCs w:val="19"/>
              </w:rPr>
            </w:pPr>
            <w:r>
              <w:rPr>
                <w:rFonts w:ascii="Times New Roman" w:hAnsi="Times New Roman" w:eastAsia="Times New Roman" w:cs="Times New Roman"/>
                <w:sz w:val="19"/>
                <w:szCs w:val="19"/>
              </w:rPr>
              <w:t>50</w:t>
            </w:r>
          </w:p>
        </w:tc>
        <w:tc>
          <w:tcPr>
            <w:tcW w:w="920" w:type="dxa"/>
            <w:vAlign w:val="top"/>
          </w:tcPr>
          <w:p w14:paraId="2705BBA0">
            <w:pPr>
              <w:spacing w:before="135" w:line="195" w:lineRule="auto"/>
              <w:ind w:left="421"/>
              <w:rPr>
                <w:rFonts w:ascii="Times New Roman" w:hAnsi="Times New Roman" w:eastAsia="Times New Roman" w:cs="Times New Roman"/>
                <w:sz w:val="19"/>
                <w:szCs w:val="19"/>
              </w:rPr>
            </w:pPr>
            <w:r>
              <w:rPr>
                <w:rFonts w:ascii="Times New Roman" w:hAnsi="Times New Roman" w:eastAsia="Times New Roman" w:cs="Times New Roman"/>
                <w:sz w:val="19"/>
                <w:szCs w:val="19"/>
              </w:rPr>
              <w:t>0</w:t>
            </w:r>
          </w:p>
        </w:tc>
        <w:tc>
          <w:tcPr>
            <w:tcW w:w="935" w:type="dxa"/>
            <w:vMerge w:val="continue"/>
            <w:tcBorders>
              <w:top w:val="nil"/>
              <w:bottom w:val="nil"/>
              <w:right w:val="single" w:color="000000" w:sz="10" w:space="0"/>
            </w:tcBorders>
            <w:vAlign w:val="top"/>
          </w:tcPr>
          <w:p w14:paraId="79033A1D">
            <w:pPr>
              <w:rPr>
                <w:rFonts w:ascii="Arial"/>
                <w:sz w:val="21"/>
              </w:rPr>
            </w:pPr>
          </w:p>
        </w:tc>
      </w:tr>
      <w:tr w14:paraId="623F1C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637" w:type="dxa"/>
            <w:vMerge w:val="continue"/>
            <w:tcBorders>
              <w:top w:val="nil"/>
              <w:left w:val="single" w:color="000000" w:sz="10" w:space="0"/>
              <w:bottom w:val="nil"/>
            </w:tcBorders>
            <w:vAlign w:val="top"/>
          </w:tcPr>
          <w:p w14:paraId="5509CBCB">
            <w:pPr>
              <w:rPr>
                <w:rFonts w:ascii="Arial"/>
                <w:sz w:val="21"/>
              </w:rPr>
            </w:pPr>
          </w:p>
        </w:tc>
        <w:tc>
          <w:tcPr>
            <w:tcW w:w="2152" w:type="dxa"/>
            <w:vAlign w:val="top"/>
          </w:tcPr>
          <w:p w14:paraId="3BFDC802">
            <w:pPr>
              <w:pStyle w:val="6"/>
              <w:spacing w:before="87" w:line="232" w:lineRule="auto"/>
              <w:ind w:left="784"/>
              <w:rPr>
                <w:sz w:val="19"/>
                <w:szCs w:val="19"/>
              </w:rPr>
            </w:pPr>
            <w:r>
              <w:rPr>
                <w:spacing w:val="3"/>
                <w:sz w:val="19"/>
                <w:szCs w:val="19"/>
              </w:rPr>
              <w:t>重晶石</w:t>
            </w:r>
          </w:p>
        </w:tc>
        <w:tc>
          <w:tcPr>
            <w:tcW w:w="1106" w:type="dxa"/>
            <w:vAlign w:val="top"/>
          </w:tcPr>
          <w:p w14:paraId="0F6BE526">
            <w:pPr>
              <w:pStyle w:val="6"/>
              <w:spacing w:before="87" w:line="235" w:lineRule="auto"/>
              <w:ind w:left="360"/>
              <w:rPr>
                <w:sz w:val="19"/>
                <w:szCs w:val="19"/>
              </w:rPr>
            </w:pPr>
            <w:r>
              <w:rPr>
                <w:spacing w:val="1"/>
                <w:sz w:val="19"/>
                <w:szCs w:val="19"/>
              </w:rPr>
              <w:t>万吨</w:t>
            </w:r>
          </w:p>
        </w:tc>
        <w:tc>
          <w:tcPr>
            <w:tcW w:w="1203" w:type="dxa"/>
            <w:vAlign w:val="top"/>
          </w:tcPr>
          <w:p w14:paraId="078BE8FF">
            <w:pPr>
              <w:spacing w:before="121" w:line="195" w:lineRule="auto"/>
              <w:ind w:left="508"/>
              <w:rPr>
                <w:rFonts w:ascii="Times New Roman" w:hAnsi="Times New Roman" w:eastAsia="Times New Roman" w:cs="Times New Roman"/>
                <w:sz w:val="19"/>
                <w:szCs w:val="19"/>
              </w:rPr>
            </w:pPr>
            <w:r>
              <w:rPr>
                <w:rFonts w:ascii="Times New Roman" w:hAnsi="Times New Roman" w:eastAsia="Times New Roman" w:cs="Times New Roman"/>
                <w:sz w:val="19"/>
                <w:szCs w:val="19"/>
              </w:rPr>
              <w:t>60</w:t>
            </w:r>
          </w:p>
        </w:tc>
        <w:tc>
          <w:tcPr>
            <w:tcW w:w="920" w:type="dxa"/>
            <w:vAlign w:val="top"/>
          </w:tcPr>
          <w:p w14:paraId="449C2771">
            <w:pPr>
              <w:spacing w:before="121" w:line="195" w:lineRule="auto"/>
              <w:ind w:left="368"/>
              <w:rPr>
                <w:rFonts w:ascii="Times New Roman" w:hAnsi="Times New Roman" w:eastAsia="Times New Roman" w:cs="Times New Roman"/>
                <w:sz w:val="19"/>
                <w:szCs w:val="19"/>
              </w:rPr>
            </w:pPr>
            <w:r>
              <w:rPr>
                <w:rFonts w:ascii="Times New Roman" w:hAnsi="Times New Roman" w:eastAsia="Times New Roman" w:cs="Times New Roman"/>
                <w:sz w:val="19"/>
                <w:szCs w:val="19"/>
              </w:rPr>
              <w:t>60</w:t>
            </w:r>
          </w:p>
        </w:tc>
        <w:tc>
          <w:tcPr>
            <w:tcW w:w="920" w:type="dxa"/>
            <w:vAlign w:val="top"/>
          </w:tcPr>
          <w:p w14:paraId="747A5C5B">
            <w:pPr>
              <w:spacing w:before="121" w:line="195" w:lineRule="auto"/>
              <w:ind w:left="421"/>
              <w:rPr>
                <w:rFonts w:ascii="Times New Roman" w:hAnsi="Times New Roman" w:eastAsia="Times New Roman" w:cs="Times New Roman"/>
                <w:sz w:val="19"/>
                <w:szCs w:val="19"/>
              </w:rPr>
            </w:pPr>
            <w:r>
              <w:rPr>
                <w:rFonts w:ascii="Times New Roman" w:hAnsi="Times New Roman" w:eastAsia="Times New Roman" w:cs="Times New Roman"/>
                <w:sz w:val="19"/>
                <w:szCs w:val="19"/>
              </w:rPr>
              <w:t>0</w:t>
            </w:r>
          </w:p>
        </w:tc>
        <w:tc>
          <w:tcPr>
            <w:tcW w:w="935" w:type="dxa"/>
            <w:vMerge w:val="continue"/>
            <w:tcBorders>
              <w:top w:val="nil"/>
              <w:bottom w:val="nil"/>
              <w:right w:val="single" w:color="000000" w:sz="10" w:space="0"/>
            </w:tcBorders>
            <w:vAlign w:val="top"/>
          </w:tcPr>
          <w:p w14:paraId="57221DB0">
            <w:pPr>
              <w:rPr>
                <w:rFonts w:ascii="Arial"/>
                <w:sz w:val="21"/>
              </w:rPr>
            </w:pPr>
          </w:p>
        </w:tc>
      </w:tr>
      <w:tr w14:paraId="0B661C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637" w:type="dxa"/>
            <w:vMerge w:val="continue"/>
            <w:tcBorders>
              <w:top w:val="nil"/>
              <w:left w:val="single" w:color="000000" w:sz="10" w:space="0"/>
              <w:bottom w:val="nil"/>
            </w:tcBorders>
            <w:vAlign w:val="top"/>
          </w:tcPr>
          <w:p w14:paraId="09E86DF0">
            <w:pPr>
              <w:rPr>
                <w:rFonts w:ascii="Arial"/>
                <w:sz w:val="21"/>
              </w:rPr>
            </w:pPr>
          </w:p>
        </w:tc>
        <w:tc>
          <w:tcPr>
            <w:tcW w:w="2152" w:type="dxa"/>
            <w:vAlign w:val="top"/>
          </w:tcPr>
          <w:p w14:paraId="73B12CBC">
            <w:pPr>
              <w:pStyle w:val="6"/>
              <w:spacing w:before="102" w:line="232" w:lineRule="auto"/>
              <w:ind w:left="578"/>
              <w:rPr>
                <w:sz w:val="19"/>
                <w:szCs w:val="19"/>
              </w:rPr>
            </w:pPr>
            <w:r>
              <w:rPr>
                <w:spacing w:val="7"/>
                <w:sz w:val="19"/>
                <w:szCs w:val="19"/>
              </w:rPr>
              <w:t>水泥用灰岩</w:t>
            </w:r>
          </w:p>
        </w:tc>
        <w:tc>
          <w:tcPr>
            <w:tcW w:w="1106" w:type="dxa"/>
            <w:vAlign w:val="top"/>
          </w:tcPr>
          <w:p w14:paraId="3BFE8882">
            <w:pPr>
              <w:pStyle w:val="6"/>
              <w:spacing w:before="102" w:line="235" w:lineRule="auto"/>
              <w:ind w:left="360"/>
              <w:rPr>
                <w:sz w:val="19"/>
                <w:szCs w:val="19"/>
              </w:rPr>
            </w:pPr>
            <w:r>
              <w:rPr>
                <w:spacing w:val="1"/>
                <w:sz w:val="19"/>
                <w:szCs w:val="19"/>
              </w:rPr>
              <w:t>万吨</w:t>
            </w:r>
          </w:p>
        </w:tc>
        <w:tc>
          <w:tcPr>
            <w:tcW w:w="1203" w:type="dxa"/>
            <w:vAlign w:val="top"/>
          </w:tcPr>
          <w:p w14:paraId="74A9A56A">
            <w:pPr>
              <w:spacing w:before="137" w:line="195" w:lineRule="auto"/>
              <w:ind w:left="407"/>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3500</w:t>
            </w:r>
          </w:p>
        </w:tc>
        <w:tc>
          <w:tcPr>
            <w:tcW w:w="920" w:type="dxa"/>
            <w:vAlign w:val="top"/>
          </w:tcPr>
          <w:p w14:paraId="08D912BB">
            <w:pPr>
              <w:spacing w:before="137" w:line="195" w:lineRule="auto"/>
              <w:ind w:left="269"/>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3500</w:t>
            </w:r>
          </w:p>
        </w:tc>
        <w:tc>
          <w:tcPr>
            <w:tcW w:w="920" w:type="dxa"/>
            <w:vAlign w:val="top"/>
          </w:tcPr>
          <w:p w14:paraId="0DA5674E">
            <w:pPr>
              <w:spacing w:before="137" w:line="195" w:lineRule="auto"/>
              <w:ind w:left="147"/>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6198.73</w:t>
            </w:r>
          </w:p>
        </w:tc>
        <w:tc>
          <w:tcPr>
            <w:tcW w:w="935" w:type="dxa"/>
            <w:vMerge w:val="continue"/>
            <w:tcBorders>
              <w:top w:val="nil"/>
              <w:bottom w:val="nil"/>
              <w:right w:val="single" w:color="000000" w:sz="10" w:space="0"/>
            </w:tcBorders>
            <w:vAlign w:val="top"/>
          </w:tcPr>
          <w:p w14:paraId="08DF4D37">
            <w:pPr>
              <w:rPr>
                <w:rFonts w:ascii="Arial"/>
                <w:sz w:val="21"/>
              </w:rPr>
            </w:pPr>
          </w:p>
        </w:tc>
      </w:tr>
      <w:tr w14:paraId="508613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637" w:type="dxa"/>
            <w:vMerge w:val="continue"/>
            <w:tcBorders>
              <w:top w:val="nil"/>
              <w:left w:val="single" w:color="000000" w:sz="10" w:space="0"/>
            </w:tcBorders>
            <w:vAlign w:val="top"/>
          </w:tcPr>
          <w:p w14:paraId="23BF745F">
            <w:pPr>
              <w:rPr>
                <w:rFonts w:ascii="Arial"/>
                <w:sz w:val="21"/>
              </w:rPr>
            </w:pPr>
          </w:p>
        </w:tc>
        <w:tc>
          <w:tcPr>
            <w:tcW w:w="2152" w:type="dxa"/>
            <w:vAlign w:val="top"/>
          </w:tcPr>
          <w:p w14:paraId="008DC950">
            <w:pPr>
              <w:pStyle w:val="6"/>
              <w:spacing w:before="105" w:line="233" w:lineRule="auto"/>
              <w:ind w:left="579"/>
              <w:rPr>
                <w:sz w:val="19"/>
                <w:szCs w:val="19"/>
              </w:rPr>
            </w:pPr>
            <w:r>
              <w:rPr>
                <w:spacing w:val="6"/>
                <w:sz w:val="19"/>
                <w:szCs w:val="19"/>
              </w:rPr>
              <w:t>饰面用灰岩</w:t>
            </w:r>
          </w:p>
        </w:tc>
        <w:tc>
          <w:tcPr>
            <w:tcW w:w="1106" w:type="dxa"/>
            <w:vAlign w:val="top"/>
          </w:tcPr>
          <w:p w14:paraId="22CF35F6">
            <w:pPr>
              <w:pStyle w:val="6"/>
              <w:spacing w:before="106" w:line="231" w:lineRule="auto"/>
              <w:ind w:left="161"/>
              <w:rPr>
                <w:sz w:val="19"/>
                <w:szCs w:val="19"/>
              </w:rPr>
            </w:pPr>
            <w:r>
              <w:rPr>
                <w:spacing w:val="6"/>
                <w:sz w:val="19"/>
                <w:szCs w:val="19"/>
              </w:rPr>
              <w:t>万立方米</w:t>
            </w:r>
          </w:p>
        </w:tc>
        <w:tc>
          <w:tcPr>
            <w:tcW w:w="1203" w:type="dxa"/>
            <w:vAlign w:val="top"/>
          </w:tcPr>
          <w:p w14:paraId="47D73436">
            <w:pPr>
              <w:spacing w:before="140" w:line="195" w:lineRule="auto"/>
              <w:ind w:left="472"/>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140</w:t>
            </w:r>
          </w:p>
        </w:tc>
        <w:tc>
          <w:tcPr>
            <w:tcW w:w="920" w:type="dxa"/>
            <w:vAlign w:val="top"/>
          </w:tcPr>
          <w:p w14:paraId="30B8A914">
            <w:pPr>
              <w:spacing w:before="140" w:line="195" w:lineRule="auto"/>
              <w:ind w:left="332"/>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140</w:t>
            </w:r>
          </w:p>
        </w:tc>
        <w:tc>
          <w:tcPr>
            <w:tcW w:w="920" w:type="dxa"/>
            <w:vAlign w:val="top"/>
          </w:tcPr>
          <w:p w14:paraId="79AA0DE7">
            <w:pPr>
              <w:spacing w:before="140" w:line="195" w:lineRule="auto"/>
              <w:ind w:left="421"/>
              <w:rPr>
                <w:rFonts w:ascii="Times New Roman" w:hAnsi="Times New Roman" w:eastAsia="Times New Roman" w:cs="Times New Roman"/>
                <w:sz w:val="19"/>
                <w:szCs w:val="19"/>
              </w:rPr>
            </w:pPr>
            <w:r>
              <w:rPr>
                <w:rFonts w:ascii="Times New Roman" w:hAnsi="Times New Roman" w:eastAsia="Times New Roman" w:cs="Times New Roman"/>
                <w:sz w:val="19"/>
                <w:szCs w:val="19"/>
              </w:rPr>
              <w:t>0</w:t>
            </w:r>
          </w:p>
        </w:tc>
        <w:tc>
          <w:tcPr>
            <w:tcW w:w="935" w:type="dxa"/>
            <w:vMerge w:val="continue"/>
            <w:tcBorders>
              <w:top w:val="nil"/>
              <w:right w:val="single" w:color="000000" w:sz="10" w:space="0"/>
            </w:tcBorders>
            <w:vAlign w:val="top"/>
          </w:tcPr>
          <w:p w14:paraId="2B02E236">
            <w:pPr>
              <w:rPr>
                <w:rFonts w:ascii="Arial"/>
                <w:sz w:val="21"/>
              </w:rPr>
            </w:pPr>
          </w:p>
        </w:tc>
      </w:tr>
      <w:tr w14:paraId="173CC7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637" w:type="dxa"/>
            <w:vMerge w:val="restart"/>
            <w:tcBorders>
              <w:left w:val="single" w:color="000000" w:sz="10" w:space="0"/>
              <w:bottom w:val="nil"/>
            </w:tcBorders>
            <w:vAlign w:val="top"/>
          </w:tcPr>
          <w:p w14:paraId="597F2527">
            <w:pPr>
              <w:spacing w:line="288" w:lineRule="auto"/>
              <w:rPr>
                <w:rFonts w:ascii="Arial"/>
                <w:sz w:val="21"/>
              </w:rPr>
            </w:pPr>
          </w:p>
          <w:p w14:paraId="5A15AF71">
            <w:pPr>
              <w:spacing w:line="288" w:lineRule="auto"/>
              <w:rPr>
                <w:rFonts w:ascii="Arial"/>
                <w:sz w:val="21"/>
              </w:rPr>
            </w:pPr>
          </w:p>
          <w:p w14:paraId="7EFDBD1A">
            <w:pPr>
              <w:spacing w:line="289" w:lineRule="auto"/>
              <w:rPr>
                <w:rFonts w:ascii="Arial"/>
                <w:sz w:val="21"/>
              </w:rPr>
            </w:pPr>
          </w:p>
          <w:p w14:paraId="7E2296AA">
            <w:pPr>
              <w:spacing w:line="289" w:lineRule="auto"/>
              <w:rPr>
                <w:rFonts w:ascii="Arial"/>
                <w:sz w:val="21"/>
              </w:rPr>
            </w:pPr>
          </w:p>
          <w:p w14:paraId="2A0AB5C1">
            <w:pPr>
              <w:pStyle w:val="6"/>
              <w:spacing w:before="62" w:line="254" w:lineRule="auto"/>
              <w:ind w:left="718" w:right="19" w:hanging="698"/>
              <w:rPr>
                <w:sz w:val="19"/>
                <w:szCs w:val="19"/>
              </w:rPr>
            </w:pPr>
            <w:r>
              <w:rPr>
                <w:spacing w:val="7"/>
                <w:sz w:val="19"/>
                <w:szCs w:val="19"/>
              </w:rPr>
              <w:t>主要矿种年开采总</w:t>
            </w:r>
            <w:r>
              <w:rPr>
                <w:spacing w:val="2"/>
                <w:sz w:val="19"/>
                <w:szCs w:val="19"/>
              </w:rPr>
              <w:t xml:space="preserve"> </w:t>
            </w:r>
            <w:r>
              <w:rPr>
                <w:sz w:val="19"/>
                <w:szCs w:val="19"/>
              </w:rPr>
              <w:t>量</w:t>
            </w:r>
          </w:p>
        </w:tc>
        <w:tc>
          <w:tcPr>
            <w:tcW w:w="2152" w:type="dxa"/>
            <w:vAlign w:val="top"/>
          </w:tcPr>
          <w:p w14:paraId="7113DFB8">
            <w:pPr>
              <w:pStyle w:val="6"/>
              <w:spacing w:before="106" w:line="233" w:lineRule="auto"/>
              <w:ind w:left="779"/>
              <w:rPr>
                <w:sz w:val="19"/>
                <w:szCs w:val="19"/>
              </w:rPr>
            </w:pPr>
            <w:r>
              <w:rPr>
                <w:spacing w:val="5"/>
                <w:sz w:val="19"/>
                <w:szCs w:val="19"/>
              </w:rPr>
              <w:t>铝土矿</w:t>
            </w:r>
          </w:p>
        </w:tc>
        <w:tc>
          <w:tcPr>
            <w:tcW w:w="1106" w:type="dxa"/>
            <w:vAlign w:val="top"/>
          </w:tcPr>
          <w:p w14:paraId="46B88B2F">
            <w:pPr>
              <w:pStyle w:val="6"/>
              <w:spacing w:before="106" w:line="235" w:lineRule="auto"/>
              <w:ind w:left="360"/>
              <w:rPr>
                <w:sz w:val="19"/>
                <w:szCs w:val="19"/>
              </w:rPr>
            </w:pPr>
            <w:r>
              <w:rPr>
                <w:spacing w:val="1"/>
                <w:sz w:val="19"/>
                <w:szCs w:val="19"/>
              </w:rPr>
              <w:t>万吨</w:t>
            </w:r>
          </w:p>
        </w:tc>
        <w:tc>
          <w:tcPr>
            <w:tcW w:w="1203" w:type="dxa"/>
            <w:vAlign w:val="top"/>
          </w:tcPr>
          <w:p w14:paraId="1F057F63">
            <w:pPr>
              <w:spacing w:before="141" w:line="195" w:lineRule="auto"/>
              <w:ind w:left="508"/>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30</w:t>
            </w:r>
          </w:p>
        </w:tc>
        <w:tc>
          <w:tcPr>
            <w:tcW w:w="920" w:type="dxa"/>
            <w:vAlign w:val="top"/>
          </w:tcPr>
          <w:p w14:paraId="2E44DFD5">
            <w:pPr>
              <w:spacing w:before="141" w:line="195" w:lineRule="auto"/>
              <w:ind w:left="368"/>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30</w:t>
            </w:r>
          </w:p>
        </w:tc>
        <w:tc>
          <w:tcPr>
            <w:tcW w:w="920" w:type="dxa"/>
            <w:vAlign w:val="top"/>
          </w:tcPr>
          <w:p w14:paraId="0BB8DD0B">
            <w:pPr>
              <w:spacing w:before="141" w:line="195" w:lineRule="auto"/>
              <w:ind w:left="421"/>
              <w:rPr>
                <w:rFonts w:ascii="Times New Roman" w:hAnsi="Times New Roman" w:eastAsia="Times New Roman" w:cs="Times New Roman"/>
                <w:sz w:val="19"/>
                <w:szCs w:val="19"/>
              </w:rPr>
            </w:pPr>
            <w:r>
              <w:rPr>
                <w:rFonts w:ascii="Times New Roman" w:hAnsi="Times New Roman" w:eastAsia="Times New Roman" w:cs="Times New Roman"/>
                <w:sz w:val="19"/>
                <w:szCs w:val="19"/>
              </w:rPr>
              <w:t>0</w:t>
            </w:r>
          </w:p>
        </w:tc>
        <w:tc>
          <w:tcPr>
            <w:tcW w:w="935" w:type="dxa"/>
            <w:vMerge w:val="restart"/>
            <w:tcBorders>
              <w:bottom w:val="nil"/>
              <w:right w:val="single" w:color="000000" w:sz="10" w:space="0"/>
            </w:tcBorders>
            <w:vAlign w:val="top"/>
          </w:tcPr>
          <w:p w14:paraId="7959496D">
            <w:pPr>
              <w:spacing w:line="252" w:lineRule="auto"/>
              <w:rPr>
                <w:rFonts w:ascii="Arial"/>
                <w:sz w:val="21"/>
              </w:rPr>
            </w:pPr>
          </w:p>
          <w:p w14:paraId="2550FD60">
            <w:pPr>
              <w:pStyle w:val="6"/>
              <w:spacing w:before="62" w:line="229" w:lineRule="auto"/>
              <w:ind w:left="181"/>
              <w:rPr>
                <w:sz w:val="19"/>
                <w:szCs w:val="19"/>
              </w:rPr>
            </w:pPr>
            <w:r>
              <w:rPr>
                <w:spacing w:val="5"/>
                <w:sz w:val="19"/>
                <w:szCs w:val="19"/>
              </w:rPr>
              <w:t>预期性</w:t>
            </w:r>
          </w:p>
        </w:tc>
      </w:tr>
      <w:tr w14:paraId="352370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637" w:type="dxa"/>
            <w:vMerge w:val="continue"/>
            <w:tcBorders>
              <w:top w:val="nil"/>
              <w:left w:val="single" w:color="000000" w:sz="10" w:space="0"/>
              <w:bottom w:val="nil"/>
            </w:tcBorders>
            <w:vAlign w:val="top"/>
          </w:tcPr>
          <w:p w14:paraId="1826A340">
            <w:pPr>
              <w:rPr>
                <w:rFonts w:ascii="Arial"/>
                <w:sz w:val="21"/>
              </w:rPr>
            </w:pPr>
          </w:p>
        </w:tc>
        <w:tc>
          <w:tcPr>
            <w:tcW w:w="2152" w:type="dxa"/>
            <w:vAlign w:val="top"/>
          </w:tcPr>
          <w:p w14:paraId="61689918">
            <w:pPr>
              <w:pStyle w:val="6"/>
              <w:spacing w:before="110" w:line="232" w:lineRule="auto"/>
              <w:ind w:left="86"/>
              <w:rPr>
                <w:sz w:val="19"/>
                <w:szCs w:val="19"/>
              </w:rPr>
            </w:pPr>
            <w:r>
              <w:rPr>
                <w:spacing w:val="3"/>
                <w:sz w:val="19"/>
                <w:szCs w:val="19"/>
              </w:rPr>
              <w:t>萤石（普通）</w:t>
            </w:r>
            <w:r>
              <w:rPr>
                <w:spacing w:val="-47"/>
                <w:sz w:val="19"/>
                <w:szCs w:val="19"/>
              </w:rPr>
              <w:t xml:space="preserve"> </w:t>
            </w:r>
            <w:r>
              <w:rPr>
                <w:spacing w:val="3"/>
                <w:sz w:val="19"/>
                <w:szCs w:val="19"/>
              </w:rPr>
              <w:t>、重晶石</w:t>
            </w:r>
          </w:p>
        </w:tc>
        <w:tc>
          <w:tcPr>
            <w:tcW w:w="1106" w:type="dxa"/>
            <w:vAlign w:val="top"/>
          </w:tcPr>
          <w:p w14:paraId="09C7BAD2">
            <w:pPr>
              <w:pStyle w:val="6"/>
              <w:spacing w:before="109" w:line="235" w:lineRule="auto"/>
              <w:ind w:left="360"/>
              <w:rPr>
                <w:sz w:val="19"/>
                <w:szCs w:val="19"/>
              </w:rPr>
            </w:pPr>
            <w:r>
              <w:rPr>
                <w:spacing w:val="1"/>
                <w:sz w:val="19"/>
                <w:szCs w:val="19"/>
              </w:rPr>
              <w:t>万吨</w:t>
            </w:r>
          </w:p>
        </w:tc>
        <w:tc>
          <w:tcPr>
            <w:tcW w:w="1203" w:type="dxa"/>
            <w:vAlign w:val="top"/>
          </w:tcPr>
          <w:p w14:paraId="0F01525E">
            <w:pPr>
              <w:spacing w:before="144" w:line="195" w:lineRule="auto"/>
              <w:ind w:left="427"/>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24.5</w:t>
            </w:r>
          </w:p>
        </w:tc>
        <w:tc>
          <w:tcPr>
            <w:tcW w:w="920" w:type="dxa"/>
            <w:vAlign w:val="top"/>
          </w:tcPr>
          <w:p w14:paraId="5EEA0888">
            <w:pPr>
              <w:spacing w:before="144" w:line="195" w:lineRule="auto"/>
              <w:ind w:left="289"/>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24.5</w:t>
            </w:r>
          </w:p>
        </w:tc>
        <w:tc>
          <w:tcPr>
            <w:tcW w:w="920" w:type="dxa"/>
            <w:vAlign w:val="top"/>
          </w:tcPr>
          <w:p w14:paraId="367B0C35">
            <w:pPr>
              <w:spacing w:before="144" w:line="195" w:lineRule="auto"/>
              <w:ind w:left="422"/>
              <w:rPr>
                <w:rFonts w:ascii="Times New Roman" w:hAnsi="Times New Roman" w:eastAsia="Times New Roman" w:cs="Times New Roman"/>
                <w:sz w:val="19"/>
                <w:szCs w:val="19"/>
              </w:rPr>
            </w:pPr>
            <w:r>
              <w:rPr>
                <w:rFonts w:ascii="Times New Roman" w:hAnsi="Times New Roman" w:eastAsia="Times New Roman" w:cs="Times New Roman"/>
                <w:sz w:val="19"/>
                <w:szCs w:val="19"/>
              </w:rPr>
              <w:t>3</w:t>
            </w:r>
          </w:p>
        </w:tc>
        <w:tc>
          <w:tcPr>
            <w:tcW w:w="935" w:type="dxa"/>
            <w:vMerge w:val="continue"/>
            <w:tcBorders>
              <w:top w:val="nil"/>
              <w:right w:val="single" w:color="000000" w:sz="10" w:space="0"/>
            </w:tcBorders>
            <w:vAlign w:val="top"/>
          </w:tcPr>
          <w:p w14:paraId="03C77BDC">
            <w:pPr>
              <w:rPr>
                <w:rFonts w:ascii="Arial"/>
                <w:sz w:val="21"/>
              </w:rPr>
            </w:pPr>
          </w:p>
        </w:tc>
      </w:tr>
      <w:tr w14:paraId="5D877D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637" w:type="dxa"/>
            <w:vMerge w:val="continue"/>
            <w:tcBorders>
              <w:top w:val="nil"/>
              <w:left w:val="single" w:color="000000" w:sz="10" w:space="0"/>
              <w:bottom w:val="nil"/>
            </w:tcBorders>
            <w:vAlign w:val="top"/>
          </w:tcPr>
          <w:p w14:paraId="06AF3804">
            <w:pPr>
              <w:rPr>
                <w:rFonts w:ascii="Arial"/>
                <w:sz w:val="21"/>
              </w:rPr>
            </w:pPr>
          </w:p>
        </w:tc>
        <w:tc>
          <w:tcPr>
            <w:tcW w:w="2152" w:type="dxa"/>
            <w:vAlign w:val="top"/>
          </w:tcPr>
          <w:p w14:paraId="58EE461F">
            <w:pPr>
              <w:pStyle w:val="6"/>
              <w:spacing w:before="110" w:line="232" w:lineRule="auto"/>
              <w:ind w:left="578"/>
              <w:rPr>
                <w:sz w:val="19"/>
                <w:szCs w:val="19"/>
              </w:rPr>
            </w:pPr>
            <w:r>
              <w:rPr>
                <w:spacing w:val="7"/>
                <w:sz w:val="19"/>
                <w:szCs w:val="19"/>
              </w:rPr>
              <w:t>水泥用灰岩</w:t>
            </w:r>
          </w:p>
        </w:tc>
        <w:tc>
          <w:tcPr>
            <w:tcW w:w="1106" w:type="dxa"/>
            <w:vAlign w:val="top"/>
          </w:tcPr>
          <w:p w14:paraId="71BA20CF">
            <w:pPr>
              <w:pStyle w:val="6"/>
              <w:spacing w:before="110" w:line="235" w:lineRule="auto"/>
              <w:ind w:left="360"/>
              <w:rPr>
                <w:sz w:val="19"/>
                <w:szCs w:val="19"/>
              </w:rPr>
            </w:pPr>
            <w:r>
              <w:rPr>
                <w:spacing w:val="1"/>
                <w:sz w:val="19"/>
                <w:szCs w:val="19"/>
              </w:rPr>
              <w:t>万吨</w:t>
            </w:r>
          </w:p>
        </w:tc>
        <w:tc>
          <w:tcPr>
            <w:tcW w:w="1203" w:type="dxa"/>
            <w:vAlign w:val="top"/>
          </w:tcPr>
          <w:p w14:paraId="5E4E9E1C">
            <w:pPr>
              <w:pStyle w:val="6"/>
              <w:spacing w:before="110" w:line="257" w:lineRule="exact"/>
              <w:ind w:left="370"/>
              <w:rPr>
                <w:rFonts w:ascii="Times New Roman" w:hAnsi="Times New Roman" w:eastAsia="Times New Roman" w:cs="Times New Roman"/>
                <w:sz w:val="19"/>
                <w:szCs w:val="19"/>
              </w:rPr>
            </w:pPr>
            <w:r>
              <w:rPr>
                <w:position w:val="1"/>
                <w:sz w:val="19"/>
                <w:szCs w:val="19"/>
              </w:rPr>
              <w:t>≤</w:t>
            </w:r>
            <w:r>
              <w:rPr>
                <w:rFonts w:ascii="Times New Roman" w:hAnsi="Times New Roman" w:eastAsia="Times New Roman" w:cs="Times New Roman"/>
                <w:position w:val="1"/>
                <w:sz w:val="19"/>
                <w:szCs w:val="19"/>
              </w:rPr>
              <w:t>350</w:t>
            </w:r>
          </w:p>
        </w:tc>
        <w:tc>
          <w:tcPr>
            <w:tcW w:w="920" w:type="dxa"/>
            <w:vAlign w:val="top"/>
          </w:tcPr>
          <w:p w14:paraId="10CF69F2">
            <w:pPr>
              <w:pStyle w:val="6"/>
              <w:spacing w:before="110" w:line="257" w:lineRule="exact"/>
              <w:ind w:left="232"/>
              <w:rPr>
                <w:rFonts w:ascii="Times New Roman" w:hAnsi="Times New Roman" w:eastAsia="Times New Roman" w:cs="Times New Roman"/>
                <w:sz w:val="19"/>
                <w:szCs w:val="19"/>
              </w:rPr>
            </w:pPr>
            <w:r>
              <w:rPr>
                <w:position w:val="1"/>
                <w:sz w:val="19"/>
                <w:szCs w:val="19"/>
              </w:rPr>
              <w:t>≤</w:t>
            </w:r>
            <w:r>
              <w:rPr>
                <w:rFonts w:ascii="Times New Roman" w:hAnsi="Times New Roman" w:eastAsia="Times New Roman" w:cs="Times New Roman"/>
                <w:position w:val="1"/>
                <w:sz w:val="19"/>
                <w:szCs w:val="19"/>
              </w:rPr>
              <w:t>350</w:t>
            </w:r>
          </w:p>
        </w:tc>
        <w:tc>
          <w:tcPr>
            <w:tcW w:w="920" w:type="dxa"/>
            <w:vAlign w:val="top"/>
          </w:tcPr>
          <w:p w14:paraId="136A7647">
            <w:pPr>
              <w:spacing w:before="145" w:line="195" w:lineRule="auto"/>
              <w:ind w:left="262"/>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135.4</w:t>
            </w:r>
          </w:p>
        </w:tc>
        <w:tc>
          <w:tcPr>
            <w:tcW w:w="935" w:type="dxa"/>
            <w:tcBorders>
              <w:right w:val="single" w:color="000000" w:sz="10" w:space="0"/>
            </w:tcBorders>
            <w:vAlign w:val="top"/>
          </w:tcPr>
          <w:p w14:paraId="6C84AD6B">
            <w:pPr>
              <w:pStyle w:val="6"/>
              <w:spacing w:before="110" w:line="229" w:lineRule="auto"/>
              <w:ind w:left="181"/>
              <w:rPr>
                <w:sz w:val="19"/>
                <w:szCs w:val="19"/>
              </w:rPr>
            </w:pPr>
            <w:r>
              <w:rPr>
                <w:spacing w:val="5"/>
                <w:sz w:val="19"/>
                <w:szCs w:val="19"/>
              </w:rPr>
              <w:t>约束性</w:t>
            </w:r>
          </w:p>
        </w:tc>
      </w:tr>
      <w:tr w14:paraId="3D8938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 w:hRule="atLeast"/>
        </w:trPr>
        <w:tc>
          <w:tcPr>
            <w:tcW w:w="1637" w:type="dxa"/>
            <w:vMerge w:val="continue"/>
            <w:tcBorders>
              <w:top w:val="nil"/>
              <w:left w:val="single" w:color="000000" w:sz="10" w:space="0"/>
              <w:bottom w:val="nil"/>
            </w:tcBorders>
            <w:vAlign w:val="top"/>
          </w:tcPr>
          <w:p w14:paraId="751AAF21">
            <w:pPr>
              <w:rPr>
                <w:rFonts w:ascii="Arial"/>
                <w:sz w:val="21"/>
              </w:rPr>
            </w:pPr>
          </w:p>
        </w:tc>
        <w:tc>
          <w:tcPr>
            <w:tcW w:w="2152" w:type="dxa"/>
            <w:vAlign w:val="top"/>
          </w:tcPr>
          <w:p w14:paraId="6CB7AE7D">
            <w:pPr>
              <w:pStyle w:val="6"/>
              <w:spacing w:before="115" w:line="229" w:lineRule="auto"/>
              <w:ind w:left="379"/>
              <w:rPr>
                <w:sz w:val="19"/>
                <w:szCs w:val="19"/>
              </w:rPr>
            </w:pPr>
            <w:r>
              <w:rPr>
                <w:spacing w:val="7"/>
                <w:sz w:val="19"/>
                <w:szCs w:val="19"/>
              </w:rPr>
              <w:t>建筑石料用灰岩</w:t>
            </w:r>
          </w:p>
        </w:tc>
        <w:tc>
          <w:tcPr>
            <w:tcW w:w="1106" w:type="dxa"/>
            <w:vAlign w:val="top"/>
          </w:tcPr>
          <w:p w14:paraId="2D37915D">
            <w:pPr>
              <w:pStyle w:val="6"/>
              <w:spacing w:before="115" w:line="235" w:lineRule="auto"/>
              <w:ind w:left="360"/>
              <w:rPr>
                <w:sz w:val="19"/>
                <w:szCs w:val="19"/>
              </w:rPr>
            </w:pPr>
            <w:r>
              <w:rPr>
                <w:spacing w:val="1"/>
                <w:sz w:val="19"/>
                <w:szCs w:val="19"/>
              </w:rPr>
              <w:t>万吨</w:t>
            </w:r>
          </w:p>
        </w:tc>
        <w:tc>
          <w:tcPr>
            <w:tcW w:w="1203" w:type="dxa"/>
            <w:vAlign w:val="top"/>
          </w:tcPr>
          <w:p w14:paraId="18414B9B">
            <w:pPr>
              <w:pStyle w:val="6"/>
              <w:spacing w:before="115" w:line="256" w:lineRule="exact"/>
              <w:ind w:left="370"/>
              <w:rPr>
                <w:rFonts w:ascii="Times New Roman" w:hAnsi="Times New Roman" w:eastAsia="Times New Roman" w:cs="Times New Roman"/>
                <w:sz w:val="19"/>
                <w:szCs w:val="19"/>
              </w:rPr>
            </w:pPr>
            <w:r>
              <w:rPr>
                <w:position w:val="1"/>
                <w:sz w:val="19"/>
                <w:szCs w:val="19"/>
              </w:rPr>
              <w:t>≤</w:t>
            </w:r>
            <w:r>
              <w:rPr>
                <w:rFonts w:ascii="Times New Roman" w:hAnsi="Times New Roman" w:eastAsia="Times New Roman" w:cs="Times New Roman"/>
                <w:position w:val="1"/>
                <w:sz w:val="19"/>
                <w:szCs w:val="19"/>
              </w:rPr>
              <w:t>700</w:t>
            </w:r>
          </w:p>
        </w:tc>
        <w:tc>
          <w:tcPr>
            <w:tcW w:w="920" w:type="dxa"/>
            <w:vAlign w:val="top"/>
          </w:tcPr>
          <w:p w14:paraId="20C32D1D">
            <w:pPr>
              <w:pStyle w:val="6"/>
              <w:spacing w:before="115" w:line="256" w:lineRule="exact"/>
              <w:ind w:left="232"/>
              <w:rPr>
                <w:rFonts w:ascii="Times New Roman" w:hAnsi="Times New Roman" w:eastAsia="Times New Roman" w:cs="Times New Roman"/>
                <w:sz w:val="19"/>
                <w:szCs w:val="19"/>
              </w:rPr>
            </w:pPr>
            <w:r>
              <w:rPr>
                <w:position w:val="1"/>
                <w:sz w:val="19"/>
                <w:szCs w:val="19"/>
              </w:rPr>
              <w:t>≤</w:t>
            </w:r>
            <w:r>
              <w:rPr>
                <w:rFonts w:ascii="Times New Roman" w:hAnsi="Times New Roman" w:eastAsia="Times New Roman" w:cs="Times New Roman"/>
                <w:position w:val="1"/>
                <w:sz w:val="19"/>
                <w:szCs w:val="19"/>
              </w:rPr>
              <w:t>700</w:t>
            </w:r>
          </w:p>
        </w:tc>
        <w:tc>
          <w:tcPr>
            <w:tcW w:w="920" w:type="dxa"/>
            <w:vAlign w:val="top"/>
          </w:tcPr>
          <w:p w14:paraId="3A51C6A8">
            <w:pPr>
              <w:spacing w:before="149" w:line="195" w:lineRule="auto"/>
              <w:ind w:left="193"/>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272.51</w:t>
            </w:r>
          </w:p>
        </w:tc>
        <w:tc>
          <w:tcPr>
            <w:tcW w:w="935" w:type="dxa"/>
            <w:tcBorders>
              <w:right w:val="single" w:color="000000" w:sz="10" w:space="0"/>
            </w:tcBorders>
            <w:vAlign w:val="top"/>
          </w:tcPr>
          <w:p w14:paraId="456A7E69">
            <w:pPr>
              <w:pStyle w:val="6"/>
              <w:spacing w:before="115" w:line="229" w:lineRule="auto"/>
              <w:ind w:left="181"/>
              <w:rPr>
                <w:sz w:val="19"/>
                <w:szCs w:val="19"/>
              </w:rPr>
            </w:pPr>
            <w:r>
              <w:rPr>
                <w:spacing w:val="5"/>
                <w:sz w:val="19"/>
                <w:szCs w:val="19"/>
              </w:rPr>
              <w:t>约束性</w:t>
            </w:r>
          </w:p>
        </w:tc>
      </w:tr>
      <w:tr w14:paraId="4664E9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637" w:type="dxa"/>
            <w:vMerge w:val="continue"/>
            <w:tcBorders>
              <w:top w:val="nil"/>
              <w:left w:val="single" w:color="000000" w:sz="10" w:space="0"/>
              <w:bottom w:val="nil"/>
            </w:tcBorders>
            <w:vAlign w:val="top"/>
          </w:tcPr>
          <w:p w14:paraId="1743FC38">
            <w:pPr>
              <w:rPr>
                <w:rFonts w:ascii="Arial"/>
                <w:sz w:val="21"/>
              </w:rPr>
            </w:pPr>
          </w:p>
        </w:tc>
        <w:tc>
          <w:tcPr>
            <w:tcW w:w="2152" w:type="dxa"/>
            <w:vAlign w:val="top"/>
          </w:tcPr>
          <w:p w14:paraId="40DAB91D">
            <w:pPr>
              <w:pStyle w:val="6"/>
              <w:spacing w:before="114" w:line="233" w:lineRule="auto"/>
              <w:ind w:left="579"/>
              <w:rPr>
                <w:sz w:val="19"/>
                <w:szCs w:val="19"/>
              </w:rPr>
            </w:pPr>
            <w:r>
              <w:rPr>
                <w:spacing w:val="6"/>
                <w:sz w:val="19"/>
                <w:szCs w:val="19"/>
              </w:rPr>
              <w:t>饰面用灰岩</w:t>
            </w:r>
          </w:p>
        </w:tc>
        <w:tc>
          <w:tcPr>
            <w:tcW w:w="1106" w:type="dxa"/>
            <w:vAlign w:val="top"/>
          </w:tcPr>
          <w:p w14:paraId="7BA142C2">
            <w:pPr>
              <w:pStyle w:val="6"/>
              <w:spacing w:before="114" w:line="231" w:lineRule="auto"/>
              <w:ind w:left="161"/>
              <w:rPr>
                <w:sz w:val="19"/>
                <w:szCs w:val="19"/>
              </w:rPr>
            </w:pPr>
            <w:r>
              <w:rPr>
                <w:spacing w:val="6"/>
                <w:sz w:val="19"/>
                <w:szCs w:val="19"/>
              </w:rPr>
              <w:t>万立方米</w:t>
            </w:r>
          </w:p>
        </w:tc>
        <w:tc>
          <w:tcPr>
            <w:tcW w:w="1203" w:type="dxa"/>
            <w:vAlign w:val="top"/>
          </w:tcPr>
          <w:p w14:paraId="3E03C91E">
            <w:pPr>
              <w:spacing w:before="149" w:line="195" w:lineRule="auto"/>
              <w:ind w:left="551"/>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4</w:t>
            </w:r>
          </w:p>
        </w:tc>
        <w:tc>
          <w:tcPr>
            <w:tcW w:w="920" w:type="dxa"/>
            <w:vAlign w:val="top"/>
          </w:tcPr>
          <w:p w14:paraId="30C3597E">
            <w:pPr>
              <w:spacing w:before="149" w:line="195" w:lineRule="auto"/>
              <w:ind w:left="413"/>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4</w:t>
            </w:r>
          </w:p>
        </w:tc>
        <w:tc>
          <w:tcPr>
            <w:tcW w:w="920" w:type="dxa"/>
            <w:vAlign w:val="top"/>
          </w:tcPr>
          <w:p w14:paraId="5C5F30F2">
            <w:pPr>
              <w:spacing w:before="149" w:line="195" w:lineRule="auto"/>
              <w:ind w:left="421"/>
              <w:rPr>
                <w:rFonts w:ascii="Times New Roman" w:hAnsi="Times New Roman" w:eastAsia="Times New Roman" w:cs="Times New Roman"/>
                <w:sz w:val="19"/>
                <w:szCs w:val="19"/>
              </w:rPr>
            </w:pPr>
            <w:r>
              <w:rPr>
                <w:rFonts w:ascii="Times New Roman" w:hAnsi="Times New Roman" w:eastAsia="Times New Roman" w:cs="Times New Roman"/>
                <w:sz w:val="19"/>
                <w:szCs w:val="19"/>
              </w:rPr>
              <w:t>0</w:t>
            </w:r>
          </w:p>
        </w:tc>
        <w:tc>
          <w:tcPr>
            <w:tcW w:w="935" w:type="dxa"/>
            <w:vMerge w:val="restart"/>
            <w:tcBorders>
              <w:bottom w:val="nil"/>
              <w:right w:val="single" w:color="000000" w:sz="10" w:space="0"/>
            </w:tcBorders>
            <w:vAlign w:val="top"/>
          </w:tcPr>
          <w:p w14:paraId="5B11FD65">
            <w:pPr>
              <w:spacing w:line="465" w:lineRule="auto"/>
              <w:rPr>
                <w:rFonts w:ascii="Arial"/>
                <w:sz w:val="21"/>
              </w:rPr>
            </w:pPr>
          </w:p>
          <w:p w14:paraId="32249B9C">
            <w:pPr>
              <w:pStyle w:val="6"/>
              <w:spacing w:before="62" w:line="229" w:lineRule="auto"/>
              <w:ind w:left="181"/>
              <w:rPr>
                <w:sz w:val="19"/>
                <w:szCs w:val="19"/>
              </w:rPr>
            </w:pPr>
            <w:r>
              <w:rPr>
                <w:spacing w:val="5"/>
                <w:sz w:val="19"/>
                <w:szCs w:val="19"/>
              </w:rPr>
              <w:t>预期性</w:t>
            </w:r>
          </w:p>
        </w:tc>
      </w:tr>
      <w:tr w14:paraId="1CB6C8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637" w:type="dxa"/>
            <w:vMerge w:val="continue"/>
            <w:tcBorders>
              <w:top w:val="nil"/>
              <w:left w:val="single" w:color="000000" w:sz="10" w:space="0"/>
              <w:bottom w:val="nil"/>
            </w:tcBorders>
            <w:vAlign w:val="top"/>
          </w:tcPr>
          <w:p w14:paraId="76B492AE">
            <w:pPr>
              <w:rPr>
                <w:rFonts w:ascii="Arial"/>
                <w:sz w:val="21"/>
              </w:rPr>
            </w:pPr>
          </w:p>
        </w:tc>
        <w:tc>
          <w:tcPr>
            <w:tcW w:w="2152" w:type="dxa"/>
            <w:vAlign w:val="top"/>
          </w:tcPr>
          <w:p w14:paraId="7C5C5A62">
            <w:pPr>
              <w:pStyle w:val="6"/>
              <w:spacing w:before="117" w:line="232" w:lineRule="auto"/>
              <w:ind w:left="579"/>
              <w:rPr>
                <w:sz w:val="19"/>
                <w:szCs w:val="19"/>
              </w:rPr>
            </w:pPr>
            <w:r>
              <w:rPr>
                <w:spacing w:val="7"/>
                <w:sz w:val="19"/>
                <w:szCs w:val="19"/>
              </w:rPr>
              <w:t>铸型用砂岩</w:t>
            </w:r>
          </w:p>
        </w:tc>
        <w:tc>
          <w:tcPr>
            <w:tcW w:w="1106" w:type="dxa"/>
            <w:vAlign w:val="top"/>
          </w:tcPr>
          <w:p w14:paraId="54F3072C">
            <w:pPr>
              <w:pStyle w:val="6"/>
              <w:spacing w:before="117" w:line="235" w:lineRule="auto"/>
              <w:ind w:left="360"/>
              <w:rPr>
                <w:sz w:val="19"/>
                <w:szCs w:val="19"/>
              </w:rPr>
            </w:pPr>
            <w:r>
              <w:rPr>
                <w:spacing w:val="1"/>
                <w:sz w:val="19"/>
                <w:szCs w:val="19"/>
              </w:rPr>
              <w:t>万吨</w:t>
            </w:r>
          </w:p>
        </w:tc>
        <w:tc>
          <w:tcPr>
            <w:tcW w:w="1203" w:type="dxa"/>
            <w:vAlign w:val="top"/>
          </w:tcPr>
          <w:p w14:paraId="701D28F8">
            <w:pPr>
              <w:spacing w:before="152" w:line="195" w:lineRule="auto"/>
              <w:ind w:left="523"/>
              <w:rPr>
                <w:rFonts w:ascii="Times New Roman" w:hAnsi="Times New Roman" w:eastAsia="Times New Roman" w:cs="Times New Roman"/>
                <w:sz w:val="19"/>
                <w:szCs w:val="19"/>
              </w:rPr>
            </w:pPr>
            <w:r>
              <w:rPr>
                <w:rFonts w:ascii="Times New Roman" w:hAnsi="Times New Roman" w:eastAsia="Times New Roman" w:cs="Times New Roman"/>
                <w:spacing w:val="-7"/>
                <w:sz w:val="19"/>
                <w:szCs w:val="19"/>
              </w:rPr>
              <w:t>10</w:t>
            </w:r>
          </w:p>
        </w:tc>
        <w:tc>
          <w:tcPr>
            <w:tcW w:w="920" w:type="dxa"/>
            <w:vAlign w:val="top"/>
          </w:tcPr>
          <w:p w14:paraId="2A8A764C">
            <w:pPr>
              <w:spacing w:before="152" w:line="195" w:lineRule="auto"/>
              <w:ind w:left="383"/>
              <w:rPr>
                <w:rFonts w:ascii="Times New Roman" w:hAnsi="Times New Roman" w:eastAsia="Times New Roman" w:cs="Times New Roman"/>
                <w:sz w:val="19"/>
                <w:szCs w:val="19"/>
              </w:rPr>
            </w:pPr>
            <w:r>
              <w:rPr>
                <w:rFonts w:ascii="Times New Roman" w:hAnsi="Times New Roman" w:eastAsia="Times New Roman" w:cs="Times New Roman"/>
                <w:spacing w:val="-7"/>
                <w:sz w:val="19"/>
                <w:szCs w:val="19"/>
              </w:rPr>
              <w:t>10</w:t>
            </w:r>
          </w:p>
        </w:tc>
        <w:tc>
          <w:tcPr>
            <w:tcW w:w="920" w:type="dxa"/>
            <w:vAlign w:val="top"/>
          </w:tcPr>
          <w:p w14:paraId="2B434790">
            <w:pPr>
              <w:spacing w:before="152" w:line="195" w:lineRule="auto"/>
              <w:ind w:left="421"/>
              <w:rPr>
                <w:rFonts w:ascii="Times New Roman" w:hAnsi="Times New Roman" w:eastAsia="Times New Roman" w:cs="Times New Roman"/>
                <w:sz w:val="19"/>
                <w:szCs w:val="19"/>
              </w:rPr>
            </w:pPr>
            <w:r>
              <w:rPr>
                <w:rFonts w:ascii="Times New Roman" w:hAnsi="Times New Roman" w:eastAsia="Times New Roman" w:cs="Times New Roman"/>
                <w:sz w:val="19"/>
                <w:szCs w:val="19"/>
              </w:rPr>
              <w:t>0</w:t>
            </w:r>
          </w:p>
        </w:tc>
        <w:tc>
          <w:tcPr>
            <w:tcW w:w="935" w:type="dxa"/>
            <w:vMerge w:val="continue"/>
            <w:tcBorders>
              <w:top w:val="nil"/>
              <w:bottom w:val="nil"/>
              <w:right w:val="single" w:color="000000" w:sz="10" w:space="0"/>
            </w:tcBorders>
            <w:vAlign w:val="top"/>
          </w:tcPr>
          <w:p w14:paraId="622FC4E0">
            <w:pPr>
              <w:rPr>
                <w:rFonts w:ascii="Arial"/>
                <w:sz w:val="21"/>
              </w:rPr>
            </w:pPr>
          </w:p>
        </w:tc>
      </w:tr>
      <w:tr w14:paraId="1C9932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637" w:type="dxa"/>
            <w:vMerge w:val="continue"/>
            <w:tcBorders>
              <w:top w:val="nil"/>
              <w:left w:val="single" w:color="000000" w:sz="10" w:space="0"/>
            </w:tcBorders>
            <w:vAlign w:val="top"/>
          </w:tcPr>
          <w:p w14:paraId="63428597">
            <w:pPr>
              <w:rPr>
                <w:rFonts w:ascii="Arial"/>
                <w:sz w:val="21"/>
              </w:rPr>
            </w:pPr>
          </w:p>
        </w:tc>
        <w:tc>
          <w:tcPr>
            <w:tcW w:w="2152" w:type="dxa"/>
            <w:vAlign w:val="top"/>
          </w:tcPr>
          <w:p w14:paraId="5C1896A8">
            <w:pPr>
              <w:pStyle w:val="6"/>
              <w:spacing w:before="118" w:line="233" w:lineRule="auto"/>
              <w:ind w:left="579"/>
              <w:rPr>
                <w:sz w:val="19"/>
                <w:szCs w:val="19"/>
              </w:rPr>
            </w:pPr>
            <w:r>
              <w:rPr>
                <w:spacing w:val="7"/>
                <w:sz w:val="19"/>
                <w:szCs w:val="19"/>
              </w:rPr>
              <w:t>建筑用砂岩</w:t>
            </w:r>
          </w:p>
        </w:tc>
        <w:tc>
          <w:tcPr>
            <w:tcW w:w="1106" w:type="dxa"/>
            <w:vAlign w:val="top"/>
          </w:tcPr>
          <w:p w14:paraId="6D45BD82">
            <w:pPr>
              <w:pStyle w:val="6"/>
              <w:spacing w:before="118" w:line="235" w:lineRule="auto"/>
              <w:ind w:left="360"/>
              <w:rPr>
                <w:sz w:val="19"/>
                <w:szCs w:val="19"/>
              </w:rPr>
            </w:pPr>
            <w:r>
              <w:rPr>
                <w:spacing w:val="1"/>
                <w:sz w:val="19"/>
                <w:szCs w:val="19"/>
              </w:rPr>
              <w:t>万吨</w:t>
            </w:r>
          </w:p>
        </w:tc>
        <w:tc>
          <w:tcPr>
            <w:tcW w:w="1203" w:type="dxa"/>
            <w:vAlign w:val="top"/>
          </w:tcPr>
          <w:p w14:paraId="0A8FF53D">
            <w:pPr>
              <w:spacing w:before="153" w:line="195" w:lineRule="auto"/>
              <w:ind w:left="523"/>
              <w:rPr>
                <w:rFonts w:ascii="Times New Roman" w:hAnsi="Times New Roman" w:eastAsia="Times New Roman" w:cs="Times New Roman"/>
                <w:sz w:val="19"/>
                <w:szCs w:val="19"/>
              </w:rPr>
            </w:pPr>
            <w:r>
              <w:rPr>
                <w:rFonts w:ascii="Times New Roman" w:hAnsi="Times New Roman" w:eastAsia="Times New Roman" w:cs="Times New Roman"/>
                <w:spacing w:val="-7"/>
                <w:sz w:val="19"/>
                <w:szCs w:val="19"/>
              </w:rPr>
              <w:t>10</w:t>
            </w:r>
          </w:p>
        </w:tc>
        <w:tc>
          <w:tcPr>
            <w:tcW w:w="920" w:type="dxa"/>
            <w:vAlign w:val="top"/>
          </w:tcPr>
          <w:p w14:paraId="5FE3462D">
            <w:pPr>
              <w:spacing w:before="153" w:line="195" w:lineRule="auto"/>
              <w:ind w:left="383"/>
              <w:rPr>
                <w:rFonts w:ascii="Times New Roman" w:hAnsi="Times New Roman" w:eastAsia="Times New Roman" w:cs="Times New Roman"/>
                <w:sz w:val="19"/>
                <w:szCs w:val="19"/>
              </w:rPr>
            </w:pPr>
            <w:r>
              <w:rPr>
                <w:rFonts w:ascii="Times New Roman" w:hAnsi="Times New Roman" w:eastAsia="Times New Roman" w:cs="Times New Roman"/>
                <w:spacing w:val="-7"/>
                <w:sz w:val="19"/>
                <w:szCs w:val="19"/>
              </w:rPr>
              <w:t>10</w:t>
            </w:r>
          </w:p>
        </w:tc>
        <w:tc>
          <w:tcPr>
            <w:tcW w:w="920" w:type="dxa"/>
            <w:vAlign w:val="top"/>
          </w:tcPr>
          <w:p w14:paraId="4EDBA2DA">
            <w:pPr>
              <w:spacing w:before="153" w:line="195" w:lineRule="auto"/>
              <w:ind w:left="421"/>
              <w:rPr>
                <w:rFonts w:ascii="Times New Roman" w:hAnsi="Times New Roman" w:eastAsia="Times New Roman" w:cs="Times New Roman"/>
                <w:sz w:val="19"/>
                <w:szCs w:val="19"/>
              </w:rPr>
            </w:pPr>
            <w:r>
              <w:rPr>
                <w:rFonts w:ascii="Times New Roman" w:hAnsi="Times New Roman" w:eastAsia="Times New Roman" w:cs="Times New Roman"/>
                <w:sz w:val="19"/>
                <w:szCs w:val="19"/>
              </w:rPr>
              <w:t>0</w:t>
            </w:r>
          </w:p>
        </w:tc>
        <w:tc>
          <w:tcPr>
            <w:tcW w:w="935" w:type="dxa"/>
            <w:vMerge w:val="continue"/>
            <w:tcBorders>
              <w:top w:val="nil"/>
              <w:right w:val="single" w:color="000000" w:sz="10" w:space="0"/>
            </w:tcBorders>
            <w:vAlign w:val="top"/>
          </w:tcPr>
          <w:p w14:paraId="22CD5F74">
            <w:pPr>
              <w:rPr>
                <w:rFonts w:ascii="Arial"/>
                <w:sz w:val="21"/>
              </w:rPr>
            </w:pPr>
          </w:p>
        </w:tc>
      </w:tr>
      <w:tr w14:paraId="21A3A0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3789" w:type="dxa"/>
            <w:gridSpan w:val="2"/>
            <w:tcBorders>
              <w:left w:val="single" w:color="000000" w:sz="10" w:space="0"/>
            </w:tcBorders>
            <w:vAlign w:val="top"/>
          </w:tcPr>
          <w:p w14:paraId="787ABCF6">
            <w:pPr>
              <w:pStyle w:val="6"/>
              <w:spacing w:before="121" w:line="232" w:lineRule="auto"/>
              <w:ind w:left="1493"/>
              <w:rPr>
                <w:sz w:val="19"/>
                <w:szCs w:val="19"/>
              </w:rPr>
            </w:pPr>
            <w:r>
              <w:rPr>
                <w:spacing w:val="6"/>
                <w:sz w:val="19"/>
                <w:szCs w:val="19"/>
              </w:rPr>
              <w:t>矿山数量</w:t>
            </w:r>
          </w:p>
        </w:tc>
        <w:tc>
          <w:tcPr>
            <w:tcW w:w="1106" w:type="dxa"/>
            <w:vAlign w:val="top"/>
          </w:tcPr>
          <w:p w14:paraId="5627B211">
            <w:pPr>
              <w:pStyle w:val="6"/>
              <w:spacing w:before="121" w:line="232" w:lineRule="auto"/>
              <w:ind w:left="460"/>
              <w:rPr>
                <w:sz w:val="19"/>
                <w:szCs w:val="19"/>
              </w:rPr>
            </w:pPr>
            <w:r>
              <w:rPr>
                <w:sz w:val="19"/>
                <w:szCs w:val="19"/>
              </w:rPr>
              <w:t>个</w:t>
            </w:r>
          </w:p>
        </w:tc>
        <w:tc>
          <w:tcPr>
            <w:tcW w:w="1203" w:type="dxa"/>
            <w:vAlign w:val="top"/>
          </w:tcPr>
          <w:p w14:paraId="75C05A5D">
            <w:pPr>
              <w:pStyle w:val="6"/>
              <w:spacing w:before="121" w:line="257" w:lineRule="exact"/>
              <w:ind w:left="420"/>
              <w:rPr>
                <w:rFonts w:ascii="Times New Roman" w:hAnsi="Times New Roman" w:eastAsia="Times New Roman" w:cs="Times New Roman"/>
                <w:sz w:val="19"/>
                <w:szCs w:val="19"/>
              </w:rPr>
            </w:pPr>
            <w:r>
              <w:rPr>
                <w:spacing w:val="-1"/>
                <w:position w:val="1"/>
                <w:sz w:val="19"/>
                <w:szCs w:val="19"/>
              </w:rPr>
              <w:t>≤</w:t>
            </w:r>
            <w:r>
              <w:rPr>
                <w:rFonts w:ascii="Times New Roman" w:hAnsi="Times New Roman" w:eastAsia="Times New Roman" w:cs="Times New Roman"/>
                <w:spacing w:val="-1"/>
                <w:position w:val="1"/>
                <w:sz w:val="19"/>
                <w:szCs w:val="19"/>
              </w:rPr>
              <w:t>28</w:t>
            </w:r>
          </w:p>
        </w:tc>
        <w:tc>
          <w:tcPr>
            <w:tcW w:w="920" w:type="dxa"/>
            <w:vAlign w:val="top"/>
          </w:tcPr>
          <w:p w14:paraId="5721E953">
            <w:pPr>
              <w:pStyle w:val="6"/>
              <w:spacing w:before="121" w:line="257" w:lineRule="exact"/>
              <w:ind w:left="283"/>
              <w:rPr>
                <w:rFonts w:ascii="Times New Roman" w:hAnsi="Times New Roman" w:eastAsia="Times New Roman" w:cs="Times New Roman"/>
                <w:sz w:val="19"/>
                <w:szCs w:val="19"/>
              </w:rPr>
            </w:pPr>
            <w:r>
              <w:rPr>
                <w:spacing w:val="-1"/>
                <w:position w:val="1"/>
                <w:sz w:val="19"/>
                <w:szCs w:val="19"/>
              </w:rPr>
              <w:t>≤</w:t>
            </w:r>
            <w:r>
              <w:rPr>
                <w:rFonts w:ascii="Times New Roman" w:hAnsi="Times New Roman" w:eastAsia="Times New Roman" w:cs="Times New Roman"/>
                <w:spacing w:val="-1"/>
                <w:position w:val="1"/>
                <w:sz w:val="19"/>
                <w:szCs w:val="19"/>
              </w:rPr>
              <w:t>28</w:t>
            </w:r>
          </w:p>
        </w:tc>
        <w:tc>
          <w:tcPr>
            <w:tcW w:w="920" w:type="dxa"/>
            <w:vAlign w:val="top"/>
          </w:tcPr>
          <w:p w14:paraId="48EDF5F0">
            <w:pPr>
              <w:spacing w:before="156" w:line="195" w:lineRule="auto"/>
              <w:ind w:left="387"/>
              <w:rPr>
                <w:rFonts w:ascii="Times New Roman" w:hAnsi="Times New Roman" w:eastAsia="Times New Roman" w:cs="Times New Roman"/>
                <w:sz w:val="19"/>
                <w:szCs w:val="19"/>
              </w:rPr>
            </w:pPr>
            <w:r>
              <w:rPr>
                <w:rFonts w:ascii="Times New Roman" w:hAnsi="Times New Roman" w:eastAsia="Times New Roman" w:cs="Times New Roman"/>
                <w:spacing w:val="-7"/>
                <w:sz w:val="19"/>
                <w:szCs w:val="19"/>
              </w:rPr>
              <w:t>13</w:t>
            </w:r>
          </w:p>
        </w:tc>
        <w:tc>
          <w:tcPr>
            <w:tcW w:w="935" w:type="dxa"/>
            <w:tcBorders>
              <w:right w:val="single" w:color="000000" w:sz="10" w:space="0"/>
            </w:tcBorders>
            <w:vAlign w:val="top"/>
          </w:tcPr>
          <w:p w14:paraId="3809AD87">
            <w:pPr>
              <w:pStyle w:val="6"/>
              <w:spacing w:before="121" w:line="229" w:lineRule="auto"/>
              <w:ind w:left="181"/>
              <w:rPr>
                <w:sz w:val="19"/>
                <w:szCs w:val="19"/>
              </w:rPr>
            </w:pPr>
            <w:r>
              <w:rPr>
                <w:spacing w:val="5"/>
                <w:sz w:val="19"/>
                <w:szCs w:val="19"/>
              </w:rPr>
              <w:t>约束性</w:t>
            </w:r>
          </w:p>
        </w:tc>
      </w:tr>
      <w:tr w14:paraId="40614B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3789" w:type="dxa"/>
            <w:gridSpan w:val="2"/>
            <w:tcBorders>
              <w:left w:val="single" w:color="000000" w:sz="10" w:space="0"/>
              <w:bottom w:val="single" w:color="000000" w:sz="10" w:space="0"/>
            </w:tcBorders>
            <w:vAlign w:val="top"/>
          </w:tcPr>
          <w:p w14:paraId="4AA41010">
            <w:pPr>
              <w:pStyle w:val="6"/>
              <w:spacing w:before="121" w:line="231" w:lineRule="auto"/>
              <w:ind w:left="1195"/>
              <w:rPr>
                <w:sz w:val="19"/>
                <w:szCs w:val="19"/>
              </w:rPr>
            </w:pPr>
            <w:r>
              <w:rPr>
                <w:spacing w:val="7"/>
                <w:sz w:val="19"/>
                <w:szCs w:val="19"/>
              </w:rPr>
              <w:t>大中型矿山比例</w:t>
            </w:r>
          </w:p>
        </w:tc>
        <w:tc>
          <w:tcPr>
            <w:tcW w:w="1106" w:type="dxa"/>
            <w:tcBorders>
              <w:bottom w:val="single" w:color="000000" w:sz="10" w:space="0"/>
            </w:tcBorders>
            <w:vAlign w:val="top"/>
          </w:tcPr>
          <w:p w14:paraId="1272D85E">
            <w:pPr>
              <w:spacing w:before="156" w:line="195" w:lineRule="auto"/>
              <w:ind w:left="470"/>
              <w:rPr>
                <w:rFonts w:ascii="Times New Roman" w:hAnsi="Times New Roman" w:eastAsia="Times New Roman" w:cs="Times New Roman"/>
                <w:sz w:val="19"/>
                <w:szCs w:val="19"/>
              </w:rPr>
            </w:pPr>
            <w:r>
              <w:rPr>
                <w:rFonts w:ascii="Times New Roman" w:hAnsi="Times New Roman" w:eastAsia="Times New Roman" w:cs="Times New Roman"/>
                <w:sz w:val="19"/>
                <w:szCs w:val="19"/>
              </w:rPr>
              <w:t>%</w:t>
            </w:r>
          </w:p>
        </w:tc>
        <w:tc>
          <w:tcPr>
            <w:tcW w:w="1203" w:type="dxa"/>
            <w:tcBorders>
              <w:bottom w:val="single" w:color="000000" w:sz="10" w:space="0"/>
            </w:tcBorders>
            <w:vAlign w:val="top"/>
          </w:tcPr>
          <w:p w14:paraId="515DA9DF">
            <w:pPr>
              <w:pStyle w:val="6"/>
              <w:spacing w:before="121" w:line="257" w:lineRule="exact"/>
              <w:ind w:left="426"/>
              <w:rPr>
                <w:rFonts w:ascii="Times New Roman" w:hAnsi="Times New Roman" w:eastAsia="Times New Roman" w:cs="Times New Roman"/>
                <w:sz w:val="19"/>
                <w:szCs w:val="19"/>
              </w:rPr>
            </w:pPr>
            <w:r>
              <w:rPr>
                <w:spacing w:val="-3"/>
                <w:position w:val="1"/>
                <w:sz w:val="19"/>
                <w:szCs w:val="19"/>
              </w:rPr>
              <w:t>≥</w:t>
            </w:r>
            <w:r>
              <w:rPr>
                <w:rFonts w:ascii="Times New Roman" w:hAnsi="Times New Roman" w:eastAsia="Times New Roman" w:cs="Times New Roman"/>
                <w:spacing w:val="-3"/>
                <w:position w:val="1"/>
                <w:sz w:val="19"/>
                <w:szCs w:val="19"/>
              </w:rPr>
              <w:t>60</w:t>
            </w:r>
          </w:p>
        </w:tc>
        <w:tc>
          <w:tcPr>
            <w:tcW w:w="920" w:type="dxa"/>
            <w:tcBorders>
              <w:bottom w:val="single" w:color="000000" w:sz="10" w:space="0"/>
            </w:tcBorders>
            <w:vAlign w:val="top"/>
          </w:tcPr>
          <w:p w14:paraId="067547B6">
            <w:pPr>
              <w:pStyle w:val="6"/>
              <w:spacing w:before="121" w:line="257" w:lineRule="exact"/>
              <w:ind w:left="288"/>
              <w:rPr>
                <w:rFonts w:ascii="Times New Roman" w:hAnsi="Times New Roman" w:eastAsia="Times New Roman" w:cs="Times New Roman"/>
                <w:sz w:val="19"/>
                <w:szCs w:val="19"/>
              </w:rPr>
            </w:pPr>
            <w:r>
              <w:rPr>
                <w:spacing w:val="-3"/>
                <w:position w:val="1"/>
                <w:sz w:val="19"/>
                <w:szCs w:val="19"/>
              </w:rPr>
              <w:t>≥</w:t>
            </w:r>
            <w:r>
              <w:rPr>
                <w:rFonts w:ascii="Times New Roman" w:hAnsi="Times New Roman" w:eastAsia="Times New Roman" w:cs="Times New Roman"/>
                <w:spacing w:val="-3"/>
                <w:position w:val="1"/>
                <w:sz w:val="19"/>
                <w:szCs w:val="19"/>
              </w:rPr>
              <w:t>60</w:t>
            </w:r>
          </w:p>
        </w:tc>
        <w:tc>
          <w:tcPr>
            <w:tcW w:w="920" w:type="dxa"/>
            <w:tcBorders>
              <w:bottom w:val="single" w:color="000000" w:sz="10" w:space="0"/>
            </w:tcBorders>
            <w:vAlign w:val="top"/>
          </w:tcPr>
          <w:p w14:paraId="0A624F33">
            <w:pPr>
              <w:spacing w:before="156" w:line="195" w:lineRule="auto"/>
              <w:ind w:left="292"/>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42.9</w:t>
            </w:r>
          </w:p>
        </w:tc>
        <w:tc>
          <w:tcPr>
            <w:tcW w:w="935" w:type="dxa"/>
            <w:tcBorders>
              <w:bottom w:val="single" w:color="000000" w:sz="10" w:space="0"/>
              <w:right w:val="single" w:color="000000" w:sz="10" w:space="0"/>
            </w:tcBorders>
            <w:vAlign w:val="top"/>
          </w:tcPr>
          <w:p w14:paraId="70796380">
            <w:pPr>
              <w:pStyle w:val="6"/>
              <w:spacing w:before="121" w:line="229" w:lineRule="auto"/>
              <w:ind w:left="181"/>
              <w:rPr>
                <w:sz w:val="19"/>
                <w:szCs w:val="19"/>
              </w:rPr>
            </w:pPr>
            <w:r>
              <w:rPr>
                <w:spacing w:val="5"/>
                <w:sz w:val="19"/>
                <w:szCs w:val="19"/>
              </w:rPr>
              <w:t>约束性</w:t>
            </w:r>
          </w:p>
        </w:tc>
      </w:tr>
    </w:tbl>
    <w:p w14:paraId="0B72D313">
      <w:pPr>
        <w:spacing w:before="266" w:line="229" w:lineRule="auto"/>
        <w:outlineLvl w:val="3"/>
        <w:rPr>
          <w:rFonts w:ascii="仿宋" w:hAnsi="仿宋" w:eastAsia="仿宋" w:cs="仿宋"/>
          <w:sz w:val="25"/>
          <w:szCs w:val="25"/>
        </w:rPr>
      </w:pPr>
      <w:r>
        <w:rPr>
          <w:rFonts w:ascii="Times New Roman" w:hAnsi="Times New Roman" w:eastAsia="Times New Roman" w:cs="Times New Roman"/>
          <w:b/>
          <w:bCs/>
          <w:spacing w:val="5"/>
          <w:sz w:val="25"/>
          <w:szCs w:val="25"/>
        </w:rPr>
        <w:t>3.2.1.2</w:t>
      </w:r>
      <w:r>
        <w:rPr>
          <w:rFonts w:ascii="Times New Roman" w:hAnsi="Times New Roman" w:eastAsia="Times New Roman" w:cs="Times New Roman"/>
          <w:b/>
          <w:bCs/>
          <w:spacing w:val="22"/>
          <w:sz w:val="25"/>
          <w:szCs w:val="25"/>
        </w:rPr>
        <w:t xml:space="preserve"> </w:t>
      </w:r>
      <w:r>
        <w:rPr>
          <w:rFonts w:ascii="仿宋" w:hAnsi="仿宋" w:eastAsia="仿宋" w:cs="仿宋"/>
          <w:b/>
          <w:bCs/>
          <w:spacing w:val="5"/>
          <w:sz w:val="25"/>
          <w:szCs w:val="25"/>
        </w:rPr>
        <w:t>勘查规划区块投放情况</w:t>
      </w:r>
    </w:p>
    <w:p w14:paraId="503EAFC0">
      <w:pPr>
        <w:spacing w:before="271" w:line="339" w:lineRule="auto"/>
        <w:ind w:left="71" w:right="86" w:firstLine="497"/>
        <w:rPr>
          <w:rFonts w:ascii="仿宋" w:hAnsi="仿宋" w:eastAsia="仿宋" w:cs="仿宋"/>
          <w:sz w:val="25"/>
          <w:szCs w:val="25"/>
        </w:rPr>
      </w:pPr>
      <w:r>
        <w:rPr>
          <w:rFonts w:ascii="仿宋" w:hAnsi="仿宋" w:eastAsia="仿宋" w:cs="仿宋"/>
          <w:spacing w:val="4"/>
          <w:sz w:val="25"/>
          <w:szCs w:val="25"/>
        </w:rPr>
        <w:t>“十四五</w:t>
      </w:r>
      <w:r>
        <w:rPr>
          <w:rFonts w:ascii="仿宋" w:hAnsi="仿宋" w:eastAsia="仿宋" w:cs="仿宋"/>
          <w:spacing w:val="-81"/>
          <w:sz w:val="25"/>
          <w:szCs w:val="25"/>
        </w:rPr>
        <w:t xml:space="preserve"> </w:t>
      </w:r>
      <w:r>
        <w:rPr>
          <w:rFonts w:ascii="仿宋" w:hAnsi="仿宋" w:eastAsia="仿宋" w:cs="仿宋"/>
          <w:spacing w:val="4"/>
          <w:sz w:val="25"/>
          <w:szCs w:val="25"/>
        </w:rPr>
        <w:t>”期间，《规划》共规划勘查区块</w:t>
      </w:r>
      <w:r>
        <w:rPr>
          <w:rFonts w:ascii="仿宋" w:hAnsi="仿宋" w:eastAsia="仿宋" w:cs="仿宋"/>
          <w:spacing w:val="-42"/>
          <w:sz w:val="25"/>
          <w:szCs w:val="25"/>
        </w:rPr>
        <w:t xml:space="preserve"> </w:t>
      </w:r>
      <w:r>
        <w:rPr>
          <w:rFonts w:ascii="Times New Roman" w:hAnsi="Times New Roman" w:eastAsia="Times New Roman" w:cs="Times New Roman"/>
          <w:spacing w:val="4"/>
          <w:sz w:val="25"/>
          <w:szCs w:val="25"/>
        </w:rPr>
        <w:t>8</w:t>
      </w:r>
      <w:r>
        <w:rPr>
          <w:rFonts w:ascii="Times New Roman" w:hAnsi="Times New Roman" w:eastAsia="Times New Roman" w:cs="Times New Roman"/>
          <w:spacing w:val="21"/>
          <w:sz w:val="25"/>
          <w:szCs w:val="25"/>
        </w:rPr>
        <w:t xml:space="preserve"> </w:t>
      </w:r>
      <w:r>
        <w:rPr>
          <w:rFonts w:ascii="仿宋" w:hAnsi="仿宋" w:eastAsia="仿宋" w:cs="仿宋"/>
          <w:spacing w:val="4"/>
          <w:sz w:val="25"/>
          <w:szCs w:val="25"/>
        </w:rPr>
        <w:t>个，其中水泥用灰岩</w:t>
      </w:r>
      <w:r>
        <w:rPr>
          <w:rFonts w:ascii="仿宋" w:hAnsi="仿宋" w:eastAsia="仿宋" w:cs="仿宋"/>
          <w:spacing w:val="-30"/>
          <w:sz w:val="25"/>
          <w:szCs w:val="25"/>
        </w:rPr>
        <w:t xml:space="preserve"> </w:t>
      </w:r>
      <w:r>
        <w:rPr>
          <w:rFonts w:ascii="Times New Roman" w:hAnsi="Times New Roman" w:eastAsia="Times New Roman" w:cs="Times New Roman"/>
          <w:spacing w:val="4"/>
          <w:sz w:val="25"/>
          <w:szCs w:val="25"/>
        </w:rPr>
        <w:t>1</w:t>
      </w:r>
      <w:r>
        <w:rPr>
          <w:rFonts w:ascii="Times New Roman" w:hAnsi="Times New Roman" w:eastAsia="Times New Roman" w:cs="Times New Roman"/>
          <w:spacing w:val="23"/>
          <w:sz w:val="25"/>
          <w:szCs w:val="25"/>
        </w:rPr>
        <w:t xml:space="preserve"> </w:t>
      </w:r>
      <w:r>
        <w:rPr>
          <w:rFonts w:ascii="仿宋" w:hAnsi="仿宋" w:eastAsia="仿宋" w:cs="仿宋"/>
          <w:spacing w:val="4"/>
          <w:sz w:val="25"/>
          <w:szCs w:val="25"/>
        </w:rPr>
        <w:t>个，</w:t>
      </w:r>
      <w:r>
        <w:rPr>
          <w:rFonts w:ascii="仿宋" w:hAnsi="仿宋" w:eastAsia="仿宋" w:cs="仿宋"/>
          <w:sz w:val="25"/>
          <w:szCs w:val="25"/>
        </w:rPr>
        <w:t xml:space="preserve"> </w:t>
      </w:r>
      <w:r>
        <w:rPr>
          <w:rFonts w:ascii="仿宋" w:hAnsi="仿宋" w:eastAsia="仿宋" w:cs="仿宋"/>
          <w:spacing w:val="4"/>
          <w:sz w:val="25"/>
          <w:szCs w:val="25"/>
        </w:rPr>
        <w:t>饰面石材用灰岩</w:t>
      </w:r>
      <w:r>
        <w:rPr>
          <w:rFonts w:ascii="仿宋" w:hAnsi="仿宋" w:eastAsia="仿宋" w:cs="仿宋"/>
          <w:spacing w:val="-50"/>
          <w:sz w:val="25"/>
          <w:szCs w:val="25"/>
        </w:rPr>
        <w:t xml:space="preserve"> </w:t>
      </w:r>
      <w:r>
        <w:rPr>
          <w:rFonts w:ascii="Times New Roman" w:hAnsi="Times New Roman" w:eastAsia="Times New Roman" w:cs="Times New Roman"/>
          <w:spacing w:val="4"/>
          <w:sz w:val="25"/>
          <w:szCs w:val="25"/>
        </w:rPr>
        <w:t>2</w:t>
      </w:r>
      <w:r>
        <w:rPr>
          <w:rFonts w:ascii="Times New Roman" w:hAnsi="Times New Roman" w:eastAsia="Times New Roman" w:cs="Times New Roman"/>
          <w:spacing w:val="21"/>
          <w:sz w:val="25"/>
          <w:szCs w:val="25"/>
        </w:rPr>
        <w:t xml:space="preserve"> </w:t>
      </w:r>
      <w:r>
        <w:rPr>
          <w:rFonts w:ascii="仿宋" w:hAnsi="仿宋" w:eastAsia="仿宋" w:cs="仿宋"/>
          <w:spacing w:val="4"/>
          <w:sz w:val="25"/>
          <w:szCs w:val="25"/>
        </w:rPr>
        <w:t>个，铝土矿</w:t>
      </w:r>
      <w:r>
        <w:rPr>
          <w:rFonts w:ascii="仿宋" w:hAnsi="仿宋" w:eastAsia="仿宋" w:cs="仿宋"/>
          <w:spacing w:val="-30"/>
          <w:sz w:val="25"/>
          <w:szCs w:val="25"/>
        </w:rPr>
        <w:t xml:space="preserve"> </w:t>
      </w:r>
      <w:r>
        <w:rPr>
          <w:rFonts w:ascii="Times New Roman" w:hAnsi="Times New Roman" w:eastAsia="Times New Roman" w:cs="Times New Roman"/>
          <w:spacing w:val="4"/>
          <w:sz w:val="25"/>
          <w:szCs w:val="25"/>
        </w:rPr>
        <w:t>1</w:t>
      </w:r>
      <w:r>
        <w:rPr>
          <w:rFonts w:ascii="Times New Roman" w:hAnsi="Times New Roman" w:eastAsia="Times New Roman" w:cs="Times New Roman"/>
          <w:spacing w:val="20"/>
          <w:w w:val="101"/>
          <w:sz w:val="25"/>
          <w:szCs w:val="25"/>
        </w:rPr>
        <w:t xml:space="preserve"> </w:t>
      </w:r>
      <w:r>
        <w:rPr>
          <w:rFonts w:ascii="仿宋" w:hAnsi="仿宋" w:eastAsia="仿宋" w:cs="仿宋"/>
          <w:spacing w:val="4"/>
          <w:sz w:val="25"/>
          <w:szCs w:val="25"/>
        </w:rPr>
        <w:t>个，萤石矿</w:t>
      </w:r>
      <w:r>
        <w:rPr>
          <w:rFonts w:ascii="仿宋" w:hAnsi="仿宋" w:eastAsia="仿宋" w:cs="仿宋"/>
          <w:spacing w:val="-55"/>
          <w:sz w:val="25"/>
          <w:szCs w:val="25"/>
        </w:rPr>
        <w:t xml:space="preserve"> </w:t>
      </w:r>
      <w:r>
        <w:rPr>
          <w:rFonts w:ascii="Times New Roman" w:hAnsi="Times New Roman" w:eastAsia="Times New Roman" w:cs="Times New Roman"/>
          <w:spacing w:val="4"/>
          <w:sz w:val="25"/>
          <w:szCs w:val="25"/>
        </w:rPr>
        <w:t>2</w:t>
      </w:r>
      <w:r>
        <w:rPr>
          <w:rFonts w:ascii="Times New Roman" w:hAnsi="Times New Roman" w:eastAsia="Times New Roman" w:cs="Times New Roman"/>
          <w:spacing w:val="21"/>
          <w:sz w:val="25"/>
          <w:szCs w:val="25"/>
        </w:rPr>
        <w:t xml:space="preserve"> </w:t>
      </w:r>
      <w:r>
        <w:rPr>
          <w:rFonts w:ascii="仿宋" w:hAnsi="仿宋" w:eastAsia="仿宋" w:cs="仿宋"/>
          <w:spacing w:val="4"/>
          <w:sz w:val="25"/>
          <w:szCs w:val="25"/>
        </w:rPr>
        <w:t>个，重晶石矿</w:t>
      </w:r>
      <w:r>
        <w:rPr>
          <w:rFonts w:ascii="仿宋" w:hAnsi="仿宋" w:eastAsia="仿宋" w:cs="仿宋"/>
          <w:spacing w:val="-55"/>
          <w:sz w:val="25"/>
          <w:szCs w:val="25"/>
        </w:rPr>
        <w:t xml:space="preserve"> </w:t>
      </w:r>
      <w:r>
        <w:rPr>
          <w:rFonts w:ascii="Times New Roman" w:hAnsi="Times New Roman" w:eastAsia="Times New Roman" w:cs="Times New Roman"/>
          <w:spacing w:val="4"/>
          <w:sz w:val="25"/>
          <w:szCs w:val="25"/>
        </w:rPr>
        <w:t>2</w:t>
      </w:r>
      <w:r>
        <w:rPr>
          <w:rFonts w:ascii="Times New Roman" w:hAnsi="Times New Roman" w:eastAsia="Times New Roman" w:cs="Times New Roman"/>
          <w:spacing w:val="21"/>
          <w:sz w:val="25"/>
          <w:szCs w:val="25"/>
        </w:rPr>
        <w:t xml:space="preserve"> </w:t>
      </w:r>
      <w:r>
        <w:rPr>
          <w:rFonts w:ascii="仿宋" w:hAnsi="仿宋" w:eastAsia="仿宋" w:cs="仿宋"/>
          <w:spacing w:val="4"/>
          <w:sz w:val="25"/>
          <w:szCs w:val="25"/>
        </w:rPr>
        <w:t>个。</w:t>
      </w:r>
    </w:p>
    <w:p w14:paraId="241EE25A">
      <w:pPr>
        <w:spacing w:line="227" w:lineRule="auto"/>
        <w:ind w:left="550"/>
        <w:rPr>
          <w:rFonts w:ascii="仿宋" w:hAnsi="仿宋" w:eastAsia="仿宋" w:cs="仿宋"/>
          <w:sz w:val="25"/>
          <w:szCs w:val="25"/>
        </w:rPr>
      </w:pPr>
      <w:r>
        <w:rPr>
          <w:rFonts w:ascii="仿宋" w:hAnsi="仿宋" w:eastAsia="仿宋" w:cs="仿宋"/>
          <w:spacing w:val="4"/>
          <w:sz w:val="25"/>
          <w:szCs w:val="25"/>
        </w:rPr>
        <w:t>截至</w:t>
      </w:r>
      <w:r>
        <w:rPr>
          <w:rFonts w:ascii="仿宋" w:hAnsi="仿宋" w:eastAsia="仿宋" w:cs="仿宋"/>
          <w:spacing w:val="-52"/>
          <w:sz w:val="25"/>
          <w:szCs w:val="25"/>
        </w:rPr>
        <w:t xml:space="preserve"> </w:t>
      </w:r>
      <w:r>
        <w:rPr>
          <w:rFonts w:ascii="Times New Roman" w:hAnsi="Times New Roman" w:eastAsia="Times New Roman" w:cs="Times New Roman"/>
          <w:spacing w:val="4"/>
          <w:sz w:val="25"/>
          <w:szCs w:val="25"/>
        </w:rPr>
        <w:t>2024</w:t>
      </w:r>
      <w:r>
        <w:rPr>
          <w:rFonts w:ascii="Times New Roman" w:hAnsi="Times New Roman" w:eastAsia="Times New Roman" w:cs="Times New Roman"/>
          <w:spacing w:val="27"/>
          <w:sz w:val="25"/>
          <w:szCs w:val="25"/>
        </w:rPr>
        <w:t xml:space="preserve"> </w:t>
      </w:r>
      <w:r>
        <w:rPr>
          <w:rFonts w:ascii="仿宋" w:hAnsi="仿宋" w:eastAsia="仿宋" w:cs="仿宋"/>
          <w:spacing w:val="4"/>
          <w:sz w:val="25"/>
          <w:szCs w:val="25"/>
        </w:rPr>
        <w:t>年</w:t>
      </w:r>
      <w:r>
        <w:rPr>
          <w:rFonts w:ascii="仿宋" w:hAnsi="仿宋" w:eastAsia="仿宋" w:cs="仿宋"/>
          <w:spacing w:val="-30"/>
          <w:sz w:val="25"/>
          <w:szCs w:val="25"/>
        </w:rPr>
        <w:t xml:space="preserve"> </w:t>
      </w:r>
      <w:r>
        <w:rPr>
          <w:rFonts w:ascii="Times New Roman" w:hAnsi="Times New Roman" w:eastAsia="Times New Roman" w:cs="Times New Roman"/>
          <w:spacing w:val="4"/>
          <w:sz w:val="25"/>
          <w:szCs w:val="25"/>
        </w:rPr>
        <w:t>12</w:t>
      </w:r>
      <w:r>
        <w:rPr>
          <w:rFonts w:ascii="Times New Roman" w:hAnsi="Times New Roman" w:eastAsia="Times New Roman" w:cs="Times New Roman"/>
          <w:spacing w:val="34"/>
          <w:w w:val="101"/>
          <w:sz w:val="25"/>
          <w:szCs w:val="25"/>
        </w:rPr>
        <w:t xml:space="preserve"> </w:t>
      </w:r>
      <w:r>
        <w:rPr>
          <w:rFonts w:ascii="仿宋" w:hAnsi="仿宋" w:eastAsia="仿宋" w:cs="仿宋"/>
          <w:spacing w:val="4"/>
          <w:sz w:val="25"/>
          <w:szCs w:val="25"/>
        </w:rPr>
        <w:t>月，各勘查区块均暂未实施。详</w:t>
      </w:r>
      <w:r>
        <w:rPr>
          <w:rFonts w:ascii="仿宋" w:hAnsi="仿宋" w:eastAsia="仿宋" w:cs="仿宋"/>
          <w:spacing w:val="3"/>
          <w:sz w:val="25"/>
          <w:szCs w:val="25"/>
        </w:rPr>
        <w:t>见表</w:t>
      </w:r>
      <w:r>
        <w:rPr>
          <w:rFonts w:ascii="仿宋" w:hAnsi="仿宋" w:eastAsia="仿宋" w:cs="仿宋"/>
          <w:spacing w:val="-49"/>
          <w:sz w:val="25"/>
          <w:szCs w:val="25"/>
        </w:rPr>
        <w:t xml:space="preserve"> </w:t>
      </w:r>
      <w:r>
        <w:rPr>
          <w:rFonts w:ascii="Times New Roman" w:hAnsi="Times New Roman" w:eastAsia="Times New Roman" w:cs="Times New Roman"/>
          <w:spacing w:val="3"/>
          <w:sz w:val="25"/>
          <w:szCs w:val="25"/>
        </w:rPr>
        <w:t>3.2-3</w:t>
      </w:r>
      <w:r>
        <w:rPr>
          <w:rFonts w:ascii="仿宋" w:hAnsi="仿宋" w:eastAsia="仿宋" w:cs="仿宋"/>
          <w:spacing w:val="3"/>
          <w:sz w:val="25"/>
          <w:szCs w:val="25"/>
        </w:rPr>
        <w:t>。</w:t>
      </w:r>
    </w:p>
    <w:p w14:paraId="4F24224B">
      <w:pPr>
        <w:pStyle w:val="2"/>
        <w:spacing w:line="248" w:lineRule="auto"/>
      </w:pPr>
    </w:p>
    <w:p w14:paraId="1857F7F0">
      <w:pPr>
        <w:spacing w:before="65" w:line="231" w:lineRule="auto"/>
        <w:ind w:left="2137"/>
        <w:rPr>
          <w:rFonts w:ascii="仿宋" w:hAnsi="仿宋" w:eastAsia="仿宋" w:cs="仿宋"/>
          <w:sz w:val="20"/>
          <w:szCs w:val="20"/>
        </w:rPr>
      </w:pPr>
      <w:r>
        <w:rPr>
          <w:rFonts w:ascii="仿宋" w:hAnsi="仿宋" w:eastAsia="仿宋" w:cs="仿宋"/>
          <w:b/>
          <w:bCs/>
          <w:spacing w:val="6"/>
          <w:sz w:val="20"/>
          <w:szCs w:val="20"/>
        </w:rPr>
        <w:t>表</w:t>
      </w:r>
      <w:r>
        <w:rPr>
          <w:rFonts w:ascii="仿宋" w:hAnsi="仿宋" w:eastAsia="仿宋" w:cs="仿宋"/>
          <w:spacing w:val="-40"/>
          <w:sz w:val="20"/>
          <w:szCs w:val="20"/>
        </w:rPr>
        <w:t xml:space="preserve"> </w:t>
      </w:r>
      <w:r>
        <w:rPr>
          <w:rFonts w:ascii="Times New Roman" w:hAnsi="Times New Roman" w:eastAsia="Times New Roman" w:cs="Times New Roman"/>
          <w:b/>
          <w:bCs/>
          <w:spacing w:val="6"/>
          <w:sz w:val="20"/>
          <w:szCs w:val="20"/>
        </w:rPr>
        <w:t xml:space="preserve">3.2-3    </w:t>
      </w:r>
      <w:r>
        <w:rPr>
          <w:rFonts w:ascii="仿宋" w:hAnsi="仿宋" w:eastAsia="仿宋" w:cs="仿宋"/>
          <w:b/>
          <w:bCs/>
          <w:spacing w:val="6"/>
          <w:sz w:val="20"/>
          <w:szCs w:val="20"/>
        </w:rPr>
        <w:t>《规划》黔江区勘查规划区块实施统计表</w:t>
      </w:r>
    </w:p>
    <w:p w14:paraId="0EB4A247">
      <w:pPr>
        <w:spacing w:line="22" w:lineRule="exact"/>
      </w:pPr>
    </w:p>
    <w:tbl>
      <w:tblPr>
        <w:tblStyle w:val="5"/>
        <w:tblW w:w="8873" w:type="dxa"/>
        <w:tblInd w:w="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4"/>
        <w:gridCol w:w="2365"/>
        <w:gridCol w:w="924"/>
        <w:gridCol w:w="949"/>
        <w:gridCol w:w="986"/>
        <w:gridCol w:w="1128"/>
        <w:gridCol w:w="836"/>
        <w:gridCol w:w="861"/>
      </w:tblGrid>
      <w:tr w14:paraId="57A91B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3" w:hRule="atLeast"/>
        </w:trPr>
        <w:tc>
          <w:tcPr>
            <w:tcW w:w="824" w:type="dxa"/>
            <w:tcBorders>
              <w:top w:val="single" w:color="000000" w:sz="10" w:space="0"/>
              <w:left w:val="single" w:color="000000" w:sz="10" w:space="0"/>
            </w:tcBorders>
            <w:vAlign w:val="top"/>
          </w:tcPr>
          <w:p w14:paraId="728CA80A">
            <w:pPr>
              <w:pStyle w:val="6"/>
              <w:spacing w:before="306" w:line="232" w:lineRule="auto"/>
              <w:ind w:left="201"/>
              <w:rPr>
                <w:sz w:val="20"/>
                <w:szCs w:val="20"/>
              </w:rPr>
            </w:pPr>
            <w:r>
              <w:rPr>
                <w:spacing w:val="1"/>
                <w:sz w:val="20"/>
                <w:szCs w:val="20"/>
              </w:rPr>
              <w:t>编号</w:t>
            </w:r>
          </w:p>
        </w:tc>
        <w:tc>
          <w:tcPr>
            <w:tcW w:w="2365" w:type="dxa"/>
            <w:tcBorders>
              <w:top w:val="single" w:color="000000" w:sz="10" w:space="0"/>
            </w:tcBorders>
            <w:vAlign w:val="top"/>
          </w:tcPr>
          <w:p w14:paraId="6D2DE3E7">
            <w:pPr>
              <w:pStyle w:val="6"/>
              <w:spacing w:before="306" w:line="229" w:lineRule="auto"/>
              <w:ind w:left="781"/>
              <w:rPr>
                <w:sz w:val="20"/>
                <w:szCs w:val="20"/>
              </w:rPr>
            </w:pPr>
            <w:r>
              <w:rPr>
                <w:spacing w:val="1"/>
                <w:sz w:val="20"/>
                <w:szCs w:val="20"/>
              </w:rPr>
              <w:t>区块名称</w:t>
            </w:r>
          </w:p>
        </w:tc>
        <w:tc>
          <w:tcPr>
            <w:tcW w:w="924" w:type="dxa"/>
            <w:tcBorders>
              <w:top w:val="single" w:color="000000" w:sz="10" w:space="0"/>
            </w:tcBorders>
            <w:vAlign w:val="top"/>
          </w:tcPr>
          <w:p w14:paraId="13727CCD">
            <w:pPr>
              <w:pStyle w:val="6"/>
              <w:spacing w:before="171" w:line="232" w:lineRule="auto"/>
              <w:ind w:left="49"/>
              <w:rPr>
                <w:sz w:val="20"/>
                <w:szCs w:val="20"/>
              </w:rPr>
            </w:pPr>
            <w:r>
              <w:rPr>
                <w:spacing w:val="6"/>
                <w:sz w:val="20"/>
                <w:szCs w:val="20"/>
              </w:rPr>
              <w:t>勘查主矿</w:t>
            </w:r>
          </w:p>
          <w:p w14:paraId="655D5CF8">
            <w:pPr>
              <w:pStyle w:val="6"/>
              <w:spacing w:before="19" w:line="229" w:lineRule="auto"/>
              <w:ind w:left="365"/>
              <w:rPr>
                <w:sz w:val="20"/>
                <w:szCs w:val="20"/>
              </w:rPr>
            </w:pPr>
            <w:r>
              <w:rPr>
                <w:sz w:val="20"/>
                <w:szCs w:val="20"/>
              </w:rPr>
              <w:t>种</w:t>
            </w:r>
          </w:p>
        </w:tc>
        <w:tc>
          <w:tcPr>
            <w:tcW w:w="949" w:type="dxa"/>
            <w:tcBorders>
              <w:top w:val="single" w:color="000000" w:sz="10" w:space="0"/>
            </w:tcBorders>
            <w:vAlign w:val="top"/>
          </w:tcPr>
          <w:p w14:paraId="14145BFD">
            <w:pPr>
              <w:pStyle w:val="6"/>
              <w:spacing w:before="170" w:line="232" w:lineRule="auto"/>
              <w:ind w:left="82"/>
              <w:rPr>
                <w:sz w:val="20"/>
                <w:szCs w:val="20"/>
              </w:rPr>
            </w:pPr>
            <w:r>
              <w:rPr>
                <w:spacing w:val="1"/>
                <w:sz w:val="20"/>
                <w:szCs w:val="20"/>
              </w:rPr>
              <w:t>区块面积</w:t>
            </w:r>
          </w:p>
          <w:p w14:paraId="50225C1B">
            <w:pPr>
              <w:pStyle w:val="6"/>
              <w:spacing w:before="20" w:line="265" w:lineRule="exact"/>
              <w:ind w:left="111"/>
              <w:rPr>
                <w:sz w:val="20"/>
                <w:szCs w:val="20"/>
              </w:rPr>
            </w:pPr>
            <w:r>
              <w:rPr>
                <w:spacing w:val="2"/>
                <w:position w:val="1"/>
                <w:sz w:val="20"/>
                <w:szCs w:val="20"/>
              </w:rPr>
              <w:t>（</w:t>
            </w:r>
            <w:r>
              <w:rPr>
                <w:rFonts w:ascii="Times New Roman" w:hAnsi="Times New Roman" w:eastAsia="Times New Roman" w:cs="Times New Roman"/>
                <w:position w:val="1"/>
                <w:sz w:val="20"/>
                <w:szCs w:val="20"/>
              </w:rPr>
              <w:t>km</w:t>
            </w:r>
            <w:r>
              <w:rPr>
                <w:rFonts w:ascii="Times New Roman" w:hAnsi="Times New Roman" w:eastAsia="Times New Roman" w:cs="Times New Roman"/>
                <w:spacing w:val="2"/>
                <w:position w:val="7"/>
                <w:sz w:val="13"/>
                <w:szCs w:val="13"/>
              </w:rPr>
              <w:t>2</w:t>
            </w:r>
            <w:r>
              <w:rPr>
                <w:spacing w:val="2"/>
                <w:position w:val="1"/>
                <w:sz w:val="20"/>
                <w:szCs w:val="20"/>
              </w:rPr>
              <w:t>）</w:t>
            </w:r>
          </w:p>
        </w:tc>
        <w:tc>
          <w:tcPr>
            <w:tcW w:w="986" w:type="dxa"/>
            <w:tcBorders>
              <w:top w:val="single" w:color="000000" w:sz="10" w:space="0"/>
            </w:tcBorders>
            <w:vAlign w:val="top"/>
          </w:tcPr>
          <w:p w14:paraId="61305001">
            <w:pPr>
              <w:pStyle w:val="6"/>
              <w:spacing w:before="306" w:line="232" w:lineRule="auto"/>
              <w:ind w:left="84"/>
              <w:rPr>
                <w:sz w:val="20"/>
                <w:szCs w:val="20"/>
              </w:rPr>
            </w:pPr>
            <w:r>
              <w:rPr>
                <w:spacing w:val="6"/>
                <w:sz w:val="20"/>
                <w:szCs w:val="20"/>
              </w:rPr>
              <w:t>设置类型</w:t>
            </w:r>
          </w:p>
        </w:tc>
        <w:tc>
          <w:tcPr>
            <w:tcW w:w="1128" w:type="dxa"/>
            <w:tcBorders>
              <w:top w:val="single" w:color="000000" w:sz="10" w:space="0"/>
            </w:tcBorders>
            <w:vAlign w:val="top"/>
          </w:tcPr>
          <w:p w14:paraId="380156CE">
            <w:pPr>
              <w:pStyle w:val="6"/>
              <w:spacing w:before="171" w:line="250" w:lineRule="auto"/>
              <w:ind w:left="157" w:right="28" w:hanging="104"/>
              <w:rPr>
                <w:sz w:val="20"/>
                <w:szCs w:val="20"/>
              </w:rPr>
            </w:pPr>
            <w:r>
              <w:rPr>
                <w:spacing w:val="7"/>
                <w:sz w:val="20"/>
                <w:szCs w:val="20"/>
              </w:rPr>
              <w:t>拟设探矿权</w:t>
            </w:r>
            <w:r>
              <w:rPr>
                <w:sz w:val="20"/>
                <w:szCs w:val="20"/>
              </w:rPr>
              <w:t xml:space="preserve"> </w:t>
            </w:r>
            <w:r>
              <w:rPr>
                <w:spacing w:val="6"/>
                <w:sz w:val="20"/>
                <w:szCs w:val="20"/>
              </w:rPr>
              <w:t>勘查阶段</w:t>
            </w:r>
          </w:p>
        </w:tc>
        <w:tc>
          <w:tcPr>
            <w:tcW w:w="836" w:type="dxa"/>
            <w:tcBorders>
              <w:top w:val="single" w:color="000000" w:sz="10" w:space="0"/>
            </w:tcBorders>
            <w:vAlign w:val="top"/>
          </w:tcPr>
          <w:p w14:paraId="32B6CAE9">
            <w:pPr>
              <w:pStyle w:val="6"/>
              <w:spacing w:before="170" w:line="251" w:lineRule="auto"/>
              <w:ind w:left="241" w:right="89" w:hanging="120"/>
              <w:rPr>
                <w:sz w:val="20"/>
                <w:szCs w:val="20"/>
              </w:rPr>
            </w:pPr>
            <w:r>
              <w:rPr>
                <w:spacing w:val="5"/>
                <w:sz w:val="20"/>
                <w:szCs w:val="20"/>
              </w:rPr>
              <w:t>拟投放</w:t>
            </w:r>
            <w:r>
              <w:rPr>
                <w:sz w:val="20"/>
                <w:szCs w:val="20"/>
              </w:rPr>
              <w:t xml:space="preserve"> </w:t>
            </w:r>
            <w:r>
              <w:rPr>
                <w:spacing w:val="-6"/>
                <w:sz w:val="20"/>
                <w:szCs w:val="20"/>
              </w:rPr>
              <w:t>时序</w:t>
            </w:r>
          </w:p>
        </w:tc>
        <w:tc>
          <w:tcPr>
            <w:tcW w:w="861" w:type="dxa"/>
            <w:tcBorders>
              <w:top w:val="single" w:color="000000" w:sz="10" w:space="0"/>
              <w:right w:val="single" w:color="000000" w:sz="10" w:space="0"/>
            </w:tcBorders>
            <w:vAlign w:val="top"/>
          </w:tcPr>
          <w:p w14:paraId="175B50C1">
            <w:pPr>
              <w:pStyle w:val="6"/>
              <w:spacing w:before="171" w:line="231" w:lineRule="auto"/>
              <w:ind w:left="126"/>
              <w:rPr>
                <w:sz w:val="20"/>
                <w:szCs w:val="20"/>
              </w:rPr>
            </w:pPr>
            <w:r>
              <w:rPr>
                <w:spacing w:val="5"/>
                <w:sz w:val="20"/>
                <w:szCs w:val="20"/>
              </w:rPr>
              <w:t>规划实</w:t>
            </w:r>
          </w:p>
          <w:p w14:paraId="6E6081F8">
            <w:pPr>
              <w:pStyle w:val="6"/>
              <w:spacing w:before="20" w:line="231" w:lineRule="auto"/>
              <w:ind w:left="126"/>
              <w:rPr>
                <w:sz w:val="20"/>
                <w:szCs w:val="20"/>
              </w:rPr>
            </w:pPr>
            <w:r>
              <w:rPr>
                <w:spacing w:val="5"/>
                <w:sz w:val="20"/>
                <w:szCs w:val="20"/>
              </w:rPr>
              <w:t>施情况</w:t>
            </w:r>
          </w:p>
        </w:tc>
      </w:tr>
      <w:tr w14:paraId="6DEED5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5" w:hRule="atLeast"/>
        </w:trPr>
        <w:tc>
          <w:tcPr>
            <w:tcW w:w="824" w:type="dxa"/>
            <w:tcBorders>
              <w:left w:val="single" w:color="000000" w:sz="10" w:space="0"/>
            </w:tcBorders>
            <w:vAlign w:val="top"/>
          </w:tcPr>
          <w:p w14:paraId="544ECE4D">
            <w:pPr>
              <w:spacing w:line="279" w:lineRule="auto"/>
              <w:rPr>
                <w:rFonts w:ascii="Arial"/>
                <w:sz w:val="21"/>
              </w:rPr>
            </w:pPr>
          </w:p>
          <w:p w14:paraId="0B3BA96D">
            <w:pPr>
              <w:spacing w:before="58" w:line="197" w:lineRule="auto"/>
              <w:ind w:left="88"/>
              <w:rPr>
                <w:rFonts w:ascii="Times New Roman" w:hAnsi="Times New Roman" w:eastAsia="Times New Roman" w:cs="Times New Roman"/>
                <w:sz w:val="20"/>
                <w:szCs w:val="20"/>
              </w:rPr>
            </w:pPr>
            <w:r>
              <w:rPr>
                <w:rFonts w:ascii="Times New Roman" w:hAnsi="Times New Roman" w:eastAsia="Times New Roman" w:cs="Times New Roman"/>
                <w:sz w:val="20"/>
                <w:szCs w:val="20"/>
              </w:rPr>
              <w:t>KQ</w:t>
            </w:r>
            <w:r>
              <w:rPr>
                <w:rFonts w:ascii="Times New Roman" w:hAnsi="Times New Roman" w:eastAsia="Times New Roman" w:cs="Times New Roman"/>
                <w:spacing w:val="8"/>
                <w:sz w:val="20"/>
                <w:szCs w:val="20"/>
              </w:rPr>
              <w:t>001</w:t>
            </w:r>
          </w:p>
        </w:tc>
        <w:tc>
          <w:tcPr>
            <w:tcW w:w="2365" w:type="dxa"/>
            <w:vAlign w:val="top"/>
          </w:tcPr>
          <w:p w14:paraId="3B3FD2B7">
            <w:pPr>
              <w:pStyle w:val="6"/>
              <w:spacing w:before="167" w:line="252" w:lineRule="auto"/>
              <w:ind w:left="133" w:right="30" w:hanging="98"/>
              <w:rPr>
                <w:sz w:val="20"/>
                <w:szCs w:val="20"/>
              </w:rPr>
            </w:pPr>
            <w:r>
              <w:rPr>
                <w:spacing w:val="8"/>
                <w:sz w:val="20"/>
                <w:szCs w:val="20"/>
              </w:rPr>
              <w:t>重庆市黔江区水田乡石郎</w:t>
            </w:r>
            <w:r>
              <w:rPr>
                <w:sz w:val="20"/>
                <w:szCs w:val="20"/>
              </w:rPr>
              <w:t xml:space="preserve"> </w:t>
            </w:r>
            <w:r>
              <w:rPr>
                <w:spacing w:val="8"/>
                <w:sz w:val="20"/>
                <w:szCs w:val="20"/>
              </w:rPr>
              <w:t>村桃子坡水泥用灰岩矿</w:t>
            </w:r>
          </w:p>
        </w:tc>
        <w:tc>
          <w:tcPr>
            <w:tcW w:w="924" w:type="dxa"/>
            <w:vAlign w:val="top"/>
          </w:tcPr>
          <w:p w14:paraId="0D28F782">
            <w:pPr>
              <w:pStyle w:val="6"/>
              <w:spacing w:before="179" w:line="232" w:lineRule="auto"/>
              <w:ind w:left="67"/>
              <w:rPr>
                <w:sz w:val="19"/>
                <w:szCs w:val="19"/>
              </w:rPr>
            </w:pPr>
            <w:r>
              <w:rPr>
                <w:spacing w:val="6"/>
                <w:sz w:val="19"/>
                <w:szCs w:val="19"/>
              </w:rPr>
              <w:t>水泥用石</w:t>
            </w:r>
          </w:p>
          <w:p w14:paraId="6A5376BF">
            <w:pPr>
              <w:pStyle w:val="6"/>
              <w:spacing w:before="20" w:line="233" w:lineRule="auto"/>
              <w:ind w:left="269"/>
              <w:rPr>
                <w:sz w:val="19"/>
                <w:szCs w:val="19"/>
              </w:rPr>
            </w:pPr>
            <w:r>
              <w:rPr>
                <w:spacing w:val="1"/>
                <w:sz w:val="19"/>
                <w:szCs w:val="19"/>
              </w:rPr>
              <w:t>灰岩</w:t>
            </w:r>
          </w:p>
        </w:tc>
        <w:tc>
          <w:tcPr>
            <w:tcW w:w="949" w:type="dxa"/>
            <w:vAlign w:val="top"/>
          </w:tcPr>
          <w:p w14:paraId="681158ED">
            <w:pPr>
              <w:spacing w:line="287" w:lineRule="auto"/>
              <w:rPr>
                <w:rFonts w:ascii="Arial"/>
                <w:sz w:val="21"/>
              </w:rPr>
            </w:pPr>
          </w:p>
          <w:p w14:paraId="5843F788">
            <w:pPr>
              <w:spacing w:before="55" w:line="195" w:lineRule="auto"/>
              <w:ind w:left="203"/>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0.9702</w:t>
            </w:r>
          </w:p>
        </w:tc>
        <w:tc>
          <w:tcPr>
            <w:tcW w:w="986" w:type="dxa"/>
            <w:vAlign w:val="top"/>
          </w:tcPr>
          <w:p w14:paraId="43030DEC">
            <w:pPr>
              <w:spacing w:line="246" w:lineRule="auto"/>
              <w:rPr>
                <w:rFonts w:ascii="Arial"/>
                <w:sz w:val="21"/>
              </w:rPr>
            </w:pPr>
          </w:p>
          <w:p w14:paraId="1BA854FA">
            <w:pPr>
              <w:pStyle w:val="6"/>
              <w:spacing w:before="62" w:line="231" w:lineRule="auto"/>
              <w:ind w:left="304"/>
              <w:rPr>
                <w:sz w:val="19"/>
                <w:szCs w:val="19"/>
              </w:rPr>
            </w:pPr>
            <w:r>
              <w:rPr>
                <w:spacing w:val="2"/>
                <w:sz w:val="19"/>
                <w:szCs w:val="19"/>
              </w:rPr>
              <w:t>新设</w:t>
            </w:r>
          </w:p>
        </w:tc>
        <w:tc>
          <w:tcPr>
            <w:tcW w:w="1128" w:type="dxa"/>
            <w:vAlign w:val="top"/>
          </w:tcPr>
          <w:p w14:paraId="21D2758F">
            <w:pPr>
              <w:spacing w:line="246" w:lineRule="auto"/>
              <w:rPr>
                <w:rFonts w:ascii="Arial"/>
                <w:sz w:val="21"/>
              </w:rPr>
            </w:pPr>
          </w:p>
          <w:p w14:paraId="7B328C3A">
            <w:pPr>
              <w:pStyle w:val="6"/>
              <w:spacing w:before="61" w:line="230" w:lineRule="auto"/>
              <w:ind w:left="380"/>
              <w:rPr>
                <w:sz w:val="19"/>
                <w:szCs w:val="19"/>
              </w:rPr>
            </w:pPr>
            <w:r>
              <w:rPr>
                <w:spacing w:val="2"/>
                <w:sz w:val="19"/>
                <w:szCs w:val="19"/>
              </w:rPr>
              <w:t>详查</w:t>
            </w:r>
          </w:p>
        </w:tc>
        <w:tc>
          <w:tcPr>
            <w:tcW w:w="836" w:type="dxa"/>
            <w:vAlign w:val="top"/>
          </w:tcPr>
          <w:p w14:paraId="799D20EA">
            <w:pPr>
              <w:spacing w:line="287" w:lineRule="auto"/>
              <w:rPr>
                <w:rFonts w:ascii="Arial"/>
                <w:sz w:val="21"/>
              </w:rPr>
            </w:pPr>
          </w:p>
          <w:p w14:paraId="5DB4183C">
            <w:pPr>
              <w:spacing w:before="55" w:line="195" w:lineRule="auto"/>
              <w:ind w:left="226"/>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2021</w:t>
            </w:r>
          </w:p>
        </w:tc>
        <w:tc>
          <w:tcPr>
            <w:tcW w:w="861" w:type="dxa"/>
            <w:tcBorders>
              <w:right w:val="single" w:color="000000" w:sz="10" w:space="0"/>
            </w:tcBorders>
            <w:vAlign w:val="top"/>
          </w:tcPr>
          <w:p w14:paraId="71BB2FC3">
            <w:pPr>
              <w:spacing w:line="246" w:lineRule="auto"/>
              <w:rPr>
                <w:rFonts w:ascii="Arial"/>
                <w:sz w:val="21"/>
              </w:rPr>
            </w:pPr>
          </w:p>
          <w:p w14:paraId="2D63350B">
            <w:pPr>
              <w:pStyle w:val="6"/>
              <w:spacing w:before="62" w:line="231" w:lineRule="auto"/>
              <w:ind w:left="145"/>
              <w:rPr>
                <w:sz w:val="19"/>
                <w:szCs w:val="19"/>
              </w:rPr>
            </w:pPr>
            <w:r>
              <w:rPr>
                <w:spacing w:val="5"/>
                <w:sz w:val="19"/>
                <w:szCs w:val="19"/>
              </w:rPr>
              <w:t>未实施</w:t>
            </w:r>
          </w:p>
        </w:tc>
      </w:tr>
      <w:tr w14:paraId="097561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5" w:hRule="atLeast"/>
        </w:trPr>
        <w:tc>
          <w:tcPr>
            <w:tcW w:w="824" w:type="dxa"/>
            <w:tcBorders>
              <w:left w:val="single" w:color="000000" w:sz="10" w:space="0"/>
            </w:tcBorders>
            <w:vAlign w:val="top"/>
          </w:tcPr>
          <w:p w14:paraId="6D7279D4">
            <w:pPr>
              <w:spacing w:line="285" w:lineRule="auto"/>
              <w:rPr>
                <w:rFonts w:ascii="Arial"/>
                <w:sz w:val="21"/>
              </w:rPr>
            </w:pPr>
          </w:p>
          <w:p w14:paraId="1301530F">
            <w:pPr>
              <w:spacing w:before="57" w:line="197" w:lineRule="auto"/>
              <w:ind w:left="88"/>
              <w:rPr>
                <w:rFonts w:ascii="Times New Roman" w:hAnsi="Times New Roman" w:eastAsia="Times New Roman" w:cs="Times New Roman"/>
                <w:sz w:val="20"/>
                <w:szCs w:val="20"/>
              </w:rPr>
            </w:pPr>
            <w:r>
              <w:rPr>
                <w:rFonts w:ascii="Times New Roman" w:hAnsi="Times New Roman" w:eastAsia="Times New Roman" w:cs="Times New Roman"/>
                <w:sz w:val="20"/>
                <w:szCs w:val="20"/>
              </w:rPr>
              <w:t>KQ</w:t>
            </w:r>
            <w:r>
              <w:rPr>
                <w:rFonts w:ascii="Times New Roman" w:hAnsi="Times New Roman" w:eastAsia="Times New Roman" w:cs="Times New Roman"/>
                <w:spacing w:val="8"/>
                <w:sz w:val="20"/>
                <w:szCs w:val="20"/>
              </w:rPr>
              <w:t>002</w:t>
            </w:r>
          </w:p>
        </w:tc>
        <w:tc>
          <w:tcPr>
            <w:tcW w:w="2365" w:type="dxa"/>
            <w:vAlign w:val="top"/>
          </w:tcPr>
          <w:p w14:paraId="647277A6">
            <w:pPr>
              <w:pStyle w:val="6"/>
              <w:spacing w:before="172" w:line="253" w:lineRule="auto"/>
              <w:ind w:left="241" w:right="30" w:hanging="206"/>
              <w:rPr>
                <w:sz w:val="20"/>
                <w:szCs w:val="20"/>
              </w:rPr>
            </w:pPr>
            <w:r>
              <w:rPr>
                <w:spacing w:val="8"/>
                <w:sz w:val="20"/>
                <w:szCs w:val="20"/>
              </w:rPr>
              <w:t>重庆市黔江区邻鄂镇殷家</w:t>
            </w:r>
            <w:r>
              <w:rPr>
                <w:sz w:val="20"/>
                <w:szCs w:val="20"/>
              </w:rPr>
              <w:t xml:space="preserve"> </w:t>
            </w:r>
            <w:r>
              <w:rPr>
                <w:spacing w:val="8"/>
                <w:sz w:val="20"/>
                <w:szCs w:val="20"/>
              </w:rPr>
              <w:t>坨饰面石材用灰岩矿</w:t>
            </w:r>
          </w:p>
        </w:tc>
        <w:tc>
          <w:tcPr>
            <w:tcW w:w="924" w:type="dxa"/>
            <w:vAlign w:val="top"/>
          </w:tcPr>
          <w:p w14:paraId="47BCB447">
            <w:pPr>
              <w:pStyle w:val="6"/>
              <w:spacing w:before="182" w:line="232" w:lineRule="auto"/>
              <w:ind w:left="69"/>
              <w:rPr>
                <w:sz w:val="19"/>
                <w:szCs w:val="19"/>
              </w:rPr>
            </w:pPr>
            <w:r>
              <w:rPr>
                <w:spacing w:val="6"/>
                <w:sz w:val="19"/>
                <w:szCs w:val="19"/>
              </w:rPr>
              <w:t>饰面石材</w:t>
            </w:r>
          </w:p>
          <w:p w14:paraId="7D912372">
            <w:pPr>
              <w:pStyle w:val="6"/>
              <w:spacing w:before="20" w:line="233" w:lineRule="auto"/>
              <w:ind w:left="68"/>
              <w:rPr>
                <w:sz w:val="19"/>
                <w:szCs w:val="19"/>
              </w:rPr>
            </w:pPr>
            <w:r>
              <w:rPr>
                <w:spacing w:val="6"/>
                <w:sz w:val="19"/>
                <w:szCs w:val="19"/>
              </w:rPr>
              <w:t>用灰岩矿</w:t>
            </w:r>
          </w:p>
        </w:tc>
        <w:tc>
          <w:tcPr>
            <w:tcW w:w="949" w:type="dxa"/>
            <w:vAlign w:val="top"/>
          </w:tcPr>
          <w:p w14:paraId="68748C79">
            <w:pPr>
              <w:spacing w:line="292" w:lineRule="auto"/>
              <w:rPr>
                <w:rFonts w:ascii="Arial"/>
                <w:sz w:val="21"/>
              </w:rPr>
            </w:pPr>
          </w:p>
          <w:p w14:paraId="22CA3470">
            <w:pPr>
              <w:spacing w:before="55" w:line="195" w:lineRule="auto"/>
              <w:ind w:left="203"/>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0.2428</w:t>
            </w:r>
          </w:p>
        </w:tc>
        <w:tc>
          <w:tcPr>
            <w:tcW w:w="986" w:type="dxa"/>
            <w:vAlign w:val="top"/>
          </w:tcPr>
          <w:p w14:paraId="011EB44D">
            <w:pPr>
              <w:spacing w:line="251" w:lineRule="auto"/>
              <w:rPr>
                <w:rFonts w:ascii="Arial"/>
                <w:sz w:val="21"/>
              </w:rPr>
            </w:pPr>
          </w:p>
          <w:p w14:paraId="1588D8DB">
            <w:pPr>
              <w:pStyle w:val="6"/>
              <w:spacing w:before="62" w:line="231" w:lineRule="auto"/>
              <w:ind w:left="304"/>
              <w:rPr>
                <w:sz w:val="19"/>
                <w:szCs w:val="19"/>
              </w:rPr>
            </w:pPr>
            <w:r>
              <w:rPr>
                <w:spacing w:val="2"/>
                <w:sz w:val="19"/>
                <w:szCs w:val="19"/>
              </w:rPr>
              <w:t>新设</w:t>
            </w:r>
          </w:p>
        </w:tc>
        <w:tc>
          <w:tcPr>
            <w:tcW w:w="1128" w:type="dxa"/>
            <w:vAlign w:val="top"/>
          </w:tcPr>
          <w:p w14:paraId="61A77F43">
            <w:pPr>
              <w:spacing w:line="251" w:lineRule="auto"/>
              <w:rPr>
                <w:rFonts w:ascii="Arial"/>
                <w:sz w:val="21"/>
              </w:rPr>
            </w:pPr>
          </w:p>
          <w:p w14:paraId="2C021891">
            <w:pPr>
              <w:pStyle w:val="6"/>
              <w:spacing w:before="62" w:line="230" w:lineRule="auto"/>
              <w:ind w:left="380"/>
              <w:rPr>
                <w:sz w:val="19"/>
                <w:szCs w:val="19"/>
              </w:rPr>
            </w:pPr>
            <w:r>
              <w:rPr>
                <w:spacing w:val="2"/>
                <w:sz w:val="19"/>
                <w:szCs w:val="19"/>
              </w:rPr>
              <w:t>详查</w:t>
            </w:r>
          </w:p>
        </w:tc>
        <w:tc>
          <w:tcPr>
            <w:tcW w:w="836" w:type="dxa"/>
            <w:vAlign w:val="top"/>
          </w:tcPr>
          <w:p w14:paraId="0CCC29EE">
            <w:pPr>
              <w:spacing w:line="292" w:lineRule="auto"/>
              <w:rPr>
                <w:rFonts w:ascii="Arial"/>
                <w:sz w:val="21"/>
              </w:rPr>
            </w:pPr>
          </w:p>
          <w:p w14:paraId="617DB434">
            <w:pPr>
              <w:spacing w:before="55" w:line="195" w:lineRule="auto"/>
              <w:ind w:left="226"/>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2022</w:t>
            </w:r>
          </w:p>
        </w:tc>
        <w:tc>
          <w:tcPr>
            <w:tcW w:w="861" w:type="dxa"/>
            <w:tcBorders>
              <w:right w:val="single" w:color="000000" w:sz="10" w:space="0"/>
            </w:tcBorders>
            <w:vAlign w:val="top"/>
          </w:tcPr>
          <w:p w14:paraId="39D12F28">
            <w:pPr>
              <w:spacing w:line="251" w:lineRule="auto"/>
              <w:rPr>
                <w:rFonts w:ascii="Arial"/>
                <w:sz w:val="21"/>
              </w:rPr>
            </w:pPr>
          </w:p>
          <w:p w14:paraId="0199E3BF">
            <w:pPr>
              <w:pStyle w:val="6"/>
              <w:spacing w:before="62" w:line="231" w:lineRule="auto"/>
              <w:ind w:left="145"/>
              <w:rPr>
                <w:sz w:val="19"/>
                <w:szCs w:val="19"/>
              </w:rPr>
            </w:pPr>
            <w:r>
              <w:rPr>
                <w:spacing w:val="5"/>
                <w:sz w:val="19"/>
                <w:szCs w:val="19"/>
              </w:rPr>
              <w:t>未实施</w:t>
            </w:r>
          </w:p>
        </w:tc>
      </w:tr>
      <w:tr w14:paraId="3D15B5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5" w:hRule="atLeast"/>
        </w:trPr>
        <w:tc>
          <w:tcPr>
            <w:tcW w:w="824" w:type="dxa"/>
            <w:tcBorders>
              <w:left w:val="single" w:color="000000" w:sz="10" w:space="0"/>
            </w:tcBorders>
            <w:vAlign w:val="top"/>
          </w:tcPr>
          <w:p w14:paraId="2EFE7A29">
            <w:pPr>
              <w:spacing w:line="290" w:lineRule="auto"/>
              <w:rPr>
                <w:rFonts w:ascii="Arial"/>
                <w:sz w:val="21"/>
              </w:rPr>
            </w:pPr>
          </w:p>
          <w:p w14:paraId="0DA76399">
            <w:pPr>
              <w:spacing w:before="57" w:line="197" w:lineRule="auto"/>
              <w:ind w:left="88"/>
              <w:rPr>
                <w:rFonts w:ascii="Times New Roman" w:hAnsi="Times New Roman" w:eastAsia="Times New Roman" w:cs="Times New Roman"/>
                <w:sz w:val="20"/>
                <w:szCs w:val="20"/>
              </w:rPr>
            </w:pPr>
            <w:r>
              <w:rPr>
                <w:rFonts w:ascii="Times New Roman" w:hAnsi="Times New Roman" w:eastAsia="Times New Roman" w:cs="Times New Roman"/>
                <w:sz w:val="20"/>
                <w:szCs w:val="20"/>
              </w:rPr>
              <w:t>KQ</w:t>
            </w:r>
            <w:r>
              <w:rPr>
                <w:rFonts w:ascii="Times New Roman" w:hAnsi="Times New Roman" w:eastAsia="Times New Roman" w:cs="Times New Roman"/>
                <w:spacing w:val="8"/>
                <w:sz w:val="20"/>
                <w:szCs w:val="20"/>
              </w:rPr>
              <w:t>003</w:t>
            </w:r>
          </w:p>
        </w:tc>
        <w:tc>
          <w:tcPr>
            <w:tcW w:w="2365" w:type="dxa"/>
            <w:vAlign w:val="top"/>
          </w:tcPr>
          <w:p w14:paraId="584AFD8D">
            <w:pPr>
              <w:pStyle w:val="6"/>
              <w:spacing w:before="176" w:line="251" w:lineRule="auto"/>
              <w:ind w:left="29" w:right="30" w:firstLine="6"/>
              <w:rPr>
                <w:sz w:val="20"/>
                <w:szCs w:val="20"/>
              </w:rPr>
            </w:pPr>
            <w:r>
              <w:rPr>
                <w:spacing w:val="8"/>
                <w:sz w:val="20"/>
                <w:szCs w:val="20"/>
              </w:rPr>
              <w:t>重庆市黔江区沙坝镇脉东</w:t>
            </w:r>
            <w:r>
              <w:rPr>
                <w:sz w:val="20"/>
                <w:szCs w:val="20"/>
              </w:rPr>
              <w:t xml:space="preserve"> </w:t>
            </w:r>
            <w:r>
              <w:rPr>
                <w:spacing w:val="8"/>
                <w:sz w:val="20"/>
                <w:szCs w:val="20"/>
              </w:rPr>
              <w:t>社区石筒槽饰面用灰岩矿</w:t>
            </w:r>
          </w:p>
        </w:tc>
        <w:tc>
          <w:tcPr>
            <w:tcW w:w="924" w:type="dxa"/>
            <w:vAlign w:val="top"/>
          </w:tcPr>
          <w:p w14:paraId="052E8BE0">
            <w:pPr>
              <w:pStyle w:val="6"/>
              <w:spacing w:before="188" w:line="232" w:lineRule="auto"/>
              <w:ind w:left="69"/>
              <w:rPr>
                <w:sz w:val="19"/>
                <w:szCs w:val="19"/>
              </w:rPr>
            </w:pPr>
            <w:r>
              <w:rPr>
                <w:spacing w:val="6"/>
                <w:sz w:val="19"/>
                <w:szCs w:val="19"/>
              </w:rPr>
              <w:t>饰面石材</w:t>
            </w:r>
          </w:p>
          <w:p w14:paraId="00A4E05A">
            <w:pPr>
              <w:pStyle w:val="6"/>
              <w:spacing w:before="20" w:line="233" w:lineRule="auto"/>
              <w:ind w:left="68"/>
              <w:rPr>
                <w:sz w:val="19"/>
                <w:szCs w:val="19"/>
              </w:rPr>
            </w:pPr>
            <w:r>
              <w:rPr>
                <w:spacing w:val="6"/>
                <w:sz w:val="19"/>
                <w:szCs w:val="19"/>
              </w:rPr>
              <w:t>用灰岩矿</w:t>
            </w:r>
          </w:p>
        </w:tc>
        <w:tc>
          <w:tcPr>
            <w:tcW w:w="949" w:type="dxa"/>
            <w:vAlign w:val="top"/>
          </w:tcPr>
          <w:p w14:paraId="0CC3CCCD">
            <w:pPr>
              <w:spacing w:line="295" w:lineRule="auto"/>
              <w:rPr>
                <w:rFonts w:ascii="Arial"/>
                <w:sz w:val="21"/>
              </w:rPr>
            </w:pPr>
          </w:p>
          <w:p w14:paraId="0BB0B79A">
            <w:pPr>
              <w:spacing w:before="55" w:line="195" w:lineRule="auto"/>
              <w:ind w:left="203"/>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0.0297</w:t>
            </w:r>
          </w:p>
        </w:tc>
        <w:tc>
          <w:tcPr>
            <w:tcW w:w="986" w:type="dxa"/>
            <w:vAlign w:val="top"/>
          </w:tcPr>
          <w:p w14:paraId="1F148E42">
            <w:pPr>
              <w:spacing w:line="254" w:lineRule="auto"/>
              <w:rPr>
                <w:rFonts w:ascii="Arial"/>
                <w:sz w:val="21"/>
              </w:rPr>
            </w:pPr>
          </w:p>
          <w:p w14:paraId="168C0020">
            <w:pPr>
              <w:pStyle w:val="6"/>
              <w:spacing w:before="62" w:line="231" w:lineRule="auto"/>
              <w:ind w:left="304"/>
              <w:rPr>
                <w:sz w:val="19"/>
                <w:szCs w:val="19"/>
              </w:rPr>
            </w:pPr>
            <w:r>
              <w:rPr>
                <w:spacing w:val="2"/>
                <w:sz w:val="19"/>
                <w:szCs w:val="19"/>
              </w:rPr>
              <w:t>新设</w:t>
            </w:r>
          </w:p>
        </w:tc>
        <w:tc>
          <w:tcPr>
            <w:tcW w:w="1128" w:type="dxa"/>
            <w:vAlign w:val="top"/>
          </w:tcPr>
          <w:p w14:paraId="5DA4DDC2">
            <w:pPr>
              <w:spacing w:line="254" w:lineRule="auto"/>
              <w:rPr>
                <w:rFonts w:ascii="Arial"/>
                <w:sz w:val="21"/>
              </w:rPr>
            </w:pPr>
          </w:p>
          <w:p w14:paraId="6EE1338B">
            <w:pPr>
              <w:pStyle w:val="6"/>
              <w:spacing w:before="62" w:line="230" w:lineRule="auto"/>
              <w:ind w:left="380"/>
              <w:rPr>
                <w:sz w:val="19"/>
                <w:szCs w:val="19"/>
              </w:rPr>
            </w:pPr>
            <w:r>
              <w:rPr>
                <w:spacing w:val="2"/>
                <w:sz w:val="19"/>
                <w:szCs w:val="19"/>
              </w:rPr>
              <w:t>详查</w:t>
            </w:r>
          </w:p>
        </w:tc>
        <w:tc>
          <w:tcPr>
            <w:tcW w:w="836" w:type="dxa"/>
            <w:vAlign w:val="top"/>
          </w:tcPr>
          <w:p w14:paraId="0E0E82B6">
            <w:pPr>
              <w:spacing w:line="295" w:lineRule="auto"/>
              <w:rPr>
                <w:rFonts w:ascii="Arial"/>
                <w:sz w:val="21"/>
              </w:rPr>
            </w:pPr>
          </w:p>
          <w:p w14:paraId="7528BCF3">
            <w:pPr>
              <w:spacing w:before="55" w:line="195" w:lineRule="auto"/>
              <w:ind w:left="226"/>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2022</w:t>
            </w:r>
          </w:p>
        </w:tc>
        <w:tc>
          <w:tcPr>
            <w:tcW w:w="861" w:type="dxa"/>
            <w:tcBorders>
              <w:right w:val="single" w:color="000000" w:sz="10" w:space="0"/>
            </w:tcBorders>
            <w:vAlign w:val="top"/>
          </w:tcPr>
          <w:p w14:paraId="347F7876">
            <w:pPr>
              <w:spacing w:line="254" w:lineRule="auto"/>
              <w:rPr>
                <w:rFonts w:ascii="Arial"/>
                <w:sz w:val="21"/>
              </w:rPr>
            </w:pPr>
          </w:p>
          <w:p w14:paraId="64D51FA4">
            <w:pPr>
              <w:pStyle w:val="6"/>
              <w:spacing w:before="62" w:line="231" w:lineRule="auto"/>
              <w:ind w:left="145"/>
              <w:rPr>
                <w:sz w:val="19"/>
                <w:szCs w:val="19"/>
              </w:rPr>
            </w:pPr>
            <w:r>
              <w:rPr>
                <w:spacing w:val="5"/>
                <w:sz w:val="19"/>
                <w:szCs w:val="19"/>
              </w:rPr>
              <w:t>未实施</w:t>
            </w:r>
          </w:p>
        </w:tc>
      </w:tr>
      <w:tr w14:paraId="631C06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5" w:hRule="atLeast"/>
        </w:trPr>
        <w:tc>
          <w:tcPr>
            <w:tcW w:w="824" w:type="dxa"/>
            <w:tcBorders>
              <w:left w:val="single" w:color="000000" w:sz="10" w:space="0"/>
            </w:tcBorders>
            <w:vAlign w:val="top"/>
          </w:tcPr>
          <w:p w14:paraId="7DC48216">
            <w:pPr>
              <w:spacing w:line="293" w:lineRule="auto"/>
              <w:rPr>
                <w:rFonts w:ascii="Arial"/>
                <w:sz w:val="21"/>
              </w:rPr>
            </w:pPr>
          </w:p>
          <w:p w14:paraId="0E915C6F">
            <w:pPr>
              <w:spacing w:before="57" w:line="197" w:lineRule="auto"/>
              <w:ind w:left="88"/>
              <w:rPr>
                <w:rFonts w:ascii="Times New Roman" w:hAnsi="Times New Roman" w:eastAsia="Times New Roman" w:cs="Times New Roman"/>
                <w:sz w:val="20"/>
                <w:szCs w:val="20"/>
              </w:rPr>
            </w:pPr>
            <w:r>
              <w:rPr>
                <w:rFonts w:ascii="Times New Roman" w:hAnsi="Times New Roman" w:eastAsia="Times New Roman" w:cs="Times New Roman"/>
                <w:sz w:val="20"/>
                <w:szCs w:val="20"/>
              </w:rPr>
              <w:t>KQ</w:t>
            </w:r>
            <w:r>
              <w:rPr>
                <w:rFonts w:ascii="Times New Roman" w:hAnsi="Times New Roman" w:eastAsia="Times New Roman" w:cs="Times New Roman"/>
                <w:spacing w:val="8"/>
                <w:sz w:val="20"/>
                <w:szCs w:val="20"/>
              </w:rPr>
              <w:t>004</w:t>
            </w:r>
          </w:p>
        </w:tc>
        <w:tc>
          <w:tcPr>
            <w:tcW w:w="2365" w:type="dxa"/>
            <w:vAlign w:val="top"/>
          </w:tcPr>
          <w:p w14:paraId="621BBE1E">
            <w:pPr>
              <w:pStyle w:val="6"/>
              <w:spacing w:before="179" w:line="254" w:lineRule="auto"/>
              <w:ind w:left="660" w:right="30" w:hanging="625"/>
              <w:rPr>
                <w:sz w:val="20"/>
                <w:szCs w:val="20"/>
              </w:rPr>
            </w:pPr>
            <w:r>
              <w:rPr>
                <w:spacing w:val="8"/>
                <w:sz w:val="20"/>
                <w:szCs w:val="20"/>
              </w:rPr>
              <w:t>重庆市黔江区中塘乡二坪</w:t>
            </w:r>
            <w:r>
              <w:rPr>
                <w:sz w:val="20"/>
                <w:szCs w:val="20"/>
              </w:rPr>
              <w:t xml:space="preserve"> </w:t>
            </w:r>
            <w:r>
              <w:rPr>
                <w:spacing w:val="6"/>
                <w:sz w:val="20"/>
                <w:szCs w:val="20"/>
              </w:rPr>
              <w:t>铝土矿普查</w:t>
            </w:r>
          </w:p>
        </w:tc>
        <w:tc>
          <w:tcPr>
            <w:tcW w:w="924" w:type="dxa"/>
            <w:vAlign w:val="top"/>
          </w:tcPr>
          <w:p w14:paraId="1824FAE8">
            <w:pPr>
              <w:spacing w:line="259" w:lineRule="auto"/>
              <w:rPr>
                <w:rFonts w:ascii="Arial"/>
                <w:sz w:val="21"/>
              </w:rPr>
            </w:pPr>
          </w:p>
          <w:p w14:paraId="79FCC154">
            <w:pPr>
              <w:pStyle w:val="6"/>
              <w:spacing w:before="62" w:line="233" w:lineRule="auto"/>
              <w:ind w:left="169"/>
              <w:rPr>
                <w:sz w:val="19"/>
                <w:szCs w:val="19"/>
              </w:rPr>
            </w:pPr>
            <w:r>
              <w:rPr>
                <w:spacing w:val="5"/>
                <w:sz w:val="19"/>
                <w:szCs w:val="19"/>
              </w:rPr>
              <w:t>铝土矿</w:t>
            </w:r>
          </w:p>
        </w:tc>
        <w:tc>
          <w:tcPr>
            <w:tcW w:w="949" w:type="dxa"/>
            <w:vAlign w:val="top"/>
          </w:tcPr>
          <w:p w14:paraId="6627B5EB">
            <w:pPr>
              <w:spacing w:line="301" w:lineRule="auto"/>
              <w:rPr>
                <w:rFonts w:ascii="Arial"/>
                <w:sz w:val="21"/>
              </w:rPr>
            </w:pPr>
          </w:p>
          <w:p w14:paraId="3246B58E">
            <w:pPr>
              <w:spacing w:before="54" w:line="195" w:lineRule="auto"/>
              <w:ind w:left="204"/>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3.9566</w:t>
            </w:r>
          </w:p>
        </w:tc>
        <w:tc>
          <w:tcPr>
            <w:tcW w:w="986" w:type="dxa"/>
            <w:vAlign w:val="top"/>
          </w:tcPr>
          <w:p w14:paraId="6B3CC87B">
            <w:pPr>
              <w:spacing w:line="260" w:lineRule="auto"/>
              <w:rPr>
                <w:rFonts w:ascii="Arial"/>
                <w:sz w:val="21"/>
              </w:rPr>
            </w:pPr>
          </w:p>
          <w:p w14:paraId="1D74FBFC">
            <w:pPr>
              <w:pStyle w:val="6"/>
              <w:spacing w:before="61" w:line="231" w:lineRule="auto"/>
              <w:ind w:left="304"/>
              <w:rPr>
                <w:sz w:val="19"/>
                <w:szCs w:val="19"/>
              </w:rPr>
            </w:pPr>
            <w:r>
              <w:rPr>
                <w:spacing w:val="2"/>
                <w:sz w:val="19"/>
                <w:szCs w:val="19"/>
              </w:rPr>
              <w:t>新设</w:t>
            </w:r>
          </w:p>
        </w:tc>
        <w:tc>
          <w:tcPr>
            <w:tcW w:w="1128" w:type="dxa"/>
            <w:vAlign w:val="top"/>
          </w:tcPr>
          <w:p w14:paraId="682CAEF6">
            <w:pPr>
              <w:spacing w:line="250" w:lineRule="auto"/>
              <w:rPr>
                <w:rFonts w:ascii="Arial"/>
                <w:sz w:val="21"/>
              </w:rPr>
            </w:pPr>
          </w:p>
          <w:p w14:paraId="1E4294F0">
            <w:pPr>
              <w:pStyle w:val="6"/>
              <w:spacing w:before="65" w:line="234" w:lineRule="auto"/>
              <w:ind w:left="373"/>
              <w:rPr>
                <w:sz w:val="20"/>
                <w:szCs w:val="20"/>
              </w:rPr>
            </w:pPr>
            <w:r>
              <w:rPr>
                <w:sz w:val="20"/>
                <w:szCs w:val="20"/>
              </w:rPr>
              <w:t>普查</w:t>
            </w:r>
          </w:p>
        </w:tc>
        <w:tc>
          <w:tcPr>
            <w:tcW w:w="836" w:type="dxa"/>
            <w:vAlign w:val="top"/>
          </w:tcPr>
          <w:p w14:paraId="1168FE31">
            <w:pPr>
              <w:spacing w:line="293" w:lineRule="auto"/>
              <w:rPr>
                <w:rFonts w:ascii="Arial"/>
                <w:sz w:val="21"/>
              </w:rPr>
            </w:pPr>
          </w:p>
          <w:p w14:paraId="52AFCCAE">
            <w:pPr>
              <w:spacing w:before="58"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2023</w:t>
            </w:r>
          </w:p>
        </w:tc>
        <w:tc>
          <w:tcPr>
            <w:tcW w:w="861" w:type="dxa"/>
            <w:tcBorders>
              <w:right w:val="single" w:color="000000" w:sz="10" w:space="0"/>
            </w:tcBorders>
            <w:vAlign w:val="top"/>
          </w:tcPr>
          <w:p w14:paraId="6984C15A">
            <w:pPr>
              <w:spacing w:line="260" w:lineRule="auto"/>
              <w:rPr>
                <w:rFonts w:ascii="Arial"/>
                <w:sz w:val="21"/>
              </w:rPr>
            </w:pPr>
          </w:p>
          <w:p w14:paraId="111566D7">
            <w:pPr>
              <w:pStyle w:val="6"/>
              <w:spacing w:before="61" w:line="231" w:lineRule="auto"/>
              <w:ind w:left="145"/>
              <w:rPr>
                <w:sz w:val="19"/>
                <w:szCs w:val="19"/>
              </w:rPr>
            </w:pPr>
            <w:r>
              <w:rPr>
                <w:spacing w:val="5"/>
                <w:sz w:val="19"/>
                <w:szCs w:val="19"/>
              </w:rPr>
              <w:t>未实施</w:t>
            </w:r>
          </w:p>
        </w:tc>
      </w:tr>
      <w:tr w14:paraId="1DD529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824" w:type="dxa"/>
            <w:tcBorders>
              <w:left w:val="single" w:color="000000" w:sz="10" w:space="0"/>
              <w:bottom w:val="single" w:color="000000" w:sz="10" w:space="0"/>
            </w:tcBorders>
            <w:vAlign w:val="top"/>
          </w:tcPr>
          <w:p w14:paraId="241AA932">
            <w:pPr>
              <w:spacing w:before="221" w:line="197" w:lineRule="auto"/>
              <w:ind w:left="88"/>
              <w:rPr>
                <w:rFonts w:ascii="Times New Roman" w:hAnsi="Times New Roman" w:eastAsia="Times New Roman" w:cs="Times New Roman"/>
                <w:sz w:val="20"/>
                <w:szCs w:val="20"/>
              </w:rPr>
            </w:pPr>
            <w:r>
              <w:rPr>
                <w:rFonts w:ascii="Times New Roman" w:hAnsi="Times New Roman" w:eastAsia="Times New Roman" w:cs="Times New Roman"/>
                <w:sz w:val="20"/>
                <w:szCs w:val="20"/>
              </w:rPr>
              <w:t>KQ</w:t>
            </w:r>
            <w:r>
              <w:rPr>
                <w:rFonts w:ascii="Times New Roman" w:hAnsi="Times New Roman" w:eastAsia="Times New Roman" w:cs="Times New Roman"/>
                <w:spacing w:val="8"/>
                <w:sz w:val="20"/>
                <w:szCs w:val="20"/>
              </w:rPr>
              <w:t>005</w:t>
            </w:r>
          </w:p>
        </w:tc>
        <w:tc>
          <w:tcPr>
            <w:tcW w:w="2365" w:type="dxa"/>
            <w:tcBorders>
              <w:bottom w:val="single" w:color="000000" w:sz="10" w:space="0"/>
            </w:tcBorders>
            <w:vAlign w:val="top"/>
          </w:tcPr>
          <w:p w14:paraId="14A34FB1">
            <w:pPr>
              <w:pStyle w:val="6"/>
              <w:spacing w:before="245" w:line="231" w:lineRule="auto"/>
              <w:ind w:left="35"/>
              <w:rPr>
                <w:sz w:val="20"/>
                <w:szCs w:val="20"/>
              </w:rPr>
            </w:pPr>
            <w:r>
              <w:rPr>
                <w:spacing w:val="8"/>
                <w:sz w:val="20"/>
                <w:szCs w:val="20"/>
              </w:rPr>
              <w:t>重庆市黔江区石家镇清塘</w:t>
            </w:r>
          </w:p>
        </w:tc>
        <w:tc>
          <w:tcPr>
            <w:tcW w:w="924" w:type="dxa"/>
            <w:tcBorders>
              <w:bottom w:val="single" w:color="000000" w:sz="10" w:space="0"/>
            </w:tcBorders>
            <w:vAlign w:val="top"/>
          </w:tcPr>
          <w:p w14:paraId="0F21C5BC">
            <w:pPr>
              <w:pStyle w:val="6"/>
              <w:spacing w:before="191" w:line="233" w:lineRule="auto"/>
              <w:ind w:left="175"/>
              <w:rPr>
                <w:sz w:val="19"/>
                <w:szCs w:val="19"/>
              </w:rPr>
            </w:pPr>
            <w:r>
              <w:rPr>
                <w:spacing w:val="3"/>
                <w:sz w:val="19"/>
                <w:szCs w:val="19"/>
              </w:rPr>
              <w:t>萤石矿</w:t>
            </w:r>
          </w:p>
        </w:tc>
        <w:tc>
          <w:tcPr>
            <w:tcW w:w="949" w:type="dxa"/>
            <w:tcBorders>
              <w:bottom w:val="single" w:color="000000" w:sz="10" w:space="0"/>
            </w:tcBorders>
            <w:vAlign w:val="top"/>
          </w:tcPr>
          <w:p w14:paraId="3E44F0E6">
            <w:pPr>
              <w:spacing w:before="226" w:line="195" w:lineRule="auto"/>
              <w:ind w:left="251"/>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0.262</w:t>
            </w:r>
          </w:p>
        </w:tc>
        <w:tc>
          <w:tcPr>
            <w:tcW w:w="986" w:type="dxa"/>
            <w:tcBorders>
              <w:bottom w:val="single" w:color="000000" w:sz="10" w:space="0"/>
            </w:tcBorders>
            <w:vAlign w:val="top"/>
          </w:tcPr>
          <w:p w14:paraId="032487C7">
            <w:pPr>
              <w:pStyle w:val="6"/>
              <w:spacing w:before="192" w:line="231" w:lineRule="auto"/>
              <w:ind w:left="304"/>
              <w:rPr>
                <w:sz w:val="19"/>
                <w:szCs w:val="19"/>
              </w:rPr>
            </w:pPr>
            <w:r>
              <w:rPr>
                <w:spacing w:val="2"/>
                <w:sz w:val="19"/>
                <w:szCs w:val="19"/>
              </w:rPr>
              <w:t>新设</w:t>
            </w:r>
          </w:p>
        </w:tc>
        <w:tc>
          <w:tcPr>
            <w:tcW w:w="1128" w:type="dxa"/>
            <w:tcBorders>
              <w:bottom w:val="single" w:color="000000" w:sz="10" w:space="0"/>
            </w:tcBorders>
            <w:vAlign w:val="top"/>
          </w:tcPr>
          <w:p w14:paraId="0894F9E7">
            <w:pPr>
              <w:pStyle w:val="6"/>
              <w:spacing w:before="185" w:line="234" w:lineRule="auto"/>
              <w:ind w:left="373"/>
              <w:rPr>
                <w:sz w:val="20"/>
                <w:szCs w:val="20"/>
              </w:rPr>
            </w:pPr>
            <w:r>
              <w:rPr>
                <w:sz w:val="20"/>
                <w:szCs w:val="20"/>
              </w:rPr>
              <w:t>普查</w:t>
            </w:r>
          </w:p>
        </w:tc>
        <w:tc>
          <w:tcPr>
            <w:tcW w:w="836" w:type="dxa"/>
            <w:tcBorders>
              <w:bottom w:val="single" w:color="000000" w:sz="10" w:space="0"/>
            </w:tcBorders>
            <w:vAlign w:val="top"/>
          </w:tcPr>
          <w:p w14:paraId="09F4DB89">
            <w:pPr>
              <w:spacing w:before="221"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2023</w:t>
            </w:r>
          </w:p>
        </w:tc>
        <w:tc>
          <w:tcPr>
            <w:tcW w:w="861" w:type="dxa"/>
            <w:tcBorders>
              <w:bottom w:val="single" w:color="000000" w:sz="10" w:space="0"/>
              <w:right w:val="single" w:color="000000" w:sz="10" w:space="0"/>
            </w:tcBorders>
            <w:vAlign w:val="top"/>
          </w:tcPr>
          <w:p w14:paraId="475599F5">
            <w:pPr>
              <w:pStyle w:val="6"/>
              <w:spacing w:before="192" w:line="231" w:lineRule="auto"/>
              <w:ind w:left="145"/>
              <w:rPr>
                <w:sz w:val="19"/>
                <w:szCs w:val="19"/>
              </w:rPr>
            </w:pPr>
            <w:r>
              <w:rPr>
                <w:spacing w:val="5"/>
                <w:sz w:val="19"/>
                <w:szCs w:val="19"/>
              </w:rPr>
              <w:t>未实施</w:t>
            </w:r>
          </w:p>
        </w:tc>
      </w:tr>
    </w:tbl>
    <w:p w14:paraId="4B761D4A">
      <w:pPr>
        <w:pStyle w:val="2"/>
      </w:pPr>
    </w:p>
    <w:p w14:paraId="0BDD2F98">
      <w:pPr>
        <w:sectPr>
          <w:headerReference r:id="rId127" w:type="default"/>
          <w:footerReference r:id="rId128" w:type="default"/>
          <w:pgSz w:w="11906" w:h="16839"/>
          <w:pgMar w:top="1116" w:right="1447" w:bottom="1477" w:left="1532" w:header="683" w:footer="1318" w:gutter="0"/>
          <w:cols w:space="720" w:num="1"/>
        </w:sectPr>
      </w:pPr>
    </w:p>
    <w:p w14:paraId="549C92E3">
      <w:pPr>
        <w:spacing w:before="82"/>
      </w:pPr>
    </w:p>
    <w:tbl>
      <w:tblPr>
        <w:tblStyle w:val="5"/>
        <w:tblW w:w="8873" w:type="dxa"/>
        <w:tblInd w:w="1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4"/>
        <w:gridCol w:w="2365"/>
        <w:gridCol w:w="924"/>
        <w:gridCol w:w="949"/>
        <w:gridCol w:w="986"/>
        <w:gridCol w:w="1128"/>
        <w:gridCol w:w="836"/>
        <w:gridCol w:w="861"/>
      </w:tblGrid>
      <w:tr w14:paraId="12BB79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824" w:type="dxa"/>
            <w:tcBorders>
              <w:top w:val="single" w:color="000000" w:sz="10" w:space="0"/>
              <w:left w:val="single" w:color="000000" w:sz="10" w:space="0"/>
            </w:tcBorders>
            <w:vAlign w:val="top"/>
          </w:tcPr>
          <w:p w14:paraId="1A0AFFCD">
            <w:pPr>
              <w:rPr>
                <w:rFonts w:ascii="Arial"/>
                <w:sz w:val="21"/>
              </w:rPr>
            </w:pPr>
          </w:p>
        </w:tc>
        <w:tc>
          <w:tcPr>
            <w:tcW w:w="2365" w:type="dxa"/>
            <w:tcBorders>
              <w:top w:val="single" w:color="000000" w:sz="10" w:space="0"/>
            </w:tcBorders>
            <w:vAlign w:val="top"/>
          </w:tcPr>
          <w:p w14:paraId="5AD9CB2E">
            <w:pPr>
              <w:pStyle w:val="6"/>
              <w:spacing w:before="36" w:line="230" w:lineRule="auto"/>
              <w:ind w:left="239"/>
              <w:rPr>
                <w:sz w:val="20"/>
                <w:szCs w:val="20"/>
              </w:rPr>
            </w:pPr>
            <w:r>
              <w:rPr>
                <w:spacing w:val="8"/>
                <w:sz w:val="20"/>
                <w:szCs w:val="20"/>
              </w:rPr>
              <w:t>村风岩坡萤石矿普查</w:t>
            </w:r>
          </w:p>
        </w:tc>
        <w:tc>
          <w:tcPr>
            <w:tcW w:w="924" w:type="dxa"/>
            <w:tcBorders>
              <w:top w:val="single" w:color="000000" w:sz="10" w:space="0"/>
            </w:tcBorders>
            <w:vAlign w:val="top"/>
          </w:tcPr>
          <w:p w14:paraId="30688BF8">
            <w:pPr>
              <w:rPr>
                <w:rFonts w:ascii="Arial"/>
                <w:sz w:val="21"/>
              </w:rPr>
            </w:pPr>
          </w:p>
        </w:tc>
        <w:tc>
          <w:tcPr>
            <w:tcW w:w="949" w:type="dxa"/>
            <w:tcBorders>
              <w:top w:val="single" w:color="000000" w:sz="10" w:space="0"/>
            </w:tcBorders>
            <w:vAlign w:val="top"/>
          </w:tcPr>
          <w:p w14:paraId="42628114">
            <w:pPr>
              <w:rPr>
                <w:rFonts w:ascii="Arial"/>
                <w:sz w:val="21"/>
              </w:rPr>
            </w:pPr>
          </w:p>
        </w:tc>
        <w:tc>
          <w:tcPr>
            <w:tcW w:w="986" w:type="dxa"/>
            <w:tcBorders>
              <w:top w:val="single" w:color="000000" w:sz="10" w:space="0"/>
            </w:tcBorders>
            <w:vAlign w:val="top"/>
          </w:tcPr>
          <w:p w14:paraId="14723BCC">
            <w:pPr>
              <w:rPr>
                <w:rFonts w:ascii="Arial"/>
                <w:sz w:val="21"/>
              </w:rPr>
            </w:pPr>
          </w:p>
        </w:tc>
        <w:tc>
          <w:tcPr>
            <w:tcW w:w="1128" w:type="dxa"/>
            <w:tcBorders>
              <w:top w:val="single" w:color="000000" w:sz="10" w:space="0"/>
            </w:tcBorders>
            <w:vAlign w:val="top"/>
          </w:tcPr>
          <w:p w14:paraId="2427DA51">
            <w:pPr>
              <w:rPr>
                <w:rFonts w:ascii="Arial"/>
                <w:sz w:val="21"/>
              </w:rPr>
            </w:pPr>
          </w:p>
        </w:tc>
        <w:tc>
          <w:tcPr>
            <w:tcW w:w="836" w:type="dxa"/>
            <w:tcBorders>
              <w:top w:val="single" w:color="000000" w:sz="10" w:space="0"/>
            </w:tcBorders>
            <w:vAlign w:val="top"/>
          </w:tcPr>
          <w:p w14:paraId="16E377FB">
            <w:pPr>
              <w:rPr>
                <w:rFonts w:ascii="Arial"/>
                <w:sz w:val="21"/>
              </w:rPr>
            </w:pPr>
          </w:p>
        </w:tc>
        <w:tc>
          <w:tcPr>
            <w:tcW w:w="861" w:type="dxa"/>
            <w:tcBorders>
              <w:top w:val="single" w:color="000000" w:sz="10" w:space="0"/>
              <w:right w:val="single" w:color="000000" w:sz="10" w:space="0"/>
            </w:tcBorders>
            <w:vAlign w:val="top"/>
          </w:tcPr>
          <w:p w14:paraId="0505340B">
            <w:pPr>
              <w:rPr>
                <w:rFonts w:ascii="Arial"/>
                <w:sz w:val="21"/>
              </w:rPr>
            </w:pPr>
          </w:p>
        </w:tc>
      </w:tr>
      <w:tr w14:paraId="79779A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3" w:hRule="atLeast"/>
        </w:trPr>
        <w:tc>
          <w:tcPr>
            <w:tcW w:w="824" w:type="dxa"/>
            <w:tcBorders>
              <w:left w:val="single" w:color="000000" w:sz="10" w:space="0"/>
            </w:tcBorders>
            <w:vAlign w:val="top"/>
          </w:tcPr>
          <w:p w14:paraId="1C8A8582">
            <w:pPr>
              <w:spacing w:line="281" w:lineRule="auto"/>
              <w:rPr>
                <w:rFonts w:ascii="Arial"/>
                <w:sz w:val="21"/>
              </w:rPr>
            </w:pPr>
          </w:p>
          <w:p w14:paraId="4EA80302">
            <w:pPr>
              <w:spacing w:before="57" w:line="197" w:lineRule="auto"/>
              <w:ind w:left="88"/>
              <w:rPr>
                <w:rFonts w:ascii="Times New Roman" w:hAnsi="Times New Roman" w:eastAsia="Times New Roman" w:cs="Times New Roman"/>
                <w:sz w:val="20"/>
                <w:szCs w:val="20"/>
              </w:rPr>
            </w:pPr>
            <w:r>
              <w:rPr>
                <w:rFonts w:ascii="Times New Roman" w:hAnsi="Times New Roman" w:eastAsia="Times New Roman" w:cs="Times New Roman"/>
                <w:sz w:val="20"/>
                <w:szCs w:val="20"/>
              </w:rPr>
              <w:t>KQ</w:t>
            </w:r>
            <w:r>
              <w:rPr>
                <w:rFonts w:ascii="Times New Roman" w:hAnsi="Times New Roman" w:eastAsia="Times New Roman" w:cs="Times New Roman"/>
                <w:spacing w:val="8"/>
                <w:sz w:val="20"/>
                <w:szCs w:val="20"/>
              </w:rPr>
              <w:t>006</w:t>
            </w:r>
          </w:p>
        </w:tc>
        <w:tc>
          <w:tcPr>
            <w:tcW w:w="2365" w:type="dxa"/>
            <w:vAlign w:val="top"/>
          </w:tcPr>
          <w:p w14:paraId="25DA87D7">
            <w:pPr>
              <w:pStyle w:val="6"/>
              <w:spacing w:before="168" w:line="250" w:lineRule="auto"/>
              <w:ind w:left="447" w:right="30" w:hanging="412"/>
              <w:rPr>
                <w:sz w:val="20"/>
                <w:szCs w:val="20"/>
              </w:rPr>
            </w:pPr>
            <w:r>
              <w:rPr>
                <w:spacing w:val="8"/>
                <w:sz w:val="20"/>
                <w:szCs w:val="20"/>
              </w:rPr>
              <w:t>重庆市黔江区新华乡大田</w:t>
            </w:r>
            <w:r>
              <w:rPr>
                <w:sz w:val="20"/>
                <w:szCs w:val="20"/>
              </w:rPr>
              <w:t xml:space="preserve"> </w:t>
            </w:r>
            <w:r>
              <w:rPr>
                <w:spacing w:val="7"/>
                <w:sz w:val="20"/>
                <w:szCs w:val="20"/>
              </w:rPr>
              <w:t>村长湾重晶石矿</w:t>
            </w:r>
          </w:p>
        </w:tc>
        <w:tc>
          <w:tcPr>
            <w:tcW w:w="924" w:type="dxa"/>
            <w:vAlign w:val="top"/>
          </w:tcPr>
          <w:p w14:paraId="76EE0409">
            <w:pPr>
              <w:spacing w:line="247" w:lineRule="auto"/>
              <w:rPr>
                <w:rFonts w:ascii="Arial"/>
                <w:sz w:val="21"/>
              </w:rPr>
            </w:pPr>
          </w:p>
          <w:p w14:paraId="5BEE989F">
            <w:pPr>
              <w:pStyle w:val="6"/>
              <w:spacing w:before="62" w:line="232" w:lineRule="auto"/>
              <w:ind w:left="74"/>
              <w:rPr>
                <w:sz w:val="19"/>
                <w:szCs w:val="19"/>
              </w:rPr>
            </w:pPr>
            <w:r>
              <w:rPr>
                <w:spacing w:val="4"/>
                <w:sz w:val="19"/>
                <w:szCs w:val="19"/>
              </w:rPr>
              <w:t>重晶石矿</w:t>
            </w:r>
          </w:p>
        </w:tc>
        <w:tc>
          <w:tcPr>
            <w:tcW w:w="949" w:type="dxa"/>
            <w:vAlign w:val="top"/>
          </w:tcPr>
          <w:p w14:paraId="201A32A8">
            <w:pPr>
              <w:spacing w:line="289" w:lineRule="auto"/>
              <w:rPr>
                <w:rFonts w:ascii="Arial"/>
                <w:sz w:val="21"/>
              </w:rPr>
            </w:pPr>
          </w:p>
          <w:p w14:paraId="4504389C">
            <w:pPr>
              <w:spacing w:before="54" w:line="195" w:lineRule="auto"/>
              <w:ind w:left="150"/>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22.1643</w:t>
            </w:r>
          </w:p>
        </w:tc>
        <w:tc>
          <w:tcPr>
            <w:tcW w:w="986" w:type="dxa"/>
            <w:vAlign w:val="top"/>
          </w:tcPr>
          <w:p w14:paraId="3169A9C7">
            <w:pPr>
              <w:spacing w:line="248" w:lineRule="auto"/>
              <w:rPr>
                <w:rFonts w:ascii="Arial"/>
                <w:sz w:val="21"/>
              </w:rPr>
            </w:pPr>
          </w:p>
          <w:p w14:paraId="50E2F3AE">
            <w:pPr>
              <w:pStyle w:val="6"/>
              <w:spacing w:before="61" w:line="231" w:lineRule="auto"/>
              <w:ind w:left="304"/>
              <w:rPr>
                <w:sz w:val="19"/>
                <w:szCs w:val="19"/>
              </w:rPr>
            </w:pPr>
            <w:r>
              <w:rPr>
                <w:spacing w:val="2"/>
                <w:sz w:val="19"/>
                <w:szCs w:val="19"/>
              </w:rPr>
              <w:t>新设</w:t>
            </w:r>
          </w:p>
        </w:tc>
        <w:tc>
          <w:tcPr>
            <w:tcW w:w="1128" w:type="dxa"/>
            <w:vAlign w:val="top"/>
          </w:tcPr>
          <w:p w14:paraId="4CE069B2">
            <w:pPr>
              <w:pStyle w:val="6"/>
              <w:spacing w:before="302" w:line="234" w:lineRule="auto"/>
              <w:ind w:left="373"/>
              <w:rPr>
                <w:sz w:val="20"/>
                <w:szCs w:val="20"/>
              </w:rPr>
            </w:pPr>
            <w:r>
              <w:rPr>
                <w:sz w:val="20"/>
                <w:szCs w:val="20"/>
              </w:rPr>
              <w:t>普查</w:t>
            </w:r>
          </w:p>
        </w:tc>
        <w:tc>
          <w:tcPr>
            <w:tcW w:w="836" w:type="dxa"/>
            <w:vAlign w:val="top"/>
          </w:tcPr>
          <w:p w14:paraId="27910FDA">
            <w:pPr>
              <w:spacing w:line="281" w:lineRule="auto"/>
              <w:rPr>
                <w:rFonts w:ascii="Arial"/>
                <w:sz w:val="21"/>
              </w:rPr>
            </w:pPr>
          </w:p>
          <w:p w14:paraId="059FA138">
            <w:pPr>
              <w:spacing w:before="58"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2023</w:t>
            </w:r>
          </w:p>
        </w:tc>
        <w:tc>
          <w:tcPr>
            <w:tcW w:w="861" w:type="dxa"/>
            <w:tcBorders>
              <w:right w:val="single" w:color="000000" w:sz="10" w:space="0"/>
            </w:tcBorders>
            <w:vAlign w:val="top"/>
          </w:tcPr>
          <w:p w14:paraId="767D0A77">
            <w:pPr>
              <w:spacing w:line="248" w:lineRule="auto"/>
              <w:rPr>
                <w:rFonts w:ascii="Arial"/>
                <w:sz w:val="21"/>
              </w:rPr>
            </w:pPr>
          </w:p>
          <w:p w14:paraId="6C0B2FC4">
            <w:pPr>
              <w:pStyle w:val="6"/>
              <w:spacing w:before="61" w:line="231" w:lineRule="auto"/>
              <w:ind w:left="145"/>
              <w:rPr>
                <w:sz w:val="19"/>
                <w:szCs w:val="19"/>
              </w:rPr>
            </w:pPr>
            <w:r>
              <w:rPr>
                <w:spacing w:val="5"/>
                <w:sz w:val="19"/>
                <w:szCs w:val="19"/>
              </w:rPr>
              <w:t>未实施</w:t>
            </w:r>
          </w:p>
        </w:tc>
      </w:tr>
      <w:tr w14:paraId="0328F5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2" w:hRule="atLeast"/>
        </w:trPr>
        <w:tc>
          <w:tcPr>
            <w:tcW w:w="824" w:type="dxa"/>
            <w:tcBorders>
              <w:left w:val="single" w:color="000000" w:sz="10" w:space="0"/>
            </w:tcBorders>
            <w:vAlign w:val="top"/>
          </w:tcPr>
          <w:p w14:paraId="764CA68B">
            <w:pPr>
              <w:spacing w:line="286" w:lineRule="auto"/>
              <w:rPr>
                <w:rFonts w:ascii="Arial"/>
                <w:sz w:val="21"/>
              </w:rPr>
            </w:pPr>
          </w:p>
          <w:p w14:paraId="7F5B7567">
            <w:pPr>
              <w:spacing w:before="57" w:line="197" w:lineRule="auto"/>
              <w:ind w:left="88"/>
              <w:rPr>
                <w:rFonts w:ascii="Times New Roman" w:hAnsi="Times New Roman" w:eastAsia="Times New Roman" w:cs="Times New Roman"/>
                <w:sz w:val="20"/>
                <w:szCs w:val="20"/>
              </w:rPr>
            </w:pPr>
            <w:r>
              <w:rPr>
                <w:rFonts w:ascii="Times New Roman" w:hAnsi="Times New Roman" w:eastAsia="Times New Roman" w:cs="Times New Roman"/>
                <w:sz w:val="20"/>
                <w:szCs w:val="20"/>
              </w:rPr>
              <w:t>KQ</w:t>
            </w:r>
            <w:r>
              <w:rPr>
                <w:rFonts w:ascii="Times New Roman" w:hAnsi="Times New Roman" w:eastAsia="Times New Roman" w:cs="Times New Roman"/>
                <w:spacing w:val="8"/>
                <w:sz w:val="20"/>
                <w:szCs w:val="20"/>
              </w:rPr>
              <w:t>007</w:t>
            </w:r>
          </w:p>
        </w:tc>
        <w:tc>
          <w:tcPr>
            <w:tcW w:w="2365" w:type="dxa"/>
            <w:vAlign w:val="top"/>
          </w:tcPr>
          <w:p w14:paraId="710B0C90">
            <w:pPr>
              <w:pStyle w:val="6"/>
              <w:spacing w:before="175" w:line="250" w:lineRule="auto"/>
              <w:ind w:left="447" w:right="30" w:hanging="412"/>
              <w:rPr>
                <w:sz w:val="20"/>
                <w:szCs w:val="20"/>
              </w:rPr>
            </w:pPr>
            <w:r>
              <w:rPr>
                <w:spacing w:val="8"/>
                <w:sz w:val="20"/>
                <w:szCs w:val="20"/>
              </w:rPr>
              <w:t>重庆市黔江区金溪镇望岭</w:t>
            </w:r>
            <w:r>
              <w:rPr>
                <w:sz w:val="20"/>
                <w:szCs w:val="20"/>
              </w:rPr>
              <w:t xml:space="preserve"> </w:t>
            </w:r>
            <w:r>
              <w:rPr>
                <w:spacing w:val="7"/>
                <w:sz w:val="20"/>
                <w:szCs w:val="20"/>
              </w:rPr>
              <w:t>村彭家湾萤石矿</w:t>
            </w:r>
          </w:p>
        </w:tc>
        <w:tc>
          <w:tcPr>
            <w:tcW w:w="924" w:type="dxa"/>
            <w:vAlign w:val="top"/>
          </w:tcPr>
          <w:p w14:paraId="2111DE71">
            <w:pPr>
              <w:spacing w:line="252" w:lineRule="auto"/>
              <w:rPr>
                <w:rFonts w:ascii="Arial"/>
                <w:sz w:val="21"/>
              </w:rPr>
            </w:pPr>
          </w:p>
          <w:p w14:paraId="3579BCD4">
            <w:pPr>
              <w:pStyle w:val="6"/>
              <w:spacing w:before="62" w:line="233" w:lineRule="auto"/>
              <w:ind w:left="175"/>
              <w:rPr>
                <w:sz w:val="19"/>
                <w:szCs w:val="19"/>
              </w:rPr>
            </w:pPr>
            <w:r>
              <w:rPr>
                <w:spacing w:val="3"/>
                <w:sz w:val="19"/>
                <w:szCs w:val="19"/>
              </w:rPr>
              <w:t>萤石矿</w:t>
            </w:r>
          </w:p>
        </w:tc>
        <w:tc>
          <w:tcPr>
            <w:tcW w:w="949" w:type="dxa"/>
            <w:vAlign w:val="top"/>
          </w:tcPr>
          <w:p w14:paraId="57F277AB">
            <w:pPr>
              <w:spacing w:line="294" w:lineRule="auto"/>
              <w:rPr>
                <w:rFonts w:ascii="Arial"/>
                <w:sz w:val="21"/>
              </w:rPr>
            </w:pPr>
          </w:p>
          <w:p w14:paraId="480CF455">
            <w:pPr>
              <w:spacing w:before="54" w:line="195" w:lineRule="auto"/>
              <w:ind w:left="199"/>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4.7182</w:t>
            </w:r>
          </w:p>
        </w:tc>
        <w:tc>
          <w:tcPr>
            <w:tcW w:w="986" w:type="dxa"/>
            <w:vAlign w:val="top"/>
          </w:tcPr>
          <w:p w14:paraId="0FB845A5">
            <w:pPr>
              <w:spacing w:line="253" w:lineRule="auto"/>
              <w:rPr>
                <w:rFonts w:ascii="Arial"/>
                <w:sz w:val="21"/>
              </w:rPr>
            </w:pPr>
          </w:p>
          <w:p w14:paraId="737C8D07">
            <w:pPr>
              <w:pStyle w:val="6"/>
              <w:spacing w:before="61" w:line="231" w:lineRule="auto"/>
              <w:ind w:left="304"/>
              <w:rPr>
                <w:sz w:val="19"/>
                <w:szCs w:val="19"/>
              </w:rPr>
            </w:pPr>
            <w:r>
              <w:rPr>
                <w:spacing w:val="2"/>
                <w:sz w:val="19"/>
                <w:szCs w:val="19"/>
              </w:rPr>
              <w:t>新设</w:t>
            </w:r>
          </w:p>
        </w:tc>
        <w:tc>
          <w:tcPr>
            <w:tcW w:w="1128" w:type="dxa"/>
            <w:vAlign w:val="top"/>
          </w:tcPr>
          <w:p w14:paraId="3F0EC62C">
            <w:pPr>
              <w:spacing w:line="243" w:lineRule="auto"/>
              <w:rPr>
                <w:rFonts w:ascii="Arial"/>
                <w:sz w:val="21"/>
              </w:rPr>
            </w:pPr>
          </w:p>
          <w:p w14:paraId="46711AEE">
            <w:pPr>
              <w:pStyle w:val="6"/>
              <w:spacing w:before="65" w:line="234" w:lineRule="auto"/>
              <w:ind w:left="373"/>
              <w:rPr>
                <w:sz w:val="20"/>
                <w:szCs w:val="20"/>
              </w:rPr>
            </w:pPr>
            <w:r>
              <w:rPr>
                <w:sz w:val="20"/>
                <w:szCs w:val="20"/>
              </w:rPr>
              <w:t>普查</w:t>
            </w:r>
          </w:p>
        </w:tc>
        <w:tc>
          <w:tcPr>
            <w:tcW w:w="836" w:type="dxa"/>
            <w:vAlign w:val="top"/>
          </w:tcPr>
          <w:p w14:paraId="5F2FD851">
            <w:pPr>
              <w:spacing w:line="286" w:lineRule="auto"/>
              <w:rPr>
                <w:rFonts w:ascii="Arial"/>
                <w:sz w:val="21"/>
              </w:rPr>
            </w:pPr>
          </w:p>
          <w:p w14:paraId="7A7D0E06">
            <w:pPr>
              <w:spacing w:before="57"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2021</w:t>
            </w:r>
          </w:p>
        </w:tc>
        <w:tc>
          <w:tcPr>
            <w:tcW w:w="861" w:type="dxa"/>
            <w:tcBorders>
              <w:right w:val="single" w:color="000000" w:sz="10" w:space="0"/>
            </w:tcBorders>
            <w:vAlign w:val="top"/>
          </w:tcPr>
          <w:p w14:paraId="5171D474">
            <w:pPr>
              <w:spacing w:line="253" w:lineRule="auto"/>
              <w:rPr>
                <w:rFonts w:ascii="Arial"/>
                <w:sz w:val="21"/>
              </w:rPr>
            </w:pPr>
          </w:p>
          <w:p w14:paraId="03369F29">
            <w:pPr>
              <w:pStyle w:val="6"/>
              <w:spacing w:before="61" w:line="231" w:lineRule="auto"/>
              <w:ind w:left="145"/>
              <w:rPr>
                <w:sz w:val="19"/>
                <w:szCs w:val="19"/>
              </w:rPr>
            </w:pPr>
            <w:r>
              <w:rPr>
                <w:spacing w:val="5"/>
                <w:sz w:val="19"/>
                <w:szCs w:val="19"/>
              </w:rPr>
              <w:t>未实施</w:t>
            </w:r>
          </w:p>
        </w:tc>
      </w:tr>
      <w:tr w14:paraId="4477F6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rPr>
        <w:tc>
          <w:tcPr>
            <w:tcW w:w="824" w:type="dxa"/>
            <w:tcBorders>
              <w:left w:val="single" w:color="000000" w:sz="10" w:space="0"/>
              <w:bottom w:val="single" w:color="000000" w:sz="10" w:space="0"/>
            </w:tcBorders>
            <w:vAlign w:val="top"/>
          </w:tcPr>
          <w:p w14:paraId="19DE8AE2">
            <w:pPr>
              <w:spacing w:line="294" w:lineRule="auto"/>
              <w:rPr>
                <w:rFonts w:ascii="Arial"/>
                <w:sz w:val="21"/>
              </w:rPr>
            </w:pPr>
          </w:p>
          <w:p w14:paraId="19B9B59C">
            <w:pPr>
              <w:spacing w:before="58" w:line="197" w:lineRule="auto"/>
              <w:ind w:left="88"/>
              <w:rPr>
                <w:rFonts w:ascii="Times New Roman" w:hAnsi="Times New Roman" w:eastAsia="Times New Roman" w:cs="Times New Roman"/>
                <w:sz w:val="20"/>
                <w:szCs w:val="20"/>
              </w:rPr>
            </w:pPr>
            <w:r>
              <w:rPr>
                <w:rFonts w:ascii="Times New Roman" w:hAnsi="Times New Roman" w:eastAsia="Times New Roman" w:cs="Times New Roman"/>
                <w:sz w:val="20"/>
                <w:szCs w:val="20"/>
              </w:rPr>
              <w:t>KQ</w:t>
            </w:r>
            <w:r>
              <w:rPr>
                <w:rFonts w:ascii="Times New Roman" w:hAnsi="Times New Roman" w:eastAsia="Times New Roman" w:cs="Times New Roman"/>
                <w:spacing w:val="8"/>
                <w:sz w:val="20"/>
                <w:szCs w:val="20"/>
              </w:rPr>
              <w:t>008</w:t>
            </w:r>
          </w:p>
        </w:tc>
        <w:tc>
          <w:tcPr>
            <w:tcW w:w="2365" w:type="dxa"/>
            <w:tcBorders>
              <w:bottom w:val="single" w:color="000000" w:sz="10" w:space="0"/>
            </w:tcBorders>
            <w:vAlign w:val="top"/>
          </w:tcPr>
          <w:p w14:paraId="254FCBB6">
            <w:pPr>
              <w:pStyle w:val="6"/>
              <w:spacing w:before="182" w:line="252" w:lineRule="auto"/>
              <w:ind w:left="342" w:right="30" w:hanging="307"/>
              <w:rPr>
                <w:sz w:val="20"/>
                <w:szCs w:val="20"/>
              </w:rPr>
            </w:pPr>
            <w:r>
              <w:rPr>
                <w:spacing w:val="8"/>
                <w:sz w:val="20"/>
                <w:szCs w:val="20"/>
              </w:rPr>
              <w:t>重庆市黔江区石会镇会西</w:t>
            </w:r>
            <w:r>
              <w:rPr>
                <w:sz w:val="20"/>
                <w:szCs w:val="20"/>
              </w:rPr>
              <w:t xml:space="preserve"> </w:t>
            </w:r>
            <w:r>
              <w:rPr>
                <w:spacing w:val="8"/>
                <w:sz w:val="20"/>
                <w:szCs w:val="20"/>
              </w:rPr>
              <w:t>村周家坡重晶石矿</w:t>
            </w:r>
          </w:p>
        </w:tc>
        <w:tc>
          <w:tcPr>
            <w:tcW w:w="924" w:type="dxa"/>
            <w:tcBorders>
              <w:bottom w:val="single" w:color="000000" w:sz="10" w:space="0"/>
            </w:tcBorders>
            <w:vAlign w:val="top"/>
          </w:tcPr>
          <w:p w14:paraId="0B13E1D5">
            <w:pPr>
              <w:spacing w:line="261" w:lineRule="auto"/>
              <w:rPr>
                <w:rFonts w:ascii="Arial"/>
                <w:sz w:val="21"/>
              </w:rPr>
            </w:pPr>
          </w:p>
          <w:p w14:paraId="358EE780">
            <w:pPr>
              <w:pStyle w:val="6"/>
              <w:spacing w:before="61" w:line="232" w:lineRule="auto"/>
              <w:ind w:left="74"/>
              <w:rPr>
                <w:sz w:val="19"/>
                <w:szCs w:val="19"/>
              </w:rPr>
            </w:pPr>
            <w:r>
              <w:rPr>
                <w:spacing w:val="4"/>
                <w:sz w:val="19"/>
                <w:szCs w:val="19"/>
              </w:rPr>
              <w:t>重晶石矿</w:t>
            </w:r>
          </w:p>
        </w:tc>
        <w:tc>
          <w:tcPr>
            <w:tcW w:w="949" w:type="dxa"/>
            <w:tcBorders>
              <w:bottom w:val="single" w:color="000000" w:sz="10" w:space="0"/>
            </w:tcBorders>
            <w:vAlign w:val="top"/>
          </w:tcPr>
          <w:p w14:paraId="1C87898F">
            <w:pPr>
              <w:spacing w:line="302" w:lineRule="auto"/>
              <w:rPr>
                <w:rFonts w:ascii="Arial"/>
                <w:sz w:val="21"/>
              </w:rPr>
            </w:pPr>
          </w:p>
          <w:p w14:paraId="5B3B9168">
            <w:pPr>
              <w:spacing w:before="55" w:line="195" w:lineRule="auto"/>
              <w:ind w:left="206"/>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5.2622</w:t>
            </w:r>
          </w:p>
        </w:tc>
        <w:tc>
          <w:tcPr>
            <w:tcW w:w="986" w:type="dxa"/>
            <w:tcBorders>
              <w:bottom w:val="single" w:color="000000" w:sz="10" w:space="0"/>
            </w:tcBorders>
            <w:vAlign w:val="top"/>
          </w:tcPr>
          <w:p w14:paraId="3AC6B89E">
            <w:pPr>
              <w:spacing w:line="261" w:lineRule="auto"/>
              <w:rPr>
                <w:rFonts w:ascii="Arial"/>
                <w:sz w:val="21"/>
              </w:rPr>
            </w:pPr>
          </w:p>
          <w:p w14:paraId="6B53DCF3">
            <w:pPr>
              <w:pStyle w:val="6"/>
              <w:spacing w:before="62" w:line="231" w:lineRule="auto"/>
              <w:ind w:left="304"/>
              <w:rPr>
                <w:sz w:val="19"/>
                <w:szCs w:val="19"/>
              </w:rPr>
            </w:pPr>
            <w:r>
              <w:rPr>
                <w:spacing w:val="2"/>
                <w:sz w:val="19"/>
                <w:szCs w:val="19"/>
              </w:rPr>
              <w:t>新设</w:t>
            </w:r>
          </w:p>
        </w:tc>
        <w:tc>
          <w:tcPr>
            <w:tcW w:w="1128" w:type="dxa"/>
            <w:tcBorders>
              <w:bottom w:val="single" w:color="000000" w:sz="10" w:space="0"/>
            </w:tcBorders>
            <w:vAlign w:val="top"/>
          </w:tcPr>
          <w:p w14:paraId="6194C727">
            <w:pPr>
              <w:spacing w:line="261" w:lineRule="auto"/>
              <w:rPr>
                <w:rFonts w:ascii="Arial"/>
                <w:sz w:val="21"/>
              </w:rPr>
            </w:pPr>
          </w:p>
          <w:p w14:paraId="1B90732F">
            <w:pPr>
              <w:pStyle w:val="6"/>
              <w:spacing w:before="62" w:line="234" w:lineRule="auto"/>
              <w:ind w:left="382"/>
              <w:rPr>
                <w:sz w:val="19"/>
                <w:szCs w:val="19"/>
              </w:rPr>
            </w:pPr>
            <w:r>
              <w:rPr>
                <w:spacing w:val="1"/>
                <w:sz w:val="19"/>
                <w:szCs w:val="19"/>
              </w:rPr>
              <w:t>普查</w:t>
            </w:r>
          </w:p>
        </w:tc>
        <w:tc>
          <w:tcPr>
            <w:tcW w:w="836" w:type="dxa"/>
            <w:tcBorders>
              <w:bottom w:val="single" w:color="000000" w:sz="10" w:space="0"/>
            </w:tcBorders>
            <w:vAlign w:val="top"/>
          </w:tcPr>
          <w:p w14:paraId="0C7C9B31">
            <w:pPr>
              <w:spacing w:line="294" w:lineRule="auto"/>
              <w:rPr>
                <w:rFonts w:ascii="Arial"/>
                <w:sz w:val="21"/>
              </w:rPr>
            </w:pPr>
          </w:p>
          <w:p w14:paraId="2008C24C">
            <w:pPr>
              <w:spacing w:before="58"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2023</w:t>
            </w:r>
          </w:p>
        </w:tc>
        <w:tc>
          <w:tcPr>
            <w:tcW w:w="861" w:type="dxa"/>
            <w:tcBorders>
              <w:bottom w:val="single" w:color="000000" w:sz="10" w:space="0"/>
              <w:right w:val="single" w:color="000000" w:sz="10" w:space="0"/>
            </w:tcBorders>
            <w:vAlign w:val="top"/>
          </w:tcPr>
          <w:p w14:paraId="19908949">
            <w:pPr>
              <w:spacing w:line="261" w:lineRule="auto"/>
              <w:rPr>
                <w:rFonts w:ascii="Arial"/>
                <w:sz w:val="21"/>
              </w:rPr>
            </w:pPr>
          </w:p>
          <w:p w14:paraId="3AE801CB">
            <w:pPr>
              <w:pStyle w:val="6"/>
              <w:spacing w:before="62" w:line="231" w:lineRule="auto"/>
              <w:ind w:left="145"/>
              <w:rPr>
                <w:sz w:val="19"/>
                <w:szCs w:val="19"/>
              </w:rPr>
            </w:pPr>
            <w:r>
              <w:rPr>
                <w:spacing w:val="5"/>
                <w:sz w:val="19"/>
                <w:szCs w:val="19"/>
              </w:rPr>
              <w:t>未实施</w:t>
            </w:r>
          </w:p>
        </w:tc>
      </w:tr>
    </w:tbl>
    <w:p w14:paraId="1B213A63">
      <w:pPr>
        <w:spacing w:before="267" w:line="229" w:lineRule="auto"/>
        <w:ind w:left="66"/>
        <w:outlineLvl w:val="3"/>
        <w:rPr>
          <w:rFonts w:ascii="仿宋" w:hAnsi="仿宋" w:eastAsia="仿宋" w:cs="仿宋"/>
          <w:sz w:val="25"/>
          <w:szCs w:val="25"/>
        </w:rPr>
      </w:pPr>
      <w:r>
        <w:rPr>
          <w:rFonts w:ascii="Times New Roman" w:hAnsi="Times New Roman" w:eastAsia="Times New Roman" w:cs="Times New Roman"/>
          <w:b/>
          <w:bCs/>
          <w:spacing w:val="5"/>
          <w:sz w:val="25"/>
          <w:szCs w:val="25"/>
        </w:rPr>
        <w:t>3.2.1.3</w:t>
      </w:r>
      <w:r>
        <w:rPr>
          <w:rFonts w:ascii="Times New Roman" w:hAnsi="Times New Roman" w:eastAsia="Times New Roman" w:cs="Times New Roman"/>
          <w:b/>
          <w:bCs/>
          <w:spacing w:val="22"/>
          <w:sz w:val="25"/>
          <w:szCs w:val="25"/>
        </w:rPr>
        <w:t xml:space="preserve"> </w:t>
      </w:r>
      <w:r>
        <w:rPr>
          <w:rFonts w:ascii="仿宋" w:hAnsi="仿宋" w:eastAsia="仿宋" w:cs="仿宋"/>
          <w:b/>
          <w:bCs/>
          <w:spacing w:val="5"/>
          <w:sz w:val="25"/>
          <w:szCs w:val="25"/>
        </w:rPr>
        <w:t>开采规划区块实施情况</w:t>
      </w:r>
    </w:p>
    <w:p w14:paraId="68E24DB6">
      <w:pPr>
        <w:spacing w:before="267" w:line="340" w:lineRule="auto"/>
        <w:ind w:left="125" w:right="121" w:firstLine="509"/>
        <w:jc w:val="both"/>
        <w:rPr>
          <w:rFonts w:ascii="仿宋" w:hAnsi="仿宋" w:eastAsia="仿宋" w:cs="仿宋"/>
          <w:sz w:val="25"/>
          <w:szCs w:val="25"/>
        </w:rPr>
      </w:pPr>
      <w:r>
        <w:rPr>
          <w:rFonts w:ascii="仿宋" w:hAnsi="仿宋" w:eastAsia="仿宋" w:cs="仿宋"/>
          <w:spacing w:val="6"/>
          <w:sz w:val="25"/>
          <w:szCs w:val="25"/>
        </w:rPr>
        <w:t>“十四五</w:t>
      </w:r>
      <w:r>
        <w:rPr>
          <w:rFonts w:ascii="仿宋" w:hAnsi="仿宋" w:eastAsia="仿宋" w:cs="仿宋"/>
          <w:spacing w:val="-79"/>
          <w:sz w:val="25"/>
          <w:szCs w:val="25"/>
        </w:rPr>
        <w:t xml:space="preserve"> </w:t>
      </w:r>
      <w:r>
        <w:rPr>
          <w:rFonts w:ascii="仿宋" w:hAnsi="仿宋" w:eastAsia="仿宋" w:cs="仿宋"/>
          <w:spacing w:val="6"/>
          <w:sz w:val="25"/>
          <w:szCs w:val="25"/>
        </w:rPr>
        <w:t>”期间，《规划》共规划开采区块</w:t>
      </w:r>
      <w:r>
        <w:rPr>
          <w:rFonts w:ascii="Times New Roman" w:hAnsi="Times New Roman" w:eastAsia="Times New Roman" w:cs="Times New Roman"/>
          <w:spacing w:val="6"/>
          <w:sz w:val="25"/>
          <w:szCs w:val="25"/>
        </w:rPr>
        <w:t>32</w:t>
      </w:r>
      <w:r>
        <w:rPr>
          <w:rFonts w:ascii="Times New Roman" w:hAnsi="Times New Roman" w:eastAsia="Times New Roman" w:cs="Times New Roman"/>
          <w:spacing w:val="21"/>
          <w:sz w:val="25"/>
          <w:szCs w:val="25"/>
        </w:rPr>
        <w:t xml:space="preserve"> </w:t>
      </w:r>
      <w:r>
        <w:rPr>
          <w:rFonts w:ascii="仿宋" w:hAnsi="仿宋" w:eastAsia="仿宋" w:cs="仿宋"/>
          <w:spacing w:val="6"/>
          <w:sz w:val="25"/>
          <w:szCs w:val="25"/>
        </w:rPr>
        <w:t>个，其中已设采矿权保留开</w:t>
      </w:r>
      <w:r>
        <w:rPr>
          <w:rFonts w:ascii="仿宋" w:hAnsi="仿宋" w:eastAsia="仿宋" w:cs="仿宋"/>
          <w:sz w:val="25"/>
          <w:szCs w:val="25"/>
        </w:rPr>
        <w:t xml:space="preserve"> </w:t>
      </w:r>
      <w:r>
        <w:rPr>
          <w:rFonts w:ascii="仿宋" w:hAnsi="仿宋" w:eastAsia="仿宋" w:cs="仿宋"/>
          <w:spacing w:val="2"/>
          <w:sz w:val="25"/>
          <w:szCs w:val="25"/>
        </w:rPr>
        <w:t>采规划区块</w:t>
      </w:r>
      <w:r>
        <w:rPr>
          <w:rFonts w:ascii="仿宋" w:hAnsi="仿宋" w:eastAsia="仿宋" w:cs="仿宋"/>
          <w:spacing w:val="-12"/>
          <w:sz w:val="25"/>
          <w:szCs w:val="25"/>
        </w:rPr>
        <w:t xml:space="preserve"> </w:t>
      </w:r>
      <w:r>
        <w:rPr>
          <w:rFonts w:ascii="Times New Roman" w:hAnsi="Times New Roman" w:eastAsia="Times New Roman" w:cs="Times New Roman"/>
          <w:spacing w:val="2"/>
          <w:sz w:val="25"/>
          <w:szCs w:val="25"/>
        </w:rPr>
        <w:t>16</w:t>
      </w:r>
      <w:r>
        <w:rPr>
          <w:rFonts w:ascii="Times New Roman" w:hAnsi="Times New Roman" w:eastAsia="Times New Roman" w:cs="Times New Roman"/>
          <w:spacing w:val="21"/>
          <w:sz w:val="25"/>
          <w:szCs w:val="25"/>
        </w:rPr>
        <w:t xml:space="preserve"> </w:t>
      </w:r>
      <w:r>
        <w:rPr>
          <w:rFonts w:ascii="仿宋" w:hAnsi="仿宋" w:eastAsia="仿宋" w:cs="仿宋"/>
          <w:spacing w:val="2"/>
          <w:sz w:val="25"/>
          <w:szCs w:val="25"/>
        </w:rPr>
        <w:t>个、空白区新设采矿权开采规划区块</w:t>
      </w:r>
      <w:r>
        <w:rPr>
          <w:rFonts w:ascii="仿宋" w:hAnsi="仿宋" w:eastAsia="仿宋" w:cs="仿宋"/>
          <w:spacing w:val="-51"/>
          <w:sz w:val="25"/>
          <w:szCs w:val="25"/>
        </w:rPr>
        <w:t xml:space="preserve"> </w:t>
      </w:r>
      <w:r>
        <w:rPr>
          <w:rFonts w:ascii="Times New Roman" w:hAnsi="Times New Roman" w:eastAsia="Times New Roman" w:cs="Times New Roman"/>
          <w:spacing w:val="2"/>
          <w:sz w:val="25"/>
          <w:szCs w:val="25"/>
        </w:rPr>
        <w:t>7</w:t>
      </w:r>
      <w:r>
        <w:rPr>
          <w:rFonts w:ascii="Times New Roman" w:hAnsi="Times New Roman" w:eastAsia="Times New Roman" w:cs="Times New Roman"/>
          <w:spacing w:val="23"/>
          <w:w w:val="101"/>
          <w:sz w:val="25"/>
          <w:szCs w:val="25"/>
        </w:rPr>
        <w:t xml:space="preserve"> </w:t>
      </w:r>
      <w:r>
        <w:rPr>
          <w:rFonts w:ascii="仿宋" w:hAnsi="仿宋" w:eastAsia="仿宋" w:cs="仿宋"/>
          <w:spacing w:val="2"/>
          <w:sz w:val="25"/>
          <w:szCs w:val="25"/>
        </w:rPr>
        <w:t>个、探转采</w:t>
      </w:r>
      <w:r>
        <w:rPr>
          <w:rFonts w:ascii="仿宋" w:hAnsi="仿宋" w:eastAsia="仿宋" w:cs="仿宋"/>
          <w:spacing w:val="-48"/>
          <w:sz w:val="25"/>
          <w:szCs w:val="25"/>
        </w:rPr>
        <w:t xml:space="preserve"> </w:t>
      </w:r>
      <w:r>
        <w:rPr>
          <w:rFonts w:ascii="Times New Roman" w:hAnsi="Times New Roman" w:eastAsia="Times New Roman" w:cs="Times New Roman"/>
          <w:spacing w:val="2"/>
          <w:sz w:val="25"/>
          <w:szCs w:val="25"/>
        </w:rPr>
        <w:t>5</w:t>
      </w:r>
      <w:r>
        <w:rPr>
          <w:rFonts w:ascii="Times New Roman" w:hAnsi="Times New Roman" w:eastAsia="Times New Roman" w:cs="Times New Roman"/>
          <w:spacing w:val="21"/>
          <w:sz w:val="25"/>
          <w:szCs w:val="25"/>
        </w:rPr>
        <w:t xml:space="preserve"> </w:t>
      </w:r>
      <w:r>
        <w:rPr>
          <w:rFonts w:ascii="仿宋" w:hAnsi="仿宋" w:eastAsia="仿宋" w:cs="仿宋"/>
          <w:spacing w:val="2"/>
          <w:sz w:val="25"/>
          <w:szCs w:val="25"/>
        </w:rPr>
        <w:t>个，已设采</w:t>
      </w:r>
      <w:r>
        <w:rPr>
          <w:rFonts w:ascii="仿宋" w:hAnsi="仿宋" w:eastAsia="仿宋" w:cs="仿宋"/>
          <w:sz w:val="25"/>
          <w:szCs w:val="25"/>
        </w:rPr>
        <w:t xml:space="preserve"> </w:t>
      </w:r>
      <w:r>
        <w:rPr>
          <w:rFonts w:ascii="仿宋" w:hAnsi="仿宋" w:eastAsia="仿宋" w:cs="仿宋"/>
          <w:spacing w:val="8"/>
          <w:sz w:val="25"/>
          <w:szCs w:val="25"/>
        </w:rPr>
        <w:t>矿权到期关闭的采矿权区块</w:t>
      </w:r>
      <w:r>
        <w:rPr>
          <w:rFonts w:ascii="仿宋" w:hAnsi="仿宋" w:eastAsia="仿宋" w:cs="仿宋"/>
          <w:spacing w:val="-56"/>
          <w:sz w:val="25"/>
          <w:szCs w:val="25"/>
        </w:rPr>
        <w:t xml:space="preserve"> </w:t>
      </w:r>
      <w:r>
        <w:rPr>
          <w:rFonts w:ascii="Times New Roman" w:hAnsi="Times New Roman" w:eastAsia="Times New Roman" w:cs="Times New Roman"/>
          <w:spacing w:val="8"/>
          <w:sz w:val="25"/>
          <w:szCs w:val="25"/>
        </w:rPr>
        <w:t>4</w:t>
      </w:r>
      <w:r>
        <w:rPr>
          <w:rFonts w:ascii="Times New Roman" w:hAnsi="Times New Roman" w:eastAsia="Times New Roman" w:cs="Times New Roman"/>
          <w:spacing w:val="23"/>
          <w:sz w:val="25"/>
          <w:szCs w:val="25"/>
        </w:rPr>
        <w:t xml:space="preserve"> </w:t>
      </w:r>
      <w:r>
        <w:rPr>
          <w:rFonts w:ascii="仿宋" w:hAnsi="仿宋" w:eastAsia="仿宋" w:cs="仿宋"/>
          <w:spacing w:val="8"/>
          <w:sz w:val="25"/>
          <w:szCs w:val="25"/>
        </w:rPr>
        <w:t>个，均为建筑石料用灰岩矿（其中</w:t>
      </w:r>
      <w:r>
        <w:rPr>
          <w:rFonts w:ascii="仿宋" w:hAnsi="仿宋" w:eastAsia="仿宋" w:cs="仿宋"/>
          <w:spacing w:val="-49"/>
          <w:sz w:val="25"/>
          <w:szCs w:val="25"/>
        </w:rPr>
        <w:t xml:space="preserve"> </w:t>
      </w:r>
      <w:r>
        <w:rPr>
          <w:rFonts w:ascii="Times New Roman" w:hAnsi="Times New Roman" w:eastAsia="Times New Roman" w:cs="Times New Roman"/>
          <w:spacing w:val="8"/>
          <w:sz w:val="25"/>
          <w:szCs w:val="25"/>
        </w:rPr>
        <w:t>3</w:t>
      </w:r>
      <w:r>
        <w:rPr>
          <w:rFonts w:ascii="Times New Roman" w:hAnsi="Times New Roman" w:eastAsia="Times New Roman" w:cs="Times New Roman"/>
          <w:spacing w:val="20"/>
          <w:sz w:val="25"/>
          <w:szCs w:val="25"/>
        </w:rPr>
        <w:t xml:space="preserve"> </w:t>
      </w:r>
      <w:r>
        <w:rPr>
          <w:rFonts w:ascii="仿宋" w:hAnsi="仿宋" w:eastAsia="仿宋" w:cs="仿宋"/>
          <w:spacing w:val="8"/>
          <w:sz w:val="25"/>
          <w:szCs w:val="25"/>
        </w:rPr>
        <w:t>个采</w:t>
      </w:r>
      <w:r>
        <w:rPr>
          <w:rFonts w:ascii="仿宋" w:hAnsi="仿宋" w:eastAsia="仿宋" w:cs="仿宋"/>
          <w:spacing w:val="7"/>
          <w:sz w:val="25"/>
          <w:szCs w:val="25"/>
        </w:rPr>
        <w:t>矿权于</w:t>
      </w:r>
      <w:r>
        <w:rPr>
          <w:rFonts w:ascii="仿宋" w:hAnsi="仿宋" w:eastAsia="仿宋" w:cs="仿宋"/>
          <w:sz w:val="25"/>
          <w:szCs w:val="25"/>
        </w:rPr>
        <w:t xml:space="preserve"> </w:t>
      </w:r>
      <w:r>
        <w:rPr>
          <w:rFonts w:ascii="Times New Roman" w:hAnsi="Times New Roman" w:eastAsia="Times New Roman" w:cs="Times New Roman"/>
          <w:spacing w:val="2"/>
          <w:sz w:val="25"/>
          <w:szCs w:val="25"/>
        </w:rPr>
        <w:t>2021</w:t>
      </w:r>
      <w:r>
        <w:rPr>
          <w:rFonts w:ascii="Times New Roman" w:hAnsi="Times New Roman" w:eastAsia="Times New Roman" w:cs="Times New Roman"/>
          <w:spacing w:val="35"/>
          <w:w w:val="101"/>
          <w:sz w:val="25"/>
          <w:szCs w:val="25"/>
        </w:rPr>
        <w:t xml:space="preserve"> </w:t>
      </w:r>
      <w:r>
        <w:rPr>
          <w:rFonts w:ascii="仿宋" w:hAnsi="仿宋" w:eastAsia="仿宋" w:cs="仿宋"/>
          <w:spacing w:val="2"/>
          <w:sz w:val="25"/>
          <w:szCs w:val="25"/>
        </w:rPr>
        <w:t>年已注销）。</w:t>
      </w:r>
    </w:p>
    <w:p w14:paraId="2423517C">
      <w:pPr>
        <w:spacing w:before="5" w:line="339" w:lineRule="auto"/>
        <w:ind w:left="134" w:right="30" w:firstLine="524"/>
        <w:jc w:val="both"/>
        <w:rPr>
          <w:rFonts w:ascii="仿宋" w:hAnsi="仿宋" w:eastAsia="仿宋" w:cs="仿宋"/>
          <w:sz w:val="25"/>
          <w:szCs w:val="25"/>
        </w:rPr>
      </w:pPr>
      <w:r>
        <w:rPr>
          <w:rFonts w:ascii="仿宋" w:hAnsi="仿宋" w:eastAsia="仿宋" w:cs="仿宋"/>
          <w:spacing w:val="5"/>
          <w:sz w:val="25"/>
          <w:szCs w:val="25"/>
        </w:rPr>
        <w:t>根据《矿规》，</w:t>
      </w:r>
      <w:r>
        <w:rPr>
          <w:rFonts w:ascii="Times New Roman" w:hAnsi="Times New Roman" w:eastAsia="Times New Roman" w:cs="Times New Roman"/>
          <w:spacing w:val="5"/>
          <w:sz w:val="25"/>
          <w:szCs w:val="25"/>
        </w:rPr>
        <w:t>2020</w:t>
      </w:r>
      <w:r>
        <w:rPr>
          <w:rFonts w:ascii="Times New Roman" w:hAnsi="Times New Roman" w:eastAsia="Times New Roman" w:cs="Times New Roman"/>
          <w:spacing w:val="25"/>
          <w:sz w:val="25"/>
          <w:szCs w:val="25"/>
        </w:rPr>
        <w:t xml:space="preserve"> </w:t>
      </w:r>
      <w:r>
        <w:rPr>
          <w:rFonts w:ascii="仿宋" w:hAnsi="仿宋" w:eastAsia="仿宋" w:cs="仿宋"/>
          <w:spacing w:val="5"/>
          <w:sz w:val="25"/>
          <w:szCs w:val="25"/>
        </w:rPr>
        <w:t>年现状矿山</w:t>
      </w:r>
      <w:r>
        <w:rPr>
          <w:rFonts w:ascii="仿宋" w:hAnsi="仿宋" w:eastAsia="仿宋" w:cs="仿宋"/>
          <w:spacing w:val="-52"/>
          <w:sz w:val="25"/>
          <w:szCs w:val="25"/>
        </w:rPr>
        <w:t xml:space="preserve"> </w:t>
      </w:r>
      <w:r>
        <w:rPr>
          <w:rFonts w:ascii="Times New Roman" w:hAnsi="Times New Roman" w:eastAsia="Times New Roman" w:cs="Times New Roman"/>
          <w:spacing w:val="5"/>
          <w:sz w:val="25"/>
          <w:szCs w:val="25"/>
        </w:rPr>
        <w:t>25</w:t>
      </w:r>
      <w:r>
        <w:rPr>
          <w:rFonts w:ascii="Times New Roman" w:hAnsi="Times New Roman" w:eastAsia="Times New Roman" w:cs="Times New Roman"/>
          <w:spacing w:val="23"/>
          <w:sz w:val="25"/>
          <w:szCs w:val="25"/>
        </w:rPr>
        <w:t xml:space="preserve"> </w:t>
      </w:r>
      <w:r>
        <w:rPr>
          <w:rFonts w:ascii="仿宋" w:hAnsi="仿宋" w:eastAsia="仿宋" w:cs="仿宋"/>
          <w:spacing w:val="5"/>
          <w:sz w:val="25"/>
          <w:szCs w:val="25"/>
        </w:rPr>
        <w:t>家，</w:t>
      </w:r>
      <w:r>
        <w:rPr>
          <w:rFonts w:ascii="Times New Roman" w:hAnsi="Times New Roman" w:eastAsia="Times New Roman" w:cs="Times New Roman"/>
          <w:spacing w:val="5"/>
          <w:sz w:val="25"/>
          <w:szCs w:val="25"/>
        </w:rPr>
        <w:t>2021</w:t>
      </w:r>
      <w:r>
        <w:rPr>
          <w:rFonts w:ascii="Times New Roman" w:hAnsi="Times New Roman" w:eastAsia="Times New Roman" w:cs="Times New Roman"/>
          <w:spacing w:val="27"/>
          <w:sz w:val="25"/>
          <w:szCs w:val="25"/>
        </w:rPr>
        <w:t xml:space="preserve"> </w:t>
      </w:r>
      <w:r>
        <w:rPr>
          <w:rFonts w:ascii="仿宋" w:hAnsi="仿宋" w:eastAsia="仿宋" w:cs="仿宋"/>
          <w:spacing w:val="5"/>
          <w:sz w:val="25"/>
          <w:szCs w:val="25"/>
        </w:rPr>
        <w:t>年已注销</w:t>
      </w:r>
      <w:r>
        <w:rPr>
          <w:rFonts w:ascii="仿宋" w:hAnsi="仿宋" w:eastAsia="仿宋" w:cs="仿宋"/>
          <w:spacing w:val="-50"/>
          <w:sz w:val="25"/>
          <w:szCs w:val="25"/>
        </w:rPr>
        <w:t xml:space="preserve"> </w:t>
      </w:r>
      <w:r>
        <w:rPr>
          <w:rFonts w:ascii="Times New Roman" w:hAnsi="Times New Roman" w:eastAsia="Times New Roman" w:cs="Times New Roman"/>
          <w:spacing w:val="5"/>
          <w:sz w:val="25"/>
          <w:szCs w:val="25"/>
        </w:rPr>
        <w:t>3</w:t>
      </w:r>
      <w:r>
        <w:rPr>
          <w:rFonts w:ascii="Times New Roman" w:hAnsi="Times New Roman" w:eastAsia="Times New Roman" w:cs="Times New Roman"/>
          <w:spacing w:val="23"/>
          <w:sz w:val="25"/>
          <w:szCs w:val="25"/>
        </w:rPr>
        <w:t xml:space="preserve"> </w:t>
      </w:r>
      <w:r>
        <w:rPr>
          <w:rFonts w:ascii="仿宋" w:hAnsi="仿宋" w:eastAsia="仿宋" w:cs="仿宋"/>
          <w:spacing w:val="5"/>
          <w:sz w:val="25"/>
          <w:szCs w:val="25"/>
        </w:rPr>
        <w:t>家建筑石料用灰</w:t>
      </w:r>
      <w:r>
        <w:rPr>
          <w:rFonts w:ascii="仿宋" w:hAnsi="仿宋" w:eastAsia="仿宋" w:cs="仿宋"/>
          <w:sz w:val="25"/>
          <w:szCs w:val="25"/>
        </w:rPr>
        <w:t xml:space="preserve"> </w:t>
      </w:r>
      <w:r>
        <w:rPr>
          <w:rFonts w:ascii="仿宋" w:hAnsi="仿宋" w:eastAsia="仿宋" w:cs="仿宋"/>
          <w:spacing w:val="1"/>
          <w:sz w:val="25"/>
          <w:szCs w:val="25"/>
        </w:rPr>
        <w:t>岩矿。截至</w:t>
      </w:r>
      <w:r>
        <w:rPr>
          <w:rFonts w:ascii="仿宋" w:hAnsi="仿宋" w:eastAsia="仿宋" w:cs="仿宋"/>
          <w:spacing w:val="-41"/>
          <w:sz w:val="25"/>
          <w:szCs w:val="25"/>
        </w:rPr>
        <w:t xml:space="preserve"> </w:t>
      </w:r>
      <w:r>
        <w:rPr>
          <w:rFonts w:ascii="Times New Roman" w:hAnsi="Times New Roman" w:eastAsia="Times New Roman" w:cs="Times New Roman"/>
          <w:spacing w:val="1"/>
          <w:sz w:val="25"/>
          <w:szCs w:val="25"/>
        </w:rPr>
        <w:t>2024</w:t>
      </w:r>
      <w:r>
        <w:rPr>
          <w:rFonts w:ascii="Times New Roman" w:hAnsi="Times New Roman" w:eastAsia="Times New Roman" w:cs="Times New Roman"/>
          <w:spacing w:val="24"/>
          <w:w w:val="101"/>
          <w:sz w:val="25"/>
          <w:szCs w:val="25"/>
        </w:rPr>
        <w:t xml:space="preserve"> </w:t>
      </w:r>
      <w:r>
        <w:rPr>
          <w:rFonts w:ascii="仿宋" w:hAnsi="仿宋" w:eastAsia="仿宋" w:cs="仿宋"/>
          <w:spacing w:val="1"/>
          <w:sz w:val="25"/>
          <w:szCs w:val="25"/>
        </w:rPr>
        <w:t>年</w:t>
      </w:r>
      <w:r>
        <w:rPr>
          <w:rFonts w:ascii="仿宋" w:hAnsi="仿宋" w:eastAsia="仿宋" w:cs="仿宋"/>
          <w:spacing w:val="-28"/>
          <w:sz w:val="25"/>
          <w:szCs w:val="25"/>
        </w:rPr>
        <w:t xml:space="preserve"> </w:t>
      </w:r>
      <w:r>
        <w:rPr>
          <w:rFonts w:ascii="Times New Roman" w:hAnsi="Times New Roman" w:eastAsia="Times New Roman" w:cs="Times New Roman"/>
          <w:spacing w:val="1"/>
          <w:sz w:val="25"/>
          <w:szCs w:val="25"/>
        </w:rPr>
        <w:t>12</w:t>
      </w:r>
      <w:r>
        <w:rPr>
          <w:rFonts w:ascii="Times New Roman" w:hAnsi="Times New Roman" w:eastAsia="Times New Roman" w:cs="Times New Roman"/>
          <w:spacing w:val="32"/>
          <w:sz w:val="25"/>
          <w:szCs w:val="25"/>
        </w:rPr>
        <w:t xml:space="preserve"> </w:t>
      </w:r>
      <w:r>
        <w:rPr>
          <w:rFonts w:ascii="仿宋" w:hAnsi="仿宋" w:eastAsia="仿宋" w:cs="仿宋"/>
          <w:spacing w:val="1"/>
          <w:sz w:val="25"/>
          <w:szCs w:val="25"/>
        </w:rPr>
        <w:t>月，全区共有</w:t>
      </w:r>
      <w:r>
        <w:rPr>
          <w:rFonts w:ascii="仿宋" w:hAnsi="仿宋" w:eastAsia="仿宋" w:cs="仿宋"/>
          <w:spacing w:val="-27"/>
          <w:sz w:val="25"/>
          <w:szCs w:val="25"/>
        </w:rPr>
        <w:t xml:space="preserve"> </w:t>
      </w:r>
      <w:r>
        <w:rPr>
          <w:rFonts w:ascii="Times New Roman" w:hAnsi="Times New Roman" w:eastAsia="Times New Roman" w:cs="Times New Roman"/>
          <w:spacing w:val="1"/>
          <w:sz w:val="25"/>
          <w:szCs w:val="25"/>
        </w:rPr>
        <w:t>14</w:t>
      </w:r>
      <w:r>
        <w:rPr>
          <w:rFonts w:ascii="Times New Roman" w:hAnsi="Times New Roman" w:eastAsia="Times New Roman" w:cs="Times New Roman"/>
          <w:spacing w:val="20"/>
          <w:w w:val="101"/>
          <w:sz w:val="25"/>
          <w:szCs w:val="25"/>
        </w:rPr>
        <w:t xml:space="preserve"> </w:t>
      </w:r>
      <w:r>
        <w:rPr>
          <w:rFonts w:ascii="仿宋" w:hAnsi="仿宋" w:eastAsia="仿宋" w:cs="仿宋"/>
          <w:spacing w:val="1"/>
          <w:sz w:val="25"/>
          <w:szCs w:val="25"/>
        </w:rPr>
        <w:t>个采矿权：采矿权保留（调整）开采规</w:t>
      </w:r>
      <w:r>
        <w:rPr>
          <w:rFonts w:ascii="仿宋" w:hAnsi="仿宋" w:eastAsia="仿宋" w:cs="仿宋"/>
          <w:sz w:val="25"/>
          <w:szCs w:val="25"/>
        </w:rPr>
        <w:t xml:space="preserve"> </w:t>
      </w:r>
      <w:r>
        <w:rPr>
          <w:rFonts w:ascii="仿宋" w:hAnsi="仿宋" w:eastAsia="仿宋" w:cs="仿宋"/>
          <w:spacing w:val="4"/>
          <w:sz w:val="25"/>
          <w:szCs w:val="25"/>
        </w:rPr>
        <w:t>划区块</w:t>
      </w:r>
      <w:r>
        <w:rPr>
          <w:rFonts w:ascii="仿宋" w:hAnsi="仿宋" w:eastAsia="仿宋" w:cs="仿宋"/>
          <w:spacing w:val="-11"/>
          <w:sz w:val="25"/>
          <w:szCs w:val="25"/>
        </w:rPr>
        <w:t xml:space="preserve"> </w:t>
      </w:r>
      <w:r>
        <w:rPr>
          <w:rFonts w:ascii="Times New Roman" w:hAnsi="Times New Roman" w:eastAsia="Times New Roman" w:cs="Times New Roman"/>
          <w:spacing w:val="4"/>
          <w:sz w:val="25"/>
          <w:szCs w:val="25"/>
        </w:rPr>
        <w:t>12</w:t>
      </w:r>
      <w:r>
        <w:rPr>
          <w:rFonts w:ascii="Times New Roman" w:hAnsi="Times New Roman" w:eastAsia="Times New Roman" w:cs="Times New Roman"/>
          <w:spacing w:val="22"/>
          <w:w w:val="101"/>
          <w:sz w:val="25"/>
          <w:szCs w:val="25"/>
        </w:rPr>
        <w:t xml:space="preserve"> </w:t>
      </w:r>
      <w:r>
        <w:rPr>
          <w:rFonts w:ascii="仿宋" w:hAnsi="仿宋" w:eastAsia="仿宋" w:cs="仿宋"/>
          <w:spacing w:val="4"/>
          <w:sz w:val="25"/>
          <w:szCs w:val="25"/>
        </w:rPr>
        <w:t>个、空白区新设采矿权开采规划区块</w:t>
      </w:r>
      <w:r>
        <w:rPr>
          <w:rFonts w:ascii="仿宋" w:hAnsi="仿宋" w:eastAsia="仿宋" w:cs="仿宋"/>
          <w:spacing w:val="-52"/>
          <w:sz w:val="25"/>
          <w:szCs w:val="25"/>
        </w:rPr>
        <w:t xml:space="preserve"> </w:t>
      </w:r>
      <w:r>
        <w:rPr>
          <w:rFonts w:ascii="Times New Roman" w:hAnsi="Times New Roman" w:eastAsia="Times New Roman" w:cs="Times New Roman"/>
          <w:spacing w:val="4"/>
          <w:sz w:val="25"/>
          <w:szCs w:val="25"/>
        </w:rPr>
        <w:t>2</w:t>
      </w:r>
      <w:r>
        <w:rPr>
          <w:rFonts w:ascii="Times New Roman" w:hAnsi="Times New Roman" w:eastAsia="Times New Roman" w:cs="Times New Roman"/>
          <w:spacing w:val="20"/>
          <w:w w:val="101"/>
          <w:sz w:val="25"/>
          <w:szCs w:val="25"/>
        </w:rPr>
        <w:t xml:space="preserve"> </w:t>
      </w:r>
      <w:r>
        <w:rPr>
          <w:rFonts w:ascii="仿宋" w:hAnsi="仿宋" w:eastAsia="仿宋" w:cs="仿宋"/>
          <w:spacing w:val="4"/>
          <w:sz w:val="25"/>
          <w:szCs w:val="25"/>
        </w:rPr>
        <w:t>个、探转采</w:t>
      </w:r>
      <w:r>
        <w:rPr>
          <w:rFonts w:ascii="Times New Roman" w:hAnsi="Times New Roman" w:eastAsia="Times New Roman" w:cs="Times New Roman"/>
          <w:spacing w:val="4"/>
          <w:sz w:val="25"/>
          <w:szCs w:val="25"/>
        </w:rPr>
        <w:t>0</w:t>
      </w:r>
      <w:r>
        <w:rPr>
          <w:rFonts w:ascii="Times New Roman" w:hAnsi="Times New Roman" w:eastAsia="Times New Roman" w:cs="Times New Roman"/>
          <w:spacing w:val="20"/>
          <w:w w:val="101"/>
          <w:sz w:val="25"/>
          <w:szCs w:val="25"/>
        </w:rPr>
        <w:t xml:space="preserve"> </w:t>
      </w:r>
      <w:r>
        <w:rPr>
          <w:rFonts w:ascii="仿宋" w:hAnsi="仿宋" w:eastAsia="仿宋" w:cs="仿宋"/>
          <w:spacing w:val="4"/>
          <w:sz w:val="25"/>
          <w:szCs w:val="25"/>
        </w:rPr>
        <w:t>个；已设采矿权</w:t>
      </w:r>
      <w:r>
        <w:rPr>
          <w:rFonts w:ascii="仿宋" w:hAnsi="仿宋" w:eastAsia="仿宋" w:cs="仿宋"/>
          <w:sz w:val="25"/>
          <w:szCs w:val="25"/>
        </w:rPr>
        <w:t xml:space="preserve"> </w:t>
      </w:r>
      <w:r>
        <w:rPr>
          <w:rFonts w:ascii="仿宋" w:hAnsi="仿宋" w:eastAsia="仿宋" w:cs="仿宋"/>
          <w:spacing w:val="7"/>
          <w:sz w:val="25"/>
          <w:szCs w:val="25"/>
        </w:rPr>
        <w:t>到期关闭</w:t>
      </w:r>
      <w:r>
        <w:rPr>
          <w:rFonts w:ascii="仿宋" w:hAnsi="仿宋" w:eastAsia="仿宋" w:cs="仿宋"/>
          <w:spacing w:val="-41"/>
          <w:sz w:val="25"/>
          <w:szCs w:val="25"/>
        </w:rPr>
        <w:t xml:space="preserve"> </w:t>
      </w:r>
      <w:r>
        <w:rPr>
          <w:rFonts w:ascii="Times New Roman" w:hAnsi="Times New Roman" w:eastAsia="Times New Roman" w:cs="Times New Roman"/>
          <w:spacing w:val="7"/>
          <w:sz w:val="25"/>
          <w:szCs w:val="25"/>
        </w:rPr>
        <w:t>8</w:t>
      </w:r>
      <w:r>
        <w:rPr>
          <w:rFonts w:ascii="Times New Roman" w:hAnsi="Times New Roman" w:eastAsia="Times New Roman" w:cs="Times New Roman"/>
          <w:spacing w:val="23"/>
          <w:sz w:val="25"/>
          <w:szCs w:val="25"/>
        </w:rPr>
        <w:t xml:space="preserve"> </w:t>
      </w:r>
      <w:r>
        <w:rPr>
          <w:rFonts w:ascii="仿宋" w:hAnsi="仿宋" w:eastAsia="仿宋" w:cs="仿宋"/>
          <w:spacing w:val="7"/>
          <w:sz w:val="25"/>
          <w:szCs w:val="25"/>
        </w:rPr>
        <w:t>个，其中</w:t>
      </w:r>
      <w:r>
        <w:rPr>
          <w:rFonts w:ascii="仿宋" w:hAnsi="仿宋" w:eastAsia="仿宋" w:cs="仿宋"/>
          <w:spacing w:val="-46"/>
          <w:sz w:val="25"/>
          <w:szCs w:val="25"/>
        </w:rPr>
        <w:t xml:space="preserve"> </w:t>
      </w:r>
      <w:r>
        <w:rPr>
          <w:rFonts w:ascii="Times New Roman" w:hAnsi="Times New Roman" w:eastAsia="Times New Roman" w:cs="Times New Roman"/>
          <w:spacing w:val="7"/>
          <w:sz w:val="25"/>
          <w:szCs w:val="25"/>
        </w:rPr>
        <w:t>7</w:t>
      </w:r>
      <w:r>
        <w:rPr>
          <w:rFonts w:ascii="Times New Roman" w:hAnsi="Times New Roman" w:eastAsia="Times New Roman" w:cs="Times New Roman"/>
          <w:spacing w:val="23"/>
          <w:sz w:val="25"/>
          <w:szCs w:val="25"/>
        </w:rPr>
        <w:t xml:space="preserve"> </w:t>
      </w:r>
      <w:r>
        <w:rPr>
          <w:rFonts w:ascii="仿宋" w:hAnsi="仿宋" w:eastAsia="仿宋" w:cs="仿宋"/>
          <w:spacing w:val="7"/>
          <w:sz w:val="25"/>
          <w:szCs w:val="25"/>
        </w:rPr>
        <w:t>个为建筑石料用灰岩矿，</w:t>
      </w:r>
      <w:r>
        <w:rPr>
          <w:rFonts w:ascii="Times New Roman" w:hAnsi="Times New Roman" w:eastAsia="Times New Roman" w:cs="Times New Roman"/>
          <w:spacing w:val="7"/>
          <w:sz w:val="25"/>
          <w:szCs w:val="25"/>
        </w:rPr>
        <w:t>1</w:t>
      </w:r>
      <w:r>
        <w:rPr>
          <w:rFonts w:ascii="Times New Roman" w:hAnsi="Times New Roman" w:eastAsia="Times New Roman" w:cs="Times New Roman"/>
          <w:spacing w:val="23"/>
          <w:sz w:val="25"/>
          <w:szCs w:val="25"/>
        </w:rPr>
        <w:t xml:space="preserve"> </w:t>
      </w:r>
      <w:r>
        <w:rPr>
          <w:rFonts w:ascii="仿宋" w:hAnsi="仿宋" w:eastAsia="仿宋" w:cs="仿宋"/>
          <w:spacing w:val="7"/>
          <w:sz w:val="25"/>
          <w:szCs w:val="25"/>
        </w:rPr>
        <w:t>个为萤石（普通</w:t>
      </w:r>
      <w:r>
        <w:rPr>
          <w:rFonts w:ascii="仿宋" w:hAnsi="仿宋" w:eastAsia="仿宋" w:cs="仿宋"/>
          <w:spacing w:val="6"/>
          <w:sz w:val="25"/>
          <w:szCs w:val="25"/>
        </w:rPr>
        <w:t>）</w:t>
      </w:r>
      <w:r>
        <w:rPr>
          <w:rFonts w:ascii="仿宋" w:hAnsi="仿宋" w:eastAsia="仿宋" w:cs="仿宋"/>
          <w:spacing w:val="-74"/>
          <w:sz w:val="25"/>
          <w:szCs w:val="25"/>
        </w:rPr>
        <w:t xml:space="preserve"> </w:t>
      </w:r>
      <w:r>
        <w:rPr>
          <w:rFonts w:ascii="仿宋" w:hAnsi="仿宋" w:eastAsia="仿宋" w:cs="仿宋"/>
          <w:spacing w:val="6"/>
          <w:sz w:val="25"/>
          <w:szCs w:val="25"/>
        </w:rPr>
        <w:t>。“十四</w:t>
      </w:r>
      <w:r>
        <w:rPr>
          <w:rFonts w:ascii="仿宋" w:hAnsi="仿宋" w:eastAsia="仿宋" w:cs="仿宋"/>
          <w:sz w:val="25"/>
          <w:szCs w:val="25"/>
        </w:rPr>
        <w:t xml:space="preserve"> </w:t>
      </w:r>
      <w:r>
        <w:rPr>
          <w:rFonts w:ascii="仿宋" w:hAnsi="仿宋" w:eastAsia="仿宋" w:cs="仿宋"/>
          <w:spacing w:val="5"/>
          <w:sz w:val="25"/>
          <w:szCs w:val="25"/>
        </w:rPr>
        <w:t>五</w:t>
      </w:r>
      <w:r>
        <w:rPr>
          <w:rFonts w:ascii="仿宋" w:hAnsi="仿宋" w:eastAsia="仿宋" w:cs="仿宋"/>
          <w:spacing w:val="-78"/>
          <w:sz w:val="25"/>
          <w:szCs w:val="25"/>
        </w:rPr>
        <w:t xml:space="preserve"> </w:t>
      </w:r>
      <w:r>
        <w:rPr>
          <w:rFonts w:ascii="仿宋" w:hAnsi="仿宋" w:eastAsia="仿宋" w:cs="仿宋"/>
          <w:spacing w:val="5"/>
          <w:sz w:val="25"/>
          <w:szCs w:val="25"/>
        </w:rPr>
        <w:t>”期间共计关闭（包括注销）</w:t>
      </w:r>
      <w:r>
        <w:rPr>
          <w:rFonts w:ascii="Times New Roman" w:hAnsi="Times New Roman" w:eastAsia="Times New Roman" w:cs="Times New Roman"/>
          <w:spacing w:val="5"/>
          <w:sz w:val="25"/>
          <w:szCs w:val="25"/>
        </w:rPr>
        <w:t>11</w:t>
      </w:r>
      <w:r>
        <w:rPr>
          <w:rFonts w:ascii="Times New Roman" w:hAnsi="Times New Roman" w:eastAsia="Times New Roman" w:cs="Times New Roman"/>
          <w:spacing w:val="23"/>
          <w:sz w:val="25"/>
          <w:szCs w:val="25"/>
        </w:rPr>
        <w:t xml:space="preserve"> </w:t>
      </w:r>
      <w:r>
        <w:rPr>
          <w:rFonts w:ascii="仿宋" w:hAnsi="仿宋" w:eastAsia="仿宋" w:cs="仿宋"/>
          <w:spacing w:val="5"/>
          <w:sz w:val="25"/>
          <w:szCs w:val="25"/>
        </w:rPr>
        <w:t>个矿山，规划开采区块实施情况见表</w:t>
      </w:r>
      <w:r>
        <w:rPr>
          <w:rFonts w:ascii="仿宋" w:hAnsi="仿宋" w:eastAsia="仿宋" w:cs="仿宋"/>
          <w:spacing w:val="-50"/>
          <w:sz w:val="25"/>
          <w:szCs w:val="25"/>
        </w:rPr>
        <w:t xml:space="preserve"> </w:t>
      </w:r>
      <w:r>
        <w:rPr>
          <w:rFonts w:ascii="Times New Roman" w:hAnsi="Times New Roman" w:eastAsia="Times New Roman" w:cs="Times New Roman"/>
          <w:spacing w:val="5"/>
          <w:sz w:val="25"/>
          <w:szCs w:val="25"/>
        </w:rPr>
        <w:t>3.2-4</w:t>
      </w:r>
      <w:r>
        <w:rPr>
          <w:rFonts w:ascii="仿宋" w:hAnsi="仿宋" w:eastAsia="仿宋" w:cs="仿宋"/>
          <w:spacing w:val="5"/>
          <w:sz w:val="25"/>
          <w:szCs w:val="25"/>
        </w:rPr>
        <w:t>。</w:t>
      </w:r>
    </w:p>
    <w:p w14:paraId="68C9AE4C">
      <w:pPr>
        <w:spacing w:before="160" w:line="231" w:lineRule="auto"/>
        <w:ind w:left="2520"/>
        <w:rPr>
          <w:rFonts w:ascii="仿宋" w:hAnsi="仿宋" w:eastAsia="仿宋" w:cs="仿宋"/>
          <w:sz w:val="20"/>
          <w:szCs w:val="20"/>
        </w:rPr>
      </w:pPr>
      <w:r>
        <w:rPr>
          <w:rFonts w:ascii="仿宋" w:hAnsi="仿宋" w:eastAsia="仿宋" w:cs="仿宋"/>
          <w:b/>
          <w:bCs/>
          <w:spacing w:val="6"/>
          <w:sz w:val="20"/>
          <w:szCs w:val="20"/>
        </w:rPr>
        <w:t>表</w:t>
      </w:r>
      <w:r>
        <w:rPr>
          <w:rFonts w:ascii="仿宋" w:hAnsi="仿宋" w:eastAsia="仿宋" w:cs="仿宋"/>
          <w:spacing w:val="-41"/>
          <w:sz w:val="20"/>
          <w:szCs w:val="20"/>
        </w:rPr>
        <w:t xml:space="preserve"> </w:t>
      </w:r>
      <w:r>
        <w:rPr>
          <w:rFonts w:ascii="Times New Roman" w:hAnsi="Times New Roman" w:eastAsia="Times New Roman" w:cs="Times New Roman"/>
          <w:b/>
          <w:bCs/>
          <w:spacing w:val="6"/>
          <w:sz w:val="20"/>
          <w:szCs w:val="20"/>
        </w:rPr>
        <w:t xml:space="preserve">3.2-4    </w:t>
      </w:r>
      <w:r>
        <w:rPr>
          <w:rFonts w:ascii="仿宋" w:hAnsi="仿宋" w:eastAsia="仿宋" w:cs="仿宋"/>
          <w:b/>
          <w:bCs/>
          <w:spacing w:val="6"/>
          <w:sz w:val="20"/>
          <w:szCs w:val="20"/>
        </w:rPr>
        <w:t>《规划》开采规划区块实施</w:t>
      </w:r>
      <w:r>
        <w:rPr>
          <w:rFonts w:ascii="仿宋" w:hAnsi="仿宋" w:eastAsia="仿宋" w:cs="仿宋"/>
          <w:b/>
          <w:bCs/>
          <w:spacing w:val="5"/>
          <w:sz w:val="20"/>
          <w:szCs w:val="20"/>
        </w:rPr>
        <w:t>统计表</w:t>
      </w:r>
    </w:p>
    <w:p w14:paraId="11EEE9CA">
      <w:pPr>
        <w:spacing w:line="23" w:lineRule="exact"/>
      </w:pPr>
    </w:p>
    <w:tbl>
      <w:tblPr>
        <w:tblStyle w:val="5"/>
        <w:tblW w:w="905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9"/>
        <w:gridCol w:w="2783"/>
        <w:gridCol w:w="1195"/>
        <w:gridCol w:w="1201"/>
        <w:gridCol w:w="1556"/>
        <w:gridCol w:w="1415"/>
      </w:tblGrid>
      <w:tr w14:paraId="17C66B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909" w:type="dxa"/>
            <w:tcBorders>
              <w:top w:val="single" w:color="000000" w:sz="10" w:space="0"/>
              <w:left w:val="single" w:color="000000" w:sz="10" w:space="0"/>
            </w:tcBorders>
            <w:vAlign w:val="top"/>
          </w:tcPr>
          <w:p w14:paraId="1A9705E8">
            <w:pPr>
              <w:pStyle w:val="6"/>
              <w:spacing w:before="294" w:line="231" w:lineRule="auto"/>
              <w:ind w:left="249"/>
              <w:rPr>
                <w:sz w:val="19"/>
                <w:szCs w:val="19"/>
              </w:rPr>
            </w:pPr>
            <w:r>
              <w:rPr>
                <w:spacing w:val="2"/>
                <w:sz w:val="19"/>
                <w:szCs w:val="19"/>
              </w:rPr>
              <w:t>序号</w:t>
            </w:r>
          </w:p>
        </w:tc>
        <w:tc>
          <w:tcPr>
            <w:tcW w:w="2783" w:type="dxa"/>
            <w:tcBorders>
              <w:top w:val="single" w:color="000000" w:sz="10" w:space="0"/>
            </w:tcBorders>
            <w:vAlign w:val="top"/>
          </w:tcPr>
          <w:p w14:paraId="7E07CE3E">
            <w:pPr>
              <w:pStyle w:val="6"/>
              <w:spacing w:before="294" w:line="230" w:lineRule="auto"/>
              <w:ind w:left="1011"/>
              <w:rPr>
                <w:sz w:val="19"/>
                <w:szCs w:val="19"/>
              </w:rPr>
            </w:pPr>
            <w:r>
              <w:rPr>
                <w:spacing w:val="2"/>
                <w:sz w:val="19"/>
                <w:szCs w:val="19"/>
              </w:rPr>
              <w:t>区块名称</w:t>
            </w:r>
          </w:p>
        </w:tc>
        <w:tc>
          <w:tcPr>
            <w:tcW w:w="1195" w:type="dxa"/>
            <w:tcBorders>
              <w:top w:val="single" w:color="000000" w:sz="10" w:space="0"/>
            </w:tcBorders>
            <w:vAlign w:val="top"/>
          </w:tcPr>
          <w:p w14:paraId="3D6EB06A">
            <w:pPr>
              <w:pStyle w:val="6"/>
              <w:spacing w:before="294" w:line="230" w:lineRule="auto"/>
              <w:ind w:left="208"/>
              <w:rPr>
                <w:sz w:val="19"/>
                <w:szCs w:val="19"/>
              </w:rPr>
            </w:pPr>
            <w:r>
              <w:rPr>
                <w:spacing w:val="6"/>
                <w:sz w:val="19"/>
                <w:szCs w:val="19"/>
              </w:rPr>
              <w:t>开采矿种</w:t>
            </w:r>
          </w:p>
        </w:tc>
        <w:tc>
          <w:tcPr>
            <w:tcW w:w="1201" w:type="dxa"/>
            <w:tcBorders>
              <w:top w:val="single" w:color="000000" w:sz="10" w:space="0"/>
            </w:tcBorders>
            <w:vAlign w:val="top"/>
          </w:tcPr>
          <w:p w14:paraId="411C0F86">
            <w:pPr>
              <w:pStyle w:val="6"/>
              <w:spacing w:before="294" w:line="233" w:lineRule="auto"/>
              <w:ind w:left="414"/>
              <w:rPr>
                <w:sz w:val="19"/>
                <w:szCs w:val="19"/>
              </w:rPr>
            </w:pPr>
            <w:r>
              <w:rPr>
                <w:spacing w:val="1"/>
                <w:sz w:val="19"/>
                <w:szCs w:val="19"/>
              </w:rPr>
              <w:t>类型</w:t>
            </w:r>
          </w:p>
        </w:tc>
        <w:tc>
          <w:tcPr>
            <w:tcW w:w="1556" w:type="dxa"/>
            <w:tcBorders>
              <w:top w:val="single" w:color="000000" w:sz="10" w:space="0"/>
            </w:tcBorders>
            <w:vAlign w:val="top"/>
          </w:tcPr>
          <w:p w14:paraId="4065626D">
            <w:pPr>
              <w:pStyle w:val="6"/>
              <w:spacing w:before="35" w:line="231" w:lineRule="auto"/>
              <w:ind w:left="195"/>
              <w:rPr>
                <w:sz w:val="19"/>
                <w:szCs w:val="19"/>
              </w:rPr>
            </w:pPr>
            <w:r>
              <w:rPr>
                <w:spacing w:val="7"/>
                <w:sz w:val="19"/>
                <w:szCs w:val="19"/>
              </w:rPr>
              <w:t>矿业权投放情</w:t>
            </w:r>
          </w:p>
          <w:p w14:paraId="015EDD31">
            <w:pPr>
              <w:pStyle w:val="6"/>
              <w:spacing w:before="21" w:line="233" w:lineRule="auto"/>
              <w:ind w:left="114" w:right="109" w:firstLine="81"/>
              <w:rPr>
                <w:sz w:val="19"/>
                <w:szCs w:val="19"/>
              </w:rPr>
            </w:pPr>
            <w:r>
              <w:rPr>
                <w:spacing w:val="7"/>
                <w:sz w:val="19"/>
                <w:szCs w:val="19"/>
              </w:rPr>
              <w:t>况（统计截止</w:t>
            </w:r>
            <w:r>
              <w:rPr>
                <w:spacing w:val="2"/>
                <w:sz w:val="19"/>
                <w:szCs w:val="19"/>
              </w:rPr>
              <w:t xml:space="preserve"> </w:t>
            </w:r>
            <w:r>
              <w:rPr>
                <w:rFonts w:ascii="Times New Roman" w:hAnsi="Times New Roman" w:eastAsia="Times New Roman" w:cs="Times New Roman"/>
                <w:spacing w:val="-4"/>
                <w:sz w:val="19"/>
                <w:szCs w:val="19"/>
              </w:rPr>
              <w:t>2024</w:t>
            </w:r>
            <w:r>
              <w:rPr>
                <w:rFonts w:ascii="Times New Roman" w:hAnsi="Times New Roman" w:eastAsia="Times New Roman" w:cs="Times New Roman"/>
                <w:spacing w:val="26"/>
                <w:sz w:val="19"/>
                <w:szCs w:val="19"/>
              </w:rPr>
              <w:t xml:space="preserve"> </w:t>
            </w:r>
            <w:r>
              <w:rPr>
                <w:spacing w:val="-4"/>
                <w:sz w:val="19"/>
                <w:szCs w:val="19"/>
              </w:rPr>
              <w:t>年</w:t>
            </w:r>
            <w:r>
              <w:rPr>
                <w:spacing w:val="-19"/>
                <w:sz w:val="19"/>
                <w:szCs w:val="19"/>
              </w:rPr>
              <w:t xml:space="preserve"> </w:t>
            </w:r>
            <w:r>
              <w:rPr>
                <w:rFonts w:ascii="Times New Roman" w:hAnsi="Times New Roman" w:eastAsia="Times New Roman" w:cs="Times New Roman"/>
                <w:spacing w:val="-4"/>
                <w:sz w:val="19"/>
                <w:szCs w:val="19"/>
              </w:rPr>
              <w:t>12</w:t>
            </w:r>
            <w:r>
              <w:rPr>
                <w:rFonts w:ascii="Times New Roman" w:hAnsi="Times New Roman" w:eastAsia="Times New Roman" w:cs="Times New Roman"/>
                <w:spacing w:val="24"/>
                <w:w w:val="101"/>
                <w:sz w:val="19"/>
                <w:szCs w:val="19"/>
              </w:rPr>
              <w:t xml:space="preserve"> </w:t>
            </w:r>
            <w:r>
              <w:rPr>
                <w:spacing w:val="-4"/>
                <w:sz w:val="19"/>
                <w:szCs w:val="19"/>
              </w:rPr>
              <w:t>月）</w:t>
            </w:r>
          </w:p>
        </w:tc>
        <w:tc>
          <w:tcPr>
            <w:tcW w:w="1415" w:type="dxa"/>
            <w:tcBorders>
              <w:top w:val="single" w:color="000000" w:sz="10" w:space="0"/>
              <w:right w:val="single" w:color="000000" w:sz="10" w:space="0"/>
            </w:tcBorders>
            <w:vAlign w:val="top"/>
          </w:tcPr>
          <w:p w14:paraId="19BE5211">
            <w:pPr>
              <w:pStyle w:val="6"/>
              <w:spacing w:before="294" w:line="233" w:lineRule="auto"/>
              <w:ind w:left="522"/>
              <w:rPr>
                <w:sz w:val="19"/>
                <w:szCs w:val="19"/>
              </w:rPr>
            </w:pPr>
            <w:r>
              <w:rPr>
                <w:spacing w:val="1"/>
                <w:sz w:val="19"/>
                <w:szCs w:val="19"/>
              </w:rPr>
              <w:t>备注</w:t>
            </w:r>
          </w:p>
        </w:tc>
      </w:tr>
      <w:tr w14:paraId="667516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21" w:hRule="atLeast"/>
        </w:trPr>
        <w:tc>
          <w:tcPr>
            <w:tcW w:w="909" w:type="dxa"/>
            <w:tcBorders>
              <w:left w:val="single" w:color="000000" w:sz="10" w:space="0"/>
            </w:tcBorders>
            <w:vAlign w:val="top"/>
          </w:tcPr>
          <w:p w14:paraId="5CAB524C">
            <w:pPr>
              <w:spacing w:before="197" w:line="197" w:lineRule="auto"/>
              <w:ind w:left="154"/>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001</w:t>
            </w:r>
          </w:p>
        </w:tc>
        <w:tc>
          <w:tcPr>
            <w:tcW w:w="2783" w:type="dxa"/>
            <w:vAlign w:val="top"/>
          </w:tcPr>
          <w:p w14:paraId="683F34A9">
            <w:pPr>
              <w:pStyle w:val="6"/>
              <w:spacing w:before="35" w:line="231" w:lineRule="auto"/>
              <w:ind w:left="795" w:right="196" w:hanging="594"/>
              <w:rPr>
                <w:sz w:val="19"/>
                <w:szCs w:val="19"/>
              </w:rPr>
            </w:pPr>
            <w:r>
              <w:rPr>
                <w:spacing w:val="8"/>
                <w:sz w:val="19"/>
                <w:szCs w:val="19"/>
              </w:rPr>
              <w:t>重庆市黔江区舟白街道丛山</w:t>
            </w:r>
            <w:r>
              <w:rPr>
                <w:spacing w:val="3"/>
                <w:sz w:val="19"/>
                <w:szCs w:val="19"/>
              </w:rPr>
              <w:t xml:space="preserve"> </w:t>
            </w:r>
            <w:r>
              <w:rPr>
                <w:spacing w:val="7"/>
                <w:sz w:val="19"/>
                <w:szCs w:val="19"/>
              </w:rPr>
              <w:t>饰面用灰岩矿</w:t>
            </w:r>
          </w:p>
        </w:tc>
        <w:tc>
          <w:tcPr>
            <w:tcW w:w="1195" w:type="dxa"/>
            <w:vAlign w:val="top"/>
          </w:tcPr>
          <w:p w14:paraId="53A6570F">
            <w:pPr>
              <w:pStyle w:val="6"/>
              <w:spacing w:before="35" w:line="233" w:lineRule="auto"/>
              <w:ind w:left="209"/>
              <w:rPr>
                <w:sz w:val="19"/>
                <w:szCs w:val="19"/>
              </w:rPr>
            </w:pPr>
            <w:r>
              <w:rPr>
                <w:spacing w:val="6"/>
                <w:sz w:val="19"/>
                <w:szCs w:val="19"/>
              </w:rPr>
              <w:t>饰面用灰</w:t>
            </w:r>
          </w:p>
          <w:p w14:paraId="505243BC">
            <w:pPr>
              <w:pStyle w:val="6"/>
              <w:spacing w:before="19" w:line="210" w:lineRule="auto"/>
              <w:ind w:left="506"/>
              <w:rPr>
                <w:sz w:val="19"/>
                <w:szCs w:val="19"/>
              </w:rPr>
            </w:pPr>
            <w:r>
              <w:rPr>
                <w:sz w:val="19"/>
                <w:szCs w:val="19"/>
              </w:rPr>
              <w:t>岩</w:t>
            </w:r>
          </w:p>
        </w:tc>
        <w:tc>
          <w:tcPr>
            <w:tcW w:w="1201" w:type="dxa"/>
            <w:vAlign w:val="top"/>
          </w:tcPr>
          <w:p w14:paraId="5BA2D801">
            <w:pPr>
              <w:pStyle w:val="6"/>
              <w:spacing w:before="35" w:line="230" w:lineRule="auto"/>
              <w:ind w:left="413"/>
              <w:rPr>
                <w:sz w:val="19"/>
                <w:szCs w:val="19"/>
              </w:rPr>
            </w:pPr>
            <w:r>
              <w:rPr>
                <w:spacing w:val="2"/>
                <w:sz w:val="19"/>
                <w:szCs w:val="19"/>
              </w:rPr>
              <w:t>保留</w:t>
            </w:r>
          </w:p>
          <w:p w14:paraId="54337399">
            <w:pPr>
              <w:pStyle w:val="6"/>
              <w:spacing w:before="22" w:line="210" w:lineRule="auto"/>
              <w:ind w:left="218"/>
              <w:rPr>
                <w:sz w:val="19"/>
                <w:szCs w:val="19"/>
              </w:rPr>
            </w:pPr>
            <w:r>
              <w:rPr>
                <w:spacing w:val="5"/>
                <w:sz w:val="19"/>
                <w:szCs w:val="19"/>
              </w:rPr>
              <w:t>露天开采</w:t>
            </w:r>
          </w:p>
        </w:tc>
        <w:tc>
          <w:tcPr>
            <w:tcW w:w="1556" w:type="dxa"/>
            <w:vAlign w:val="top"/>
          </w:tcPr>
          <w:p w14:paraId="34F0524B">
            <w:pPr>
              <w:pStyle w:val="6"/>
              <w:spacing w:before="162" w:line="233" w:lineRule="auto"/>
              <w:ind w:left="521"/>
              <w:rPr>
                <w:sz w:val="19"/>
                <w:szCs w:val="19"/>
              </w:rPr>
            </w:pPr>
            <w:r>
              <w:rPr>
                <w:spacing w:val="-4"/>
                <w:sz w:val="19"/>
                <w:szCs w:val="19"/>
              </w:rPr>
              <w:t>已投放</w:t>
            </w:r>
          </w:p>
        </w:tc>
        <w:tc>
          <w:tcPr>
            <w:tcW w:w="1415" w:type="dxa"/>
            <w:tcBorders>
              <w:right w:val="single" w:color="000000" w:sz="10" w:space="0"/>
            </w:tcBorders>
            <w:vAlign w:val="top"/>
          </w:tcPr>
          <w:p w14:paraId="7775C6BA">
            <w:pPr>
              <w:pStyle w:val="6"/>
              <w:spacing w:before="162" w:line="231" w:lineRule="auto"/>
              <w:ind w:left="526"/>
              <w:rPr>
                <w:sz w:val="19"/>
                <w:szCs w:val="19"/>
              </w:rPr>
            </w:pPr>
            <w:r>
              <w:rPr>
                <w:spacing w:val="-1"/>
                <w:sz w:val="19"/>
                <w:szCs w:val="19"/>
              </w:rPr>
              <w:t>关闭</w:t>
            </w:r>
          </w:p>
        </w:tc>
      </w:tr>
      <w:tr w14:paraId="7844B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909" w:type="dxa"/>
            <w:tcBorders>
              <w:left w:val="single" w:color="000000" w:sz="10" w:space="0"/>
            </w:tcBorders>
            <w:vAlign w:val="top"/>
          </w:tcPr>
          <w:p w14:paraId="22824BC7">
            <w:pPr>
              <w:spacing w:before="199" w:line="197" w:lineRule="auto"/>
              <w:ind w:left="154"/>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002</w:t>
            </w:r>
          </w:p>
        </w:tc>
        <w:tc>
          <w:tcPr>
            <w:tcW w:w="2783" w:type="dxa"/>
            <w:vAlign w:val="top"/>
          </w:tcPr>
          <w:p w14:paraId="7108A7D9">
            <w:pPr>
              <w:pStyle w:val="6"/>
              <w:spacing w:before="37" w:line="230" w:lineRule="auto"/>
              <w:ind w:left="194" w:right="196" w:firstLine="6"/>
              <w:rPr>
                <w:sz w:val="19"/>
                <w:szCs w:val="19"/>
              </w:rPr>
            </w:pPr>
            <w:r>
              <w:rPr>
                <w:spacing w:val="8"/>
                <w:sz w:val="19"/>
                <w:szCs w:val="19"/>
              </w:rPr>
              <w:t>重庆市黔江区阿蓬江镇石合</w:t>
            </w:r>
            <w:r>
              <w:rPr>
                <w:spacing w:val="3"/>
                <w:sz w:val="19"/>
                <w:szCs w:val="19"/>
              </w:rPr>
              <w:t xml:space="preserve"> </w:t>
            </w:r>
            <w:r>
              <w:rPr>
                <w:spacing w:val="8"/>
                <w:sz w:val="19"/>
                <w:szCs w:val="19"/>
              </w:rPr>
              <w:t>村狮子口建筑石料用灰岩矿</w:t>
            </w:r>
          </w:p>
        </w:tc>
        <w:tc>
          <w:tcPr>
            <w:tcW w:w="1195" w:type="dxa"/>
            <w:vAlign w:val="top"/>
          </w:tcPr>
          <w:p w14:paraId="222ADA60">
            <w:pPr>
              <w:pStyle w:val="6"/>
              <w:spacing w:before="37" w:line="230" w:lineRule="auto"/>
              <w:ind w:left="306" w:right="195" w:hanging="98"/>
              <w:rPr>
                <w:sz w:val="19"/>
                <w:szCs w:val="19"/>
              </w:rPr>
            </w:pPr>
            <w:r>
              <w:rPr>
                <w:spacing w:val="6"/>
                <w:sz w:val="19"/>
                <w:szCs w:val="19"/>
              </w:rPr>
              <w:t>建筑石料</w:t>
            </w:r>
            <w:r>
              <w:rPr>
                <w:sz w:val="19"/>
                <w:szCs w:val="19"/>
              </w:rPr>
              <w:t xml:space="preserve"> </w:t>
            </w:r>
            <w:r>
              <w:rPr>
                <w:spacing w:val="5"/>
                <w:sz w:val="19"/>
                <w:szCs w:val="19"/>
              </w:rPr>
              <w:t>用灰岩</w:t>
            </w:r>
          </w:p>
        </w:tc>
        <w:tc>
          <w:tcPr>
            <w:tcW w:w="1201" w:type="dxa"/>
            <w:vAlign w:val="top"/>
          </w:tcPr>
          <w:p w14:paraId="19357A86">
            <w:pPr>
              <w:pStyle w:val="6"/>
              <w:spacing w:before="37" w:line="230" w:lineRule="auto"/>
              <w:ind w:left="413"/>
              <w:rPr>
                <w:sz w:val="19"/>
                <w:szCs w:val="19"/>
              </w:rPr>
            </w:pPr>
            <w:r>
              <w:rPr>
                <w:spacing w:val="2"/>
                <w:sz w:val="19"/>
                <w:szCs w:val="19"/>
              </w:rPr>
              <w:t>保留</w:t>
            </w:r>
          </w:p>
          <w:p w14:paraId="2D6825B4">
            <w:pPr>
              <w:pStyle w:val="6"/>
              <w:spacing w:before="22" w:line="208" w:lineRule="auto"/>
              <w:ind w:left="218"/>
              <w:rPr>
                <w:sz w:val="19"/>
                <w:szCs w:val="19"/>
              </w:rPr>
            </w:pPr>
            <w:r>
              <w:rPr>
                <w:spacing w:val="5"/>
                <w:sz w:val="19"/>
                <w:szCs w:val="19"/>
              </w:rPr>
              <w:t>露天开采</w:t>
            </w:r>
          </w:p>
        </w:tc>
        <w:tc>
          <w:tcPr>
            <w:tcW w:w="1556" w:type="dxa"/>
            <w:vAlign w:val="top"/>
          </w:tcPr>
          <w:p w14:paraId="0980FEB4">
            <w:pPr>
              <w:pStyle w:val="6"/>
              <w:spacing w:before="164" w:line="233" w:lineRule="auto"/>
              <w:ind w:left="521"/>
              <w:rPr>
                <w:sz w:val="19"/>
                <w:szCs w:val="19"/>
              </w:rPr>
            </w:pPr>
            <w:r>
              <w:rPr>
                <w:spacing w:val="-4"/>
                <w:sz w:val="19"/>
                <w:szCs w:val="19"/>
              </w:rPr>
              <w:t>已投放</w:t>
            </w:r>
          </w:p>
        </w:tc>
        <w:tc>
          <w:tcPr>
            <w:tcW w:w="1415" w:type="dxa"/>
            <w:tcBorders>
              <w:right w:val="single" w:color="000000" w:sz="10" w:space="0"/>
            </w:tcBorders>
            <w:vAlign w:val="top"/>
          </w:tcPr>
          <w:p w14:paraId="6FDDA6CA">
            <w:pPr>
              <w:pStyle w:val="6"/>
              <w:spacing w:before="165" w:line="231" w:lineRule="auto"/>
              <w:ind w:left="324"/>
              <w:rPr>
                <w:sz w:val="19"/>
                <w:szCs w:val="19"/>
              </w:rPr>
            </w:pPr>
            <w:r>
              <w:rPr>
                <w:spacing w:val="5"/>
                <w:sz w:val="19"/>
                <w:szCs w:val="19"/>
              </w:rPr>
              <w:t>正常开采</w:t>
            </w:r>
          </w:p>
        </w:tc>
      </w:tr>
      <w:tr w14:paraId="4C11EB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909" w:type="dxa"/>
            <w:tcBorders>
              <w:left w:val="single" w:color="000000" w:sz="10" w:space="0"/>
            </w:tcBorders>
            <w:vAlign w:val="top"/>
          </w:tcPr>
          <w:p w14:paraId="2E60F23F">
            <w:pPr>
              <w:spacing w:before="203" w:line="197" w:lineRule="auto"/>
              <w:ind w:left="154"/>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003</w:t>
            </w:r>
          </w:p>
        </w:tc>
        <w:tc>
          <w:tcPr>
            <w:tcW w:w="2783" w:type="dxa"/>
            <w:vAlign w:val="top"/>
          </w:tcPr>
          <w:p w14:paraId="4E27CACB">
            <w:pPr>
              <w:pStyle w:val="6"/>
              <w:spacing w:before="39" w:line="229" w:lineRule="auto"/>
              <w:ind w:left="696" w:right="196" w:hanging="495"/>
              <w:rPr>
                <w:sz w:val="19"/>
                <w:szCs w:val="19"/>
              </w:rPr>
            </w:pPr>
            <w:r>
              <w:rPr>
                <w:spacing w:val="8"/>
                <w:sz w:val="19"/>
                <w:szCs w:val="19"/>
              </w:rPr>
              <w:t>重庆市黔江区水田乡大堡建</w:t>
            </w:r>
            <w:r>
              <w:rPr>
                <w:spacing w:val="3"/>
                <w:sz w:val="19"/>
                <w:szCs w:val="19"/>
              </w:rPr>
              <w:t xml:space="preserve"> </w:t>
            </w:r>
            <w:r>
              <w:rPr>
                <w:spacing w:val="7"/>
                <w:sz w:val="19"/>
                <w:szCs w:val="19"/>
              </w:rPr>
              <w:t>筑石料用灰岩矿</w:t>
            </w:r>
          </w:p>
        </w:tc>
        <w:tc>
          <w:tcPr>
            <w:tcW w:w="1195" w:type="dxa"/>
            <w:vAlign w:val="top"/>
          </w:tcPr>
          <w:p w14:paraId="5BBF2CF1">
            <w:pPr>
              <w:pStyle w:val="6"/>
              <w:spacing w:before="39" w:line="229" w:lineRule="auto"/>
              <w:ind w:left="306" w:right="195" w:hanging="98"/>
              <w:rPr>
                <w:sz w:val="19"/>
                <w:szCs w:val="19"/>
              </w:rPr>
            </w:pPr>
            <w:r>
              <w:rPr>
                <w:spacing w:val="6"/>
                <w:sz w:val="19"/>
                <w:szCs w:val="19"/>
              </w:rPr>
              <w:t>建筑石料</w:t>
            </w:r>
            <w:r>
              <w:rPr>
                <w:sz w:val="19"/>
                <w:szCs w:val="19"/>
              </w:rPr>
              <w:t xml:space="preserve"> </w:t>
            </w:r>
            <w:r>
              <w:rPr>
                <w:spacing w:val="5"/>
                <w:sz w:val="19"/>
                <w:szCs w:val="19"/>
              </w:rPr>
              <w:t>用灰岩</w:t>
            </w:r>
          </w:p>
        </w:tc>
        <w:tc>
          <w:tcPr>
            <w:tcW w:w="1201" w:type="dxa"/>
            <w:vAlign w:val="top"/>
          </w:tcPr>
          <w:p w14:paraId="001F3C49">
            <w:pPr>
              <w:pStyle w:val="6"/>
              <w:spacing w:before="39" w:line="230" w:lineRule="auto"/>
              <w:ind w:left="413"/>
              <w:rPr>
                <w:sz w:val="19"/>
                <w:szCs w:val="19"/>
              </w:rPr>
            </w:pPr>
            <w:r>
              <w:rPr>
                <w:spacing w:val="2"/>
                <w:sz w:val="19"/>
                <w:szCs w:val="19"/>
              </w:rPr>
              <w:t>保留</w:t>
            </w:r>
          </w:p>
          <w:p w14:paraId="35CF5B8E">
            <w:pPr>
              <w:pStyle w:val="6"/>
              <w:spacing w:before="22" w:line="206" w:lineRule="auto"/>
              <w:ind w:left="218"/>
              <w:rPr>
                <w:sz w:val="19"/>
                <w:szCs w:val="19"/>
              </w:rPr>
            </w:pPr>
            <w:r>
              <w:rPr>
                <w:spacing w:val="5"/>
                <w:sz w:val="19"/>
                <w:szCs w:val="19"/>
              </w:rPr>
              <w:t>露天开采</w:t>
            </w:r>
          </w:p>
        </w:tc>
        <w:tc>
          <w:tcPr>
            <w:tcW w:w="1556" w:type="dxa"/>
            <w:vAlign w:val="top"/>
          </w:tcPr>
          <w:p w14:paraId="31DE74A6">
            <w:pPr>
              <w:pStyle w:val="6"/>
              <w:spacing w:before="169" w:line="233" w:lineRule="auto"/>
              <w:ind w:left="521"/>
              <w:rPr>
                <w:sz w:val="19"/>
                <w:szCs w:val="19"/>
              </w:rPr>
            </w:pPr>
            <w:r>
              <w:rPr>
                <w:spacing w:val="-4"/>
                <w:sz w:val="19"/>
                <w:szCs w:val="19"/>
              </w:rPr>
              <w:t>已投放</w:t>
            </w:r>
          </w:p>
        </w:tc>
        <w:tc>
          <w:tcPr>
            <w:tcW w:w="1415" w:type="dxa"/>
            <w:tcBorders>
              <w:right w:val="single" w:color="000000" w:sz="10" w:space="0"/>
            </w:tcBorders>
            <w:vAlign w:val="top"/>
          </w:tcPr>
          <w:p w14:paraId="45A334B5">
            <w:pPr>
              <w:pStyle w:val="6"/>
              <w:spacing w:before="169" w:line="231" w:lineRule="auto"/>
              <w:ind w:left="324"/>
              <w:rPr>
                <w:sz w:val="19"/>
                <w:szCs w:val="19"/>
              </w:rPr>
            </w:pPr>
            <w:r>
              <w:rPr>
                <w:spacing w:val="5"/>
                <w:sz w:val="19"/>
                <w:szCs w:val="19"/>
              </w:rPr>
              <w:t>正常开采</w:t>
            </w:r>
          </w:p>
        </w:tc>
      </w:tr>
      <w:tr w14:paraId="1810A7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909" w:type="dxa"/>
            <w:tcBorders>
              <w:left w:val="single" w:color="000000" w:sz="10" w:space="0"/>
            </w:tcBorders>
            <w:vAlign w:val="top"/>
          </w:tcPr>
          <w:p w14:paraId="77654E82">
            <w:pPr>
              <w:spacing w:before="205" w:line="197" w:lineRule="auto"/>
              <w:ind w:left="154"/>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004</w:t>
            </w:r>
          </w:p>
        </w:tc>
        <w:tc>
          <w:tcPr>
            <w:tcW w:w="2783" w:type="dxa"/>
            <w:vAlign w:val="top"/>
          </w:tcPr>
          <w:p w14:paraId="5E40729F">
            <w:pPr>
              <w:pStyle w:val="6"/>
              <w:spacing w:before="41" w:line="228" w:lineRule="auto"/>
              <w:ind w:left="595" w:right="196" w:hanging="394"/>
              <w:rPr>
                <w:sz w:val="19"/>
                <w:szCs w:val="19"/>
              </w:rPr>
            </w:pPr>
            <w:r>
              <w:rPr>
                <w:spacing w:val="8"/>
                <w:sz w:val="19"/>
                <w:szCs w:val="19"/>
              </w:rPr>
              <w:t>重庆市黔江区石家镇火石垭</w:t>
            </w:r>
            <w:r>
              <w:rPr>
                <w:spacing w:val="3"/>
                <w:sz w:val="19"/>
                <w:szCs w:val="19"/>
              </w:rPr>
              <w:t xml:space="preserve"> </w:t>
            </w:r>
            <w:r>
              <w:rPr>
                <w:spacing w:val="8"/>
                <w:sz w:val="19"/>
                <w:szCs w:val="19"/>
              </w:rPr>
              <w:t>建筑石料用灰岩矿</w:t>
            </w:r>
          </w:p>
        </w:tc>
        <w:tc>
          <w:tcPr>
            <w:tcW w:w="1195" w:type="dxa"/>
            <w:vAlign w:val="top"/>
          </w:tcPr>
          <w:p w14:paraId="49A1CAC5">
            <w:pPr>
              <w:pStyle w:val="6"/>
              <w:spacing w:before="41" w:line="228" w:lineRule="auto"/>
              <w:ind w:left="306" w:right="195" w:hanging="98"/>
              <w:rPr>
                <w:sz w:val="19"/>
                <w:szCs w:val="19"/>
              </w:rPr>
            </w:pPr>
            <w:r>
              <w:rPr>
                <w:spacing w:val="6"/>
                <w:sz w:val="19"/>
                <w:szCs w:val="19"/>
              </w:rPr>
              <w:t>建筑石料</w:t>
            </w:r>
            <w:r>
              <w:rPr>
                <w:sz w:val="19"/>
                <w:szCs w:val="19"/>
              </w:rPr>
              <w:t xml:space="preserve"> </w:t>
            </w:r>
            <w:r>
              <w:rPr>
                <w:spacing w:val="5"/>
                <w:sz w:val="19"/>
                <w:szCs w:val="19"/>
              </w:rPr>
              <w:t>用灰岩</w:t>
            </w:r>
          </w:p>
        </w:tc>
        <w:tc>
          <w:tcPr>
            <w:tcW w:w="1201" w:type="dxa"/>
            <w:vAlign w:val="top"/>
          </w:tcPr>
          <w:p w14:paraId="0173FA3B">
            <w:pPr>
              <w:pStyle w:val="6"/>
              <w:spacing w:before="41" w:line="230" w:lineRule="auto"/>
              <w:ind w:left="413"/>
              <w:rPr>
                <w:sz w:val="19"/>
                <w:szCs w:val="19"/>
              </w:rPr>
            </w:pPr>
            <w:r>
              <w:rPr>
                <w:spacing w:val="2"/>
                <w:sz w:val="19"/>
                <w:szCs w:val="19"/>
              </w:rPr>
              <w:t>保留</w:t>
            </w:r>
          </w:p>
          <w:p w14:paraId="45086C68">
            <w:pPr>
              <w:pStyle w:val="6"/>
              <w:spacing w:before="22" w:line="204" w:lineRule="auto"/>
              <w:ind w:left="214"/>
              <w:rPr>
                <w:sz w:val="19"/>
                <w:szCs w:val="19"/>
              </w:rPr>
            </w:pPr>
            <w:r>
              <w:rPr>
                <w:spacing w:val="6"/>
                <w:sz w:val="19"/>
                <w:szCs w:val="19"/>
              </w:rPr>
              <w:t>地下开采</w:t>
            </w:r>
          </w:p>
        </w:tc>
        <w:tc>
          <w:tcPr>
            <w:tcW w:w="1556" w:type="dxa"/>
            <w:vAlign w:val="top"/>
          </w:tcPr>
          <w:p w14:paraId="1DAF2D33">
            <w:pPr>
              <w:pStyle w:val="6"/>
              <w:spacing w:before="171" w:line="233" w:lineRule="auto"/>
              <w:ind w:left="521"/>
              <w:rPr>
                <w:sz w:val="19"/>
                <w:szCs w:val="19"/>
              </w:rPr>
            </w:pPr>
            <w:r>
              <w:rPr>
                <w:spacing w:val="-4"/>
                <w:sz w:val="19"/>
                <w:szCs w:val="19"/>
              </w:rPr>
              <w:t>已投放</w:t>
            </w:r>
          </w:p>
        </w:tc>
        <w:tc>
          <w:tcPr>
            <w:tcW w:w="1415" w:type="dxa"/>
            <w:tcBorders>
              <w:right w:val="single" w:color="000000" w:sz="10" w:space="0"/>
            </w:tcBorders>
            <w:vAlign w:val="top"/>
          </w:tcPr>
          <w:p w14:paraId="7627A6A3">
            <w:pPr>
              <w:pStyle w:val="6"/>
              <w:spacing w:before="170" w:line="231" w:lineRule="auto"/>
              <w:ind w:left="526"/>
              <w:rPr>
                <w:sz w:val="19"/>
                <w:szCs w:val="19"/>
              </w:rPr>
            </w:pPr>
            <w:r>
              <w:rPr>
                <w:spacing w:val="-1"/>
                <w:sz w:val="19"/>
                <w:szCs w:val="19"/>
              </w:rPr>
              <w:t>关闭</w:t>
            </w:r>
          </w:p>
        </w:tc>
      </w:tr>
      <w:tr w14:paraId="2E8670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909" w:type="dxa"/>
            <w:tcBorders>
              <w:left w:val="single" w:color="000000" w:sz="10" w:space="0"/>
            </w:tcBorders>
            <w:vAlign w:val="top"/>
          </w:tcPr>
          <w:p w14:paraId="44CAE322">
            <w:pPr>
              <w:spacing w:before="210" w:line="197" w:lineRule="auto"/>
              <w:ind w:left="154"/>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005</w:t>
            </w:r>
          </w:p>
        </w:tc>
        <w:tc>
          <w:tcPr>
            <w:tcW w:w="2783" w:type="dxa"/>
            <w:vAlign w:val="top"/>
          </w:tcPr>
          <w:p w14:paraId="5B305CA0">
            <w:pPr>
              <w:pStyle w:val="6"/>
              <w:spacing w:before="45" w:line="226" w:lineRule="auto"/>
              <w:ind w:left="595" w:right="196" w:hanging="394"/>
              <w:rPr>
                <w:sz w:val="19"/>
                <w:szCs w:val="19"/>
              </w:rPr>
            </w:pPr>
            <w:r>
              <w:rPr>
                <w:spacing w:val="8"/>
                <w:sz w:val="19"/>
                <w:szCs w:val="19"/>
              </w:rPr>
              <w:t>重庆市黔江区水市乡水市村</w:t>
            </w:r>
            <w:r>
              <w:rPr>
                <w:spacing w:val="3"/>
                <w:sz w:val="19"/>
                <w:szCs w:val="19"/>
              </w:rPr>
              <w:t xml:space="preserve"> </w:t>
            </w:r>
            <w:r>
              <w:rPr>
                <w:spacing w:val="8"/>
                <w:sz w:val="19"/>
                <w:szCs w:val="19"/>
              </w:rPr>
              <w:t>建筑石料用灰岩矿</w:t>
            </w:r>
          </w:p>
        </w:tc>
        <w:tc>
          <w:tcPr>
            <w:tcW w:w="1195" w:type="dxa"/>
            <w:vAlign w:val="top"/>
          </w:tcPr>
          <w:p w14:paraId="15268B92">
            <w:pPr>
              <w:pStyle w:val="6"/>
              <w:spacing w:before="45" w:line="226" w:lineRule="auto"/>
              <w:ind w:left="306" w:right="195" w:hanging="98"/>
              <w:rPr>
                <w:sz w:val="19"/>
                <w:szCs w:val="19"/>
              </w:rPr>
            </w:pPr>
            <w:r>
              <w:rPr>
                <w:spacing w:val="6"/>
                <w:sz w:val="19"/>
                <w:szCs w:val="19"/>
              </w:rPr>
              <w:t>建筑石料</w:t>
            </w:r>
            <w:r>
              <w:rPr>
                <w:sz w:val="19"/>
                <w:szCs w:val="19"/>
              </w:rPr>
              <w:t xml:space="preserve"> </w:t>
            </w:r>
            <w:r>
              <w:rPr>
                <w:spacing w:val="5"/>
                <w:sz w:val="19"/>
                <w:szCs w:val="19"/>
              </w:rPr>
              <w:t>用灰岩</w:t>
            </w:r>
          </w:p>
        </w:tc>
        <w:tc>
          <w:tcPr>
            <w:tcW w:w="1201" w:type="dxa"/>
            <w:vAlign w:val="top"/>
          </w:tcPr>
          <w:p w14:paraId="6107DF02">
            <w:pPr>
              <w:pStyle w:val="6"/>
              <w:spacing w:before="46" w:line="230" w:lineRule="auto"/>
              <w:ind w:left="413"/>
              <w:rPr>
                <w:sz w:val="19"/>
                <w:szCs w:val="19"/>
              </w:rPr>
            </w:pPr>
            <w:r>
              <w:rPr>
                <w:spacing w:val="2"/>
                <w:sz w:val="19"/>
                <w:szCs w:val="19"/>
              </w:rPr>
              <w:t>保留</w:t>
            </w:r>
          </w:p>
          <w:p w14:paraId="0F6CDF87">
            <w:pPr>
              <w:pStyle w:val="6"/>
              <w:spacing w:before="22" w:line="200" w:lineRule="auto"/>
              <w:ind w:left="218"/>
              <w:rPr>
                <w:sz w:val="19"/>
                <w:szCs w:val="19"/>
              </w:rPr>
            </w:pPr>
            <w:r>
              <w:rPr>
                <w:spacing w:val="5"/>
                <w:sz w:val="19"/>
                <w:szCs w:val="19"/>
              </w:rPr>
              <w:t>露天开采</w:t>
            </w:r>
          </w:p>
        </w:tc>
        <w:tc>
          <w:tcPr>
            <w:tcW w:w="1556" w:type="dxa"/>
            <w:vAlign w:val="top"/>
          </w:tcPr>
          <w:p w14:paraId="1C3262B6">
            <w:pPr>
              <w:pStyle w:val="6"/>
              <w:spacing w:before="175" w:line="233" w:lineRule="auto"/>
              <w:ind w:left="521"/>
              <w:rPr>
                <w:sz w:val="19"/>
                <w:szCs w:val="19"/>
              </w:rPr>
            </w:pPr>
            <w:r>
              <w:rPr>
                <w:spacing w:val="-4"/>
                <w:sz w:val="19"/>
                <w:szCs w:val="19"/>
              </w:rPr>
              <w:t>已投放</w:t>
            </w:r>
          </w:p>
        </w:tc>
        <w:tc>
          <w:tcPr>
            <w:tcW w:w="1415" w:type="dxa"/>
            <w:tcBorders>
              <w:right w:val="single" w:color="000000" w:sz="10" w:space="0"/>
            </w:tcBorders>
            <w:vAlign w:val="top"/>
          </w:tcPr>
          <w:p w14:paraId="4E9DEBA5">
            <w:pPr>
              <w:pStyle w:val="6"/>
              <w:spacing w:before="176" w:line="231" w:lineRule="auto"/>
              <w:ind w:left="324"/>
              <w:rPr>
                <w:sz w:val="19"/>
                <w:szCs w:val="19"/>
              </w:rPr>
            </w:pPr>
            <w:r>
              <w:rPr>
                <w:spacing w:val="5"/>
                <w:sz w:val="19"/>
                <w:szCs w:val="19"/>
              </w:rPr>
              <w:t>正常开采</w:t>
            </w:r>
          </w:p>
        </w:tc>
      </w:tr>
      <w:tr w14:paraId="250243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909" w:type="dxa"/>
            <w:tcBorders>
              <w:left w:val="single" w:color="000000" w:sz="10" w:space="0"/>
            </w:tcBorders>
            <w:vAlign w:val="top"/>
          </w:tcPr>
          <w:p w14:paraId="1C0CF334">
            <w:pPr>
              <w:spacing w:before="212" w:line="197" w:lineRule="auto"/>
              <w:ind w:left="154"/>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006</w:t>
            </w:r>
          </w:p>
        </w:tc>
        <w:tc>
          <w:tcPr>
            <w:tcW w:w="2783" w:type="dxa"/>
            <w:vAlign w:val="top"/>
          </w:tcPr>
          <w:p w14:paraId="495C4B1D">
            <w:pPr>
              <w:pStyle w:val="6"/>
              <w:spacing w:before="47" w:line="225" w:lineRule="auto"/>
              <w:ind w:left="595" w:right="196" w:hanging="394"/>
              <w:rPr>
                <w:sz w:val="19"/>
                <w:szCs w:val="19"/>
              </w:rPr>
            </w:pPr>
            <w:r>
              <w:rPr>
                <w:spacing w:val="8"/>
                <w:sz w:val="19"/>
                <w:szCs w:val="19"/>
              </w:rPr>
              <w:t>重庆市黔江区蓬东乡棕树坪</w:t>
            </w:r>
            <w:r>
              <w:rPr>
                <w:spacing w:val="3"/>
                <w:sz w:val="19"/>
                <w:szCs w:val="19"/>
              </w:rPr>
              <w:t xml:space="preserve"> </w:t>
            </w:r>
            <w:r>
              <w:rPr>
                <w:spacing w:val="8"/>
                <w:sz w:val="19"/>
                <w:szCs w:val="19"/>
              </w:rPr>
              <w:t>建筑石料用灰岩矿</w:t>
            </w:r>
          </w:p>
        </w:tc>
        <w:tc>
          <w:tcPr>
            <w:tcW w:w="1195" w:type="dxa"/>
            <w:vAlign w:val="top"/>
          </w:tcPr>
          <w:p w14:paraId="0F1ADEAC">
            <w:pPr>
              <w:pStyle w:val="6"/>
              <w:spacing w:before="47" w:line="225" w:lineRule="auto"/>
              <w:ind w:left="306" w:right="195" w:hanging="98"/>
              <w:rPr>
                <w:sz w:val="19"/>
                <w:szCs w:val="19"/>
              </w:rPr>
            </w:pPr>
            <w:r>
              <w:rPr>
                <w:spacing w:val="6"/>
                <w:sz w:val="19"/>
                <w:szCs w:val="19"/>
              </w:rPr>
              <w:t>建筑石料</w:t>
            </w:r>
            <w:r>
              <w:rPr>
                <w:sz w:val="19"/>
                <w:szCs w:val="19"/>
              </w:rPr>
              <w:t xml:space="preserve"> </w:t>
            </w:r>
            <w:r>
              <w:rPr>
                <w:spacing w:val="5"/>
                <w:sz w:val="19"/>
                <w:szCs w:val="19"/>
              </w:rPr>
              <w:t>用灰岩</w:t>
            </w:r>
          </w:p>
        </w:tc>
        <w:tc>
          <w:tcPr>
            <w:tcW w:w="1201" w:type="dxa"/>
            <w:vAlign w:val="top"/>
          </w:tcPr>
          <w:p w14:paraId="5ED5DDD3">
            <w:pPr>
              <w:pStyle w:val="6"/>
              <w:spacing w:before="48" w:line="230" w:lineRule="auto"/>
              <w:ind w:left="413"/>
              <w:rPr>
                <w:sz w:val="19"/>
                <w:szCs w:val="19"/>
              </w:rPr>
            </w:pPr>
            <w:r>
              <w:rPr>
                <w:spacing w:val="2"/>
                <w:sz w:val="19"/>
                <w:szCs w:val="19"/>
              </w:rPr>
              <w:t>保留</w:t>
            </w:r>
          </w:p>
          <w:p w14:paraId="405099D1">
            <w:pPr>
              <w:pStyle w:val="6"/>
              <w:spacing w:before="22" w:line="198" w:lineRule="auto"/>
              <w:ind w:left="218"/>
              <w:rPr>
                <w:sz w:val="19"/>
                <w:szCs w:val="19"/>
              </w:rPr>
            </w:pPr>
            <w:r>
              <w:rPr>
                <w:spacing w:val="5"/>
                <w:sz w:val="19"/>
                <w:szCs w:val="19"/>
              </w:rPr>
              <w:t>露天开采</w:t>
            </w:r>
          </w:p>
        </w:tc>
        <w:tc>
          <w:tcPr>
            <w:tcW w:w="1556" w:type="dxa"/>
            <w:vAlign w:val="top"/>
          </w:tcPr>
          <w:p w14:paraId="118B4CBB">
            <w:pPr>
              <w:pStyle w:val="6"/>
              <w:spacing w:before="177" w:line="233" w:lineRule="auto"/>
              <w:ind w:left="521"/>
              <w:rPr>
                <w:sz w:val="19"/>
                <w:szCs w:val="19"/>
              </w:rPr>
            </w:pPr>
            <w:r>
              <w:rPr>
                <w:spacing w:val="-4"/>
                <w:sz w:val="19"/>
                <w:szCs w:val="19"/>
              </w:rPr>
              <w:t>已投放</w:t>
            </w:r>
          </w:p>
        </w:tc>
        <w:tc>
          <w:tcPr>
            <w:tcW w:w="1415" w:type="dxa"/>
            <w:tcBorders>
              <w:right w:val="single" w:color="000000" w:sz="10" w:space="0"/>
            </w:tcBorders>
            <w:vAlign w:val="top"/>
          </w:tcPr>
          <w:p w14:paraId="47D4CC2B">
            <w:pPr>
              <w:pStyle w:val="6"/>
              <w:spacing w:before="178" w:line="231" w:lineRule="auto"/>
              <w:ind w:left="324"/>
              <w:rPr>
                <w:sz w:val="19"/>
                <w:szCs w:val="19"/>
              </w:rPr>
            </w:pPr>
            <w:r>
              <w:rPr>
                <w:spacing w:val="5"/>
                <w:sz w:val="19"/>
                <w:szCs w:val="19"/>
              </w:rPr>
              <w:t>正常开采</w:t>
            </w:r>
          </w:p>
        </w:tc>
      </w:tr>
      <w:tr w14:paraId="59E771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909" w:type="dxa"/>
            <w:tcBorders>
              <w:left w:val="single" w:color="000000" w:sz="10" w:space="0"/>
            </w:tcBorders>
            <w:vAlign w:val="top"/>
          </w:tcPr>
          <w:p w14:paraId="52E85A1A">
            <w:pPr>
              <w:spacing w:before="214" w:line="197" w:lineRule="auto"/>
              <w:ind w:left="154"/>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007</w:t>
            </w:r>
          </w:p>
        </w:tc>
        <w:tc>
          <w:tcPr>
            <w:tcW w:w="2783" w:type="dxa"/>
            <w:vAlign w:val="top"/>
          </w:tcPr>
          <w:p w14:paraId="11AF4895">
            <w:pPr>
              <w:pStyle w:val="6"/>
              <w:spacing w:before="49" w:line="224" w:lineRule="auto"/>
              <w:ind w:left="419" w:right="196" w:hanging="218"/>
              <w:rPr>
                <w:sz w:val="19"/>
                <w:szCs w:val="19"/>
              </w:rPr>
            </w:pPr>
            <w:r>
              <w:rPr>
                <w:spacing w:val="8"/>
                <w:sz w:val="19"/>
                <w:szCs w:val="19"/>
              </w:rPr>
              <w:t>重庆市黔江区中塘镇兴权村</w:t>
            </w:r>
            <w:r>
              <w:rPr>
                <w:spacing w:val="3"/>
                <w:sz w:val="19"/>
                <w:szCs w:val="19"/>
              </w:rPr>
              <w:t xml:space="preserve"> </w:t>
            </w:r>
            <w:r>
              <w:rPr>
                <w:spacing w:val="6"/>
                <w:sz w:val="19"/>
                <w:szCs w:val="19"/>
              </w:rPr>
              <w:t>中波建筑石料用灰岩矿</w:t>
            </w:r>
          </w:p>
        </w:tc>
        <w:tc>
          <w:tcPr>
            <w:tcW w:w="1195" w:type="dxa"/>
            <w:vAlign w:val="top"/>
          </w:tcPr>
          <w:p w14:paraId="22D1D7FC">
            <w:pPr>
              <w:pStyle w:val="6"/>
              <w:spacing w:before="49" w:line="224" w:lineRule="auto"/>
              <w:ind w:left="306" w:right="195" w:hanging="98"/>
              <w:rPr>
                <w:sz w:val="19"/>
                <w:szCs w:val="19"/>
              </w:rPr>
            </w:pPr>
            <w:r>
              <w:rPr>
                <w:spacing w:val="6"/>
                <w:sz w:val="19"/>
                <w:szCs w:val="19"/>
              </w:rPr>
              <w:t>建筑石料</w:t>
            </w:r>
            <w:r>
              <w:rPr>
                <w:sz w:val="19"/>
                <w:szCs w:val="19"/>
              </w:rPr>
              <w:t xml:space="preserve"> </w:t>
            </w:r>
            <w:r>
              <w:rPr>
                <w:spacing w:val="5"/>
                <w:sz w:val="19"/>
                <w:szCs w:val="19"/>
              </w:rPr>
              <w:t>用灰岩</w:t>
            </w:r>
          </w:p>
        </w:tc>
        <w:tc>
          <w:tcPr>
            <w:tcW w:w="1201" w:type="dxa"/>
            <w:vAlign w:val="top"/>
          </w:tcPr>
          <w:p w14:paraId="040460E3">
            <w:pPr>
              <w:pStyle w:val="6"/>
              <w:spacing w:before="50" w:line="230" w:lineRule="auto"/>
              <w:ind w:left="413"/>
              <w:rPr>
                <w:sz w:val="19"/>
                <w:szCs w:val="19"/>
              </w:rPr>
            </w:pPr>
            <w:r>
              <w:rPr>
                <w:spacing w:val="2"/>
                <w:sz w:val="19"/>
                <w:szCs w:val="19"/>
              </w:rPr>
              <w:t>保留</w:t>
            </w:r>
          </w:p>
          <w:p w14:paraId="4DA6CC8E">
            <w:pPr>
              <w:pStyle w:val="6"/>
              <w:spacing w:before="22" w:line="196" w:lineRule="auto"/>
              <w:ind w:left="218"/>
              <w:rPr>
                <w:sz w:val="19"/>
                <w:szCs w:val="19"/>
              </w:rPr>
            </w:pPr>
            <w:r>
              <w:rPr>
                <w:spacing w:val="5"/>
                <w:sz w:val="19"/>
                <w:szCs w:val="19"/>
              </w:rPr>
              <w:t>露天开采</w:t>
            </w:r>
          </w:p>
        </w:tc>
        <w:tc>
          <w:tcPr>
            <w:tcW w:w="1556" w:type="dxa"/>
            <w:vAlign w:val="top"/>
          </w:tcPr>
          <w:p w14:paraId="7EED429C">
            <w:pPr>
              <w:pStyle w:val="6"/>
              <w:spacing w:before="179" w:line="233" w:lineRule="auto"/>
              <w:ind w:left="521"/>
              <w:rPr>
                <w:sz w:val="19"/>
                <w:szCs w:val="19"/>
              </w:rPr>
            </w:pPr>
            <w:r>
              <w:rPr>
                <w:spacing w:val="-4"/>
                <w:sz w:val="19"/>
                <w:szCs w:val="19"/>
              </w:rPr>
              <w:t>已投放</w:t>
            </w:r>
          </w:p>
        </w:tc>
        <w:tc>
          <w:tcPr>
            <w:tcW w:w="1415" w:type="dxa"/>
            <w:tcBorders>
              <w:right w:val="single" w:color="000000" w:sz="10" w:space="0"/>
            </w:tcBorders>
            <w:vAlign w:val="top"/>
          </w:tcPr>
          <w:p w14:paraId="6F236D5E">
            <w:pPr>
              <w:pStyle w:val="6"/>
              <w:spacing w:before="179" w:line="231" w:lineRule="auto"/>
              <w:ind w:left="526"/>
              <w:rPr>
                <w:sz w:val="19"/>
                <w:szCs w:val="19"/>
              </w:rPr>
            </w:pPr>
            <w:r>
              <w:rPr>
                <w:spacing w:val="-1"/>
                <w:sz w:val="19"/>
                <w:szCs w:val="19"/>
              </w:rPr>
              <w:t>关闭</w:t>
            </w:r>
          </w:p>
        </w:tc>
      </w:tr>
      <w:tr w14:paraId="250A12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909" w:type="dxa"/>
            <w:tcBorders>
              <w:left w:val="single" w:color="000000" w:sz="10" w:space="0"/>
              <w:bottom w:val="single" w:color="000000" w:sz="10" w:space="0"/>
            </w:tcBorders>
            <w:vAlign w:val="top"/>
          </w:tcPr>
          <w:p w14:paraId="07CF5056">
            <w:pPr>
              <w:spacing w:before="216" w:line="197" w:lineRule="auto"/>
              <w:ind w:left="154"/>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008</w:t>
            </w:r>
          </w:p>
        </w:tc>
        <w:tc>
          <w:tcPr>
            <w:tcW w:w="2783" w:type="dxa"/>
            <w:tcBorders>
              <w:bottom w:val="single" w:color="000000" w:sz="10" w:space="0"/>
            </w:tcBorders>
            <w:vAlign w:val="top"/>
          </w:tcPr>
          <w:p w14:paraId="02754C47">
            <w:pPr>
              <w:pStyle w:val="6"/>
              <w:spacing w:before="55" w:line="232" w:lineRule="auto"/>
              <w:ind w:left="696" w:right="196" w:hanging="495"/>
              <w:rPr>
                <w:sz w:val="19"/>
                <w:szCs w:val="19"/>
              </w:rPr>
            </w:pPr>
            <w:r>
              <w:rPr>
                <w:spacing w:val="8"/>
                <w:sz w:val="19"/>
                <w:szCs w:val="19"/>
              </w:rPr>
              <w:t>重庆市黔江区黑溪镇转堡建</w:t>
            </w:r>
            <w:r>
              <w:rPr>
                <w:spacing w:val="3"/>
                <w:sz w:val="19"/>
                <w:szCs w:val="19"/>
              </w:rPr>
              <w:t xml:space="preserve"> </w:t>
            </w:r>
            <w:r>
              <w:rPr>
                <w:spacing w:val="7"/>
                <w:sz w:val="19"/>
                <w:szCs w:val="19"/>
              </w:rPr>
              <w:t>筑石料用灰岩矿</w:t>
            </w:r>
          </w:p>
        </w:tc>
        <w:tc>
          <w:tcPr>
            <w:tcW w:w="1195" w:type="dxa"/>
            <w:tcBorders>
              <w:bottom w:val="single" w:color="000000" w:sz="10" w:space="0"/>
            </w:tcBorders>
            <w:vAlign w:val="top"/>
          </w:tcPr>
          <w:p w14:paraId="54B353C9">
            <w:pPr>
              <w:pStyle w:val="6"/>
              <w:spacing w:before="55" w:line="232" w:lineRule="auto"/>
              <w:ind w:left="306" w:right="195" w:hanging="98"/>
              <w:rPr>
                <w:sz w:val="19"/>
                <w:szCs w:val="19"/>
              </w:rPr>
            </w:pPr>
            <w:r>
              <w:rPr>
                <w:spacing w:val="6"/>
                <w:sz w:val="19"/>
                <w:szCs w:val="19"/>
              </w:rPr>
              <w:t>建筑石料</w:t>
            </w:r>
            <w:r>
              <w:rPr>
                <w:sz w:val="19"/>
                <w:szCs w:val="19"/>
              </w:rPr>
              <w:t xml:space="preserve"> </w:t>
            </w:r>
            <w:r>
              <w:rPr>
                <w:spacing w:val="5"/>
                <w:sz w:val="19"/>
                <w:szCs w:val="19"/>
              </w:rPr>
              <w:t>用灰岩</w:t>
            </w:r>
          </w:p>
        </w:tc>
        <w:tc>
          <w:tcPr>
            <w:tcW w:w="1201" w:type="dxa"/>
            <w:tcBorders>
              <w:bottom w:val="single" w:color="000000" w:sz="10" w:space="0"/>
            </w:tcBorders>
            <w:vAlign w:val="top"/>
          </w:tcPr>
          <w:p w14:paraId="746A6392">
            <w:pPr>
              <w:pStyle w:val="6"/>
              <w:spacing w:before="54" w:line="230" w:lineRule="auto"/>
              <w:ind w:left="413"/>
              <w:rPr>
                <w:sz w:val="19"/>
                <w:szCs w:val="19"/>
              </w:rPr>
            </w:pPr>
            <w:r>
              <w:rPr>
                <w:spacing w:val="2"/>
                <w:sz w:val="19"/>
                <w:szCs w:val="19"/>
              </w:rPr>
              <w:t>保留</w:t>
            </w:r>
          </w:p>
          <w:p w14:paraId="1273BA8D">
            <w:pPr>
              <w:pStyle w:val="6"/>
              <w:spacing w:before="22" w:line="213" w:lineRule="auto"/>
              <w:ind w:left="218"/>
              <w:rPr>
                <w:sz w:val="19"/>
                <w:szCs w:val="19"/>
              </w:rPr>
            </w:pPr>
            <w:r>
              <w:rPr>
                <w:spacing w:val="5"/>
                <w:sz w:val="19"/>
                <w:szCs w:val="19"/>
              </w:rPr>
              <w:t>露天开采</w:t>
            </w:r>
          </w:p>
        </w:tc>
        <w:tc>
          <w:tcPr>
            <w:tcW w:w="1556" w:type="dxa"/>
            <w:tcBorders>
              <w:bottom w:val="single" w:color="000000" w:sz="10" w:space="0"/>
            </w:tcBorders>
            <w:vAlign w:val="top"/>
          </w:tcPr>
          <w:p w14:paraId="05A05975">
            <w:pPr>
              <w:pStyle w:val="6"/>
              <w:spacing w:before="181" w:line="233" w:lineRule="auto"/>
              <w:ind w:left="521"/>
              <w:rPr>
                <w:sz w:val="19"/>
                <w:szCs w:val="19"/>
              </w:rPr>
            </w:pPr>
            <w:r>
              <w:rPr>
                <w:spacing w:val="-4"/>
                <w:sz w:val="19"/>
                <w:szCs w:val="19"/>
              </w:rPr>
              <w:t>已投放</w:t>
            </w:r>
          </w:p>
        </w:tc>
        <w:tc>
          <w:tcPr>
            <w:tcW w:w="1415" w:type="dxa"/>
            <w:tcBorders>
              <w:bottom w:val="single" w:color="000000" w:sz="10" w:space="0"/>
              <w:right w:val="single" w:color="000000" w:sz="10" w:space="0"/>
            </w:tcBorders>
            <w:vAlign w:val="top"/>
          </w:tcPr>
          <w:p w14:paraId="37CD19C3">
            <w:pPr>
              <w:pStyle w:val="6"/>
              <w:spacing w:before="182" w:line="231" w:lineRule="auto"/>
              <w:ind w:left="324"/>
              <w:rPr>
                <w:sz w:val="19"/>
                <w:szCs w:val="19"/>
              </w:rPr>
            </w:pPr>
            <w:r>
              <w:rPr>
                <w:spacing w:val="5"/>
                <w:sz w:val="19"/>
                <w:szCs w:val="19"/>
              </w:rPr>
              <w:t>正常开采</w:t>
            </w:r>
          </w:p>
        </w:tc>
      </w:tr>
    </w:tbl>
    <w:p w14:paraId="3DB9C2CA">
      <w:pPr>
        <w:pStyle w:val="2"/>
      </w:pPr>
    </w:p>
    <w:p w14:paraId="5FCAD644">
      <w:pPr>
        <w:sectPr>
          <w:headerReference r:id="rId129" w:type="default"/>
          <w:footerReference r:id="rId130" w:type="default"/>
          <w:pgSz w:w="11906" w:h="16839"/>
          <w:pgMar w:top="1116" w:right="1354" w:bottom="1480" w:left="1466" w:header="683" w:footer="1318" w:gutter="0"/>
          <w:cols w:space="720" w:num="1"/>
        </w:sectPr>
      </w:pPr>
    </w:p>
    <w:p w14:paraId="247BAD25">
      <w:pPr>
        <w:spacing w:before="82"/>
      </w:pPr>
    </w:p>
    <w:tbl>
      <w:tblPr>
        <w:tblStyle w:val="5"/>
        <w:tblW w:w="905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9"/>
        <w:gridCol w:w="2783"/>
        <w:gridCol w:w="1195"/>
        <w:gridCol w:w="1201"/>
        <w:gridCol w:w="1556"/>
        <w:gridCol w:w="1415"/>
      </w:tblGrid>
      <w:tr w14:paraId="184808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86" w:hRule="atLeast"/>
        </w:trPr>
        <w:tc>
          <w:tcPr>
            <w:tcW w:w="909" w:type="dxa"/>
            <w:tcBorders>
              <w:top w:val="single" w:color="000000" w:sz="10" w:space="0"/>
              <w:left w:val="single" w:color="000000" w:sz="10" w:space="0"/>
            </w:tcBorders>
            <w:vAlign w:val="top"/>
          </w:tcPr>
          <w:p w14:paraId="7F334AED">
            <w:pPr>
              <w:pStyle w:val="6"/>
              <w:spacing w:before="294" w:line="231" w:lineRule="auto"/>
              <w:ind w:left="249"/>
              <w:rPr>
                <w:sz w:val="19"/>
                <w:szCs w:val="19"/>
              </w:rPr>
            </w:pPr>
            <w:r>
              <w:rPr>
                <w:spacing w:val="2"/>
                <w:sz w:val="19"/>
                <w:szCs w:val="19"/>
              </w:rPr>
              <w:t>序号</w:t>
            </w:r>
          </w:p>
        </w:tc>
        <w:tc>
          <w:tcPr>
            <w:tcW w:w="2783" w:type="dxa"/>
            <w:tcBorders>
              <w:top w:val="single" w:color="000000" w:sz="10" w:space="0"/>
            </w:tcBorders>
            <w:vAlign w:val="top"/>
          </w:tcPr>
          <w:p w14:paraId="16F2F234">
            <w:pPr>
              <w:pStyle w:val="6"/>
              <w:spacing w:before="294" w:line="230" w:lineRule="auto"/>
              <w:ind w:left="1011"/>
              <w:rPr>
                <w:sz w:val="19"/>
                <w:szCs w:val="19"/>
              </w:rPr>
            </w:pPr>
            <w:r>
              <w:rPr>
                <w:spacing w:val="2"/>
                <w:sz w:val="19"/>
                <w:szCs w:val="19"/>
              </w:rPr>
              <w:t>区块名称</w:t>
            </w:r>
          </w:p>
        </w:tc>
        <w:tc>
          <w:tcPr>
            <w:tcW w:w="1195" w:type="dxa"/>
            <w:tcBorders>
              <w:top w:val="single" w:color="000000" w:sz="10" w:space="0"/>
            </w:tcBorders>
            <w:vAlign w:val="top"/>
          </w:tcPr>
          <w:p w14:paraId="301312FA">
            <w:pPr>
              <w:pStyle w:val="6"/>
              <w:spacing w:before="294" w:line="230" w:lineRule="auto"/>
              <w:ind w:left="208"/>
              <w:rPr>
                <w:sz w:val="19"/>
                <w:szCs w:val="19"/>
              </w:rPr>
            </w:pPr>
            <w:r>
              <w:rPr>
                <w:spacing w:val="6"/>
                <w:sz w:val="19"/>
                <w:szCs w:val="19"/>
              </w:rPr>
              <w:t>开采矿种</w:t>
            </w:r>
          </w:p>
        </w:tc>
        <w:tc>
          <w:tcPr>
            <w:tcW w:w="1201" w:type="dxa"/>
            <w:tcBorders>
              <w:top w:val="single" w:color="000000" w:sz="10" w:space="0"/>
            </w:tcBorders>
            <w:vAlign w:val="top"/>
          </w:tcPr>
          <w:p w14:paraId="69F65A2A">
            <w:pPr>
              <w:pStyle w:val="6"/>
              <w:spacing w:before="295" w:line="233" w:lineRule="auto"/>
              <w:ind w:left="414"/>
              <w:rPr>
                <w:sz w:val="19"/>
                <w:szCs w:val="19"/>
              </w:rPr>
            </w:pPr>
            <w:r>
              <w:rPr>
                <w:spacing w:val="1"/>
                <w:sz w:val="19"/>
                <w:szCs w:val="19"/>
              </w:rPr>
              <w:t>类型</w:t>
            </w:r>
          </w:p>
        </w:tc>
        <w:tc>
          <w:tcPr>
            <w:tcW w:w="1556" w:type="dxa"/>
            <w:tcBorders>
              <w:top w:val="single" w:color="000000" w:sz="10" w:space="0"/>
            </w:tcBorders>
            <w:vAlign w:val="top"/>
          </w:tcPr>
          <w:p w14:paraId="02FA1046">
            <w:pPr>
              <w:pStyle w:val="6"/>
              <w:spacing w:before="35" w:line="231" w:lineRule="auto"/>
              <w:ind w:left="195"/>
              <w:rPr>
                <w:sz w:val="19"/>
                <w:szCs w:val="19"/>
              </w:rPr>
            </w:pPr>
            <w:r>
              <w:rPr>
                <w:spacing w:val="7"/>
                <w:sz w:val="19"/>
                <w:szCs w:val="19"/>
              </w:rPr>
              <w:t>矿业权投放情</w:t>
            </w:r>
          </w:p>
          <w:p w14:paraId="2D25226C">
            <w:pPr>
              <w:pStyle w:val="6"/>
              <w:spacing w:before="20" w:line="234" w:lineRule="auto"/>
              <w:ind w:left="114" w:right="109" w:firstLine="81"/>
              <w:rPr>
                <w:sz w:val="19"/>
                <w:szCs w:val="19"/>
              </w:rPr>
            </w:pPr>
            <w:r>
              <w:rPr>
                <w:spacing w:val="7"/>
                <w:sz w:val="19"/>
                <w:szCs w:val="19"/>
              </w:rPr>
              <w:t>况（统计截止</w:t>
            </w:r>
            <w:r>
              <w:rPr>
                <w:spacing w:val="2"/>
                <w:sz w:val="19"/>
                <w:szCs w:val="19"/>
              </w:rPr>
              <w:t xml:space="preserve"> </w:t>
            </w:r>
            <w:r>
              <w:rPr>
                <w:rFonts w:ascii="Times New Roman" w:hAnsi="Times New Roman" w:eastAsia="Times New Roman" w:cs="Times New Roman"/>
                <w:spacing w:val="-4"/>
                <w:sz w:val="19"/>
                <w:szCs w:val="19"/>
              </w:rPr>
              <w:t>2024</w:t>
            </w:r>
            <w:r>
              <w:rPr>
                <w:rFonts w:ascii="Times New Roman" w:hAnsi="Times New Roman" w:eastAsia="Times New Roman" w:cs="Times New Roman"/>
                <w:spacing w:val="26"/>
                <w:sz w:val="19"/>
                <w:szCs w:val="19"/>
              </w:rPr>
              <w:t xml:space="preserve"> </w:t>
            </w:r>
            <w:r>
              <w:rPr>
                <w:spacing w:val="-4"/>
                <w:sz w:val="19"/>
                <w:szCs w:val="19"/>
              </w:rPr>
              <w:t>年</w:t>
            </w:r>
            <w:r>
              <w:rPr>
                <w:spacing w:val="-19"/>
                <w:sz w:val="19"/>
                <w:szCs w:val="19"/>
              </w:rPr>
              <w:t xml:space="preserve"> </w:t>
            </w:r>
            <w:r>
              <w:rPr>
                <w:rFonts w:ascii="Times New Roman" w:hAnsi="Times New Roman" w:eastAsia="Times New Roman" w:cs="Times New Roman"/>
                <w:spacing w:val="-4"/>
                <w:sz w:val="19"/>
                <w:szCs w:val="19"/>
              </w:rPr>
              <w:t>12</w:t>
            </w:r>
            <w:r>
              <w:rPr>
                <w:rFonts w:ascii="Times New Roman" w:hAnsi="Times New Roman" w:eastAsia="Times New Roman" w:cs="Times New Roman"/>
                <w:spacing w:val="24"/>
                <w:w w:val="101"/>
                <w:sz w:val="19"/>
                <w:szCs w:val="19"/>
              </w:rPr>
              <w:t xml:space="preserve"> </w:t>
            </w:r>
            <w:r>
              <w:rPr>
                <w:spacing w:val="-4"/>
                <w:sz w:val="19"/>
                <w:szCs w:val="19"/>
              </w:rPr>
              <w:t>月）</w:t>
            </w:r>
          </w:p>
        </w:tc>
        <w:tc>
          <w:tcPr>
            <w:tcW w:w="1415" w:type="dxa"/>
            <w:tcBorders>
              <w:top w:val="single" w:color="000000" w:sz="10" w:space="0"/>
              <w:right w:val="single" w:color="000000" w:sz="10" w:space="0"/>
            </w:tcBorders>
            <w:vAlign w:val="top"/>
          </w:tcPr>
          <w:p w14:paraId="1F95F5D7">
            <w:pPr>
              <w:pStyle w:val="6"/>
              <w:spacing w:before="295" w:line="233" w:lineRule="auto"/>
              <w:ind w:left="522"/>
              <w:rPr>
                <w:sz w:val="19"/>
                <w:szCs w:val="19"/>
              </w:rPr>
            </w:pPr>
            <w:r>
              <w:rPr>
                <w:spacing w:val="1"/>
                <w:sz w:val="19"/>
                <w:szCs w:val="19"/>
              </w:rPr>
              <w:t>备注</w:t>
            </w:r>
          </w:p>
        </w:tc>
      </w:tr>
      <w:tr w14:paraId="6CE606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909" w:type="dxa"/>
            <w:tcBorders>
              <w:left w:val="single" w:color="000000" w:sz="10" w:space="0"/>
            </w:tcBorders>
            <w:vAlign w:val="top"/>
          </w:tcPr>
          <w:p w14:paraId="7B0AC53E">
            <w:pPr>
              <w:spacing w:before="195" w:line="197" w:lineRule="auto"/>
              <w:ind w:left="154"/>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009</w:t>
            </w:r>
          </w:p>
        </w:tc>
        <w:tc>
          <w:tcPr>
            <w:tcW w:w="2783" w:type="dxa"/>
            <w:vAlign w:val="top"/>
          </w:tcPr>
          <w:p w14:paraId="2FAE326A">
            <w:pPr>
              <w:pStyle w:val="6"/>
              <w:spacing w:before="33" w:line="233" w:lineRule="auto"/>
              <w:ind w:left="595" w:right="196" w:hanging="394"/>
              <w:rPr>
                <w:sz w:val="19"/>
                <w:szCs w:val="19"/>
              </w:rPr>
            </w:pPr>
            <w:r>
              <w:rPr>
                <w:spacing w:val="8"/>
                <w:sz w:val="19"/>
                <w:szCs w:val="19"/>
              </w:rPr>
              <w:t>重庆市黔江区阿蓬江镇昌立</w:t>
            </w:r>
            <w:r>
              <w:rPr>
                <w:spacing w:val="3"/>
                <w:sz w:val="19"/>
                <w:szCs w:val="19"/>
              </w:rPr>
              <w:t xml:space="preserve"> </w:t>
            </w:r>
            <w:r>
              <w:rPr>
                <w:spacing w:val="8"/>
                <w:sz w:val="19"/>
                <w:szCs w:val="19"/>
              </w:rPr>
              <w:t>建筑石料用灰岩矿</w:t>
            </w:r>
          </w:p>
        </w:tc>
        <w:tc>
          <w:tcPr>
            <w:tcW w:w="1195" w:type="dxa"/>
            <w:vAlign w:val="top"/>
          </w:tcPr>
          <w:p w14:paraId="6DA58303">
            <w:pPr>
              <w:pStyle w:val="6"/>
              <w:spacing w:before="33" w:line="233" w:lineRule="auto"/>
              <w:ind w:left="306" w:right="195" w:hanging="98"/>
              <w:rPr>
                <w:sz w:val="19"/>
                <w:szCs w:val="19"/>
              </w:rPr>
            </w:pPr>
            <w:r>
              <w:rPr>
                <w:spacing w:val="6"/>
                <w:sz w:val="19"/>
                <w:szCs w:val="19"/>
              </w:rPr>
              <w:t>建筑石料</w:t>
            </w:r>
            <w:r>
              <w:rPr>
                <w:sz w:val="19"/>
                <w:szCs w:val="19"/>
              </w:rPr>
              <w:t xml:space="preserve"> </w:t>
            </w:r>
            <w:r>
              <w:rPr>
                <w:spacing w:val="5"/>
                <w:sz w:val="19"/>
                <w:szCs w:val="19"/>
              </w:rPr>
              <w:t>用灰岩</w:t>
            </w:r>
          </w:p>
        </w:tc>
        <w:tc>
          <w:tcPr>
            <w:tcW w:w="1201" w:type="dxa"/>
            <w:vAlign w:val="top"/>
          </w:tcPr>
          <w:p w14:paraId="62B353AA">
            <w:pPr>
              <w:pStyle w:val="6"/>
              <w:spacing w:before="33" w:line="230" w:lineRule="auto"/>
              <w:ind w:left="413"/>
              <w:rPr>
                <w:sz w:val="19"/>
                <w:szCs w:val="19"/>
              </w:rPr>
            </w:pPr>
            <w:r>
              <w:rPr>
                <w:spacing w:val="2"/>
                <w:sz w:val="19"/>
                <w:szCs w:val="19"/>
              </w:rPr>
              <w:t>保留</w:t>
            </w:r>
          </w:p>
          <w:p w14:paraId="4EA124CF">
            <w:pPr>
              <w:pStyle w:val="6"/>
              <w:spacing w:before="20" w:line="216" w:lineRule="auto"/>
              <w:ind w:left="218"/>
              <w:rPr>
                <w:sz w:val="19"/>
                <w:szCs w:val="19"/>
              </w:rPr>
            </w:pPr>
            <w:r>
              <w:rPr>
                <w:spacing w:val="5"/>
                <w:sz w:val="19"/>
                <w:szCs w:val="19"/>
              </w:rPr>
              <w:t>露天开采</w:t>
            </w:r>
          </w:p>
        </w:tc>
        <w:tc>
          <w:tcPr>
            <w:tcW w:w="1556" w:type="dxa"/>
            <w:vAlign w:val="top"/>
          </w:tcPr>
          <w:p w14:paraId="041F5CF8">
            <w:pPr>
              <w:pStyle w:val="6"/>
              <w:spacing w:before="160" w:line="233" w:lineRule="auto"/>
              <w:ind w:left="521"/>
              <w:rPr>
                <w:sz w:val="19"/>
                <w:szCs w:val="19"/>
              </w:rPr>
            </w:pPr>
            <w:r>
              <w:rPr>
                <w:spacing w:val="-4"/>
                <w:sz w:val="19"/>
                <w:szCs w:val="19"/>
              </w:rPr>
              <w:t>已投放</w:t>
            </w:r>
          </w:p>
        </w:tc>
        <w:tc>
          <w:tcPr>
            <w:tcW w:w="1415" w:type="dxa"/>
            <w:tcBorders>
              <w:right w:val="single" w:color="000000" w:sz="10" w:space="0"/>
            </w:tcBorders>
            <w:vAlign w:val="top"/>
          </w:tcPr>
          <w:p w14:paraId="5D8657FD">
            <w:pPr>
              <w:pStyle w:val="6"/>
              <w:spacing w:before="160" w:line="231" w:lineRule="auto"/>
              <w:ind w:left="526"/>
              <w:rPr>
                <w:sz w:val="19"/>
                <w:szCs w:val="19"/>
              </w:rPr>
            </w:pPr>
            <w:r>
              <w:rPr>
                <w:spacing w:val="-1"/>
                <w:sz w:val="19"/>
                <w:szCs w:val="19"/>
              </w:rPr>
              <w:t>关闭</w:t>
            </w:r>
          </w:p>
        </w:tc>
      </w:tr>
      <w:tr w14:paraId="668C23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909" w:type="dxa"/>
            <w:tcBorders>
              <w:left w:val="single" w:color="000000" w:sz="10" w:space="0"/>
            </w:tcBorders>
            <w:vAlign w:val="top"/>
          </w:tcPr>
          <w:p w14:paraId="27356002">
            <w:pPr>
              <w:spacing w:before="195" w:line="197" w:lineRule="auto"/>
              <w:ind w:left="154"/>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010</w:t>
            </w:r>
          </w:p>
        </w:tc>
        <w:tc>
          <w:tcPr>
            <w:tcW w:w="2783" w:type="dxa"/>
            <w:vAlign w:val="top"/>
          </w:tcPr>
          <w:p w14:paraId="601914F2">
            <w:pPr>
              <w:pStyle w:val="6"/>
              <w:spacing w:before="33" w:line="233" w:lineRule="auto"/>
              <w:ind w:left="794" w:right="196" w:hanging="593"/>
              <w:rPr>
                <w:sz w:val="19"/>
                <w:szCs w:val="19"/>
              </w:rPr>
            </w:pPr>
            <w:r>
              <w:rPr>
                <w:spacing w:val="8"/>
                <w:sz w:val="19"/>
                <w:szCs w:val="19"/>
              </w:rPr>
              <w:t>重庆市黔江区水田河坝建筑</w:t>
            </w:r>
            <w:r>
              <w:rPr>
                <w:spacing w:val="3"/>
                <w:sz w:val="19"/>
                <w:szCs w:val="19"/>
              </w:rPr>
              <w:t xml:space="preserve"> </w:t>
            </w:r>
            <w:r>
              <w:rPr>
                <w:spacing w:val="7"/>
                <w:sz w:val="19"/>
                <w:szCs w:val="19"/>
              </w:rPr>
              <w:t>石料用灰岩矿</w:t>
            </w:r>
          </w:p>
        </w:tc>
        <w:tc>
          <w:tcPr>
            <w:tcW w:w="1195" w:type="dxa"/>
            <w:vAlign w:val="top"/>
          </w:tcPr>
          <w:p w14:paraId="4201AF77">
            <w:pPr>
              <w:pStyle w:val="6"/>
              <w:spacing w:before="33" w:line="233" w:lineRule="auto"/>
              <w:ind w:left="306" w:right="195" w:hanging="98"/>
              <w:rPr>
                <w:sz w:val="19"/>
                <w:szCs w:val="19"/>
              </w:rPr>
            </w:pPr>
            <w:r>
              <w:rPr>
                <w:spacing w:val="6"/>
                <w:sz w:val="19"/>
                <w:szCs w:val="19"/>
              </w:rPr>
              <w:t>建筑石料</w:t>
            </w:r>
            <w:r>
              <w:rPr>
                <w:sz w:val="19"/>
                <w:szCs w:val="19"/>
              </w:rPr>
              <w:t xml:space="preserve"> </w:t>
            </w:r>
            <w:r>
              <w:rPr>
                <w:spacing w:val="5"/>
                <w:sz w:val="19"/>
                <w:szCs w:val="19"/>
              </w:rPr>
              <w:t>用灰岩</w:t>
            </w:r>
          </w:p>
        </w:tc>
        <w:tc>
          <w:tcPr>
            <w:tcW w:w="1201" w:type="dxa"/>
            <w:vAlign w:val="top"/>
          </w:tcPr>
          <w:p w14:paraId="0B56A3F4">
            <w:pPr>
              <w:pStyle w:val="6"/>
              <w:spacing w:before="33" w:line="230" w:lineRule="auto"/>
              <w:ind w:left="413"/>
              <w:rPr>
                <w:sz w:val="19"/>
                <w:szCs w:val="19"/>
              </w:rPr>
            </w:pPr>
            <w:r>
              <w:rPr>
                <w:spacing w:val="2"/>
                <w:sz w:val="19"/>
                <w:szCs w:val="19"/>
              </w:rPr>
              <w:t>保留</w:t>
            </w:r>
          </w:p>
          <w:p w14:paraId="4BA2594F">
            <w:pPr>
              <w:pStyle w:val="6"/>
              <w:spacing w:before="20" w:line="216" w:lineRule="auto"/>
              <w:ind w:left="218"/>
              <w:rPr>
                <w:sz w:val="19"/>
                <w:szCs w:val="19"/>
              </w:rPr>
            </w:pPr>
            <w:r>
              <w:rPr>
                <w:spacing w:val="5"/>
                <w:sz w:val="19"/>
                <w:szCs w:val="19"/>
              </w:rPr>
              <w:t>露天开采</w:t>
            </w:r>
          </w:p>
        </w:tc>
        <w:tc>
          <w:tcPr>
            <w:tcW w:w="1556" w:type="dxa"/>
            <w:vAlign w:val="top"/>
          </w:tcPr>
          <w:p w14:paraId="2BA4BB27">
            <w:pPr>
              <w:pStyle w:val="6"/>
              <w:spacing w:before="160" w:line="233" w:lineRule="auto"/>
              <w:ind w:left="521"/>
              <w:rPr>
                <w:sz w:val="19"/>
                <w:szCs w:val="19"/>
              </w:rPr>
            </w:pPr>
            <w:r>
              <w:rPr>
                <w:spacing w:val="-4"/>
                <w:sz w:val="19"/>
                <w:szCs w:val="19"/>
              </w:rPr>
              <w:t>已投放</w:t>
            </w:r>
          </w:p>
        </w:tc>
        <w:tc>
          <w:tcPr>
            <w:tcW w:w="1415" w:type="dxa"/>
            <w:tcBorders>
              <w:right w:val="single" w:color="000000" w:sz="10" w:space="0"/>
            </w:tcBorders>
            <w:vAlign w:val="top"/>
          </w:tcPr>
          <w:p w14:paraId="5DBF7F80">
            <w:pPr>
              <w:pStyle w:val="6"/>
              <w:spacing w:before="160" w:line="231" w:lineRule="auto"/>
              <w:ind w:left="526"/>
              <w:rPr>
                <w:sz w:val="19"/>
                <w:szCs w:val="19"/>
              </w:rPr>
            </w:pPr>
            <w:r>
              <w:rPr>
                <w:spacing w:val="-1"/>
                <w:sz w:val="19"/>
                <w:szCs w:val="19"/>
              </w:rPr>
              <w:t>关闭</w:t>
            </w:r>
          </w:p>
        </w:tc>
      </w:tr>
      <w:tr w14:paraId="2FCEE0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909" w:type="dxa"/>
            <w:tcBorders>
              <w:left w:val="single" w:color="000000" w:sz="10" w:space="0"/>
            </w:tcBorders>
            <w:vAlign w:val="top"/>
          </w:tcPr>
          <w:p w14:paraId="1823D29A">
            <w:pPr>
              <w:spacing w:before="197" w:line="197" w:lineRule="auto"/>
              <w:ind w:left="154"/>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011</w:t>
            </w:r>
          </w:p>
        </w:tc>
        <w:tc>
          <w:tcPr>
            <w:tcW w:w="2783" w:type="dxa"/>
            <w:vAlign w:val="top"/>
          </w:tcPr>
          <w:p w14:paraId="2788463C">
            <w:pPr>
              <w:pStyle w:val="6"/>
              <w:spacing w:before="34" w:line="232" w:lineRule="auto"/>
              <w:ind w:left="696" w:right="196" w:hanging="495"/>
              <w:rPr>
                <w:sz w:val="19"/>
                <w:szCs w:val="19"/>
              </w:rPr>
            </w:pPr>
            <w:r>
              <w:rPr>
                <w:spacing w:val="8"/>
                <w:sz w:val="19"/>
                <w:szCs w:val="19"/>
              </w:rPr>
              <w:t>重庆市黔江区水田乡刚建建</w:t>
            </w:r>
            <w:r>
              <w:rPr>
                <w:spacing w:val="3"/>
                <w:sz w:val="19"/>
                <w:szCs w:val="19"/>
              </w:rPr>
              <w:t xml:space="preserve"> </w:t>
            </w:r>
            <w:r>
              <w:rPr>
                <w:spacing w:val="7"/>
                <w:sz w:val="19"/>
                <w:szCs w:val="19"/>
              </w:rPr>
              <w:t>筑石料用灰岩矿</w:t>
            </w:r>
          </w:p>
        </w:tc>
        <w:tc>
          <w:tcPr>
            <w:tcW w:w="1195" w:type="dxa"/>
            <w:vAlign w:val="top"/>
          </w:tcPr>
          <w:p w14:paraId="5C624F98">
            <w:pPr>
              <w:pStyle w:val="6"/>
              <w:spacing w:before="34" w:line="232" w:lineRule="auto"/>
              <w:ind w:left="306" w:right="195" w:hanging="98"/>
              <w:rPr>
                <w:sz w:val="19"/>
                <w:szCs w:val="19"/>
              </w:rPr>
            </w:pPr>
            <w:r>
              <w:rPr>
                <w:spacing w:val="6"/>
                <w:sz w:val="19"/>
                <w:szCs w:val="19"/>
              </w:rPr>
              <w:t>建筑石料</w:t>
            </w:r>
            <w:r>
              <w:rPr>
                <w:sz w:val="19"/>
                <w:szCs w:val="19"/>
              </w:rPr>
              <w:t xml:space="preserve"> </w:t>
            </w:r>
            <w:r>
              <w:rPr>
                <w:spacing w:val="5"/>
                <w:sz w:val="19"/>
                <w:szCs w:val="19"/>
              </w:rPr>
              <w:t>用灰岩</w:t>
            </w:r>
          </w:p>
        </w:tc>
        <w:tc>
          <w:tcPr>
            <w:tcW w:w="1201" w:type="dxa"/>
            <w:vAlign w:val="top"/>
          </w:tcPr>
          <w:p w14:paraId="32303955">
            <w:pPr>
              <w:pStyle w:val="6"/>
              <w:spacing w:before="33" w:line="230" w:lineRule="auto"/>
              <w:ind w:left="413"/>
              <w:rPr>
                <w:sz w:val="19"/>
                <w:szCs w:val="19"/>
              </w:rPr>
            </w:pPr>
            <w:r>
              <w:rPr>
                <w:spacing w:val="2"/>
                <w:sz w:val="19"/>
                <w:szCs w:val="19"/>
              </w:rPr>
              <w:t>保留</w:t>
            </w:r>
          </w:p>
          <w:p w14:paraId="01746C39">
            <w:pPr>
              <w:pStyle w:val="6"/>
              <w:spacing w:before="22" w:line="213" w:lineRule="auto"/>
              <w:ind w:left="214"/>
              <w:rPr>
                <w:sz w:val="19"/>
                <w:szCs w:val="19"/>
              </w:rPr>
            </w:pPr>
            <w:r>
              <w:rPr>
                <w:spacing w:val="6"/>
                <w:sz w:val="19"/>
                <w:szCs w:val="19"/>
              </w:rPr>
              <w:t>地下开采</w:t>
            </w:r>
          </w:p>
        </w:tc>
        <w:tc>
          <w:tcPr>
            <w:tcW w:w="1556" w:type="dxa"/>
            <w:vAlign w:val="top"/>
          </w:tcPr>
          <w:p w14:paraId="641A00F3">
            <w:pPr>
              <w:pStyle w:val="6"/>
              <w:spacing w:before="163" w:line="233" w:lineRule="auto"/>
              <w:ind w:left="521"/>
              <w:rPr>
                <w:sz w:val="19"/>
                <w:szCs w:val="19"/>
              </w:rPr>
            </w:pPr>
            <w:r>
              <w:rPr>
                <w:spacing w:val="-4"/>
                <w:sz w:val="19"/>
                <w:szCs w:val="19"/>
              </w:rPr>
              <w:t>已投放</w:t>
            </w:r>
          </w:p>
        </w:tc>
        <w:tc>
          <w:tcPr>
            <w:tcW w:w="1415" w:type="dxa"/>
            <w:tcBorders>
              <w:right w:val="single" w:color="000000" w:sz="10" w:space="0"/>
            </w:tcBorders>
            <w:vAlign w:val="top"/>
          </w:tcPr>
          <w:p w14:paraId="4ABAB8B8">
            <w:pPr>
              <w:pStyle w:val="6"/>
              <w:spacing w:before="163" w:line="231" w:lineRule="auto"/>
              <w:ind w:left="526"/>
              <w:rPr>
                <w:sz w:val="19"/>
                <w:szCs w:val="19"/>
              </w:rPr>
            </w:pPr>
            <w:r>
              <w:rPr>
                <w:spacing w:val="-1"/>
                <w:sz w:val="19"/>
                <w:szCs w:val="19"/>
              </w:rPr>
              <w:t>关闭</w:t>
            </w:r>
          </w:p>
        </w:tc>
      </w:tr>
      <w:tr w14:paraId="4D89FD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909" w:type="dxa"/>
            <w:tcBorders>
              <w:left w:val="single" w:color="000000" w:sz="10" w:space="0"/>
            </w:tcBorders>
            <w:vAlign w:val="top"/>
          </w:tcPr>
          <w:p w14:paraId="631E1B49">
            <w:pPr>
              <w:spacing w:before="198" w:line="197" w:lineRule="auto"/>
              <w:ind w:left="154"/>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012</w:t>
            </w:r>
          </w:p>
        </w:tc>
        <w:tc>
          <w:tcPr>
            <w:tcW w:w="2783" w:type="dxa"/>
            <w:vAlign w:val="top"/>
          </w:tcPr>
          <w:p w14:paraId="36C519D5">
            <w:pPr>
              <w:pStyle w:val="6"/>
              <w:spacing w:before="35" w:line="232" w:lineRule="auto"/>
              <w:ind w:left="696" w:right="196" w:hanging="495"/>
              <w:rPr>
                <w:sz w:val="19"/>
                <w:szCs w:val="19"/>
              </w:rPr>
            </w:pPr>
            <w:r>
              <w:rPr>
                <w:spacing w:val="8"/>
                <w:sz w:val="19"/>
                <w:szCs w:val="19"/>
              </w:rPr>
              <w:t>重庆市黔江区蓬东乡永赢建</w:t>
            </w:r>
            <w:r>
              <w:rPr>
                <w:spacing w:val="3"/>
                <w:sz w:val="19"/>
                <w:szCs w:val="19"/>
              </w:rPr>
              <w:t xml:space="preserve"> </w:t>
            </w:r>
            <w:r>
              <w:rPr>
                <w:spacing w:val="7"/>
                <w:sz w:val="19"/>
                <w:szCs w:val="19"/>
              </w:rPr>
              <w:t>筑石料用灰岩矿</w:t>
            </w:r>
          </w:p>
        </w:tc>
        <w:tc>
          <w:tcPr>
            <w:tcW w:w="1195" w:type="dxa"/>
            <w:vAlign w:val="top"/>
          </w:tcPr>
          <w:p w14:paraId="551DBB3F">
            <w:pPr>
              <w:pStyle w:val="6"/>
              <w:spacing w:before="35" w:line="232" w:lineRule="auto"/>
              <w:ind w:left="306" w:right="195" w:hanging="98"/>
              <w:rPr>
                <w:sz w:val="19"/>
                <w:szCs w:val="19"/>
              </w:rPr>
            </w:pPr>
            <w:r>
              <w:rPr>
                <w:spacing w:val="6"/>
                <w:sz w:val="19"/>
                <w:szCs w:val="19"/>
              </w:rPr>
              <w:t>建筑石料</w:t>
            </w:r>
            <w:r>
              <w:rPr>
                <w:sz w:val="19"/>
                <w:szCs w:val="19"/>
              </w:rPr>
              <w:t xml:space="preserve"> </w:t>
            </w:r>
            <w:r>
              <w:rPr>
                <w:spacing w:val="5"/>
                <w:sz w:val="19"/>
                <w:szCs w:val="19"/>
              </w:rPr>
              <w:t>用灰岩</w:t>
            </w:r>
          </w:p>
        </w:tc>
        <w:tc>
          <w:tcPr>
            <w:tcW w:w="1201" w:type="dxa"/>
            <w:vAlign w:val="top"/>
          </w:tcPr>
          <w:p w14:paraId="77FF1CCB">
            <w:pPr>
              <w:pStyle w:val="6"/>
              <w:spacing w:before="34" w:line="230" w:lineRule="auto"/>
              <w:ind w:left="413"/>
              <w:rPr>
                <w:sz w:val="19"/>
                <w:szCs w:val="19"/>
              </w:rPr>
            </w:pPr>
            <w:r>
              <w:rPr>
                <w:spacing w:val="2"/>
                <w:sz w:val="19"/>
                <w:szCs w:val="19"/>
              </w:rPr>
              <w:t>保留</w:t>
            </w:r>
          </w:p>
          <w:p w14:paraId="0C238EF0">
            <w:pPr>
              <w:pStyle w:val="6"/>
              <w:spacing w:before="22" w:line="213" w:lineRule="auto"/>
              <w:ind w:left="214"/>
              <w:rPr>
                <w:sz w:val="19"/>
                <w:szCs w:val="19"/>
              </w:rPr>
            </w:pPr>
            <w:r>
              <w:rPr>
                <w:spacing w:val="6"/>
                <w:sz w:val="19"/>
                <w:szCs w:val="19"/>
              </w:rPr>
              <w:t>地下开采</w:t>
            </w:r>
          </w:p>
        </w:tc>
        <w:tc>
          <w:tcPr>
            <w:tcW w:w="1556" w:type="dxa"/>
            <w:vAlign w:val="top"/>
          </w:tcPr>
          <w:p w14:paraId="46353284">
            <w:pPr>
              <w:pStyle w:val="6"/>
              <w:spacing w:before="164" w:line="233" w:lineRule="auto"/>
              <w:ind w:left="521"/>
              <w:rPr>
                <w:sz w:val="19"/>
                <w:szCs w:val="19"/>
              </w:rPr>
            </w:pPr>
            <w:r>
              <w:rPr>
                <w:spacing w:val="-4"/>
                <w:sz w:val="19"/>
                <w:szCs w:val="19"/>
              </w:rPr>
              <w:t>已投放</w:t>
            </w:r>
          </w:p>
        </w:tc>
        <w:tc>
          <w:tcPr>
            <w:tcW w:w="1415" w:type="dxa"/>
            <w:tcBorders>
              <w:right w:val="single" w:color="000000" w:sz="10" w:space="0"/>
            </w:tcBorders>
            <w:vAlign w:val="top"/>
          </w:tcPr>
          <w:p w14:paraId="18184E03">
            <w:pPr>
              <w:pStyle w:val="6"/>
              <w:spacing w:before="164" w:line="231" w:lineRule="auto"/>
              <w:ind w:left="526"/>
              <w:rPr>
                <w:sz w:val="19"/>
                <w:szCs w:val="19"/>
              </w:rPr>
            </w:pPr>
            <w:r>
              <w:rPr>
                <w:spacing w:val="-1"/>
                <w:sz w:val="19"/>
                <w:szCs w:val="19"/>
              </w:rPr>
              <w:t>关闭</w:t>
            </w:r>
          </w:p>
        </w:tc>
      </w:tr>
      <w:tr w14:paraId="28E802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909" w:type="dxa"/>
            <w:tcBorders>
              <w:left w:val="single" w:color="000000" w:sz="10" w:space="0"/>
            </w:tcBorders>
            <w:vAlign w:val="top"/>
          </w:tcPr>
          <w:p w14:paraId="2944B42B">
            <w:pPr>
              <w:spacing w:before="201" w:line="197" w:lineRule="auto"/>
              <w:ind w:left="154"/>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013</w:t>
            </w:r>
          </w:p>
        </w:tc>
        <w:tc>
          <w:tcPr>
            <w:tcW w:w="2783" w:type="dxa"/>
            <w:vAlign w:val="top"/>
          </w:tcPr>
          <w:p w14:paraId="33B92FE9">
            <w:pPr>
              <w:pStyle w:val="6"/>
              <w:spacing w:before="37" w:line="231" w:lineRule="auto"/>
              <w:ind w:left="904" w:right="196" w:hanging="703"/>
              <w:rPr>
                <w:sz w:val="19"/>
                <w:szCs w:val="19"/>
              </w:rPr>
            </w:pPr>
            <w:r>
              <w:rPr>
                <w:spacing w:val="8"/>
                <w:sz w:val="19"/>
                <w:szCs w:val="19"/>
              </w:rPr>
              <w:t>重庆市黔江区黑溪镇泰峰铸</w:t>
            </w:r>
            <w:r>
              <w:rPr>
                <w:spacing w:val="3"/>
                <w:sz w:val="19"/>
                <w:szCs w:val="19"/>
              </w:rPr>
              <w:t xml:space="preserve"> </w:t>
            </w:r>
            <w:r>
              <w:rPr>
                <w:spacing w:val="5"/>
                <w:sz w:val="19"/>
                <w:szCs w:val="19"/>
              </w:rPr>
              <w:t>型用砂岩矿</w:t>
            </w:r>
          </w:p>
        </w:tc>
        <w:tc>
          <w:tcPr>
            <w:tcW w:w="1195" w:type="dxa"/>
            <w:vAlign w:val="top"/>
          </w:tcPr>
          <w:p w14:paraId="1649422A">
            <w:pPr>
              <w:pStyle w:val="6"/>
              <w:spacing w:before="37" w:line="232" w:lineRule="auto"/>
              <w:ind w:left="208"/>
              <w:rPr>
                <w:sz w:val="19"/>
                <w:szCs w:val="19"/>
              </w:rPr>
            </w:pPr>
            <w:r>
              <w:rPr>
                <w:spacing w:val="6"/>
                <w:sz w:val="19"/>
                <w:szCs w:val="19"/>
              </w:rPr>
              <w:t>铸型用砂</w:t>
            </w:r>
          </w:p>
          <w:p w14:paraId="54C5F06A">
            <w:pPr>
              <w:pStyle w:val="6"/>
              <w:spacing w:before="20" w:line="210" w:lineRule="auto"/>
              <w:ind w:left="506"/>
              <w:rPr>
                <w:sz w:val="19"/>
                <w:szCs w:val="19"/>
              </w:rPr>
            </w:pPr>
            <w:r>
              <w:rPr>
                <w:sz w:val="19"/>
                <w:szCs w:val="19"/>
              </w:rPr>
              <w:t>岩</w:t>
            </w:r>
          </w:p>
        </w:tc>
        <w:tc>
          <w:tcPr>
            <w:tcW w:w="1201" w:type="dxa"/>
            <w:vAlign w:val="top"/>
          </w:tcPr>
          <w:p w14:paraId="67509A1A">
            <w:pPr>
              <w:pStyle w:val="6"/>
              <w:spacing w:before="37" w:line="230" w:lineRule="auto"/>
              <w:ind w:left="413"/>
              <w:rPr>
                <w:sz w:val="19"/>
                <w:szCs w:val="19"/>
              </w:rPr>
            </w:pPr>
            <w:r>
              <w:rPr>
                <w:spacing w:val="2"/>
                <w:sz w:val="19"/>
                <w:szCs w:val="19"/>
              </w:rPr>
              <w:t>保留</w:t>
            </w:r>
          </w:p>
          <w:p w14:paraId="6D6B2F1F">
            <w:pPr>
              <w:pStyle w:val="6"/>
              <w:spacing w:before="22" w:line="210" w:lineRule="auto"/>
              <w:ind w:left="214"/>
              <w:rPr>
                <w:sz w:val="19"/>
                <w:szCs w:val="19"/>
              </w:rPr>
            </w:pPr>
            <w:r>
              <w:rPr>
                <w:spacing w:val="6"/>
                <w:sz w:val="19"/>
                <w:szCs w:val="19"/>
              </w:rPr>
              <w:t>地下开采</w:t>
            </w:r>
          </w:p>
        </w:tc>
        <w:tc>
          <w:tcPr>
            <w:tcW w:w="1556" w:type="dxa"/>
            <w:vAlign w:val="top"/>
          </w:tcPr>
          <w:p w14:paraId="042EF479">
            <w:pPr>
              <w:pStyle w:val="6"/>
              <w:spacing w:before="166" w:line="233" w:lineRule="auto"/>
              <w:ind w:left="521"/>
              <w:rPr>
                <w:sz w:val="19"/>
                <w:szCs w:val="19"/>
              </w:rPr>
            </w:pPr>
            <w:r>
              <w:rPr>
                <w:spacing w:val="-4"/>
                <w:sz w:val="19"/>
                <w:szCs w:val="19"/>
              </w:rPr>
              <w:t>已投放</w:t>
            </w:r>
          </w:p>
        </w:tc>
        <w:tc>
          <w:tcPr>
            <w:tcW w:w="1415" w:type="dxa"/>
            <w:tcBorders>
              <w:right w:val="single" w:color="000000" w:sz="10" w:space="0"/>
            </w:tcBorders>
            <w:vAlign w:val="top"/>
          </w:tcPr>
          <w:p w14:paraId="5025BD7A">
            <w:pPr>
              <w:pStyle w:val="6"/>
              <w:spacing w:before="167" w:line="231" w:lineRule="auto"/>
              <w:ind w:left="324"/>
              <w:rPr>
                <w:sz w:val="19"/>
                <w:szCs w:val="19"/>
              </w:rPr>
            </w:pPr>
            <w:r>
              <w:rPr>
                <w:spacing w:val="5"/>
                <w:sz w:val="19"/>
                <w:szCs w:val="19"/>
              </w:rPr>
              <w:t>正常开采</w:t>
            </w:r>
          </w:p>
        </w:tc>
      </w:tr>
      <w:tr w14:paraId="359E0C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909" w:type="dxa"/>
            <w:tcBorders>
              <w:left w:val="single" w:color="000000" w:sz="10" w:space="0"/>
            </w:tcBorders>
            <w:vAlign w:val="top"/>
          </w:tcPr>
          <w:p w14:paraId="64D4C47C">
            <w:pPr>
              <w:spacing w:before="201" w:line="197" w:lineRule="auto"/>
              <w:ind w:left="154"/>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014</w:t>
            </w:r>
          </w:p>
        </w:tc>
        <w:tc>
          <w:tcPr>
            <w:tcW w:w="2783" w:type="dxa"/>
            <w:vAlign w:val="top"/>
          </w:tcPr>
          <w:p w14:paraId="059149A0">
            <w:pPr>
              <w:pStyle w:val="6"/>
              <w:spacing w:before="37" w:line="231" w:lineRule="auto"/>
              <w:ind w:left="801" w:right="196" w:hanging="600"/>
              <w:rPr>
                <w:sz w:val="19"/>
                <w:szCs w:val="19"/>
              </w:rPr>
            </w:pPr>
            <w:r>
              <w:rPr>
                <w:spacing w:val="8"/>
                <w:sz w:val="19"/>
                <w:szCs w:val="19"/>
              </w:rPr>
              <w:t>重庆市黔江区金溪镇金竹坪</w:t>
            </w:r>
            <w:r>
              <w:rPr>
                <w:spacing w:val="3"/>
                <w:sz w:val="19"/>
                <w:szCs w:val="19"/>
              </w:rPr>
              <w:t xml:space="preserve"> </w:t>
            </w:r>
            <w:r>
              <w:rPr>
                <w:spacing w:val="6"/>
                <w:sz w:val="19"/>
                <w:szCs w:val="19"/>
              </w:rPr>
              <w:t>萤石重晶石矿</w:t>
            </w:r>
          </w:p>
        </w:tc>
        <w:tc>
          <w:tcPr>
            <w:tcW w:w="1195" w:type="dxa"/>
            <w:vAlign w:val="top"/>
          </w:tcPr>
          <w:p w14:paraId="65F3E3A3">
            <w:pPr>
              <w:pStyle w:val="6"/>
              <w:spacing w:before="37" w:line="231" w:lineRule="auto"/>
              <w:ind w:left="410" w:right="195" w:hanging="196"/>
              <w:rPr>
                <w:sz w:val="19"/>
                <w:szCs w:val="19"/>
              </w:rPr>
            </w:pPr>
            <w:r>
              <w:rPr>
                <w:spacing w:val="4"/>
                <w:sz w:val="19"/>
                <w:szCs w:val="19"/>
              </w:rPr>
              <w:t>萤石（普</w:t>
            </w:r>
            <w:r>
              <w:rPr>
                <w:spacing w:val="2"/>
                <w:sz w:val="19"/>
                <w:szCs w:val="19"/>
              </w:rPr>
              <w:t xml:space="preserve"> </w:t>
            </w:r>
            <w:r>
              <w:rPr>
                <w:spacing w:val="-5"/>
                <w:sz w:val="19"/>
                <w:szCs w:val="19"/>
              </w:rPr>
              <w:t>通）</w:t>
            </w:r>
          </w:p>
        </w:tc>
        <w:tc>
          <w:tcPr>
            <w:tcW w:w="1201" w:type="dxa"/>
            <w:vAlign w:val="top"/>
          </w:tcPr>
          <w:p w14:paraId="7F18E747">
            <w:pPr>
              <w:pStyle w:val="6"/>
              <w:spacing w:before="37" w:line="230" w:lineRule="auto"/>
              <w:ind w:left="413"/>
              <w:rPr>
                <w:sz w:val="19"/>
                <w:szCs w:val="19"/>
              </w:rPr>
            </w:pPr>
            <w:r>
              <w:rPr>
                <w:spacing w:val="2"/>
                <w:sz w:val="19"/>
                <w:szCs w:val="19"/>
              </w:rPr>
              <w:t>保留</w:t>
            </w:r>
          </w:p>
          <w:p w14:paraId="67256EF4">
            <w:pPr>
              <w:pStyle w:val="6"/>
              <w:spacing w:before="22" w:line="210" w:lineRule="auto"/>
              <w:ind w:left="218"/>
              <w:rPr>
                <w:sz w:val="19"/>
                <w:szCs w:val="19"/>
              </w:rPr>
            </w:pPr>
            <w:r>
              <w:rPr>
                <w:spacing w:val="5"/>
                <w:sz w:val="19"/>
                <w:szCs w:val="19"/>
              </w:rPr>
              <w:t>露天开采</w:t>
            </w:r>
          </w:p>
        </w:tc>
        <w:tc>
          <w:tcPr>
            <w:tcW w:w="1556" w:type="dxa"/>
            <w:vAlign w:val="top"/>
          </w:tcPr>
          <w:p w14:paraId="3FDD15FE">
            <w:pPr>
              <w:pStyle w:val="6"/>
              <w:spacing w:before="166" w:line="233" w:lineRule="auto"/>
              <w:ind w:left="521"/>
              <w:rPr>
                <w:sz w:val="19"/>
                <w:szCs w:val="19"/>
              </w:rPr>
            </w:pPr>
            <w:r>
              <w:rPr>
                <w:spacing w:val="-4"/>
                <w:sz w:val="19"/>
                <w:szCs w:val="19"/>
              </w:rPr>
              <w:t>已投放</w:t>
            </w:r>
          </w:p>
        </w:tc>
        <w:tc>
          <w:tcPr>
            <w:tcW w:w="1415" w:type="dxa"/>
            <w:tcBorders>
              <w:right w:val="single" w:color="000000" w:sz="10" w:space="0"/>
            </w:tcBorders>
            <w:vAlign w:val="top"/>
          </w:tcPr>
          <w:p w14:paraId="4FFDE3AB">
            <w:pPr>
              <w:pStyle w:val="6"/>
              <w:spacing w:before="166" w:line="231" w:lineRule="auto"/>
              <w:ind w:left="526"/>
              <w:rPr>
                <w:sz w:val="19"/>
                <w:szCs w:val="19"/>
              </w:rPr>
            </w:pPr>
            <w:r>
              <w:rPr>
                <w:spacing w:val="-1"/>
                <w:sz w:val="19"/>
                <w:szCs w:val="19"/>
              </w:rPr>
              <w:t>关闭</w:t>
            </w:r>
          </w:p>
        </w:tc>
      </w:tr>
      <w:tr w14:paraId="23F597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909" w:type="dxa"/>
            <w:tcBorders>
              <w:left w:val="single" w:color="000000" w:sz="10" w:space="0"/>
            </w:tcBorders>
            <w:vAlign w:val="top"/>
          </w:tcPr>
          <w:p w14:paraId="6D5455C6">
            <w:pPr>
              <w:spacing w:before="201" w:line="197" w:lineRule="auto"/>
              <w:ind w:left="154"/>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015</w:t>
            </w:r>
          </w:p>
        </w:tc>
        <w:tc>
          <w:tcPr>
            <w:tcW w:w="2783" w:type="dxa"/>
            <w:vAlign w:val="top"/>
          </w:tcPr>
          <w:p w14:paraId="206A390B">
            <w:pPr>
              <w:pStyle w:val="6"/>
              <w:spacing w:before="36" w:line="231" w:lineRule="auto"/>
              <w:ind w:left="698" w:right="109" w:hanging="583"/>
              <w:rPr>
                <w:sz w:val="19"/>
                <w:szCs w:val="19"/>
              </w:rPr>
            </w:pPr>
            <w:r>
              <w:rPr>
                <w:spacing w:val="6"/>
                <w:sz w:val="19"/>
                <w:szCs w:val="19"/>
              </w:rPr>
              <w:t>重庆市黔江区太极乡萤石（普</w:t>
            </w:r>
            <w:r>
              <w:rPr>
                <w:spacing w:val="4"/>
                <w:sz w:val="19"/>
                <w:szCs w:val="19"/>
              </w:rPr>
              <w:t xml:space="preserve"> </w:t>
            </w:r>
            <w:r>
              <w:rPr>
                <w:spacing w:val="1"/>
                <w:sz w:val="19"/>
                <w:szCs w:val="19"/>
              </w:rPr>
              <w:t>通）</w:t>
            </w:r>
            <w:r>
              <w:rPr>
                <w:spacing w:val="-52"/>
                <w:sz w:val="19"/>
                <w:szCs w:val="19"/>
              </w:rPr>
              <w:t xml:space="preserve"> </w:t>
            </w:r>
            <w:r>
              <w:rPr>
                <w:spacing w:val="1"/>
                <w:sz w:val="19"/>
                <w:szCs w:val="19"/>
              </w:rPr>
              <w:t>、重晶石矿</w:t>
            </w:r>
          </w:p>
        </w:tc>
        <w:tc>
          <w:tcPr>
            <w:tcW w:w="1195" w:type="dxa"/>
            <w:vAlign w:val="top"/>
          </w:tcPr>
          <w:p w14:paraId="14311F5F">
            <w:pPr>
              <w:pStyle w:val="6"/>
              <w:spacing w:before="36" w:line="231" w:lineRule="auto"/>
              <w:ind w:left="410" w:right="195" w:hanging="196"/>
              <w:rPr>
                <w:sz w:val="19"/>
                <w:szCs w:val="19"/>
              </w:rPr>
            </w:pPr>
            <w:r>
              <w:rPr>
                <w:spacing w:val="4"/>
                <w:sz w:val="19"/>
                <w:szCs w:val="19"/>
              </w:rPr>
              <w:t>萤石（普</w:t>
            </w:r>
            <w:r>
              <w:rPr>
                <w:spacing w:val="2"/>
                <w:sz w:val="19"/>
                <w:szCs w:val="19"/>
              </w:rPr>
              <w:t xml:space="preserve"> </w:t>
            </w:r>
            <w:r>
              <w:rPr>
                <w:spacing w:val="-5"/>
                <w:sz w:val="19"/>
                <w:szCs w:val="19"/>
              </w:rPr>
              <w:t>通）</w:t>
            </w:r>
          </w:p>
        </w:tc>
        <w:tc>
          <w:tcPr>
            <w:tcW w:w="1201" w:type="dxa"/>
            <w:vAlign w:val="top"/>
          </w:tcPr>
          <w:p w14:paraId="6EBEBD28">
            <w:pPr>
              <w:pStyle w:val="6"/>
              <w:spacing w:before="37" w:line="230" w:lineRule="auto"/>
              <w:ind w:left="413"/>
              <w:rPr>
                <w:sz w:val="19"/>
                <w:szCs w:val="19"/>
              </w:rPr>
            </w:pPr>
            <w:r>
              <w:rPr>
                <w:spacing w:val="2"/>
                <w:sz w:val="19"/>
                <w:szCs w:val="19"/>
              </w:rPr>
              <w:t>保留</w:t>
            </w:r>
          </w:p>
          <w:p w14:paraId="31498DD7">
            <w:pPr>
              <w:pStyle w:val="6"/>
              <w:spacing w:before="22" w:line="209" w:lineRule="auto"/>
              <w:ind w:left="214"/>
              <w:rPr>
                <w:sz w:val="19"/>
                <w:szCs w:val="19"/>
              </w:rPr>
            </w:pPr>
            <w:r>
              <w:rPr>
                <w:spacing w:val="6"/>
                <w:sz w:val="19"/>
                <w:szCs w:val="19"/>
              </w:rPr>
              <w:t>地下开采</w:t>
            </w:r>
          </w:p>
        </w:tc>
        <w:tc>
          <w:tcPr>
            <w:tcW w:w="1556" w:type="dxa"/>
            <w:vAlign w:val="top"/>
          </w:tcPr>
          <w:p w14:paraId="38F7E729">
            <w:pPr>
              <w:pStyle w:val="6"/>
              <w:spacing w:before="166" w:line="233" w:lineRule="auto"/>
              <w:ind w:left="521"/>
              <w:rPr>
                <w:sz w:val="19"/>
                <w:szCs w:val="19"/>
              </w:rPr>
            </w:pPr>
            <w:r>
              <w:rPr>
                <w:spacing w:val="-4"/>
                <w:sz w:val="19"/>
                <w:szCs w:val="19"/>
              </w:rPr>
              <w:t>已投放</w:t>
            </w:r>
          </w:p>
        </w:tc>
        <w:tc>
          <w:tcPr>
            <w:tcW w:w="1415" w:type="dxa"/>
            <w:tcBorders>
              <w:right w:val="single" w:color="000000" w:sz="10" w:space="0"/>
            </w:tcBorders>
            <w:vAlign w:val="top"/>
          </w:tcPr>
          <w:p w14:paraId="34498F2A">
            <w:pPr>
              <w:pStyle w:val="6"/>
              <w:spacing w:before="167" w:line="231" w:lineRule="auto"/>
              <w:ind w:left="522"/>
              <w:rPr>
                <w:sz w:val="19"/>
                <w:szCs w:val="19"/>
              </w:rPr>
            </w:pPr>
            <w:r>
              <w:rPr>
                <w:spacing w:val="1"/>
                <w:sz w:val="19"/>
                <w:szCs w:val="19"/>
              </w:rPr>
              <w:t>未建</w:t>
            </w:r>
          </w:p>
        </w:tc>
      </w:tr>
      <w:tr w14:paraId="7747B5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909" w:type="dxa"/>
            <w:tcBorders>
              <w:left w:val="single" w:color="000000" w:sz="10" w:space="0"/>
            </w:tcBorders>
            <w:vAlign w:val="top"/>
          </w:tcPr>
          <w:p w14:paraId="4AB28D3B">
            <w:pPr>
              <w:spacing w:before="202" w:line="197" w:lineRule="auto"/>
              <w:ind w:left="154"/>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016</w:t>
            </w:r>
          </w:p>
        </w:tc>
        <w:tc>
          <w:tcPr>
            <w:tcW w:w="2783" w:type="dxa"/>
            <w:vAlign w:val="top"/>
          </w:tcPr>
          <w:p w14:paraId="758BD75F">
            <w:pPr>
              <w:pStyle w:val="6"/>
              <w:spacing w:before="41" w:line="231" w:lineRule="auto"/>
              <w:ind w:left="201"/>
              <w:rPr>
                <w:sz w:val="19"/>
                <w:szCs w:val="19"/>
              </w:rPr>
            </w:pPr>
            <w:r>
              <w:rPr>
                <w:spacing w:val="8"/>
                <w:sz w:val="19"/>
                <w:szCs w:val="19"/>
              </w:rPr>
              <w:t>重庆市黔江区太极乡水槽萤</w:t>
            </w:r>
          </w:p>
          <w:p w14:paraId="5B45C600">
            <w:pPr>
              <w:pStyle w:val="6"/>
              <w:spacing w:before="21" w:line="207" w:lineRule="auto"/>
              <w:ind w:left="1196"/>
              <w:rPr>
                <w:sz w:val="19"/>
                <w:szCs w:val="19"/>
              </w:rPr>
            </w:pPr>
            <w:r>
              <w:rPr>
                <w:spacing w:val="2"/>
                <w:sz w:val="19"/>
                <w:szCs w:val="19"/>
              </w:rPr>
              <w:t>石厂</w:t>
            </w:r>
          </w:p>
        </w:tc>
        <w:tc>
          <w:tcPr>
            <w:tcW w:w="1195" w:type="dxa"/>
            <w:vAlign w:val="top"/>
          </w:tcPr>
          <w:p w14:paraId="1B105D7C">
            <w:pPr>
              <w:pStyle w:val="6"/>
              <w:spacing w:before="41" w:line="229" w:lineRule="auto"/>
              <w:ind w:left="410" w:right="195" w:hanging="196"/>
              <w:rPr>
                <w:sz w:val="19"/>
                <w:szCs w:val="19"/>
              </w:rPr>
            </w:pPr>
            <w:r>
              <w:rPr>
                <w:spacing w:val="4"/>
                <w:sz w:val="19"/>
                <w:szCs w:val="19"/>
              </w:rPr>
              <w:t>萤石（普</w:t>
            </w:r>
            <w:r>
              <w:rPr>
                <w:spacing w:val="2"/>
                <w:sz w:val="19"/>
                <w:szCs w:val="19"/>
              </w:rPr>
              <w:t xml:space="preserve"> </w:t>
            </w:r>
            <w:r>
              <w:rPr>
                <w:spacing w:val="-5"/>
                <w:sz w:val="19"/>
                <w:szCs w:val="19"/>
              </w:rPr>
              <w:t>通）</w:t>
            </w:r>
          </w:p>
        </w:tc>
        <w:tc>
          <w:tcPr>
            <w:tcW w:w="1201" w:type="dxa"/>
            <w:vAlign w:val="top"/>
          </w:tcPr>
          <w:p w14:paraId="6F76E2B3">
            <w:pPr>
              <w:pStyle w:val="6"/>
              <w:spacing w:before="40" w:line="230" w:lineRule="auto"/>
              <w:ind w:left="413"/>
              <w:rPr>
                <w:sz w:val="19"/>
                <w:szCs w:val="19"/>
              </w:rPr>
            </w:pPr>
            <w:r>
              <w:rPr>
                <w:spacing w:val="2"/>
                <w:sz w:val="19"/>
                <w:szCs w:val="19"/>
              </w:rPr>
              <w:t>保留</w:t>
            </w:r>
          </w:p>
          <w:p w14:paraId="048D714A">
            <w:pPr>
              <w:pStyle w:val="6"/>
              <w:spacing w:before="22" w:line="207" w:lineRule="auto"/>
              <w:ind w:left="214"/>
              <w:rPr>
                <w:sz w:val="19"/>
                <w:szCs w:val="19"/>
              </w:rPr>
            </w:pPr>
            <w:r>
              <w:rPr>
                <w:spacing w:val="6"/>
                <w:sz w:val="19"/>
                <w:szCs w:val="19"/>
              </w:rPr>
              <w:t>地下开采</w:t>
            </w:r>
          </w:p>
        </w:tc>
        <w:tc>
          <w:tcPr>
            <w:tcW w:w="1556" w:type="dxa"/>
            <w:vAlign w:val="top"/>
          </w:tcPr>
          <w:p w14:paraId="45DA988D">
            <w:pPr>
              <w:pStyle w:val="6"/>
              <w:spacing w:before="167" w:line="233" w:lineRule="auto"/>
              <w:ind w:left="521"/>
              <w:rPr>
                <w:sz w:val="19"/>
                <w:szCs w:val="19"/>
              </w:rPr>
            </w:pPr>
            <w:r>
              <w:rPr>
                <w:spacing w:val="-4"/>
                <w:sz w:val="19"/>
                <w:szCs w:val="19"/>
              </w:rPr>
              <w:t>已投放</w:t>
            </w:r>
          </w:p>
        </w:tc>
        <w:tc>
          <w:tcPr>
            <w:tcW w:w="1415" w:type="dxa"/>
            <w:tcBorders>
              <w:right w:val="single" w:color="000000" w:sz="10" w:space="0"/>
            </w:tcBorders>
            <w:vAlign w:val="top"/>
          </w:tcPr>
          <w:p w14:paraId="49D4ABD4">
            <w:pPr>
              <w:pStyle w:val="6"/>
              <w:spacing w:before="168" w:line="231" w:lineRule="auto"/>
              <w:ind w:left="522"/>
              <w:rPr>
                <w:sz w:val="19"/>
                <w:szCs w:val="19"/>
              </w:rPr>
            </w:pPr>
            <w:r>
              <w:rPr>
                <w:spacing w:val="1"/>
                <w:sz w:val="19"/>
                <w:szCs w:val="19"/>
              </w:rPr>
              <w:t>未建</w:t>
            </w:r>
          </w:p>
        </w:tc>
      </w:tr>
      <w:tr w14:paraId="7B646B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909" w:type="dxa"/>
            <w:tcBorders>
              <w:left w:val="single" w:color="000000" w:sz="10" w:space="0"/>
            </w:tcBorders>
            <w:vAlign w:val="top"/>
          </w:tcPr>
          <w:p w14:paraId="442F7130">
            <w:pPr>
              <w:spacing w:before="204" w:line="197" w:lineRule="auto"/>
              <w:ind w:left="154"/>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017</w:t>
            </w:r>
          </w:p>
        </w:tc>
        <w:tc>
          <w:tcPr>
            <w:tcW w:w="2783" w:type="dxa"/>
            <w:vAlign w:val="top"/>
          </w:tcPr>
          <w:p w14:paraId="3E673107">
            <w:pPr>
              <w:pStyle w:val="6"/>
              <w:spacing w:before="41" w:line="231" w:lineRule="auto"/>
              <w:ind w:left="201"/>
              <w:rPr>
                <w:sz w:val="19"/>
                <w:szCs w:val="19"/>
              </w:rPr>
            </w:pPr>
            <w:r>
              <w:rPr>
                <w:spacing w:val="8"/>
                <w:sz w:val="19"/>
                <w:szCs w:val="19"/>
              </w:rPr>
              <w:t>重庆市黔江区鹅池镇萤石开</w:t>
            </w:r>
          </w:p>
          <w:p w14:paraId="63497F1F">
            <w:pPr>
              <w:pStyle w:val="6"/>
              <w:spacing w:before="21" w:line="207" w:lineRule="auto"/>
              <w:ind w:left="1197"/>
              <w:rPr>
                <w:sz w:val="19"/>
                <w:szCs w:val="19"/>
              </w:rPr>
            </w:pPr>
            <w:r>
              <w:rPr>
                <w:spacing w:val="1"/>
                <w:sz w:val="19"/>
                <w:szCs w:val="19"/>
              </w:rPr>
              <w:t>采厂</w:t>
            </w:r>
          </w:p>
        </w:tc>
        <w:tc>
          <w:tcPr>
            <w:tcW w:w="1195" w:type="dxa"/>
            <w:vAlign w:val="top"/>
          </w:tcPr>
          <w:p w14:paraId="6D53C183">
            <w:pPr>
              <w:pStyle w:val="6"/>
              <w:spacing w:before="41" w:line="229" w:lineRule="auto"/>
              <w:ind w:left="410" w:right="195" w:hanging="196"/>
              <w:rPr>
                <w:sz w:val="19"/>
                <w:szCs w:val="19"/>
              </w:rPr>
            </w:pPr>
            <w:r>
              <w:rPr>
                <w:spacing w:val="4"/>
                <w:sz w:val="19"/>
                <w:szCs w:val="19"/>
              </w:rPr>
              <w:t>萤石（普</w:t>
            </w:r>
            <w:r>
              <w:rPr>
                <w:spacing w:val="2"/>
                <w:sz w:val="19"/>
                <w:szCs w:val="19"/>
              </w:rPr>
              <w:t xml:space="preserve"> </w:t>
            </w:r>
            <w:r>
              <w:rPr>
                <w:spacing w:val="-5"/>
                <w:sz w:val="19"/>
                <w:szCs w:val="19"/>
              </w:rPr>
              <w:t>通）</w:t>
            </w:r>
          </w:p>
        </w:tc>
        <w:tc>
          <w:tcPr>
            <w:tcW w:w="1201" w:type="dxa"/>
            <w:vAlign w:val="top"/>
          </w:tcPr>
          <w:p w14:paraId="205E7226">
            <w:pPr>
              <w:pStyle w:val="6"/>
              <w:spacing w:before="40" w:line="230" w:lineRule="auto"/>
              <w:ind w:left="413"/>
              <w:rPr>
                <w:sz w:val="19"/>
                <w:szCs w:val="19"/>
              </w:rPr>
            </w:pPr>
            <w:r>
              <w:rPr>
                <w:spacing w:val="2"/>
                <w:sz w:val="19"/>
                <w:szCs w:val="19"/>
              </w:rPr>
              <w:t>保留</w:t>
            </w:r>
          </w:p>
          <w:p w14:paraId="4891703C">
            <w:pPr>
              <w:pStyle w:val="6"/>
              <w:spacing w:before="22" w:line="207" w:lineRule="auto"/>
              <w:ind w:left="214"/>
              <w:rPr>
                <w:sz w:val="19"/>
                <w:szCs w:val="19"/>
              </w:rPr>
            </w:pPr>
            <w:r>
              <w:rPr>
                <w:spacing w:val="6"/>
                <w:sz w:val="19"/>
                <w:szCs w:val="19"/>
              </w:rPr>
              <w:t>地下开采</w:t>
            </w:r>
          </w:p>
        </w:tc>
        <w:tc>
          <w:tcPr>
            <w:tcW w:w="1556" w:type="dxa"/>
            <w:vAlign w:val="top"/>
          </w:tcPr>
          <w:p w14:paraId="7BB5F641">
            <w:pPr>
              <w:pStyle w:val="6"/>
              <w:spacing w:before="170" w:line="233" w:lineRule="auto"/>
              <w:ind w:left="521"/>
              <w:rPr>
                <w:sz w:val="19"/>
                <w:szCs w:val="19"/>
              </w:rPr>
            </w:pPr>
            <w:r>
              <w:rPr>
                <w:spacing w:val="-4"/>
                <w:sz w:val="19"/>
                <w:szCs w:val="19"/>
              </w:rPr>
              <w:t>已投放</w:t>
            </w:r>
          </w:p>
        </w:tc>
        <w:tc>
          <w:tcPr>
            <w:tcW w:w="1415" w:type="dxa"/>
            <w:tcBorders>
              <w:right w:val="single" w:color="000000" w:sz="10" w:space="0"/>
            </w:tcBorders>
            <w:vAlign w:val="top"/>
          </w:tcPr>
          <w:p w14:paraId="2F9A81F3">
            <w:pPr>
              <w:pStyle w:val="6"/>
              <w:spacing w:before="170" w:line="231" w:lineRule="auto"/>
              <w:ind w:left="522"/>
              <w:rPr>
                <w:sz w:val="19"/>
                <w:szCs w:val="19"/>
              </w:rPr>
            </w:pPr>
            <w:r>
              <w:rPr>
                <w:spacing w:val="1"/>
                <w:sz w:val="19"/>
                <w:szCs w:val="19"/>
              </w:rPr>
              <w:t>未建</w:t>
            </w:r>
          </w:p>
        </w:tc>
      </w:tr>
      <w:tr w14:paraId="38D674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909" w:type="dxa"/>
            <w:tcBorders>
              <w:left w:val="single" w:color="000000" w:sz="10" w:space="0"/>
            </w:tcBorders>
            <w:vAlign w:val="top"/>
          </w:tcPr>
          <w:p w14:paraId="33B32493">
            <w:pPr>
              <w:spacing w:before="204" w:line="197" w:lineRule="auto"/>
              <w:ind w:left="154"/>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018</w:t>
            </w:r>
          </w:p>
        </w:tc>
        <w:tc>
          <w:tcPr>
            <w:tcW w:w="2783" w:type="dxa"/>
            <w:vAlign w:val="top"/>
          </w:tcPr>
          <w:p w14:paraId="596B1769">
            <w:pPr>
              <w:pStyle w:val="6"/>
              <w:spacing w:before="41" w:line="231" w:lineRule="auto"/>
              <w:ind w:left="201"/>
              <w:rPr>
                <w:sz w:val="19"/>
                <w:szCs w:val="19"/>
              </w:rPr>
            </w:pPr>
            <w:r>
              <w:rPr>
                <w:spacing w:val="8"/>
                <w:sz w:val="19"/>
                <w:szCs w:val="19"/>
              </w:rPr>
              <w:t>重庆市黔江区鹅池镇四季采</w:t>
            </w:r>
          </w:p>
          <w:p w14:paraId="2D205C6D">
            <w:pPr>
              <w:pStyle w:val="6"/>
              <w:spacing w:before="21" w:line="207" w:lineRule="auto"/>
              <w:ind w:left="1196"/>
              <w:rPr>
                <w:sz w:val="19"/>
                <w:szCs w:val="19"/>
              </w:rPr>
            </w:pPr>
            <w:r>
              <w:rPr>
                <w:spacing w:val="2"/>
                <w:sz w:val="19"/>
                <w:szCs w:val="19"/>
              </w:rPr>
              <w:t>矿场</w:t>
            </w:r>
          </w:p>
        </w:tc>
        <w:tc>
          <w:tcPr>
            <w:tcW w:w="1195" w:type="dxa"/>
            <w:vAlign w:val="top"/>
          </w:tcPr>
          <w:p w14:paraId="4D2FC718">
            <w:pPr>
              <w:pStyle w:val="6"/>
              <w:spacing w:before="41" w:line="229" w:lineRule="auto"/>
              <w:ind w:left="410" w:right="195" w:hanging="196"/>
              <w:rPr>
                <w:sz w:val="19"/>
                <w:szCs w:val="19"/>
              </w:rPr>
            </w:pPr>
            <w:r>
              <w:rPr>
                <w:spacing w:val="4"/>
                <w:sz w:val="19"/>
                <w:szCs w:val="19"/>
              </w:rPr>
              <w:t>萤石（普</w:t>
            </w:r>
            <w:r>
              <w:rPr>
                <w:spacing w:val="2"/>
                <w:sz w:val="19"/>
                <w:szCs w:val="19"/>
              </w:rPr>
              <w:t xml:space="preserve"> </w:t>
            </w:r>
            <w:r>
              <w:rPr>
                <w:spacing w:val="-5"/>
                <w:sz w:val="19"/>
                <w:szCs w:val="19"/>
              </w:rPr>
              <w:t>通）</w:t>
            </w:r>
          </w:p>
        </w:tc>
        <w:tc>
          <w:tcPr>
            <w:tcW w:w="1201" w:type="dxa"/>
            <w:vAlign w:val="top"/>
          </w:tcPr>
          <w:p w14:paraId="3B9525EB">
            <w:pPr>
              <w:pStyle w:val="6"/>
              <w:spacing w:before="40" w:line="230" w:lineRule="auto"/>
              <w:ind w:left="413"/>
              <w:rPr>
                <w:sz w:val="19"/>
                <w:szCs w:val="19"/>
              </w:rPr>
            </w:pPr>
            <w:r>
              <w:rPr>
                <w:spacing w:val="2"/>
                <w:sz w:val="19"/>
                <w:szCs w:val="19"/>
              </w:rPr>
              <w:t>保留</w:t>
            </w:r>
          </w:p>
          <w:p w14:paraId="714B9AE8">
            <w:pPr>
              <w:pStyle w:val="6"/>
              <w:spacing w:before="22" w:line="207" w:lineRule="auto"/>
              <w:ind w:left="214"/>
              <w:rPr>
                <w:sz w:val="19"/>
                <w:szCs w:val="19"/>
              </w:rPr>
            </w:pPr>
            <w:r>
              <w:rPr>
                <w:spacing w:val="6"/>
                <w:sz w:val="19"/>
                <w:szCs w:val="19"/>
              </w:rPr>
              <w:t>地下开采</w:t>
            </w:r>
          </w:p>
        </w:tc>
        <w:tc>
          <w:tcPr>
            <w:tcW w:w="1556" w:type="dxa"/>
            <w:vAlign w:val="top"/>
          </w:tcPr>
          <w:p w14:paraId="251953FB">
            <w:pPr>
              <w:pStyle w:val="6"/>
              <w:spacing w:before="170" w:line="233" w:lineRule="auto"/>
              <w:ind w:left="521"/>
              <w:rPr>
                <w:sz w:val="19"/>
                <w:szCs w:val="19"/>
              </w:rPr>
            </w:pPr>
            <w:r>
              <w:rPr>
                <w:spacing w:val="-4"/>
                <w:sz w:val="19"/>
                <w:szCs w:val="19"/>
              </w:rPr>
              <w:t>已投放</w:t>
            </w:r>
          </w:p>
        </w:tc>
        <w:tc>
          <w:tcPr>
            <w:tcW w:w="1415" w:type="dxa"/>
            <w:tcBorders>
              <w:right w:val="single" w:color="000000" w:sz="10" w:space="0"/>
            </w:tcBorders>
            <w:vAlign w:val="top"/>
          </w:tcPr>
          <w:p w14:paraId="2747241A">
            <w:pPr>
              <w:pStyle w:val="6"/>
              <w:spacing w:before="170" w:line="231" w:lineRule="auto"/>
              <w:ind w:left="522"/>
              <w:rPr>
                <w:sz w:val="19"/>
                <w:szCs w:val="19"/>
              </w:rPr>
            </w:pPr>
            <w:r>
              <w:rPr>
                <w:spacing w:val="1"/>
                <w:sz w:val="19"/>
                <w:szCs w:val="19"/>
              </w:rPr>
              <w:t>未建</w:t>
            </w:r>
          </w:p>
        </w:tc>
      </w:tr>
      <w:tr w14:paraId="4AE938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909" w:type="dxa"/>
            <w:tcBorders>
              <w:left w:val="single" w:color="000000" w:sz="10" w:space="0"/>
            </w:tcBorders>
            <w:vAlign w:val="top"/>
          </w:tcPr>
          <w:p w14:paraId="673C6DD8">
            <w:pPr>
              <w:spacing w:before="204" w:line="197" w:lineRule="auto"/>
              <w:ind w:left="154"/>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019</w:t>
            </w:r>
          </w:p>
        </w:tc>
        <w:tc>
          <w:tcPr>
            <w:tcW w:w="2783" w:type="dxa"/>
            <w:vAlign w:val="top"/>
          </w:tcPr>
          <w:p w14:paraId="614D40CE">
            <w:pPr>
              <w:pStyle w:val="6"/>
              <w:spacing w:before="40" w:line="229" w:lineRule="auto"/>
              <w:ind w:left="801" w:right="196" w:hanging="600"/>
              <w:rPr>
                <w:sz w:val="19"/>
                <w:szCs w:val="19"/>
              </w:rPr>
            </w:pPr>
            <w:r>
              <w:rPr>
                <w:spacing w:val="8"/>
                <w:sz w:val="19"/>
                <w:szCs w:val="19"/>
              </w:rPr>
              <w:t>重庆市黔江区鹅池镇铁厂坝</w:t>
            </w:r>
            <w:r>
              <w:rPr>
                <w:spacing w:val="3"/>
                <w:sz w:val="19"/>
                <w:szCs w:val="19"/>
              </w:rPr>
              <w:t xml:space="preserve"> </w:t>
            </w:r>
            <w:r>
              <w:rPr>
                <w:spacing w:val="6"/>
                <w:sz w:val="19"/>
                <w:szCs w:val="19"/>
              </w:rPr>
              <w:t>萤石重晶石矿</w:t>
            </w:r>
          </w:p>
        </w:tc>
        <w:tc>
          <w:tcPr>
            <w:tcW w:w="1195" w:type="dxa"/>
            <w:vAlign w:val="top"/>
          </w:tcPr>
          <w:p w14:paraId="45FD3D05">
            <w:pPr>
              <w:pStyle w:val="6"/>
              <w:spacing w:before="40" w:line="229" w:lineRule="auto"/>
              <w:ind w:left="410" w:right="195" w:hanging="196"/>
              <w:rPr>
                <w:sz w:val="19"/>
                <w:szCs w:val="19"/>
              </w:rPr>
            </w:pPr>
            <w:r>
              <w:rPr>
                <w:spacing w:val="4"/>
                <w:sz w:val="19"/>
                <w:szCs w:val="19"/>
              </w:rPr>
              <w:t>萤石（普</w:t>
            </w:r>
            <w:r>
              <w:rPr>
                <w:spacing w:val="2"/>
                <w:sz w:val="19"/>
                <w:szCs w:val="19"/>
              </w:rPr>
              <w:t xml:space="preserve"> </w:t>
            </w:r>
            <w:r>
              <w:rPr>
                <w:spacing w:val="-5"/>
                <w:sz w:val="19"/>
                <w:szCs w:val="19"/>
              </w:rPr>
              <w:t>通）</w:t>
            </w:r>
          </w:p>
        </w:tc>
        <w:tc>
          <w:tcPr>
            <w:tcW w:w="1201" w:type="dxa"/>
            <w:vAlign w:val="top"/>
          </w:tcPr>
          <w:p w14:paraId="2C12CBC4">
            <w:pPr>
              <w:pStyle w:val="6"/>
              <w:spacing w:before="40" w:line="230" w:lineRule="auto"/>
              <w:ind w:left="413"/>
              <w:rPr>
                <w:sz w:val="19"/>
                <w:szCs w:val="19"/>
              </w:rPr>
            </w:pPr>
            <w:r>
              <w:rPr>
                <w:spacing w:val="2"/>
                <w:sz w:val="19"/>
                <w:szCs w:val="19"/>
              </w:rPr>
              <w:t>保留</w:t>
            </w:r>
          </w:p>
          <w:p w14:paraId="2DE253A7">
            <w:pPr>
              <w:pStyle w:val="6"/>
              <w:spacing w:before="22" w:line="206" w:lineRule="auto"/>
              <w:ind w:left="214"/>
              <w:rPr>
                <w:sz w:val="19"/>
                <w:szCs w:val="19"/>
              </w:rPr>
            </w:pPr>
            <w:r>
              <w:rPr>
                <w:spacing w:val="6"/>
                <w:sz w:val="19"/>
                <w:szCs w:val="19"/>
              </w:rPr>
              <w:t>地下开采</w:t>
            </w:r>
          </w:p>
        </w:tc>
        <w:tc>
          <w:tcPr>
            <w:tcW w:w="1556" w:type="dxa"/>
            <w:vAlign w:val="top"/>
          </w:tcPr>
          <w:p w14:paraId="62153024">
            <w:pPr>
              <w:pStyle w:val="6"/>
              <w:spacing w:before="170" w:line="233" w:lineRule="auto"/>
              <w:ind w:left="521"/>
              <w:rPr>
                <w:sz w:val="19"/>
                <w:szCs w:val="19"/>
              </w:rPr>
            </w:pPr>
            <w:r>
              <w:rPr>
                <w:spacing w:val="-4"/>
                <w:sz w:val="19"/>
                <w:szCs w:val="19"/>
              </w:rPr>
              <w:t>已投放</w:t>
            </w:r>
          </w:p>
        </w:tc>
        <w:tc>
          <w:tcPr>
            <w:tcW w:w="1415" w:type="dxa"/>
            <w:tcBorders>
              <w:right w:val="single" w:color="000000" w:sz="10" w:space="0"/>
            </w:tcBorders>
            <w:vAlign w:val="top"/>
          </w:tcPr>
          <w:p w14:paraId="19C6CA59">
            <w:pPr>
              <w:pStyle w:val="6"/>
              <w:spacing w:before="170" w:line="231" w:lineRule="auto"/>
              <w:ind w:left="324"/>
              <w:rPr>
                <w:sz w:val="19"/>
                <w:szCs w:val="19"/>
              </w:rPr>
            </w:pPr>
            <w:r>
              <w:rPr>
                <w:spacing w:val="5"/>
                <w:sz w:val="19"/>
                <w:szCs w:val="19"/>
              </w:rPr>
              <w:t>正常开采</w:t>
            </w:r>
          </w:p>
        </w:tc>
      </w:tr>
      <w:tr w14:paraId="1C7875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909" w:type="dxa"/>
            <w:tcBorders>
              <w:left w:val="single" w:color="000000" w:sz="10" w:space="0"/>
            </w:tcBorders>
            <w:vAlign w:val="top"/>
          </w:tcPr>
          <w:p w14:paraId="3948D6C8">
            <w:pPr>
              <w:spacing w:before="208" w:line="197" w:lineRule="auto"/>
              <w:ind w:left="154"/>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020</w:t>
            </w:r>
          </w:p>
        </w:tc>
        <w:tc>
          <w:tcPr>
            <w:tcW w:w="2783" w:type="dxa"/>
            <w:vAlign w:val="top"/>
          </w:tcPr>
          <w:p w14:paraId="0A40DAC3">
            <w:pPr>
              <w:pStyle w:val="6"/>
              <w:spacing w:before="43" w:line="228" w:lineRule="auto"/>
              <w:ind w:left="794" w:right="196" w:hanging="593"/>
              <w:rPr>
                <w:sz w:val="19"/>
                <w:szCs w:val="19"/>
              </w:rPr>
            </w:pPr>
            <w:r>
              <w:rPr>
                <w:spacing w:val="8"/>
                <w:sz w:val="19"/>
                <w:szCs w:val="19"/>
              </w:rPr>
              <w:t>重庆市黔江区蓬东乡河坝坡</w:t>
            </w:r>
            <w:r>
              <w:rPr>
                <w:spacing w:val="3"/>
                <w:sz w:val="19"/>
                <w:szCs w:val="19"/>
              </w:rPr>
              <w:t xml:space="preserve"> </w:t>
            </w:r>
            <w:r>
              <w:rPr>
                <w:spacing w:val="7"/>
                <w:sz w:val="19"/>
                <w:szCs w:val="19"/>
              </w:rPr>
              <w:t>水泥用灰岩矿</w:t>
            </w:r>
          </w:p>
        </w:tc>
        <w:tc>
          <w:tcPr>
            <w:tcW w:w="1195" w:type="dxa"/>
            <w:vAlign w:val="top"/>
          </w:tcPr>
          <w:p w14:paraId="3658A442">
            <w:pPr>
              <w:pStyle w:val="6"/>
              <w:spacing w:before="44" w:line="232" w:lineRule="auto"/>
              <w:ind w:left="207"/>
              <w:rPr>
                <w:sz w:val="19"/>
                <w:szCs w:val="19"/>
              </w:rPr>
            </w:pPr>
            <w:r>
              <w:rPr>
                <w:spacing w:val="6"/>
                <w:sz w:val="19"/>
                <w:szCs w:val="19"/>
              </w:rPr>
              <w:t>水泥用灰</w:t>
            </w:r>
          </w:p>
          <w:p w14:paraId="0A914CFF">
            <w:pPr>
              <w:pStyle w:val="6"/>
              <w:spacing w:before="20" w:line="204" w:lineRule="auto"/>
              <w:ind w:left="405"/>
              <w:rPr>
                <w:sz w:val="19"/>
                <w:szCs w:val="19"/>
              </w:rPr>
            </w:pPr>
            <w:r>
              <w:rPr>
                <w:spacing w:val="3"/>
                <w:sz w:val="19"/>
                <w:szCs w:val="19"/>
              </w:rPr>
              <w:t>岩矿</w:t>
            </w:r>
          </w:p>
        </w:tc>
        <w:tc>
          <w:tcPr>
            <w:tcW w:w="1201" w:type="dxa"/>
            <w:vAlign w:val="top"/>
          </w:tcPr>
          <w:p w14:paraId="295C2FB5">
            <w:pPr>
              <w:pStyle w:val="6"/>
              <w:spacing w:before="44" w:line="230" w:lineRule="auto"/>
              <w:ind w:left="413"/>
              <w:rPr>
                <w:sz w:val="19"/>
                <w:szCs w:val="19"/>
              </w:rPr>
            </w:pPr>
            <w:r>
              <w:rPr>
                <w:spacing w:val="2"/>
                <w:sz w:val="19"/>
                <w:szCs w:val="19"/>
              </w:rPr>
              <w:t>保留</w:t>
            </w:r>
          </w:p>
          <w:p w14:paraId="3A0B292C">
            <w:pPr>
              <w:pStyle w:val="6"/>
              <w:spacing w:before="22" w:line="204" w:lineRule="auto"/>
              <w:ind w:left="218"/>
              <w:rPr>
                <w:sz w:val="19"/>
                <w:szCs w:val="19"/>
              </w:rPr>
            </w:pPr>
            <w:r>
              <w:rPr>
                <w:spacing w:val="5"/>
                <w:sz w:val="19"/>
                <w:szCs w:val="19"/>
              </w:rPr>
              <w:t>露天开采</w:t>
            </w:r>
          </w:p>
        </w:tc>
        <w:tc>
          <w:tcPr>
            <w:tcW w:w="1556" w:type="dxa"/>
            <w:vAlign w:val="top"/>
          </w:tcPr>
          <w:p w14:paraId="1600A263">
            <w:pPr>
              <w:pStyle w:val="6"/>
              <w:spacing w:before="173" w:line="233" w:lineRule="auto"/>
              <w:ind w:left="521"/>
              <w:rPr>
                <w:sz w:val="19"/>
                <w:szCs w:val="19"/>
              </w:rPr>
            </w:pPr>
            <w:r>
              <w:rPr>
                <w:spacing w:val="-4"/>
                <w:sz w:val="19"/>
                <w:szCs w:val="19"/>
              </w:rPr>
              <w:t>已投放</w:t>
            </w:r>
          </w:p>
        </w:tc>
        <w:tc>
          <w:tcPr>
            <w:tcW w:w="1415" w:type="dxa"/>
            <w:tcBorders>
              <w:right w:val="single" w:color="000000" w:sz="10" w:space="0"/>
            </w:tcBorders>
            <w:vAlign w:val="top"/>
          </w:tcPr>
          <w:p w14:paraId="1B347E95">
            <w:pPr>
              <w:pStyle w:val="6"/>
              <w:spacing w:before="174" w:line="231" w:lineRule="auto"/>
              <w:ind w:left="324"/>
              <w:rPr>
                <w:sz w:val="19"/>
                <w:szCs w:val="19"/>
              </w:rPr>
            </w:pPr>
            <w:r>
              <w:rPr>
                <w:spacing w:val="5"/>
                <w:sz w:val="19"/>
                <w:szCs w:val="19"/>
              </w:rPr>
              <w:t>正常开采</w:t>
            </w:r>
          </w:p>
        </w:tc>
      </w:tr>
      <w:tr w14:paraId="2C22A8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909" w:type="dxa"/>
            <w:tcBorders>
              <w:left w:val="single" w:color="000000" w:sz="10" w:space="0"/>
            </w:tcBorders>
            <w:vAlign w:val="top"/>
          </w:tcPr>
          <w:p w14:paraId="1EB781DF">
            <w:pPr>
              <w:spacing w:before="208" w:line="197" w:lineRule="auto"/>
              <w:ind w:left="154"/>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021</w:t>
            </w:r>
          </w:p>
        </w:tc>
        <w:tc>
          <w:tcPr>
            <w:tcW w:w="2783" w:type="dxa"/>
            <w:vAlign w:val="top"/>
          </w:tcPr>
          <w:p w14:paraId="14B5F473">
            <w:pPr>
              <w:pStyle w:val="6"/>
              <w:spacing w:before="43" w:line="228" w:lineRule="auto"/>
              <w:ind w:left="696" w:right="196" w:hanging="497"/>
              <w:rPr>
                <w:sz w:val="19"/>
                <w:szCs w:val="19"/>
              </w:rPr>
            </w:pPr>
            <w:r>
              <w:rPr>
                <w:spacing w:val="8"/>
                <w:sz w:val="19"/>
                <w:szCs w:val="19"/>
              </w:rPr>
              <w:t>黔江区杉岭乡兴隆村后河建</w:t>
            </w:r>
            <w:r>
              <w:rPr>
                <w:spacing w:val="5"/>
                <w:sz w:val="19"/>
                <w:szCs w:val="19"/>
              </w:rPr>
              <w:t xml:space="preserve"> </w:t>
            </w:r>
            <w:r>
              <w:rPr>
                <w:spacing w:val="7"/>
                <w:sz w:val="19"/>
                <w:szCs w:val="19"/>
              </w:rPr>
              <w:t>筑石料用灰岩矿</w:t>
            </w:r>
          </w:p>
        </w:tc>
        <w:tc>
          <w:tcPr>
            <w:tcW w:w="1195" w:type="dxa"/>
            <w:vAlign w:val="top"/>
          </w:tcPr>
          <w:p w14:paraId="2E0B8CFC">
            <w:pPr>
              <w:pStyle w:val="6"/>
              <w:spacing w:before="43" w:line="228" w:lineRule="auto"/>
              <w:ind w:left="306" w:right="195" w:hanging="98"/>
              <w:rPr>
                <w:sz w:val="19"/>
                <w:szCs w:val="19"/>
              </w:rPr>
            </w:pPr>
            <w:r>
              <w:rPr>
                <w:spacing w:val="6"/>
                <w:sz w:val="19"/>
                <w:szCs w:val="19"/>
              </w:rPr>
              <w:t>建筑石料</w:t>
            </w:r>
            <w:r>
              <w:rPr>
                <w:sz w:val="19"/>
                <w:szCs w:val="19"/>
              </w:rPr>
              <w:t xml:space="preserve"> </w:t>
            </w:r>
            <w:r>
              <w:rPr>
                <w:spacing w:val="5"/>
                <w:sz w:val="19"/>
                <w:szCs w:val="19"/>
              </w:rPr>
              <w:t>用灰岩</w:t>
            </w:r>
          </w:p>
        </w:tc>
        <w:tc>
          <w:tcPr>
            <w:tcW w:w="1201" w:type="dxa"/>
            <w:vAlign w:val="top"/>
          </w:tcPr>
          <w:p w14:paraId="59439EF8">
            <w:pPr>
              <w:pStyle w:val="6"/>
              <w:spacing w:before="44" w:line="231" w:lineRule="auto"/>
              <w:ind w:left="411"/>
              <w:rPr>
                <w:sz w:val="19"/>
                <w:szCs w:val="19"/>
              </w:rPr>
            </w:pPr>
            <w:r>
              <w:rPr>
                <w:spacing w:val="2"/>
                <w:sz w:val="19"/>
                <w:szCs w:val="19"/>
              </w:rPr>
              <w:t>新设</w:t>
            </w:r>
          </w:p>
          <w:p w14:paraId="71AD6D46">
            <w:pPr>
              <w:pStyle w:val="6"/>
              <w:spacing w:before="20" w:line="204" w:lineRule="auto"/>
              <w:ind w:left="218"/>
              <w:rPr>
                <w:sz w:val="19"/>
                <w:szCs w:val="19"/>
              </w:rPr>
            </w:pPr>
            <w:r>
              <w:rPr>
                <w:spacing w:val="5"/>
                <w:sz w:val="19"/>
                <w:szCs w:val="19"/>
              </w:rPr>
              <w:t>露天开采</w:t>
            </w:r>
          </w:p>
        </w:tc>
        <w:tc>
          <w:tcPr>
            <w:tcW w:w="1556" w:type="dxa"/>
            <w:vAlign w:val="top"/>
          </w:tcPr>
          <w:p w14:paraId="0ECE57EC">
            <w:pPr>
              <w:pStyle w:val="6"/>
              <w:spacing w:before="173" w:line="233" w:lineRule="auto"/>
              <w:ind w:left="521"/>
              <w:rPr>
                <w:sz w:val="19"/>
                <w:szCs w:val="19"/>
              </w:rPr>
            </w:pPr>
            <w:r>
              <w:rPr>
                <w:spacing w:val="-4"/>
                <w:sz w:val="19"/>
                <w:szCs w:val="19"/>
              </w:rPr>
              <w:t>已投放</w:t>
            </w:r>
          </w:p>
        </w:tc>
        <w:tc>
          <w:tcPr>
            <w:tcW w:w="1415" w:type="dxa"/>
            <w:tcBorders>
              <w:right w:val="single" w:color="000000" w:sz="10" w:space="0"/>
            </w:tcBorders>
            <w:vAlign w:val="top"/>
          </w:tcPr>
          <w:p w14:paraId="1BC1EE8C">
            <w:pPr>
              <w:pStyle w:val="6"/>
              <w:spacing w:before="174" w:line="231" w:lineRule="auto"/>
              <w:ind w:left="324"/>
              <w:rPr>
                <w:sz w:val="19"/>
                <w:szCs w:val="19"/>
              </w:rPr>
            </w:pPr>
            <w:r>
              <w:rPr>
                <w:spacing w:val="5"/>
                <w:sz w:val="19"/>
                <w:szCs w:val="19"/>
              </w:rPr>
              <w:t>正常开采</w:t>
            </w:r>
          </w:p>
        </w:tc>
      </w:tr>
      <w:tr w14:paraId="215691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909" w:type="dxa"/>
            <w:tcBorders>
              <w:left w:val="single" w:color="000000" w:sz="10" w:space="0"/>
            </w:tcBorders>
            <w:vAlign w:val="top"/>
          </w:tcPr>
          <w:p w14:paraId="37F7F969">
            <w:pPr>
              <w:spacing w:before="208" w:line="197" w:lineRule="auto"/>
              <w:ind w:left="154"/>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022</w:t>
            </w:r>
          </w:p>
        </w:tc>
        <w:tc>
          <w:tcPr>
            <w:tcW w:w="2783" w:type="dxa"/>
            <w:vAlign w:val="top"/>
          </w:tcPr>
          <w:p w14:paraId="6078C3AC">
            <w:pPr>
              <w:pStyle w:val="6"/>
              <w:spacing w:before="43" w:line="228" w:lineRule="auto"/>
              <w:ind w:left="495" w:right="196" w:hanging="296"/>
              <w:rPr>
                <w:sz w:val="19"/>
                <w:szCs w:val="19"/>
              </w:rPr>
            </w:pPr>
            <w:r>
              <w:rPr>
                <w:spacing w:val="8"/>
                <w:sz w:val="19"/>
                <w:szCs w:val="19"/>
              </w:rPr>
              <w:t>黔江区蓬东乡尖山村六组道</w:t>
            </w:r>
            <w:r>
              <w:rPr>
                <w:spacing w:val="5"/>
                <w:sz w:val="19"/>
                <w:szCs w:val="19"/>
              </w:rPr>
              <w:t xml:space="preserve"> </w:t>
            </w:r>
            <w:r>
              <w:rPr>
                <w:spacing w:val="8"/>
                <w:sz w:val="19"/>
                <w:szCs w:val="19"/>
              </w:rPr>
              <w:t>湾建筑石料用灰岩矿</w:t>
            </w:r>
          </w:p>
        </w:tc>
        <w:tc>
          <w:tcPr>
            <w:tcW w:w="1195" w:type="dxa"/>
            <w:vAlign w:val="top"/>
          </w:tcPr>
          <w:p w14:paraId="3E6AC35C">
            <w:pPr>
              <w:pStyle w:val="6"/>
              <w:spacing w:before="43" w:line="228" w:lineRule="auto"/>
              <w:ind w:left="306" w:right="195" w:hanging="98"/>
              <w:rPr>
                <w:sz w:val="19"/>
                <w:szCs w:val="19"/>
              </w:rPr>
            </w:pPr>
            <w:r>
              <w:rPr>
                <w:spacing w:val="6"/>
                <w:sz w:val="19"/>
                <w:szCs w:val="19"/>
              </w:rPr>
              <w:t>建筑石料</w:t>
            </w:r>
            <w:r>
              <w:rPr>
                <w:sz w:val="19"/>
                <w:szCs w:val="19"/>
              </w:rPr>
              <w:t xml:space="preserve"> </w:t>
            </w:r>
            <w:r>
              <w:rPr>
                <w:spacing w:val="5"/>
                <w:sz w:val="19"/>
                <w:szCs w:val="19"/>
              </w:rPr>
              <w:t>用灰岩</w:t>
            </w:r>
          </w:p>
        </w:tc>
        <w:tc>
          <w:tcPr>
            <w:tcW w:w="1201" w:type="dxa"/>
            <w:vAlign w:val="top"/>
          </w:tcPr>
          <w:p w14:paraId="5FE3F144">
            <w:pPr>
              <w:pStyle w:val="6"/>
              <w:spacing w:before="44" w:line="231" w:lineRule="auto"/>
              <w:ind w:left="411"/>
              <w:rPr>
                <w:sz w:val="19"/>
                <w:szCs w:val="19"/>
              </w:rPr>
            </w:pPr>
            <w:r>
              <w:rPr>
                <w:spacing w:val="2"/>
                <w:sz w:val="19"/>
                <w:szCs w:val="19"/>
              </w:rPr>
              <w:t>新设</w:t>
            </w:r>
          </w:p>
          <w:p w14:paraId="10FEFA2A">
            <w:pPr>
              <w:pStyle w:val="6"/>
              <w:spacing w:before="20" w:line="204" w:lineRule="auto"/>
              <w:ind w:left="218"/>
              <w:rPr>
                <w:sz w:val="19"/>
                <w:szCs w:val="19"/>
              </w:rPr>
            </w:pPr>
            <w:r>
              <w:rPr>
                <w:spacing w:val="5"/>
                <w:sz w:val="19"/>
                <w:szCs w:val="19"/>
              </w:rPr>
              <w:t>露天开采</w:t>
            </w:r>
          </w:p>
        </w:tc>
        <w:tc>
          <w:tcPr>
            <w:tcW w:w="1556" w:type="dxa"/>
            <w:vAlign w:val="top"/>
          </w:tcPr>
          <w:p w14:paraId="4FEE8063">
            <w:pPr>
              <w:pStyle w:val="6"/>
              <w:spacing w:before="173" w:line="233" w:lineRule="auto"/>
              <w:ind w:left="521"/>
              <w:rPr>
                <w:sz w:val="19"/>
                <w:szCs w:val="19"/>
              </w:rPr>
            </w:pPr>
            <w:r>
              <w:rPr>
                <w:spacing w:val="-4"/>
                <w:sz w:val="19"/>
                <w:szCs w:val="19"/>
              </w:rPr>
              <w:t>已投放</w:t>
            </w:r>
          </w:p>
        </w:tc>
        <w:tc>
          <w:tcPr>
            <w:tcW w:w="1415" w:type="dxa"/>
            <w:tcBorders>
              <w:right w:val="single" w:color="000000" w:sz="10" w:space="0"/>
            </w:tcBorders>
            <w:vAlign w:val="top"/>
          </w:tcPr>
          <w:p w14:paraId="57862767">
            <w:pPr>
              <w:pStyle w:val="6"/>
              <w:spacing w:before="174" w:line="231" w:lineRule="auto"/>
              <w:ind w:left="324"/>
              <w:rPr>
                <w:sz w:val="19"/>
                <w:szCs w:val="19"/>
              </w:rPr>
            </w:pPr>
            <w:r>
              <w:rPr>
                <w:spacing w:val="5"/>
                <w:sz w:val="19"/>
                <w:szCs w:val="19"/>
              </w:rPr>
              <w:t>正常开采</w:t>
            </w:r>
          </w:p>
        </w:tc>
      </w:tr>
      <w:tr w14:paraId="0D951F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909" w:type="dxa"/>
            <w:tcBorders>
              <w:left w:val="single" w:color="000000" w:sz="10" w:space="0"/>
            </w:tcBorders>
            <w:vAlign w:val="top"/>
          </w:tcPr>
          <w:p w14:paraId="35E4F3C9">
            <w:pPr>
              <w:spacing w:before="208" w:line="197" w:lineRule="auto"/>
              <w:ind w:left="154"/>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023</w:t>
            </w:r>
          </w:p>
        </w:tc>
        <w:tc>
          <w:tcPr>
            <w:tcW w:w="2783" w:type="dxa"/>
            <w:vAlign w:val="top"/>
          </w:tcPr>
          <w:p w14:paraId="7B5B5F67">
            <w:pPr>
              <w:pStyle w:val="6"/>
              <w:spacing w:before="46" w:line="226" w:lineRule="auto"/>
              <w:ind w:left="696" w:right="196" w:hanging="497"/>
              <w:rPr>
                <w:sz w:val="19"/>
                <w:szCs w:val="19"/>
              </w:rPr>
            </w:pPr>
            <w:r>
              <w:rPr>
                <w:spacing w:val="8"/>
                <w:sz w:val="19"/>
                <w:szCs w:val="19"/>
              </w:rPr>
              <w:t>黔江区五里乡河南村燕岩建</w:t>
            </w:r>
            <w:r>
              <w:rPr>
                <w:spacing w:val="5"/>
                <w:sz w:val="19"/>
                <w:szCs w:val="19"/>
              </w:rPr>
              <w:t xml:space="preserve"> </w:t>
            </w:r>
            <w:r>
              <w:rPr>
                <w:spacing w:val="7"/>
                <w:sz w:val="19"/>
                <w:szCs w:val="19"/>
              </w:rPr>
              <w:t>筑石料用灰岩矿</w:t>
            </w:r>
          </w:p>
        </w:tc>
        <w:tc>
          <w:tcPr>
            <w:tcW w:w="1195" w:type="dxa"/>
            <w:vAlign w:val="top"/>
          </w:tcPr>
          <w:p w14:paraId="7873F87D">
            <w:pPr>
              <w:pStyle w:val="6"/>
              <w:spacing w:before="46" w:line="226" w:lineRule="auto"/>
              <w:ind w:left="306" w:right="195" w:hanging="98"/>
              <w:rPr>
                <w:sz w:val="19"/>
                <w:szCs w:val="19"/>
              </w:rPr>
            </w:pPr>
            <w:r>
              <w:rPr>
                <w:spacing w:val="6"/>
                <w:sz w:val="19"/>
                <w:szCs w:val="19"/>
              </w:rPr>
              <w:t>建筑石料</w:t>
            </w:r>
            <w:r>
              <w:rPr>
                <w:sz w:val="19"/>
                <w:szCs w:val="19"/>
              </w:rPr>
              <w:t xml:space="preserve"> </w:t>
            </w:r>
            <w:r>
              <w:rPr>
                <w:spacing w:val="5"/>
                <w:sz w:val="19"/>
                <w:szCs w:val="19"/>
              </w:rPr>
              <w:t>用灰岩</w:t>
            </w:r>
          </w:p>
        </w:tc>
        <w:tc>
          <w:tcPr>
            <w:tcW w:w="1201" w:type="dxa"/>
            <w:vAlign w:val="top"/>
          </w:tcPr>
          <w:p w14:paraId="0B5BE3BC">
            <w:pPr>
              <w:pStyle w:val="6"/>
              <w:spacing w:before="46" w:line="231" w:lineRule="auto"/>
              <w:ind w:left="411"/>
              <w:rPr>
                <w:sz w:val="19"/>
                <w:szCs w:val="19"/>
              </w:rPr>
            </w:pPr>
            <w:r>
              <w:rPr>
                <w:spacing w:val="2"/>
                <w:sz w:val="19"/>
                <w:szCs w:val="19"/>
              </w:rPr>
              <w:t>新设</w:t>
            </w:r>
          </w:p>
          <w:p w14:paraId="0601D94F">
            <w:pPr>
              <w:pStyle w:val="6"/>
              <w:spacing w:before="21" w:line="200" w:lineRule="auto"/>
              <w:ind w:left="218"/>
              <w:rPr>
                <w:sz w:val="19"/>
                <w:szCs w:val="19"/>
              </w:rPr>
            </w:pPr>
            <w:r>
              <w:rPr>
                <w:spacing w:val="5"/>
                <w:sz w:val="19"/>
                <w:szCs w:val="19"/>
              </w:rPr>
              <w:t>露天开采</w:t>
            </w:r>
          </w:p>
        </w:tc>
        <w:tc>
          <w:tcPr>
            <w:tcW w:w="1556" w:type="dxa"/>
            <w:vAlign w:val="top"/>
          </w:tcPr>
          <w:p w14:paraId="48BD0961">
            <w:pPr>
              <w:pStyle w:val="6"/>
              <w:spacing w:before="174" w:line="231" w:lineRule="auto"/>
              <w:ind w:left="497"/>
              <w:rPr>
                <w:sz w:val="19"/>
                <w:szCs w:val="19"/>
              </w:rPr>
            </w:pPr>
            <w:r>
              <w:rPr>
                <w:spacing w:val="5"/>
                <w:sz w:val="19"/>
                <w:szCs w:val="19"/>
              </w:rPr>
              <w:t>未实施</w:t>
            </w:r>
          </w:p>
        </w:tc>
        <w:tc>
          <w:tcPr>
            <w:tcW w:w="1415" w:type="dxa"/>
            <w:tcBorders>
              <w:right w:val="single" w:color="000000" w:sz="10" w:space="0"/>
            </w:tcBorders>
            <w:vAlign w:val="top"/>
          </w:tcPr>
          <w:p w14:paraId="40B27A78">
            <w:pPr>
              <w:spacing w:before="204" w:line="199" w:lineRule="auto"/>
              <w:ind w:left="680"/>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r>
      <w:tr w14:paraId="619F1F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909" w:type="dxa"/>
            <w:tcBorders>
              <w:left w:val="single" w:color="000000" w:sz="10" w:space="0"/>
            </w:tcBorders>
            <w:vAlign w:val="top"/>
          </w:tcPr>
          <w:p w14:paraId="04CAEA45">
            <w:pPr>
              <w:spacing w:before="211" w:line="197" w:lineRule="auto"/>
              <w:ind w:left="154"/>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024</w:t>
            </w:r>
          </w:p>
        </w:tc>
        <w:tc>
          <w:tcPr>
            <w:tcW w:w="2783" w:type="dxa"/>
            <w:vAlign w:val="top"/>
          </w:tcPr>
          <w:p w14:paraId="521A271E">
            <w:pPr>
              <w:pStyle w:val="6"/>
              <w:spacing w:before="47" w:line="226" w:lineRule="auto"/>
              <w:ind w:left="595" w:right="196" w:hanging="396"/>
              <w:rPr>
                <w:sz w:val="19"/>
                <w:szCs w:val="19"/>
              </w:rPr>
            </w:pPr>
            <w:r>
              <w:rPr>
                <w:spacing w:val="8"/>
                <w:sz w:val="19"/>
                <w:szCs w:val="19"/>
              </w:rPr>
              <w:t>黔江区黎水镇竹园村韩家湾</w:t>
            </w:r>
            <w:r>
              <w:rPr>
                <w:spacing w:val="5"/>
                <w:sz w:val="19"/>
                <w:szCs w:val="19"/>
              </w:rPr>
              <w:t xml:space="preserve"> </w:t>
            </w:r>
            <w:r>
              <w:rPr>
                <w:spacing w:val="8"/>
                <w:sz w:val="19"/>
                <w:szCs w:val="19"/>
              </w:rPr>
              <w:t>建筑石料用灰岩矿</w:t>
            </w:r>
          </w:p>
        </w:tc>
        <w:tc>
          <w:tcPr>
            <w:tcW w:w="1195" w:type="dxa"/>
            <w:vAlign w:val="top"/>
          </w:tcPr>
          <w:p w14:paraId="463627F2">
            <w:pPr>
              <w:pStyle w:val="6"/>
              <w:spacing w:before="47" w:line="226" w:lineRule="auto"/>
              <w:ind w:left="306" w:right="195" w:hanging="98"/>
              <w:rPr>
                <w:sz w:val="19"/>
                <w:szCs w:val="19"/>
              </w:rPr>
            </w:pPr>
            <w:r>
              <w:rPr>
                <w:spacing w:val="6"/>
                <w:sz w:val="19"/>
                <w:szCs w:val="19"/>
              </w:rPr>
              <w:t>建筑石料</w:t>
            </w:r>
            <w:r>
              <w:rPr>
                <w:sz w:val="19"/>
                <w:szCs w:val="19"/>
              </w:rPr>
              <w:t xml:space="preserve"> </w:t>
            </w:r>
            <w:r>
              <w:rPr>
                <w:spacing w:val="5"/>
                <w:sz w:val="19"/>
                <w:szCs w:val="19"/>
              </w:rPr>
              <w:t>用灰岩</w:t>
            </w:r>
          </w:p>
        </w:tc>
        <w:tc>
          <w:tcPr>
            <w:tcW w:w="1201" w:type="dxa"/>
            <w:vAlign w:val="top"/>
          </w:tcPr>
          <w:p w14:paraId="00BE8EBF">
            <w:pPr>
              <w:pStyle w:val="6"/>
              <w:spacing w:before="47" w:line="231" w:lineRule="auto"/>
              <w:ind w:left="411"/>
              <w:rPr>
                <w:sz w:val="19"/>
                <w:szCs w:val="19"/>
              </w:rPr>
            </w:pPr>
            <w:r>
              <w:rPr>
                <w:spacing w:val="2"/>
                <w:sz w:val="19"/>
                <w:szCs w:val="19"/>
              </w:rPr>
              <w:t>新设</w:t>
            </w:r>
          </w:p>
          <w:p w14:paraId="7F3337BE">
            <w:pPr>
              <w:pStyle w:val="6"/>
              <w:spacing w:before="21" w:line="200" w:lineRule="auto"/>
              <w:ind w:left="218"/>
              <w:rPr>
                <w:sz w:val="19"/>
                <w:szCs w:val="19"/>
              </w:rPr>
            </w:pPr>
            <w:r>
              <w:rPr>
                <w:spacing w:val="5"/>
                <w:sz w:val="19"/>
                <w:szCs w:val="19"/>
              </w:rPr>
              <w:t>露天开采</w:t>
            </w:r>
          </w:p>
        </w:tc>
        <w:tc>
          <w:tcPr>
            <w:tcW w:w="1556" w:type="dxa"/>
            <w:vAlign w:val="top"/>
          </w:tcPr>
          <w:p w14:paraId="037D1A33">
            <w:pPr>
              <w:pStyle w:val="6"/>
              <w:spacing w:before="177" w:line="231" w:lineRule="auto"/>
              <w:ind w:left="497"/>
              <w:rPr>
                <w:sz w:val="19"/>
                <w:szCs w:val="19"/>
              </w:rPr>
            </w:pPr>
            <w:r>
              <w:rPr>
                <w:spacing w:val="5"/>
                <w:sz w:val="19"/>
                <w:szCs w:val="19"/>
              </w:rPr>
              <w:t>未实施</w:t>
            </w:r>
          </w:p>
        </w:tc>
        <w:tc>
          <w:tcPr>
            <w:tcW w:w="1415" w:type="dxa"/>
            <w:tcBorders>
              <w:right w:val="single" w:color="000000" w:sz="10" w:space="0"/>
            </w:tcBorders>
            <w:vAlign w:val="top"/>
          </w:tcPr>
          <w:p w14:paraId="0DDD7D05">
            <w:pPr>
              <w:spacing w:before="208" w:line="199" w:lineRule="auto"/>
              <w:ind w:left="680"/>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r>
      <w:tr w14:paraId="336732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909" w:type="dxa"/>
            <w:tcBorders>
              <w:left w:val="single" w:color="000000" w:sz="10" w:space="0"/>
            </w:tcBorders>
            <w:vAlign w:val="top"/>
          </w:tcPr>
          <w:p w14:paraId="0229AF3D">
            <w:pPr>
              <w:spacing w:before="211" w:line="197" w:lineRule="auto"/>
              <w:ind w:left="154"/>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025</w:t>
            </w:r>
          </w:p>
        </w:tc>
        <w:tc>
          <w:tcPr>
            <w:tcW w:w="2783" w:type="dxa"/>
            <w:vAlign w:val="top"/>
          </w:tcPr>
          <w:p w14:paraId="09EC72A1">
            <w:pPr>
              <w:pStyle w:val="6"/>
              <w:spacing w:before="49" w:line="225" w:lineRule="auto"/>
              <w:ind w:left="494" w:right="107" w:hanging="382"/>
              <w:rPr>
                <w:sz w:val="19"/>
                <w:szCs w:val="19"/>
              </w:rPr>
            </w:pPr>
            <w:r>
              <w:rPr>
                <w:spacing w:val="6"/>
                <w:sz w:val="19"/>
                <w:szCs w:val="19"/>
              </w:rPr>
              <w:t>黔江区马喇镇龙溪村</w:t>
            </w:r>
            <w:r>
              <w:rPr>
                <w:spacing w:val="-45"/>
                <w:sz w:val="19"/>
                <w:szCs w:val="19"/>
              </w:rPr>
              <w:t xml:space="preserve"> </w:t>
            </w:r>
            <w:r>
              <w:rPr>
                <w:rFonts w:ascii="Times New Roman" w:hAnsi="Times New Roman" w:eastAsia="Times New Roman" w:cs="Times New Roman"/>
                <w:spacing w:val="6"/>
                <w:sz w:val="19"/>
                <w:szCs w:val="19"/>
              </w:rPr>
              <w:t xml:space="preserve">3 </w:t>
            </w:r>
            <w:r>
              <w:rPr>
                <w:spacing w:val="6"/>
                <w:sz w:val="19"/>
                <w:szCs w:val="19"/>
              </w:rPr>
              <w:t>组曾家</w:t>
            </w:r>
            <w:r>
              <w:rPr>
                <w:sz w:val="19"/>
                <w:szCs w:val="19"/>
              </w:rPr>
              <w:t xml:space="preserve"> </w:t>
            </w:r>
            <w:r>
              <w:rPr>
                <w:spacing w:val="8"/>
                <w:sz w:val="19"/>
                <w:szCs w:val="19"/>
              </w:rPr>
              <w:t>坪建筑石料用灰岩矿</w:t>
            </w:r>
          </w:p>
        </w:tc>
        <w:tc>
          <w:tcPr>
            <w:tcW w:w="1195" w:type="dxa"/>
            <w:vAlign w:val="top"/>
          </w:tcPr>
          <w:p w14:paraId="5FC7B0A6">
            <w:pPr>
              <w:pStyle w:val="6"/>
              <w:spacing w:before="49" w:line="225" w:lineRule="auto"/>
              <w:ind w:left="306" w:right="195" w:hanging="98"/>
              <w:rPr>
                <w:sz w:val="19"/>
                <w:szCs w:val="19"/>
              </w:rPr>
            </w:pPr>
            <w:r>
              <w:rPr>
                <w:spacing w:val="6"/>
                <w:sz w:val="19"/>
                <w:szCs w:val="19"/>
              </w:rPr>
              <w:t>建筑石料</w:t>
            </w:r>
            <w:r>
              <w:rPr>
                <w:sz w:val="19"/>
                <w:szCs w:val="19"/>
              </w:rPr>
              <w:t xml:space="preserve"> </w:t>
            </w:r>
            <w:r>
              <w:rPr>
                <w:spacing w:val="5"/>
                <w:sz w:val="19"/>
                <w:szCs w:val="19"/>
              </w:rPr>
              <w:t>用灰岩</w:t>
            </w:r>
          </w:p>
        </w:tc>
        <w:tc>
          <w:tcPr>
            <w:tcW w:w="1201" w:type="dxa"/>
            <w:vAlign w:val="top"/>
          </w:tcPr>
          <w:p w14:paraId="501EC29F">
            <w:pPr>
              <w:pStyle w:val="6"/>
              <w:spacing w:before="50" w:line="231" w:lineRule="auto"/>
              <w:ind w:left="411"/>
              <w:rPr>
                <w:sz w:val="19"/>
                <w:szCs w:val="19"/>
              </w:rPr>
            </w:pPr>
            <w:r>
              <w:rPr>
                <w:spacing w:val="2"/>
                <w:sz w:val="19"/>
                <w:szCs w:val="19"/>
              </w:rPr>
              <w:t>新设</w:t>
            </w:r>
          </w:p>
          <w:p w14:paraId="71CE877B">
            <w:pPr>
              <w:pStyle w:val="6"/>
              <w:spacing w:before="19" w:line="200" w:lineRule="auto"/>
              <w:ind w:left="218"/>
              <w:rPr>
                <w:sz w:val="19"/>
                <w:szCs w:val="19"/>
              </w:rPr>
            </w:pPr>
            <w:r>
              <w:rPr>
                <w:spacing w:val="5"/>
                <w:sz w:val="19"/>
                <w:szCs w:val="19"/>
              </w:rPr>
              <w:t>露天开采</w:t>
            </w:r>
          </w:p>
        </w:tc>
        <w:tc>
          <w:tcPr>
            <w:tcW w:w="1556" w:type="dxa"/>
            <w:vAlign w:val="top"/>
          </w:tcPr>
          <w:p w14:paraId="4FA824CB">
            <w:pPr>
              <w:pStyle w:val="6"/>
              <w:spacing w:before="177" w:line="231" w:lineRule="auto"/>
              <w:ind w:left="497"/>
              <w:rPr>
                <w:sz w:val="19"/>
                <w:szCs w:val="19"/>
              </w:rPr>
            </w:pPr>
            <w:r>
              <w:rPr>
                <w:spacing w:val="5"/>
                <w:sz w:val="19"/>
                <w:szCs w:val="19"/>
              </w:rPr>
              <w:t>未实施</w:t>
            </w:r>
          </w:p>
        </w:tc>
        <w:tc>
          <w:tcPr>
            <w:tcW w:w="1415" w:type="dxa"/>
            <w:tcBorders>
              <w:right w:val="single" w:color="000000" w:sz="10" w:space="0"/>
            </w:tcBorders>
            <w:vAlign w:val="top"/>
          </w:tcPr>
          <w:p w14:paraId="26FF608C">
            <w:pPr>
              <w:spacing w:before="208" w:line="199" w:lineRule="auto"/>
              <w:ind w:left="680"/>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r>
      <w:tr w14:paraId="7F63E4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909" w:type="dxa"/>
            <w:tcBorders>
              <w:left w:val="single" w:color="000000" w:sz="10" w:space="0"/>
            </w:tcBorders>
            <w:vAlign w:val="top"/>
          </w:tcPr>
          <w:p w14:paraId="0A519B36">
            <w:pPr>
              <w:spacing w:before="211" w:line="197" w:lineRule="auto"/>
              <w:ind w:left="154"/>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026</w:t>
            </w:r>
          </w:p>
        </w:tc>
        <w:tc>
          <w:tcPr>
            <w:tcW w:w="2783" w:type="dxa"/>
            <w:vAlign w:val="top"/>
          </w:tcPr>
          <w:p w14:paraId="0D1B0452">
            <w:pPr>
              <w:pStyle w:val="6"/>
              <w:spacing w:before="50" w:line="231" w:lineRule="auto"/>
              <w:ind w:left="199"/>
              <w:rPr>
                <w:sz w:val="19"/>
                <w:szCs w:val="19"/>
              </w:rPr>
            </w:pPr>
            <w:r>
              <w:rPr>
                <w:spacing w:val="8"/>
                <w:sz w:val="19"/>
                <w:szCs w:val="19"/>
              </w:rPr>
              <w:t>黔江区水田乡杉子岭石英砂</w:t>
            </w:r>
          </w:p>
          <w:p w14:paraId="5263B29C">
            <w:pPr>
              <w:pStyle w:val="6"/>
              <w:spacing w:before="19" w:line="200" w:lineRule="auto"/>
              <w:ind w:left="1193"/>
              <w:rPr>
                <w:sz w:val="19"/>
                <w:szCs w:val="19"/>
              </w:rPr>
            </w:pPr>
            <w:r>
              <w:rPr>
                <w:spacing w:val="3"/>
                <w:sz w:val="19"/>
                <w:szCs w:val="19"/>
              </w:rPr>
              <w:t>岩矿</w:t>
            </w:r>
          </w:p>
        </w:tc>
        <w:tc>
          <w:tcPr>
            <w:tcW w:w="1195" w:type="dxa"/>
            <w:vAlign w:val="top"/>
          </w:tcPr>
          <w:p w14:paraId="021F258E">
            <w:pPr>
              <w:pStyle w:val="6"/>
              <w:spacing w:before="49" w:line="233" w:lineRule="auto"/>
              <w:ind w:left="208"/>
              <w:rPr>
                <w:sz w:val="19"/>
                <w:szCs w:val="19"/>
              </w:rPr>
            </w:pPr>
            <w:r>
              <w:rPr>
                <w:spacing w:val="6"/>
                <w:sz w:val="19"/>
                <w:szCs w:val="19"/>
              </w:rPr>
              <w:t>建筑用砂</w:t>
            </w:r>
          </w:p>
          <w:p w14:paraId="405B37F0">
            <w:pPr>
              <w:pStyle w:val="6"/>
              <w:spacing w:before="17" w:line="200" w:lineRule="auto"/>
              <w:ind w:left="506"/>
              <w:rPr>
                <w:sz w:val="19"/>
                <w:szCs w:val="19"/>
              </w:rPr>
            </w:pPr>
            <w:r>
              <w:rPr>
                <w:sz w:val="19"/>
                <w:szCs w:val="19"/>
              </w:rPr>
              <w:t>岩</w:t>
            </w:r>
          </w:p>
        </w:tc>
        <w:tc>
          <w:tcPr>
            <w:tcW w:w="1201" w:type="dxa"/>
            <w:vAlign w:val="top"/>
          </w:tcPr>
          <w:p w14:paraId="12327BA2">
            <w:pPr>
              <w:pStyle w:val="6"/>
              <w:spacing w:before="50" w:line="231" w:lineRule="auto"/>
              <w:ind w:left="411"/>
              <w:rPr>
                <w:sz w:val="19"/>
                <w:szCs w:val="19"/>
              </w:rPr>
            </w:pPr>
            <w:r>
              <w:rPr>
                <w:spacing w:val="2"/>
                <w:sz w:val="19"/>
                <w:szCs w:val="19"/>
              </w:rPr>
              <w:t>新设</w:t>
            </w:r>
          </w:p>
          <w:p w14:paraId="08D28806">
            <w:pPr>
              <w:pStyle w:val="6"/>
              <w:spacing w:before="19" w:line="200" w:lineRule="auto"/>
              <w:ind w:left="218"/>
              <w:rPr>
                <w:sz w:val="19"/>
                <w:szCs w:val="19"/>
              </w:rPr>
            </w:pPr>
            <w:r>
              <w:rPr>
                <w:spacing w:val="5"/>
                <w:sz w:val="19"/>
                <w:szCs w:val="19"/>
              </w:rPr>
              <w:t>露天开采</w:t>
            </w:r>
          </w:p>
        </w:tc>
        <w:tc>
          <w:tcPr>
            <w:tcW w:w="1556" w:type="dxa"/>
            <w:vAlign w:val="top"/>
          </w:tcPr>
          <w:p w14:paraId="2E53BAD5">
            <w:pPr>
              <w:pStyle w:val="6"/>
              <w:spacing w:before="177" w:line="231" w:lineRule="auto"/>
              <w:ind w:left="497"/>
              <w:rPr>
                <w:sz w:val="19"/>
                <w:szCs w:val="19"/>
              </w:rPr>
            </w:pPr>
            <w:r>
              <w:rPr>
                <w:spacing w:val="5"/>
                <w:sz w:val="19"/>
                <w:szCs w:val="19"/>
              </w:rPr>
              <w:t>未实施</w:t>
            </w:r>
          </w:p>
        </w:tc>
        <w:tc>
          <w:tcPr>
            <w:tcW w:w="1415" w:type="dxa"/>
            <w:tcBorders>
              <w:right w:val="single" w:color="000000" w:sz="10" w:space="0"/>
            </w:tcBorders>
            <w:vAlign w:val="top"/>
          </w:tcPr>
          <w:p w14:paraId="22DA4C14">
            <w:pPr>
              <w:spacing w:before="208" w:line="199" w:lineRule="auto"/>
              <w:ind w:left="680"/>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r>
      <w:tr w14:paraId="03E85C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909" w:type="dxa"/>
            <w:tcBorders>
              <w:left w:val="single" w:color="000000" w:sz="10" w:space="0"/>
            </w:tcBorders>
            <w:vAlign w:val="top"/>
          </w:tcPr>
          <w:p w14:paraId="0E0FFD99">
            <w:pPr>
              <w:spacing w:before="213" w:line="197" w:lineRule="auto"/>
              <w:ind w:left="154"/>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027</w:t>
            </w:r>
          </w:p>
        </w:tc>
        <w:tc>
          <w:tcPr>
            <w:tcW w:w="2783" w:type="dxa"/>
            <w:vAlign w:val="top"/>
          </w:tcPr>
          <w:p w14:paraId="294D9DBD">
            <w:pPr>
              <w:pStyle w:val="6"/>
              <w:spacing w:before="50" w:line="224" w:lineRule="auto"/>
              <w:ind w:left="494" w:right="196" w:hanging="293"/>
              <w:rPr>
                <w:sz w:val="19"/>
                <w:szCs w:val="19"/>
              </w:rPr>
            </w:pPr>
            <w:r>
              <w:rPr>
                <w:spacing w:val="8"/>
                <w:sz w:val="19"/>
                <w:szCs w:val="19"/>
              </w:rPr>
              <w:t>重庆市黔江区水田乡石郎村</w:t>
            </w:r>
            <w:r>
              <w:rPr>
                <w:spacing w:val="3"/>
                <w:sz w:val="19"/>
                <w:szCs w:val="19"/>
              </w:rPr>
              <w:t xml:space="preserve"> </w:t>
            </w:r>
            <w:r>
              <w:rPr>
                <w:spacing w:val="8"/>
                <w:sz w:val="19"/>
                <w:szCs w:val="19"/>
              </w:rPr>
              <w:t>桃子坡水泥用灰岩矿</w:t>
            </w:r>
          </w:p>
        </w:tc>
        <w:tc>
          <w:tcPr>
            <w:tcW w:w="1195" w:type="dxa"/>
            <w:vAlign w:val="top"/>
          </w:tcPr>
          <w:p w14:paraId="773162EA">
            <w:pPr>
              <w:pStyle w:val="6"/>
              <w:spacing w:before="50" w:line="232" w:lineRule="auto"/>
              <w:ind w:left="207"/>
              <w:rPr>
                <w:sz w:val="19"/>
                <w:szCs w:val="19"/>
              </w:rPr>
            </w:pPr>
            <w:r>
              <w:rPr>
                <w:spacing w:val="6"/>
                <w:sz w:val="19"/>
                <w:szCs w:val="19"/>
              </w:rPr>
              <w:t>水泥用灰</w:t>
            </w:r>
          </w:p>
          <w:p w14:paraId="514E2949">
            <w:pPr>
              <w:pStyle w:val="6"/>
              <w:spacing w:before="20" w:line="197" w:lineRule="auto"/>
              <w:ind w:left="405"/>
              <w:rPr>
                <w:sz w:val="19"/>
                <w:szCs w:val="19"/>
              </w:rPr>
            </w:pPr>
            <w:r>
              <w:rPr>
                <w:spacing w:val="3"/>
                <w:sz w:val="19"/>
                <w:szCs w:val="19"/>
              </w:rPr>
              <w:t>岩矿</w:t>
            </w:r>
          </w:p>
        </w:tc>
        <w:tc>
          <w:tcPr>
            <w:tcW w:w="1201" w:type="dxa"/>
            <w:vAlign w:val="top"/>
          </w:tcPr>
          <w:p w14:paraId="010F480D">
            <w:pPr>
              <w:pStyle w:val="6"/>
              <w:spacing w:before="50" w:line="224" w:lineRule="auto"/>
              <w:ind w:left="218" w:right="196" w:firstLine="95"/>
              <w:rPr>
                <w:sz w:val="19"/>
                <w:szCs w:val="19"/>
              </w:rPr>
            </w:pPr>
            <w:r>
              <w:rPr>
                <w:spacing w:val="5"/>
                <w:sz w:val="19"/>
                <w:szCs w:val="19"/>
              </w:rPr>
              <w:t>探转采</w:t>
            </w:r>
            <w:r>
              <w:rPr>
                <w:sz w:val="19"/>
                <w:szCs w:val="19"/>
              </w:rPr>
              <w:t xml:space="preserve">  </w:t>
            </w:r>
            <w:r>
              <w:rPr>
                <w:spacing w:val="5"/>
                <w:sz w:val="19"/>
                <w:szCs w:val="19"/>
              </w:rPr>
              <w:t>露天开采</w:t>
            </w:r>
          </w:p>
        </w:tc>
        <w:tc>
          <w:tcPr>
            <w:tcW w:w="1556" w:type="dxa"/>
            <w:vAlign w:val="top"/>
          </w:tcPr>
          <w:p w14:paraId="00D702E1">
            <w:pPr>
              <w:pStyle w:val="6"/>
              <w:spacing w:before="179" w:line="231" w:lineRule="auto"/>
              <w:ind w:left="497"/>
              <w:rPr>
                <w:sz w:val="19"/>
                <w:szCs w:val="19"/>
              </w:rPr>
            </w:pPr>
            <w:r>
              <w:rPr>
                <w:spacing w:val="5"/>
                <w:sz w:val="19"/>
                <w:szCs w:val="19"/>
              </w:rPr>
              <w:t>未实施</w:t>
            </w:r>
          </w:p>
        </w:tc>
        <w:tc>
          <w:tcPr>
            <w:tcW w:w="1415" w:type="dxa"/>
            <w:tcBorders>
              <w:right w:val="single" w:color="000000" w:sz="10" w:space="0"/>
            </w:tcBorders>
            <w:vAlign w:val="top"/>
          </w:tcPr>
          <w:p w14:paraId="02D90DB2">
            <w:pPr>
              <w:spacing w:before="210" w:line="199" w:lineRule="auto"/>
              <w:ind w:left="680"/>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r>
      <w:tr w14:paraId="3F96BF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909" w:type="dxa"/>
            <w:tcBorders>
              <w:left w:val="single" w:color="000000" w:sz="10" w:space="0"/>
            </w:tcBorders>
            <w:vAlign w:val="top"/>
          </w:tcPr>
          <w:p w14:paraId="2318B253">
            <w:pPr>
              <w:spacing w:before="214" w:line="197" w:lineRule="auto"/>
              <w:ind w:left="154"/>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028</w:t>
            </w:r>
          </w:p>
        </w:tc>
        <w:tc>
          <w:tcPr>
            <w:tcW w:w="2783" w:type="dxa"/>
            <w:vAlign w:val="top"/>
          </w:tcPr>
          <w:p w14:paraId="7151A10E">
            <w:pPr>
              <w:pStyle w:val="6"/>
              <w:spacing w:before="51" w:line="224" w:lineRule="auto"/>
              <w:ind w:left="596" w:right="196" w:hanging="395"/>
              <w:rPr>
                <w:sz w:val="19"/>
                <w:szCs w:val="19"/>
              </w:rPr>
            </w:pPr>
            <w:r>
              <w:rPr>
                <w:spacing w:val="8"/>
                <w:sz w:val="19"/>
                <w:szCs w:val="19"/>
              </w:rPr>
              <w:t>重庆市黔江区邻鄂镇殷家坨</w:t>
            </w:r>
            <w:r>
              <w:rPr>
                <w:spacing w:val="3"/>
                <w:sz w:val="19"/>
                <w:szCs w:val="19"/>
              </w:rPr>
              <w:t xml:space="preserve"> </w:t>
            </w:r>
            <w:r>
              <w:rPr>
                <w:spacing w:val="8"/>
                <w:sz w:val="19"/>
                <w:szCs w:val="19"/>
              </w:rPr>
              <w:t>饰面石材用灰岩矿</w:t>
            </w:r>
          </w:p>
        </w:tc>
        <w:tc>
          <w:tcPr>
            <w:tcW w:w="1195" w:type="dxa"/>
            <w:vAlign w:val="top"/>
          </w:tcPr>
          <w:p w14:paraId="061F4BEB">
            <w:pPr>
              <w:pStyle w:val="6"/>
              <w:spacing w:before="51" w:line="232" w:lineRule="auto"/>
              <w:ind w:left="209"/>
              <w:rPr>
                <w:sz w:val="19"/>
                <w:szCs w:val="19"/>
              </w:rPr>
            </w:pPr>
            <w:r>
              <w:rPr>
                <w:spacing w:val="6"/>
                <w:sz w:val="19"/>
                <w:szCs w:val="19"/>
              </w:rPr>
              <w:t>饰面石材</w:t>
            </w:r>
          </w:p>
          <w:p w14:paraId="19D0DB09">
            <w:pPr>
              <w:pStyle w:val="6"/>
              <w:spacing w:before="20" w:line="197" w:lineRule="auto"/>
              <w:ind w:left="208"/>
              <w:rPr>
                <w:sz w:val="19"/>
                <w:szCs w:val="19"/>
              </w:rPr>
            </w:pPr>
            <w:r>
              <w:rPr>
                <w:spacing w:val="6"/>
                <w:sz w:val="19"/>
                <w:szCs w:val="19"/>
              </w:rPr>
              <w:t>用灰岩矿</w:t>
            </w:r>
          </w:p>
        </w:tc>
        <w:tc>
          <w:tcPr>
            <w:tcW w:w="1201" w:type="dxa"/>
            <w:vAlign w:val="top"/>
          </w:tcPr>
          <w:p w14:paraId="68368221">
            <w:pPr>
              <w:pStyle w:val="6"/>
              <w:spacing w:before="51" w:line="224" w:lineRule="auto"/>
              <w:ind w:left="218" w:right="196" w:firstLine="95"/>
              <w:rPr>
                <w:sz w:val="19"/>
                <w:szCs w:val="19"/>
              </w:rPr>
            </w:pPr>
            <w:r>
              <w:rPr>
                <w:spacing w:val="5"/>
                <w:sz w:val="19"/>
                <w:szCs w:val="19"/>
              </w:rPr>
              <w:t>探转采</w:t>
            </w:r>
            <w:r>
              <w:rPr>
                <w:sz w:val="19"/>
                <w:szCs w:val="19"/>
              </w:rPr>
              <w:t xml:space="preserve">  </w:t>
            </w:r>
            <w:r>
              <w:rPr>
                <w:spacing w:val="5"/>
                <w:sz w:val="19"/>
                <w:szCs w:val="19"/>
              </w:rPr>
              <w:t>露天开采</w:t>
            </w:r>
          </w:p>
        </w:tc>
        <w:tc>
          <w:tcPr>
            <w:tcW w:w="1556" w:type="dxa"/>
            <w:vAlign w:val="top"/>
          </w:tcPr>
          <w:p w14:paraId="3BAA92B5">
            <w:pPr>
              <w:pStyle w:val="6"/>
              <w:spacing w:before="180" w:line="231" w:lineRule="auto"/>
              <w:ind w:left="497"/>
              <w:rPr>
                <w:sz w:val="19"/>
                <w:szCs w:val="19"/>
              </w:rPr>
            </w:pPr>
            <w:r>
              <w:rPr>
                <w:spacing w:val="5"/>
                <w:sz w:val="19"/>
                <w:szCs w:val="19"/>
              </w:rPr>
              <w:t>未实施</w:t>
            </w:r>
          </w:p>
        </w:tc>
        <w:tc>
          <w:tcPr>
            <w:tcW w:w="1415" w:type="dxa"/>
            <w:tcBorders>
              <w:right w:val="single" w:color="000000" w:sz="10" w:space="0"/>
            </w:tcBorders>
            <w:vAlign w:val="top"/>
          </w:tcPr>
          <w:p w14:paraId="7AD13C22">
            <w:pPr>
              <w:spacing w:before="211" w:line="199" w:lineRule="auto"/>
              <w:ind w:left="680"/>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r>
      <w:tr w14:paraId="3431D7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909" w:type="dxa"/>
            <w:tcBorders>
              <w:left w:val="single" w:color="000000" w:sz="10" w:space="0"/>
            </w:tcBorders>
            <w:vAlign w:val="top"/>
          </w:tcPr>
          <w:p w14:paraId="08BD18CB">
            <w:pPr>
              <w:spacing w:before="217" w:line="197" w:lineRule="auto"/>
              <w:ind w:left="154"/>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029</w:t>
            </w:r>
          </w:p>
        </w:tc>
        <w:tc>
          <w:tcPr>
            <w:tcW w:w="2783" w:type="dxa"/>
            <w:vAlign w:val="top"/>
          </w:tcPr>
          <w:p w14:paraId="6915683B">
            <w:pPr>
              <w:pStyle w:val="6"/>
              <w:spacing w:before="53" w:line="223" w:lineRule="auto"/>
              <w:ind w:left="410" w:right="196" w:hanging="209"/>
              <w:rPr>
                <w:sz w:val="19"/>
                <w:szCs w:val="19"/>
              </w:rPr>
            </w:pPr>
            <w:r>
              <w:rPr>
                <w:spacing w:val="8"/>
                <w:sz w:val="19"/>
                <w:szCs w:val="19"/>
              </w:rPr>
              <w:t>重庆市黔江区沙坝镇脉东社</w:t>
            </w:r>
            <w:r>
              <w:rPr>
                <w:spacing w:val="3"/>
                <w:sz w:val="19"/>
                <w:szCs w:val="19"/>
              </w:rPr>
              <w:t xml:space="preserve"> </w:t>
            </w:r>
            <w:r>
              <w:rPr>
                <w:spacing w:val="6"/>
                <w:sz w:val="19"/>
                <w:szCs w:val="19"/>
              </w:rPr>
              <w:t>区石筒漕饰面用灰岩矿</w:t>
            </w:r>
          </w:p>
        </w:tc>
        <w:tc>
          <w:tcPr>
            <w:tcW w:w="1195" w:type="dxa"/>
            <w:vAlign w:val="top"/>
          </w:tcPr>
          <w:p w14:paraId="100D90AD">
            <w:pPr>
              <w:pStyle w:val="6"/>
              <w:spacing w:before="53" w:line="232" w:lineRule="auto"/>
              <w:ind w:left="209"/>
              <w:rPr>
                <w:sz w:val="19"/>
                <w:szCs w:val="19"/>
              </w:rPr>
            </w:pPr>
            <w:r>
              <w:rPr>
                <w:spacing w:val="6"/>
                <w:sz w:val="19"/>
                <w:szCs w:val="19"/>
              </w:rPr>
              <w:t>饰面石材</w:t>
            </w:r>
          </w:p>
          <w:p w14:paraId="60A0EB1E">
            <w:pPr>
              <w:pStyle w:val="6"/>
              <w:spacing w:before="20" w:line="195" w:lineRule="auto"/>
              <w:ind w:left="208"/>
              <w:rPr>
                <w:sz w:val="19"/>
                <w:szCs w:val="19"/>
              </w:rPr>
            </w:pPr>
            <w:r>
              <w:rPr>
                <w:spacing w:val="6"/>
                <w:sz w:val="19"/>
                <w:szCs w:val="19"/>
              </w:rPr>
              <w:t>用灰岩矿</w:t>
            </w:r>
          </w:p>
        </w:tc>
        <w:tc>
          <w:tcPr>
            <w:tcW w:w="1201" w:type="dxa"/>
            <w:vAlign w:val="top"/>
          </w:tcPr>
          <w:p w14:paraId="6A502517">
            <w:pPr>
              <w:pStyle w:val="6"/>
              <w:spacing w:before="53" w:line="223" w:lineRule="auto"/>
              <w:ind w:left="218" w:right="196" w:firstLine="95"/>
              <w:rPr>
                <w:sz w:val="19"/>
                <w:szCs w:val="19"/>
              </w:rPr>
            </w:pPr>
            <w:r>
              <w:rPr>
                <w:spacing w:val="5"/>
                <w:sz w:val="19"/>
                <w:szCs w:val="19"/>
              </w:rPr>
              <w:t>探转采</w:t>
            </w:r>
            <w:r>
              <w:rPr>
                <w:sz w:val="19"/>
                <w:szCs w:val="19"/>
              </w:rPr>
              <w:t xml:space="preserve">  </w:t>
            </w:r>
            <w:r>
              <w:rPr>
                <w:spacing w:val="5"/>
                <w:sz w:val="19"/>
                <w:szCs w:val="19"/>
              </w:rPr>
              <w:t>露天开采</w:t>
            </w:r>
          </w:p>
        </w:tc>
        <w:tc>
          <w:tcPr>
            <w:tcW w:w="1556" w:type="dxa"/>
            <w:vAlign w:val="top"/>
          </w:tcPr>
          <w:p w14:paraId="5070C211">
            <w:pPr>
              <w:pStyle w:val="6"/>
              <w:spacing w:before="183" w:line="231" w:lineRule="auto"/>
              <w:ind w:left="497"/>
              <w:rPr>
                <w:sz w:val="19"/>
                <w:szCs w:val="19"/>
              </w:rPr>
            </w:pPr>
            <w:r>
              <w:rPr>
                <w:spacing w:val="5"/>
                <w:sz w:val="19"/>
                <w:szCs w:val="19"/>
              </w:rPr>
              <w:t>未实施</w:t>
            </w:r>
          </w:p>
        </w:tc>
        <w:tc>
          <w:tcPr>
            <w:tcW w:w="1415" w:type="dxa"/>
            <w:tcBorders>
              <w:right w:val="single" w:color="000000" w:sz="10" w:space="0"/>
            </w:tcBorders>
            <w:vAlign w:val="top"/>
          </w:tcPr>
          <w:p w14:paraId="52AB396D">
            <w:pPr>
              <w:spacing w:before="213" w:line="199" w:lineRule="auto"/>
              <w:ind w:left="680"/>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r>
      <w:tr w14:paraId="4D112D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909" w:type="dxa"/>
            <w:tcBorders>
              <w:left w:val="single" w:color="000000" w:sz="10" w:space="0"/>
            </w:tcBorders>
            <w:vAlign w:val="top"/>
          </w:tcPr>
          <w:p w14:paraId="6252F9F0">
            <w:pPr>
              <w:spacing w:before="217" w:line="197" w:lineRule="auto"/>
              <w:ind w:left="154"/>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030</w:t>
            </w:r>
          </w:p>
        </w:tc>
        <w:tc>
          <w:tcPr>
            <w:tcW w:w="2783" w:type="dxa"/>
            <w:vAlign w:val="top"/>
          </w:tcPr>
          <w:p w14:paraId="3ED13E67">
            <w:pPr>
              <w:pStyle w:val="6"/>
              <w:spacing w:before="53" w:line="223" w:lineRule="auto"/>
              <w:ind w:left="597" w:right="196" w:hanging="396"/>
              <w:rPr>
                <w:sz w:val="19"/>
                <w:szCs w:val="19"/>
              </w:rPr>
            </w:pPr>
            <w:r>
              <w:rPr>
                <w:spacing w:val="8"/>
                <w:sz w:val="19"/>
                <w:szCs w:val="19"/>
              </w:rPr>
              <w:t>重庆市黔江区石家镇清塘村</w:t>
            </w:r>
            <w:r>
              <w:rPr>
                <w:spacing w:val="3"/>
                <w:sz w:val="19"/>
                <w:szCs w:val="19"/>
              </w:rPr>
              <w:t xml:space="preserve"> </w:t>
            </w:r>
            <w:r>
              <w:rPr>
                <w:spacing w:val="7"/>
                <w:sz w:val="19"/>
                <w:szCs w:val="19"/>
              </w:rPr>
              <w:t>风岩坡萤石矿普查</w:t>
            </w:r>
          </w:p>
        </w:tc>
        <w:tc>
          <w:tcPr>
            <w:tcW w:w="1195" w:type="dxa"/>
            <w:vAlign w:val="top"/>
          </w:tcPr>
          <w:p w14:paraId="71044010">
            <w:pPr>
              <w:pStyle w:val="6"/>
              <w:spacing w:before="182" w:line="233" w:lineRule="auto"/>
              <w:ind w:left="313"/>
              <w:rPr>
                <w:sz w:val="19"/>
                <w:szCs w:val="19"/>
              </w:rPr>
            </w:pPr>
            <w:r>
              <w:rPr>
                <w:spacing w:val="3"/>
                <w:sz w:val="19"/>
                <w:szCs w:val="19"/>
              </w:rPr>
              <w:t>萤石矿</w:t>
            </w:r>
          </w:p>
        </w:tc>
        <w:tc>
          <w:tcPr>
            <w:tcW w:w="1201" w:type="dxa"/>
            <w:vAlign w:val="top"/>
          </w:tcPr>
          <w:p w14:paraId="0ED73665">
            <w:pPr>
              <w:pStyle w:val="6"/>
              <w:spacing w:before="53" w:line="223" w:lineRule="auto"/>
              <w:ind w:left="214" w:right="196" w:firstLine="100"/>
              <w:rPr>
                <w:sz w:val="19"/>
                <w:szCs w:val="19"/>
              </w:rPr>
            </w:pPr>
            <w:r>
              <w:rPr>
                <w:spacing w:val="5"/>
                <w:sz w:val="19"/>
                <w:szCs w:val="19"/>
              </w:rPr>
              <w:t>探转采</w:t>
            </w:r>
            <w:r>
              <w:rPr>
                <w:sz w:val="19"/>
                <w:szCs w:val="19"/>
              </w:rPr>
              <w:t xml:space="preserve">  </w:t>
            </w:r>
            <w:r>
              <w:rPr>
                <w:spacing w:val="6"/>
                <w:sz w:val="19"/>
                <w:szCs w:val="19"/>
              </w:rPr>
              <w:t>地下开采</w:t>
            </w:r>
          </w:p>
        </w:tc>
        <w:tc>
          <w:tcPr>
            <w:tcW w:w="1556" w:type="dxa"/>
            <w:vAlign w:val="top"/>
          </w:tcPr>
          <w:p w14:paraId="3302853F">
            <w:pPr>
              <w:pStyle w:val="6"/>
              <w:spacing w:before="183" w:line="231" w:lineRule="auto"/>
              <w:ind w:left="497"/>
              <w:rPr>
                <w:sz w:val="19"/>
                <w:szCs w:val="19"/>
              </w:rPr>
            </w:pPr>
            <w:r>
              <w:rPr>
                <w:spacing w:val="5"/>
                <w:sz w:val="19"/>
                <w:szCs w:val="19"/>
              </w:rPr>
              <w:t>未实施</w:t>
            </w:r>
          </w:p>
        </w:tc>
        <w:tc>
          <w:tcPr>
            <w:tcW w:w="1415" w:type="dxa"/>
            <w:tcBorders>
              <w:right w:val="single" w:color="000000" w:sz="10" w:space="0"/>
            </w:tcBorders>
            <w:vAlign w:val="top"/>
          </w:tcPr>
          <w:p w14:paraId="1B8C0724">
            <w:pPr>
              <w:spacing w:before="213" w:line="199" w:lineRule="auto"/>
              <w:ind w:left="680"/>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r>
      <w:tr w14:paraId="532FE1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909" w:type="dxa"/>
            <w:tcBorders>
              <w:left w:val="single" w:color="000000" w:sz="10" w:space="0"/>
            </w:tcBorders>
            <w:vAlign w:val="top"/>
          </w:tcPr>
          <w:p w14:paraId="2A5358FA">
            <w:pPr>
              <w:spacing w:before="217" w:line="197" w:lineRule="auto"/>
              <w:ind w:left="154"/>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031</w:t>
            </w:r>
          </w:p>
        </w:tc>
        <w:tc>
          <w:tcPr>
            <w:tcW w:w="2783" w:type="dxa"/>
            <w:vAlign w:val="top"/>
          </w:tcPr>
          <w:p w14:paraId="556A01F2">
            <w:pPr>
              <w:pStyle w:val="6"/>
              <w:spacing w:before="52" w:line="223" w:lineRule="auto"/>
              <w:ind w:left="794" w:right="196" w:hanging="593"/>
              <w:rPr>
                <w:sz w:val="19"/>
                <w:szCs w:val="19"/>
              </w:rPr>
            </w:pPr>
            <w:r>
              <w:rPr>
                <w:spacing w:val="8"/>
                <w:sz w:val="19"/>
                <w:szCs w:val="19"/>
              </w:rPr>
              <w:t>重庆市黔江区新华乡大田村</w:t>
            </w:r>
            <w:r>
              <w:rPr>
                <w:spacing w:val="3"/>
                <w:sz w:val="19"/>
                <w:szCs w:val="19"/>
              </w:rPr>
              <w:t xml:space="preserve"> </w:t>
            </w:r>
            <w:r>
              <w:rPr>
                <w:spacing w:val="7"/>
                <w:sz w:val="19"/>
                <w:szCs w:val="19"/>
              </w:rPr>
              <w:t>长湾重晶石矿</w:t>
            </w:r>
          </w:p>
        </w:tc>
        <w:tc>
          <w:tcPr>
            <w:tcW w:w="1195" w:type="dxa"/>
            <w:vAlign w:val="top"/>
          </w:tcPr>
          <w:p w14:paraId="502F8B87">
            <w:pPr>
              <w:pStyle w:val="6"/>
              <w:spacing w:before="183" w:line="232" w:lineRule="auto"/>
              <w:ind w:left="214"/>
              <w:rPr>
                <w:sz w:val="19"/>
                <w:szCs w:val="19"/>
              </w:rPr>
            </w:pPr>
            <w:r>
              <w:rPr>
                <w:spacing w:val="4"/>
                <w:sz w:val="19"/>
                <w:szCs w:val="19"/>
              </w:rPr>
              <w:t>重晶石矿</w:t>
            </w:r>
          </w:p>
        </w:tc>
        <w:tc>
          <w:tcPr>
            <w:tcW w:w="1201" w:type="dxa"/>
            <w:vAlign w:val="top"/>
          </w:tcPr>
          <w:p w14:paraId="3EEC4C00">
            <w:pPr>
              <w:pStyle w:val="6"/>
              <w:spacing w:before="52" w:line="223" w:lineRule="auto"/>
              <w:ind w:left="214" w:right="196" w:firstLine="100"/>
              <w:rPr>
                <w:sz w:val="19"/>
                <w:szCs w:val="19"/>
              </w:rPr>
            </w:pPr>
            <w:r>
              <w:rPr>
                <w:spacing w:val="5"/>
                <w:sz w:val="19"/>
                <w:szCs w:val="19"/>
              </w:rPr>
              <w:t>探转采</w:t>
            </w:r>
            <w:r>
              <w:rPr>
                <w:sz w:val="19"/>
                <w:szCs w:val="19"/>
              </w:rPr>
              <w:t xml:space="preserve">  </w:t>
            </w:r>
            <w:r>
              <w:rPr>
                <w:spacing w:val="6"/>
                <w:sz w:val="19"/>
                <w:szCs w:val="19"/>
              </w:rPr>
              <w:t>地下开采</w:t>
            </w:r>
          </w:p>
        </w:tc>
        <w:tc>
          <w:tcPr>
            <w:tcW w:w="1556" w:type="dxa"/>
            <w:vAlign w:val="top"/>
          </w:tcPr>
          <w:p w14:paraId="6F568D27">
            <w:pPr>
              <w:pStyle w:val="6"/>
              <w:spacing w:before="183" w:line="231" w:lineRule="auto"/>
              <w:ind w:left="497"/>
              <w:rPr>
                <w:sz w:val="19"/>
                <w:szCs w:val="19"/>
              </w:rPr>
            </w:pPr>
            <w:r>
              <w:rPr>
                <w:spacing w:val="5"/>
                <w:sz w:val="19"/>
                <w:szCs w:val="19"/>
              </w:rPr>
              <w:t>未实施</w:t>
            </w:r>
          </w:p>
        </w:tc>
        <w:tc>
          <w:tcPr>
            <w:tcW w:w="1415" w:type="dxa"/>
            <w:tcBorders>
              <w:right w:val="single" w:color="000000" w:sz="10" w:space="0"/>
            </w:tcBorders>
            <w:vAlign w:val="top"/>
          </w:tcPr>
          <w:p w14:paraId="5C07E952">
            <w:pPr>
              <w:spacing w:before="213" w:line="199" w:lineRule="auto"/>
              <w:ind w:left="680"/>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r>
      <w:tr w14:paraId="108472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909" w:type="dxa"/>
            <w:tcBorders>
              <w:left w:val="single" w:color="000000" w:sz="10" w:space="0"/>
              <w:bottom w:val="single" w:color="000000" w:sz="10" w:space="0"/>
            </w:tcBorders>
            <w:vAlign w:val="top"/>
          </w:tcPr>
          <w:p w14:paraId="0AEE4096">
            <w:pPr>
              <w:spacing w:before="218" w:line="197" w:lineRule="auto"/>
              <w:ind w:left="154"/>
              <w:rPr>
                <w:rFonts w:ascii="Times New Roman" w:hAnsi="Times New Roman" w:eastAsia="Times New Roman" w:cs="Times New Roman"/>
                <w:sz w:val="19"/>
                <w:szCs w:val="19"/>
              </w:rPr>
            </w:pPr>
            <w:r>
              <w:rPr>
                <w:rFonts w:ascii="Times New Roman" w:hAnsi="Times New Roman" w:eastAsia="Times New Roman" w:cs="Times New Roman"/>
                <w:sz w:val="19"/>
                <w:szCs w:val="19"/>
              </w:rPr>
              <w:t>CQ</w:t>
            </w:r>
            <w:r>
              <w:rPr>
                <w:rFonts w:ascii="Times New Roman" w:hAnsi="Times New Roman" w:eastAsia="Times New Roman" w:cs="Times New Roman"/>
                <w:spacing w:val="6"/>
                <w:sz w:val="19"/>
                <w:szCs w:val="19"/>
              </w:rPr>
              <w:t>032</w:t>
            </w:r>
          </w:p>
        </w:tc>
        <w:tc>
          <w:tcPr>
            <w:tcW w:w="2783" w:type="dxa"/>
            <w:tcBorders>
              <w:bottom w:val="single" w:color="000000" w:sz="10" w:space="0"/>
            </w:tcBorders>
            <w:vAlign w:val="top"/>
          </w:tcPr>
          <w:p w14:paraId="18F0B744">
            <w:pPr>
              <w:pStyle w:val="6"/>
              <w:spacing w:before="184" w:line="231" w:lineRule="auto"/>
              <w:ind w:left="199"/>
              <w:rPr>
                <w:sz w:val="19"/>
                <w:szCs w:val="19"/>
              </w:rPr>
            </w:pPr>
            <w:r>
              <w:rPr>
                <w:spacing w:val="8"/>
                <w:sz w:val="19"/>
                <w:szCs w:val="19"/>
              </w:rPr>
              <w:t>黔江区中塘镇水田坝铝土矿</w:t>
            </w:r>
          </w:p>
        </w:tc>
        <w:tc>
          <w:tcPr>
            <w:tcW w:w="1195" w:type="dxa"/>
            <w:tcBorders>
              <w:bottom w:val="single" w:color="000000" w:sz="10" w:space="0"/>
            </w:tcBorders>
            <w:vAlign w:val="top"/>
          </w:tcPr>
          <w:p w14:paraId="5E515DF2">
            <w:pPr>
              <w:pStyle w:val="6"/>
              <w:spacing w:before="183" w:line="233" w:lineRule="auto"/>
              <w:ind w:left="307"/>
              <w:rPr>
                <w:sz w:val="19"/>
                <w:szCs w:val="19"/>
              </w:rPr>
            </w:pPr>
            <w:r>
              <w:rPr>
                <w:spacing w:val="5"/>
                <w:sz w:val="19"/>
                <w:szCs w:val="19"/>
              </w:rPr>
              <w:t>铝土矿</w:t>
            </w:r>
          </w:p>
        </w:tc>
        <w:tc>
          <w:tcPr>
            <w:tcW w:w="1201" w:type="dxa"/>
            <w:tcBorders>
              <w:bottom w:val="single" w:color="000000" w:sz="10" w:space="0"/>
            </w:tcBorders>
            <w:vAlign w:val="top"/>
          </w:tcPr>
          <w:p w14:paraId="6889C972">
            <w:pPr>
              <w:pStyle w:val="6"/>
              <w:spacing w:before="57" w:line="231" w:lineRule="auto"/>
              <w:ind w:left="411"/>
              <w:rPr>
                <w:sz w:val="19"/>
                <w:szCs w:val="19"/>
              </w:rPr>
            </w:pPr>
            <w:r>
              <w:rPr>
                <w:spacing w:val="2"/>
                <w:sz w:val="19"/>
                <w:szCs w:val="19"/>
              </w:rPr>
              <w:t>新设</w:t>
            </w:r>
          </w:p>
          <w:p w14:paraId="3524D636">
            <w:pPr>
              <w:pStyle w:val="6"/>
              <w:spacing w:before="20" w:line="215" w:lineRule="auto"/>
              <w:ind w:left="214"/>
              <w:rPr>
                <w:sz w:val="19"/>
                <w:szCs w:val="19"/>
              </w:rPr>
            </w:pPr>
            <w:r>
              <w:rPr>
                <w:spacing w:val="6"/>
                <w:sz w:val="19"/>
                <w:szCs w:val="19"/>
              </w:rPr>
              <w:t>地下开采</w:t>
            </w:r>
          </w:p>
        </w:tc>
        <w:tc>
          <w:tcPr>
            <w:tcW w:w="1556" w:type="dxa"/>
            <w:tcBorders>
              <w:bottom w:val="single" w:color="000000" w:sz="10" w:space="0"/>
            </w:tcBorders>
            <w:vAlign w:val="top"/>
          </w:tcPr>
          <w:p w14:paraId="1CE5E831">
            <w:pPr>
              <w:pStyle w:val="6"/>
              <w:spacing w:before="184" w:line="231" w:lineRule="auto"/>
              <w:ind w:left="497"/>
              <w:rPr>
                <w:sz w:val="19"/>
                <w:szCs w:val="19"/>
              </w:rPr>
            </w:pPr>
            <w:r>
              <w:rPr>
                <w:spacing w:val="5"/>
                <w:sz w:val="19"/>
                <w:szCs w:val="19"/>
              </w:rPr>
              <w:t>未实施</w:t>
            </w:r>
          </w:p>
        </w:tc>
        <w:tc>
          <w:tcPr>
            <w:tcW w:w="1415" w:type="dxa"/>
            <w:tcBorders>
              <w:bottom w:val="single" w:color="000000" w:sz="10" w:space="0"/>
              <w:right w:val="single" w:color="000000" w:sz="10" w:space="0"/>
            </w:tcBorders>
            <w:vAlign w:val="top"/>
          </w:tcPr>
          <w:p w14:paraId="101D4EAB">
            <w:pPr>
              <w:spacing w:before="214" w:line="199" w:lineRule="auto"/>
              <w:ind w:left="680"/>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r>
    </w:tbl>
    <w:p w14:paraId="05563B1A">
      <w:pPr>
        <w:pStyle w:val="2"/>
      </w:pPr>
    </w:p>
    <w:p w14:paraId="0336D9CC">
      <w:pPr>
        <w:sectPr>
          <w:footerReference r:id="rId131" w:type="default"/>
          <w:pgSz w:w="11906" w:h="16839"/>
          <w:pgMar w:top="1116" w:right="1354" w:bottom="1480" w:left="1466" w:header="683" w:footer="1318" w:gutter="0"/>
          <w:cols w:space="720" w:num="1"/>
        </w:sectPr>
      </w:pPr>
    </w:p>
    <w:p w14:paraId="0EEF3CDB">
      <w:pPr>
        <w:pStyle w:val="2"/>
        <w:spacing w:line="385" w:lineRule="auto"/>
      </w:pPr>
    </w:p>
    <w:p w14:paraId="0DA232C2">
      <w:pPr>
        <w:spacing w:before="82" w:line="227" w:lineRule="auto"/>
        <w:ind w:left="66"/>
        <w:outlineLvl w:val="3"/>
        <w:rPr>
          <w:rFonts w:ascii="仿宋" w:hAnsi="仿宋" w:eastAsia="仿宋" w:cs="仿宋"/>
          <w:sz w:val="25"/>
          <w:szCs w:val="25"/>
        </w:rPr>
      </w:pPr>
      <w:r>
        <w:rPr>
          <w:rFonts w:ascii="Times New Roman" w:hAnsi="Times New Roman" w:eastAsia="Times New Roman" w:cs="Times New Roman"/>
          <w:b/>
          <w:bCs/>
          <w:spacing w:val="5"/>
          <w:sz w:val="25"/>
          <w:szCs w:val="25"/>
        </w:rPr>
        <w:t>3.2.1.4</w:t>
      </w:r>
      <w:r>
        <w:rPr>
          <w:rFonts w:ascii="Times New Roman" w:hAnsi="Times New Roman" w:eastAsia="Times New Roman" w:cs="Times New Roman"/>
          <w:b/>
          <w:bCs/>
          <w:spacing w:val="22"/>
          <w:sz w:val="25"/>
          <w:szCs w:val="25"/>
        </w:rPr>
        <w:t xml:space="preserve"> </w:t>
      </w:r>
      <w:r>
        <w:rPr>
          <w:rFonts w:ascii="仿宋" w:hAnsi="仿宋" w:eastAsia="仿宋" w:cs="仿宋"/>
          <w:b/>
          <w:bCs/>
          <w:spacing w:val="5"/>
          <w:sz w:val="25"/>
          <w:szCs w:val="25"/>
        </w:rPr>
        <w:t>矿山生态恢复完成情况</w:t>
      </w:r>
    </w:p>
    <w:p w14:paraId="0C74555D">
      <w:pPr>
        <w:spacing w:before="273" w:line="229" w:lineRule="auto"/>
        <w:ind w:left="662"/>
        <w:rPr>
          <w:rFonts w:ascii="仿宋" w:hAnsi="仿宋" w:eastAsia="仿宋" w:cs="仿宋"/>
          <w:sz w:val="25"/>
          <w:szCs w:val="25"/>
        </w:rPr>
      </w:pPr>
      <w:r>
        <w:rPr>
          <w:rFonts w:ascii="仿宋" w:hAnsi="仿宋" w:eastAsia="仿宋" w:cs="仿宋"/>
          <w:spacing w:val="5"/>
          <w:sz w:val="25"/>
          <w:szCs w:val="25"/>
        </w:rPr>
        <w:t>（</w:t>
      </w:r>
      <w:r>
        <w:rPr>
          <w:rFonts w:ascii="Times New Roman" w:hAnsi="Times New Roman" w:eastAsia="Times New Roman" w:cs="Times New Roman"/>
          <w:spacing w:val="5"/>
          <w:sz w:val="25"/>
          <w:szCs w:val="25"/>
        </w:rPr>
        <w:t>1</w:t>
      </w:r>
      <w:r>
        <w:rPr>
          <w:rFonts w:ascii="仿宋" w:hAnsi="仿宋" w:eastAsia="仿宋" w:cs="仿宋"/>
          <w:spacing w:val="5"/>
          <w:sz w:val="25"/>
          <w:szCs w:val="25"/>
        </w:rPr>
        <w:t>）总体情况</w:t>
      </w:r>
    </w:p>
    <w:p w14:paraId="3D08E8C0">
      <w:pPr>
        <w:spacing w:before="145" w:line="340" w:lineRule="auto"/>
        <w:ind w:left="141" w:right="121" w:firstLine="517"/>
        <w:rPr>
          <w:rFonts w:ascii="仿宋" w:hAnsi="仿宋" w:eastAsia="仿宋" w:cs="仿宋"/>
          <w:sz w:val="25"/>
          <w:szCs w:val="25"/>
        </w:rPr>
      </w:pPr>
      <w:r>
        <w:rPr>
          <w:rFonts w:ascii="仿宋" w:hAnsi="仿宋" w:eastAsia="仿宋" w:cs="仿宋"/>
          <w:spacing w:val="9"/>
          <w:sz w:val="25"/>
          <w:szCs w:val="25"/>
        </w:rPr>
        <w:t>根据《黔江区历史遗留和关闭矿山地质环境治理恢复与土地复垦实施方案</w:t>
      </w:r>
      <w:r>
        <w:rPr>
          <w:rFonts w:ascii="仿宋" w:hAnsi="仿宋" w:eastAsia="仿宋" w:cs="仿宋"/>
          <w:spacing w:val="15"/>
          <w:sz w:val="25"/>
          <w:szCs w:val="25"/>
        </w:rPr>
        <w:t xml:space="preserve"> </w:t>
      </w:r>
      <w:r>
        <w:rPr>
          <w:rFonts w:ascii="仿宋" w:hAnsi="仿宋" w:eastAsia="仿宋" w:cs="仿宋"/>
          <w:spacing w:val="8"/>
          <w:sz w:val="25"/>
          <w:szCs w:val="25"/>
        </w:rPr>
        <w:t>（</w:t>
      </w:r>
      <w:r>
        <w:rPr>
          <w:rFonts w:ascii="Times New Roman" w:hAnsi="Times New Roman" w:eastAsia="Times New Roman" w:cs="Times New Roman"/>
          <w:spacing w:val="8"/>
          <w:sz w:val="25"/>
          <w:szCs w:val="25"/>
        </w:rPr>
        <w:t>2018-2030</w:t>
      </w:r>
      <w:r>
        <w:rPr>
          <w:rFonts w:ascii="仿宋" w:hAnsi="仿宋" w:eastAsia="仿宋" w:cs="仿宋"/>
          <w:spacing w:val="8"/>
          <w:sz w:val="25"/>
          <w:szCs w:val="25"/>
        </w:rPr>
        <w:t>）》，黔江区历史遗留和关闭矿山主要分布在舟白、正阳等</w:t>
      </w:r>
      <w:r>
        <w:rPr>
          <w:rFonts w:ascii="仿宋" w:hAnsi="仿宋" w:eastAsia="仿宋" w:cs="仿宋"/>
          <w:spacing w:val="-35"/>
          <w:sz w:val="25"/>
          <w:szCs w:val="25"/>
        </w:rPr>
        <w:t xml:space="preserve"> </w:t>
      </w:r>
      <w:r>
        <w:rPr>
          <w:rFonts w:ascii="Times New Roman" w:hAnsi="Times New Roman" w:eastAsia="Times New Roman" w:cs="Times New Roman"/>
          <w:spacing w:val="8"/>
          <w:sz w:val="25"/>
          <w:szCs w:val="25"/>
        </w:rPr>
        <w:t>25</w:t>
      </w:r>
      <w:r>
        <w:rPr>
          <w:rFonts w:ascii="Times New Roman" w:hAnsi="Times New Roman" w:eastAsia="Times New Roman" w:cs="Times New Roman"/>
          <w:spacing w:val="23"/>
          <w:sz w:val="25"/>
          <w:szCs w:val="25"/>
        </w:rPr>
        <w:t xml:space="preserve"> </w:t>
      </w:r>
      <w:r>
        <w:rPr>
          <w:rFonts w:ascii="仿宋" w:hAnsi="仿宋" w:eastAsia="仿宋" w:cs="仿宋"/>
          <w:spacing w:val="8"/>
          <w:sz w:val="25"/>
          <w:szCs w:val="25"/>
        </w:rPr>
        <w:t>个</w:t>
      </w:r>
      <w:r>
        <w:rPr>
          <w:rFonts w:ascii="仿宋" w:hAnsi="仿宋" w:eastAsia="仿宋" w:cs="仿宋"/>
          <w:sz w:val="25"/>
          <w:szCs w:val="25"/>
        </w:rPr>
        <w:t xml:space="preserve"> </w:t>
      </w:r>
      <w:r>
        <w:rPr>
          <w:rFonts w:ascii="仿宋" w:hAnsi="仿宋" w:eastAsia="仿宋" w:cs="仿宋"/>
          <w:spacing w:val="1"/>
          <w:sz w:val="25"/>
          <w:szCs w:val="25"/>
        </w:rPr>
        <w:t>乡镇（街道</w:t>
      </w:r>
      <w:r>
        <w:rPr>
          <w:rFonts w:ascii="仿宋" w:hAnsi="仿宋" w:eastAsia="仿宋" w:cs="仿宋"/>
          <w:spacing w:val="-8"/>
          <w:sz w:val="25"/>
          <w:szCs w:val="25"/>
        </w:rPr>
        <w:t>），</w:t>
      </w:r>
      <w:r>
        <w:rPr>
          <w:rFonts w:ascii="仿宋" w:hAnsi="仿宋" w:eastAsia="仿宋" w:cs="仿宋"/>
          <w:spacing w:val="1"/>
          <w:sz w:val="25"/>
          <w:szCs w:val="25"/>
        </w:rPr>
        <w:t>共</w:t>
      </w:r>
      <w:r>
        <w:rPr>
          <w:rFonts w:ascii="仿宋" w:hAnsi="仿宋" w:eastAsia="仿宋" w:cs="仿宋"/>
          <w:spacing w:val="-30"/>
          <w:sz w:val="25"/>
          <w:szCs w:val="25"/>
        </w:rPr>
        <w:t xml:space="preserve"> </w:t>
      </w:r>
      <w:r>
        <w:rPr>
          <w:rFonts w:ascii="Times New Roman" w:hAnsi="Times New Roman" w:eastAsia="Times New Roman" w:cs="Times New Roman"/>
          <w:spacing w:val="1"/>
          <w:sz w:val="25"/>
          <w:szCs w:val="25"/>
        </w:rPr>
        <w:t>123</w:t>
      </w:r>
      <w:r>
        <w:rPr>
          <w:rFonts w:ascii="Times New Roman" w:hAnsi="Times New Roman" w:eastAsia="Times New Roman" w:cs="Times New Roman"/>
          <w:spacing w:val="23"/>
          <w:sz w:val="25"/>
          <w:szCs w:val="25"/>
        </w:rPr>
        <w:t xml:space="preserve"> </w:t>
      </w:r>
      <w:r>
        <w:rPr>
          <w:rFonts w:ascii="仿宋" w:hAnsi="仿宋" w:eastAsia="仿宋" w:cs="仿宋"/>
          <w:spacing w:val="1"/>
          <w:sz w:val="25"/>
          <w:szCs w:val="25"/>
        </w:rPr>
        <w:t>个矿山，</w:t>
      </w:r>
      <w:r>
        <w:rPr>
          <w:rFonts w:ascii="Times New Roman" w:hAnsi="Times New Roman" w:eastAsia="Times New Roman" w:cs="Times New Roman"/>
          <w:spacing w:val="1"/>
          <w:sz w:val="25"/>
          <w:szCs w:val="25"/>
        </w:rPr>
        <w:t>132</w:t>
      </w:r>
      <w:r>
        <w:rPr>
          <w:rFonts w:ascii="Times New Roman" w:hAnsi="Times New Roman" w:eastAsia="Times New Roman" w:cs="Times New Roman"/>
          <w:spacing w:val="21"/>
          <w:sz w:val="25"/>
          <w:szCs w:val="25"/>
        </w:rPr>
        <w:t xml:space="preserve"> </w:t>
      </w:r>
      <w:r>
        <w:rPr>
          <w:rFonts w:ascii="仿宋" w:hAnsi="仿宋" w:eastAsia="仿宋" w:cs="仿宋"/>
          <w:spacing w:val="1"/>
          <w:sz w:val="25"/>
          <w:szCs w:val="25"/>
        </w:rPr>
        <w:t>个损毁土地地块，共损毁土地面积约</w:t>
      </w:r>
      <w:r>
        <w:rPr>
          <w:rFonts w:ascii="仿宋" w:hAnsi="仿宋" w:eastAsia="仿宋" w:cs="仿宋"/>
          <w:spacing w:val="-28"/>
          <w:sz w:val="25"/>
          <w:szCs w:val="25"/>
        </w:rPr>
        <w:t xml:space="preserve"> </w:t>
      </w:r>
      <w:r>
        <w:rPr>
          <w:rFonts w:ascii="Times New Roman" w:hAnsi="Times New Roman" w:eastAsia="Times New Roman" w:cs="Times New Roman"/>
          <w:spacing w:val="1"/>
          <w:sz w:val="25"/>
          <w:szCs w:val="25"/>
        </w:rPr>
        <w:t>106.77</w:t>
      </w:r>
      <w:r>
        <w:rPr>
          <w:rFonts w:ascii="Times New Roman" w:hAnsi="Times New Roman" w:eastAsia="Times New Roman" w:cs="Times New Roman"/>
          <w:sz w:val="25"/>
          <w:szCs w:val="25"/>
        </w:rPr>
        <w:t xml:space="preserve"> </w:t>
      </w:r>
      <w:r>
        <w:rPr>
          <w:rFonts w:ascii="仿宋" w:hAnsi="仿宋" w:eastAsia="仿宋" w:cs="仿宋"/>
          <w:spacing w:val="2"/>
          <w:sz w:val="25"/>
          <w:szCs w:val="25"/>
        </w:rPr>
        <w:t>公顷，其中关闭矿山</w:t>
      </w:r>
      <w:r>
        <w:rPr>
          <w:rFonts w:ascii="仿宋" w:hAnsi="仿宋" w:eastAsia="仿宋" w:cs="仿宋"/>
          <w:spacing w:val="-32"/>
          <w:sz w:val="25"/>
          <w:szCs w:val="25"/>
        </w:rPr>
        <w:t xml:space="preserve"> </w:t>
      </w:r>
      <w:r>
        <w:rPr>
          <w:rFonts w:ascii="Times New Roman" w:hAnsi="Times New Roman" w:eastAsia="Times New Roman" w:cs="Times New Roman"/>
          <w:spacing w:val="2"/>
          <w:sz w:val="25"/>
          <w:szCs w:val="25"/>
        </w:rPr>
        <w:t>88</w:t>
      </w:r>
      <w:r>
        <w:rPr>
          <w:rFonts w:ascii="Times New Roman" w:hAnsi="Times New Roman" w:eastAsia="Times New Roman" w:cs="Times New Roman"/>
          <w:spacing w:val="21"/>
          <w:sz w:val="25"/>
          <w:szCs w:val="25"/>
        </w:rPr>
        <w:t xml:space="preserve"> </w:t>
      </w:r>
      <w:r>
        <w:rPr>
          <w:rFonts w:ascii="仿宋" w:hAnsi="仿宋" w:eastAsia="仿宋" w:cs="仿宋"/>
          <w:spacing w:val="2"/>
          <w:sz w:val="25"/>
          <w:szCs w:val="25"/>
        </w:rPr>
        <w:t>个，</w:t>
      </w:r>
      <w:r>
        <w:rPr>
          <w:rFonts w:ascii="Times New Roman" w:hAnsi="Times New Roman" w:eastAsia="Times New Roman" w:cs="Times New Roman"/>
          <w:spacing w:val="2"/>
          <w:sz w:val="25"/>
          <w:szCs w:val="25"/>
        </w:rPr>
        <w:t>97</w:t>
      </w:r>
      <w:r>
        <w:rPr>
          <w:rFonts w:ascii="Times New Roman" w:hAnsi="Times New Roman" w:eastAsia="Times New Roman" w:cs="Times New Roman"/>
          <w:spacing w:val="23"/>
          <w:sz w:val="25"/>
          <w:szCs w:val="25"/>
        </w:rPr>
        <w:t xml:space="preserve"> </w:t>
      </w:r>
      <w:r>
        <w:rPr>
          <w:rFonts w:ascii="仿宋" w:hAnsi="仿宋" w:eastAsia="仿宋" w:cs="仿宋"/>
          <w:spacing w:val="2"/>
          <w:sz w:val="25"/>
          <w:szCs w:val="25"/>
        </w:rPr>
        <w:t>个损毁地块，损毁面积</w:t>
      </w:r>
      <w:r>
        <w:rPr>
          <w:rFonts w:ascii="仿宋" w:hAnsi="仿宋" w:eastAsia="仿宋" w:cs="仿宋"/>
          <w:spacing w:val="-44"/>
          <w:sz w:val="25"/>
          <w:szCs w:val="25"/>
        </w:rPr>
        <w:t xml:space="preserve"> </w:t>
      </w:r>
      <w:r>
        <w:rPr>
          <w:rFonts w:ascii="Times New Roman" w:hAnsi="Times New Roman" w:eastAsia="Times New Roman" w:cs="Times New Roman"/>
          <w:spacing w:val="2"/>
          <w:sz w:val="25"/>
          <w:szCs w:val="25"/>
        </w:rPr>
        <w:t>88.23</w:t>
      </w:r>
      <w:r>
        <w:rPr>
          <w:rFonts w:ascii="Times New Roman" w:hAnsi="Times New Roman" w:eastAsia="Times New Roman" w:cs="Times New Roman"/>
          <w:spacing w:val="27"/>
          <w:sz w:val="25"/>
          <w:szCs w:val="25"/>
        </w:rPr>
        <w:t xml:space="preserve"> </w:t>
      </w:r>
      <w:r>
        <w:rPr>
          <w:rFonts w:ascii="仿宋" w:hAnsi="仿宋" w:eastAsia="仿宋" w:cs="仿宋"/>
          <w:spacing w:val="2"/>
          <w:sz w:val="25"/>
          <w:szCs w:val="25"/>
        </w:rPr>
        <w:t>公顷；历史遗留矿</w:t>
      </w:r>
      <w:r>
        <w:rPr>
          <w:rFonts w:ascii="仿宋" w:hAnsi="仿宋" w:eastAsia="仿宋" w:cs="仿宋"/>
          <w:sz w:val="25"/>
          <w:szCs w:val="25"/>
        </w:rPr>
        <w:t xml:space="preserve"> </w:t>
      </w:r>
      <w:r>
        <w:rPr>
          <w:rFonts w:ascii="仿宋" w:hAnsi="仿宋" w:eastAsia="仿宋" w:cs="仿宋"/>
          <w:spacing w:val="2"/>
          <w:sz w:val="25"/>
          <w:szCs w:val="25"/>
        </w:rPr>
        <w:t>山</w:t>
      </w:r>
      <w:r>
        <w:rPr>
          <w:rFonts w:ascii="仿宋" w:hAnsi="仿宋" w:eastAsia="仿宋" w:cs="仿宋"/>
          <w:spacing w:val="-46"/>
          <w:sz w:val="25"/>
          <w:szCs w:val="25"/>
        </w:rPr>
        <w:t xml:space="preserve"> </w:t>
      </w:r>
      <w:r>
        <w:rPr>
          <w:rFonts w:ascii="Times New Roman" w:hAnsi="Times New Roman" w:eastAsia="Times New Roman" w:cs="Times New Roman"/>
          <w:spacing w:val="2"/>
          <w:sz w:val="25"/>
          <w:szCs w:val="25"/>
        </w:rPr>
        <w:t>35</w:t>
      </w:r>
      <w:r>
        <w:rPr>
          <w:rFonts w:ascii="Times New Roman" w:hAnsi="Times New Roman" w:eastAsia="Times New Roman" w:cs="Times New Roman"/>
          <w:spacing w:val="20"/>
          <w:w w:val="101"/>
          <w:sz w:val="25"/>
          <w:szCs w:val="25"/>
        </w:rPr>
        <w:t xml:space="preserve"> </w:t>
      </w:r>
      <w:r>
        <w:rPr>
          <w:rFonts w:ascii="仿宋" w:hAnsi="仿宋" w:eastAsia="仿宋" w:cs="仿宋"/>
          <w:spacing w:val="2"/>
          <w:sz w:val="25"/>
          <w:szCs w:val="25"/>
        </w:rPr>
        <w:t>个，</w:t>
      </w:r>
      <w:r>
        <w:rPr>
          <w:rFonts w:ascii="Times New Roman" w:hAnsi="Times New Roman" w:eastAsia="Times New Roman" w:cs="Times New Roman"/>
          <w:spacing w:val="2"/>
          <w:sz w:val="25"/>
          <w:szCs w:val="25"/>
        </w:rPr>
        <w:t>35</w:t>
      </w:r>
      <w:r>
        <w:rPr>
          <w:rFonts w:ascii="Times New Roman" w:hAnsi="Times New Roman" w:eastAsia="Times New Roman" w:cs="Times New Roman"/>
          <w:spacing w:val="23"/>
          <w:sz w:val="25"/>
          <w:szCs w:val="25"/>
        </w:rPr>
        <w:t xml:space="preserve"> </w:t>
      </w:r>
      <w:r>
        <w:rPr>
          <w:rFonts w:ascii="仿宋" w:hAnsi="仿宋" w:eastAsia="仿宋" w:cs="仿宋"/>
          <w:spacing w:val="2"/>
          <w:sz w:val="25"/>
          <w:szCs w:val="25"/>
        </w:rPr>
        <w:t>个损毁地块，损毁面积</w:t>
      </w:r>
      <w:r>
        <w:rPr>
          <w:rFonts w:ascii="仿宋" w:hAnsi="仿宋" w:eastAsia="仿宋" w:cs="仿宋"/>
          <w:spacing w:val="-28"/>
          <w:sz w:val="25"/>
          <w:szCs w:val="25"/>
        </w:rPr>
        <w:t xml:space="preserve"> </w:t>
      </w:r>
      <w:r>
        <w:rPr>
          <w:rFonts w:ascii="Times New Roman" w:hAnsi="Times New Roman" w:eastAsia="Times New Roman" w:cs="Times New Roman"/>
          <w:spacing w:val="2"/>
          <w:sz w:val="25"/>
          <w:szCs w:val="25"/>
        </w:rPr>
        <w:t>18.54</w:t>
      </w:r>
      <w:r>
        <w:rPr>
          <w:rFonts w:ascii="Times New Roman" w:hAnsi="Times New Roman" w:eastAsia="Times New Roman" w:cs="Times New Roman"/>
          <w:spacing w:val="25"/>
          <w:sz w:val="25"/>
          <w:szCs w:val="25"/>
        </w:rPr>
        <w:t xml:space="preserve"> </w:t>
      </w:r>
      <w:r>
        <w:rPr>
          <w:rFonts w:ascii="仿宋" w:hAnsi="仿宋" w:eastAsia="仿宋" w:cs="仿宋"/>
          <w:spacing w:val="2"/>
          <w:sz w:val="25"/>
          <w:szCs w:val="25"/>
        </w:rPr>
        <w:t>公顷。历史遗留及关闭矿山主要分布</w:t>
      </w:r>
      <w:r>
        <w:rPr>
          <w:rFonts w:ascii="仿宋" w:hAnsi="仿宋" w:eastAsia="仿宋" w:cs="仿宋"/>
          <w:sz w:val="25"/>
          <w:szCs w:val="25"/>
        </w:rPr>
        <w:t xml:space="preserve"> </w:t>
      </w:r>
      <w:r>
        <w:rPr>
          <w:rFonts w:ascii="仿宋" w:hAnsi="仿宋" w:eastAsia="仿宋" w:cs="仿宋"/>
          <w:spacing w:val="9"/>
          <w:sz w:val="25"/>
          <w:szCs w:val="25"/>
        </w:rPr>
        <w:t>于黔江区中部的正阳，舟白，水田，邻鄂，其余乡</w:t>
      </w:r>
      <w:r>
        <w:rPr>
          <w:rFonts w:ascii="仿宋" w:hAnsi="仿宋" w:eastAsia="仿宋" w:cs="仿宋"/>
          <w:spacing w:val="8"/>
          <w:sz w:val="25"/>
          <w:szCs w:val="25"/>
        </w:rPr>
        <w:t>镇分布零星。</w:t>
      </w:r>
    </w:p>
    <w:p w14:paraId="1465D2B3">
      <w:pPr>
        <w:spacing w:before="4" w:line="339" w:lineRule="auto"/>
        <w:ind w:left="142" w:right="118" w:firstLine="564"/>
        <w:jc w:val="both"/>
        <w:rPr>
          <w:rFonts w:ascii="仿宋" w:hAnsi="仿宋" w:eastAsia="仿宋" w:cs="仿宋"/>
          <w:sz w:val="25"/>
          <w:szCs w:val="25"/>
        </w:rPr>
      </w:pPr>
      <w:r>
        <w:rPr>
          <w:rFonts w:ascii="仿宋" w:hAnsi="仿宋" w:eastAsia="仿宋" w:cs="仿宋"/>
          <w:spacing w:val="3"/>
          <w:sz w:val="25"/>
          <w:szCs w:val="25"/>
        </w:rPr>
        <w:t>自</w:t>
      </w:r>
      <w:r>
        <w:rPr>
          <w:rFonts w:ascii="仿宋" w:hAnsi="仿宋" w:eastAsia="仿宋" w:cs="仿宋"/>
          <w:spacing w:val="-54"/>
          <w:sz w:val="25"/>
          <w:szCs w:val="25"/>
        </w:rPr>
        <w:t xml:space="preserve"> </w:t>
      </w:r>
      <w:r>
        <w:rPr>
          <w:rFonts w:ascii="Times New Roman" w:hAnsi="Times New Roman" w:eastAsia="Times New Roman" w:cs="Times New Roman"/>
          <w:spacing w:val="3"/>
          <w:sz w:val="25"/>
          <w:szCs w:val="25"/>
        </w:rPr>
        <w:t>2018</w:t>
      </w:r>
      <w:r>
        <w:rPr>
          <w:rFonts w:ascii="Times New Roman" w:hAnsi="Times New Roman" w:eastAsia="Times New Roman" w:cs="Times New Roman"/>
          <w:spacing w:val="27"/>
          <w:sz w:val="25"/>
          <w:szCs w:val="25"/>
        </w:rPr>
        <w:t xml:space="preserve"> </w:t>
      </w:r>
      <w:r>
        <w:rPr>
          <w:rFonts w:ascii="仿宋" w:hAnsi="仿宋" w:eastAsia="仿宋" w:cs="仿宋"/>
          <w:spacing w:val="3"/>
          <w:sz w:val="25"/>
          <w:szCs w:val="25"/>
        </w:rPr>
        <w:t>年以来，黔江区根据《重庆市历史遗留和关闭矿山</w:t>
      </w:r>
      <w:r>
        <w:rPr>
          <w:rFonts w:ascii="仿宋" w:hAnsi="仿宋" w:eastAsia="仿宋" w:cs="仿宋"/>
          <w:spacing w:val="2"/>
          <w:sz w:val="25"/>
          <w:szCs w:val="25"/>
        </w:rPr>
        <w:t>地质环境治理恢</w:t>
      </w:r>
      <w:r>
        <w:rPr>
          <w:rFonts w:ascii="仿宋" w:hAnsi="仿宋" w:eastAsia="仿宋" w:cs="仿宋"/>
          <w:sz w:val="25"/>
          <w:szCs w:val="25"/>
        </w:rPr>
        <w:t xml:space="preserve"> </w:t>
      </w:r>
      <w:r>
        <w:rPr>
          <w:rFonts w:ascii="仿宋" w:hAnsi="仿宋" w:eastAsia="仿宋" w:cs="仿宋"/>
          <w:spacing w:val="6"/>
          <w:sz w:val="25"/>
          <w:szCs w:val="25"/>
        </w:rPr>
        <w:t>复与土地复垦工作方案的通知》（渝府办发〔</w:t>
      </w:r>
      <w:r>
        <w:rPr>
          <w:rFonts w:ascii="Times New Roman" w:hAnsi="Times New Roman" w:eastAsia="Times New Roman" w:cs="Times New Roman"/>
          <w:spacing w:val="6"/>
          <w:sz w:val="25"/>
          <w:szCs w:val="25"/>
        </w:rPr>
        <w:t>2018</w:t>
      </w:r>
      <w:r>
        <w:rPr>
          <w:rFonts w:ascii="仿宋" w:hAnsi="仿宋" w:eastAsia="仿宋" w:cs="仿宋"/>
          <w:spacing w:val="6"/>
          <w:sz w:val="25"/>
          <w:szCs w:val="25"/>
        </w:rPr>
        <w:t>〕</w:t>
      </w:r>
      <w:r>
        <w:rPr>
          <w:rFonts w:ascii="Times New Roman" w:hAnsi="Times New Roman" w:eastAsia="Times New Roman" w:cs="Times New Roman"/>
          <w:spacing w:val="6"/>
          <w:sz w:val="25"/>
          <w:szCs w:val="25"/>
        </w:rPr>
        <w:t>55</w:t>
      </w:r>
      <w:r>
        <w:rPr>
          <w:rFonts w:ascii="Times New Roman" w:hAnsi="Times New Roman" w:eastAsia="Times New Roman" w:cs="Times New Roman"/>
          <w:spacing w:val="38"/>
          <w:sz w:val="25"/>
          <w:szCs w:val="25"/>
        </w:rPr>
        <w:t xml:space="preserve"> </w:t>
      </w:r>
      <w:r>
        <w:rPr>
          <w:rFonts w:ascii="仿宋" w:hAnsi="仿宋" w:eastAsia="仿宋" w:cs="仿宋"/>
          <w:spacing w:val="6"/>
          <w:sz w:val="25"/>
          <w:szCs w:val="25"/>
        </w:rPr>
        <w:t>号）文件要求，严格落</w:t>
      </w:r>
      <w:r>
        <w:rPr>
          <w:rFonts w:ascii="仿宋" w:hAnsi="仿宋" w:eastAsia="仿宋" w:cs="仿宋"/>
          <w:sz w:val="25"/>
          <w:szCs w:val="25"/>
        </w:rPr>
        <w:t xml:space="preserve"> </w:t>
      </w:r>
      <w:r>
        <w:rPr>
          <w:rFonts w:ascii="仿宋" w:hAnsi="仿宋" w:eastAsia="仿宋" w:cs="仿宋"/>
          <w:spacing w:val="9"/>
          <w:sz w:val="25"/>
          <w:szCs w:val="25"/>
        </w:rPr>
        <w:t>实市局总体目标，明确矿山治理恢复治理的计划安排、资金筹措、保障措施，</w:t>
      </w:r>
      <w:r>
        <w:rPr>
          <w:rFonts w:ascii="仿宋" w:hAnsi="仿宋" w:eastAsia="仿宋" w:cs="仿宋"/>
          <w:spacing w:val="16"/>
          <w:sz w:val="25"/>
          <w:szCs w:val="25"/>
        </w:rPr>
        <w:t xml:space="preserve"> </w:t>
      </w:r>
      <w:r>
        <w:rPr>
          <w:rFonts w:ascii="仿宋" w:hAnsi="仿宋" w:eastAsia="仿宋" w:cs="仿宋"/>
          <w:spacing w:val="8"/>
          <w:sz w:val="25"/>
          <w:szCs w:val="25"/>
        </w:rPr>
        <w:t>每年均完成了市规资局下达的年度修复任务。</w:t>
      </w:r>
    </w:p>
    <w:p w14:paraId="446CD579">
      <w:pPr>
        <w:spacing w:line="228" w:lineRule="auto"/>
        <w:ind w:left="662"/>
        <w:rPr>
          <w:rFonts w:ascii="仿宋" w:hAnsi="仿宋" w:eastAsia="仿宋" w:cs="仿宋"/>
          <w:sz w:val="25"/>
          <w:szCs w:val="25"/>
        </w:rPr>
      </w:pPr>
      <w:r>
        <w:rPr>
          <w:rFonts w:ascii="仿宋" w:hAnsi="仿宋" w:eastAsia="仿宋" w:cs="仿宋"/>
          <w:spacing w:val="8"/>
          <w:sz w:val="25"/>
          <w:szCs w:val="25"/>
        </w:rPr>
        <w:t>（</w:t>
      </w:r>
      <w:r>
        <w:rPr>
          <w:rFonts w:ascii="Times New Roman" w:hAnsi="Times New Roman" w:eastAsia="Times New Roman" w:cs="Times New Roman"/>
          <w:spacing w:val="8"/>
          <w:sz w:val="25"/>
          <w:szCs w:val="25"/>
        </w:rPr>
        <w:t>2</w:t>
      </w:r>
      <w:r>
        <w:rPr>
          <w:rFonts w:ascii="仿宋" w:hAnsi="仿宋" w:eastAsia="仿宋" w:cs="仿宋"/>
          <w:spacing w:val="8"/>
          <w:sz w:val="25"/>
          <w:szCs w:val="25"/>
        </w:rPr>
        <w:t>）《规划》实施期间关闭矿山生态修复情况</w:t>
      </w:r>
    </w:p>
    <w:p w14:paraId="39E1BE6A">
      <w:pPr>
        <w:spacing w:before="150" w:line="339" w:lineRule="auto"/>
        <w:ind w:left="136" w:right="121" w:firstLine="498"/>
        <w:rPr>
          <w:rFonts w:ascii="仿宋" w:hAnsi="仿宋" w:eastAsia="仿宋" w:cs="仿宋"/>
          <w:sz w:val="25"/>
          <w:szCs w:val="25"/>
        </w:rPr>
      </w:pPr>
      <w:r>
        <w:rPr>
          <w:rFonts w:ascii="仿宋" w:hAnsi="仿宋" w:eastAsia="仿宋" w:cs="仿宋"/>
          <w:spacing w:val="6"/>
          <w:sz w:val="25"/>
          <w:szCs w:val="25"/>
        </w:rPr>
        <w:t>“十四五</w:t>
      </w:r>
      <w:r>
        <w:rPr>
          <w:rFonts w:ascii="仿宋" w:hAnsi="仿宋" w:eastAsia="仿宋" w:cs="仿宋"/>
          <w:spacing w:val="-90"/>
          <w:sz w:val="25"/>
          <w:szCs w:val="25"/>
        </w:rPr>
        <w:t xml:space="preserve"> </w:t>
      </w:r>
      <w:r>
        <w:rPr>
          <w:rFonts w:ascii="仿宋" w:hAnsi="仿宋" w:eastAsia="仿宋" w:cs="仿宋"/>
          <w:spacing w:val="6"/>
          <w:sz w:val="25"/>
          <w:szCs w:val="25"/>
        </w:rPr>
        <w:t>”规划实施期间，截止</w:t>
      </w:r>
      <w:r>
        <w:rPr>
          <w:rFonts w:ascii="仿宋" w:hAnsi="仿宋" w:eastAsia="仿宋" w:cs="仿宋"/>
          <w:spacing w:val="-55"/>
          <w:sz w:val="25"/>
          <w:szCs w:val="25"/>
        </w:rPr>
        <w:t xml:space="preserve"> </w:t>
      </w:r>
      <w:r>
        <w:rPr>
          <w:rFonts w:ascii="Times New Roman" w:hAnsi="Times New Roman" w:eastAsia="Times New Roman" w:cs="Times New Roman"/>
          <w:spacing w:val="6"/>
          <w:sz w:val="25"/>
          <w:szCs w:val="25"/>
        </w:rPr>
        <w:t>2024</w:t>
      </w:r>
      <w:r>
        <w:rPr>
          <w:rFonts w:ascii="Times New Roman" w:hAnsi="Times New Roman" w:eastAsia="Times New Roman" w:cs="Times New Roman"/>
          <w:spacing w:val="25"/>
          <w:sz w:val="25"/>
          <w:szCs w:val="25"/>
        </w:rPr>
        <w:t xml:space="preserve"> </w:t>
      </w:r>
      <w:r>
        <w:rPr>
          <w:rFonts w:ascii="仿宋" w:hAnsi="仿宋" w:eastAsia="仿宋" w:cs="仿宋"/>
          <w:spacing w:val="6"/>
          <w:sz w:val="25"/>
          <w:szCs w:val="25"/>
        </w:rPr>
        <w:t>年</w:t>
      </w:r>
      <w:r>
        <w:rPr>
          <w:rFonts w:ascii="仿宋" w:hAnsi="仿宋" w:eastAsia="仿宋" w:cs="仿宋"/>
          <w:spacing w:val="-28"/>
          <w:sz w:val="25"/>
          <w:szCs w:val="25"/>
        </w:rPr>
        <w:t xml:space="preserve"> </w:t>
      </w:r>
      <w:r>
        <w:rPr>
          <w:rFonts w:ascii="Times New Roman" w:hAnsi="Times New Roman" w:eastAsia="Times New Roman" w:cs="Times New Roman"/>
          <w:spacing w:val="6"/>
          <w:sz w:val="25"/>
          <w:szCs w:val="25"/>
        </w:rPr>
        <w:t>12</w:t>
      </w:r>
      <w:r>
        <w:rPr>
          <w:rFonts w:ascii="Times New Roman" w:hAnsi="Times New Roman" w:eastAsia="Times New Roman" w:cs="Times New Roman"/>
          <w:spacing w:val="32"/>
          <w:sz w:val="25"/>
          <w:szCs w:val="25"/>
        </w:rPr>
        <w:t xml:space="preserve"> </w:t>
      </w:r>
      <w:r>
        <w:rPr>
          <w:rFonts w:ascii="仿宋" w:hAnsi="仿宋" w:eastAsia="仿宋" w:cs="仿宋"/>
          <w:spacing w:val="6"/>
          <w:sz w:val="25"/>
          <w:szCs w:val="25"/>
        </w:rPr>
        <w:t>月，</w:t>
      </w:r>
      <w:r>
        <w:rPr>
          <w:rFonts w:ascii="仿宋" w:hAnsi="仿宋" w:eastAsia="仿宋" w:cs="仿宋"/>
          <w:spacing w:val="5"/>
          <w:sz w:val="25"/>
          <w:szCs w:val="25"/>
        </w:rPr>
        <w:t>黔江区关闭矿山（含矿业</w:t>
      </w:r>
      <w:r>
        <w:rPr>
          <w:rFonts w:ascii="仿宋" w:hAnsi="仿宋" w:eastAsia="仿宋" w:cs="仿宋"/>
          <w:sz w:val="25"/>
          <w:szCs w:val="25"/>
        </w:rPr>
        <w:t xml:space="preserve"> </w:t>
      </w:r>
      <w:r>
        <w:rPr>
          <w:rFonts w:ascii="仿宋" w:hAnsi="仿宋" w:eastAsia="仿宋" w:cs="仿宋"/>
          <w:spacing w:val="7"/>
          <w:sz w:val="25"/>
          <w:szCs w:val="25"/>
        </w:rPr>
        <w:t>权注销）数量为</w:t>
      </w:r>
      <w:r>
        <w:rPr>
          <w:rFonts w:ascii="仿宋" w:hAnsi="仿宋" w:eastAsia="仿宋" w:cs="仿宋"/>
          <w:spacing w:val="-27"/>
          <w:sz w:val="25"/>
          <w:szCs w:val="25"/>
        </w:rPr>
        <w:t xml:space="preserve"> </w:t>
      </w:r>
      <w:r>
        <w:rPr>
          <w:rFonts w:ascii="Times New Roman" w:hAnsi="Times New Roman" w:eastAsia="Times New Roman" w:cs="Times New Roman"/>
          <w:spacing w:val="7"/>
          <w:sz w:val="25"/>
          <w:szCs w:val="25"/>
        </w:rPr>
        <w:t>11</w:t>
      </w:r>
      <w:r>
        <w:rPr>
          <w:rFonts w:ascii="Times New Roman" w:hAnsi="Times New Roman" w:eastAsia="Times New Roman" w:cs="Times New Roman"/>
          <w:spacing w:val="20"/>
          <w:w w:val="101"/>
          <w:sz w:val="25"/>
          <w:szCs w:val="25"/>
        </w:rPr>
        <w:t xml:space="preserve"> </w:t>
      </w:r>
      <w:r>
        <w:rPr>
          <w:rFonts w:ascii="仿宋" w:hAnsi="仿宋" w:eastAsia="仿宋" w:cs="仿宋"/>
          <w:spacing w:val="7"/>
          <w:sz w:val="25"/>
          <w:szCs w:val="25"/>
        </w:rPr>
        <w:t>个，</w:t>
      </w:r>
      <w:r>
        <w:rPr>
          <w:rFonts w:ascii="Times New Roman" w:hAnsi="Times New Roman" w:eastAsia="Times New Roman" w:cs="Times New Roman"/>
          <w:spacing w:val="7"/>
          <w:sz w:val="25"/>
          <w:szCs w:val="25"/>
        </w:rPr>
        <w:t>4</w:t>
      </w:r>
      <w:r>
        <w:rPr>
          <w:rFonts w:ascii="Times New Roman" w:hAnsi="Times New Roman" w:eastAsia="Times New Roman" w:cs="Times New Roman"/>
          <w:spacing w:val="20"/>
          <w:w w:val="101"/>
          <w:sz w:val="25"/>
          <w:szCs w:val="25"/>
        </w:rPr>
        <w:t xml:space="preserve"> </w:t>
      </w:r>
      <w:r>
        <w:rPr>
          <w:rFonts w:ascii="仿宋" w:hAnsi="仿宋" w:eastAsia="仿宋" w:cs="仿宋"/>
          <w:spacing w:val="7"/>
          <w:sz w:val="25"/>
          <w:szCs w:val="25"/>
        </w:rPr>
        <w:t>个矿山已完成生</w:t>
      </w:r>
      <w:r>
        <w:rPr>
          <w:rFonts w:ascii="仿宋" w:hAnsi="仿宋" w:eastAsia="仿宋" w:cs="仿宋"/>
          <w:spacing w:val="6"/>
          <w:sz w:val="25"/>
          <w:szCs w:val="25"/>
        </w:rPr>
        <w:t>态修复工作，</w:t>
      </w:r>
      <w:r>
        <w:rPr>
          <w:rFonts w:ascii="Times New Roman" w:hAnsi="Times New Roman" w:eastAsia="Times New Roman" w:cs="Times New Roman"/>
          <w:spacing w:val="6"/>
          <w:sz w:val="25"/>
          <w:szCs w:val="25"/>
        </w:rPr>
        <w:t>1</w:t>
      </w:r>
      <w:r>
        <w:rPr>
          <w:rFonts w:ascii="Times New Roman" w:hAnsi="Times New Roman" w:eastAsia="Times New Roman" w:cs="Times New Roman"/>
          <w:spacing w:val="20"/>
          <w:w w:val="101"/>
          <w:sz w:val="25"/>
          <w:szCs w:val="25"/>
        </w:rPr>
        <w:t xml:space="preserve"> </w:t>
      </w:r>
      <w:r>
        <w:rPr>
          <w:rFonts w:ascii="仿宋" w:hAnsi="仿宋" w:eastAsia="仿宋" w:cs="仿宋"/>
          <w:spacing w:val="6"/>
          <w:sz w:val="25"/>
          <w:szCs w:val="25"/>
        </w:rPr>
        <w:t>个矿山在办理再利用</w:t>
      </w:r>
      <w:r>
        <w:rPr>
          <w:rFonts w:ascii="仿宋" w:hAnsi="仿宋" w:eastAsia="仿宋" w:cs="仿宋"/>
          <w:sz w:val="25"/>
          <w:szCs w:val="25"/>
        </w:rPr>
        <w:t xml:space="preserve"> </w:t>
      </w:r>
      <w:r>
        <w:rPr>
          <w:rFonts w:ascii="仿宋" w:hAnsi="仿宋" w:eastAsia="仿宋" w:cs="仿宋"/>
          <w:spacing w:val="6"/>
          <w:sz w:val="25"/>
          <w:szCs w:val="25"/>
        </w:rPr>
        <w:t>手续（农业项目</w:t>
      </w:r>
      <w:r>
        <w:rPr>
          <w:rFonts w:ascii="仿宋" w:hAnsi="仿宋" w:eastAsia="仿宋" w:cs="仿宋"/>
          <w:spacing w:val="23"/>
          <w:sz w:val="25"/>
          <w:szCs w:val="25"/>
        </w:rPr>
        <w:t>），</w:t>
      </w:r>
      <w:r>
        <w:rPr>
          <w:rFonts w:ascii="Times New Roman" w:hAnsi="Times New Roman" w:eastAsia="Times New Roman" w:cs="Times New Roman"/>
          <w:spacing w:val="6"/>
          <w:sz w:val="25"/>
          <w:szCs w:val="25"/>
        </w:rPr>
        <w:t>6</w:t>
      </w:r>
      <w:r>
        <w:rPr>
          <w:rFonts w:ascii="Times New Roman" w:hAnsi="Times New Roman" w:eastAsia="Times New Roman" w:cs="Times New Roman"/>
          <w:spacing w:val="21"/>
          <w:w w:val="101"/>
          <w:sz w:val="25"/>
          <w:szCs w:val="25"/>
        </w:rPr>
        <w:t xml:space="preserve"> </w:t>
      </w:r>
      <w:r>
        <w:rPr>
          <w:rFonts w:ascii="仿宋" w:hAnsi="仿宋" w:eastAsia="仿宋" w:cs="仿宋"/>
          <w:spacing w:val="6"/>
          <w:sz w:val="25"/>
          <w:szCs w:val="25"/>
        </w:rPr>
        <w:t>个矿山正在进行生态修复。</w:t>
      </w:r>
    </w:p>
    <w:p w14:paraId="2CAC87E7">
      <w:pPr>
        <w:spacing w:before="47" w:line="230" w:lineRule="auto"/>
        <w:ind w:left="1916"/>
        <w:rPr>
          <w:rFonts w:ascii="仿宋" w:hAnsi="仿宋" w:eastAsia="仿宋" w:cs="仿宋"/>
          <w:sz w:val="20"/>
          <w:szCs w:val="20"/>
        </w:rPr>
      </w:pPr>
      <w:r>
        <w:rPr>
          <w:rFonts w:ascii="仿宋" w:hAnsi="仿宋" w:eastAsia="仿宋" w:cs="仿宋"/>
          <w:b/>
          <w:bCs/>
          <w:spacing w:val="5"/>
          <w:sz w:val="20"/>
          <w:szCs w:val="20"/>
        </w:rPr>
        <w:t>表</w:t>
      </w:r>
      <w:r>
        <w:rPr>
          <w:rFonts w:ascii="Times New Roman" w:hAnsi="Times New Roman" w:eastAsia="Times New Roman" w:cs="Times New Roman"/>
          <w:b/>
          <w:bCs/>
          <w:spacing w:val="5"/>
          <w:sz w:val="20"/>
          <w:szCs w:val="20"/>
        </w:rPr>
        <w:t xml:space="preserve">3.2-5        </w:t>
      </w:r>
      <w:r>
        <w:rPr>
          <w:rFonts w:ascii="仿宋" w:hAnsi="仿宋" w:eastAsia="仿宋" w:cs="仿宋"/>
          <w:b/>
          <w:bCs/>
          <w:spacing w:val="5"/>
          <w:sz w:val="20"/>
          <w:szCs w:val="20"/>
        </w:rPr>
        <w:t>“十四五</w:t>
      </w:r>
      <w:r>
        <w:rPr>
          <w:rFonts w:ascii="仿宋" w:hAnsi="仿宋" w:eastAsia="仿宋" w:cs="仿宋"/>
          <w:spacing w:val="-65"/>
          <w:sz w:val="20"/>
          <w:szCs w:val="20"/>
        </w:rPr>
        <w:t xml:space="preserve"> </w:t>
      </w:r>
      <w:r>
        <w:rPr>
          <w:rFonts w:ascii="仿宋" w:hAnsi="仿宋" w:eastAsia="仿宋" w:cs="仿宋"/>
          <w:b/>
          <w:bCs/>
          <w:spacing w:val="5"/>
          <w:sz w:val="20"/>
          <w:szCs w:val="20"/>
        </w:rPr>
        <w:t>”期间关闭矿山生态修复情况一览表</w:t>
      </w:r>
    </w:p>
    <w:p w14:paraId="55F12D3D">
      <w:pPr>
        <w:spacing w:line="22" w:lineRule="exact"/>
      </w:pPr>
    </w:p>
    <w:tbl>
      <w:tblPr>
        <w:tblStyle w:val="5"/>
        <w:tblW w:w="905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8"/>
        <w:gridCol w:w="5643"/>
        <w:gridCol w:w="2768"/>
      </w:tblGrid>
      <w:tr w14:paraId="689783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648" w:type="dxa"/>
            <w:tcBorders>
              <w:top w:val="single" w:color="000000" w:sz="10" w:space="0"/>
              <w:left w:val="single" w:color="000000" w:sz="10" w:space="0"/>
            </w:tcBorders>
            <w:vAlign w:val="top"/>
          </w:tcPr>
          <w:p w14:paraId="02E0F093">
            <w:pPr>
              <w:pStyle w:val="6"/>
              <w:spacing w:before="147" w:line="233" w:lineRule="auto"/>
              <w:ind w:left="121"/>
              <w:rPr>
                <w:sz w:val="19"/>
                <w:szCs w:val="19"/>
              </w:rPr>
            </w:pPr>
            <w:r>
              <w:rPr>
                <w:spacing w:val="1"/>
                <w:sz w:val="19"/>
                <w:szCs w:val="19"/>
              </w:rPr>
              <w:t>编号</w:t>
            </w:r>
          </w:p>
        </w:tc>
        <w:tc>
          <w:tcPr>
            <w:tcW w:w="5643" w:type="dxa"/>
            <w:tcBorders>
              <w:top w:val="single" w:color="000000" w:sz="10" w:space="0"/>
            </w:tcBorders>
            <w:vAlign w:val="top"/>
          </w:tcPr>
          <w:p w14:paraId="76AACBBD">
            <w:pPr>
              <w:pStyle w:val="6"/>
              <w:spacing w:before="147" w:line="230" w:lineRule="auto"/>
              <w:ind w:left="2446"/>
              <w:rPr>
                <w:sz w:val="19"/>
                <w:szCs w:val="19"/>
              </w:rPr>
            </w:pPr>
            <w:r>
              <w:rPr>
                <w:spacing w:val="2"/>
                <w:sz w:val="19"/>
                <w:szCs w:val="19"/>
              </w:rPr>
              <w:t>区块名称</w:t>
            </w:r>
          </w:p>
        </w:tc>
        <w:tc>
          <w:tcPr>
            <w:tcW w:w="2768" w:type="dxa"/>
            <w:tcBorders>
              <w:top w:val="single" w:color="000000" w:sz="10" w:space="0"/>
              <w:right w:val="single" w:color="000000" w:sz="10" w:space="0"/>
            </w:tcBorders>
            <w:vAlign w:val="top"/>
          </w:tcPr>
          <w:p w14:paraId="743E43A6">
            <w:pPr>
              <w:pStyle w:val="6"/>
              <w:spacing w:before="147" w:line="231" w:lineRule="auto"/>
              <w:ind w:left="808"/>
              <w:rPr>
                <w:sz w:val="19"/>
                <w:szCs w:val="19"/>
              </w:rPr>
            </w:pPr>
            <w:r>
              <w:rPr>
                <w:spacing w:val="5"/>
                <w:sz w:val="19"/>
                <w:szCs w:val="19"/>
              </w:rPr>
              <w:t>生态修复情况</w:t>
            </w:r>
          </w:p>
        </w:tc>
      </w:tr>
      <w:tr w14:paraId="0823CF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648" w:type="dxa"/>
            <w:tcBorders>
              <w:left w:val="single" w:color="000000" w:sz="10" w:space="0"/>
            </w:tcBorders>
            <w:vAlign w:val="top"/>
          </w:tcPr>
          <w:p w14:paraId="6D2A3AD3">
            <w:pPr>
              <w:spacing w:before="110" w:line="195" w:lineRule="auto"/>
              <w:ind w:left="281"/>
              <w:rPr>
                <w:rFonts w:ascii="Times New Roman" w:hAnsi="Times New Roman" w:eastAsia="Times New Roman" w:cs="Times New Roman"/>
                <w:sz w:val="19"/>
                <w:szCs w:val="19"/>
              </w:rPr>
            </w:pPr>
            <w:r>
              <w:rPr>
                <w:rFonts w:ascii="Times New Roman" w:hAnsi="Times New Roman" w:eastAsia="Times New Roman" w:cs="Times New Roman"/>
                <w:sz w:val="19"/>
                <w:szCs w:val="19"/>
              </w:rPr>
              <w:t>1</w:t>
            </w:r>
          </w:p>
        </w:tc>
        <w:tc>
          <w:tcPr>
            <w:tcW w:w="5643" w:type="dxa"/>
            <w:vAlign w:val="top"/>
          </w:tcPr>
          <w:p w14:paraId="102BCECA">
            <w:pPr>
              <w:pStyle w:val="6"/>
              <w:spacing w:before="71" w:line="231" w:lineRule="auto"/>
              <w:ind w:left="946"/>
              <w:rPr>
                <w:sz w:val="20"/>
                <w:szCs w:val="20"/>
              </w:rPr>
            </w:pPr>
            <w:r>
              <w:rPr>
                <w:spacing w:val="8"/>
                <w:sz w:val="20"/>
                <w:szCs w:val="20"/>
              </w:rPr>
              <w:t>重庆市黔江区舟白街道丛山饰面用灰岩矿</w:t>
            </w:r>
          </w:p>
        </w:tc>
        <w:tc>
          <w:tcPr>
            <w:tcW w:w="2768" w:type="dxa"/>
            <w:tcBorders>
              <w:right w:val="single" w:color="000000" w:sz="10" w:space="0"/>
            </w:tcBorders>
            <w:vAlign w:val="top"/>
          </w:tcPr>
          <w:p w14:paraId="2B5CAA8F">
            <w:pPr>
              <w:pStyle w:val="6"/>
              <w:spacing w:before="76" w:line="231" w:lineRule="auto"/>
              <w:ind w:left="721"/>
              <w:rPr>
                <w:sz w:val="19"/>
                <w:szCs w:val="19"/>
              </w:rPr>
            </w:pPr>
            <w:r>
              <w:rPr>
                <w:spacing w:val="4"/>
                <w:sz w:val="19"/>
                <w:szCs w:val="19"/>
              </w:rPr>
              <w:t>已完成生态修复</w:t>
            </w:r>
          </w:p>
        </w:tc>
      </w:tr>
      <w:tr w14:paraId="3D00F8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648" w:type="dxa"/>
            <w:tcBorders>
              <w:left w:val="single" w:color="000000" w:sz="10" w:space="0"/>
            </w:tcBorders>
            <w:vAlign w:val="top"/>
          </w:tcPr>
          <w:p w14:paraId="53C45EC5">
            <w:pPr>
              <w:spacing w:before="146" w:line="195" w:lineRule="auto"/>
              <w:ind w:left="262"/>
              <w:rPr>
                <w:rFonts w:ascii="Times New Roman" w:hAnsi="Times New Roman" w:eastAsia="Times New Roman" w:cs="Times New Roman"/>
                <w:sz w:val="19"/>
                <w:szCs w:val="19"/>
              </w:rPr>
            </w:pPr>
            <w:r>
              <w:rPr>
                <w:rFonts w:ascii="Times New Roman" w:hAnsi="Times New Roman" w:eastAsia="Times New Roman" w:cs="Times New Roman"/>
                <w:sz w:val="19"/>
                <w:szCs w:val="19"/>
              </w:rPr>
              <w:t>2</w:t>
            </w:r>
          </w:p>
        </w:tc>
        <w:tc>
          <w:tcPr>
            <w:tcW w:w="5643" w:type="dxa"/>
            <w:vAlign w:val="top"/>
          </w:tcPr>
          <w:p w14:paraId="09A85B68">
            <w:pPr>
              <w:pStyle w:val="6"/>
              <w:spacing w:before="103" w:line="229" w:lineRule="auto"/>
              <w:ind w:left="737"/>
              <w:rPr>
                <w:sz w:val="20"/>
                <w:szCs w:val="20"/>
              </w:rPr>
            </w:pPr>
            <w:r>
              <w:rPr>
                <w:spacing w:val="8"/>
                <w:sz w:val="20"/>
                <w:szCs w:val="20"/>
              </w:rPr>
              <w:t>重庆市黔江区石家镇火石垭建筑石料用灰岩矿</w:t>
            </w:r>
          </w:p>
        </w:tc>
        <w:tc>
          <w:tcPr>
            <w:tcW w:w="2768" w:type="dxa"/>
            <w:tcBorders>
              <w:right w:val="single" w:color="000000" w:sz="10" w:space="0"/>
            </w:tcBorders>
            <w:vAlign w:val="top"/>
          </w:tcPr>
          <w:p w14:paraId="1AD93888">
            <w:pPr>
              <w:pStyle w:val="6"/>
              <w:spacing w:before="112" w:line="228" w:lineRule="auto"/>
              <w:ind w:left="599"/>
              <w:rPr>
                <w:sz w:val="19"/>
                <w:szCs w:val="19"/>
              </w:rPr>
            </w:pPr>
            <w:r>
              <w:rPr>
                <w:spacing w:val="7"/>
                <w:sz w:val="19"/>
                <w:szCs w:val="19"/>
              </w:rPr>
              <w:t>正在进行生态修复</w:t>
            </w:r>
          </w:p>
        </w:tc>
      </w:tr>
      <w:tr w14:paraId="45DA46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648" w:type="dxa"/>
            <w:tcBorders>
              <w:left w:val="single" w:color="000000" w:sz="10" w:space="0"/>
            </w:tcBorders>
            <w:vAlign w:val="top"/>
          </w:tcPr>
          <w:p w14:paraId="0099FC2F">
            <w:pPr>
              <w:spacing w:before="141" w:line="195" w:lineRule="auto"/>
              <w:ind w:left="266"/>
              <w:rPr>
                <w:rFonts w:ascii="Times New Roman" w:hAnsi="Times New Roman" w:eastAsia="Times New Roman" w:cs="Times New Roman"/>
                <w:sz w:val="19"/>
                <w:szCs w:val="19"/>
              </w:rPr>
            </w:pPr>
            <w:r>
              <w:rPr>
                <w:rFonts w:ascii="Times New Roman" w:hAnsi="Times New Roman" w:eastAsia="Times New Roman" w:cs="Times New Roman"/>
                <w:sz w:val="19"/>
                <w:szCs w:val="19"/>
              </w:rPr>
              <w:t>3</w:t>
            </w:r>
          </w:p>
        </w:tc>
        <w:tc>
          <w:tcPr>
            <w:tcW w:w="5643" w:type="dxa"/>
            <w:vAlign w:val="top"/>
          </w:tcPr>
          <w:p w14:paraId="2803F11A">
            <w:pPr>
              <w:pStyle w:val="6"/>
              <w:spacing w:before="100" w:line="229" w:lineRule="auto"/>
              <w:ind w:left="526"/>
              <w:rPr>
                <w:sz w:val="20"/>
                <w:szCs w:val="20"/>
              </w:rPr>
            </w:pPr>
            <w:r>
              <w:rPr>
                <w:spacing w:val="9"/>
                <w:sz w:val="20"/>
                <w:szCs w:val="20"/>
              </w:rPr>
              <w:t>重庆市黔江区中塘镇兴权村中波建筑石料用灰</w:t>
            </w:r>
            <w:r>
              <w:rPr>
                <w:spacing w:val="8"/>
                <w:sz w:val="20"/>
                <w:szCs w:val="20"/>
              </w:rPr>
              <w:t>岩矿</w:t>
            </w:r>
          </w:p>
        </w:tc>
        <w:tc>
          <w:tcPr>
            <w:tcW w:w="2768" w:type="dxa"/>
            <w:tcBorders>
              <w:right w:val="single" w:color="000000" w:sz="10" w:space="0"/>
            </w:tcBorders>
            <w:vAlign w:val="top"/>
          </w:tcPr>
          <w:p w14:paraId="45DC6E6F">
            <w:pPr>
              <w:pStyle w:val="6"/>
              <w:spacing w:before="107" w:line="228" w:lineRule="auto"/>
              <w:ind w:left="599"/>
              <w:rPr>
                <w:sz w:val="19"/>
                <w:szCs w:val="19"/>
              </w:rPr>
            </w:pPr>
            <w:r>
              <w:rPr>
                <w:spacing w:val="7"/>
                <w:sz w:val="19"/>
                <w:szCs w:val="19"/>
              </w:rPr>
              <w:t>正在进行生态修复</w:t>
            </w:r>
          </w:p>
        </w:tc>
      </w:tr>
      <w:tr w14:paraId="01311C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648" w:type="dxa"/>
            <w:tcBorders>
              <w:left w:val="single" w:color="000000" w:sz="10" w:space="0"/>
            </w:tcBorders>
            <w:vAlign w:val="top"/>
          </w:tcPr>
          <w:p w14:paraId="37F0E3D6">
            <w:pPr>
              <w:spacing w:before="149" w:line="195" w:lineRule="auto"/>
              <w:ind w:left="261"/>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4</w:t>
            </w:r>
          </w:p>
        </w:tc>
        <w:tc>
          <w:tcPr>
            <w:tcW w:w="5643" w:type="dxa"/>
            <w:vAlign w:val="top"/>
          </w:tcPr>
          <w:p w14:paraId="0CAA0302">
            <w:pPr>
              <w:pStyle w:val="6"/>
              <w:spacing w:before="108" w:line="229" w:lineRule="auto"/>
              <w:ind w:left="737"/>
              <w:rPr>
                <w:sz w:val="20"/>
                <w:szCs w:val="20"/>
              </w:rPr>
            </w:pPr>
            <w:r>
              <w:rPr>
                <w:spacing w:val="8"/>
                <w:sz w:val="20"/>
                <w:szCs w:val="20"/>
              </w:rPr>
              <w:t>重庆市黔江区阿蓬江镇昌立建筑石料用灰岩矿</w:t>
            </w:r>
          </w:p>
        </w:tc>
        <w:tc>
          <w:tcPr>
            <w:tcW w:w="2768" w:type="dxa"/>
            <w:tcBorders>
              <w:right w:val="single" w:color="000000" w:sz="10" w:space="0"/>
            </w:tcBorders>
            <w:vAlign w:val="top"/>
          </w:tcPr>
          <w:p w14:paraId="4AA66833">
            <w:pPr>
              <w:pStyle w:val="6"/>
              <w:spacing w:before="114" w:line="231" w:lineRule="auto"/>
              <w:ind w:left="721"/>
              <w:rPr>
                <w:sz w:val="19"/>
                <w:szCs w:val="19"/>
              </w:rPr>
            </w:pPr>
            <w:r>
              <w:rPr>
                <w:spacing w:val="4"/>
                <w:sz w:val="19"/>
                <w:szCs w:val="19"/>
              </w:rPr>
              <w:t>已完成生态修复</w:t>
            </w:r>
          </w:p>
        </w:tc>
      </w:tr>
      <w:tr w14:paraId="24F974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648" w:type="dxa"/>
            <w:tcBorders>
              <w:left w:val="single" w:color="000000" w:sz="10" w:space="0"/>
            </w:tcBorders>
            <w:vAlign w:val="top"/>
          </w:tcPr>
          <w:p w14:paraId="1195CD8B">
            <w:pPr>
              <w:spacing w:before="150" w:line="192" w:lineRule="auto"/>
              <w:ind w:left="267"/>
              <w:rPr>
                <w:rFonts w:ascii="Times New Roman" w:hAnsi="Times New Roman" w:eastAsia="Times New Roman" w:cs="Times New Roman"/>
                <w:sz w:val="19"/>
                <w:szCs w:val="19"/>
              </w:rPr>
            </w:pPr>
            <w:r>
              <w:rPr>
                <w:rFonts w:ascii="Times New Roman" w:hAnsi="Times New Roman" w:eastAsia="Times New Roman" w:cs="Times New Roman"/>
                <w:sz w:val="19"/>
                <w:szCs w:val="19"/>
              </w:rPr>
              <w:t>5</w:t>
            </w:r>
          </w:p>
        </w:tc>
        <w:tc>
          <w:tcPr>
            <w:tcW w:w="5643" w:type="dxa"/>
            <w:vAlign w:val="top"/>
          </w:tcPr>
          <w:p w14:paraId="7AA186B0">
            <w:pPr>
              <w:pStyle w:val="6"/>
              <w:spacing w:before="106" w:line="229" w:lineRule="auto"/>
              <w:ind w:left="946"/>
              <w:rPr>
                <w:sz w:val="20"/>
                <w:szCs w:val="20"/>
              </w:rPr>
            </w:pPr>
            <w:r>
              <w:rPr>
                <w:spacing w:val="8"/>
                <w:sz w:val="20"/>
                <w:szCs w:val="20"/>
              </w:rPr>
              <w:t>重庆市黔江区水田河坝建筑石料用灰岩矿</w:t>
            </w:r>
          </w:p>
        </w:tc>
        <w:tc>
          <w:tcPr>
            <w:tcW w:w="2768" w:type="dxa"/>
            <w:tcBorders>
              <w:right w:val="single" w:color="000000" w:sz="10" w:space="0"/>
            </w:tcBorders>
            <w:vAlign w:val="top"/>
          </w:tcPr>
          <w:p w14:paraId="521E4E66">
            <w:pPr>
              <w:pStyle w:val="6"/>
              <w:spacing w:before="113" w:line="231" w:lineRule="auto"/>
              <w:ind w:left="721"/>
              <w:rPr>
                <w:sz w:val="19"/>
                <w:szCs w:val="19"/>
              </w:rPr>
            </w:pPr>
            <w:r>
              <w:rPr>
                <w:spacing w:val="4"/>
                <w:sz w:val="19"/>
                <w:szCs w:val="19"/>
              </w:rPr>
              <w:t>已完成生态修复</w:t>
            </w:r>
          </w:p>
        </w:tc>
      </w:tr>
      <w:tr w14:paraId="26497B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648" w:type="dxa"/>
            <w:tcBorders>
              <w:left w:val="single" w:color="000000" w:sz="10" w:space="0"/>
            </w:tcBorders>
            <w:vAlign w:val="top"/>
          </w:tcPr>
          <w:p w14:paraId="6C36757E">
            <w:pPr>
              <w:spacing w:before="145" w:line="195" w:lineRule="auto"/>
              <w:ind w:left="266"/>
              <w:rPr>
                <w:rFonts w:ascii="Times New Roman" w:hAnsi="Times New Roman" w:eastAsia="Times New Roman" w:cs="Times New Roman"/>
                <w:sz w:val="19"/>
                <w:szCs w:val="19"/>
              </w:rPr>
            </w:pPr>
            <w:r>
              <w:rPr>
                <w:rFonts w:ascii="Times New Roman" w:hAnsi="Times New Roman" w:eastAsia="Times New Roman" w:cs="Times New Roman"/>
                <w:sz w:val="19"/>
                <w:szCs w:val="19"/>
              </w:rPr>
              <w:t>6</w:t>
            </w:r>
          </w:p>
        </w:tc>
        <w:tc>
          <w:tcPr>
            <w:tcW w:w="5643" w:type="dxa"/>
            <w:vAlign w:val="top"/>
          </w:tcPr>
          <w:p w14:paraId="73B276FE">
            <w:pPr>
              <w:pStyle w:val="6"/>
              <w:spacing w:before="104" w:line="229" w:lineRule="auto"/>
              <w:ind w:left="842"/>
              <w:rPr>
                <w:sz w:val="20"/>
                <w:szCs w:val="20"/>
              </w:rPr>
            </w:pPr>
            <w:r>
              <w:rPr>
                <w:spacing w:val="8"/>
                <w:sz w:val="20"/>
                <w:szCs w:val="20"/>
              </w:rPr>
              <w:t>重庆市黔江区水田乡刚建建筑石料用灰岩矿</w:t>
            </w:r>
          </w:p>
        </w:tc>
        <w:tc>
          <w:tcPr>
            <w:tcW w:w="2768" w:type="dxa"/>
            <w:tcBorders>
              <w:right w:val="single" w:color="000000" w:sz="10" w:space="0"/>
            </w:tcBorders>
            <w:vAlign w:val="top"/>
          </w:tcPr>
          <w:p w14:paraId="46E5C8A2">
            <w:pPr>
              <w:pStyle w:val="6"/>
              <w:spacing w:before="111" w:line="231" w:lineRule="auto"/>
              <w:ind w:left="721"/>
              <w:rPr>
                <w:sz w:val="19"/>
                <w:szCs w:val="19"/>
              </w:rPr>
            </w:pPr>
            <w:r>
              <w:rPr>
                <w:spacing w:val="4"/>
                <w:sz w:val="19"/>
                <w:szCs w:val="19"/>
              </w:rPr>
              <w:t>已完成生态修复</w:t>
            </w:r>
          </w:p>
        </w:tc>
      </w:tr>
      <w:tr w14:paraId="278EBD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648" w:type="dxa"/>
            <w:tcBorders>
              <w:left w:val="single" w:color="000000" w:sz="10" w:space="0"/>
            </w:tcBorders>
            <w:vAlign w:val="top"/>
          </w:tcPr>
          <w:p w14:paraId="0C7963A0">
            <w:pPr>
              <w:spacing w:before="148" w:line="192" w:lineRule="auto"/>
              <w:ind w:left="265"/>
              <w:rPr>
                <w:rFonts w:ascii="Times New Roman" w:hAnsi="Times New Roman" w:eastAsia="Times New Roman" w:cs="Times New Roman"/>
                <w:sz w:val="19"/>
                <w:szCs w:val="19"/>
              </w:rPr>
            </w:pPr>
            <w:r>
              <w:rPr>
                <w:rFonts w:ascii="Times New Roman" w:hAnsi="Times New Roman" w:eastAsia="Times New Roman" w:cs="Times New Roman"/>
                <w:sz w:val="19"/>
                <w:szCs w:val="19"/>
              </w:rPr>
              <w:t>7</w:t>
            </w:r>
          </w:p>
        </w:tc>
        <w:tc>
          <w:tcPr>
            <w:tcW w:w="5643" w:type="dxa"/>
            <w:vAlign w:val="top"/>
          </w:tcPr>
          <w:p w14:paraId="7230A185">
            <w:pPr>
              <w:pStyle w:val="6"/>
              <w:spacing w:before="105" w:line="229" w:lineRule="auto"/>
              <w:ind w:left="842"/>
              <w:rPr>
                <w:sz w:val="20"/>
                <w:szCs w:val="20"/>
              </w:rPr>
            </w:pPr>
            <w:r>
              <w:rPr>
                <w:spacing w:val="8"/>
                <w:sz w:val="20"/>
                <w:szCs w:val="20"/>
              </w:rPr>
              <w:t>重庆市黔江区蓬东乡永赢建筑石料用灰岩矿</w:t>
            </w:r>
          </w:p>
        </w:tc>
        <w:tc>
          <w:tcPr>
            <w:tcW w:w="2768" w:type="dxa"/>
            <w:tcBorders>
              <w:right w:val="single" w:color="000000" w:sz="10" w:space="0"/>
            </w:tcBorders>
            <w:vAlign w:val="top"/>
          </w:tcPr>
          <w:p w14:paraId="4A199D6B">
            <w:pPr>
              <w:pStyle w:val="6"/>
              <w:spacing w:before="112" w:line="228" w:lineRule="auto"/>
              <w:ind w:left="498"/>
              <w:rPr>
                <w:sz w:val="19"/>
                <w:szCs w:val="19"/>
              </w:rPr>
            </w:pPr>
            <w:r>
              <w:rPr>
                <w:spacing w:val="8"/>
                <w:sz w:val="19"/>
                <w:szCs w:val="19"/>
              </w:rPr>
              <w:t>正在办理再利用手续</w:t>
            </w:r>
          </w:p>
        </w:tc>
      </w:tr>
      <w:tr w14:paraId="7141A6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648" w:type="dxa"/>
            <w:tcBorders>
              <w:left w:val="single" w:color="000000" w:sz="10" w:space="0"/>
            </w:tcBorders>
            <w:vAlign w:val="top"/>
          </w:tcPr>
          <w:p w14:paraId="0011BD27">
            <w:pPr>
              <w:spacing w:before="150" w:line="195" w:lineRule="auto"/>
              <w:ind w:left="270"/>
              <w:rPr>
                <w:rFonts w:ascii="Times New Roman" w:hAnsi="Times New Roman" w:eastAsia="Times New Roman" w:cs="Times New Roman"/>
                <w:sz w:val="19"/>
                <w:szCs w:val="19"/>
              </w:rPr>
            </w:pPr>
            <w:r>
              <w:rPr>
                <w:rFonts w:ascii="Times New Roman" w:hAnsi="Times New Roman" w:eastAsia="Times New Roman" w:cs="Times New Roman"/>
                <w:sz w:val="19"/>
                <w:szCs w:val="19"/>
              </w:rPr>
              <w:t>8</w:t>
            </w:r>
          </w:p>
        </w:tc>
        <w:tc>
          <w:tcPr>
            <w:tcW w:w="5643" w:type="dxa"/>
            <w:vAlign w:val="top"/>
          </w:tcPr>
          <w:p w14:paraId="74FF0C67">
            <w:pPr>
              <w:pStyle w:val="6"/>
              <w:spacing w:before="112" w:line="231" w:lineRule="auto"/>
              <w:ind w:left="946"/>
              <w:rPr>
                <w:sz w:val="20"/>
                <w:szCs w:val="20"/>
              </w:rPr>
            </w:pPr>
            <w:r>
              <w:rPr>
                <w:spacing w:val="8"/>
                <w:sz w:val="20"/>
                <w:szCs w:val="20"/>
              </w:rPr>
              <w:t>重庆市黔江区金溪镇金竹坪萤石重晶石矿</w:t>
            </w:r>
          </w:p>
        </w:tc>
        <w:tc>
          <w:tcPr>
            <w:tcW w:w="2768" w:type="dxa"/>
            <w:tcBorders>
              <w:right w:val="single" w:color="000000" w:sz="10" w:space="0"/>
            </w:tcBorders>
            <w:vAlign w:val="top"/>
          </w:tcPr>
          <w:p w14:paraId="6C26764B">
            <w:pPr>
              <w:pStyle w:val="6"/>
              <w:spacing w:before="116" w:line="228" w:lineRule="auto"/>
              <w:ind w:left="599"/>
              <w:rPr>
                <w:sz w:val="19"/>
                <w:szCs w:val="19"/>
              </w:rPr>
            </w:pPr>
            <w:r>
              <w:rPr>
                <w:spacing w:val="7"/>
                <w:sz w:val="19"/>
                <w:szCs w:val="19"/>
              </w:rPr>
              <w:t>正在进行生态修复</w:t>
            </w:r>
          </w:p>
        </w:tc>
      </w:tr>
      <w:tr w14:paraId="7D2373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648" w:type="dxa"/>
            <w:tcBorders>
              <w:left w:val="single" w:color="000000" w:sz="10" w:space="0"/>
            </w:tcBorders>
            <w:vAlign w:val="top"/>
          </w:tcPr>
          <w:p w14:paraId="35D6AA6E">
            <w:pPr>
              <w:spacing w:before="149" w:line="195" w:lineRule="auto"/>
              <w:ind w:left="265"/>
              <w:rPr>
                <w:rFonts w:ascii="Times New Roman" w:hAnsi="Times New Roman" w:eastAsia="Times New Roman" w:cs="Times New Roman"/>
                <w:sz w:val="19"/>
                <w:szCs w:val="19"/>
              </w:rPr>
            </w:pPr>
            <w:r>
              <w:rPr>
                <w:rFonts w:ascii="Times New Roman" w:hAnsi="Times New Roman" w:eastAsia="Times New Roman" w:cs="Times New Roman"/>
                <w:sz w:val="19"/>
                <w:szCs w:val="19"/>
              </w:rPr>
              <w:t>9</w:t>
            </w:r>
          </w:p>
        </w:tc>
        <w:tc>
          <w:tcPr>
            <w:tcW w:w="5643" w:type="dxa"/>
            <w:vAlign w:val="top"/>
          </w:tcPr>
          <w:p w14:paraId="7291ADF8">
            <w:pPr>
              <w:pStyle w:val="6"/>
              <w:spacing w:before="108" w:line="231" w:lineRule="auto"/>
              <w:ind w:left="526"/>
              <w:rPr>
                <w:sz w:val="20"/>
                <w:szCs w:val="20"/>
              </w:rPr>
            </w:pPr>
            <w:r>
              <w:rPr>
                <w:spacing w:val="9"/>
                <w:sz w:val="20"/>
                <w:szCs w:val="20"/>
              </w:rPr>
              <w:t>重庆市黔江区炽钰矿业有限责任公司遐成二采</w:t>
            </w:r>
            <w:r>
              <w:rPr>
                <w:spacing w:val="8"/>
                <w:sz w:val="20"/>
                <w:szCs w:val="20"/>
              </w:rPr>
              <w:t>石场</w:t>
            </w:r>
          </w:p>
        </w:tc>
        <w:tc>
          <w:tcPr>
            <w:tcW w:w="2768" w:type="dxa"/>
            <w:tcBorders>
              <w:right w:val="single" w:color="000000" w:sz="10" w:space="0"/>
            </w:tcBorders>
            <w:vAlign w:val="top"/>
          </w:tcPr>
          <w:p w14:paraId="1815A2A2">
            <w:pPr>
              <w:pStyle w:val="6"/>
              <w:spacing w:before="115" w:line="228" w:lineRule="auto"/>
              <w:ind w:left="599"/>
              <w:rPr>
                <w:sz w:val="19"/>
                <w:szCs w:val="19"/>
              </w:rPr>
            </w:pPr>
            <w:r>
              <w:rPr>
                <w:spacing w:val="7"/>
                <w:sz w:val="19"/>
                <w:szCs w:val="19"/>
              </w:rPr>
              <w:t>正在进行生态修复</w:t>
            </w:r>
          </w:p>
        </w:tc>
      </w:tr>
      <w:tr w14:paraId="5DB96D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648" w:type="dxa"/>
            <w:tcBorders>
              <w:left w:val="single" w:color="000000" w:sz="10" w:space="0"/>
            </w:tcBorders>
            <w:vAlign w:val="top"/>
          </w:tcPr>
          <w:p w14:paraId="600FF26C">
            <w:pPr>
              <w:spacing w:before="152" w:line="195" w:lineRule="auto"/>
              <w:ind w:left="230"/>
              <w:rPr>
                <w:rFonts w:ascii="Times New Roman" w:hAnsi="Times New Roman" w:eastAsia="Times New Roman" w:cs="Times New Roman"/>
                <w:sz w:val="19"/>
                <w:szCs w:val="19"/>
              </w:rPr>
            </w:pPr>
            <w:r>
              <w:rPr>
                <w:rFonts w:ascii="Times New Roman" w:hAnsi="Times New Roman" w:eastAsia="Times New Roman" w:cs="Times New Roman"/>
                <w:spacing w:val="-7"/>
                <w:sz w:val="19"/>
                <w:szCs w:val="19"/>
              </w:rPr>
              <w:t>10</w:t>
            </w:r>
          </w:p>
        </w:tc>
        <w:tc>
          <w:tcPr>
            <w:tcW w:w="5643" w:type="dxa"/>
            <w:vAlign w:val="top"/>
          </w:tcPr>
          <w:p w14:paraId="464D73C0">
            <w:pPr>
              <w:pStyle w:val="6"/>
              <w:spacing w:before="112" w:line="231" w:lineRule="auto"/>
              <w:ind w:left="737"/>
              <w:rPr>
                <w:sz w:val="20"/>
                <w:szCs w:val="20"/>
              </w:rPr>
            </w:pPr>
            <w:r>
              <w:rPr>
                <w:spacing w:val="8"/>
                <w:sz w:val="20"/>
                <w:szCs w:val="20"/>
              </w:rPr>
              <w:t>重庆市黔江区中堂石材有限公司魏家湾采石场</w:t>
            </w:r>
          </w:p>
        </w:tc>
        <w:tc>
          <w:tcPr>
            <w:tcW w:w="2768" w:type="dxa"/>
            <w:tcBorders>
              <w:right w:val="single" w:color="000000" w:sz="10" w:space="0"/>
            </w:tcBorders>
            <w:vAlign w:val="top"/>
          </w:tcPr>
          <w:p w14:paraId="09C7B797">
            <w:pPr>
              <w:pStyle w:val="6"/>
              <w:spacing w:before="118" w:line="228" w:lineRule="auto"/>
              <w:ind w:left="599"/>
              <w:rPr>
                <w:sz w:val="19"/>
                <w:szCs w:val="19"/>
              </w:rPr>
            </w:pPr>
            <w:r>
              <w:rPr>
                <w:spacing w:val="7"/>
                <w:sz w:val="19"/>
                <w:szCs w:val="19"/>
              </w:rPr>
              <w:t>正在进行生态修复</w:t>
            </w:r>
          </w:p>
        </w:tc>
      </w:tr>
      <w:tr w14:paraId="0AF14D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648" w:type="dxa"/>
            <w:tcBorders>
              <w:left w:val="single" w:color="000000" w:sz="10" w:space="0"/>
              <w:bottom w:val="single" w:color="000000" w:sz="10" w:space="0"/>
            </w:tcBorders>
            <w:vAlign w:val="top"/>
          </w:tcPr>
          <w:p w14:paraId="44DE4360">
            <w:pPr>
              <w:spacing w:before="153" w:line="195" w:lineRule="auto"/>
              <w:ind w:left="230"/>
              <w:rPr>
                <w:rFonts w:ascii="Times New Roman" w:hAnsi="Times New Roman" w:eastAsia="Times New Roman" w:cs="Times New Roman"/>
                <w:sz w:val="19"/>
                <w:szCs w:val="19"/>
              </w:rPr>
            </w:pPr>
            <w:r>
              <w:rPr>
                <w:rFonts w:ascii="Times New Roman" w:hAnsi="Times New Roman" w:eastAsia="Times New Roman" w:cs="Times New Roman"/>
                <w:spacing w:val="-7"/>
                <w:sz w:val="19"/>
                <w:szCs w:val="19"/>
              </w:rPr>
              <w:t>11</w:t>
            </w:r>
          </w:p>
        </w:tc>
        <w:tc>
          <w:tcPr>
            <w:tcW w:w="5643" w:type="dxa"/>
            <w:tcBorders>
              <w:bottom w:val="single" w:color="000000" w:sz="10" w:space="0"/>
            </w:tcBorders>
            <w:vAlign w:val="top"/>
          </w:tcPr>
          <w:p w14:paraId="7356AFC0">
            <w:pPr>
              <w:pStyle w:val="6"/>
              <w:spacing w:before="115" w:line="231" w:lineRule="auto"/>
              <w:ind w:left="1051"/>
              <w:rPr>
                <w:sz w:val="20"/>
                <w:szCs w:val="20"/>
              </w:rPr>
            </w:pPr>
            <w:r>
              <w:rPr>
                <w:spacing w:val="8"/>
                <w:sz w:val="20"/>
                <w:szCs w:val="20"/>
              </w:rPr>
              <w:t>重庆市荣跃坊矿业有限公司照耀采石场</w:t>
            </w:r>
          </w:p>
        </w:tc>
        <w:tc>
          <w:tcPr>
            <w:tcW w:w="2768" w:type="dxa"/>
            <w:tcBorders>
              <w:bottom w:val="single" w:color="000000" w:sz="10" w:space="0"/>
              <w:right w:val="single" w:color="000000" w:sz="10" w:space="0"/>
            </w:tcBorders>
            <w:vAlign w:val="top"/>
          </w:tcPr>
          <w:p w14:paraId="132B6EAE">
            <w:pPr>
              <w:pStyle w:val="6"/>
              <w:spacing w:before="119" w:line="228" w:lineRule="auto"/>
              <w:ind w:left="599"/>
              <w:rPr>
                <w:sz w:val="19"/>
                <w:szCs w:val="19"/>
              </w:rPr>
            </w:pPr>
            <w:r>
              <w:rPr>
                <w:spacing w:val="7"/>
                <w:sz w:val="19"/>
                <w:szCs w:val="19"/>
              </w:rPr>
              <w:t>正在进行生态修复</w:t>
            </w:r>
          </w:p>
        </w:tc>
      </w:tr>
    </w:tbl>
    <w:p w14:paraId="745659E1">
      <w:pPr>
        <w:spacing w:before="266" w:line="229" w:lineRule="auto"/>
        <w:ind w:left="123"/>
        <w:outlineLvl w:val="3"/>
        <w:rPr>
          <w:rFonts w:ascii="仿宋" w:hAnsi="仿宋" w:eastAsia="仿宋" w:cs="仿宋"/>
          <w:sz w:val="25"/>
          <w:szCs w:val="25"/>
        </w:rPr>
      </w:pPr>
      <w:r>
        <w:rPr>
          <w:rFonts w:ascii="Times New Roman" w:hAnsi="Times New Roman" w:eastAsia="Times New Roman" w:cs="Times New Roman"/>
          <w:b/>
          <w:bCs/>
          <w:spacing w:val="4"/>
          <w:sz w:val="25"/>
          <w:szCs w:val="25"/>
        </w:rPr>
        <w:t>3.2.1.5</w:t>
      </w:r>
      <w:r>
        <w:rPr>
          <w:rFonts w:ascii="Times New Roman" w:hAnsi="Times New Roman" w:eastAsia="Times New Roman" w:cs="Times New Roman"/>
          <w:b/>
          <w:bCs/>
          <w:spacing w:val="29"/>
          <w:sz w:val="25"/>
          <w:szCs w:val="25"/>
        </w:rPr>
        <w:t xml:space="preserve"> </w:t>
      </w:r>
      <w:r>
        <w:rPr>
          <w:rFonts w:ascii="仿宋" w:hAnsi="仿宋" w:eastAsia="仿宋" w:cs="仿宋"/>
          <w:b/>
          <w:bCs/>
          <w:spacing w:val="4"/>
          <w:sz w:val="25"/>
          <w:szCs w:val="25"/>
        </w:rPr>
        <w:t>绿色矿山建设情况</w:t>
      </w:r>
    </w:p>
    <w:p w14:paraId="72C6747E">
      <w:pPr>
        <w:spacing w:line="229" w:lineRule="auto"/>
        <w:rPr>
          <w:rFonts w:ascii="仿宋" w:hAnsi="仿宋" w:eastAsia="仿宋" w:cs="仿宋"/>
          <w:sz w:val="25"/>
          <w:szCs w:val="25"/>
        </w:rPr>
        <w:sectPr>
          <w:footerReference r:id="rId132" w:type="default"/>
          <w:pgSz w:w="11906" w:h="16839"/>
          <w:pgMar w:top="1116" w:right="1354" w:bottom="1480" w:left="1466" w:header="683" w:footer="1318" w:gutter="0"/>
          <w:cols w:space="720" w:num="1"/>
        </w:sectPr>
      </w:pPr>
    </w:p>
    <w:p w14:paraId="378897C3">
      <w:pPr>
        <w:pStyle w:val="2"/>
        <w:spacing w:line="384" w:lineRule="auto"/>
      </w:pPr>
    </w:p>
    <w:p w14:paraId="5FA53E77">
      <w:pPr>
        <w:spacing w:before="81" w:line="340" w:lineRule="auto"/>
        <w:ind w:left="143" w:right="119" w:firstLine="517"/>
        <w:jc w:val="both"/>
        <w:rPr>
          <w:rFonts w:ascii="仿宋" w:hAnsi="仿宋" w:eastAsia="仿宋" w:cs="仿宋"/>
          <w:sz w:val="25"/>
          <w:szCs w:val="25"/>
        </w:rPr>
      </w:pPr>
      <w:r>
        <w:rPr>
          <w:rFonts w:ascii="仿宋" w:hAnsi="仿宋" w:eastAsia="仿宋" w:cs="仿宋"/>
          <w:spacing w:val="17"/>
          <w:sz w:val="25"/>
          <w:szCs w:val="25"/>
        </w:rPr>
        <w:t>根据《重庆市规划和自然资源局关于公布重庆市绿色矿山名录的公告》</w:t>
      </w:r>
      <w:r>
        <w:rPr>
          <w:rFonts w:ascii="仿宋" w:hAnsi="仿宋" w:eastAsia="仿宋" w:cs="仿宋"/>
          <w:spacing w:val="12"/>
          <w:sz w:val="25"/>
          <w:szCs w:val="25"/>
        </w:rPr>
        <w:t xml:space="preserve"> </w:t>
      </w:r>
      <w:r>
        <w:rPr>
          <w:rFonts w:ascii="仿宋" w:hAnsi="仿宋" w:eastAsia="仿宋" w:cs="仿宋"/>
          <w:spacing w:val="-2"/>
          <w:sz w:val="25"/>
          <w:szCs w:val="25"/>
        </w:rPr>
        <w:t>（</w:t>
      </w:r>
      <w:r>
        <w:rPr>
          <w:rFonts w:ascii="Times New Roman" w:hAnsi="Times New Roman" w:eastAsia="Times New Roman" w:cs="Times New Roman"/>
          <w:spacing w:val="-2"/>
          <w:sz w:val="25"/>
          <w:szCs w:val="25"/>
        </w:rPr>
        <w:t>2023</w:t>
      </w:r>
      <w:r>
        <w:rPr>
          <w:rFonts w:ascii="Times New Roman" w:hAnsi="Times New Roman" w:eastAsia="Times New Roman" w:cs="Times New Roman"/>
          <w:spacing w:val="25"/>
          <w:w w:val="101"/>
          <w:sz w:val="25"/>
          <w:szCs w:val="25"/>
        </w:rPr>
        <w:t xml:space="preserve"> </w:t>
      </w:r>
      <w:r>
        <w:rPr>
          <w:rFonts w:ascii="仿宋" w:hAnsi="仿宋" w:eastAsia="仿宋" w:cs="仿宋"/>
          <w:spacing w:val="-2"/>
          <w:sz w:val="25"/>
          <w:szCs w:val="25"/>
        </w:rPr>
        <w:t>年第</w:t>
      </w:r>
      <w:r>
        <w:rPr>
          <w:rFonts w:ascii="仿宋" w:hAnsi="仿宋" w:eastAsia="仿宋" w:cs="仿宋"/>
          <w:spacing w:val="-28"/>
          <w:sz w:val="25"/>
          <w:szCs w:val="25"/>
        </w:rPr>
        <w:t xml:space="preserve"> </w:t>
      </w:r>
      <w:r>
        <w:rPr>
          <w:rFonts w:ascii="Times New Roman" w:hAnsi="Times New Roman" w:eastAsia="Times New Roman" w:cs="Times New Roman"/>
          <w:spacing w:val="-2"/>
          <w:sz w:val="25"/>
          <w:szCs w:val="25"/>
        </w:rPr>
        <w:t>1</w:t>
      </w:r>
      <w:r>
        <w:rPr>
          <w:rFonts w:ascii="Times New Roman" w:hAnsi="Times New Roman" w:eastAsia="Times New Roman" w:cs="Times New Roman"/>
          <w:spacing w:val="26"/>
          <w:w w:val="101"/>
          <w:sz w:val="25"/>
          <w:szCs w:val="25"/>
        </w:rPr>
        <w:t xml:space="preserve"> </w:t>
      </w:r>
      <w:r>
        <w:rPr>
          <w:rFonts w:ascii="仿宋" w:hAnsi="仿宋" w:eastAsia="仿宋" w:cs="仿宋"/>
          <w:spacing w:val="-2"/>
          <w:sz w:val="25"/>
          <w:szCs w:val="25"/>
        </w:rPr>
        <w:t>号）和《重庆市规划和自然资源局关于重庆市绿色矿山名单（</w:t>
      </w:r>
      <w:r>
        <w:rPr>
          <w:rFonts w:ascii="Times New Roman" w:hAnsi="Times New Roman" w:eastAsia="Times New Roman" w:cs="Times New Roman"/>
          <w:spacing w:val="-2"/>
          <w:sz w:val="25"/>
          <w:szCs w:val="25"/>
        </w:rPr>
        <w:t>2024</w:t>
      </w:r>
      <w:r>
        <w:rPr>
          <w:rFonts w:ascii="Times New Roman" w:hAnsi="Times New Roman" w:eastAsia="Times New Roman" w:cs="Times New Roman"/>
          <w:sz w:val="25"/>
          <w:szCs w:val="25"/>
        </w:rPr>
        <w:t xml:space="preserve"> </w:t>
      </w:r>
      <w:r>
        <w:rPr>
          <w:rFonts w:ascii="仿宋" w:hAnsi="仿宋" w:eastAsia="仿宋" w:cs="仿宋"/>
          <w:spacing w:val="4"/>
          <w:sz w:val="25"/>
          <w:szCs w:val="25"/>
        </w:rPr>
        <w:t>年第二批）的公告》，截止</w:t>
      </w:r>
      <w:r>
        <w:rPr>
          <w:rFonts w:ascii="仿宋" w:hAnsi="仿宋" w:eastAsia="仿宋" w:cs="仿宋"/>
          <w:spacing w:val="-37"/>
          <w:sz w:val="25"/>
          <w:szCs w:val="25"/>
        </w:rPr>
        <w:t xml:space="preserve"> </w:t>
      </w:r>
      <w:r>
        <w:rPr>
          <w:rFonts w:ascii="Times New Roman" w:hAnsi="Times New Roman" w:eastAsia="Times New Roman" w:cs="Times New Roman"/>
          <w:spacing w:val="4"/>
          <w:sz w:val="25"/>
          <w:szCs w:val="25"/>
        </w:rPr>
        <w:t>2024</w:t>
      </w:r>
      <w:r>
        <w:rPr>
          <w:rFonts w:ascii="Times New Roman" w:hAnsi="Times New Roman" w:eastAsia="Times New Roman" w:cs="Times New Roman"/>
          <w:spacing w:val="25"/>
          <w:sz w:val="25"/>
          <w:szCs w:val="25"/>
        </w:rPr>
        <w:t xml:space="preserve"> </w:t>
      </w:r>
      <w:r>
        <w:rPr>
          <w:rFonts w:ascii="仿宋" w:hAnsi="仿宋" w:eastAsia="仿宋" w:cs="仿宋"/>
          <w:spacing w:val="4"/>
          <w:sz w:val="25"/>
          <w:szCs w:val="25"/>
        </w:rPr>
        <w:t>年</w:t>
      </w:r>
      <w:r>
        <w:rPr>
          <w:rFonts w:ascii="仿宋" w:hAnsi="仿宋" w:eastAsia="仿宋" w:cs="仿宋"/>
          <w:spacing w:val="-30"/>
          <w:sz w:val="25"/>
          <w:szCs w:val="25"/>
        </w:rPr>
        <w:t xml:space="preserve"> </w:t>
      </w:r>
      <w:r>
        <w:rPr>
          <w:rFonts w:ascii="Times New Roman" w:hAnsi="Times New Roman" w:eastAsia="Times New Roman" w:cs="Times New Roman"/>
          <w:spacing w:val="4"/>
          <w:sz w:val="25"/>
          <w:szCs w:val="25"/>
        </w:rPr>
        <w:t>12</w:t>
      </w:r>
      <w:r>
        <w:rPr>
          <w:rFonts w:ascii="Times New Roman" w:hAnsi="Times New Roman" w:eastAsia="Times New Roman" w:cs="Times New Roman"/>
          <w:spacing w:val="34"/>
          <w:sz w:val="25"/>
          <w:szCs w:val="25"/>
        </w:rPr>
        <w:t xml:space="preserve"> </w:t>
      </w:r>
      <w:r>
        <w:rPr>
          <w:rFonts w:ascii="仿宋" w:hAnsi="仿宋" w:eastAsia="仿宋" w:cs="仿宋"/>
          <w:spacing w:val="4"/>
          <w:sz w:val="25"/>
          <w:szCs w:val="25"/>
        </w:rPr>
        <w:t>月，黔江区有</w:t>
      </w:r>
      <w:r>
        <w:rPr>
          <w:rFonts w:ascii="仿宋" w:hAnsi="仿宋" w:eastAsia="仿宋" w:cs="仿宋"/>
          <w:spacing w:val="-52"/>
          <w:sz w:val="25"/>
          <w:szCs w:val="25"/>
        </w:rPr>
        <w:t xml:space="preserve"> </w:t>
      </w:r>
      <w:r>
        <w:rPr>
          <w:rFonts w:ascii="Times New Roman" w:hAnsi="Times New Roman" w:eastAsia="Times New Roman" w:cs="Times New Roman"/>
          <w:spacing w:val="4"/>
          <w:sz w:val="25"/>
          <w:szCs w:val="25"/>
        </w:rPr>
        <w:t>2</w:t>
      </w:r>
      <w:r>
        <w:rPr>
          <w:rFonts w:ascii="Times New Roman" w:hAnsi="Times New Roman" w:eastAsia="Times New Roman" w:cs="Times New Roman"/>
          <w:spacing w:val="22"/>
          <w:w w:val="101"/>
          <w:sz w:val="25"/>
          <w:szCs w:val="25"/>
        </w:rPr>
        <w:t xml:space="preserve"> </w:t>
      </w:r>
      <w:r>
        <w:rPr>
          <w:rFonts w:ascii="仿宋" w:hAnsi="仿宋" w:eastAsia="仿宋" w:cs="仿宋"/>
          <w:spacing w:val="4"/>
          <w:sz w:val="25"/>
          <w:szCs w:val="25"/>
        </w:rPr>
        <w:t>家绿色矿山企业。</w:t>
      </w:r>
    </w:p>
    <w:p w14:paraId="03A1A452">
      <w:pPr>
        <w:spacing w:before="42" w:line="231" w:lineRule="auto"/>
        <w:ind w:left="2498"/>
        <w:rPr>
          <w:rFonts w:ascii="仿宋" w:hAnsi="仿宋" w:eastAsia="仿宋" w:cs="仿宋"/>
          <w:sz w:val="20"/>
          <w:szCs w:val="20"/>
        </w:rPr>
      </w:pPr>
      <w:r>
        <w:rPr>
          <w:rFonts w:ascii="仿宋" w:hAnsi="仿宋" w:eastAsia="仿宋" w:cs="仿宋"/>
          <w:b/>
          <w:bCs/>
          <w:spacing w:val="5"/>
          <w:sz w:val="20"/>
          <w:szCs w:val="20"/>
        </w:rPr>
        <w:t>表</w:t>
      </w:r>
      <w:r>
        <w:rPr>
          <w:rFonts w:ascii="Times New Roman" w:hAnsi="Times New Roman" w:eastAsia="Times New Roman" w:cs="Times New Roman"/>
          <w:b/>
          <w:bCs/>
          <w:spacing w:val="5"/>
          <w:sz w:val="20"/>
          <w:szCs w:val="20"/>
        </w:rPr>
        <w:t xml:space="preserve">3.2-6          </w:t>
      </w:r>
      <w:r>
        <w:rPr>
          <w:rFonts w:ascii="仿宋" w:hAnsi="仿宋" w:eastAsia="仿宋" w:cs="仿宋"/>
          <w:b/>
          <w:bCs/>
          <w:spacing w:val="5"/>
          <w:sz w:val="20"/>
          <w:szCs w:val="20"/>
        </w:rPr>
        <w:t>黔江区绿色矿山建设情况统计表</w:t>
      </w:r>
    </w:p>
    <w:p w14:paraId="7F83FA4B">
      <w:pPr>
        <w:spacing w:line="21" w:lineRule="exact"/>
      </w:pPr>
    </w:p>
    <w:tbl>
      <w:tblPr>
        <w:tblStyle w:val="5"/>
        <w:tblW w:w="905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7"/>
        <w:gridCol w:w="1162"/>
        <w:gridCol w:w="4274"/>
        <w:gridCol w:w="1570"/>
        <w:gridCol w:w="1296"/>
      </w:tblGrid>
      <w:tr w14:paraId="072550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57" w:type="dxa"/>
            <w:tcBorders>
              <w:top w:val="single" w:color="000000" w:sz="10" w:space="0"/>
              <w:left w:val="single" w:color="000000" w:sz="10" w:space="0"/>
            </w:tcBorders>
            <w:vAlign w:val="top"/>
          </w:tcPr>
          <w:p w14:paraId="6F6AEF99">
            <w:pPr>
              <w:pStyle w:val="6"/>
              <w:spacing w:before="178" w:line="223" w:lineRule="auto"/>
              <w:ind w:left="156"/>
            </w:pPr>
            <w:r>
              <w:rPr>
                <w:spacing w:val="-7"/>
              </w:rPr>
              <w:t>序号</w:t>
            </w:r>
          </w:p>
        </w:tc>
        <w:tc>
          <w:tcPr>
            <w:tcW w:w="1162" w:type="dxa"/>
            <w:tcBorders>
              <w:top w:val="single" w:color="000000" w:sz="10" w:space="0"/>
            </w:tcBorders>
            <w:vAlign w:val="top"/>
          </w:tcPr>
          <w:p w14:paraId="26303B98">
            <w:pPr>
              <w:pStyle w:val="6"/>
              <w:spacing w:before="36" w:line="220" w:lineRule="auto"/>
              <w:ind w:left="143" w:right="110" w:hanging="43"/>
            </w:pPr>
            <w:r>
              <w:rPr>
                <w:rFonts w:ascii="Times New Roman" w:hAnsi="Times New Roman" w:eastAsia="Times New Roman" w:cs="Times New Roman"/>
                <w:spacing w:val="18"/>
              </w:rPr>
              <w:t>“</w:t>
            </w:r>
            <w:r>
              <w:rPr>
                <w:spacing w:val="18"/>
              </w:rPr>
              <w:t>十四五</w:t>
            </w:r>
            <w:r>
              <w:rPr>
                <w:rFonts w:ascii="Times New Roman" w:hAnsi="Times New Roman" w:eastAsia="Times New Roman" w:cs="Times New Roman"/>
                <w:spacing w:val="18"/>
              </w:rPr>
              <w:t>”</w:t>
            </w:r>
            <w:r>
              <w:rPr>
                <w:rFonts w:ascii="Times New Roman" w:hAnsi="Times New Roman" w:eastAsia="Times New Roman" w:cs="Times New Roman"/>
              </w:rPr>
              <w:t xml:space="preserve"> </w:t>
            </w:r>
            <w:r>
              <w:rPr>
                <w:spacing w:val="-4"/>
              </w:rPr>
              <w:t>规划编号</w:t>
            </w:r>
          </w:p>
        </w:tc>
        <w:tc>
          <w:tcPr>
            <w:tcW w:w="4274" w:type="dxa"/>
            <w:tcBorders>
              <w:top w:val="single" w:color="000000" w:sz="10" w:space="0"/>
            </w:tcBorders>
            <w:vAlign w:val="top"/>
          </w:tcPr>
          <w:p w14:paraId="53596025">
            <w:pPr>
              <w:pStyle w:val="6"/>
              <w:spacing w:before="177" w:line="222" w:lineRule="auto"/>
              <w:ind w:left="1708"/>
            </w:pPr>
            <w:r>
              <w:rPr>
                <w:spacing w:val="-4"/>
              </w:rPr>
              <w:t>矿山名称</w:t>
            </w:r>
          </w:p>
        </w:tc>
        <w:tc>
          <w:tcPr>
            <w:tcW w:w="1570" w:type="dxa"/>
            <w:tcBorders>
              <w:top w:val="single" w:color="000000" w:sz="10" w:space="0"/>
            </w:tcBorders>
            <w:vAlign w:val="top"/>
          </w:tcPr>
          <w:p w14:paraId="5E0071C5">
            <w:pPr>
              <w:pStyle w:val="6"/>
              <w:spacing w:before="177" w:line="222" w:lineRule="auto"/>
              <w:ind w:left="362"/>
            </w:pPr>
            <w:r>
              <w:rPr>
                <w:spacing w:val="-4"/>
              </w:rPr>
              <w:t>开采矿种</w:t>
            </w:r>
          </w:p>
        </w:tc>
        <w:tc>
          <w:tcPr>
            <w:tcW w:w="1296" w:type="dxa"/>
            <w:tcBorders>
              <w:top w:val="single" w:color="000000" w:sz="10" w:space="0"/>
              <w:right w:val="single" w:color="000000" w:sz="10" w:space="0"/>
            </w:tcBorders>
            <w:vAlign w:val="top"/>
          </w:tcPr>
          <w:p w14:paraId="79FF4DFB">
            <w:pPr>
              <w:pStyle w:val="6"/>
              <w:spacing w:before="178" w:line="223" w:lineRule="auto"/>
              <w:ind w:left="223"/>
            </w:pPr>
            <w:r>
              <w:rPr>
                <w:spacing w:val="-4"/>
              </w:rPr>
              <w:t>开采方式</w:t>
            </w:r>
          </w:p>
        </w:tc>
      </w:tr>
      <w:tr w14:paraId="3374D7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757" w:type="dxa"/>
            <w:tcBorders>
              <w:left w:val="single" w:color="000000" w:sz="10" w:space="0"/>
            </w:tcBorders>
            <w:vAlign w:val="top"/>
          </w:tcPr>
          <w:p w14:paraId="0F3CE7D1">
            <w:pPr>
              <w:spacing w:before="175" w:line="189" w:lineRule="auto"/>
              <w:ind w:left="331"/>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1162" w:type="dxa"/>
            <w:vAlign w:val="top"/>
          </w:tcPr>
          <w:p w14:paraId="61561109">
            <w:pPr>
              <w:spacing w:before="175" w:line="189" w:lineRule="auto"/>
              <w:ind w:left="26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CQ003</w:t>
            </w:r>
          </w:p>
        </w:tc>
        <w:tc>
          <w:tcPr>
            <w:tcW w:w="4274" w:type="dxa"/>
            <w:vAlign w:val="top"/>
          </w:tcPr>
          <w:p w14:paraId="19E0F243">
            <w:pPr>
              <w:pStyle w:val="6"/>
              <w:spacing w:before="137" w:line="221" w:lineRule="auto"/>
              <w:ind w:left="175"/>
            </w:pPr>
            <w:r>
              <w:rPr>
                <w:spacing w:val="-2"/>
              </w:rPr>
              <w:t>重庆正阳新材料有限公司大堡石灰石矿山</w:t>
            </w:r>
          </w:p>
        </w:tc>
        <w:tc>
          <w:tcPr>
            <w:tcW w:w="1570" w:type="dxa"/>
            <w:vAlign w:val="top"/>
          </w:tcPr>
          <w:p w14:paraId="12D00CB3">
            <w:pPr>
              <w:pStyle w:val="6"/>
              <w:spacing w:before="137" w:line="224" w:lineRule="auto"/>
              <w:ind w:left="143"/>
            </w:pPr>
            <w:r>
              <w:rPr>
                <w:spacing w:val="-3"/>
              </w:rPr>
              <w:t>水泥用石灰岩</w:t>
            </w:r>
          </w:p>
        </w:tc>
        <w:tc>
          <w:tcPr>
            <w:tcW w:w="1296" w:type="dxa"/>
            <w:tcBorders>
              <w:right w:val="single" w:color="000000" w:sz="10" w:space="0"/>
            </w:tcBorders>
            <w:vAlign w:val="top"/>
          </w:tcPr>
          <w:p w14:paraId="755C38D0">
            <w:pPr>
              <w:pStyle w:val="6"/>
              <w:spacing w:before="137" w:line="223" w:lineRule="auto"/>
              <w:ind w:left="229"/>
            </w:pPr>
            <w:r>
              <w:rPr>
                <w:spacing w:val="-5"/>
              </w:rPr>
              <w:t>露天开采</w:t>
            </w:r>
          </w:p>
        </w:tc>
      </w:tr>
      <w:tr w14:paraId="48AD65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757" w:type="dxa"/>
            <w:tcBorders>
              <w:left w:val="single" w:color="000000" w:sz="10" w:space="0"/>
              <w:bottom w:val="single" w:color="000000" w:sz="10" w:space="0"/>
            </w:tcBorders>
            <w:vAlign w:val="top"/>
          </w:tcPr>
          <w:p w14:paraId="2BB7703B">
            <w:pPr>
              <w:spacing w:before="183" w:line="189" w:lineRule="auto"/>
              <w:ind w:left="310"/>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1162" w:type="dxa"/>
            <w:tcBorders>
              <w:bottom w:val="single" w:color="000000" w:sz="10" w:space="0"/>
            </w:tcBorders>
            <w:vAlign w:val="top"/>
          </w:tcPr>
          <w:p w14:paraId="556A92CC">
            <w:pPr>
              <w:spacing w:before="183" w:line="189" w:lineRule="auto"/>
              <w:ind w:left="26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CQ020</w:t>
            </w:r>
          </w:p>
        </w:tc>
        <w:tc>
          <w:tcPr>
            <w:tcW w:w="4274" w:type="dxa"/>
            <w:tcBorders>
              <w:bottom w:val="single" w:color="000000" w:sz="10" w:space="0"/>
            </w:tcBorders>
            <w:vAlign w:val="top"/>
          </w:tcPr>
          <w:p w14:paraId="3B4C74C9">
            <w:pPr>
              <w:pStyle w:val="6"/>
              <w:spacing w:before="145" w:line="223" w:lineRule="auto"/>
              <w:ind w:left="175"/>
            </w:pPr>
            <w:r>
              <w:rPr>
                <w:spacing w:val="-2"/>
              </w:rPr>
              <w:t>重庆市黔江区蓬东乡河坝坡水泥用灰岩矿</w:t>
            </w:r>
          </w:p>
        </w:tc>
        <w:tc>
          <w:tcPr>
            <w:tcW w:w="1570" w:type="dxa"/>
            <w:tcBorders>
              <w:bottom w:val="single" w:color="000000" w:sz="10" w:space="0"/>
            </w:tcBorders>
            <w:vAlign w:val="top"/>
          </w:tcPr>
          <w:p w14:paraId="15E3FCCC">
            <w:pPr>
              <w:pStyle w:val="6"/>
              <w:spacing w:before="144" w:line="224" w:lineRule="auto"/>
              <w:ind w:left="143"/>
            </w:pPr>
            <w:r>
              <w:rPr>
                <w:spacing w:val="-3"/>
              </w:rPr>
              <w:t>水泥用灰岩矿</w:t>
            </w:r>
          </w:p>
        </w:tc>
        <w:tc>
          <w:tcPr>
            <w:tcW w:w="1296" w:type="dxa"/>
            <w:tcBorders>
              <w:bottom w:val="single" w:color="000000" w:sz="10" w:space="0"/>
              <w:right w:val="single" w:color="000000" w:sz="10" w:space="0"/>
            </w:tcBorders>
            <w:vAlign w:val="top"/>
          </w:tcPr>
          <w:p w14:paraId="207C60C8">
            <w:pPr>
              <w:pStyle w:val="6"/>
              <w:spacing w:before="145" w:line="223" w:lineRule="auto"/>
              <w:ind w:left="229"/>
            </w:pPr>
            <w:r>
              <w:rPr>
                <w:spacing w:val="-5"/>
              </w:rPr>
              <w:t>露天开采</w:t>
            </w:r>
          </w:p>
        </w:tc>
      </w:tr>
    </w:tbl>
    <w:p w14:paraId="48764B42">
      <w:pPr>
        <w:spacing w:before="264" w:line="229" w:lineRule="auto"/>
        <w:ind w:left="125"/>
        <w:outlineLvl w:val="2"/>
        <w:rPr>
          <w:rFonts w:ascii="仿宋" w:hAnsi="仿宋" w:eastAsia="仿宋" w:cs="仿宋"/>
          <w:sz w:val="25"/>
          <w:szCs w:val="25"/>
        </w:rPr>
      </w:pPr>
      <w:r>
        <w:rPr>
          <w:rFonts w:ascii="Times New Roman" w:hAnsi="Times New Roman" w:eastAsia="Times New Roman" w:cs="Times New Roman"/>
          <w:b/>
          <w:bCs/>
          <w:spacing w:val="5"/>
          <w:sz w:val="25"/>
          <w:szCs w:val="25"/>
        </w:rPr>
        <w:t>3.2.2</w:t>
      </w:r>
      <w:r>
        <w:rPr>
          <w:rFonts w:ascii="Times New Roman" w:hAnsi="Times New Roman" w:eastAsia="Times New Roman" w:cs="Times New Roman"/>
          <w:b/>
          <w:bCs/>
          <w:spacing w:val="25"/>
          <w:sz w:val="25"/>
          <w:szCs w:val="25"/>
        </w:rPr>
        <w:t xml:space="preserve"> </w:t>
      </w:r>
      <w:r>
        <w:rPr>
          <w:rFonts w:ascii="仿宋" w:hAnsi="仿宋" w:eastAsia="仿宋" w:cs="仿宋"/>
          <w:b/>
          <w:bCs/>
          <w:spacing w:val="5"/>
          <w:sz w:val="25"/>
          <w:szCs w:val="25"/>
        </w:rPr>
        <w:t>环境管理要求落实情况</w:t>
      </w:r>
    </w:p>
    <w:p w14:paraId="30CB5AAD">
      <w:pPr>
        <w:spacing w:before="271" w:line="229" w:lineRule="auto"/>
        <w:ind w:left="125"/>
        <w:outlineLvl w:val="3"/>
        <w:rPr>
          <w:rFonts w:ascii="仿宋" w:hAnsi="仿宋" w:eastAsia="仿宋" w:cs="仿宋"/>
          <w:sz w:val="25"/>
          <w:szCs w:val="25"/>
        </w:rPr>
      </w:pPr>
      <w:r>
        <w:rPr>
          <w:rFonts w:ascii="Times New Roman" w:hAnsi="Times New Roman" w:eastAsia="Times New Roman" w:cs="Times New Roman"/>
          <w:b/>
          <w:bCs/>
          <w:spacing w:val="7"/>
          <w:sz w:val="25"/>
          <w:szCs w:val="25"/>
        </w:rPr>
        <w:t>3.2.2.1“</w:t>
      </w:r>
      <w:r>
        <w:rPr>
          <w:rFonts w:ascii="仿宋" w:hAnsi="仿宋" w:eastAsia="仿宋" w:cs="仿宋"/>
          <w:b/>
          <w:bCs/>
          <w:spacing w:val="7"/>
          <w:sz w:val="25"/>
          <w:szCs w:val="25"/>
        </w:rPr>
        <w:t>十四五</w:t>
      </w:r>
      <w:r>
        <w:rPr>
          <w:rFonts w:ascii="Times New Roman" w:hAnsi="Times New Roman" w:eastAsia="Times New Roman" w:cs="Times New Roman"/>
          <w:b/>
          <w:bCs/>
          <w:spacing w:val="7"/>
          <w:sz w:val="25"/>
          <w:szCs w:val="25"/>
        </w:rPr>
        <w:t>”</w:t>
      </w:r>
      <w:r>
        <w:rPr>
          <w:rFonts w:ascii="仿宋" w:hAnsi="仿宋" w:eastAsia="仿宋" w:cs="仿宋"/>
          <w:b/>
          <w:bCs/>
          <w:spacing w:val="7"/>
          <w:sz w:val="25"/>
          <w:szCs w:val="25"/>
        </w:rPr>
        <w:t>规划环评及审查意见</w:t>
      </w:r>
      <w:r>
        <w:rPr>
          <w:rFonts w:ascii="仿宋" w:hAnsi="仿宋" w:eastAsia="仿宋" w:cs="仿宋"/>
          <w:b/>
          <w:bCs/>
          <w:spacing w:val="6"/>
          <w:sz w:val="25"/>
          <w:szCs w:val="25"/>
        </w:rPr>
        <w:t>落实情况调查</w:t>
      </w:r>
    </w:p>
    <w:p w14:paraId="09B9B42E">
      <w:pPr>
        <w:spacing w:before="269" w:line="340" w:lineRule="auto"/>
        <w:ind w:left="139" w:right="47" w:firstLine="508"/>
        <w:jc w:val="both"/>
        <w:rPr>
          <w:rFonts w:ascii="仿宋" w:hAnsi="仿宋" w:eastAsia="仿宋" w:cs="仿宋"/>
          <w:sz w:val="25"/>
          <w:szCs w:val="25"/>
        </w:rPr>
      </w:pPr>
      <w:r>
        <w:rPr>
          <w:rFonts w:ascii="Times New Roman" w:hAnsi="Times New Roman" w:eastAsia="Times New Roman" w:cs="Times New Roman"/>
          <w:spacing w:val="-3"/>
          <w:sz w:val="25"/>
          <w:szCs w:val="25"/>
        </w:rPr>
        <w:t>2021</w:t>
      </w:r>
      <w:r>
        <w:rPr>
          <w:rFonts w:ascii="Times New Roman" w:hAnsi="Times New Roman" w:eastAsia="Times New Roman" w:cs="Times New Roman"/>
          <w:spacing w:val="27"/>
          <w:w w:val="101"/>
          <w:sz w:val="25"/>
          <w:szCs w:val="25"/>
        </w:rPr>
        <w:t xml:space="preserve"> </w:t>
      </w:r>
      <w:r>
        <w:rPr>
          <w:rFonts w:ascii="仿宋" w:hAnsi="仿宋" w:eastAsia="仿宋" w:cs="仿宋"/>
          <w:spacing w:val="-3"/>
          <w:sz w:val="25"/>
          <w:szCs w:val="25"/>
        </w:rPr>
        <w:t>年黔江区编制了《重庆市黔江区矿产资源总体规划（</w:t>
      </w:r>
      <w:r>
        <w:rPr>
          <w:rFonts w:ascii="Times New Roman" w:hAnsi="Times New Roman" w:eastAsia="Times New Roman" w:cs="Times New Roman"/>
          <w:spacing w:val="-3"/>
          <w:sz w:val="25"/>
          <w:szCs w:val="25"/>
        </w:rPr>
        <w:t>2021-202</w:t>
      </w:r>
      <w:r>
        <w:rPr>
          <w:rFonts w:ascii="Times New Roman" w:hAnsi="Times New Roman" w:eastAsia="Times New Roman" w:cs="Times New Roman"/>
          <w:spacing w:val="-4"/>
          <w:sz w:val="25"/>
          <w:szCs w:val="25"/>
        </w:rPr>
        <w:t>5</w:t>
      </w:r>
      <w:r>
        <w:rPr>
          <w:rFonts w:ascii="Times New Roman" w:hAnsi="Times New Roman" w:eastAsia="Times New Roman" w:cs="Times New Roman"/>
          <w:spacing w:val="27"/>
          <w:sz w:val="25"/>
          <w:szCs w:val="25"/>
        </w:rPr>
        <w:t xml:space="preserve"> </w:t>
      </w:r>
      <w:r>
        <w:rPr>
          <w:rFonts w:ascii="仿宋" w:hAnsi="仿宋" w:eastAsia="仿宋" w:cs="仿宋"/>
          <w:spacing w:val="-4"/>
          <w:sz w:val="25"/>
          <w:szCs w:val="25"/>
        </w:rPr>
        <w:t>年）》，</w:t>
      </w:r>
      <w:r>
        <w:rPr>
          <w:rFonts w:ascii="仿宋" w:hAnsi="仿宋" w:eastAsia="仿宋" w:cs="仿宋"/>
          <w:sz w:val="25"/>
          <w:szCs w:val="25"/>
        </w:rPr>
        <w:t xml:space="preserve"> </w:t>
      </w:r>
      <w:r>
        <w:rPr>
          <w:rFonts w:ascii="仿宋" w:hAnsi="仿宋" w:eastAsia="仿宋" w:cs="仿宋"/>
          <w:spacing w:val="8"/>
          <w:sz w:val="25"/>
          <w:szCs w:val="25"/>
        </w:rPr>
        <w:t>为全区矿产资源有序开发奠定基础，</w:t>
      </w:r>
      <w:r>
        <w:rPr>
          <w:rFonts w:ascii="仿宋" w:hAnsi="仿宋" w:eastAsia="仿宋" w:cs="仿宋"/>
          <w:spacing w:val="-71"/>
          <w:sz w:val="25"/>
          <w:szCs w:val="25"/>
        </w:rPr>
        <w:t xml:space="preserve"> </w:t>
      </w:r>
      <w:r>
        <w:rPr>
          <w:rFonts w:ascii="仿宋" w:hAnsi="仿宋" w:eastAsia="仿宋" w:cs="仿宋"/>
          <w:spacing w:val="8"/>
          <w:sz w:val="25"/>
          <w:szCs w:val="25"/>
        </w:rPr>
        <w:t>同时，黔江区开展规划环境影响评价</w:t>
      </w:r>
      <w:r>
        <w:rPr>
          <w:rFonts w:ascii="仿宋" w:hAnsi="仿宋" w:eastAsia="仿宋" w:cs="仿宋"/>
          <w:spacing w:val="7"/>
          <w:sz w:val="25"/>
          <w:szCs w:val="25"/>
        </w:rPr>
        <w:t>，并</w:t>
      </w:r>
      <w:r>
        <w:rPr>
          <w:rFonts w:ascii="仿宋" w:hAnsi="仿宋" w:eastAsia="仿宋" w:cs="仿宋"/>
          <w:sz w:val="25"/>
          <w:szCs w:val="25"/>
        </w:rPr>
        <w:t xml:space="preserve"> </w:t>
      </w:r>
      <w:r>
        <w:rPr>
          <w:rFonts w:ascii="仿宋" w:hAnsi="仿宋" w:eastAsia="仿宋" w:cs="仿宋"/>
          <w:spacing w:val="6"/>
          <w:sz w:val="25"/>
          <w:szCs w:val="25"/>
        </w:rPr>
        <w:t>取得审查意见函。</w:t>
      </w:r>
    </w:p>
    <w:p w14:paraId="1FD495C1">
      <w:pPr>
        <w:spacing w:before="4" w:line="338" w:lineRule="auto"/>
        <w:ind w:left="144" w:right="28" w:firstLine="516"/>
        <w:jc w:val="both"/>
        <w:rPr>
          <w:rFonts w:ascii="仿宋" w:hAnsi="仿宋" w:eastAsia="仿宋" w:cs="仿宋"/>
          <w:sz w:val="25"/>
          <w:szCs w:val="25"/>
        </w:rPr>
      </w:pPr>
      <w:r>
        <w:rPr>
          <w:rFonts w:ascii="仿宋" w:hAnsi="仿宋" w:eastAsia="仿宋" w:cs="仿宋"/>
          <w:spacing w:val="9"/>
          <w:sz w:val="25"/>
          <w:szCs w:val="25"/>
        </w:rPr>
        <w:t>本次回顾性评价对规划环评及审查意见落实情况进行调查，其生态保护红</w:t>
      </w:r>
      <w:r>
        <w:rPr>
          <w:rFonts w:ascii="仿宋" w:hAnsi="仿宋" w:eastAsia="仿宋" w:cs="仿宋"/>
          <w:spacing w:val="18"/>
          <w:sz w:val="25"/>
          <w:szCs w:val="25"/>
        </w:rPr>
        <w:t xml:space="preserve"> </w:t>
      </w:r>
      <w:r>
        <w:rPr>
          <w:rFonts w:ascii="仿宋" w:hAnsi="仿宋" w:eastAsia="仿宋" w:cs="仿宋"/>
          <w:spacing w:val="2"/>
          <w:sz w:val="25"/>
          <w:szCs w:val="25"/>
        </w:rPr>
        <w:t>线、永久基本农田、城镇开发边界采用《重庆市国土空间总体规划（</w:t>
      </w:r>
      <w:r>
        <w:rPr>
          <w:rFonts w:ascii="Times New Roman" w:hAnsi="Times New Roman" w:eastAsia="Times New Roman" w:cs="Times New Roman"/>
          <w:spacing w:val="2"/>
          <w:sz w:val="25"/>
          <w:szCs w:val="25"/>
        </w:rPr>
        <w:t>2</w:t>
      </w:r>
      <w:r>
        <w:rPr>
          <w:rFonts w:ascii="Times New Roman" w:hAnsi="Times New Roman" w:eastAsia="Times New Roman" w:cs="Times New Roman"/>
          <w:spacing w:val="1"/>
          <w:sz w:val="25"/>
          <w:szCs w:val="25"/>
        </w:rPr>
        <w:t>021—2035</w:t>
      </w:r>
      <w:r>
        <w:rPr>
          <w:rFonts w:ascii="Times New Roman" w:hAnsi="Times New Roman" w:eastAsia="Times New Roman" w:cs="Times New Roman"/>
          <w:sz w:val="25"/>
          <w:szCs w:val="25"/>
        </w:rPr>
        <w:t xml:space="preserve">  </w:t>
      </w:r>
      <w:r>
        <w:rPr>
          <w:rFonts w:ascii="仿宋" w:hAnsi="仿宋" w:eastAsia="仿宋" w:cs="仿宋"/>
          <w:spacing w:val="2"/>
          <w:sz w:val="25"/>
          <w:szCs w:val="25"/>
        </w:rPr>
        <w:t>年）》（国函〔</w:t>
      </w:r>
      <w:r>
        <w:rPr>
          <w:rFonts w:ascii="Times New Roman" w:hAnsi="Times New Roman" w:eastAsia="Times New Roman" w:cs="Times New Roman"/>
          <w:spacing w:val="2"/>
          <w:sz w:val="25"/>
          <w:szCs w:val="25"/>
        </w:rPr>
        <w:t>2024</w:t>
      </w:r>
      <w:r>
        <w:rPr>
          <w:rFonts w:ascii="仿宋" w:hAnsi="仿宋" w:eastAsia="仿宋" w:cs="仿宋"/>
          <w:spacing w:val="2"/>
          <w:sz w:val="25"/>
          <w:szCs w:val="25"/>
        </w:rPr>
        <w:t>〕</w:t>
      </w:r>
      <w:r>
        <w:rPr>
          <w:rFonts w:ascii="Times New Roman" w:hAnsi="Times New Roman" w:eastAsia="Times New Roman" w:cs="Times New Roman"/>
          <w:spacing w:val="2"/>
          <w:sz w:val="25"/>
          <w:szCs w:val="25"/>
        </w:rPr>
        <w:t>32</w:t>
      </w:r>
      <w:r>
        <w:rPr>
          <w:rFonts w:ascii="Times New Roman" w:hAnsi="Times New Roman" w:eastAsia="Times New Roman" w:cs="Times New Roman"/>
          <w:spacing w:val="28"/>
          <w:w w:val="101"/>
          <w:sz w:val="25"/>
          <w:szCs w:val="25"/>
        </w:rPr>
        <w:t xml:space="preserve"> </w:t>
      </w:r>
      <w:r>
        <w:rPr>
          <w:rFonts w:ascii="仿宋" w:hAnsi="仿宋" w:eastAsia="仿宋" w:cs="仿宋"/>
          <w:spacing w:val="2"/>
          <w:sz w:val="25"/>
          <w:szCs w:val="25"/>
        </w:rPr>
        <w:t>号）最新发布的数据与各规划区块进行空</w:t>
      </w:r>
      <w:r>
        <w:rPr>
          <w:rFonts w:ascii="仿宋" w:hAnsi="仿宋" w:eastAsia="仿宋" w:cs="仿宋"/>
          <w:spacing w:val="1"/>
          <w:sz w:val="25"/>
          <w:szCs w:val="25"/>
        </w:rPr>
        <w:t>间叠图分析。</w:t>
      </w:r>
    </w:p>
    <w:p w14:paraId="56A934A0">
      <w:pPr>
        <w:spacing w:before="5" w:line="339" w:lineRule="auto"/>
        <w:ind w:left="145" w:right="116" w:firstLine="518"/>
        <w:jc w:val="both"/>
        <w:rPr>
          <w:rFonts w:ascii="仿宋" w:hAnsi="仿宋" w:eastAsia="仿宋" w:cs="仿宋"/>
          <w:sz w:val="25"/>
          <w:szCs w:val="25"/>
        </w:rPr>
      </w:pPr>
      <w:r>
        <w:rPr>
          <w:rFonts w:ascii="仿宋" w:hAnsi="仿宋" w:eastAsia="仿宋" w:cs="仿宋"/>
          <w:spacing w:val="6"/>
          <w:sz w:val="25"/>
          <w:szCs w:val="25"/>
        </w:rPr>
        <w:t>一般生态空间采用《重庆市黔江区“三线一单</w:t>
      </w:r>
      <w:r>
        <w:rPr>
          <w:rFonts w:ascii="Times New Roman" w:hAnsi="Times New Roman" w:eastAsia="Times New Roman" w:cs="Times New Roman"/>
          <w:spacing w:val="6"/>
          <w:sz w:val="25"/>
          <w:szCs w:val="25"/>
        </w:rPr>
        <w:t>”</w:t>
      </w:r>
      <w:r>
        <w:rPr>
          <w:rFonts w:ascii="仿宋" w:hAnsi="仿宋" w:eastAsia="仿宋" w:cs="仿宋"/>
          <w:spacing w:val="6"/>
          <w:sz w:val="25"/>
          <w:szCs w:val="25"/>
        </w:rPr>
        <w:t>生态环境分区</w:t>
      </w:r>
      <w:r>
        <w:rPr>
          <w:rFonts w:ascii="仿宋" w:hAnsi="仿宋" w:eastAsia="仿宋" w:cs="仿宋"/>
          <w:spacing w:val="5"/>
          <w:sz w:val="25"/>
          <w:szCs w:val="25"/>
        </w:rPr>
        <w:t>管控更新调整</w:t>
      </w:r>
      <w:r>
        <w:rPr>
          <w:rFonts w:ascii="仿宋" w:hAnsi="仿宋" w:eastAsia="仿宋" w:cs="仿宋"/>
          <w:sz w:val="25"/>
          <w:szCs w:val="25"/>
        </w:rPr>
        <w:t xml:space="preserve"> </w:t>
      </w:r>
      <w:r>
        <w:rPr>
          <w:rFonts w:ascii="仿宋" w:hAnsi="仿宋" w:eastAsia="仿宋" w:cs="仿宋"/>
          <w:spacing w:val="4"/>
          <w:sz w:val="25"/>
          <w:szCs w:val="25"/>
        </w:rPr>
        <w:t>方案（</w:t>
      </w:r>
      <w:r>
        <w:rPr>
          <w:rFonts w:ascii="Times New Roman" w:hAnsi="Times New Roman" w:eastAsia="Times New Roman" w:cs="Times New Roman"/>
          <w:spacing w:val="4"/>
          <w:sz w:val="25"/>
          <w:szCs w:val="25"/>
        </w:rPr>
        <w:t>2023</w:t>
      </w:r>
      <w:r>
        <w:rPr>
          <w:rFonts w:ascii="Times New Roman" w:hAnsi="Times New Roman" w:eastAsia="Times New Roman" w:cs="Times New Roman"/>
          <w:spacing w:val="25"/>
          <w:sz w:val="25"/>
          <w:szCs w:val="25"/>
        </w:rPr>
        <w:t xml:space="preserve"> </w:t>
      </w:r>
      <w:r>
        <w:rPr>
          <w:rFonts w:ascii="仿宋" w:hAnsi="仿宋" w:eastAsia="仿宋" w:cs="仿宋"/>
          <w:spacing w:val="4"/>
          <w:sz w:val="25"/>
          <w:szCs w:val="25"/>
        </w:rPr>
        <w:t>年）》（黔江府办发〔</w:t>
      </w:r>
      <w:r>
        <w:rPr>
          <w:rFonts w:ascii="Times New Roman" w:hAnsi="Times New Roman" w:eastAsia="Times New Roman" w:cs="Times New Roman"/>
          <w:spacing w:val="4"/>
          <w:sz w:val="25"/>
          <w:szCs w:val="25"/>
        </w:rPr>
        <w:t>2024</w:t>
      </w:r>
      <w:r>
        <w:rPr>
          <w:rFonts w:ascii="仿宋" w:hAnsi="仿宋" w:eastAsia="仿宋" w:cs="仿宋"/>
          <w:spacing w:val="4"/>
          <w:sz w:val="25"/>
          <w:szCs w:val="25"/>
        </w:rPr>
        <w:t>〕</w:t>
      </w:r>
      <w:r>
        <w:rPr>
          <w:rFonts w:ascii="Times New Roman" w:hAnsi="Times New Roman" w:eastAsia="Times New Roman" w:cs="Times New Roman"/>
          <w:spacing w:val="4"/>
          <w:sz w:val="25"/>
          <w:szCs w:val="25"/>
        </w:rPr>
        <w:t>54</w:t>
      </w:r>
      <w:r>
        <w:rPr>
          <w:rFonts w:ascii="Times New Roman" w:hAnsi="Times New Roman" w:eastAsia="Times New Roman" w:cs="Times New Roman"/>
          <w:spacing w:val="28"/>
          <w:sz w:val="25"/>
          <w:szCs w:val="25"/>
        </w:rPr>
        <w:t xml:space="preserve"> </w:t>
      </w:r>
      <w:r>
        <w:rPr>
          <w:rFonts w:ascii="仿宋" w:hAnsi="仿宋" w:eastAsia="仿宋" w:cs="仿宋"/>
          <w:spacing w:val="3"/>
          <w:sz w:val="25"/>
          <w:szCs w:val="25"/>
        </w:rPr>
        <w:t>号）的最新数据与各规划区块进行</w:t>
      </w:r>
      <w:r>
        <w:rPr>
          <w:rFonts w:ascii="仿宋" w:hAnsi="仿宋" w:eastAsia="仿宋" w:cs="仿宋"/>
          <w:sz w:val="25"/>
          <w:szCs w:val="25"/>
        </w:rPr>
        <w:t xml:space="preserve"> </w:t>
      </w:r>
      <w:r>
        <w:rPr>
          <w:rFonts w:ascii="仿宋" w:hAnsi="仿宋" w:eastAsia="仿宋" w:cs="仿宋"/>
          <w:spacing w:val="5"/>
          <w:sz w:val="25"/>
          <w:szCs w:val="25"/>
        </w:rPr>
        <w:t>空间叠图分析。</w:t>
      </w:r>
    </w:p>
    <w:p w14:paraId="2E337EA8">
      <w:pPr>
        <w:spacing w:before="2" w:line="338" w:lineRule="auto"/>
        <w:ind w:left="138" w:right="119" w:firstLine="551"/>
        <w:rPr>
          <w:rFonts w:ascii="仿宋" w:hAnsi="仿宋" w:eastAsia="仿宋" w:cs="仿宋"/>
          <w:sz w:val="25"/>
          <w:szCs w:val="25"/>
        </w:rPr>
      </w:pPr>
      <w:r>
        <w:rPr>
          <w:rFonts w:ascii="仿宋" w:hAnsi="仿宋" w:eastAsia="仿宋" w:cs="仿宋"/>
          <w:spacing w:val="11"/>
          <w:sz w:val="25"/>
          <w:szCs w:val="25"/>
        </w:rPr>
        <w:t>国家公益林根据</w:t>
      </w:r>
      <w:r>
        <w:rPr>
          <w:rFonts w:ascii="仿宋" w:hAnsi="仿宋" w:eastAsia="仿宋" w:cs="仿宋"/>
          <w:spacing w:val="-50"/>
          <w:sz w:val="25"/>
          <w:szCs w:val="25"/>
        </w:rPr>
        <w:t xml:space="preserve"> </w:t>
      </w:r>
      <w:r>
        <w:rPr>
          <w:rFonts w:ascii="Times New Roman" w:hAnsi="Times New Roman" w:eastAsia="Times New Roman" w:cs="Times New Roman"/>
          <w:spacing w:val="11"/>
          <w:sz w:val="25"/>
          <w:szCs w:val="25"/>
        </w:rPr>
        <w:t>2024</w:t>
      </w:r>
      <w:r>
        <w:rPr>
          <w:rFonts w:ascii="Times New Roman" w:hAnsi="Times New Roman" w:eastAsia="Times New Roman" w:cs="Times New Roman"/>
          <w:spacing w:val="29"/>
          <w:w w:val="101"/>
          <w:sz w:val="25"/>
          <w:szCs w:val="25"/>
        </w:rPr>
        <w:t xml:space="preserve"> </w:t>
      </w:r>
      <w:r>
        <w:rPr>
          <w:rFonts w:ascii="仿宋" w:hAnsi="仿宋" w:eastAsia="仿宋" w:cs="仿宋"/>
          <w:spacing w:val="11"/>
          <w:sz w:val="25"/>
          <w:szCs w:val="25"/>
        </w:rPr>
        <w:t>年公益林最新的数据与各规划区块进行</w:t>
      </w:r>
      <w:r>
        <w:rPr>
          <w:rFonts w:ascii="仿宋" w:hAnsi="仿宋" w:eastAsia="仿宋" w:cs="仿宋"/>
          <w:spacing w:val="10"/>
          <w:sz w:val="25"/>
          <w:szCs w:val="25"/>
        </w:rPr>
        <w:t>空间叠图分</w:t>
      </w:r>
      <w:r>
        <w:rPr>
          <w:rFonts w:ascii="仿宋" w:hAnsi="仿宋" w:eastAsia="仿宋" w:cs="仿宋"/>
          <w:sz w:val="25"/>
          <w:szCs w:val="25"/>
        </w:rPr>
        <w:t xml:space="preserve"> </w:t>
      </w:r>
      <w:r>
        <w:rPr>
          <w:rFonts w:ascii="仿宋" w:hAnsi="仿宋" w:eastAsia="仿宋" w:cs="仿宋"/>
          <w:spacing w:val="-4"/>
          <w:sz w:val="25"/>
          <w:szCs w:val="25"/>
        </w:rPr>
        <w:t>析。</w:t>
      </w:r>
    </w:p>
    <w:p w14:paraId="364935A2">
      <w:pPr>
        <w:spacing w:before="2" w:line="228" w:lineRule="auto"/>
        <w:ind w:left="658"/>
        <w:rPr>
          <w:rFonts w:ascii="仿宋" w:hAnsi="仿宋" w:eastAsia="仿宋" w:cs="仿宋"/>
          <w:sz w:val="25"/>
          <w:szCs w:val="25"/>
        </w:rPr>
      </w:pPr>
      <w:r>
        <w:rPr>
          <w:rFonts w:ascii="仿宋" w:hAnsi="仿宋" w:eastAsia="仿宋" w:cs="仿宋"/>
          <w:spacing w:val="6"/>
          <w:sz w:val="25"/>
          <w:szCs w:val="25"/>
        </w:rPr>
        <w:t>规划环评及审查意见落实情况详见表</w:t>
      </w:r>
      <w:r>
        <w:rPr>
          <w:rFonts w:ascii="仿宋" w:hAnsi="仿宋" w:eastAsia="仿宋" w:cs="仿宋"/>
          <w:spacing w:val="-42"/>
          <w:sz w:val="25"/>
          <w:szCs w:val="25"/>
        </w:rPr>
        <w:t xml:space="preserve"> </w:t>
      </w:r>
      <w:r>
        <w:rPr>
          <w:rFonts w:ascii="Times New Roman" w:hAnsi="Times New Roman" w:eastAsia="Times New Roman" w:cs="Times New Roman"/>
          <w:spacing w:val="6"/>
          <w:sz w:val="25"/>
          <w:szCs w:val="25"/>
        </w:rPr>
        <w:t>3.2-7~3.2-9</w:t>
      </w:r>
      <w:r>
        <w:rPr>
          <w:rFonts w:ascii="仿宋" w:hAnsi="仿宋" w:eastAsia="仿宋" w:cs="仿宋"/>
          <w:spacing w:val="6"/>
          <w:sz w:val="25"/>
          <w:szCs w:val="25"/>
        </w:rPr>
        <w:t>。</w:t>
      </w:r>
    </w:p>
    <w:p w14:paraId="5E4F2A3E">
      <w:pPr>
        <w:spacing w:line="228" w:lineRule="auto"/>
        <w:rPr>
          <w:rFonts w:ascii="仿宋" w:hAnsi="仿宋" w:eastAsia="仿宋" w:cs="仿宋"/>
          <w:sz w:val="25"/>
          <w:szCs w:val="25"/>
        </w:rPr>
        <w:sectPr>
          <w:headerReference r:id="rId133" w:type="default"/>
          <w:footerReference r:id="rId134" w:type="default"/>
          <w:pgSz w:w="11906" w:h="16839"/>
          <w:pgMar w:top="1116" w:right="1356" w:bottom="1480" w:left="1464" w:header="683" w:footer="1318" w:gutter="0"/>
          <w:cols w:space="720" w:num="1"/>
        </w:sectPr>
      </w:pPr>
    </w:p>
    <w:p w14:paraId="3EC14BE6">
      <w:pPr>
        <w:pStyle w:val="2"/>
        <w:spacing w:line="354" w:lineRule="auto"/>
      </w:pPr>
    </w:p>
    <w:p w14:paraId="40DB2264">
      <w:pPr>
        <w:pStyle w:val="2"/>
        <w:spacing w:line="355" w:lineRule="auto"/>
      </w:pPr>
    </w:p>
    <w:p w14:paraId="0E40A8A4">
      <w:pPr>
        <w:spacing w:before="65" w:line="231" w:lineRule="auto"/>
        <w:ind w:left="4757"/>
        <w:rPr>
          <w:rFonts w:ascii="仿宋" w:hAnsi="仿宋" w:eastAsia="仿宋" w:cs="仿宋"/>
          <w:sz w:val="20"/>
          <w:szCs w:val="20"/>
        </w:rPr>
      </w:pPr>
      <w:r>
        <w:rPr>
          <w:rFonts w:ascii="仿宋" w:hAnsi="仿宋" w:eastAsia="仿宋" w:cs="仿宋"/>
          <w:b/>
          <w:bCs/>
          <w:spacing w:val="6"/>
          <w:sz w:val="20"/>
          <w:szCs w:val="20"/>
        </w:rPr>
        <w:t>表</w:t>
      </w:r>
      <w:r>
        <w:rPr>
          <w:rFonts w:ascii="仿宋" w:hAnsi="仿宋" w:eastAsia="仿宋" w:cs="仿宋"/>
          <w:spacing w:val="-34"/>
          <w:sz w:val="20"/>
          <w:szCs w:val="20"/>
        </w:rPr>
        <w:t xml:space="preserve"> </w:t>
      </w:r>
      <w:r>
        <w:rPr>
          <w:rFonts w:ascii="Times New Roman" w:hAnsi="Times New Roman" w:eastAsia="Times New Roman" w:cs="Times New Roman"/>
          <w:b/>
          <w:bCs/>
          <w:spacing w:val="6"/>
          <w:sz w:val="20"/>
          <w:szCs w:val="20"/>
        </w:rPr>
        <w:t xml:space="preserve">3.2-7    </w:t>
      </w:r>
      <w:r>
        <w:rPr>
          <w:rFonts w:ascii="仿宋" w:hAnsi="仿宋" w:eastAsia="仿宋" w:cs="仿宋"/>
          <w:b/>
          <w:bCs/>
          <w:spacing w:val="6"/>
          <w:sz w:val="20"/>
          <w:szCs w:val="20"/>
        </w:rPr>
        <w:t>原规划环评中勘探开发环境管控要求落实情况</w:t>
      </w:r>
    </w:p>
    <w:p w14:paraId="2FB2A30B">
      <w:pPr>
        <w:spacing w:line="21" w:lineRule="exact"/>
      </w:pPr>
    </w:p>
    <w:tbl>
      <w:tblPr>
        <w:tblStyle w:val="5"/>
        <w:tblW w:w="14166"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4"/>
        <w:gridCol w:w="6173"/>
        <w:gridCol w:w="1176"/>
        <w:gridCol w:w="6073"/>
      </w:tblGrid>
      <w:tr w14:paraId="310A37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744" w:type="dxa"/>
            <w:tcBorders>
              <w:top w:val="single" w:color="000000" w:sz="10" w:space="0"/>
              <w:left w:val="single" w:color="000000" w:sz="10" w:space="0"/>
            </w:tcBorders>
            <w:vAlign w:val="top"/>
          </w:tcPr>
          <w:p w14:paraId="1DA7D28F">
            <w:pPr>
              <w:pStyle w:val="6"/>
              <w:spacing w:before="36" w:line="216" w:lineRule="auto"/>
              <w:ind w:left="158"/>
              <w:rPr>
                <w:sz w:val="20"/>
                <w:szCs w:val="20"/>
              </w:rPr>
            </w:pPr>
            <w:r>
              <w:rPr>
                <w:spacing w:val="2"/>
                <w:sz w:val="20"/>
                <w:szCs w:val="20"/>
              </w:rPr>
              <w:t>序号</w:t>
            </w:r>
          </w:p>
        </w:tc>
        <w:tc>
          <w:tcPr>
            <w:tcW w:w="6173" w:type="dxa"/>
            <w:tcBorders>
              <w:top w:val="single" w:color="000000" w:sz="10" w:space="0"/>
            </w:tcBorders>
            <w:vAlign w:val="top"/>
          </w:tcPr>
          <w:p w14:paraId="66112024">
            <w:pPr>
              <w:pStyle w:val="6"/>
              <w:spacing w:before="36" w:line="216" w:lineRule="auto"/>
              <w:ind w:left="2460"/>
              <w:rPr>
                <w:sz w:val="20"/>
                <w:szCs w:val="20"/>
              </w:rPr>
            </w:pPr>
            <w:r>
              <w:rPr>
                <w:spacing w:val="7"/>
                <w:sz w:val="20"/>
                <w:szCs w:val="20"/>
              </w:rPr>
              <w:t>环境准入条件</w:t>
            </w:r>
          </w:p>
        </w:tc>
        <w:tc>
          <w:tcPr>
            <w:tcW w:w="1176" w:type="dxa"/>
            <w:tcBorders>
              <w:top w:val="single" w:color="000000" w:sz="10" w:space="0"/>
            </w:tcBorders>
            <w:vAlign w:val="top"/>
          </w:tcPr>
          <w:p w14:paraId="62690281">
            <w:pPr>
              <w:pStyle w:val="6"/>
              <w:spacing w:before="36" w:line="216" w:lineRule="auto"/>
              <w:ind w:left="190"/>
              <w:rPr>
                <w:sz w:val="20"/>
                <w:szCs w:val="20"/>
              </w:rPr>
            </w:pPr>
            <w:r>
              <w:rPr>
                <w:spacing w:val="3"/>
                <w:sz w:val="20"/>
                <w:szCs w:val="20"/>
              </w:rPr>
              <w:t>落实情况</w:t>
            </w:r>
          </w:p>
        </w:tc>
        <w:tc>
          <w:tcPr>
            <w:tcW w:w="6073" w:type="dxa"/>
            <w:tcBorders>
              <w:top w:val="single" w:color="000000" w:sz="10" w:space="0"/>
              <w:right w:val="single" w:color="000000" w:sz="10" w:space="0"/>
            </w:tcBorders>
            <w:vAlign w:val="top"/>
          </w:tcPr>
          <w:p w14:paraId="6AF40A23">
            <w:pPr>
              <w:pStyle w:val="6"/>
              <w:spacing w:before="36" w:line="216" w:lineRule="auto"/>
              <w:ind w:left="2524"/>
              <w:rPr>
                <w:sz w:val="20"/>
                <w:szCs w:val="20"/>
              </w:rPr>
            </w:pPr>
            <w:r>
              <w:rPr>
                <w:spacing w:val="6"/>
                <w:sz w:val="20"/>
                <w:szCs w:val="20"/>
              </w:rPr>
              <w:t>说明与备注</w:t>
            </w:r>
          </w:p>
        </w:tc>
      </w:tr>
      <w:tr w14:paraId="45AE82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4166" w:type="dxa"/>
            <w:gridSpan w:val="4"/>
            <w:tcBorders>
              <w:left w:val="single" w:color="000000" w:sz="10" w:space="0"/>
              <w:right w:val="single" w:color="000000" w:sz="10" w:space="0"/>
            </w:tcBorders>
            <w:vAlign w:val="top"/>
          </w:tcPr>
          <w:p w14:paraId="2C14369C">
            <w:pPr>
              <w:pStyle w:val="6"/>
              <w:spacing w:before="31" w:line="217" w:lineRule="auto"/>
              <w:ind w:left="6674"/>
              <w:rPr>
                <w:sz w:val="20"/>
                <w:szCs w:val="20"/>
              </w:rPr>
            </w:pPr>
            <w:r>
              <w:rPr>
                <w:spacing w:val="3"/>
                <w:sz w:val="20"/>
                <w:szCs w:val="20"/>
              </w:rPr>
              <w:t>空间管控</w:t>
            </w:r>
          </w:p>
        </w:tc>
      </w:tr>
      <w:tr w14:paraId="0F6FC2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76" w:hRule="atLeast"/>
        </w:trPr>
        <w:tc>
          <w:tcPr>
            <w:tcW w:w="744" w:type="dxa"/>
            <w:tcBorders>
              <w:left w:val="single" w:color="000000" w:sz="10" w:space="0"/>
            </w:tcBorders>
            <w:vAlign w:val="top"/>
          </w:tcPr>
          <w:p w14:paraId="28336DDC">
            <w:pPr>
              <w:spacing w:line="319" w:lineRule="auto"/>
              <w:rPr>
                <w:rFonts w:ascii="Arial"/>
                <w:sz w:val="21"/>
              </w:rPr>
            </w:pPr>
          </w:p>
          <w:p w14:paraId="6FF8B69D">
            <w:pPr>
              <w:spacing w:line="319" w:lineRule="auto"/>
              <w:rPr>
                <w:rFonts w:ascii="Arial"/>
                <w:sz w:val="21"/>
              </w:rPr>
            </w:pPr>
          </w:p>
          <w:p w14:paraId="11EC318B">
            <w:pPr>
              <w:spacing w:line="320" w:lineRule="auto"/>
              <w:rPr>
                <w:rFonts w:ascii="Arial"/>
                <w:sz w:val="21"/>
              </w:rPr>
            </w:pPr>
          </w:p>
          <w:p w14:paraId="3C6D849E">
            <w:pPr>
              <w:spacing w:before="57" w:line="195" w:lineRule="auto"/>
              <w:ind w:left="32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6173" w:type="dxa"/>
            <w:vAlign w:val="top"/>
          </w:tcPr>
          <w:p w14:paraId="2419EA60">
            <w:pPr>
              <w:spacing w:line="253" w:lineRule="auto"/>
              <w:rPr>
                <w:rFonts w:ascii="Arial"/>
                <w:sz w:val="21"/>
              </w:rPr>
            </w:pPr>
          </w:p>
          <w:p w14:paraId="4244682D">
            <w:pPr>
              <w:pStyle w:val="6"/>
              <w:spacing w:before="65" w:line="250" w:lineRule="auto"/>
              <w:ind w:left="108" w:right="52" w:firstLine="4"/>
              <w:jc w:val="both"/>
              <w:rPr>
                <w:sz w:val="20"/>
                <w:szCs w:val="20"/>
              </w:rPr>
            </w:pPr>
            <w:r>
              <w:rPr>
                <w:spacing w:val="9"/>
                <w:sz w:val="20"/>
                <w:szCs w:val="20"/>
              </w:rPr>
              <w:t>（</w:t>
            </w:r>
            <w:r>
              <w:rPr>
                <w:rFonts w:ascii="Times New Roman" w:hAnsi="Times New Roman" w:eastAsia="Times New Roman" w:cs="Times New Roman"/>
                <w:spacing w:val="9"/>
                <w:sz w:val="20"/>
                <w:szCs w:val="20"/>
              </w:rPr>
              <w:t>1</w:t>
            </w:r>
            <w:r>
              <w:rPr>
                <w:spacing w:val="9"/>
                <w:sz w:val="20"/>
                <w:szCs w:val="20"/>
              </w:rPr>
              <w:t>）与一般生态空间</w:t>
            </w:r>
            <w:r>
              <w:rPr>
                <w:rFonts w:ascii="Times New Roman" w:hAnsi="Times New Roman" w:eastAsia="Times New Roman" w:cs="Times New Roman"/>
                <w:spacing w:val="9"/>
                <w:sz w:val="20"/>
                <w:szCs w:val="20"/>
              </w:rPr>
              <w:t>——</w:t>
            </w:r>
            <w:r>
              <w:rPr>
                <w:spacing w:val="9"/>
                <w:sz w:val="20"/>
                <w:szCs w:val="20"/>
              </w:rPr>
              <w:t>生物多样性维护功能区重叠的重点勘查</w:t>
            </w:r>
            <w:r>
              <w:rPr>
                <w:spacing w:val="2"/>
                <w:sz w:val="20"/>
                <w:szCs w:val="20"/>
              </w:rPr>
              <w:t xml:space="preserve"> </w:t>
            </w:r>
            <w:r>
              <w:rPr>
                <w:spacing w:val="1"/>
                <w:sz w:val="20"/>
                <w:szCs w:val="20"/>
              </w:rPr>
              <w:t>区</w:t>
            </w:r>
            <w:r>
              <w:rPr>
                <w:rFonts w:ascii="Times New Roman" w:hAnsi="Times New Roman" w:eastAsia="Times New Roman" w:cs="Times New Roman"/>
                <w:sz w:val="20"/>
                <w:szCs w:val="20"/>
              </w:rPr>
              <w:t>KZ</w:t>
            </w:r>
            <w:r>
              <w:rPr>
                <w:rFonts w:ascii="Times New Roman" w:hAnsi="Times New Roman" w:eastAsia="Times New Roman" w:cs="Times New Roman"/>
                <w:spacing w:val="1"/>
                <w:sz w:val="20"/>
                <w:szCs w:val="20"/>
              </w:rPr>
              <w:t xml:space="preserve">001 </w:t>
            </w:r>
            <w:r>
              <w:rPr>
                <w:spacing w:val="1"/>
                <w:sz w:val="20"/>
                <w:szCs w:val="20"/>
              </w:rPr>
              <w:t>和</w:t>
            </w:r>
            <w:r>
              <w:rPr>
                <w:rFonts w:ascii="Times New Roman" w:hAnsi="Times New Roman" w:eastAsia="Times New Roman" w:cs="Times New Roman"/>
                <w:sz w:val="20"/>
                <w:szCs w:val="20"/>
              </w:rPr>
              <w:t>KZ</w:t>
            </w:r>
            <w:r>
              <w:rPr>
                <w:rFonts w:ascii="Times New Roman" w:hAnsi="Times New Roman" w:eastAsia="Times New Roman" w:cs="Times New Roman"/>
                <w:spacing w:val="1"/>
                <w:sz w:val="20"/>
                <w:szCs w:val="20"/>
              </w:rPr>
              <w:t>002</w:t>
            </w:r>
            <w:r>
              <w:rPr>
                <w:spacing w:val="1"/>
                <w:sz w:val="20"/>
                <w:szCs w:val="20"/>
              </w:rPr>
              <w:t>、勘查区块</w:t>
            </w:r>
            <w:r>
              <w:rPr>
                <w:rFonts w:ascii="Times New Roman" w:hAnsi="Times New Roman" w:eastAsia="Times New Roman" w:cs="Times New Roman"/>
                <w:sz w:val="20"/>
                <w:szCs w:val="20"/>
              </w:rPr>
              <w:t>KQ</w:t>
            </w:r>
            <w:r>
              <w:rPr>
                <w:rFonts w:ascii="Times New Roman" w:hAnsi="Times New Roman" w:eastAsia="Times New Roman" w:cs="Times New Roman"/>
                <w:spacing w:val="1"/>
                <w:sz w:val="20"/>
                <w:szCs w:val="20"/>
              </w:rPr>
              <w:t>006</w:t>
            </w:r>
            <w:r>
              <w:rPr>
                <w:spacing w:val="1"/>
                <w:sz w:val="20"/>
                <w:szCs w:val="20"/>
              </w:rPr>
              <w:t>、新设开采区块</w:t>
            </w:r>
            <w:r>
              <w:rPr>
                <w:spacing w:val="-54"/>
                <w:sz w:val="20"/>
                <w:szCs w:val="20"/>
              </w:rPr>
              <w:t xml:space="preserve"> </w:t>
            </w:r>
            <w:r>
              <w:rPr>
                <w:rFonts w:ascii="Times New Roman" w:hAnsi="Times New Roman" w:eastAsia="Times New Roman" w:cs="Times New Roman"/>
                <w:sz w:val="20"/>
                <w:szCs w:val="20"/>
              </w:rPr>
              <w:t>CQ</w:t>
            </w:r>
            <w:r>
              <w:rPr>
                <w:rFonts w:ascii="Times New Roman" w:hAnsi="Times New Roman" w:eastAsia="Times New Roman" w:cs="Times New Roman"/>
                <w:spacing w:val="1"/>
                <w:sz w:val="20"/>
                <w:szCs w:val="20"/>
              </w:rPr>
              <w:t>022</w:t>
            </w:r>
            <w:r>
              <w:rPr>
                <w:spacing w:val="1"/>
                <w:sz w:val="20"/>
                <w:szCs w:val="20"/>
              </w:rPr>
              <w:t>、</w:t>
            </w:r>
            <w:r>
              <w:rPr>
                <w:rFonts w:ascii="Times New Roman" w:hAnsi="Times New Roman" w:eastAsia="Times New Roman" w:cs="Times New Roman"/>
                <w:sz w:val="20"/>
                <w:szCs w:val="20"/>
              </w:rPr>
              <w:t>CQ</w:t>
            </w:r>
            <w:r>
              <w:rPr>
                <w:rFonts w:ascii="Times New Roman" w:hAnsi="Times New Roman" w:eastAsia="Times New Roman" w:cs="Times New Roman"/>
                <w:spacing w:val="1"/>
                <w:sz w:val="20"/>
                <w:szCs w:val="20"/>
              </w:rPr>
              <w:t>026</w:t>
            </w:r>
            <w:r>
              <w:rPr>
                <w:rFonts w:ascii="Times New Roman" w:hAnsi="Times New Roman" w:eastAsia="Times New Roman" w:cs="Times New Roman"/>
                <w:sz w:val="20"/>
                <w:szCs w:val="20"/>
              </w:rPr>
              <w:t xml:space="preserve"> </w:t>
            </w:r>
            <w:r>
              <w:rPr>
                <w:spacing w:val="6"/>
                <w:sz w:val="20"/>
                <w:szCs w:val="20"/>
              </w:rPr>
              <w:t>和</w:t>
            </w:r>
            <w:r>
              <w:rPr>
                <w:spacing w:val="-40"/>
                <w:sz w:val="20"/>
                <w:szCs w:val="20"/>
              </w:rPr>
              <w:t xml:space="preserve"> </w:t>
            </w:r>
            <w:r>
              <w:rPr>
                <w:rFonts w:ascii="Times New Roman" w:hAnsi="Times New Roman" w:eastAsia="Times New Roman" w:cs="Times New Roman"/>
                <w:sz w:val="20"/>
                <w:szCs w:val="20"/>
              </w:rPr>
              <w:t>CQ</w:t>
            </w:r>
            <w:r>
              <w:rPr>
                <w:rFonts w:ascii="Times New Roman" w:hAnsi="Times New Roman" w:eastAsia="Times New Roman" w:cs="Times New Roman"/>
                <w:spacing w:val="6"/>
                <w:sz w:val="20"/>
                <w:szCs w:val="20"/>
              </w:rPr>
              <w:t>031</w:t>
            </w:r>
            <w:r>
              <w:rPr>
                <w:spacing w:val="6"/>
                <w:sz w:val="20"/>
                <w:szCs w:val="20"/>
              </w:rPr>
              <w:t>，应严格执行一般生态空间管控要求，</w:t>
            </w:r>
            <w:r>
              <w:rPr>
                <w:spacing w:val="5"/>
                <w:sz w:val="20"/>
                <w:szCs w:val="20"/>
              </w:rPr>
              <w:t>严格控制勘查开采</w:t>
            </w:r>
            <w:r>
              <w:rPr>
                <w:sz w:val="20"/>
                <w:szCs w:val="20"/>
              </w:rPr>
              <w:t xml:space="preserve"> </w:t>
            </w:r>
            <w:r>
              <w:rPr>
                <w:spacing w:val="7"/>
                <w:sz w:val="20"/>
                <w:szCs w:val="20"/>
              </w:rPr>
              <w:t>活动范围和强度，对生物多样性进行有效保护，保证该单元生态系</w:t>
            </w:r>
            <w:r>
              <w:rPr>
                <w:spacing w:val="1"/>
                <w:sz w:val="20"/>
                <w:szCs w:val="20"/>
              </w:rPr>
              <w:t xml:space="preserve"> </w:t>
            </w:r>
            <w:r>
              <w:rPr>
                <w:spacing w:val="8"/>
                <w:sz w:val="20"/>
                <w:szCs w:val="20"/>
              </w:rPr>
              <w:t>统结构和生物多样性维护功能不受破坏。</w:t>
            </w:r>
          </w:p>
        </w:tc>
        <w:tc>
          <w:tcPr>
            <w:tcW w:w="1176" w:type="dxa"/>
            <w:vAlign w:val="top"/>
          </w:tcPr>
          <w:p w14:paraId="374BE207">
            <w:pPr>
              <w:spacing w:line="259" w:lineRule="auto"/>
              <w:rPr>
                <w:rFonts w:ascii="Arial"/>
                <w:sz w:val="21"/>
              </w:rPr>
            </w:pPr>
          </w:p>
          <w:p w14:paraId="4EEDA6BB">
            <w:pPr>
              <w:spacing w:line="260" w:lineRule="auto"/>
              <w:rPr>
                <w:rFonts w:ascii="Arial"/>
                <w:sz w:val="21"/>
              </w:rPr>
            </w:pPr>
          </w:p>
          <w:p w14:paraId="2CD3B83B">
            <w:pPr>
              <w:spacing w:line="260" w:lineRule="auto"/>
              <w:rPr>
                <w:rFonts w:ascii="Arial"/>
                <w:sz w:val="21"/>
              </w:rPr>
            </w:pPr>
          </w:p>
          <w:p w14:paraId="4062BFEE">
            <w:pPr>
              <w:pStyle w:val="6"/>
              <w:spacing w:before="65" w:line="232" w:lineRule="auto"/>
              <w:ind w:left="207"/>
              <w:rPr>
                <w:sz w:val="20"/>
                <w:szCs w:val="20"/>
              </w:rPr>
            </w:pPr>
            <w:r>
              <w:rPr>
                <w:spacing w:val="-1"/>
                <w:sz w:val="20"/>
                <w:szCs w:val="20"/>
              </w:rPr>
              <w:t>已投放区</w:t>
            </w:r>
          </w:p>
          <w:p w14:paraId="5544DBF7">
            <w:pPr>
              <w:pStyle w:val="6"/>
              <w:spacing w:before="19" w:line="231" w:lineRule="auto"/>
              <w:ind w:left="180"/>
              <w:rPr>
                <w:sz w:val="20"/>
                <w:szCs w:val="20"/>
              </w:rPr>
            </w:pPr>
            <w:r>
              <w:rPr>
                <w:spacing w:val="6"/>
                <w:sz w:val="20"/>
                <w:szCs w:val="20"/>
              </w:rPr>
              <w:t>块已落实</w:t>
            </w:r>
          </w:p>
        </w:tc>
        <w:tc>
          <w:tcPr>
            <w:tcW w:w="6073" w:type="dxa"/>
            <w:tcBorders>
              <w:right w:val="single" w:color="000000" w:sz="10" w:space="0"/>
            </w:tcBorders>
            <w:vAlign w:val="top"/>
          </w:tcPr>
          <w:p w14:paraId="37AE1032">
            <w:pPr>
              <w:pStyle w:val="6"/>
              <w:spacing w:before="33" w:line="246" w:lineRule="auto"/>
              <w:ind w:left="110" w:right="97" w:firstLine="11"/>
              <w:rPr>
                <w:sz w:val="20"/>
                <w:szCs w:val="20"/>
              </w:rPr>
            </w:pPr>
            <w:r>
              <w:rPr>
                <w:spacing w:val="7"/>
                <w:sz w:val="20"/>
                <w:szCs w:val="20"/>
              </w:rPr>
              <w:t>依据《重庆市黔江区“三线一单</w:t>
            </w:r>
            <w:r>
              <w:rPr>
                <w:spacing w:val="-61"/>
                <w:sz w:val="20"/>
                <w:szCs w:val="20"/>
              </w:rPr>
              <w:t xml:space="preserve"> </w:t>
            </w:r>
            <w:r>
              <w:rPr>
                <w:spacing w:val="7"/>
                <w:sz w:val="20"/>
                <w:szCs w:val="20"/>
              </w:rPr>
              <w:t>”生态环境分区管控更新调整方</w:t>
            </w:r>
            <w:r>
              <w:rPr>
                <w:sz w:val="20"/>
                <w:szCs w:val="20"/>
              </w:rPr>
              <w:t xml:space="preserve"> </w:t>
            </w:r>
            <w:r>
              <w:rPr>
                <w:spacing w:val="7"/>
                <w:sz w:val="20"/>
                <w:szCs w:val="20"/>
              </w:rPr>
              <w:t>案（</w:t>
            </w:r>
            <w:r>
              <w:rPr>
                <w:rFonts w:ascii="Times New Roman" w:hAnsi="Times New Roman" w:eastAsia="Times New Roman" w:cs="Times New Roman"/>
                <w:spacing w:val="7"/>
                <w:sz w:val="20"/>
                <w:szCs w:val="20"/>
              </w:rPr>
              <w:t>2023</w:t>
            </w:r>
            <w:r>
              <w:rPr>
                <w:rFonts w:ascii="Times New Roman" w:hAnsi="Times New Roman" w:eastAsia="Times New Roman" w:cs="Times New Roman"/>
                <w:spacing w:val="38"/>
                <w:sz w:val="20"/>
                <w:szCs w:val="20"/>
              </w:rPr>
              <w:t xml:space="preserve"> </w:t>
            </w:r>
            <w:r>
              <w:rPr>
                <w:spacing w:val="7"/>
                <w:sz w:val="20"/>
                <w:szCs w:val="20"/>
              </w:rPr>
              <w:t>年）</w:t>
            </w:r>
            <w:r>
              <w:rPr>
                <w:spacing w:val="-60"/>
                <w:sz w:val="20"/>
                <w:szCs w:val="20"/>
              </w:rPr>
              <w:t xml:space="preserve"> </w:t>
            </w:r>
            <w:r>
              <w:rPr>
                <w:spacing w:val="7"/>
                <w:sz w:val="20"/>
                <w:szCs w:val="20"/>
              </w:rPr>
              <w:t>》</w:t>
            </w:r>
            <w:r>
              <w:rPr>
                <w:spacing w:val="-60"/>
                <w:sz w:val="20"/>
                <w:szCs w:val="20"/>
              </w:rPr>
              <w:t xml:space="preserve"> </w:t>
            </w:r>
            <w:r>
              <w:rPr>
                <w:spacing w:val="7"/>
                <w:sz w:val="20"/>
                <w:szCs w:val="20"/>
              </w:rPr>
              <w:t>，</w:t>
            </w:r>
            <w:r>
              <w:rPr>
                <w:rFonts w:ascii="Times New Roman" w:hAnsi="Times New Roman" w:eastAsia="Times New Roman" w:cs="Times New Roman"/>
                <w:sz w:val="20"/>
                <w:szCs w:val="20"/>
              </w:rPr>
              <w:t>CQ</w:t>
            </w:r>
            <w:r>
              <w:rPr>
                <w:rFonts w:ascii="Times New Roman" w:hAnsi="Times New Roman" w:eastAsia="Times New Roman" w:cs="Times New Roman"/>
                <w:spacing w:val="7"/>
                <w:sz w:val="20"/>
                <w:szCs w:val="20"/>
              </w:rPr>
              <w:t>022</w:t>
            </w:r>
            <w:r>
              <w:rPr>
                <w:rFonts w:ascii="Times New Roman" w:hAnsi="Times New Roman" w:eastAsia="Times New Roman" w:cs="Times New Roman"/>
                <w:spacing w:val="47"/>
                <w:w w:val="101"/>
                <w:sz w:val="20"/>
                <w:szCs w:val="20"/>
              </w:rPr>
              <w:t xml:space="preserve"> </w:t>
            </w:r>
            <w:r>
              <w:rPr>
                <w:spacing w:val="7"/>
                <w:sz w:val="20"/>
                <w:szCs w:val="20"/>
              </w:rPr>
              <w:t>已不占用一般生态空间，与一般生态</w:t>
            </w:r>
            <w:r>
              <w:rPr>
                <w:sz w:val="20"/>
                <w:szCs w:val="20"/>
              </w:rPr>
              <w:t xml:space="preserve"> </w:t>
            </w:r>
            <w:r>
              <w:rPr>
                <w:spacing w:val="7"/>
                <w:sz w:val="20"/>
                <w:szCs w:val="20"/>
              </w:rPr>
              <w:t>空间存在冲突的为重点勘查区</w:t>
            </w:r>
            <w:r>
              <w:rPr>
                <w:spacing w:val="-41"/>
                <w:sz w:val="20"/>
                <w:szCs w:val="20"/>
              </w:rPr>
              <w:t xml:space="preserve"> </w:t>
            </w:r>
            <w:r>
              <w:rPr>
                <w:rFonts w:ascii="Times New Roman" w:hAnsi="Times New Roman" w:eastAsia="Times New Roman" w:cs="Times New Roman"/>
                <w:sz w:val="20"/>
                <w:szCs w:val="20"/>
              </w:rPr>
              <w:t>KZ</w:t>
            </w:r>
            <w:r>
              <w:rPr>
                <w:rFonts w:ascii="Times New Roman" w:hAnsi="Times New Roman" w:eastAsia="Times New Roman" w:cs="Times New Roman"/>
                <w:spacing w:val="7"/>
                <w:sz w:val="20"/>
                <w:szCs w:val="20"/>
              </w:rPr>
              <w:t>001</w:t>
            </w:r>
            <w:r>
              <w:rPr>
                <w:rFonts w:ascii="Times New Roman" w:hAnsi="Times New Roman" w:eastAsia="Times New Roman" w:cs="Times New Roman"/>
                <w:spacing w:val="-17"/>
                <w:sz w:val="20"/>
                <w:szCs w:val="20"/>
              </w:rPr>
              <w:t xml:space="preserve"> </w:t>
            </w:r>
            <w:r>
              <w:rPr>
                <w:spacing w:val="7"/>
                <w:sz w:val="20"/>
                <w:szCs w:val="20"/>
              </w:rPr>
              <w:t>、</w:t>
            </w:r>
            <w:r>
              <w:rPr>
                <w:rFonts w:ascii="Times New Roman" w:hAnsi="Times New Roman" w:eastAsia="Times New Roman" w:cs="Times New Roman"/>
                <w:sz w:val="20"/>
                <w:szCs w:val="20"/>
              </w:rPr>
              <w:t>KZ</w:t>
            </w:r>
            <w:r>
              <w:rPr>
                <w:rFonts w:ascii="Times New Roman" w:hAnsi="Times New Roman" w:eastAsia="Times New Roman" w:cs="Times New Roman"/>
                <w:spacing w:val="7"/>
                <w:sz w:val="20"/>
                <w:szCs w:val="20"/>
              </w:rPr>
              <w:t>002</w:t>
            </w:r>
            <w:r>
              <w:rPr>
                <w:rFonts w:ascii="Times New Roman" w:hAnsi="Times New Roman" w:eastAsia="Times New Roman" w:cs="Times New Roman"/>
                <w:spacing w:val="-19"/>
                <w:sz w:val="20"/>
                <w:szCs w:val="20"/>
              </w:rPr>
              <w:t xml:space="preserve"> </w:t>
            </w:r>
            <w:r>
              <w:rPr>
                <w:spacing w:val="7"/>
                <w:sz w:val="20"/>
                <w:szCs w:val="20"/>
              </w:rPr>
              <w:t>、</w:t>
            </w:r>
            <w:r>
              <w:rPr>
                <w:rFonts w:ascii="Times New Roman" w:hAnsi="Times New Roman" w:eastAsia="Times New Roman" w:cs="Times New Roman"/>
                <w:sz w:val="20"/>
                <w:szCs w:val="20"/>
              </w:rPr>
              <w:t>KZ</w:t>
            </w:r>
            <w:r>
              <w:rPr>
                <w:rFonts w:ascii="Times New Roman" w:hAnsi="Times New Roman" w:eastAsia="Times New Roman" w:cs="Times New Roman"/>
                <w:spacing w:val="7"/>
                <w:sz w:val="20"/>
                <w:szCs w:val="20"/>
              </w:rPr>
              <w:t>003</w:t>
            </w:r>
            <w:r>
              <w:rPr>
                <w:rFonts w:ascii="Times New Roman" w:hAnsi="Times New Roman" w:eastAsia="Times New Roman" w:cs="Times New Roman"/>
                <w:spacing w:val="-18"/>
                <w:sz w:val="20"/>
                <w:szCs w:val="20"/>
              </w:rPr>
              <w:t xml:space="preserve"> </w:t>
            </w:r>
            <w:r>
              <w:rPr>
                <w:spacing w:val="7"/>
                <w:sz w:val="20"/>
                <w:szCs w:val="20"/>
              </w:rPr>
              <w:t>，勘</w:t>
            </w:r>
            <w:r>
              <w:rPr>
                <w:spacing w:val="6"/>
                <w:sz w:val="20"/>
                <w:szCs w:val="20"/>
              </w:rPr>
              <w:t>查区</w:t>
            </w:r>
            <w:r>
              <w:rPr>
                <w:sz w:val="20"/>
                <w:szCs w:val="20"/>
              </w:rPr>
              <w:t xml:space="preserve"> </w:t>
            </w:r>
            <w:r>
              <w:rPr>
                <w:spacing w:val="2"/>
                <w:sz w:val="20"/>
                <w:szCs w:val="20"/>
              </w:rPr>
              <w:t>块</w:t>
            </w:r>
            <w:r>
              <w:rPr>
                <w:spacing w:val="-28"/>
                <w:sz w:val="20"/>
                <w:szCs w:val="20"/>
              </w:rPr>
              <w:t xml:space="preserve"> </w:t>
            </w:r>
            <w:r>
              <w:rPr>
                <w:rFonts w:ascii="Times New Roman" w:hAnsi="Times New Roman" w:eastAsia="Times New Roman" w:cs="Times New Roman"/>
                <w:sz w:val="20"/>
                <w:szCs w:val="20"/>
              </w:rPr>
              <w:t>KQ</w:t>
            </w:r>
            <w:r>
              <w:rPr>
                <w:rFonts w:ascii="Times New Roman" w:hAnsi="Times New Roman" w:eastAsia="Times New Roman" w:cs="Times New Roman"/>
                <w:spacing w:val="2"/>
                <w:sz w:val="20"/>
                <w:szCs w:val="20"/>
              </w:rPr>
              <w:t>006</w:t>
            </w:r>
            <w:r>
              <w:rPr>
                <w:rFonts w:ascii="Times New Roman" w:hAnsi="Times New Roman" w:eastAsia="Times New Roman" w:cs="Times New Roman"/>
                <w:spacing w:val="-20"/>
                <w:sz w:val="20"/>
                <w:szCs w:val="20"/>
              </w:rPr>
              <w:t xml:space="preserve"> </w:t>
            </w:r>
            <w:r>
              <w:rPr>
                <w:spacing w:val="2"/>
                <w:sz w:val="20"/>
                <w:szCs w:val="20"/>
              </w:rPr>
              <w:t>、</w:t>
            </w:r>
            <w:r>
              <w:rPr>
                <w:rFonts w:ascii="Times New Roman" w:hAnsi="Times New Roman" w:eastAsia="Times New Roman" w:cs="Times New Roman"/>
                <w:sz w:val="20"/>
                <w:szCs w:val="20"/>
              </w:rPr>
              <w:t>KQ</w:t>
            </w:r>
            <w:r>
              <w:rPr>
                <w:rFonts w:ascii="Times New Roman" w:hAnsi="Times New Roman" w:eastAsia="Times New Roman" w:cs="Times New Roman"/>
                <w:spacing w:val="2"/>
                <w:sz w:val="20"/>
                <w:szCs w:val="20"/>
              </w:rPr>
              <w:t>007</w:t>
            </w:r>
            <w:r>
              <w:rPr>
                <w:rFonts w:ascii="Times New Roman" w:hAnsi="Times New Roman" w:eastAsia="Times New Roman" w:cs="Times New Roman"/>
                <w:spacing w:val="-20"/>
                <w:sz w:val="20"/>
                <w:szCs w:val="20"/>
              </w:rPr>
              <w:t xml:space="preserve"> </w:t>
            </w:r>
            <w:r>
              <w:rPr>
                <w:spacing w:val="2"/>
                <w:sz w:val="20"/>
                <w:szCs w:val="20"/>
              </w:rPr>
              <w:t>，开采区块</w:t>
            </w:r>
            <w:r>
              <w:rPr>
                <w:spacing w:val="-37"/>
                <w:sz w:val="20"/>
                <w:szCs w:val="20"/>
              </w:rPr>
              <w:t xml:space="preserve"> </w:t>
            </w:r>
            <w:r>
              <w:rPr>
                <w:rFonts w:ascii="Times New Roman" w:hAnsi="Times New Roman" w:eastAsia="Times New Roman" w:cs="Times New Roman"/>
                <w:sz w:val="20"/>
                <w:szCs w:val="20"/>
              </w:rPr>
              <w:t>CQ</w:t>
            </w:r>
            <w:r>
              <w:rPr>
                <w:rFonts w:ascii="Times New Roman" w:hAnsi="Times New Roman" w:eastAsia="Times New Roman" w:cs="Times New Roman"/>
                <w:spacing w:val="2"/>
                <w:sz w:val="20"/>
                <w:szCs w:val="20"/>
              </w:rPr>
              <w:t>015</w:t>
            </w:r>
            <w:r>
              <w:rPr>
                <w:rFonts w:ascii="Times New Roman" w:hAnsi="Times New Roman" w:eastAsia="Times New Roman" w:cs="Times New Roman"/>
                <w:spacing w:val="-22"/>
                <w:sz w:val="20"/>
                <w:szCs w:val="20"/>
              </w:rPr>
              <w:t xml:space="preserve"> </w:t>
            </w:r>
            <w:r>
              <w:rPr>
                <w:spacing w:val="2"/>
                <w:sz w:val="20"/>
                <w:szCs w:val="20"/>
              </w:rPr>
              <w:t>、</w:t>
            </w:r>
            <w:r>
              <w:rPr>
                <w:rFonts w:ascii="Times New Roman" w:hAnsi="Times New Roman" w:eastAsia="Times New Roman" w:cs="Times New Roman"/>
                <w:sz w:val="20"/>
                <w:szCs w:val="20"/>
              </w:rPr>
              <w:t>CQ</w:t>
            </w:r>
            <w:r>
              <w:rPr>
                <w:rFonts w:ascii="Times New Roman" w:hAnsi="Times New Roman" w:eastAsia="Times New Roman" w:cs="Times New Roman"/>
                <w:spacing w:val="2"/>
                <w:sz w:val="20"/>
                <w:szCs w:val="20"/>
              </w:rPr>
              <w:t>026</w:t>
            </w:r>
            <w:r>
              <w:rPr>
                <w:rFonts w:ascii="Times New Roman" w:hAnsi="Times New Roman" w:eastAsia="Times New Roman" w:cs="Times New Roman"/>
                <w:spacing w:val="-22"/>
                <w:sz w:val="20"/>
                <w:szCs w:val="20"/>
              </w:rPr>
              <w:t xml:space="preserve"> </w:t>
            </w:r>
            <w:r>
              <w:rPr>
                <w:spacing w:val="2"/>
                <w:sz w:val="20"/>
                <w:szCs w:val="20"/>
              </w:rPr>
              <w:t>、</w:t>
            </w:r>
            <w:r>
              <w:rPr>
                <w:rFonts w:ascii="Times New Roman" w:hAnsi="Times New Roman" w:eastAsia="Times New Roman" w:cs="Times New Roman"/>
                <w:sz w:val="20"/>
                <w:szCs w:val="20"/>
              </w:rPr>
              <w:t>CQ</w:t>
            </w:r>
            <w:r>
              <w:rPr>
                <w:rFonts w:ascii="Times New Roman" w:hAnsi="Times New Roman" w:eastAsia="Times New Roman" w:cs="Times New Roman"/>
                <w:spacing w:val="2"/>
                <w:sz w:val="20"/>
                <w:szCs w:val="20"/>
              </w:rPr>
              <w:t>031</w:t>
            </w:r>
            <w:r>
              <w:rPr>
                <w:rFonts w:ascii="Times New Roman" w:hAnsi="Times New Roman" w:eastAsia="Times New Roman" w:cs="Times New Roman"/>
                <w:spacing w:val="-22"/>
                <w:sz w:val="20"/>
                <w:szCs w:val="20"/>
              </w:rPr>
              <w:t xml:space="preserve"> </w:t>
            </w:r>
            <w:r>
              <w:rPr>
                <w:spacing w:val="2"/>
                <w:sz w:val="20"/>
                <w:szCs w:val="20"/>
              </w:rPr>
              <w:t>。勘查区</w:t>
            </w:r>
            <w:r>
              <w:rPr>
                <w:sz w:val="20"/>
                <w:szCs w:val="20"/>
              </w:rPr>
              <w:t xml:space="preserve"> </w:t>
            </w:r>
            <w:r>
              <w:rPr>
                <w:spacing w:val="5"/>
                <w:sz w:val="20"/>
                <w:szCs w:val="20"/>
              </w:rPr>
              <w:t>块</w:t>
            </w:r>
            <w:r>
              <w:rPr>
                <w:spacing w:val="-26"/>
                <w:sz w:val="20"/>
                <w:szCs w:val="20"/>
              </w:rPr>
              <w:t xml:space="preserve"> </w:t>
            </w:r>
            <w:r>
              <w:rPr>
                <w:rFonts w:ascii="Times New Roman" w:hAnsi="Times New Roman" w:eastAsia="Times New Roman" w:cs="Times New Roman"/>
                <w:sz w:val="20"/>
                <w:szCs w:val="20"/>
              </w:rPr>
              <w:t>KQ</w:t>
            </w:r>
            <w:r>
              <w:rPr>
                <w:rFonts w:ascii="Times New Roman" w:hAnsi="Times New Roman" w:eastAsia="Times New Roman" w:cs="Times New Roman"/>
                <w:spacing w:val="5"/>
                <w:sz w:val="20"/>
                <w:szCs w:val="20"/>
              </w:rPr>
              <w:t>006</w:t>
            </w:r>
            <w:r>
              <w:rPr>
                <w:rFonts w:ascii="Times New Roman" w:hAnsi="Times New Roman" w:eastAsia="Times New Roman" w:cs="Times New Roman"/>
                <w:spacing w:val="-17"/>
                <w:sz w:val="20"/>
                <w:szCs w:val="20"/>
              </w:rPr>
              <w:t xml:space="preserve"> </w:t>
            </w:r>
            <w:r>
              <w:rPr>
                <w:spacing w:val="5"/>
                <w:sz w:val="20"/>
                <w:szCs w:val="20"/>
              </w:rPr>
              <w:t>、</w:t>
            </w:r>
            <w:r>
              <w:rPr>
                <w:rFonts w:ascii="Times New Roman" w:hAnsi="Times New Roman" w:eastAsia="Times New Roman" w:cs="Times New Roman"/>
                <w:sz w:val="20"/>
                <w:szCs w:val="20"/>
              </w:rPr>
              <w:t>KQ</w:t>
            </w:r>
            <w:r>
              <w:rPr>
                <w:rFonts w:ascii="Times New Roman" w:hAnsi="Times New Roman" w:eastAsia="Times New Roman" w:cs="Times New Roman"/>
                <w:spacing w:val="5"/>
                <w:sz w:val="20"/>
                <w:szCs w:val="20"/>
              </w:rPr>
              <w:t>007</w:t>
            </w:r>
            <w:r>
              <w:rPr>
                <w:rFonts w:ascii="Times New Roman" w:hAnsi="Times New Roman" w:eastAsia="Times New Roman" w:cs="Times New Roman"/>
                <w:spacing w:val="18"/>
                <w:sz w:val="20"/>
                <w:szCs w:val="20"/>
              </w:rPr>
              <w:t xml:space="preserve"> </w:t>
            </w:r>
            <w:r>
              <w:rPr>
                <w:spacing w:val="5"/>
                <w:sz w:val="20"/>
                <w:szCs w:val="20"/>
              </w:rPr>
              <w:t>和开采区块</w:t>
            </w:r>
            <w:r>
              <w:rPr>
                <w:spacing w:val="-35"/>
                <w:sz w:val="20"/>
                <w:szCs w:val="20"/>
              </w:rPr>
              <w:t xml:space="preserve"> </w:t>
            </w:r>
            <w:r>
              <w:rPr>
                <w:rFonts w:ascii="Times New Roman" w:hAnsi="Times New Roman" w:eastAsia="Times New Roman" w:cs="Times New Roman"/>
                <w:sz w:val="20"/>
                <w:szCs w:val="20"/>
              </w:rPr>
              <w:t>CQ</w:t>
            </w:r>
            <w:r>
              <w:rPr>
                <w:rFonts w:ascii="Times New Roman" w:hAnsi="Times New Roman" w:eastAsia="Times New Roman" w:cs="Times New Roman"/>
                <w:spacing w:val="5"/>
                <w:sz w:val="20"/>
                <w:szCs w:val="20"/>
              </w:rPr>
              <w:t>026</w:t>
            </w:r>
            <w:r>
              <w:rPr>
                <w:rFonts w:ascii="Times New Roman" w:hAnsi="Times New Roman" w:eastAsia="Times New Roman" w:cs="Times New Roman"/>
                <w:spacing w:val="-20"/>
                <w:sz w:val="20"/>
                <w:szCs w:val="20"/>
              </w:rPr>
              <w:t xml:space="preserve"> </w:t>
            </w:r>
            <w:r>
              <w:rPr>
                <w:spacing w:val="5"/>
                <w:sz w:val="20"/>
                <w:szCs w:val="20"/>
              </w:rPr>
              <w:t>、</w:t>
            </w:r>
            <w:r>
              <w:rPr>
                <w:rFonts w:ascii="Times New Roman" w:hAnsi="Times New Roman" w:eastAsia="Times New Roman" w:cs="Times New Roman"/>
                <w:sz w:val="20"/>
                <w:szCs w:val="20"/>
              </w:rPr>
              <w:t>CQ</w:t>
            </w:r>
            <w:r>
              <w:rPr>
                <w:rFonts w:ascii="Times New Roman" w:hAnsi="Times New Roman" w:eastAsia="Times New Roman" w:cs="Times New Roman"/>
                <w:spacing w:val="5"/>
                <w:sz w:val="20"/>
                <w:szCs w:val="20"/>
              </w:rPr>
              <w:t xml:space="preserve">031  </w:t>
            </w:r>
            <w:r>
              <w:rPr>
                <w:spacing w:val="5"/>
                <w:sz w:val="20"/>
                <w:szCs w:val="20"/>
              </w:rPr>
              <w:t>目前暂未投放，</w:t>
            </w:r>
            <w:r>
              <w:rPr>
                <w:sz w:val="20"/>
                <w:szCs w:val="20"/>
              </w:rPr>
              <w:t xml:space="preserve"> </w:t>
            </w:r>
            <w:r>
              <w:rPr>
                <w:rFonts w:ascii="Times New Roman" w:hAnsi="Times New Roman" w:eastAsia="Times New Roman" w:cs="Times New Roman"/>
                <w:sz w:val="20"/>
                <w:szCs w:val="20"/>
              </w:rPr>
              <w:t>CQ</w:t>
            </w:r>
            <w:r>
              <w:rPr>
                <w:rFonts w:ascii="Times New Roman" w:hAnsi="Times New Roman" w:eastAsia="Times New Roman" w:cs="Times New Roman"/>
                <w:spacing w:val="7"/>
                <w:sz w:val="20"/>
                <w:szCs w:val="20"/>
              </w:rPr>
              <w:t>015</w:t>
            </w:r>
            <w:r>
              <w:rPr>
                <w:spacing w:val="7"/>
                <w:sz w:val="20"/>
                <w:szCs w:val="20"/>
              </w:rPr>
              <w:t>（萤石（普通</w:t>
            </w:r>
            <w:r>
              <w:rPr>
                <w:spacing w:val="-13"/>
                <w:sz w:val="20"/>
                <w:szCs w:val="20"/>
              </w:rPr>
              <w:t>）</w:t>
            </w:r>
            <w:r>
              <w:rPr>
                <w:spacing w:val="-59"/>
                <w:sz w:val="20"/>
                <w:szCs w:val="20"/>
              </w:rPr>
              <w:t xml:space="preserve"> </w:t>
            </w:r>
            <w:r>
              <w:rPr>
                <w:spacing w:val="-13"/>
                <w:sz w:val="20"/>
                <w:szCs w:val="20"/>
              </w:rPr>
              <w:t>）</w:t>
            </w:r>
            <w:r>
              <w:rPr>
                <w:spacing w:val="-42"/>
                <w:sz w:val="20"/>
                <w:szCs w:val="20"/>
              </w:rPr>
              <w:t xml:space="preserve"> </w:t>
            </w:r>
            <w:r>
              <w:rPr>
                <w:spacing w:val="7"/>
                <w:sz w:val="20"/>
                <w:szCs w:val="20"/>
              </w:rPr>
              <w:t>目前暂时未建设。重点</w:t>
            </w:r>
            <w:r>
              <w:rPr>
                <w:spacing w:val="6"/>
                <w:sz w:val="20"/>
                <w:szCs w:val="20"/>
              </w:rPr>
              <w:t>勘查区</w:t>
            </w:r>
            <w:r>
              <w:rPr>
                <w:spacing w:val="-44"/>
                <w:sz w:val="20"/>
                <w:szCs w:val="20"/>
              </w:rPr>
              <w:t xml:space="preserve"> </w:t>
            </w:r>
            <w:r>
              <w:rPr>
                <w:rFonts w:ascii="Times New Roman" w:hAnsi="Times New Roman" w:eastAsia="Times New Roman" w:cs="Times New Roman"/>
                <w:sz w:val="20"/>
                <w:szCs w:val="20"/>
              </w:rPr>
              <w:t>KZ</w:t>
            </w:r>
            <w:r>
              <w:rPr>
                <w:rFonts w:ascii="Times New Roman" w:hAnsi="Times New Roman" w:eastAsia="Times New Roman" w:cs="Times New Roman"/>
                <w:spacing w:val="6"/>
                <w:sz w:val="20"/>
                <w:szCs w:val="20"/>
              </w:rPr>
              <w:t>001</w:t>
            </w:r>
            <w:r>
              <w:rPr>
                <w:spacing w:val="6"/>
                <w:sz w:val="20"/>
                <w:szCs w:val="20"/>
              </w:rPr>
              <w:t>、</w:t>
            </w:r>
            <w:r>
              <w:rPr>
                <w:sz w:val="20"/>
                <w:szCs w:val="20"/>
              </w:rPr>
              <w:t xml:space="preserve"> </w:t>
            </w:r>
            <w:r>
              <w:rPr>
                <w:rFonts w:ascii="Times New Roman" w:hAnsi="Times New Roman" w:eastAsia="Times New Roman" w:cs="Times New Roman"/>
                <w:sz w:val="20"/>
                <w:szCs w:val="20"/>
              </w:rPr>
              <w:t>KZ</w:t>
            </w:r>
            <w:r>
              <w:rPr>
                <w:rFonts w:ascii="Times New Roman" w:hAnsi="Times New Roman" w:eastAsia="Times New Roman" w:cs="Times New Roman"/>
                <w:spacing w:val="7"/>
                <w:sz w:val="20"/>
                <w:szCs w:val="20"/>
              </w:rPr>
              <w:t>002</w:t>
            </w:r>
            <w:r>
              <w:rPr>
                <w:rFonts w:ascii="Times New Roman" w:hAnsi="Times New Roman" w:eastAsia="Times New Roman" w:cs="Times New Roman"/>
                <w:spacing w:val="-20"/>
                <w:sz w:val="20"/>
                <w:szCs w:val="20"/>
              </w:rPr>
              <w:t xml:space="preserve"> </w:t>
            </w:r>
            <w:r>
              <w:rPr>
                <w:spacing w:val="7"/>
                <w:sz w:val="20"/>
                <w:szCs w:val="20"/>
              </w:rPr>
              <w:t>、</w:t>
            </w:r>
            <w:r>
              <w:rPr>
                <w:rFonts w:ascii="Times New Roman" w:hAnsi="Times New Roman" w:eastAsia="Times New Roman" w:cs="Times New Roman"/>
                <w:sz w:val="20"/>
                <w:szCs w:val="20"/>
              </w:rPr>
              <w:t>KZ</w:t>
            </w:r>
            <w:r>
              <w:rPr>
                <w:rFonts w:ascii="Times New Roman" w:hAnsi="Times New Roman" w:eastAsia="Times New Roman" w:cs="Times New Roman"/>
                <w:spacing w:val="7"/>
                <w:sz w:val="20"/>
                <w:szCs w:val="20"/>
              </w:rPr>
              <w:t>003</w:t>
            </w:r>
            <w:r>
              <w:rPr>
                <w:rFonts w:ascii="Times New Roman" w:hAnsi="Times New Roman" w:eastAsia="Times New Roman" w:cs="Times New Roman"/>
                <w:spacing w:val="44"/>
                <w:sz w:val="20"/>
                <w:szCs w:val="20"/>
              </w:rPr>
              <w:t xml:space="preserve"> </w:t>
            </w:r>
            <w:r>
              <w:rPr>
                <w:spacing w:val="7"/>
                <w:sz w:val="20"/>
                <w:szCs w:val="20"/>
              </w:rPr>
              <w:t>内设置的矿权应当执行一般生态空间相</w:t>
            </w:r>
            <w:r>
              <w:rPr>
                <w:spacing w:val="6"/>
                <w:sz w:val="20"/>
                <w:szCs w:val="20"/>
              </w:rPr>
              <w:t>关要求，</w:t>
            </w:r>
            <w:r>
              <w:rPr>
                <w:sz w:val="20"/>
                <w:szCs w:val="20"/>
              </w:rPr>
              <w:t xml:space="preserve"> </w:t>
            </w:r>
            <w:r>
              <w:rPr>
                <w:spacing w:val="9"/>
                <w:sz w:val="20"/>
                <w:szCs w:val="20"/>
              </w:rPr>
              <w:t>保证生物多样性维护功能不受破坏。</w:t>
            </w:r>
          </w:p>
        </w:tc>
      </w:tr>
      <w:tr w14:paraId="66090A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1" w:hRule="atLeast"/>
        </w:trPr>
        <w:tc>
          <w:tcPr>
            <w:tcW w:w="744" w:type="dxa"/>
            <w:tcBorders>
              <w:left w:val="single" w:color="000000" w:sz="10" w:space="0"/>
            </w:tcBorders>
            <w:vAlign w:val="top"/>
          </w:tcPr>
          <w:p w14:paraId="61DACFA1">
            <w:pPr>
              <w:spacing w:line="355" w:lineRule="auto"/>
              <w:rPr>
                <w:rFonts w:ascii="Arial"/>
                <w:sz w:val="21"/>
              </w:rPr>
            </w:pPr>
          </w:p>
          <w:p w14:paraId="333E0443">
            <w:pPr>
              <w:spacing w:before="57" w:line="195" w:lineRule="auto"/>
              <w:ind w:left="30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6173" w:type="dxa"/>
            <w:vAlign w:val="top"/>
          </w:tcPr>
          <w:p w14:paraId="08259AD6">
            <w:pPr>
              <w:pStyle w:val="6"/>
              <w:spacing w:before="105" w:line="250" w:lineRule="auto"/>
              <w:ind w:left="102" w:right="106" w:firstLine="10"/>
              <w:jc w:val="both"/>
              <w:rPr>
                <w:sz w:val="20"/>
                <w:szCs w:val="20"/>
              </w:rPr>
            </w:pPr>
            <w:r>
              <w:rPr>
                <w:spacing w:val="8"/>
                <w:sz w:val="20"/>
                <w:szCs w:val="20"/>
              </w:rPr>
              <w:t>（</w:t>
            </w:r>
            <w:r>
              <w:rPr>
                <w:rFonts w:ascii="Times New Roman" w:hAnsi="Times New Roman" w:eastAsia="Times New Roman" w:cs="Times New Roman"/>
                <w:spacing w:val="8"/>
                <w:sz w:val="20"/>
                <w:szCs w:val="20"/>
              </w:rPr>
              <w:t>2</w:t>
            </w:r>
            <w:r>
              <w:rPr>
                <w:spacing w:val="8"/>
                <w:sz w:val="20"/>
                <w:szCs w:val="20"/>
              </w:rPr>
              <w:t>）全部位于城周山体管制区重点控建区的空白区新设开采区块</w:t>
            </w:r>
            <w:r>
              <w:rPr>
                <w:spacing w:val="15"/>
                <w:sz w:val="20"/>
                <w:szCs w:val="20"/>
              </w:rPr>
              <w:t xml:space="preserve"> </w:t>
            </w:r>
            <w:r>
              <w:rPr>
                <w:rFonts w:ascii="Times New Roman" w:hAnsi="Times New Roman" w:eastAsia="Times New Roman" w:cs="Times New Roman"/>
                <w:sz w:val="20"/>
                <w:szCs w:val="20"/>
              </w:rPr>
              <w:t>CQ</w:t>
            </w:r>
            <w:r>
              <w:rPr>
                <w:rFonts w:ascii="Times New Roman" w:hAnsi="Times New Roman" w:eastAsia="Times New Roman" w:cs="Times New Roman"/>
                <w:spacing w:val="11"/>
                <w:sz w:val="20"/>
                <w:szCs w:val="20"/>
              </w:rPr>
              <w:t>022</w:t>
            </w:r>
            <w:r>
              <w:rPr>
                <w:rFonts w:ascii="Times New Roman" w:hAnsi="Times New Roman" w:eastAsia="Times New Roman" w:cs="Times New Roman"/>
                <w:spacing w:val="22"/>
                <w:sz w:val="20"/>
                <w:szCs w:val="20"/>
              </w:rPr>
              <w:t xml:space="preserve"> </w:t>
            </w:r>
            <w:r>
              <w:rPr>
                <w:spacing w:val="11"/>
                <w:sz w:val="20"/>
                <w:szCs w:val="20"/>
              </w:rPr>
              <w:t>矿权投放时需区政府组织区城市管理局、生态环境局、林</w:t>
            </w:r>
            <w:r>
              <w:rPr>
                <w:sz w:val="20"/>
                <w:szCs w:val="20"/>
              </w:rPr>
              <w:t xml:space="preserve"> </w:t>
            </w:r>
            <w:r>
              <w:rPr>
                <w:spacing w:val="8"/>
                <w:sz w:val="20"/>
                <w:szCs w:val="20"/>
              </w:rPr>
              <w:t>业局、规划和自然资源局等部门审查同意。</w:t>
            </w:r>
          </w:p>
        </w:tc>
        <w:tc>
          <w:tcPr>
            <w:tcW w:w="1176" w:type="dxa"/>
            <w:vAlign w:val="top"/>
          </w:tcPr>
          <w:p w14:paraId="28EF8AFC">
            <w:pPr>
              <w:spacing w:line="311" w:lineRule="auto"/>
              <w:rPr>
                <w:rFonts w:ascii="Arial"/>
                <w:sz w:val="21"/>
              </w:rPr>
            </w:pPr>
          </w:p>
          <w:p w14:paraId="7A28936F">
            <w:pPr>
              <w:pStyle w:val="6"/>
              <w:spacing w:before="65" w:line="231" w:lineRule="auto"/>
              <w:ind w:left="310"/>
              <w:rPr>
                <w:sz w:val="20"/>
                <w:szCs w:val="20"/>
              </w:rPr>
            </w:pPr>
            <w:r>
              <w:rPr>
                <w:spacing w:val="-4"/>
                <w:sz w:val="20"/>
                <w:szCs w:val="20"/>
              </w:rPr>
              <w:t>已落实</w:t>
            </w:r>
          </w:p>
        </w:tc>
        <w:tc>
          <w:tcPr>
            <w:tcW w:w="6073" w:type="dxa"/>
            <w:tcBorders>
              <w:right w:val="single" w:color="000000" w:sz="10" w:space="0"/>
            </w:tcBorders>
            <w:vAlign w:val="top"/>
          </w:tcPr>
          <w:p w14:paraId="7073D381">
            <w:pPr>
              <w:spacing w:line="312" w:lineRule="auto"/>
              <w:rPr>
                <w:rFonts w:ascii="Arial"/>
                <w:sz w:val="21"/>
              </w:rPr>
            </w:pPr>
          </w:p>
          <w:p w14:paraId="6A2F517E">
            <w:pPr>
              <w:pStyle w:val="6"/>
              <w:spacing w:before="65" w:line="230" w:lineRule="auto"/>
              <w:ind w:left="102"/>
              <w:rPr>
                <w:sz w:val="20"/>
                <w:szCs w:val="20"/>
              </w:rPr>
            </w:pPr>
            <w:r>
              <w:rPr>
                <w:spacing w:val="6"/>
                <w:sz w:val="20"/>
                <w:szCs w:val="20"/>
              </w:rPr>
              <w:t>目前，黔江区城周山体管制区已取消。</w:t>
            </w:r>
          </w:p>
        </w:tc>
      </w:tr>
      <w:tr w14:paraId="126DE9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9" w:hRule="atLeast"/>
        </w:trPr>
        <w:tc>
          <w:tcPr>
            <w:tcW w:w="744" w:type="dxa"/>
            <w:tcBorders>
              <w:left w:val="single" w:color="000000" w:sz="10" w:space="0"/>
            </w:tcBorders>
            <w:vAlign w:val="top"/>
          </w:tcPr>
          <w:p w14:paraId="42DE1E38">
            <w:pPr>
              <w:spacing w:line="292" w:lineRule="auto"/>
              <w:rPr>
                <w:rFonts w:ascii="Arial"/>
                <w:sz w:val="21"/>
              </w:rPr>
            </w:pPr>
          </w:p>
          <w:p w14:paraId="5F6930DE">
            <w:pPr>
              <w:spacing w:before="57" w:line="195" w:lineRule="auto"/>
              <w:ind w:left="30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6173" w:type="dxa"/>
            <w:vAlign w:val="top"/>
          </w:tcPr>
          <w:p w14:paraId="5BA9F592">
            <w:pPr>
              <w:pStyle w:val="6"/>
              <w:spacing w:before="45" w:line="235" w:lineRule="auto"/>
              <w:ind w:left="108" w:right="106" w:firstLine="5"/>
              <w:jc w:val="both"/>
              <w:rPr>
                <w:sz w:val="20"/>
                <w:szCs w:val="20"/>
              </w:rPr>
            </w:pPr>
            <w:r>
              <w:rPr>
                <w:spacing w:val="6"/>
                <w:sz w:val="20"/>
                <w:szCs w:val="20"/>
              </w:rPr>
              <w:t>（</w:t>
            </w:r>
            <w:r>
              <w:rPr>
                <w:rFonts w:ascii="Times New Roman" w:hAnsi="Times New Roman" w:eastAsia="Times New Roman" w:cs="Times New Roman"/>
                <w:spacing w:val="6"/>
                <w:sz w:val="20"/>
                <w:szCs w:val="20"/>
              </w:rPr>
              <w:t>3</w:t>
            </w:r>
            <w:r>
              <w:rPr>
                <w:spacing w:val="6"/>
                <w:sz w:val="20"/>
                <w:szCs w:val="20"/>
              </w:rPr>
              <w:t>）对于规划新设地下开采区块</w:t>
            </w:r>
            <w:r>
              <w:rPr>
                <w:spacing w:val="-37"/>
                <w:sz w:val="20"/>
                <w:szCs w:val="20"/>
              </w:rPr>
              <w:t xml:space="preserve"> </w:t>
            </w:r>
            <w:r>
              <w:rPr>
                <w:rFonts w:ascii="Times New Roman" w:hAnsi="Times New Roman" w:eastAsia="Times New Roman" w:cs="Times New Roman"/>
                <w:sz w:val="20"/>
                <w:szCs w:val="20"/>
              </w:rPr>
              <w:t>CQ</w:t>
            </w:r>
            <w:r>
              <w:rPr>
                <w:rFonts w:ascii="Times New Roman" w:hAnsi="Times New Roman" w:eastAsia="Times New Roman" w:cs="Times New Roman"/>
                <w:spacing w:val="6"/>
                <w:sz w:val="20"/>
                <w:szCs w:val="20"/>
              </w:rPr>
              <w:t>031</w:t>
            </w:r>
            <w:r>
              <w:rPr>
                <w:rFonts w:ascii="Times New Roman" w:hAnsi="Times New Roman" w:eastAsia="Times New Roman" w:cs="Times New Roman"/>
                <w:spacing w:val="-21"/>
                <w:sz w:val="20"/>
                <w:szCs w:val="20"/>
              </w:rPr>
              <w:t xml:space="preserve"> </w:t>
            </w:r>
            <w:r>
              <w:rPr>
                <w:spacing w:val="6"/>
                <w:sz w:val="20"/>
                <w:szCs w:val="20"/>
              </w:rPr>
              <w:t>，项目实施阶段应强化论</w:t>
            </w:r>
            <w:r>
              <w:rPr>
                <w:sz w:val="20"/>
                <w:szCs w:val="20"/>
              </w:rPr>
              <w:t xml:space="preserve"> </w:t>
            </w:r>
            <w:r>
              <w:rPr>
                <w:spacing w:val="12"/>
                <w:sz w:val="20"/>
                <w:szCs w:val="20"/>
              </w:rPr>
              <w:t>证对永久基本农田的影响，井下开采方式所配套建设的地面工业</w:t>
            </w:r>
            <w:r>
              <w:rPr>
                <w:spacing w:val="16"/>
                <w:sz w:val="20"/>
                <w:szCs w:val="20"/>
              </w:rPr>
              <w:t xml:space="preserve"> </w:t>
            </w:r>
            <w:r>
              <w:rPr>
                <w:spacing w:val="8"/>
                <w:sz w:val="20"/>
                <w:szCs w:val="20"/>
              </w:rPr>
              <w:t>广场等设施，要合理选址，避让永久基本农田。</w:t>
            </w:r>
          </w:p>
        </w:tc>
        <w:tc>
          <w:tcPr>
            <w:tcW w:w="1176" w:type="dxa"/>
            <w:vAlign w:val="top"/>
          </w:tcPr>
          <w:p w14:paraId="6160AB5A">
            <w:pPr>
              <w:spacing w:line="248" w:lineRule="auto"/>
              <w:rPr>
                <w:rFonts w:ascii="Arial"/>
                <w:sz w:val="21"/>
              </w:rPr>
            </w:pPr>
          </w:p>
          <w:p w14:paraId="3BEB634E">
            <w:pPr>
              <w:pStyle w:val="6"/>
              <w:spacing w:before="65" w:line="231" w:lineRule="auto"/>
              <w:ind w:left="310"/>
              <w:rPr>
                <w:sz w:val="20"/>
                <w:szCs w:val="20"/>
              </w:rPr>
            </w:pPr>
            <w:r>
              <w:rPr>
                <w:spacing w:val="-4"/>
                <w:sz w:val="20"/>
                <w:szCs w:val="20"/>
              </w:rPr>
              <w:t>已落实</w:t>
            </w:r>
          </w:p>
        </w:tc>
        <w:tc>
          <w:tcPr>
            <w:tcW w:w="6073" w:type="dxa"/>
            <w:tcBorders>
              <w:right w:val="single" w:color="000000" w:sz="10" w:space="0"/>
            </w:tcBorders>
            <w:vAlign w:val="top"/>
          </w:tcPr>
          <w:p w14:paraId="1E602BD5">
            <w:pPr>
              <w:pStyle w:val="6"/>
              <w:spacing w:before="45" w:line="235" w:lineRule="auto"/>
              <w:ind w:left="66" w:right="42"/>
              <w:jc w:val="both"/>
              <w:rPr>
                <w:sz w:val="20"/>
                <w:szCs w:val="20"/>
              </w:rPr>
            </w:pPr>
            <w:r>
              <w:rPr>
                <w:spacing w:val="9"/>
                <w:sz w:val="20"/>
                <w:szCs w:val="20"/>
              </w:rPr>
              <w:t>根据国土空间规划“</w:t>
            </w:r>
            <w:r>
              <w:rPr>
                <w:spacing w:val="-76"/>
                <w:sz w:val="20"/>
                <w:szCs w:val="20"/>
              </w:rPr>
              <w:t xml:space="preserve"> </w:t>
            </w:r>
            <w:r>
              <w:rPr>
                <w:spacing w:val="9"/>
                <w:sz w:val="20"/>
                <w:szCs w:val="20"/>
              </w:rPr>
              <w:t>三区三线</w:t>
            </w:r>
            <w:r>
              <w:rPr>
                <w:spacing w:val="-70"/>
                <w:sz w:val="20"/>
                <w:szCs w:val="20"/>
              </w:rPr>
              <w:t xml:space="preserve"> </w:t>
            </w:r>
            <w:r>
              <w:rPr>
                <w:spacing w:val="9"/>
                <w:sz w:val="20"/>
                <w:szCs w:val="20"/>
              </w:rPr>
              <w:t>”管控要求，</w:t>
            </w:r>
            <w:r>
              <w:rPr>
                <w:rFonts w:ascii="Times New Roman" w:hAnsi="Times New Roman" w:eastAsia="Times New Roman" w:cs="Times New Roman"/>
                <w:sz w:val="20"/>
                <w:szCs w:val="20"/>
              </w:rPr>
              <w:t>CQ</w:t>
            </w:r>
            <w:r>
              <w:rPr>
                <w:rFonts w:ascii="Times New Roman" w:hAnsi="Times New Roman" w:eastAsia="Times New Roman" w:cs="Times New Roman"/>
                <w:spacing w:val="9"/>
                <w:sz w:val="20"/>
                <w:szCs w:val="20"/>
              </w:rPr>
              <w:t>03</w:t>
            </w:r>
            <w:r>
              <w:rPr>
                <w:rFonts w:ascii="Times New Roman" w:hAnsi="Times New Roman" w:eastAsia="Times New Roman" w:cs="Times New Roman"/>
                <w:spacing w:val="8"/>
                <w:sz w:val="20"/>
                <w:szCs w:val="20"/>
              </w:rPr>
              <w:t>1</w:t>
            </w:r>
            <w:r>
              <w:rPr>
                <w:rFonts w:ascii="Times New Roman" w:hAnsi="Times New Roman" w:eastAsia="Times New Roman" w:cs="Times New Roman"/>
                <w:spacing w:val="21"/>
                <w:w w:val="101"/>
                <w:sz w:val="20"/>
                <w:szCs w:val="20"/>
              </w:rPr>
              <w:t xml:space="preserve"> </w:t>
            </w:r>
            <w:r>
              <w:rPr>
                <w:spacing w:val="8"/>
                <w:sz w:val="20"/>
                <w:szCs w:val="20"/>
              </w:rPr>
              <w:t>仍占用永久基</w:t>
            </w:r>
            <w:r>
              <w:rPr>
                <w:sz w:val="20"/>
                <w:szCs w:val="20"/>
              </w:rPr>
              <w:t xml:space="preserve"> </w:t>
            </w:r>
            <w:r>
              <w:rPr>
                <w:spacing w:val="9"/>
                <w:sz w:val="20"/>
                <w:szCs w:val="20"/>
              </w:rPr>
              <w:t>本农田，</w:t>
            </w:r>
            <w:r>
              <w:rPr>
                <w:spacing w:val="-39"/>
                <w:sz w:val="20"/>
                <w:szCs w:val="20"/>
              </w:rPr>
              <w:t xml:space="preserve"> </w:t>
            </w:r>
            <w:r>
              <w:rPr>
                <w:spacing w:val="9"/>
                <w:sz w:val="20"/>
                <w:szCs w:val="20"/>
              </w:rPr>
              <w:t>目前</w:t>
            </w:r>
            <w:r>
              <w:rPr>
                <w:spacing w:val="-37"/>
                <w:sz w:val="20"/>
                <w:szCs w:val="20"/>
              </w:rPr>
              <w:t xml:space="preserve"> </w:t>
            </w:r>
            <w:r>
              <w:rPr>
                <w:rFonts w:ascii="Times New Roman" w:hAnsi="Times New Roman" w:eastAsia="Times New Roman" w:cs="Times New Roman"/>
                <w:sz w:val="20"/>
                <w:szCs w:val="20"/>
              </w:rPr>
              <w:t>CQ</w:t>
            </w:r>
            <w:r>
              <w:rPr>
                <w:rFonts w:ascii="Times New Roman" w:hAnsi="Times New Roman" w:eastAsia="Times New Roman" w:cs="Times New Roman"/>
                <w:spacing w:val="9"/>
                <w:sz w:val="20"/>
                <w:szCs w:val="20"/>
              </w:rPr>
              <w:t>031</w:t>
            </w:r>
            <w:r>
              <w:rPr>
                <w:spacing w:val="9"/>
                <w:sz w:val="20"/>
                <w:szCs w:val="20"/>
              </w:rPr>
              <w:t>（重晶石）暂未实施投放</w:t>
            </w:r>
            <w:r>
              <w:rPr>
                <w:spacing w:val="8"/>
                <w:sz w:val="20"/>
                <w:szCs w:val="20"/>
              </w:rPr>
              <w:t>，后续在开采阶段</w:t>
            </w:r>
            <w:r>
              <w:rPr>
                <w:sz w:val="20"/>
                <w:szCs w:val="20"/>
              </w:rPr>
              <w:t xml:space="preserve"> </w:t>
            </w:r>
            <w:r>
              <w:rPr>
                <w:spacing w:val="8"/>
                <w:sz w:val="20"/>
                <w:szCs w:val="20"/>
              </w:rPr>
              <w:t>地面工业广场应避让永久基本农田。</w:t>
            </w:r>
          </w:p>
        </w:tc>
      </w:tr>
      <w:tr w14:paraId="6A5250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44" w:hRule="atLeast"/>
        </w:trPr>
        <w:tc>
          <w:tcPr>
            <w:tcW w:w="744" w:type="dxa"/>
            <w:tcBorders>
              <w:left w:val="single" w:color="000000" w:sz="10" w:space="0"/>
            </w:tcBorders>
            <w:vAlign w:val="top"/>
          </w:tcPr>
          <w:p w14:paraId="09702394">
            <w:pPr>
              <w:spacing w:line="268" w:lineRule="auto"/>
              <w:rPr>
                <w:rFonts w:ascii="Arial"/>
                <w:sz w:val="21"/>
              </w:rPr>
            </w:pPr>
          </w:p>
          <w:p w14:paraId="14FDC25A">
            <w:pPr>
              <w:spacing w:line="269" w:lineRule="auto"/>
              <w:rPr>
                <w:rFonts w:ascii="Arial"/>
                <w:sz w:val="21"/>
              </w:rPr>
            </w:pPr>
          </w:p>
          <w:p w14:paraId="77EAB91B">
            <w:pPr>
              <w:spacing w:line="269" w:lineRule="auto"/>
              <w:rPr>
                <w:rFonts w:ascii="Arial"/>
                <w:sz w:val="21"/>
              </w:rPr>
            </w:pPr>
          </w:p>
          <w:p w14:paraId="5CD00BA2">
            <w:pPr>
              <w:spacing w:before="58"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6173" w:type="dxa"/>
            <w:vAlign w:val="top"/>
          </w:tcPr>
          <w:p w14:paraId="090799FD">
            <w:pPr>
              <w:pStyle w:val="6"/>
              <w:spacing w:before="46" w:line="251" w:lineRule="auto"/>
              <w:ind w:left="108" w:right="31" w:firstLine="5"/>
              <w:jc w:val="both"/>
              <w:rPr>
                <w:sz w:val="20"/>
                <w:szCs w:val="20"/>
              </w:rPr>
            </w:pPr>
            <w:r>
              <w:rPr>
                <w:spacing w:val="6"/>
                <w:sz w:val="20"/>
                <w:szCs w:val="20"/>
              </w:rPr>
              <w:t>（</w:t>
            </w:r>
            <w:r>
              <w:rPr>
                <w:rFonts w:ascii="Times New Roman" w:hAnsi="Times New Roman" w:eastAsia="Times New Roman" w:cs="Times New Roman"/>
                <w:spacing w:val="6"/>
                <w:sz w:val="20"/>
                <w:szCs w:val="20"/>
              </w:rPr>
              <w:t>4</w:t>
            </w:r>
            <w:r>
              <w:rPr>
                <w:spacing w:val="6"/>
                <w:sz w:val="20"/>
                <w:szCs w:val="20"/>
              </w:rPr>
              <w:t>）与二级国家级公益林重叠的探转采区块</w:t>
            </w:r>
            <w:r>
              <w:rPr>
                <w:spacing w:val="-39"/>
                <w:sz w:val="20"/>
                <w:szCs w:val="20"/>
              </w:rPr>
              <w:t xml:space="preserve"> </w:t>
            </w:r>
            <w:r>
              <w:rPr>
                <w:rFonts w:ascii="Times New Roman" w:hAnsi="Times New Roman" w:eastAsia="Times New Roman" w:cs="Times New Roman"/>
                <w:sz w:val="20"/>
                <w:szCs w:val="20"/>
              </w:rPr>
              <w:t>CQ</w:t>
            </w:r>
            <w:r>
              <w:rPr>
                <w:rFonts w:ascii="Times New Roman" w:hAnsi="Times New Roman" w:eastAsia="Times New Roman" w:cs="Times New Roman"/>
                <w:spacing w:val="6"/>
                <w:sz w:val="20"/>
                <w:szCs w:val="20"/>
              </w:rPr>
              <w:t>027</w:t>
            </w:r>
            <w:r>
              <w:rPr>
                <w:rFonts w:ascii="Times New Roman" w:hAnsi="Times New Roman" w:eastAsia="Times New Roman" w:cs="Times New Roman"/>
                <w:spacing w:val="39"/>
                <w:sz w:val="20"/>
                <w:szCs w:val="20"/>
              </w:rPr>
              <w:t xml:space="preserve"> </w:t>
            </w:r>
            <w:r>
              <w:rPr>
                <w:spacing w:val="6"/>
                <w:sz w:val="20"/>
                <w:szCs w:val="20"/>
              </w:rPr>
              <w:t>以及空白</w:t>
            </w:r>
            <w:r>
              <w:rPr>
                <w:spacing w:val="5"/>
                <w:sz w:val="20"/>
                <w:szCs w:val="20"/>
              </w:rPr>
              <w:t>区新</w:t>
            </w:r>
            <w:r>
              <w:rPr>
                <w:sz w:val="20"/>
                <w:szCs w:val="20"/>
              </w:rPr>
              <w:t xml:space="preserve"> </w:t>
            </w:r>
            <w:r>
              <w:rPr>
                <w:spacing w:val="4"/>
                <w:sz w:val="20"/>
                <w:szCs w:val="20"/>
              </w:rPr>
              <w:t>设区块</w:t>
            </w:r>
            <w:r>
              <w:rPr>
                <w:spacing w:val="-36"/>
                <w:sz w:val="20"/>
                <w:szCs w:val="20"/>
              </w:rPr>
              <w:t xml:space="preserve"> </w:t>
            </w:r>
            <w:r>
              <w:rPr>
                <w:rFonts w:ascii="Times New Roman" w:hAnsi="Times New Roman" w:eastAsia="Times New Roman" w:cs="Times New Roman"/>
                <w:sz w:val="20"/>
                <w:szCs w:val="20"/>
              </w:rPr>
              <w:t>CQ</w:t>
            </w:r>
            <w:r>
              <w:rPr>
                <w:rFonts w:ascii="Times New Roman" w:hAnsi="Times New Roman" w:eastAsia="Times New Roman" w:cs="Times New Roman"/>
                <w:spacing w:val="4"/>
                <w:sz w:val="20"/>
                <w:szCs w:val="20"/>
              </w:rPr>
              <w:t>023</w:t>
            </w:r>
            <w:r>
              <w:rPr>
                <w:rFonts w:ascii="Times New Roman" w:hAnsi="Times New Roman" w:eastAsia="Times New Roman" w:cs="Times New Roman"/>
                <w:spacing w:val="-19"/>
                <w:sz w:val="20"/>
                <w:szCs w:val="20"/>
              </w:rPr>
              <w:t xml:space="preserve"> </w:t>
            </w:r>
            <w:r>
              <w:rPr>
                <w:spacing w:val="4"/>
                <w:sz w:val="20"/>
                <w:szCs w:val="20"/>
              </w:rPr>
              <w:t>、</w:t>
            </w:r>
            <w:r>
              <w:rPr>
                <w:rFonts w:ascii="Times New Roman" w:hAnsi="Times New Roman" w:eastAsia="Times New Roman" w:cs="Times New Roman"/>
                <w:sz w:val="20"/>
                <w:szCs w:val="20"/>
              </w:rPr>
              <w:t>CQ</w:t>
            </w:r>
            <w:r>
              <w:rPr>
                <w:rFonts w:ascii="Times New Roman" w:hAnsi="Times New Roman" w:eastAsia="Times New Roman" w:cs="Times New Roman"/>
                <w:spacing w:val="4"/>
                <w:sz w:val="20"/>
                <w:szCs w:val="20"/>
              </w:rPr>
              <w:t>026</w:t>
            </w:r>
            <w:r>
              <w:rPr>
                <w:rFonts w:ascii="Times New Roman" w:hAnsi="Times New Roman" w:eastAsia="Times New Roman" w:cs="Times New Roman"/>
                <w:spacing w:val="-20"/>
                <w:sz w:val="20"/>
                <w:szCs w:val="20"/>
              </w:rPr>
              <w:t xml:space="preserve"> </w:t>
            </w:r>
            <w:r>
              <w:rPr>
                <w:spacing w:val="4"/>
                <w:sz w:val="20"/>
                <w:szCs w:val="20"/>
              </w:rPr>
              <w:t>、</w:t>
            </w:r>
            <w:r>
              <w:rPr>
                <w:rFonts w:ascii="Times New Roman" w:hAnsi="Times New Roman" w:eastAsia="Times New Roman" w:cs="Times New Roman"/>
                <w:sz w:val="20"/>
                <w:szCs w:val="20"/>
              </w:rPr>
              <w:t>CQ</w:t>
            </w:r>
            <w:r>
              <w:rPr>
                <w:rFonts w:ascii="Times New Roman" w:hAnsi="Times New Roman" w:eastAsia="Times New Roman" w:cs="Times New Roman"/>
                <w:spacing w:val="4"/>
                <w:sz w:val="20"/>
                <w:szCs w:val="20"/>
              </w:rPr>
              <w:t>031</w:t>
            </w:r>
            <w:r>
              <w:rPr>
                <w:rFonts w:ascii="Times New Roman" w:hAnsi="Times New Roman" w:eastAsia="Times New Roman" w:cs="Times New Roman"/>
                <w:spacing w:val="-20"/>
                <w:sz w:val="20"/>
                <w:szCs w:val="20"/>
              </w:rPr>
              <w:t xml:space="preserve"> </w:t>
            </w:r>
            <w:r>
              <w:rPr>
                <w:spacing w:val="4"/>
                <w:sz w:val="20"/>
                <w:szCs w:val="20"/>
              </w:rPr>
              <w:t>，应严格执行《国家级公益林管理</w:t>
            </w:r>
            <w:r>
              <w:rPr>
                <w:sz w:val="20"/>
                <w:szCs w:val="20"/>
              </w:rPr>
              <w:t xml:space="preserve"> </w:t>
            </w:r>
            <w:r>
              <w:rPr>
                <w:spacing w:val="8"/>
                <w:sz w:val="20"/>
                <w:szCs w:val="20"/>
              </w:rPr>
              <w:t>办法》《重庆市公益林管理办法》等规定，应优先调整</w:t>
            </w:r>
            <w:r>
              <w:rPr>
                <w:spacing w:val="7"/>
                <w:sz w:val="20"/>
                <w:szCs w:val="20"/>
              </w:rPr>
              <w:t>区块布局，</w:t>
            </w:r>
            <w:r>
              <w:rPr>
                <w:sz w:val="20"/>
                <w:szCs w:val="20"/>
              </w:rPr>
              <w:t xml:space="preserve"> </w:t>
            </w:r>
            <w:r>
              <w:rPr>
                <w:spacing w:val="7"/>
                <w:sz w:val="20"/>
                <w:szCs w:val="20"/>
              </w:rPr>
              <w:t>不占或者少占公益林林地，确需使用的，严格按照《建设项目使用</w:t>
            </w:r>
            <w:r>
              <w:rPr>
                <w:spacing w:val="2"/>
                <w:sz w:val="20"/>
                <w:szCs w:val="20"/>
              </w:rPr>
              <w:t xml:space="preserve"> </w:t>
            </w:r>
            <w:r>
              <w:rPr>
                <w:spacing w:val="9"/>
                <w:sz w:val="20"/>
                <w:szCs w:val="20"/>
              </w:rPr>
              <w:t>林地审核审批管理办法》有关规定办理使用林地手</w:t>
            </w:r>
            <w:r>
              <w:rPr>
                <w:spacing w:val="8"/>
                <w:sz w:val="20"/>
                <w:szCs w:val="20"/>
              </w:rPr>
              <w:t>续。</w:t>
            </w:r>
          </w:p>
        </w:tc>
        <w:tc>
          <w:tcPr>
            <w:tcW w:w="1176" w:type="dxa"/>
            <w:vAlign w:val="top"/>
          </w:tcPr>
          <w:p w14:paraId="5C1E66EF">
            <w:pPr>
              <w:spacing w:line="313" w:lineRule="auto"/>
              <w:rPr>
                <w:rFonts w:ascii="Arial"/>
                <w:sz w:val="21"/>
              </w:rPr>
            </w:pPr>
          </w:p>
          <w:p w14:paraId="0E6E7E15">
            <w:pPr>
              <w:spacing w:line="314" w:lineRule="auto"/>
              <w:rPr>
                <w:rFonts w:ascii="Arial"/>
                <w:sz w:val="21"/>
              </w:rPr>
            </w:pPr>
          </w:p>
          <w:p w14:paraId="0DEA24AD">
            <w:pPr>
              <w:pStyle w:val="6"/>
              <w:spacing w:before="65" w:line="232" w:lineRule="auto"/>
              <w:ind w:left="207"/>
              <w:rPr>
                <w:sz w:val="20"/>
                <w:szCs w:val="20"/>
              </w:rPr>
            </w:pPr>
            <w:r>
              <w:rPr>
                <w:spacing w:val="-1"/>
                <w:sz w:val="20"/>
                <w:szCs w:val="20"/>
              </w:rPr>
              <w:t>已投放区</w:t>
            </w:r>
          </w:p>
          <w:p w14:paraId="3E1CFD58">
            <w:pPr>
              <w:pStyle w:val="6"/>
              <w:spacing w:before="19" w:line="231" w:lineRule="auto"/>
              <w:ind w:left="180"/>
              <w:rPr>
                <w:sz w:val="20"/>
                <w:szCs w:val="20"/>
              </w:rPr>
            </w:pPr>
            <w:r>
              <w:rPr>
                <w:spacing w:val="6"/>
                <w:sz w:val="20"/>
                <w:szCs w:val="20"/>
              </w:rPr>
              <w:t>块已落实</w:t>
            </w:r>
          </w:p>
        </w:tc>
        <w:tc>
          <w:tcPr>
            <w:tcW w:w="6073" w:type="dxa"/>
            <w:tcBorders>
              <w:right w:val="single" w:color="000000" w:sz="10" w:space="0"/>
            </w:tcBorders>
            <w:vAlign w:val="top"/>
          </w:tcPr>
          <w:p w14:paraId="3ED3B3D2">
            <w:pPr>
              <w:pStyle w:val="6"/>
              <w:spacing w:before="289" w:line="247" w:lineRule="auto"/>
              <w:ind w:left="114" w:right="31" w:firstLine="7"/>
              <w:rPr>
                <w:rFonts w:ascii="Times New Roman" w:hAnsi="Times New Roman" w:eastAsia="Times New Roman" w:cs="Times New Roman"/>
                <w:sz w:val="20"/>
                <w:szCs w:val="20"/>
              </w:rPr>
            </w:pPr>
            <w:r>
              <w:rPr>
                <w:spacing w:val="8"/>
                <w:sz w:val="20"/>
                <w:szCs w:val="20"/>
              </w:rPr>
              <w:t>根据最新的</w:t>
            </w:r>
            <w:r>
              <w:rPr>
                <w:spacing w:val="-43"/>
                <w:sz w:val="20"/>
                <w:szCs w:val="20"/>
              </w:rPr>
              <w:t xml:space="preserve"> </w:t>
            </w:r>
            <w:r>
              <w:rPr>
                <w:rFonts w:ascii="Times New Roman" w:hAnsi="Times New Roman" w:eastAsia="Times New Roman" w:cs="Times New Roman"/>
                <w:spacing w:val="8"/>
                <w:sz w:val="20"/>
                <w:szCs w:val="20"/>
              </w:rPr>
              <w:t>2024</w:t>
            </w:r>
            <w:r>
              <w:rPr>
                <w:rFonts w:ascii="Times New Roman" w:hAnsi="Times New Roman" w:eastAsia="Times New Roman" w:cs="Times New Roman"/>
                <w:spacing w:val="20"/>
                <w:sz w:val="20"/>
                <w:szCs w:val="20"/>
              </w:rPr>
              <w:t xml:space="preserve"> </w:t>
            </w:r>
            <w:r>
              <w:rPr>
                <w:spacing w:val="8"/>
                <w:sz w:val="20"/>
                <w:szCs w:val="20"/>
              </w:rPr>
              <w:t>年国家公益林数据，与二级国家级公益</w:t>
            </w:r>
            <w:r>
              <w:rPr>
                <w:spacing w:val="7"/>
                <w:sz w:val="20"/>
                <w:szCs w:val="20"/>
              </w:rPr>
              <w:t>林重叠</w:t>
            </w:r>
            <w:r>
              <w:rPr>
                <w:sz w:val="20"/>
                <w:szCs w:val="20"/>
              </w:rPr>
              <w:t xml:space="preserve">  的为开采区块</w:t>
            </w:r>
            <w:r>
              <w:rPr>
                <w:spacing w:val="-38"/>
                <w:sz w:val="20"/>
                <w:szCs w:val="20"/>
              </w:rPr>
              <w:t xml:space="preserve"> </w:t>
            </w:r>
            <w:r>
              <w:rPr>
                <w:rFonts w:ascii="Times New Roman" w:hAnsi="Times New Roman" w:eastAsia="Times New Roman" w:cs="Times New Roman"/>
                <w:sz w:val="20"/>
                <w:szCs w:val="20"/>
              </w:rPr>
              <w:t>CQ018</w:t>
            </w:r>
            <w:r>
              <w:rPr>
                <w:sz w:val="20"/>
                <w:szCs w:val="20"/>
              </w:rPr>
              <w:t>、</w:t>
            </w:r>
            <w:r>
              <w:rPr>
                <w:rFonts w:ascii="Times New Roman" w:hAnsi="Times New Roman" w:eastAsia="Times New Roman" w:cs="Times New Roman"/>
                <w:sz w:val="20"/>
                <w:szCs w:val="20"/>
              </w:rPr>
              <w:t>CQ019</w:t>
            </w:r>
            <w:r>
              <w:rPr>
                <w:sz w:val="20"/>
                <w:szCs w:val="20"/>
              </w:rPr>
              <w:t>、</w:t>
            </w:r>
            <w:r>
              <w:rPr>
                <w:rFonts w:ascii="Times New Roman" w:hAnsi="Times New Roman" w:eastAsia="Times New Roman" w:cs="Times New Roman"/>
                <w:sz w:val="20"/>
                <w:szCs w:val="20"/>
              </w:rPr>
              <w:t>CQ023</w:t>
            </w:r>
            <w:r>
              <w:rPr>
                <w:spacing w:val="-1"/>
                <w:sz w:val="20"/>
                <w:szCs w:val="20"/>
              </w:rPr>
              <w:t>、</w:t>
            </w:r>
            <w:r>
              <w:rPr>
                <w:rFonts w:ascii="Times New Roman" w:hAnsi="Times New Roman" w:eastAsia="Times New Roman" w:cs="Times New Roman"/>
                <w:spacing w:val="-1"/>
                <w:sz w:val="20"/>
                <w:szCs w:val="20"/>
              </w:rPr>
              <w:t>CQ026</w:t>
            </w:r>
            <w:r>
              <w:rPr>
                <w:spacing w:val="-1"/>
                <w:sz w:val="20"/>
                <w:szCs w:val="20"/>
              </w:rPr>
              <w:t>、</w:t>
            </w:r>
            <w:r>
              <w:rPr>
                <w:rFonts w:ascii="Times New Roman" w:hAnsi="Times New Roman" w:eastAsia="Times New Roman" w:cs="Times New Roman"/>
                <w:spacing w:val="-1"/>
                <w:sz w:val="20"/>
                <w:szCs w:val="20"/>
              </w:rPr>
              <w:t>CQ027</w:t>
            </w:r>
            <w:r>
              <w:rPr>
                <w:spacing w:val="-1"/>
                <w:sz w:val="20"/>
                <w:szCs w:val="20"/>
              </w:rPr>
              <w:t>、</w:t>
            </w:r>
            <w:r>
              <w:rPr>
                <w:rFonts w:ascii="Times New Roman" w:hAnsi="Times New Roman" w:eastAsia="Times New Roman" w:cs="Times New Roman"/>
                <w:spacing w:val="-1"/>
                <w:sz w:val="20"/>
                <w:szCs w:val="20"/>
              </w:rPr>
              <w:t>CQ030</w:t>
            </w:r>
            <w:r>
              <w:rPr>
                <w:spacing w:val="-1"/>
                <w:sz w:val="20"/>
                <w:szCs w:val="20"/>
              </w:rPr>
              <w:t>、</w:t>
            </w:r>
            <w:r>
              <w:rPr>
                <w:sz w:val="20"/>
                <w:szCs w:val="20"/>
              </w:rPr>
              <w:t xml:space="preserve"> </w:t>
            </w:r>
            <w:r>
              <w:rPr>
                <w:rFonts w:ascii="Times New Roman" w:hAnsi="Times New Roman" w:eastAsia="Times New Roman" w:cs="Times New Roman"/>
                <w:sz w:val="20"/>
                <w:szCs w:val="20"/>
              </w:rPr>
              <w:t>CQ</w:t>
            </w:r>
            <w:r>
              <w:rPr>
                <w:rFonts w:ascii="Times New Roman" w:hAnsi="Times New Roman" w:eastAsia="Times New Roman" w:cs="Times New Roman"/>
                <w:spacing w:val="5"/>
                <w:sz w:val="20"/>
                <w:szCs w:val="20"/>
              </w:rPr>
              <w:t>031</w:t>
            </w:r>
            <w:r>
              <w:rPr>
                <w:rFonts w:ascii="Times New Roman" w:hAnsi="Times New Roman" w:eastAsia="Times New Roman" w:cs="Times New Roman"/>
                <w:spacing w:val="-19"/>
                <w:sz w:val="20"/>
                <w:szCs w:val="20"/>
              </w:rPr>
              <w:t xml:space="preserve"> </w:t>
            </w:r>
            <w:r>
              <w:rPr>
                <w:spacing w:val="5"/>
                <w:sz w:val="20"/>
                <w:szCs w:val="20"/>
              </w:rPr>
              <w:t>，其中</w:t>
            </w:r>
            <w:r>
              <w:rPr>
                <w:spacing w:val="-37"/>
                <w:sz w:val="20"/>
                <w:szCs w:val="20"/>
              </w:rPr>
              <w:t xml:space="preserve"> </w:t>
            </w:r>
            <w:r>
              <w:rPr>
                <w:rFonts w:ascii="Times New Roman" w:hAnsi="Times New Roman" w:eastAsia="Times New Roman" w:cs="Times New Roman"/>
                <w:sz w:val="20"/>
                <w:szCs w:val="20"/>
              </w:rPr>
              <w:t>CQ</w:t>
            </w:r>
            <w:r>
              <w:rPr>
                <w:rFonts w:ascii="Times New Roman" w:hAnsi="Times New Roman" w:eastAsia="Times New Roman" w:cs="Times New Roman"/>
                <w:spacing w:val="5"/>
                <w:sz w:val="20"/>
                <w:szCs w:val="20"/>
              </w:rPr>
              <w:t>019</w:t>
            </w:r>
            <w:r>
              <w:rPr>
                <w:spacing w:val="5"/>
                <w:sz w:val="20"/>
                <w:szCs w:val="20"/>
              </w:rPr>
              <w:t>（萤石（普通））</w:t>
            </w:r>
            <w:r>
              <w:rPr>
                <w:spacing w:val="-47"/>
                <w:sz w:val="20"/>
                <w:szCs w:val="20"/>
              </w:rPr>
              <w:t xml:space="preserve"> </w:t>
            </w:r>
            <w:r>
              <w:rPr>
                <w:spacing w:val="5"/>
                <w:sz w:val="20"/>
                <w:szCs w:val="20"/>
              </w:rPr>
              <w:t>目前正在开采，地面工业</w:t>
            </w:r>
            <w:r>
              <w:rPr>
                <w:sz w:val="20"/>
                <w:szCs w:val="20"/>
              </w:rPr>
              <w:t xml:space="preserve"> </w:t>
            </w:r>
            <w:r>
              <w:rPr>
                <w:spacing w:val="9"/>
                <w:sz w:val="20"/>
                <w:szCs w:val="20"/>
              </w:rPr>
              <w:t>广场占用的二级公益林地按要求办理了使用林地手续。</w:t>
            </w:r>
            <w:r>
              <w:rPr>
                <w:rFonts w:ascii="Times New Roman" w:hAnsi="Times New Roman" w:eastAsia="Times New Roman" w:cs="Times New Roman"/>
                <w:sz w:val="20"/>
                <w:szCs w:val="20"/>
              </w:rPr>
              <w:t>CQ</w:t>
            </w:r>
            <w:r>
              <w:rPr>
                <w:rFonts w:ascii="Times New Roman" w:hAnsi="Times New Roman" w:eastAsia="Times New Roman" w:cs="Times New Roman"/>
                <w:spacing w:val="9"/>
                <w:sz w:val="20"/>
                <w:szCs w:val="20"/>
              </w:rPr>
              <w:t>018</w:t>
            </w:r>
          </w:p>
          <w:p w14:paraId="41F1313B">
            <w:pPr>
              <w:pStyle w:val="6"/>
              <w:spacing w:before="15" w:line="231" w:lineRule="auto"/>
              <w:ind w:left="125"/>
              <w:rPr>
                <w:sz w:val="20"/>
                <w:szCs w:val="20"/>
              </w:rPr>
            </w:pPr>
            <w:r>
              <w:rPr>
                <w:spacing w:val="6"/>
                <w:sz w:val="20"/>
                <w:szCs w:val="20"/>
              </w:rPr>
              <w:t>（萤石（普通</w:t>
            </w:r>
            <w:r>
              <w:rPr>
                <w:spacing w:val="2"/>
                <w:sz w:val="20"/>
                <w:szCs w:val="20"/>
              </w:rPr>
              <w:t>）</w:t>
            </w:r>
            <w:r>
              <w:rPr>
                <w:spacing w:val="-58"/>
                <w:sz w:val="20"/>
                <w:szCs w:val="20"/>
              </w:rPr>
              <w:t xml:space="preserve"> </w:t>
            </w:r>
            <w:r>
              <w:rPr>
                <w:spacing w:val="2"/>
                <w:sz w:val="20"/>
                <w:szCs w:val="20"/>
              </w:rPr>
              <w:t>）</w:t>
            </w:r>
            <w:r>
              <w:rPr>
                <w:spacing w:val="6"/>
                <w:sz w:val="20"/>
                <w:szCs w:val="20"/>
              </w:rPr>
              <w:t>暂未建设，其余</w:t>
            </w:r>
            <w:r>
              <w:rPr>
                <w:spacing w:val="-37"/>
                <w:sz w:val="20"/>
                <w:szCs w:val="20"/>
              </w:rPr>
              <w:t xml:space="preserve"> </w:t>
            </w:r>
            <w:r>
              <w:rPr>
                <w:rFonts w:ascii="Times New Roman" w:hAnsi="Times New Roman" w:eastAsia="Times New Roman" w:cs="Times New Roman"/>
                <w:spacing w:val="6"/>
                <w:sz w:val="20"/>
                <w:szCs w:val="20"/>
              </w:rPr>
              <w:t>5</w:t>
            </w:r>
            <w:r>
              <w:rPr>
                <w:rFonts w:ascii="Times New Roman" w:hAnsi="Times New Roman" w:eastAsia="Times New Roman" w:cs="Times New Roman"/>
                <w:spacing w:val="18"/>
                <w:w w:val="101"/>
                <w:sz w:val="20"/>
                <w:szCs w:val="20"/>
              </w:rPr>
              <w:t xml:space="preserve"> </w:t>
            </w:r>
            <w:r>
              <w:rPr>
                <w:spacing w:val="6"/>
                <w:sz w:val="20"/>
                <w:szCs w:val="20"/>
              </w:rPr>
              <w:t>个区块均未投放。</w:t>
            </w:r>
          </w:p>
        </w:tc>
      </w:tr>
      <w:tr w14:paraId="70E0EC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5" w:hRule="atLeast"/>
        </w:trPr>
        <w:tc>
          <w:tcPr>
            <w:tcW w:w="744" w:type="dxa"/>
            <w:tcBorders>
              <w:left w:val="single" w:color="000000" w:sz="10" w:space="0"/>
              <w:bottom w:val="single" w:color="000000" w:sz="10" w:space="0"/>
            </w:tcBorders>
            <w:vAlign w:val="top"/>
          </w:tcPr>
          <w:p w14:paraId="38BCDD52">
            <w:pPr>
              <w:spacing w:line="347" w:lineRule="auto"/>
              <w:rPr>
                <w:rFonts w:ascii="Arial"/>
                <w:sz w:val="21"/>
              </w:rPr>
            </w:pPr>
          </w:p>
          <w:p w14:paraId="1E4B2A98">
            <w:pPr>
              <w:spacing w:line="347" w:lineRule="auto"/>
              <w:rPr>
                <w:rFonts w:ascii="Arial"/>
                <w:sz w:val="21"/>
              </w:rPr>
            </w:pPr>
          </w:p>
          <w:p w14:paraId="1551016C">
            <w:pPr>
              <w:spacing w:before="57" w:line="192"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6173" w:type="dxa"/>
            <w:tcBorders>
              <w:bottom w:val="single" w:color="000000" w:sz="10" w:space="0"/>
            </w:tcBorders>
            <w:vAlign w:val="top"/>
          </w:tcPr>
          <w:p w14:paraId="09BB0A46">
            <w:pPr>
              <w:pStyle w:val="6"/>
              <w:spacing w:before="51" w:line="251" w:lineRule="auto"/>
              <w:ind w:left="109" w:firstLine="3"/>
              <w:jc w:val="both"/>
              <w:rPr>
                <w:sz w:val="20"/>
                <w:szCs w:val="20"/>
              </w:rPr>
            </w:pPr>
            <w:r>
              <w:rPr>
                <w:spacing w:val="-2"/>
                <w:sz w:val="20"/>
                <w:szCs w:val="20"/>
              </w:rPr>
              <w:t>（</w:t>
            </w:r>
            <w:r>
              <w:rPr>
                <w:rFonts w:ascii="Times New Roman" w:hAnsi="Times New Roman" w:eastAsia="Times New Roman" w:cs="Times New Roman"/>
                <w:spacing w:val="-2"/>
                <w:sz w:val="20"/>
                <w:szCs w:val="20"/>
              </w:rPr>
              <w:t>5</w:t>
            </w:r>
            <w:r>
              <w:rPr>
                <w:spacing w:val="-2"/>
                <w:sz w:val="20"/>
                <w:szCs w:val="20"/>
              </w:rPr>
              <w:t>）位于国道、高速公路可视范围的已设开采区块</w:t>
            </w:r>
            <w:r>
              <w:rPr>
                <w:spacing w:val="-33"/>
                <w:sz w:val="20"/>
                <w:szCs w:val="20"/>
              </w:rPr>
              <w:t xml:space="preserve"> </w:t>
            </w:r>
            <w:r>
              <w:rPr>
                <w:rFonts w:ascii="Times New Roman" w:hAnsi="Times New Roman" w:eastAsia="Times New Roman" w:cs="Times New Roman"/>
                <w:spacing w:val="-2"/>
                <w:sz w:val="20"/>
                <w:szCs w:val="20"/>
              </w:rPr>
              <w:t>CQ002</w:t>
            </w:r>
            <w:r>
              <w:rPr>
                <w:spacing w:val="-2"/>
                <w:sz w:val="20"/>
                <w:szCs w:val="20"/>
              </w:rPr>
              <w:t>、</w:t>
            </w:r>
            <w:r>
              <w:rPr>
                <w:rFonts w:ascii="Times New Roman" w:hAnsi="Times New Roman" w:eastAsia="Times New Roman" w:cs="Times New Roman"/>
                <w:spacing w:val="-2"/>
                <w:sz w:val="20"/>
                <w:szCs w:val="20"/>
              </w:rPr>
              <w:t>CQ003</w:t>
            </w:r>
            <w:r>
              <w:rPr>
                <w:spacing w:val="-2"/>
                <w:sz w:val="20"/>
                <w:szCs w:val="20"/>
              </w:rPr>
              <w:t>，</w:t>
            </w:r>
            <w:r>
              <w:rPr>
                <w:sz w:val="20"/>
                <w:szCs w:val="20"/>
              </w:rPr>
              <w:t xml:space="preserve"> </w:t>
            </w:r>
            <w:r>
              <w:rPr>
                <w:spacing w:val="7"/>
                <w:sz w:val="20"/>
                <w:szCs w:val="20"/>
              </w:rPr>
              <w:t>后续开发过程中应详细核实矿区可视范围，禁止在直观可</w:t>
            </w:r>
            <w:r>
              <w:rPr>
                <w:spacing w:val="6"/>
                <w:sz w:val="20"/>
                <w:szCs w:val="20"/>
              </w:rPr>
              <w:t>视范围内</w:t>
            </w:r>
            <w:r>
              <w:rPr>
                <w:sz w:val="20"/>
                <w:szCs w:val="20"/>
              </w:rPr>
              <w:t xml:space="preserve"> </w:t>
            </w:r>
            <w:r>
              <w:rPr>
                <w:spacing w:val="5"/>
                <w:sz w:val="20"/>
                <w:szCs w:val="20"/>
              </w:rPr>
              <w:t>进行露天开采。规划黔江至遵义铁路通过</w:t>
            </w:r>
            <w:r>
              <w:rPr>
                <w:spacing w:val="-24"/>
                <w:sz w:val="20"/>
                <w:szCs w:val="20"/>
              </w:rPr>
              <w:t xml:space="preserve"> </w:t>
            </w:r>
            <w:r>
              <w:rPr>
                <w:rFonts w:ascii="Times New Roman" w:hAnsi="Times New Roman" w:eastAsia="Times New Roman" w:cs="Times New Roman"/>
                <w:sz w:val="20"/>
                <w:szCs w:val="20"/>
              </w:rPr>
              <w:t>CQ</w:t>
            </w:r>
            <w:r>
              <w:rPr>
                <w:rFonts w:ascii="Times New Roman" w:hAnsi="Times New Roman" w:eastAsia="Times New Roman" w:cs="Times New Roman"/>
                <w:spacing w:val="5"/>
                <w:sz w:val="20"/>
                <w:szCs w:val="20"/>
              </w:rPr>
              <w:t>031</w:t>
            </w:r>
            <w:r>
              <w:rPr>
                <w:spacing w:val="5"/>
                <w:sz w:val="20"/>
                <w:szCs w:val="20"/>
              </w:rPr>
              <w:t>（地下开采，探转</w:t>
            </w:r>
            <w:r>
              <w:rPr>
                <w:sz w:val="20"/>
                <w:szCs w:val="20"/>
              </w:rPr>
              <w:t xml:space="preserve"> </w:t>
            </w:r>
            <w:r>
              <w:rPr>
                <w:spacing w:val="5"/>
                <w:sz w:val="20"/>
                <w:szCs w:val="20"/>
              </w:rPr>
              <w:t>采）矿区范围，</w:t>
            </w:r>
            <w:r>
              <w:rPr>
                <w:rFonts w:ascii="Times New Roman" w:hAnsi="Times New Roman" w:eastAsia="Times New Roman" w:cs="Times New Roman"/>
                <w:sz w:val="20"/>
                <w:szCs w:val="20"/>
              </w:rPr>
              <w:t>CQ</w:t>
            </w:r>
            <w:r>
              <w:rPr>
                <w:rFonts w:ascii="Times New Roman" w:hAnsi="Times New Roman" w:eastAsia="Times New Roman" w:cs="Times New Roman"/>
                <w:spacing w:val="5"/>
                <w:sz w:val="20"/>
                <w:szCs w:val="20"/>
              </w:rPr>
              <w:t>031</w:t>
            </w:r>
            <w:r>
              <w:rPr>
                <w:rFonts w:ascii="Times New Roman" w:hAnsi="Times New Roman" w:eastAsia="Times New Roman" w:cs="Times New Roman"/>
                <w:spacing w:val="28"/>
                <w:w w:val="101"/>
                <w:sz w:val="20"/>
                <w:szCs w:val="20"/>
              </w:rPr>
              <w:t xml:space="preserve"> </w:t>
            </w:r>
            <w:r>
              <w:rPr>
                <w:spacing w:val="5"/>
                <w:sz w:val="20"/>
                <w:szCs w:val="20"/>
              </w:rPr>
              <w:t>项目实施时，应与规划铁路线路进行充分衔</w:t>
            </w:r>
            <w:r>
              <w:rPr>
                <w:sz w:val="20"/>
                <w:szCs w:val="20"/>
              </w:rPr>
              <w:t xml:space="preserve"> </w:t>
            </w:r>
            <w:r>
              <w:rPr>
                <w:spacing w:val="-3"/>
                <w:sz w:val="20"/>
                <w:szCs w:val="20"/>
              </w:rPr>
              <w:t>接。</w:t>
            </w:r>
          </w:p>
        </w:tc>
        <w:tc>
          <w:tcPr>
            <w:tcW w:w="1176" w:type="dxa"/>
            <w:tcBorders>
              <w:bottom w:val="single" w:color="000000" w:sz="10" w:space="0"/>
            </w:tcBorders>
            <w:vAlign w:val="top"/>
          </w:tcPr>
          <w:p w14:paraId="576DA6C8">
            <w:pPr>
              <w:spacing w:line="323" w:lineRule="auto"/>
              <w:rPr>
                <w:rFonts w:ascii="Arial"/>
                <w:sz w:val="21"/>
              </w:rPr>
            </w:pPr>
          </w:p>
          <w:p w14:paraId="67613849">
            <w:pPr>
              <w:spacing w:line="324" w:lineRule="auto"/>
              <w:rPr>
                <w:rFonts w:ascii="Arial"/>
                <w:sz w:val="21"/>
              </w:rPr>
            </w:pPr>
          </w:p>
          <w:p w14:paraId="28A96EBB">
            <w:pPr>
              <w:pStyle w:val="6"/>
              <w:spacing w:before="65" w:line="231" w:lineRule="auto"/>
              <w:ind w:left="310"/>
              <w:rPr>
                <w:sz w:val="20"/>
                <w:szCs w:val="20"/>
              </w:rPr>
            </w:pPr>
            <w:r>
              <w:rPr>
                <w:spacing w:val="-4"/>
                <w:sz w:val="20"/>
                <w:szCs w:val="20"/>
              </w:rPr>
              <w:t>已落实</w:t>
            </w:r>
          </w:p>
        </w:tc>
        <w:tc>
          <w:tcPr>
            <w:tcW w:w="6073" w:type="dxa"/>
            <w:tcBorders>
              <w:bottom w:val="single" w:color="000000" w:sz="10" w:space="0"/>
              <w:right w:val="single" w:color="000000" w:sz="10" w:space="0"/>
            </w:tcBorders>
            <w:vAlign w:val="top"/>
          </w:tcPr>
          <w:p w14:paraId="5138AEAB">
            <w:pPr>
              <w:spacing w:line="255" w:lineRule="auto"/>
              <w:rPr>
                <w:rFonts w:ascii="Arial"/>
                <w:sz w:val="21"/>
              </w:rPr>
            </w:pPr>
          </w:p>
          <w:p w14:paraId="392FCCE2">
            <w:pPr>
              <w:spacing w:line="256" w:lineRule="auto"/>
              <w:rPr>
                <w:rFonts w:ascii="Arial"/>
                <w:sz w:val="21"/>
              </w:rPr>
            </w:pPr>
          </w:p>
          <w:p w14:paraId="1C0717D1">
            <w:pPr>
              <w:pStyle w:val="6"/>
              <w:spacing w:before="65" w:line="251" w:lineRule="auto"/>
              <w:ind w:left="119" w:right="99" w:hanging="5"/>
              <w:rPr>
                <w:sz w:val="20"/>
                <w:szCs w:val="20"/>
              </w:rPr>
            </w:pPr>
            <w:r>
              <w:rPr>
                <w:rFonts w:ascii="Times New Roman" w:hAnsi="Times New Roman" w:eastAsia="Times New Roman" w:cs="Times New Roman"/>
                <w:sz w:val="20"/>
                <w:szCs w:val="20"/>
              </w:rPr>
              <w:t>CQ</w:t>
            </w:r>
            <w:r>
              <w:rPr>
                <w:rFonts w:ascii="Times New Roman" w:hAnsi="Times New Roman" w:eastAsia="Times New Roman" w:cs="Times New Roman"/>
                <w:spacing w:val="4"/>
                <w:sz w:val="20"/>
                <w:szCs w:val="20"/>
              </w:rPr>
              <w:t>002</w:t>
            </w:r>
            <w:r>
              <w:rPr>
                <w:spacing w:val="4"/>
                <w:sz w:val="20"/>
                <w:szCs w:val="20"/>
              </w:rPr>
              <w:t>、</w:t>
            </w:r>
            <w:r>
              <w:rPr>
                <w:rFonts w:ascii="Times New Roman" w:hAnsi="Times New Roman" w:eastAsia="Times New Roman" w:cs="Times New Roman"/>
                <w:sz w:val="20"/>
                <w:szCs w:val="20"/>
              </w:rPr>
              <w:t>CQ</w:t>
            </w:r>
            <w:r>
              <w:rPr>
                <w:rFonts w:ascii="Times New Roman" w:hAnsi="Times New Roman" w:eastAsia="Times New Roman" w:cs="Times New Roman"/>
                <w:spacing w:val="4"/>
                <w:sz w:val="20"/>
                <w:szCs w:val="20"/>
              </w:rPr>
              <w:t>003</w:t>
            </w:r>
            <w:r>
              <w:rPr>
                <w:rFonts w:ascii="Times New Roman" w:hAnsi="Times New Roman" w:eastAsia="Times New Roman" w:cs="Times New Roman"/>
                <w:spacing w:val="42"/>
                <w:sz w:val="20"/>
                <w:szCs w:val="20"/>
              </w:rPr>
              <w:t xml:space="preserve"> </w:t>
            </w:r>
            <w:r>
              <w:rPr>
                <w:spacing w:val="4"/>
                <w:sz w:val="20"/>
                <w:szCs w:val="20"/>
              </w:rPr>
              <w:t>已按要求编制可视化论证方案，</w:t>
            </w:r>
            <w:r>
              <w:rPr>
                <w:rFonts w:ascii="Times New Roman" w:hAnsi="Times New Roman" w:eastAsia="Times New Roman" w:cs="Times New Roman"/>
                <w:sz w:val="20"/>
                <w:szCs w:val="20"/>
              </w:rPr>
              <w:t>CQ</w:t>
            </w:r>
            <w:r>
              <w:rPr>
                <w:rFonts w:ascii="Times New Roman" w:hAnsi="Times New Roman" w:eastAsia="Times New Roman" w:cs="Times New Roman"/>
                <w:spacing w:val="4"/>
                <w:sz w:val="20"/>
                <w:szCs w:val="20"/>
              </w:rPr>
              <w:t xml:space="preserve">031  </w:t>
            </w:r>
            <w:r>
              <w:rPr>
                <w:spacing w:val="4"/>
                <w:sz w:val="20"/>
                <w:szCs w:val="20"/>
              </w:rPr>
              <w:t>目</w:t>
            </w:r>
            <w:r>
              <w:rPr>
                <w:spacing w:val="3"/>
                <w:sz w:val="20"/>
                <w:szCs w:val="20"/>
              </w:rPr>
              <w:t>前暂未</w:t>
            </w:r>
            <w:r>
              <w:rPr>
                <w:sz w:val="20"/>
                <w:szCs w:val="20"/>
              </w:rPr>
              <w:t xml:space="preserve"> </w:t>
            </w:r>
            <w:r>
              <w:rPr>
                <w:spacing w:val="1"/>
                <w:sz w:val="20"/>
                <w:szCs w:val="20"/>
              </w:rPr>
              <w:t>投放。</w:t>
            </w:r>
          </w:p>
        </w:tc>
      </w:tr>
    </w:tbl>
    <w:p w14:paraId="5B28C7D2">
      <w:pPr>
        <w:pStyle w:val="2"/>
        <w:spacing w:line="194" w:lineRule="exact"/>
        <w:rPr>
          <w:sz w:val="16"/>
        </w:rPr>
      </w:pPr>
    </w:p>
    <w:p w14:paraId="3B52B584">
      <w:pPr>
        <w:spacing w:line="194" w:lineRule="exact"/>
        <w:rPr>
          <w:sz w:val="16"/>
          <w:szCs w:val="16"/>
        </w:rPr>
        <w:sectPr>
          <w:headerReference r:id="rId135" w:type="default"/>
          <w:footerReference r:id="rId136" w:type="default"/>
          <w:pgSz w:w="16839" w:h="11906"/>
          <w:pgMar w:top="1116" w:right="1323" w:bottom="1480" w:left="1322" w:header="683" w:footer="1318" w:gutter="0"/>
          <w:cols w:space="720" w:num="1"/>
        </w:sectPr>
      </w:pPr>
    </w:p>
    <w:p w14:paraId="37DB5A90">
      <w:pPr>
        <w:spacing w:before="229"/>
      </w:pPr>
    </w:p>
    <w:tbl>
      <w:tblPr>
        <w:tblStyle w:val="5"/>
        <w:tblW w:w="14166"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4"/>
        <w:gridCol w:w="6173"/>
        <w:gridCol w:w="1176"/>
        <w:gridCol w:w="6073"/>
      </w:tblGrid>
      <w:tr w14:paraId="7A8E01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5" w:hRule="atLeast"/>
        </w:trPr>
        <w:tc>
          <w:tcPr>
            <w:tcW w:w="744" w:type="dxa"/>
            <w:tcBorders>
              <w:top w:val="single" w:color="000000" w:sz="10" w:space="0"/>
              <w:left w:val="single" w:color="000000" w:sz="10" w:space="0"/>
            </w:tcBorders>
            <w:vAlign w:val="top"/>
          </w:tcPr>
          <w:p w14:paraId="2E37DF16">
            <w:pPr>
              <w:spacing w:line="419" w:lineRule="auto"/>
              <w:rPr>
                <w:rFonts w:ascii="Arial"/>
                <w:sz w:val="21"/>
              </w:rPr>
            </w:pPr>
          </w:p>
          <w:p w14:paraId="4DC1F859">
            <w:pPr>
              <w:spacing w:before="58" w:line="195" w:lineRule="auto"/>
              <w:ind w:left="310"/>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6173" w:type="dxa"/>
            <w:tcBorders>
              <w:top w:val="single" w:color="000000" w:sz="10" w:space="0"/>
            </w:tcBorders>
            <w:vAlign w:val="top"/>
          </w:tcPr>
          <w:p w14:paraId="21939CA5">
            <w:pPr>
              <w:pStyle w:val="6"/>
              <w:spacing w:before="169" w:line="251" w:lineRule="auto"/>
              <w:ind w:left="108" w:right="38" w:firstLine="4"/>
              <w:jc w:val="both"/>
              <w:rPr>
                <w:sz w:val="20"/>
                <w:szCs w:val="20"/>
              </w:rPr>
            </w:pPr>
            <w:r>
              <w:rPr>
                <w:spacing w:val="1"/>
                <w:sz w:val="20"/>
                <w:szCs w:val="20"/>
              </w:rPr>
              <w:t>（</w:t>
            </w:r>
            <w:r>
              <w:rPr>
                <w:rFonts w:ascii="Times New Roman" w:hAnsi="Times New Roman" w:eastAsia="Times New Roman" w:cs="Times New Roman"/>
                <w:spacing w:val="1"/>
                <w:sz w:val="20"/>
                <w:szCs w:val="20"/>
              </w:rPr>
              <w:t>6</w:t>
            </w:r>
            <w:r>
              <w:rPr>
                <w:spacing w:val="1"/>
                <w:sz w:val="20"/>
                <w:szCs w:val="20"/>
              </w:rPr>
              <w:t>）</w:t>
            </w:r>
            <w:r>
              <w:rPr>
                <w:rFonts w:ascii="Times New Roman" w:hAnsi="Times New Roman" w:eastAsia="Times New Roman" w:cs="Times New Roman"/>
                <w:sz w:val="20"/>
                <w:szCs w:val="20"/>
              </w:rPr>
              <w:t>CQ</w:t>
            </w:r>
            <w:r>
              <w:rPr>
                <w:rFonts w:ascii="Times New Roman" w:hAnsi="Times New Roman" w:eastAsia="Times New Roman" w:cs="Times New Roman"/>
                <w:spacing w:val="1"/>
                <w:sz w:val="20"/>
                <w:szCs w:val="20"/>
              </w:rPr>
              <w:t>021</w:t>
            </w:r>
            <w:r>
              <w:rPr>
                <w:spacing w:val="1"/>
                <w:sz w:val="20"/>
                <w:szCs w:val="20"/>
              </w:rPr>
              <w:t>、</w:t>
            </w:r>
            <w:r>
              <w:rPr>
                <w:rFonts w:ascii="Times New Roman" w:hAnsi="Times New Roman" w:eastAsia="Times New Roman" w:cs="Times New Roman"/>
                <w:sz w:val="20"/>
                <w:szCs w:val="20"/>
              </w:rPr>
              <w:t>CQ</w:t>
            </w:r>
            <w:r>
              <w:rPr>
                <w:rFonts w:ascii="Times New Roman" w:hAnsi="Times New Roman" w:eastAsia="Times New Roman" w:cs="Times New Roman"/>
                <w:spacing w:val="1"/>
                <w:sz w:val="20"/>
                <w:szCs w:val="20"/>
              </w:rPr>
              <w:t>025</w:t>
            </w:r>
            <w:r>
              <w:rPr>
                <w:spacing w:val="1"/>
                <w:sz w:val="20"/>
                <w:szCs w:val="20"/>
              </w:rPr>
              <w:t>、</w:t>
            </w:r>
            <w:r>
              <w:rPr>
                <w:rFonts w:ascii="Times New Roman" w:hAnsi="Times New Roman" w:eastAsia="Times New Roman" w:cs="Times New Roman"/>
                <w:sz w:val="20"/>
                <w:szCs w:val="20"/>
              </w:rPr>
              <w:t>KQ</w:t>
            </w:r>
            <w:r>
              <w:rPr>
                <w:rFonts w:ascii="Times New Roman" w:hAnsi="Times New Roman" w:eastAsia="Times New Roman" w:cs="Times New Roman"/>
                <w:spacing w:val="1"/>
                <w:sz w:val="20"/>
                <w:szCs w:val="20"/>
              </w:rPr>
              <w:t>008</w:t>
            </w:r>
            <w:r>
              <w:rPr>
                <w:rFonts w:ascii="Times New Roman" w:hAnsi="Times New Roman" w:eastAsia="Times New Roman" w:cs="Times New Roman"/>
                <w:spacing w:val="35"/>
                <w:sz w:val="20"/>
                <w:szCs w:val="20"/>
              </w:rPr>
              <w:t xml:space="preserve"> </w:t>
            </w:r>
            <w:r>
              <w:rPr>
                <w:spacing w:val="1"/>
                <w:sz w:val="20"/>
                <w:szCs w:val="20"/>
              </w:rPr>
              <w:t>等临近生态保护红线和</w:t>
            </w:r>
            <w:r>
              <w:rPr>
                <w:spacing w:val="-45"/>
                <w:sz w:val="20"/>
                <w:szCs w:val="20"/>
              </w:rPr>
              <w:t xml:space="preserve"> </w:t>
            </w:r>
            <w:r>
              <w:rPr>
                <w:spacing w:val="1"/>
                <w:sz w:val="20"/>
                <w:szCs w:val="20"/>
              </w:rPr>
              <w:t>自然保护区、</w:t>
            </w:r>
            <w:r>
              <w:rPr>
                <w:sz w:val="20"/>
                <w:szCs w:val="20"/>
              </w:rPr>
              <w:t xml:space="preserve"> </w:t>
            </w:r>
            <w:r>
              <w:rPr>
                <w:spacing w:val="13"/>
                <w:sz w:val="20"/>
                <w:szCs w:val="20"/>
              </w:rPr>
              <w:t>森林公园等自然保护地的矿产资源勘查开发，应采取有效措施，</w:t>
            </w:r>
            <w:r>
              <w:rPr>
                <w:spacing w:val="7"/>
                <w:sz w:val="20"/>
                <w:szCs w:val="20"/>
              </w:rPr>
              <w:t xml:space="preserve"> 避免影响生态服务功能。</w:t>
            </w:r>
          </w:p>
        </w:tc>
        <w:tc>
          <w:tcPr>
            <w:tcW w:w="1176" w:type="dxa"/>
            <w:tcBorders>
              <w:top w:val="single" w:color="000000" w:sz="10" w:space="0"/>
            </w:tcBorders>
            <w:vAlign w:val="top"/>
          </w:tcPr>
          <w:p w14:paraId="04A0FA7C">
            <w:pPr>
              <w:spacing w:line="376" w:lineRule="auto"/>
              <w:rPr>
                <w:rFonts w:ascii="Arial"/>
                <w:sz w:val="21"/>
              </w:rPr>
            </w:pPr>
          </w:p>
          <w:p w14:paraId="6EAD3CDB">
            <w:pPr>
              <w:pStyle w:val="6"/>
              <w:spacing w:before="65" w:line="231" w:lineRule="auto"/>
              <w:ind w:left="310"/>
              <w:rPr>
                <w:sz w:val="20"/>
                <w:szCs w:val="20"/>
              </w:rPr>
            </w:pPr>
            <w:r>
              <w:rPr>
                <w:spacing w:val="-4"/>
                <w:sz w:val="20"/>
                <w:szCs w:val="20"/>
              </w:rPr>
              <w:t>已落实</w:t>
            </w:r>
          </w:p>
        </w:tc>
        <w:tc>
          <w:tcPr>
            <w:tcW w:w="6073" w:type="dxa"/>
            <w:tcBorders>
              <w:top w:val="single" w:color="000000" w:sz="10" w:space="0"/>
              <w:right w:val="single" w:color="000000" w:sz="10" w:space="0"/>
            </w:tcBorders>
            <w:vAlign w:val="top"/>
          </w:tcPr>
          <w:p w14:paraId="28BC714A">
            <w:pPr>
              <w:pStyle w:val="6"/>
              <w:spacing w:before="36" w:line="242" w:lineRule="auto"/>
              <w:ind w:left="119" w:right="97" w:hanging="5"/>
              <w:jc w:val="both"/>
              <w:rPr>
                <w:sz w:val="20"/>
                <w:szCs w:val="20"/>
              </w:rPr>
            </w:pPr>
            <w:r>
              <w:rPr>
                <w:rFonts w:ascii="Times New Roman" w:hAnsi="Times New Roman" w:eastAsia="Times New Roman" w:cs="Times New Roman"/>
                <w:sz w:val="20"/>
                <w:szCs w:val="20"/>
              </w:rPr>
              <w:t>CQ</w:t>
            </w:r>
            <w:r>
              <w:rPr>
                <w:rFonts w:ascii="Times New Roman" w:hAnsi="Times New Roman" w:eastAsia="Times New Roman" w:cs="Times New Roman"/>
                <w:spacing w:val="5"/>
                <w:sz w:val="20"/>
                <w:szCs w:val="20"/>
              </w:rPr>
              <w:t xml:space="preserve">021  </w:t>
            </w:r>
            <w:r>
              <w:rPr>
                <w:spacing w:val="5"/>
                <w:sz w:val="20"/>
                <w:szCs w:val="20"/>
              </w:rPr>
              <w:t>目前正在建设期，建设过程中严格控制了建设范围，未对</w:t>
            </w:r>
            <w:r>
              <w:rPr>
                <w:spacing w:val="15"/>
                <w:sz w:val="20"/>
                <w:szCs w:val="20"/>
              </w:rPr>
              <w:t xml:space="preserve"> </w:t>
            </w:r>
            <w:r>
              <w:rPr>
                <w:spacing w:val="8"/>
                <w:sz w:val="20"/>
                <w:szCs w:val="20"/>
              </w:rPr>
              <w:t>生态保护红线和自然保护区造成不良影响，在后续开采过程中严</w:t>
            </w:r>
            <w:r>
              <w:rPr>
                <w:spacing w:val="15"/>
                <w:sz w:val="20"/>
                <w:szCs w:val="20"/>
              </w:rPr>
              <w:t xml:space="preserve"> </w:t>
            </w:r>
            <w:r>
              <w:rPr>
                <w:spacing w:val="8"/>
                <w:sz w:val="20"/>
                <w:szCs w:val="20"/>
              </w:rPr>
              <w:t>格控制开采范围，采取绿色开采及矿山环境保护、生态修复相关</w:t>
            </w:r>
            <w:r>
              <w:rPr>
                <w:spacing w:val="13"/>
                <w:sz w:val="20"/>
                <w:szCs w:val="20"/>
              </w:rPr>
              <w:t xml:space="preserve"> </w:t>
            </w:r>
            <w:r>
              <w:rPr>
                <w:spacing w:val="5"/>
                <w:sz w:val="20"/>
                <w:szCs w:val="20"/>
              </w:rPr>
              <w:t>要求，</w:t>
            </w:r>
            <w:r>
              <w:rPr>
                <w:rFonts w:ascii="Times New Roman" w:hAnsi="Times New Roman" w:eastAsia="Times New Roman" w:cs="Times New Roman"/>
                <w:sz w:val="20"/>
                <w:szCs w:val="20"/>
              </w:rPr>
              <w:t>CQ</w:t>
            </w:r>
            <w:r>
              <w:rPr>
                <w:rFonts w:ascii="Times New Roman" w:hAnsi="Times New Roman" w:eastAsia="Times New Roman" w:cs="Times New Roman"/>
                <w:spacing w:val="5"/>
                <w:sz w:val="20"/>
                <w:szCs w:val="20"/>
              </w:rPr>
              <w:t>025</w:t>
            </w:r>
            <w:r>
              <w:rPr>
                <w:rFonts w:ascii="Times New Roman" w:hAnsi="Times New Roman" w:eastAsia="Times New Roman" w:cs="Times New Roman"/>
                <w:spacing w:val="-22"/>
                <w:sz w:val="20"/>
                <w:szCs w:val="20"/>
              </w:rPr>
              <w:t xml:space="preserve"> </w:t>
            </w:r>
            <w:r>
              <w:rPr>
                <w:spacing w:val="5"/>
                <w:sz w:val="20"/>
                <w:szCs w:val="20"/>
              </w:rPr>
              <w:t>、</w:t>
            </w:r>
            <w:r>
              <w:rPr>
                <w:rFonts w:ascii="Times New Roman" w:hAnsi="Times New Roman" w:eastAsia="Times New Roman" w:cs="Times New Roman"/>
                <w:sz w:val="20"/>
                <w:szCs w:val="20"/>
              </w:rPr>
              <w:t>KQ</w:t>
            </w:r>
            <w:r>
              <w:rPr>
                <w:rFonts w:ascii="Times New Roman" w:hAnsi="Times New Roman" w:eastAsia="Times New Roman" w:cs="Times New Roman"/>
                <w:spacing w:val="5"/>
                <w:sz w:val="20"/>
                <w:szCs w:val="20"/>
              </w:rPr>
              <w:t>008</w:t>
            </w:r>
            <w:r>
              <w:rPr>
                <w:rFonts w:ascii="Times New Roman" w:hAnsi="Times New Roman" w:eastAsia="Times New Roman" w:cs="Times New Roman"/>
                <w:spacing w:val="20"/>
                <w:w w:val="101"/>
                <w:sz w:val="20"/>
                <w:szCs w:val="20"/>
              </w:rPr>
              <w:t xml:space="preserve"> </w:t>
            </w:r>
            <w:r>
              <w:rPr>
                <w:spacing w:val="5"/>
                <w:sz w:val="20"/>
                <w:szCs w:val="20"/>
              </w:rPr>
              <w:t>暂未投放。</w:t>
            </w:r>
          </w:p>
        </w:tc>
      </w:tr>
      <w:tr w14:paraId="16548A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4166" w:type="dxa"/>
            <w:gridSpan w:val="4"/>
            <w:tcBorders>
              <w:left w:val="single" w:color="000000" w:sz="10" w:space="0"/>
              <w:right w:val="single" w:color="000000" w:sz="10" w:space="0"/>
            </w:tcBorders>
            <w:vAlign w:val="top"/>
          </w:tcPr>
          <w:p w14:paraId="770AA94C">
            <w:pPr>
              <w:pStyle w:val="6"/>
              <w:spacing w:before="105" w:line="229" w:lineRule="auto"/>
              <w:ind w:left="6352"/>
              <w:rPr>
                <w:sz w:val="20"/>
                <w:szCs w:val="20"/>
              </w:rPr>
            </w:pPr>
            <w:r>
              <w:rPr>
                <w:spacing w:val="7"/>
                <w:sz w:val="20"/>
                <w:szCs w:val="20"/>
              </w:rPr>
              <w:t>污染物排放管控</w:t>
            </w:r>
          </w:p>
        </w:tc>
      </w:tr>
      <w:tr w14:paraId="4BD11F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6" w:hRule="atLeast"/>
        </w:trPr>
        <w:tc>
          <w:tcPr>
            <w:tcW w:w="744" w:type="dxa"/>
            <w:tcBorders>
              <w:left w:val="single" w:color="000000" w:sz="10" w:space="0"/>
            </w:tcBorders>
            <w:vAlign w:val="top"/>
          </w:tcPr>
          <w:p w14:paraId="25E89F3B">
            <w:pPr>
              <w:spacing w:line="272" w:lineRule="auto"/>
              <w:rPr>
                <w:rFonts w:ascii="Arial"/>
                <w:sz w:val="21"/>
              </w:rPr>
            </w:pPr>
          </w:p>
          <w:p w14:paraId="7EC830E1">
            <w:pPr>
              <w:spacing w:line="273" w:lineRule="auto"/>
              <w:rPr>
                <w:rFonts w:ascii="Arial"/>
                <w:sz w:val="21"/>
              </w:rPr>
            </w:pPr>
          </w:p>
          <w:p w14:paraId="5EF42E1A">
            <w:pPr>
              <w:spacing w:line="273" w:lineRule="auto"/>
              <w:rPr>
                <w:rFonts w:ascii="Arial"/>
                <w:sz w:val="21"/>
              </w:rPr>
            </w:pPr>
          </w:p>
          <w:p w14:paraId="031F15E3">
            <w:pPr>
              <w:spacing w:line="273" w:lineRule="auto"/>
              <w:rPr>
                <w:rFonts w:ascii="Arial"/>
                <w:sz w:val="21"/>
              </w:rPr>
            </w:pPr>
          </w:p>
          <w:p w14:paraId="358BFD6B">
            <w:pPr>
              <w:spacing w:line="273" w:lineRule="auto"/>
              <w:rPr>
                <w:rFonts w:ascii="Arial"/>
                <w:sz w:val="21"/>
              </w:rPr>
            </w:pPr>
          </w:p>
          <w:p w14:paraId="0187798C">
            <w:pPr>
              <w:spacing w:line="273" w:lineRule="auto"/>
              <w:rPr>
                <w:rFonts w:ascii="Arial"/>
                <w:sz w:val="21"/>
              </w:rPr>
            </w:pPr>
          </w:p>
          <w:p w14:paraId="15FEAB40">
            <w:pPr>
              <w:spacing w:before="58" w:line="195" w:lineRule="auto"/>
              <w:ind w:left="32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6173" w:type="dxa"/>
            <w:vAlign w:val="top"/>
          </w:tcPr>
          <w:p w14:paraId="7BCFDF68">
            <w:pPr>
              <w:pStyle w:val="6"/>
              <w:spacing w:before="38" w:line="248" w:lineRule="auto"/>
              <w:ind w:left="106" w:right="50" w:firstLine="6"/>
              <w:rPr>
                <w:sz w:val="20"/>
                <w:szCs w:val="20"/>
              </w:rPr>
            </w:pPr>
            <w:r>
              <w:rPr>
                <w:spacing w:val="9"/>
                <w:sz w:val="20"/>
                <w:szCs w:val="20"/>
              </w:rPr>
              <w:t>（</w:t>
            </w:r>
            <w:r>
              <w:rPr>
                <w:rFonts w:ascii="Times New Roman" w:hAnsi="Times New Roman" w:eastAsia="Times New Roman" w:cs="Times New Roman"/>
                <w:spacing w:val="9"/>
                <w:sz w:val="20"/>
                <w:szCs w:val="20"/>
              </w:rPr>
              <w:t>1</w:t>
            </w:r>
            <w:r>
              <w:rPr>
                <w:spacing w:val="9"/>
                <w:sz w:val="20"/>
                <w:szCs w:val="20"/>
              </w:rPr>
              <w:t>）水泥原料矿山开采过程中的粉尘执行《水泥工业大气污染物</w:t>
            </w:r>
            <w:r>
              <w:rPr>
                <w:sz w:val="20"/>
                <w:szCs w:val="20"/>
              </w:rPr>
              <w:t xml:space="preserve"> </w:t>
            </w:r>
            <w:r>
              <w:rPr>
                <w:spacing w:val="3"/>
                <w:sz w:val="20"/>
                <w:szCs w:val="20"/>
              </w:rPr>
              <w:t>排放标准》（</w:t>
            </w:r>
            <w:r>
              <w:rPr>
                <w:rFonts w:ascii="Times New Roman" w:hAnsi="Times New Roman" w:eastAsia="Times New Roman" w:cs="Times New Roman"/>
                <w:sz w:val="20"/>
                <w:szCs w:val="20"/>
              </w:rPr>
              <w:t>DB</w:t>
            </w:r>
            <w:r>
              <w:rPr>
                <w:rFonts w:ascii="Times New Roman" w:hAnsi="Times New Roman" w:eastAsia="Times New Roman" w:cs="Times New Roman"/>
                <w:spacing w:val="3"/>
                <w:sz w:val="20"/>
                <w:szCs w:val="20"/>
              </w:rPr>
              <w:t xml:space="preserve"> 50/656-2016</w:t>
            </w:r>
            <w:r>
              <w:rPr>
                <w:spacing w:val="-20"/>
                <w:sz w:val="20"/>
                <w:szCs w:val="20"/>
              </w:rPr>
              <w:t>）；</w:t>
            </w:r>
            <w:r>
              <w:rPr>
                <w:spacing w:val="3"/>
                <w:sz w:val="20"/>
                <w:szCs w:val="20"/>
              </w:rPr>
              <w:t>其他矿山大气污染物排放执行《重</w:t>
            </w:r>
            <w:r>
              <w:rPr>
                <w:sz w:val="20"/>
                <w:szCs w:val="20"/>
              </w:rPr>
              <w:t xml:space="preserve"> </w:t>
            </w:r>
            <w:r>
              <w:rPr>
                <w:spacing w:val="6"/>
                <w:sz w:val="20"/>
                <w:szCs w:val="20"/>
              </w:rPr>
              <w:t>庆市大气污染物综合排放标准》（</w:t>
            </w:r>
            <w:r>
              <w:rPr>
                <w:rFonts w:ascii="Times New Roman" w:hAnsi="Times New Roman" w:eastAsia="Times New Roman" w:cs="Times New Roman"/>
                <w:sz w:val="20"/>
                <w:szCs w:val="20"/>
              </w:rPr>
              <w:t>DB</w:t>
            </w:r>
            <w:r>
              <w:rPr>
                <w:rFonts w:ascii="Times New Roman" w:hAnsi="Times New Roman" w:eastAsia="Times New Roman" w:cs="Times New Roman"/>
                <w:spacing w:val="6"/>
                <w:sz w:val="20"/>
                <w:szCs w:val="20"/>
              </w:rPr>
              <w:t xml:space="preserve"> 50/418-2016</w:t>
            </w:r>
            <w:r>
              <w:rPr>
                <w:spacing w:val="6"/>
                <w:sz w:val="20"/>
                <w:szCs w:val="20"/>
              </w:rPr>
              <w:t>）</w:t>
            </w:r>
            <w:r>
              <w:rPr>
                <w:spacing w:val="-48"/>
                <w:sz w:val="20"/>
                <w:szCs w:val="20"/>
              </w:rPr>
              <w:t xml:space="preserve"> </w:t>
            </w:r>
            <w:r>
              <w:rPr>
                <w:spacing w:val="6"/>
                <w:sz w:val="20"/>
                <w:szCs w:val="20"/>
              </w:rPr>
              <w:t>中其他区域限</w:t>
            </w:r>
            <w:r>
              <w:rPr>
                <w:sz w:val="20"/>
                <w:szCs w:val="20"/>
              </w:rPr>
              <w:t xml:space="preserve"> </w:t>
            </w:r>
            <w:r>
              <w:rPr>
                <w:spacing w:val="7"/>
                <w:sz w:val="20"/>
                <w:szCs w:val="20"/>
              </w:rPr>
              <w:t>值。采取有效措施控制矿山开采和破碎加工过程中粉尘排放，临近</w:t>
            </w:r>
            <w:r>
              <w:rPr>
                <w:spacing w:val="3"/>
                <w:sz w:val="20"/>
                <w:szCs w:val="20"/>
              </w:rPr>
              <w:t xml:space="preserve"> </w:t>
            </w:r>
            <w:r>
              <w:rPr>
                <w:spacing w:val="9"/>
                <w:sz w:val="20"/>
                <w:szCs w:val="20"/>
              </w:rPr>
              <w:t>一类功能区矿山</w:t>
            </w:r>
            <w:r>
              <w:rPr>
                <w:spacing w:val="-22"/>
                <w:sz w:val="20"/>
                <w:szCs w:val="20"/>
              </w:rPr>
              <w:t xml:space="preserve"> </w:t>
            </w:r>
            <w:r>
              <w:rPr>
                <w:rFonts w:ascii="Times New Roman" w:hAnsi="Times New Roman" w:eastAsia="Times New Roman" w:cs="Times New Roman"/>
                <w:sz w:val="20"/>
                <w:szCs w:val="20"/>
              </w:rPr>
              <w:t>CQ</w:t>
            </w:r>
            <w:r>
              <w:rPr>
                <w:rFonts w:ascii="Times New Roman" w:hAnsi="Times New Roman" w:eastAsia="Times New Roman" w:cs="Times New Roman"/>
                <w:spacing w:val="9"/>
                <w:sz w:val="20"/>
                <w:szCs w:val="20"/>
              </w:rPr>
              <w:t xml:space="preserve">021 </w:t>
            </w:r>
            <w:r>
              <w:rPr>
                <w:spacing w:val="9"/>
                <w:sz w:val="20"/>
                <w:szCs w:val="20"/>
              </w:rPr>
              <w:t>应强化粉尘排放控制措施，确保</w:t>
            </w:r>
            <w:r>
              <w:rPr>
                <w:rFonts w:ascii="Times New Roman" w:hAnsi="Times New Roman" w:eastAsia="Times New Roman" w:cs="Times New Roman"/>
                <w:spacing w:val="9"/>
                <w:sz w:val="20"/>
                <w:szCs w:val="20"/>
              </w:rPr>
              <w:t>300</w:t>
            </w:r>
            <w:r>
              <w:rPr>
                <w:rFonts w:ascii="Times New Roman" w:hAnsi="Times New Roman" w:eastAsia="Times New Roman" w:cs="Times New Roman"/>
                <w:spacing w:val="18"/>
                <w:w w:val="101"/>
                <w:sz w:val="20"/>
                <w:szCs w:val="20"/>
              </w:rPr>
              <w:t xml:space="preserve"> </w:t>
            </w:r>
            <w:r>
              <w:rPr>
                <w:spacing w:val="9"/>
                <w:sz w:val="20"/>
                <w:szCs w:val="20"/>
              </w:rPr>
              <w:t>米缓</w:t>
            </w:r>
            <w:r>
              <w:rPr>
                <w:sz w:val="20"/>
                <w:szCs w:val="20"/>
              </w:rPr>
              <w:t xml:space="preserve"> </w:t>
            </w:r>
            <w:r>
              <w:rPr>
                <w:spacing w:val="8"/>
                <w:sz w:val="20"/>
                <w:szCs w:val="20"/>
              </w:rPr>
              <w:t>冲带内环境空气质量满足《环境空气质量标准》（</w:t>
            </w:r>
            <w:r>
              <w:rPr>
                <w:rFonts w:ascii="Times New Roman" w:hAnsi="Times New Roman" w:eastAsia="Times New Roman" w:cs="Times New Roman"/>
                <w:sz w:val="20"/>
                <w:szCs w:val="20"/>
              </w:rPr>
              <w:t>GB</w:t>
            </w:r>
            <w:r>
              <w:rPr>
                <w:rFonts w:ascii="Times New Roman" w:hAnsi="Times New Roman" w:eastAsia="Times New Roman" w:cs="Times New Roman"/>
                <w:spacing w:val="8"/>
                <w:sz w:val="20"/>
                <w:szCs w:val="20"/>
              </w:rPr>
              <w:t>3095-2012</w:t>
            </w:r>
            <w:r>
              <w:rPr>
                <w:spacing w:val="8"/>
                <w:sz w:val="20"/>
                <w:szCs w:val="20"/>
              </w:rPr>
              <w:t xml:space="preserve">） </w:t>
            </w:r>
            <w:r>
              <w:rPr>
                <w:spacing w:val="6"/>
                <w:sz w:val="20"/>
                <w:szCs w:val="20"/>
              </w:rPr>
              <w:t>一级标准要求。</w:t>
            </w:r>
          </w:p>
          <w:p w14:paraId="30F47E6F">
            <w:pPr>
              <w:pStyle w:val="6"/>
              <w:spacing w:before="23"/>
              <w:ind w:left="111" w:right="91" w:firstLine="1"/>
              <w:rPr>
                <w:sz w:val="20"/>
                <w:szCs w:val="20"/>
              </w:rPr>
            </w:pPr>
            <w:r>
              <w:rPr>
                <w:spacing w:val="9"/>
                <w:sz w:val="20"/>
                <w:szCs w:val="20"/>
              </w:rPr>
              <w:t>（</w:t>
            </w:r>
            <w:r>
              <w:rPr>
                <w:rFonts w:ascii="Times New Roman" w:hAnsi="Times New Roman" w:eastAsia="Times New Roman" w:cs="Times New Roman"/>
                <w:spacing w:val="9"/>
                <w:sz w:val="20"/>
                <w:szCs w:val="20"/>
              </w:rPr>
              <w:t>2</w:t>
            </w:r>
            <w:r>
              <w:rPr>
                <w:spacing w:val="9"/>
                <w:sz w:val="20"/>
                <w:szCs w:val="20"/>
              </w:rPr>
              <w:t>）采矿生产、生活废水应处理后尽量回用或达标排放，减少污</w:t>
            </w:r>
            <w:r>
              <w:rPr>
                <w:sz w:val="20"/>
                <w:szCs w:val="20"/>
              </w:rPr>
              <w:t xml:space="preserve"> </w:t>
            </w:r>
            <w:r>
              <w:rPr>
                <w:spacing w:val="5"/>
                <w:sz w:val="20"/>
                <w:szCs w:val="20"/>
              </w:rPr>
              <w:t>染物排放量。</w:t>
            </w:r>
          </w:p>
          <w:p w14:paraId="46D1415E">
            <w:pPr>
              <w:pStyle w:val="6"/>
              <w:spacing w:before="23"/>
              <w:ind w:left="108" w:right="106" w:firstLine="4"/>
              <w:rPr>
                <w:sz w:val="20"/>
                <w:szCs w:val="20"/>
              </w:rPr>
            </w:pPr>
            <w:r>
              <w:rPr>
                <w:spacing w:val="7"/>
                <w:sz w:val="20"/>
                <w:szCs w:val="20"/>
              </w:rPr>
              <w:t>（</w:t>
            </w:r>
            <w:r>
              <w:rPr>
                <w:rFonts w:ascii="Times New Roman" w:hAnsi="Times New Roman" w:eastAsia="Times New Roman" w:cs="Times New Roman"/>
                <w:spacing w:val="7"/>
                <w:sz w:val="20"/>
                <w:szCs w:val="20"/>
              </w:rPr>
              <w:t>3</w:t>
            </w:r>
            <w:r>
              <w:rPr>
                <w:spacing w:val="7"/>
                <w:sz w:val="20"/>
                <w:szCs w:val="20"/>
              </w:rPr>
              <w:t>）应加强矿山“三废</w:t>
            </w:r>
            <w:r>
              <w:rPr>
                <w:spacing w:val="-59"/>
                <w:sz w:val="20"/>
                <w:szCs w:val="20"/>
              </w:rPr>
              <w:t xml:space="preserve"> </w:t>
            </w:r>
            <w:r>
              <w:rPr>
                <w:spacing w:val="7"/>
                <w:sz w:val="20"/>
                <w:szCs w:val="20"/>
              </w:rPr>
              <w:t>”污染防治，认真落实好环评文件及环评</w:t>
            </w:r>
            <w:r>
              <w:rPr>
                <w:sz w:val="20"/>
                <w:szCs w:val="20"/>
              </w:rPr>
              <w:t xml:space="preserve"> </w:t>
            </w:r>
            <w:r>
              <w:rPr>
                <w:spacing w:val="12"/>
                <w:sz w:val="20"/>
                <w:szCs w:val="20"/>
              </w:rPr>
              <w:t>批准书提出的各项环境保护措施和要求，编制自行监测计划并组</w:t>
            </w:r>
            <w:r>
              <w:rPr>
                <w:spacing w:val="15"/>
                <w:sz w:val="20"/>
                <w:szCs w:val="20"/>
              </w:rPr>
              <w:t xml:space="preserve"> </w:t>
            </w:r>
            <w:r>
              <w:rPr>
                <w:spacing w:val="12"/>
                <w:sz w:val="20"/>
                <w:szCs w:val="20"/>
              </w:rPr>
              <w:t>织实施，对在自行监测计划中发现超标的应进行详细调查，明确</w:t>
            </w:r>
            <w:r>
              <w:rPr>
                <w:spacing w:val="15"/>
                <w:sz w:val="20"/>
                <w:szCs w:val="20"/>
              </w:rPr>
              <w:t xml:space="preserve"> </w:t>
            </w:r>
            <w:r>
              <w:rPr>
                <w:spacing w:val="7"/>
                <w:sz w:val="20"/>
                <w:szCs w:val="20"/>
              </w:rPr>
              <w:t>超标原因，采取补救措施。</w:t>
            </w:r>
          </w:p>
        </w:tc>
        <w:tc>
          <w:tcPr>
            <w:tcW w:w="1176" w:type="dxa"/>
            <w:vAlign w:val="top"/>
          </w:tcPr>
          <w:p w14:paraId="2340DC77">
            <w:pPr>
              <w:spacing w:line="243" w:lineRule="auto"/>
              <w:rPr>
                <w:rFonts w:ascii="Arial"/>
                <w:sz w:val="21"/>
              </w:rPr>
            </w:pPr>
          </w:p>
          <w:p w14:paraId="23A9BDC9">
            <w:pPr>
              <w:spacing w:line="243" w:lineRule="auto"/>
              <w:rPr>
                <w:rFonts w:ascii="Arial"/>
                <w:sz w:val="21"/>
              </w:rPr>
            </w:pPr>
          </w:p>
          <w:p w14:paraId="411298B0">
            <w:pPr>
              <w:spacing w:line="243" w:lineRule="auto"/>
              <w:rPr>
                <w:rFonts w:ascii="Arial"/>
                <w:sz w:val="21"/>
              </w:rPr>
            </w:pPr>
          </w:p>
          <w:p w14:paraId="71CEC9C7">
            <w:pPr>
              <w:spacing w:line="243" w:lineRule="auto"/>
              <w:rPr>
                <w:rFonts w:ascii="Arial"/>
                <w:sz w:val="21"/>
              </w:rPr>
            </w:pPr>
          </w:p>
          <w:p w14:paraId="49AFF20F">
            <w:pPr>
              <w:spacing w:line="243" w:lineRule="auto"/>
              <w:rPr>
                <w:rFonts w:ascii="Arial"/>
                <w:sz w:val="21"/>
              </w:rPr>
            </w:pPr>
          </w:p>
          <w:p w14:paraId="6313413B">
            <w:pPr>
              <w:spacing w:line="243" w:lineRule="auto"/>
              <w:rPr>
                <w:rFonts w:ascii="Arial"/>
                <w:sz w:val="21"/>
              </w:rPr>
            </w:pPr>
          </w:p>
          <w:p w14:paraId="1B42DB84">
            <w:pPr>
              <w:pStyle w:val="6"/>
              <w:spacing w:before="65" w:line="232" w:lineRule="auto"/>
              <w:ind w:left="207"/>
              <w:rPr>
                <w:sz w:val="20"/>
                <w:szCs w:val="20"/>
              </w:rPr>
            </w:pPr>
            <w:r>
              <w:rPr>
                <w:spacing w:val="-1"/>
                <w:sz w:val="20"/>
                <w:szCs w:val="20"/>
              </w:rPr>
              <w:t>已投放区</w:t>
            </w:r>
          </w:p>
          <w:p w14:paraId="1BF8B5A9">
            <w:pPr>
              <w:pStyle w:val="6"/>
              <w:spacing w:before="21" w:line="231" w:lineRule="auto"/>
              <w:ind w:left="180"/>
              <w:rPr>
                <w:sz w:val="20"/>
                <w:szCs w:val="20"/>
              </w:rPr>
            </w:pPr>
            <w:r>
              <w:rPr>
                <w:spacing w:val="6"/>
                <w:sz w:val="20"/>
                <w:szCs w:val="20"/>
              </w:rPr>
              <w:t>块已落实</w:t>
            </w:r>
          </w:p>
        </w:tc>
        <w:tc>
          <w:tcPr>
            <w:tcW w:w="6073" w:type="dxa"/>
            <w:tcBorders>
              <w:right w:val="single" w:color="000000" w:sz="10" w:space="0"/>
            </w:tcBorders>
            <w:vAlign w:val="top"/>
          </w:tcPr>
          <w:p w14:paraId="579597B7">
            <w:pPr>
              <w:spacing w:line="306" w:lineRule="auto"/>
              <w:rPr>
                <w:rFonts w:ascii="Arial"/>
                <w:sz w:val="21"/>
              </w:rPr>
            </w:pPr>
          </w:p>
          <w:p w14:paraId="064DBA67">
            <w:pPr>
              <w:spacing w:line="306" w:lineRule="auto"/>
              <w:rPr>
                <w:rFonts w:ascii="Arial"/>
                <w:sz w:val="21"/>
              </w:rPr>
            </w:pPr>
          </w:p>
          <w:p w14:paraId="01174E77">
            <w:pPr>
              <w:spacing w:line="306" w:lineRule="auto"/>
              <w:rPr>
                <w:rFonts w:ascii="Arial"/>
                <w:sz w:val="21"/>
              </w:rPr>
            </w:pPr>
          </w:p>
          <w:p w14:paraId="4AA92252">
            <w:pPr>
              <w:pStyle w:val="6"/>
              <w:spacing w:before="65" w:line="251" w:lineRule="auto"/>
              <w:ind w:left="123" w:right="97" w:hanging="9"/>
              <w:jc w:val="both"/>
              <w:rPr>
                <w:sz w:val="20"/>
                <w:szCs w:val="20"/>
              </w:rPr>
            </w:pPr>
            <w:r>
              <w:rPr>
                <w:rFonts w:ascii="Times New Roman" w:hAnsi="Times New Roman" w:eastAsia="Times New Roman" w:cs="Times New Roman"/>
                <w:sz w:val="20"/>
                <w:szCs w:val="20"/>
              </w:rPr>
              <w:t>CQ</w:t>
            </w:r>
            <w:r>
              <w:rPr>
                <w:rFonts w:ascii="Times New Roman" w:hAnsi="Times New Roman" w:eastAsia="Times New Roman" w:cs="Times New Roman"/>
                <w:spacing w:val="5"/>
                <w:sz w:val="20"/>
                <w:szCs w:val="20"/>
              </w:rPr>
              <w:t xml:space="preserve">021  </w:t>
            </w:r>
            <w:r>
              <w:rPr>
                <w:spacing w:val="5"/>
                <w:sz w:val="20"/>
                <w:szCs w:val="20"/>
              </w:rPr>
              <w:t>目前正在建设期，建设过程中通过洒水降尘等减少对一类</w:t>
            </w:r>
            <w:r>
              <w:rPr>
                <w:spacing w:val="17"/>
                <w:sz w:val="20"/>
                <w:szCs w:val="20"/>
              </w:rPr>
              <w:t xml:space="preserve"> </w:t>
            </w:r>
            <w:r>
              <w:rPr>
                <w:spacing w:val="8"/>
                <w:sz w:val="20"/>
                <w:szCs w:val="20"/>
              </w:rPr>
              <w:t>区大气的影响，其余开采区块在开采过程中严格落实大气污染防</w:t>
            </w:r>
            <w:r>
              <w:rPr>
                <w:spacing w:val="11"/>
                <w:sz w:val="20"/>
                <w:szCs w:val="20"/>
              </w:rPr>
              <w:t xml:space="preserve"> </w:t>
            </w:r>
            <w:r>
              <w:rPr>
                <w:spacing w:val="8"/>
                <w:sz w:val="20"/>
                <w:szCs w:val="20"/>
              </w:rPr>
              <w:t>治措施，强化粉尘排放控制、加强粉尘的收集、处理及洒水降尘</w:t>
            </w:r>
            <w:r>
              <w:rPr>
                <w:spacing w:val="9"/>
                <w:sz w:val="20"/>
                <w:szCs w:val="20"/>
              </w:rPr>
              <w:t xml:space="preserve"> </w:t>
            </w:r>
            <w:r>
              <w:rPr>
                <w:spacing w:val="8"/>
                <w:sz w:val="20"/>
                <w:szCs w:val="20"/>
              </w:rPr>
              <w:t>等措施，严格执行相应的大气排放标准。</w:t>
            </w:r>
          </w:p>
          <w:p w14:paraId="06246D80">
            <w:pPr>
              <w:pStyle w:val="6"/>
              <w:spacing w:line="250" w:lineRule="auto"/>
              <w:ind w:left="120" w:right="99"/>
              <w:jc w:val="both"/>
              <w:rPr>
                <w:sz w:val="20"/>
                <w:szCs w:val="20"/>
              </w:rPr>
            </w:pPr>
            <w:r>
              <w:rPr>
                <w:spacing w:val="8"/>
                <w:sz w:val="20"/>
                <w:szCs w:val="20"/>
              </w:rPr>
              <w:t>矿山开采过程中按要求对生产废水和生活污水进行了处理，未对</w:t>
            </w:r>
            <w:r>
              <w:rPr>
                <w:spacing w:val="12"/>
                <w:sz w:val="20"/>
                <w:szCs w:val="20"/>
              </w:rPr>
              <w:t xml:space="preserve"> </w:t>
            </w:r>
            <w:r>
              <w:rPr>
                <w:spacing w:val="6"/>
                <w:sz w:val="20"/>
                <w:szCs w:val="20"/>
              </w:rPr>
              <w:t>地表水造成不良影响。</w:t>
            </w:r>
            <w:r>
              <w:rPr>
                <w:spacing w:val="-39"/>
                <w:sz w:val="20"/>
                <w:szCs w:val="20"/>
              </w:rPr>
              <w:t xml:space="preserve"> </w:t>
            </w:r>
            <w:r>
              <w:rPr>
                <w:spacing w:val="6"/>
                <w:sz w:val="20"/>
                <w:szCs w:val="20"/>
              </w:rPr>
              <w:t>固体废物得到了妥善处理。</w:t>
            </w:r>
          </w:p>
        </w:tc>
      </w:tr>
      <w:tr w14:paraId="4F68F7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14166" w:type="dxa"/>
            <w:gridSpan w:val="4"/>
            <w:tcBorders>
              <w:left w:val="single" w:color="000000" w:sz="10" w:space="0"/>
              <w:right w:val="single" w:color="000000" w:sz="10" w:space="0"/>
            </w:tcBorders>
            <w:vAlign w:val="top"/>
          </w:tcPr>
          <w:p w14:paraId="4A7A711F">
            <w:pPr>
              <w:pStyle w:val="6"/>
              <w:spacing w:before="158" w:line="231" w:lineRule="auto"/>
              <w:ind w:left="6454"/>
              <w:rPr>
                <w:sz w:val="20"/>
                <w:szCs w:val="20"/>
              </w:rPr>
            </w:pPr>
            <w:r>
              <w:rPr>
                <w:spacing w:val="7"/>
                <w:sz w:val="20"/>
                <w:szCs w:val="20"/>
              </w:rPr>
              <w:t>环境风险防控</w:t>
            </w:r>
          </w:p>
        </w:tc>
      </w:tr>
      <w:tr w14:paraId="6447E6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1" w:hRule="atLeast"/>
        </w:trPr>
        <w:tc>
          <w:tcPr>
            <w:tcW w:w="744" w:type="dxa"/>
            <w:tcBorders>
              <w:left w:val="single" w:color="000000" w:sz="10" w:space="0"/>
            </w:tcBorders>
            <w:vAlign w:val="top"/>
          </w:tcPr>
          <w:p w14:paraId="6D995312">
            <w:pPr>
              <w:spacing w:line="433" w:lineRule="auto"/>
              <w:rPr>
                <w:rFonts w:ascii="Arial"/>
                <w:sz w:val="21"/>
              </w:rPr>
            </w:pPr>
          </w:p>
          <w:p w14:paraId="1641B434">
            <w:pPr>
              <w:spacing w:before="58" w:line="192"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6173" w:type="dxa"/>
            <w:vAlign w:val="top"/>
          </w:tcPr>
          <w:p w14:paraId="0152D3A2">
            <w:pPr>
              <w:pStyle w:val="6"/>
              <w:spacing w:before="46" w:line="241" w:lineRule="auto"/>
              <w:ind w:left="108" w:right="91" w:firstLine="4"/>
              <w:rPr>
                <w:sz w:val="20"/>
                <w:szCs w:val="20"/>
              </w:rPr>
            </w:pPr>
            <w:r>
              <w:rPr>
                <w:spacing w:val="9"/>
                <w:sz w:val="20"/>
                <w:szCs w:val="20"/>
              </w:rPr>
              <w:t>（</w:t>
            </w:r>
            <w:r>
              <w:rPr>
                <w:rFonts w:ascii="Times New Roman" w:hAnsi="Times New Roman" w:eastAsia="Times New Roman" w:cs="Times New Roman"/>
                <w:spacing w:val="9"/>
                <w:sz w:val="20"/>
                <w:szCs w:val="20"/>
              </w:rPr>
              <w:t>1</w:t>
            </w:r>
            <w:r>
              <w:rPr>
                <w:spacing w:val="9"/>
                <w:sz w:val="20"/>
                <w:szCs w:val="20"/>
              </w:rPr>
              <w:t>）做好矿区工业场地分区防渗措施，做好废石场和弃渣场土壤</w:t>
            </w:r>
            <w:r>
              <w:rPr>
                <w:sz w:val="20"/>
                <w:szCs w:val="20"/>
              </w:rPr>
              <w:t xml:space="preserve"> </w:t>
            </w:r>
            <w:r>
              <w:rPr>
                <w:spacing w:val="7"/>
                <w:sz w:val="20"/>
                <w:szCs w:val="20"/>
              </w:rPr>
              <w:t>和地下水预防措施。</w:t>
            </w:r>
          </w:p>
          <w:p w14:paraId="2DBB2712">
            <w:pPr>
              <w:pStyle w:val="6"/>
              <w:spacing w:before="22" w:line="226" w:lineRule="auto"/>
              <w:ind w:left="108" w:right="106" w:firstLine="5"/>
              <w:rPr>
                <w:sz w:val="20"/>
                <w:szCs w:val="20"/>
              </w:rPr>
            </w:pPr>
            <w:r>
              <w:rPr>
                <w:spacing w:val="8"/>
                <w:sz w:val="20"/>
                <w:szCs w:val="20"/>
              </w:rPr>
              <w:t>（</w:t>
            </w:r>
            <w:r>
              <w:rPr>
                <w:rFonts w:ascii="Times New Roman" w:hAnsi="Times New Roman" w:eastAsia="Times New Roman" w:cs="Times New Roman"/>
                <w:spacing w:val="8"/>
                <w:sz w:val="20"/>
                <w:szCs w:val="20"/>
              </w:rPr>
              <w:t>2</w:t>
            </w:r>
            <w:r>
              <w:rPr>
                <w:spacing w:val="8"/>
                <w:sz w:val="20"/>
                <w:szCs w:val="20"/>
              </w:rPr>
              <w:t>）临近饮用水水源保护区的采矿权，严格落实相关废水处理措</w:t>
            </w:r>
            <w:r>
              <w:rPr>
                <w:spacing w:val="15"/>
                <w:sz w:val="20"/>
                <w:szCs w:val="20"/>
              </w:rPr>
              <w:t xml:space="preserve"> </w:t>
            </w:r>
            <w:r>
              <w:rPr>
                <w:spacing w:val="7"/>
                <w:sz w:val="20"/>
                <w:szCs w:val="20"/>
              </w:rPr>
              <w:t>施，严禁向饮用水源排水。</w:t>
            </w:r>
          </w:p>
        </w:tc>
        <w:tc>
          <w:tcPr>
            <w:tcW w:w="1176" w:type="dxa"/>
            <w:vAlign w:val="top"/>
          </w:tcPr>
          <w:p w14:paraId="20673942">
            <w:pPr>
              <w:spacing w:line="387" w:lineRule="auto"/>
              <w:rPr>
                <w:rFonts w:ascii="Arial"/>
                <w:sz w:val="21"/>
              </w:rPr>
            </w:pPr>
          </w:p>
          <w:p w14:paraId="051855E0">
            <w:pPr>
              <w:pStyle w:val="6"/>
              <w:spacing w:before="65" w:line="231" w:lineRule="auto"/>
              <w:ind w:left="310"/>
              <w:rPr>
                <w:sz w:val="20"/>
                <w:szCs w:val="20"/>
              </w:rPr>
            </w:pPr>
            <w:r>
              <w:rPr>
                <w:spacing w:val="-4"/>
                <w:sz w:val="20"/>
                <w:szCs w:val="20"/>
              </w:rPr>
              <w:t>已落实</w:t>
            </w:r>
          </w:p>
        </w:tc>
        <w:tc>
          <w:tcPr>
            <w:tcW w:w="6073" w:type="dxa"/>
            <w:tcBorders>
              <w:right w:val="single" w:color="000000" w:sz="10" w:space="0"/>
            </w:tcBorders>
            <w:vAlign w:val="top"/>
          </w:tcPr>
          <w:p w14:paraId="2FDEFDCF">
            <w:pPr>
              <w:spacing w:line="252" w:lineRule="auto"/>
              <w:rPr>
                <w:rFonts w:ascii="Arial"/>
                <w:sz w:val="21"/>
              </w:rPr>
            </w:pPr>
          </w:p>
          <w:p w14:paraId="0EE90068">
            <w:pPr>
              <w:pStyle w:val="6"/>
              <w:spacing w:before="65" w:line="253" w:lineRule="auto"/>
              <w:ind w:left="123" w:right="97" w:hanging="2"/>
              <w:rPr>
                <w:sz w:val="20"/>
                <w:szCs w:val="20"/>
              </w:rPr>
            </w:pPr>
            <w:r>
              <w:rPr>
                <w:spacing w:val="8"/>
                <w:sz w:val="20"/>
                <w:szCs w:val="20"/>
              </w:rPr>
              <w:t>各生产矿山按要求进行了分区防渗处理，未对地下水和饮用水造</w:t>
            </w:r>
            <w:r>
              <w:rPr>
                <w:spacing w:val="14"/>
                <w:sz w:val="20"/>
                <w:szCs w:val="20"/>
              </w:rPr>
              <w:t xml:space="preserve"> </w:t>
            </w:r>
            <w:r>
              <w:rPr>
                <w:spacing w:val="2"/>
                <w:sz w:val="20"/>
                <w:szCs w:val="20"/>
              </w:rPr>
              <w:t>成影响。</w:t>
            </w:r>
          </w:p>
        </w:tc>
      </w:tr>
      <w:tr w14:paraId="2FEDB3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14166" w:type="dxa"/>
            <w:gridSpan w:val="4"/>
            <w:tcBorders>
              <w:left w:val="single" w:color="000000" w:sz="10" w:space="0"/>
              <w:right w:val="single" w:color="000000" w:sz="10" w:space="0"/>
            </w:tcBorders>
            <w:vAlign w:val="top"/>
          </w:tcPr>
          <w:p w14:paraId="6E904C06">
            <w:pPr>
              <w:pStyle w:val="6"/>
              <w:spacing w:before="165" w:line="231" w:lineRule="auto"/>
              <w:ind w:left="6253"/>
              <w:rPr>
                <w:sz w:val="20"/>
                <w:szCs w:val="20"/>
              </w:rPr>
            </w:pPr>
            <w:r>
              <w:rPr>
                <w:spacing w:val="6"/>
                <w:sz w:val="20"/>
                <w:szCs w:val="20"/>
              </w:rPr>
              <w:t>资源开发利用要求</w:t>
            </w:r>
          </w:p>
        </w:tc>
      </w:tr>
      <w:tr w14:paraId="1032E6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7" w:hRule="atLeast"/>
        </w:trPr>
        <w:tc>
          <w:tcPr>
            <w:tcW w:w="744" w:type="dxa"/>
            <w:tcBorders>
              <w:left w:val="single" w:color="000000" w:sz="10" w:space="0"/>
              <w:bottom w:val="single" w:color="000000" w:sz="10" w:space="0"/>
            </w:tcBorders>
            <w:vAlign w:val="top"/>
          </w:tcPr>
          <w:p w14:paraId="1BA46A30">
            <w:pPr>
              <w:spacing w:line="285" w:lineRule="auto"/>
              <w:rPr>
                <w:rFonts w:ascii="Arial"/>
                <w:sz w:val="21"/>
              </w:rPr>
            </w:pPr>
          </w:p>
          <w:p w14:paraId="348E54C8">
            <w:pPr>
              <w:spacing w:line="286" w:lineRule="auto"/>
              <w:rPr>
                <w:rFonts w:ascii="Arial"/>
                <w:sz w:val="21"/>
              </w:rPr>
            </w:pPr>
          </w:p>
          <w:p w14:paraId="6A9810B7">
            <w:pPr>
              <w:spacing w:before="57" w:line="195" w:lineRule="auto"/>
              <w:ind w:left="32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6173" w:type="dxa"/>
            <w:tcBorders>
              <w:bottom w:val="single" w:color="000000" w:sz="10" w:space="0"/>
            </w:tcBorders>
            <w:vAlign w:val="top"/>
          </w:tcPr>
          <w:p w14:paraId="79D7525F">
            <w:pPr>
              <w:pStyle w:val="6"/>
              <w:spacing w:before="53" w:line="241" w:lineRule="auto"/>
              <w:ind w:left="108" w:right="91" w:firstLine="5"/>
              <w:rPr>
                <w:sz w:val="20"/>
                <w:szCs w:val="20"/>
              </w:rPr>
            </w:pPr>
            <w:r>
              <w:rPr>
                <w:spacing w:val="9"/>
                <w:sz w:val="20"/>
                <w:szCs w:val="20"/>
              </w:rPr>
              <w:t>（</w:t>
            </w:r>
            <w:r>
              <w:rPr>
                <w:rFonts w:ascii="Times New Roman" w:hAnsi="Times New Roman" w:eastAsia="Times New Roman" w:cs="Times New Roman"/>
                <w:spacing w:val="9"/>
                <w:sz w:val="20"/>
                <w:szCs w:val="20"/>
              </w:rPr>
              <w:t>1</w:t>
            </w:r>
            <w:r>
              <w:rPr>
                <w:spacing w:val="9"/>
                <w:sz w:val="20"/>
                <w:szCs w:val="20"/>
              </w:rPr>
              <w:t>）建筑石料用灰岩、水泥用灰岩开采总量不得高于规划设置指</w:t>
            </w:r>
            <w:r>
              <w:rPr>
                <w:sz w:val="20"/>
                <w:szCs w:val="20"/>
              </w:rPr>
              <w:t xml:space="preserve"> </w:t>
            </w:r>
            <w:r>
              <w:rPr>
                <w:spacing w:val="1"/>
                <w:sz w:val="20"/>
                <w:szCs w:val="20"/>
              </w:rPr>
              <w:t>标值；</w:t>
            </w:r>
          </w:p>
          <w:p w14:paraId="1B926F5C">
            <w:pPr>
              <w:pStyle w:val="6"/>
              <w:spacing w:before="21" w:line="229" w:lineRule="auto"/>
              <w:ind w:left="113"/>
              <w:rPr>
                <w:sz w:val="20"/>
                <w:szCs w:val="20"/>
              </w:rPr>
            </w:pPr>
            <w:r>
              <w:rPr>
                <w:spacing w:val="8"/>
                <w:sz w:val="20"/>
                <w:szCs w:val="20"/>
              </w:rPr>
              <w:t>（</w:t>
            </w:r>
            <w:r>
              <w:rPr>
                <w:rFonts w:ascii="Times New Roman" w:hAnsi="Times New Roman" w:eastAsia="Times New Roman" w:cs="Times New Roman"/>
                <w:spacing w:val="8"/>
                <w:sz w:val="20"/>
                <w:szCs w:val="20"/>
              </w:rPr>
              <w:t>2</w:t>
            </w:r>
            <w:r>
              <w:rPr>
                <w:spacing w:val="8"/>
                <w:sz w:val="20"/>
                <w:szCs w:val="20"/>
              </w:rPr>
              <w:t>）单个矿山最低开采规模不得低于规划设计标准；</w:t>
            </w:r>
          </w:p>
          <w:p w14:paraId="36E447F7">
            <w:pPr>
              <w:pStyle w:val="6"/>
              <w:spacing w:before="25" w:line="234" w:lineRule="auto"/>
              <w:ind w:left="108" w:right="106" w:firstLine="5"/>
              <w:rPr>
                <w:sz w:val="20"/>
                <w:szCs w:val="20"/>
              </w:rPr>
            </w:pPr>
            <w:r>
              <w:rPr>
                <w:spacing w:val="8"/>
                <w:sz w:val="20"/>
                <w:szCs w:val="20"/>
              </w:rPr>
              <w:t>（</w:t>
            </w:r>
            <w:r>
              <w:rPr>
                <w:rFonts w:ascii="Times New Roman" w:hAnsi="Times New Roman" w:eastAsia="Times New Roman" w:cs="Times New Roman"/>
                <w:spacing w:val="8"/>
                <w:sz w:val="20"/>
                <w:szCs w:val="20"/>
              </w:rPr>
              <w:t>3</w:t>
            </w:r>
            <w:r>
              <w:rPr>
                <w:spacing w:val="8"/>
                <w:sz w:val="20"/>
                <w:szCs w:val="20"/>
              </w:rPr>
              <w:t>）</w:t>
            </w:r>
            <w:r>
              <w:rPr>
                <w:rFonts w:ascii="Times New Roman" w:hAnsi="Times New Roman" w:eastAsia="Times New Roman" w:cs="Times New Roman"/>
                <w:spacing w:val="8"/>
                <w:sz w:val="20"/>
                <w:szCs w:val="20"/>
              </w:rPr>
              <w:t>“</w:t>
            </w:r>
            <w:r>
              <w:rPr>
                <w:rFonts w:ascii="Times New Roman" w:hAnsi="Times New Roman" w:eastAsia="Times New Roman" w:cs="Times New Roman"/>
                <w:spacing w:val="-21"/>
                <w:sz w:val="20"/>
                <w:szCs w:val="20"/>
              </w:rPr>
              <w:t xml:space="preserve"> </w:t>
            </w:r>
            <w:r>
              <w:rPr>
                <w:spacing w:val="8"/>
                <w:sz w:val="20"/>
                <w:szCs w:val="20"/>
              </w:rPr>
              <w:t>三率</w:t>
            </w:r>
            <w:r>
              <w:rPr>
                <w:rFonts w:ascii="Times New Roman" w:hAnsi="Times New Roman" w:eastAsia="Times New Roman" w:cs="Times New Roman"/>
                <w:spacing w:val="8"/>
                <w:sz w:val="20"/>
                <w:szCs w:val="20"/>
              </w:rPr>
              <w:t>”</w:t>
            </w:r>
            <w:r>
              <w:rPr>
                <w:spacing w:val="8"/>
                <w:sz w:val="20"/>
                <w:szCs w:val="20"/>
              </w:rPr>
              <w:t>水平达标率应满足国家和重庆市的矿产资源合理开发</w:t>
            </w:r>
            <w:r>
              <w:rPr>
                <w:sz w:val="20"/>
                <w:szCs w:val="20"/>
              </w:rPr>
              <w:t xml:space="preserve"> </w:t>
            </w:r>
            <w:r>
              <w:rPr>
                <w:spacing w:val="7"/>
                <w:sz w:val="20"/>
                <w:szCs w:val="20"/>
              </w:rPr>
              <w:t>利用</w:t>
            </w:r>
            <w:r>
              <w:rPr>
                <w:rFonts w:ascii="Times New Roman" w:hAnsi="Times New Roman" w:eastAsia="Times New Roman" w:cs="Times New Roman"/>
                <w:spacing w:val="7"/>
                <w:sz w:val="20"/>
                <w:szCs w:val="20"/>
              </w:rPr>
              <w:t>“</w:t>
            </w:r>
            <w:r>
              <w:rPr>
                <w:spacing w:val="7"/>
                <w:sz w:val="20"/>
                <w:szCs w:val="20"/>
              </w:rPr>
              <w:t>三率</w:t>
            </w:r>
            <w:r>
              <w:rPr>
                <w:rFonts w:ascii="Times New Roman" w:hAnsi="Times New Roman" w:eastAsia="Times New Roman" w:cs="Times New Roman"/>
                <w:spacing w:val="7"/>
                <w:sz w:val="20"/>
                <w:szCs w:val="20"/>
              </w:rPr>
              <w:t>”</w:t>
            </w:r>
            <w:r>
              <w:rPr>
                <w:spacing w:val="7"/>
                <w:sz w:val="20"/>
                <w:szCs w:val="20"/>
              </w:rPr>
              <w:t>最低指标要求。</w:t>
            </w:r>
          </w:p>
        </w:tc>
        <w:tc>
          <w:tcPr>
            <w:tcW w:w="1176" w:type="dxa"/>
            <w:tcBorders>
              <w:bottom w:val="single" w:color="000000" w:sz="10" w:space="0"/>
            </w:tcBorders>
            <w:vAlign w:val="top"/>
          </w:tcPr>
          <w:p w14:paraId="14B403DA">
            <w:pPr>
              <w:spacing w:line="264" w:lineRule="auto"/>
              <w:rPr>
                <w:rFonts w:ascii="Arial"/>
                <w:sz w:val="21"/>
              </w:rPr>
            </w:pPr>
          </w:p>
          <w:p w14:paraId="14A5666D">
            <w:pPr>
              <w:spacing w:line="264" w:lineRule="auto"/>
              <w:rPr>
                <w:rFonts w:ascii="Arial"/>
                <w:sz w:val="21"/>
              </w:rPr>
            </w:pPr>
          </w:p>
          <w:p w14:paraId="68FAC401">
            <w:pPr>
              <w:pStyle w:val="6"/>
              <w:spacing w:before="65" w:line="231" w:lineRule="auto"/>
              <w:ind w:left="339"/>
              <w:rPr>
                <w:sz w:val="20"/>
                <w:szCs w:val="20"/>
              </w:rPr>
            </w:pPr>
            <w:r>
              <w:rPr>
                <w:spacing w:val="-4"/>
                <w:sz w:val="20"/>
                <w:szCs w:val="20"/>
              </w:rPr>
              <w:t>已落实</w:t>
            </w:r>
          </w:p>
        </w:tc>
        <w:tc>
          <w:tcPr>
            <w:tcW w:w="6073" w:type="dxa"/>
            <w:tcBorders>
              <w:bottom w:val="single" w:color="000000" w:sz="10" w:space="0"/>
              <w:right w:val="single" w:color="000000" w:sz="10" w:space="0"/>
            </w:tcBorders>
            <w:vAlign w:val="top"/>
          </w:tcPr>
          <w:p w14:paraId="28C53BEE">
            <w:pPr>
              <w:pStyle w:val="6"/>
              <w:spacing w:before="188" w:line="229" w:lineRule="auto"/>
              <w:jc w:val="right"/>
              <w:rPr>
                <w:sz w:val="20"/>
                <w:szCs w:val="20"/>
              </w:rPr>
            </w:pPr>
            <w:r>
              <w:rPr>
                <w:rFonts w:ascii="Times New Roman" w:hAnsi="Times New Roman" w:eastAsia="Times New Roman" w:cs="Times New Roman"/>
                <w:spacing w:val="7"/>
                <w:sz w:val="20"/>
                <w:szCs w:val="20"/>
              </w:rPr>
              <w:t>1</w:t>
            </w:r>
            <w:r>
              <w:rPr>
                <w:rFonts w:ascii="Times New Roman" w:hAnsi="Times New Roman" w:eastAsia="Times New Roman" w:cs="Times New Roman"/>
                <w:spacing w:val="-19"/>
                <w:sz w:val="20"/>
                <w:szCs w:val="20"/>
              </w:rPr>
              <w:t xml:space="preserve"> </w:t>
            </w:r>
            <w:r>
              <w:rPr>
                <w:spacing w:val="7"/>
                <w:sz w:val="20"/>
                <w:szCs w:val="20"/>
              </w:rPr>
              <w:t>、建筑石料用灰岩和水泥用灰岩开采总量未</w:t>
            </w:r>
            <w:r>
              <w:rPr>
                <w:spacing w:val="6"/>
                <w:sz w:val="20"/>
                <w:szCs w:val="20"/>
              </w:rPr>
              <w:t>突破设置的指标值。</w:t>
            </w:r>
          </w:p>
          <w:p w14:paraId="5118C2CD">
            <w:pPr>
              <w:pStyle w:val="6"/>
              <w:spacing w:before="23" w:line="231" w:lineRule="auto"/>
              <w:ind w:left="111"/>
              <w:rPr>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9"/>
                <w:sz w:val="20"/>
                <w:szCs w:val="20"/>
              </w:rPr>
              <w:t xml:space="preserve"> </w:t>
            </w:r>
            <w:r>
              <w:rPr>
                <w:spacing w:val="5"/>
                <w:sz w:val="20"/>
                <w:szCs w:val="20"/>
              </w:rPr>
              <w:t>、</w:t>
            </w:r>
            <w:r>
              <w:rPr>
                <w:spacing w:val="-54"/>
                <w:sz w:val="20"/>
                <w:szCs w:val="20"/>
              </w:rPr>
              <w:t xml:space="preserve"> </w:t>
            </w:r>
            <w:r>
              <w:rPr>
                <w:spacing w:val="5"/>
                <w:sz w:val="20"/>
                <w:szCs w:val="20"/>
              </w:rPr>
              <w:t>已投放的矿山均满足最低开采规模准入标准。</w:t>
            </w:r>
          </w:p>
          <w:p w14:paraId="5C06E617">
            <w:pPr>
              <w:pStyle w:val="6"/>
              <w:spacing w:before="22" w:line="241" w:lineRule="auto"/>
              <w:ind w:left="121" w:right="42" w:hanging="6"/>
              <w:rPr>
                <w:sz w:val="20"/>
                <w:szCs w:val="20"/>
              </w:rPr>
            </w:pPr>
            <w:r>
              <w:rPr>
                <w:rFonts w:ascii="Times New Roman" w:hAnsi="Times New Roman" w:eastAsia="Times New Roman" w:cs="Times New Roman"/>
                <w:spacing w:val="5"/>
                <w:sz w:val="20"/>
                <w:szCs w:val="20"/>
              </w:rPr>
              <w:t>3</w:t>
            </w:r>
            <w:r>
              <w:rPr>
                <w:rFonts w:ascii="Times New Roman" w:hAnsi="Times New Roman" w:eastAsia="Times New Roman" w:cs="Times New Roman"/>
                <w:spacing w:val="-26"/>
                <w:sz w:val="20"/>
                <w:szCs w:val="20"/>
              </w:rPr>
              <w:t xml:space="preserve"> </w:t>
            </w:r>
            <w:r>
              <w:rPr>
                <w:rFonts w:ascii="宋体" w:hAnsi="宋体" w:eastAsia="宋体" w:cs="宋体"/>
                <w:spacing w:val="5"/>
                <w:sz w:val="20"/>
                <w:szCs w:val="20"/>
              </w:rPr>
              <w:t>、</w:t>
            </w:r>
            <w:r>
              <w:rPr>
                <w:spacing w:val="5"/>
                <w:sz w:val="20"/>
                <w:szCs w:val="20"/>
              </w:rPr>
              <w:t>在产企业“三率</w:t>
            </w:r>
            <w:r>
              <w:rPr>
                <w:spacing w:val="-70"/>
                <w:sz w:val="20"/>
                <w:szCs w:val="20"/>
              </w:rPr>
              <w:t xml:space="preserve"> </w:t>
            </w:r>
            <w:r>
              <w:rPr>
                <w:spacing w:val="5"/>
                <w:sz w:val="20"/>
                <w:szCs w:val="20"/>
              </w:rPr>
              <w:t>”水平达标率满足国家和重庆市的矿产资源合</w:t>
            </w:r>
            <w:r>
              <w:rPr>
                <w:sz w:val="20"/>
                <w:szCs w:val="20"/>
              </w:rPr>
              <w:t xml:space="preserve"> </w:t>
            </w:r>
            <w:r>
              <w:rPr>
                <w:spacing w:val="6"/>
                <w:sz w:val="20"/>
                <w:szCs w:val="20"/>
              </w:rPr>
              <w:t>理开发利用“三率</w:t>
            </w:r>
            <w:r>
              <w:rPr>
                <w:spacing w:val="-64"/>
                <w:sz w:val="20"/>
                <w:szCs w:val="20"/>
              </w:rPr>
              <w:t xml:space="preserve"> </w:t>
            </w:r>
            <w:r>
              <w:rPr>
                <w:spacing w:val="6"/>
                <w:sz w:val="20"/>
                <w:szCs w:val="20"/>
              </w:rPr>
              <w:t>”最低指标要求。</w:t>
            </w:r>
          </w:p>
        </w:tc>
      </w:tr>
    </w:tbl>
    <w:p w14:paraId="077C211C">
      <w:pPr>
        <w:pStyle w:val="2"/>
        <w:spacing w:line="213" w:lineRule="exact"/>
        <w:rPr>
          <w:sz w:val="18"/>
        </w:rPr>
      </w:pPr>
    </w:p>
    <w:p w14:paraId="4A8DD4E1">
      <w:pPr>
        <w:spacing w:line="213" w:lineRule="exact"/>
        <w:rPr>
          <w:sz w:val="18"/>
          <w:szCs w:val="18"/>
        </w:rPr>
        <w:sectPr>
          <w:footerReference r:id="rId137" w:type="default"/>
          <w:pgSz w:w="16839" w:h="11906"/>
          <w:pgMar w:top="1116" w:right="1323" w:bottom="1480" w:left="1322" w:header="683" w:footer="1318" w:gutter="0"/>
          <w:cols w:space="720" w:num="1"/>
        </w:sectPr>
      </w:pPr>
    </w:p>
    <w:p w14:paraId="5FA535F1">
      <w:pPr>
        <w:pStyle w:val="2"/>
        <w:spacing w:line="435" w:lineRule="auto"/>
      </w:pPr>
    </w:p>
    <w:p w14:paraId="00FFDCD6">
      <w:pPr>
        <w:spacing w:before="65" w:line="221" w:lineRule="auto"/>
        <w:ind w:left="5369"/>
        <w:rPr>
          <w:rFonts w:ascii="仿宋" w:hAnsi="仿宋" w:eastAsia="仿宋" w:cs="仿宋"/>
          <w:sz w:val="20"/>
          <w:szCs w:val="20"/>
        </w:rPr>
      </w:pPr>
      <w:r>
        <w:rPr>
          <w:rFonts w:ascii="仿宋" w:hAnsi="仿宋" w:eastAsia="仿宋" w:cs="仿宋"/>
          <w:b/>
          <w:bCs/>
          <w:spacing w:val="6"/>
          <w:sz w:val="20"/>
          <w:szCs w:val="20"/>
        </w:rPr>
        <w:t>表</w:t>
      </w:r>
      <w:r>
        <w:rPr>
          <w:rFonts w:ascii="仿宋" w:hAnsi="仿宋" w:eastAsia="仿宋" w:cs="仿宋"/>
          <w:spacing w:val="-37"/>
          <w:sz w:val="20"/>
          <w:szCs w:val="20"/>
        </w:rPr>
        <w:t xml:space="preserve"> </w:t>
      </w:r>
      <w:r>
        <w:rPr>
          <w:rFonts w:ascii="Times New Roman" w:hAnsi="Times New Roman" w:eastAsia="Times New Roman" w:cs="Times New Roman"/>
          <w:b/>
          <w:bCs/>
          <w:spacing w:val="6"/>
          <w:sz w:val="20"/>
          <w:szCs w:val="20"/>
        </w:rPr>
        <w:t xml:space="preserve">3.2-8 </w:t>
      </w:r>
      <w:r>
        <w:rPr>
          <w:rFonts w:ascii="仿宋" w:hAnsi="仿宋" w:eastAsia="仿宋" w:cs="仿宋"/>
          <w:b/>
          <w:bCs/>
          <w:spacing w:val="6"/>
          <w:sz w:val="20"/>
          <w:szCs w:val="20"/>
        </w:rPr>
        <w:t>规划环评中优化调整建议落实情况</w:t>
      </w:r>
    </w:p>
    <w:tbl>
      <w:tblPr>
        <w:tblStyle w:val="5"/>
        <w:tblW w:w="14177"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9"/>
        <w:gridCol w:w="932"/>
        <w:gridCol w:w="2895"/>
        <w:gridCol w:w="4318"/>
        <w:gridCol w:w="1483"/>
        <w:gridCol w:w="3610"/>
      </w:tblGrid>
      <w:tr w14:paraId="3045EA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939" w:type="dxa"/>
            <w:tcBorders>
              <w:top w:val="single" w:color="000000" w:sz="10" w:space="0"/>
              <w:left w:val="single" w:color="000000" w:sz="10" w:space="0"/>
            </w:tcBorders>
            <w:vAlign w:val="top"/>
          </w:tcPr>
          <w:p w14:paraId="279D64BD">
            <w:pPr>
              <w:pStyle w:val="6"/>
              <w:spacing w:before="37" w:line="232" w:lineRule="auto"/>
              <w:ind w:left="151"/>
              <w:rPr>
                <w:sz w:val="20"/>
                <w:szCs w:val="20"/>
              </w:rPr>
            </w:pPr>
            <w:r>
              <w:rPr>
                <w:spacing w:val="5"/>
                <w:sz w:val="20"/>
                <w:szCs w:val="20"/>
              </w:rPr>
              <w:t>规划分</w:t>
            </w:r>
          </w:p>
          <w:p w14:paraId="0A26C45C">
            <w:pPr>
              <w:pStyle w:val="6"/>
              <w:spacing w:before="19" w:line="216" w:lineRule="auto"/>
              <w:ind w:left="378"/>
              <w:rPr>
                <w:sz w:val="20"/>
                <w:szCs w:val="20"/>
              </w:rPr>
            </w:pPr>
            <w:r>
              <w:rPr>
                <w:sz w:val="20"/>
                <w:szCs w:val="20"/>
              </w:rPr>
              <w:t>区</w:t>
            </w:r>
          </w:p>
        </w:tc>
        <w:tc>
          <w:tcPr>
            <w:tcW w:w="932" w:type="dxa"/>
            <w:tcBorders>
              <w:top w:val="single" w:color="000000" w:sz="10" w:space="0"/>
            </w:tcBorders>
            <w:vAlign w:val="top"/>
          </w:tcPr>
          <w:p w14:paraId="5C7F6915">
            <w:pPr>
              <w:pStyle w:val="6"/>
              <w:spacing w:before="172" w:line="229" w:lineRule="auto"/>
              <w:ind w:left="257"/>
              <w:rPr>
                <w:sz w:val="20"/>
                <w:szCs w:val="20"/>
              </w:rPr>
            </w:pPr>
            <w:r>
              <w:rPr>
                <w:spacing w:val="2"/>
                <w:sz w:val="20"/>
                <w:szCs w:val="20"/>
              </w:rPr>
              <w:t>矿种</w:t>
            </w:r>
          </w:p>
        </w:tc>
        <w:tc>
          <w:tcPr>
            <w:tcW w:w="2895" w:type="dxa"/>
            <w:tcBorders>
              <w:top w:val="single" w:color="000000" w:sz="10" w:space="0"/>
            </w:tcBorders>
            <w:vAlign w:val="top"/>
          </w:tcPr>
          <w:p w14:paraId="45CBAB66">
            <w:pPr>
              <w:pStyle w:val="6"/>
              <w:spacing w:before="172" w:line="229" w:lineRule="auto"/>
              <w:ind w:left="719"/>
              <w:rPr>
                <w:sz w:val="20"/>
                <w:szCs w:val="20"/>
              </w:rPr>
            </w:pPr>
            <w:r>
              <w:rPr>
                <w:spacing w:val="7"/>
                <w:sz w:val="20"/>
                <w:szCs w:val="20"/>
              </w:rPr>
              <w:t>分区编号及名称</w:t>
            </w:r>
          </w:p>
        </w:tc>
        <w:tc>
          <w:tcPr>
            <w:tcW w:w="4318" w:type="dxa"/>
            <w:tcBorders>
              <w:top w:val="single" w:color="000000" w:sz="10" w:space="0"/>
            </w:tcBorders>
            <w:vAlign w:val="top"/>
          </w:tcPr>
          <w:p w14:paraId="6246AAC3">
            <w:pPr>
              <w:pStyle w:val="6"/>
              <w:spacing w:before="172" w:line="232" w:lineRule="auto"/>
              <w:ind w:left="1751"/>
              <w:rPr>
                <w:sz w:val="20"/>
                <w:szCs w:val="20"/>
              </w:rPr>
            </w:pPr>
            <w:r>
              <w:rPr>
                <w:spacing w:val="5"/>
                <w:sz w:val="20"/>
                <w:szCs w:val="20"/>
              </w:rPr>
              <w:t>调整建议</w:t>
            </w:r>
          </w:p>
        </w:tc>
        <w:tc>
          <w:tcPr>
            <w:tcW w:w="1483" w:type="dxa"/>
            <w:tcBorders>
              <w:top w:val="single" w:color="000000" w:sz="10" w:space="0"/>
            </w:tcBorders>
            <w:vAlign w:val="top"/>
          </w:tcPr>
          <w:p w14:paraId="4FDF91EA">
            <w:pPr>
              <w:pStyle w:val="6"/>
              <w:spacing w:before="171" w:line="231" w:lineRule="auto"/>
              <w:ind w:left="347"/>
              <w:rPr>
                <w:sz w:val="20"/>
                <w:szCs w:val="20"/>
              </w:rPr>
            </w:pPr>
            <w:r>
              <w:rPr>
                <w:spacing w:val="3"/>
                <w:sz w:val="20"/>
                <w:szCs w:val="20"/>
              </w:rPr>
              <w:t>落实情况</w:t>
            </w:r>
          </w:p>
        </w:tc>
        <w:tc>
          <w:tcPr>
            <w:tcW w:w="3610" w:type="dxa"/>
            <w:tcBorders>
              <w:top w:val="single" w:color="000000" w:sz="10" w:space="0"/>
              <w:right w:val="single" w:color="000000" w:sz="10" w:space="0"/>
            </w:tcBorders>
            <w:vAlign w:val="top"/>
          </w:tcPr>
          <w:p w14:paraId="4E9C6F6A">
            <w:pPr>
              <w:pStyle w:val="6"/>
              <w:spacing w:before="172" w:line="232" w:lineRule="auto"/>
              <w:ind w:left="1295"/>
              <w:rPr>
                <w:sz w:val="20"/>
                <w:szCs w:val="20"/>
              </w:rPr>
            </w:pPr>
            <w:r>
              <w:rPr>
                <w:spacing w:val="6"/>
                <w:sz w:val="20"/>
                <w:szCs w:val="20"/>
              </w:rPr>
              <w:t>说明与备注</w:t>
            </w:r>
          </w:p>
        </w:tc>
      </w:tr>
      <w:tr w14:paraId="0CBC5E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939" w:type="dxa"/>
            <w:vMerge w:val="restart"/>
            <w:tcBorders>
              <w:left w:val="single" w:color="000000" w:sz="10" w:space="0"/>
              <w:bottom w:val="nil"/>
            </w:tcBorders>
            <w:vAlign w:val="top"/>
          </w:tcPr>
          <w:p w14:paraId="6DAAB601">
            <w:pPr>
              <w:spacing w:line="251" w:lineRule="auto"/>
              <w:rPr>
                <w:rFonts w:ascii="Arial"/>
                <w:sz w:val="21"/>
              </w:rPr>
            </w:pPr>
          </w:p>
          <w:p w14:paraId="0B007A6D">
            <w:pPr>
              <w:spacing w:line="251" w:lineRule="auto"/>
              <w:rPr>
                <w:rFonts w:ascii="Arial"/>
                <w:sz w:val="21"/>
              </w:rPr>
            </w:pPr>
          </w:p>
          <w:p w14:paraId="61FCCAED">
            <w:pPr>
              <w:spacing w:line="251" w:lineRule="auto"/>
              <w:rPr>
                <w:rFonts w:ascii="Arial"/>
                <w:sz w:val="21"/>
              </w:rPr>
            </w:pPr>
          </w:p>
          <w:p w14:paraId="678F19A5">
            <w:pPr>
              <w:spacing w:line="251" w:lineRule="auto"/>
              <w:rPr>
                <w:rFonts w:ascii="Arial"/>
                <w:sz w:val="21"/>
              </w:rPr>
            </w:pPr>
          </w:p>
          <w:p w14:paraId="7C7291ED">
            <w:pPr>
              <w:spacing w:line="251" w:lineRule="auto"/>
              <w:rPr>
                <w:rFonts w:ascii="Arial"/>
                <w:sz w:val="21"/>
              </w:rPr>
            </w:pPr>
          </w:p>
          <w:p w14:paraId="1C164BA7">
            <w:pPr>
              <w:spacing w:line="251" w:lineRule="auto"/>
              <w:rPr>
                <w:rFonts w:ascii="Arial"/>
                <w:sz w:val="21"/>
              </w:rPr>
            </w:pPr>
          </w:p>
          <w:p w14:paraId="30BDBA60">
            <w:pPr>
              <w:spacing w:line="251" w:lineRule="auto"/>
              <w:rPr>
                <w:rFonts w:ascii="Arial"/>
                <w:sz w:val="21"/>
              </w:rPr>
            </w:pPr>
          </w:p>
          <w:p w14:paraId="763757B4">
            <w:pPr>
              <w:spacing w:line="251" w:lineRule="auto"/>
              <w:rPr>
                <w:rFonts w:ascii="Arial"/>
                <w:sz w:val="21"/>
              </w:rPr>
            </w:pPr>
          </w:p>
          <w:p w14:paraId="20251698">
            <w:pPr>
              <w:spacing w:line="252" w:lineRule="auto"/>
              <w:rPr>
                <w:rFonts w:ascii="Arial"/>
                <w:sz w:val="21"/>
              </w:rPr>
            </w:pPr>
          </w:p>
          <w:p w14:paraId="51FCF0BB">
            <w:pPr>
              <w:spacing w:line="252" w:lineRule="auto"/>
              <w:rPr>
                <w:rFonts w:ascii="Arial"/>
                <w:sz w:val="21"/>
              </w:rPr>
            </w:pPr>
          </w:p>
          <w:p w14:paraId="07217801">
            <w:pPr>
              <w:spacing w:line="252" w:lineRule="auto"/>
              <w:rPr>
                <w:rFonts w:ascii="Arial"/>
                <w:sz w:val="21"/>
              </w:rPr>
            </w:pPr>
          </w:p>
          <w:p w14:paraId="4ACB8547">
            <w:pPr>
              <w:spacing w:line="252" w:lineRule="auto"/>
              <w:rPr>
                <w:rFonts w:ascii="Arial"/>
                <w:sz w:val="21"/>
              </w:rPr>
            </w:pPr>
          </w:p>
          <w:p w14:paraId="36C53E12">
            <w:pPr>
              <w:spacing w:line="252" w:lineRule="auto"/>
              <w:rPr>
                <w:rFonts w:ascii="Arial"/>
                <w:sz w:val="21"/>
              </w:rPr>
            </w:pPr>
          </w:p>
          <w:p w14:paraId="6224BE26">
            <w:pPr>
              <w:spacing w:line="252" w:lineRule="auto"/>
              <w:rPr>
                <w:rFonts w:ascii="Arial"/>
                <w:sz w:val="21"/>
              </w:rPr>
            </w:pPr>
          </w:p>
          <w:p w14:paraId="77D678A3">
            <w:pPr>
              <w:pStyle w:val="6"/>
              <w:spacing w:before="65" w:line="231" w:lineRule="auto"/>
              <w:ind w:left="151"/>
              <w:rPr>
                <w:sz w:val="20"/>
                <w:szCs w:val="20"/>
              </w:rPr>
            </w:pPr>
            <w:r>
              <w:rPr>
                <w:spacing w:val="5"/>
                <w:sz w:val="20"/>
                <w:szCs w:val="20"/>
              </w:rPr>
              <w:t>规划开</w:t>
            </w:r>
          </w:p>
          <w:p w14:paraId="02CA23FC">
            <w:pPr>
              <w:pStyle w:val="6"/>
              <w:spacing w:before="23" w:line="231" w:lineRule="auto"/>
              <w:ind w:left="153"/>
              <w:rPr>
                <w:sz w:val="20"/>
                <w:szCs w:val="20"/>
              </w:rPr>
            </w:pPr>
            <w:r>
              <w:rPr>
                <w:spacing w:val="4"/>
                <w:sz w:val="20"/>
                <w:szCs w:val="20"/>
              </w:rPr>
              <w:t>采区块</w:t>
            </w:r>
          </w:p>
        </w:tc>
        <w:tc>
          <w:tcPr>
            <w:tcW w:w="932" w:type="dxa"/>
            <w:vAlign w:val="top"/>
          </w:tcPr>
          <w:p w14:paraId="7A4741E2">
            <w:pPr>
              <w:pStyle w:val="6"/>
              <w:spacing w:before="33" w:line="233" w:lineRule="auto"/>
              <w:ind w:left="258" w:right="160" w:hanging="106"/>
              <w:rPr>
                <w:sz w:val="20"/>
                <w:szCs w:val="20"/>
              </w:rPr>
            </w:pPr>
            <w:r>
              <w:rPr>
                <w:spacing w:val="4"/>
                <w:sz w:val="20"/>
                <w:szCs w:val="20"/>
              </w:rPr>
              <w:t>饰面用</w:t>
            </w:r>
            <w:r>
              <w:rPr>
                <w:spacing w:val="1"/>
                <w:sz w:val="20"/>
                <w:szCs w:val="20"/>
              </w:rPr>
              <w:t xml:space="preserve"> 灰岩</w:t>
            </w:r>
          </w:p>
        </w:tc>
        <w:tc>
          <w:tcPr>
            <w:tcW w:w="2895" w:type="dxa"/>
            <w:vAlign w:val="top"/>
          </w:tcPr>
          <w:p w14:paraId="66952AF4">
            <w:pPr>
              <w:pStyle w:val="6"/>
              <w:spacing w:before="33" w:line="233" w:lineRule="auto"/>
              <w:ind w:left="506" w:right="179" w:hanging="335"/>
              <w:rPr>
                <w:sz w:val="20"/>
                <w:szCs w:val="20"/>
              </w:rPr>
            </w:pPr>
            <w:r>
              <w:rPr>
                <w:rFonts w:ascii="Times New Roman" w:hAnsi="Times New Roman" w:eastAsia="Times New Roman" w:cs="Times New Roman"/>
                <w:sz w:val="20"/>
                <w:szCs w:val="20"/>
              </w:rPr>
              <w:t>CQ</w:t>
            </w:r>
            <w:r>
              <w:rPr>
                <w:rFonts w:ascii="Times New Roman" w:hAnsi="Times New Roman" w:eastAsia="Times New Roman" w:cs="Times New Roman"/>
                <w:spacing w:val="7"/>
                <w:sz w:val="20"/>
                <w:szCs w:val="20"/>
              </w:rPr>
              <w:t>001</w:t>
            </w:r>
            <w:r>
              <w:rPr>
                <w:rFonts w:ascii="Times New Roman" w:hAnsi="Times New Roman" w:eastAsia="Times New Roman" w:cs="Times New Roman"/>
                <w:spacing w:val="26"/>
                <w:sz w:val="20"/>
                <w:szCs w:val="20"/>
              </w:rPr>
              <w:t xml:space="preserve"> </w:t>
            </w:r>
            <w:r>
              <w:rPr>
                <w:spacing w:val="7"/>
                <w:sz w:val="20"/>
                <w:szCs w:val="20"/>
              </w:rPr>
              <w:t>重庆市黔江区舟白街</w:t>
            </w:r>
            <w:r>
              <w:rPr>
                <w:sz w:val="20"/>
                <w:szCs w:val="20"/>
              </w:rPr>
              <w:t xml:space="preserve"> </w:t>
            </w:r>
            <w:r>
              <w:rPr>
                <w:spacing w:val="8"/>
                <w:sz w:val="20"/>
                <w:szCs w:val="20"/>
              </w:rPr>
              <w:t>道丛山饰面用灰岩矿</w:t>
            </w:r>
          </w:p>
        </w:tc>
        <w:tc>
          <w:tcPr>
            <w:tcW w:w="4318" w:type="dxa"/>
            <w:vMerge w:val="restart"/>
            <w:tcBorders>
              <w:bottom w:val="nil"/>
            </w:tcBorders>
            <w:vAlign w:val="top"/>
          </w:tcPr>
          <w:p w14:paraId="25C07FF1">
            <w:pPr>
              <w:spacing w:line="326" w:lineRule="auto"/>
              <w:rPr>
                <w:rFonts w:ascii="Arial"/>
                <w:sz w:val="21"/>
              </w:rPr>
            </w:pPr>
          </w:p>
          <w:p w14:paraId="2AC5F818">
            <w:pPr>
              <w:spacing w:line="327" w:lineRule="auto"/>
              <w:rPr>
                <w:rFonts w:ascii="Arial"/>
                <w:sz w:val="21"/>
              </w:rPr>
            </w:pPr>
          </w:p>
          <w:p w14:paraId="1415FDF7">
            <w:pPr>
              <w:pStyle w:val="6"/>
              <w:spacing w:before="65" w:line="230" w:lineRule="auto"/>
              <w:ind w:left="119"/>
              <w:rPr>
                <w:sz w:val="20"/>
                <w:szCs w:val="20"/>
              </w:rPr>
            </w:pPr>
            <w:r>
              <w:rPr>
                <w:spacing w:val="7"/>
                <w:sz w:val="20"/>
                <w:szCs w:val="20"/>
              </w:rPr>
              <w:t>全部位于城周山体管制区禁建区。</w:t>
            </w:r>
          </w:p>
          <w:p w14:paraId="23B33EE7">
            <w:pPr>
              <w:pStyle w:val="6"/>
              <w:spacing w:before="23" w:line="229" w:lineRule="auto"/>
              <w:ind w:left="114"/>
              <w:rPr>
                <w:sz w:val="20"/>
                <w:szCs w:val="20"/>
              </w:rPr>
            </w:pPr>
            <w:r>
              <w:rPr>
                <w:spacing w:val="8"/>
                <w:sz w:val="20"/>
                <w:szCs w:val="20"/>
              </w:rPr>
              <w:t>建议限期退出，并做好退出后的生态修复。</w:t>
            </w:r>
          </w:p>
        </w:tc>
        <w:tc>
          <w:tcPr>
            <w:tcW w:w="1483" w:type="dxa"/>
            <w:vAlign w:val="top"/>
          </w:tcPr>
          <w:p w14:paraId="64C45FAB">
            <w:pPr>
              <w:pStyle w:val="6"/>
              <w:spacing w:before="168" w:line="231" w:lineRule="auto"/>
              <w:ind w:left="469"/>
              <w:rPr>
                <w:sz w:val="20"/>
                <w:szCs w:val="20"/>
              </w:rPr>
            </w:pPr>
            <w:r>
              <w:rPr>
                <w:spacing w:val="-4"/>
                <w:sz w:val="20"/>
                <w:szCs w:val="20"/>
              </w:rPr>
              <w:t>已落实</w:t>
            </w:r>
          </w:p>
        </w:tc>
        <w:tc>
          <w:tcPr>
            <w:tcW w:w="3610" w:type="dxa"/>
            <w:tcBorders>
              <w:right w:val="single" w:color="000000" w:sz="10" w:space="0"/>
            </w:tcBorders>
            <w:vAlign w:val="top"/>
          </w:tcPr>
          <w:p w14:paraId="6A5F6DB8">
            <w:pPr>
              <w:pStyle w:val="6"/>
              <w:spacing w:before="33" w:line="233" w:lineRule="auto"/>
              <w:ind w:left="143" w:right="98" w:hanging="24"/>
              <w:rPr>
                <w:sz w:val="20"/>
                <w:szCs w:val="20"/>
              </w:rPr>
            </w:pPr>
            <w:r>
              <w:rPr>
                <w:rFonts w:ascii="Times New Roman" w:hAnsi="Times New Roman" w:eastAsia="Times New Roman" w:cs="Times New Roman"/>
                <w:sz w:val="20"/>
                <w:szCs w:val="20"/>
              </w:rPr>
              <w:t>CQ</w:t>
            </w:r>
            <w:r>
              <w:rPr>
                <w:rFonts w:ascii="Times New Roman" w:hAnsi="Times New Roman" w:eastAsia="Times New Roman" w:cs="Times New Roman"/>
                <w:spacing w:val="5"/>
                <w:sz w:val="20"/>
                <w:szCs w:val="20"/>
              </w:rPr>
              <w:t xml:space="preserve">001  </w:t>
            </w:r>
            <w:r>
              <w:rPr>
                <w:spacing w:val="5"/>
                <w:sz w:val="20"/>
                <w:szCs w:val="20"/>
              </w:rPr>
              <w:t>目前已关闭，且城周山体管制</w:t>
            </w:r>
            <w:r>
              <w:rPr>
                <w:spacing w:val="7"/>
                <w:sz w:val="20"/>
                <w:szCs w:val="20"/>
              </w:rPr>
              <w:t xml:space="preserve"> </w:t>
            </w:r>
            <w:r>
              <w:rPr>
                <w:spacing w:val="1"/>
                <w:sz w:val="20"/>
                <w:szCs w:val="20"/>
              </w:rPr>
              <w:t>区已取消。</w:t>
            </w:r>
          </w:p>
        </w:tc>
      </w:tr>
      <w:tr w14:paraId="558FE2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939" w:type="dxa"/>
            <w:vMerge w:val="continue"/>
            <w:tcBorders>
              <w:top w:val="nil"/>
              <w:left w:val="single" w:color="000000" w:sz="10" w:space="0"/>
              <w:bottom w:val="nil"/>
            </w:tcBorders>
            <w:vAlign w:val="top"/>
          </w:tcPr>
          <w:p w14:paraId="56AAFBBA">
            <w:pPr>
              <w:rPr>
                <w:rFonts w:ascii="Arial"/>
                <w:sz w:val="21"/>
              </w:rPr>
            </w:pPr>
          </w:p>
        </w:tc>
        <w:tc>
          <w:tcPr>
            <w:tcW w:w="932" w:type="dxa"/>
            <w:vMerge w:val="restart"/>
            <w:tcBorders>
              <w:bottom w:val="nil"/>
            </w:tcBorders>
            <w:vAlign w:val="top"/>
          </w:tcPr>
          <w:p w14:paraId="187873B4">
            <w:pPr>
              <w:spacing w:line="308" w:lineRule="auto"/>
              <w:rPr>
                <w:rFonts w:ascii="Arial"/>
                <w:sz w:val="21"/>
              </w:rPr>
            </w:pPr>
          </w:p>
          <w:p w14:paraId="4AFB11E8">
            <w:pPr>
              <w:spacing w:line="308" w:lineRule="auto"/>
              <w:rPr>
                <w:rFonts w:ascii="Arial"/>
                <w:sz w:val="21"/>
              </w:rPr>
            </w:pPr>
          </w:p>
          <w:p w14:paraId="2AEE985E">
            <w:pPr>
              <w:spacing w:line="308" w:lineRule="auto"/>
              <w:rPr>
                <w:rFonts w:ascii="Arial"/>
                <w:sz w:val="21"/>
              </w:rPr>
            </w:pPr>
          </w:p>
          <w:p w14:paraId="109D2918">
            <w:pPr>
              <w:pStyle w:val="6"/>
              <w:spacing w:before="65" w:line="232" w:lineRule="auto"/>
              <w:ind w:left="151"/>
              <w:rPr>
                <w:sz w:val="20"/>
                <w:szCs w:val="20"/>
              </w:rPr>
            </w:pPr>
            <w:r>
              <w:rPr>
                <w:spacing w:val="5"/>
                <w:sz w:val="20"/>
                <w:szCs w:val="20"/>
              </w:rPr>
              <w:t>建筑石</w:t>
            </w:r>
          </w:p>
          <w:p w14:paraId="41A571A6">
            <w:pPr>
              <w:pStyle w:val="6"/>
              <w:spacing w:before="22" w:line="252" w:lineRule="auto"/>
              <w:ind w:left="360" w:right="160" w:hanging="209"/>
              <w:rPr>
                <w:sz w:val="20"/>
                <w:szCs w:val="20"/>
              </w:rPr>
            </w:pPr>
            <w:r>
              <w:rPr>
                <w:spacing w:val="5"/>
                <w:sz w:val="20"/>
                <w:szCs w:val="20"/>
              </w:rPr>
              <w:t>料用灰</w:t>
            </w:r>
            <w:r>
              <w:rPr>
                <w:sz w:val="20"/>
                <w:szCs w:val="20"/>
              </w:rPr>
              <w:t xml:space="preserve"> 岩</w:t>
            </w:r>
          </w:p>
        </w:tc>
        <w:tc>
          <w:tcPr>
            <w:tcW w:w="2895" w:type="dxa"/>
            <w:vAlign w:val="top"/>
          </w:tcPr>
          <w:p w14:paraId="25120C26">
            <w:pPr>
              <w:pStyle w:val="6"/>
              <w:spacing w:before="34" w:line="232" w:lineRule="auto"/>
              <w:ind w:left="405" w:right="179" w:hanging="234"/>
              <w:rPr>
                <w:sz w:val="20"/>
                <w:szCs w:val="20"/>
              </w:rPr>
            </w:pPr>
            <w:r>
              <w:rPr>
                <w:rFonts w:ascii="Times New Roman" w:hAnsi="Times New Roman" w:eastAsia="Times New Roman" w:cs="Times New Roman"/>
                <w:sz w:val="20"/>
                <w:szCs w:val="20"/>
              </w:rPr>
              <w:t>CQ</w:t>
            </w:r>
            <w:r>
              <w:rPr>
                <w:rFonts w:ascii="Times New Roman" w:hAnsi="Times New Roman" w:eastAsia="Times New Roman" w:cs="Times New Roman"/>
                <w:spacing w:val="7"/>
                <w:sz w:val="20"/>
                <w:szCs w:val="20"/>
              </w:rPr>
              <w:t>003</w:t>
            </w:r>
            <w:r>
              <w:rPr>
                <w:rFonts w:ascii="Times New Roman" w:hAnsi="Times New Roman" w:eastAsia="Times New Roman" w:cs="Times New Roman"/>
                <w:spacing w:val="26"/>
                <w:sz w:val="20"/>
                <w:szCs w:val="20"/>
              </w:rPr>
              <w:t xml:space="preserve"> </w:t>
            </w:r>
            <w:r>
              <w:rPr>
                <w:spacing w:val="7"/>
                <w:sz w:val="20"/>
                <w:szCs w:val="20"/>
              </w:rPr>
              <w:t>重庆市黔江区水田乡</w:t>
            </w:r>
            <w:r>
              <w:rPr>
                <w:sz w:val="20"/>
                <w:szCs w:val="20"/>
              </w:rPr>
              <w:t xml:space="preserve"> </w:t>
            </w:r>
            <w:r>
              <w:rPr>
                <w:spacing w:val="8"/>
                <w:sz w:val="20"/>
                <w:szCs w:val="20"/>
              </w:rPr>
              <w:t>大堡建筑石料用灰岩矿</w:t>
            </w:r>
          </w:p>
        </w:tc>
        <w:tc>
          <w:tcPr>
            <w:tcW w:w="4318" w:type="dxa"/>
            <w:vMerge w:val="continue"/>
            <w:tcBorders>
              <w:top w:val="nil"/>
              <w:bottom w:val="nil"/>
            </w:tcBorders>
            <w:vAlign w:val="top"/>
          </w:tcPr>
          <w:p w14:paraId="2232796B">
            <w:pPr>
              <w:rPr>
                <w:rFonts w:ascii="Arial"/>
                <w:sz w:val="21"/>
              </w:rPr>
            </w:pPr>
          </w:p>
        </w:tc>
        <w:tc>
          <w:tcPr>
            <w:tcW w:w="1483" w:type="dxa"/>
            <w:vAlign w:val="top"/>
          </w:tcPr>
          <w:p w14:paraId="7DF4E737">
            <w:pPr>
              <w:pStyle w:val="6"/>
              <w:spacing w:before="169" w:line="231" w:lineRule="auto"/>
              <w:ind w:left="469"/>
              <w:rPr>
                <w:sz w:val="20"/>
                <w:szCs w:val="20"/>
              </w:rPr>
            </w:pPr>
            <w:r>
              <w:rPr>
                <w:spacing w:val="-4"/>
                <w:sz w:val="20"/>
                <w:szCs w:val="20"/>
              </w:rPr>
              <w:t>已落实</w:t>
            </w:r>
          </w:p>
        </w:tc>
        <w:tc>
          <w:tcPr>
            <w:tcW w:w="3610" w:type="dxa"/>
            <w:tcBorders>
              <w:right w:val="single" w:color="000000" w:sz="10" w:space="0"/>
            </w:tcBorders>
            <w:vAlign w:val="top"/>
          </w:tcPr>
          <w:p w14:paraId="7809E4C7">
            <w:pPr>
              <w:pStyle w:val="6"/>
              <w:spacing w:before="169" w:line="230" w:lineRule="auto"/>
              <w:ind w:left="130"/>
              <w:rPr>
                <w:sz w:val="20"/>
                <w:szCs w:val="20"/>
              </w:rPr>
            </w:pPr>
            <w:r>
              <w:rPr>
                <w:spacing w:val="7"/>
                <w:sz w:val="20"/>
                <w:szCs w:val="20"/>
              </w:rPr>
              <w:t>城周山体管制区已取消。</w:t>
            </w:r>
          </w:p>
        </w:tc>
      </w:tr>
      <w:tr w14:paraId="7F27D2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939" w:type="dxa"/>
            <w:vMerge w:val="continue"/>
            <w:tcBorders>
              <w:top w:val="nil"/>
              <w:left w:val="single" w:color="000000" w:sz="10" w:space="0"/>
              <w:bottom w:val="nil"/>
            </w:tcBorders>
            <w:vAlign w:val="top"/>
          </w:tcPr>
          <w:p w14:paraId="6CD23BA5">
            <w:pPr>
              <w:rPr>
                <w:rFonts w:ascii="Arial"/>
                <w:sz w:val="21"/>
              </w:rPr>
            </w:pPr>
          </w:p>
        </w:tc>
        <w:tc>
          <w:tcPr>
            <w:tcW w:w="932" w:type="dxa"/>
            <w:vMerge w:val="continue"/>
            <w:tcBorders>
              <w:top w:val="nil"/>
              <w:bottom w:val="nil"/>
            </w:tcBorders>
            <w:vAlign w:val="top"/>
          </w:tcPr>
          <w:p w14:paraId="6CC791FE">
            <w:pPr>
              <w:rPr>
                <w:rFonts w:ascii="Arial"/>
                <w:sz w:val="21"/>
              </w:rPr>
            </w:pPr>
          </w:p>
        </w:tc>
        <w:tc>
          <w:tcPr>
            <w:tcW w:w="2895" w:type="dxa"/>
            <w:vAlign w:val="top"/>
          </w:tcPr>
          <w:p w14:paraId="32733387">
            <w:pPr>
              <w:pStyle w:val="6"/>
              <w:spacing w:before="37" w:line="221" w:lineRule="auto"/>
              <w:ind w:left="171"/>
              <w:rPr>
                <w:sz w:val="20"/>
                <w:szCs w:val="20"/>
              </w:rPr>
            </w:pPr>
            <w:r>
              <w:rPr>
                <w:rFonts w:ascii="Times New Roman" w:hAnsi="Times New Roman" w:eastAsia="Times New Roman" w:cs="Times New Roman"/>
                <w:sz w:val="20"/>
                <w:szCs w:val="20"/>
              </w:rPr>
              <w:t>CQ</w:t>
            </w:r>
            <w:r>
              <w:rPr>
                <w:rFonts w:ascii="Times New Roman" w:hAnsi="Times New Roman" w:eastAsia="Times New Roman" w:cs="Times New Roman"/>
                <w:spacing w:val="7"/>
                <w:sz w:val="20"/>
                <w:szCs w:val="20"/>
              </w:rPr>
              <w:t>007</w:t>
            </w:r>
            <w:r>
              <w:rPr>
                <w:rFonts w:ascii="Times New Roman" w:hAnsi="Times New Roman" w:eastAsia="Times New Roman" w:cs="Times New Roman"/>
                <w:spacing w:val="26"/>
                <w:sz w:val="20"/>
                <w:szCs w:val="20"/>
              </w:rPr>
              <w:t xml:space="preserve"> </w:t>
            </w:r>
            <w:r>
              <w:rPr>
                <w:spacing w:val="7"/>
                <w:sz w:val="20"/>
                <w:szCs w:val="20"/>
              </w:rPr>
              <w:t>重庆市黔江区中塘镇</w:t>
            </w:r>
          </w:p>
          <w:p w14:paraId="62A88592">
            <w:pPr>
              <w:pStyle w:val="6"/>
              <w:spacing w:before="31" w:line="229" w:lineRule="auto"/>
              <w:ind w:left="196"/>
              <w:rPr>
                <w:sz w:val="20"/>
                <w:szCs w:val="20"/>
              </w:rPr>
            </w:pPr>
            <w:r>
              <w:rPr>
                <w:spacing w:val="8"/>
                <w:sz w:val="20"/>
                <w:szCs w:val="20"/>
              </w:rPr>
              <w:t>兴权村中波建筑石料用灰岩</w:t>
            </w:r>
          </w:p>
          <w:p w14:paraId="53B34172">
            <w:pPr>
              <w:pStyle w:val="6"/>
              <w:spacing w:before="25" w:line="210" w:lineRule="auto"/>
              <w:ind w:left="1346"/>
              <w:rPr>
                <w:sz w:val="20"/>
                <w:szCs w:val="20"/>
              </w:rPr>
            </w:pPr>
            <w:r>
              <w:rPr>
                <w:sz w:val="20"/>
                <w:szCs w:val="20"/>
              </w:rPr>
              <w:t>矿</w:t>
            </w:r>
          </w:p>
        </w:tc>
        <w:tc>
          <w:tcPr>
            <w:tcW w:w="4318" w:type="dxa"/>
            <w:vMerge w:val="continue"/>
            <w:tcBorders>
              <w:top w:val="nil"/>
            </w:tcBorders>
            <w:vAlign w:val="top"/>
          </w:tcPr>
          <w:p w14:paraId="1732B239">
            <w:pPr>
              <w:rPr>
                <w:rFonts w:ascii="Arial"/>
                <w:sz w:val="21"/>
              </w:rPr>
            </w:pPr>
          </w:p>
        </w:tc>
        <w:tc>
          <w:tcPr>
            <w:tcW w:w="1483" w:type="dxa"/>
            <w:vAlign w:val="top"/>
          </w:tcPr>
          <w:p w14:paraId="199416FC">
            <w:pPr>
              <w:spacing w:line="242" w:lineRule="auto"/>
              <w:rPr>
                <w:rFonts w:ascii="Arial"/>
                <w:sz w:val="21"/>
              </w:rPr>
            </w:pPr>
          </w:p>
          <w:p w14:paraId="46E34ED3">
            <w:pPr>
              <w:pStyle w:val="6"/>
              <w:spacing w:before="65" w:line="231" w:lineRule="auto"/>
              <w:ind w:left="469"/>
              <w:rPr>
                <w:sz w:val="20"/>
                <w:szCs w:val="20"/>
              </w:rPr>
            </w:pPr>
            <w:r>
              <w:rPr>
                <w:spacing w:val="-4"/>
                <w:sz w:val="20"/>
                <w:szCs w:val="20"/>
              </w:rPr>
              <w:t>已落实</w:t>
            </w:r>
          </w:p>
        </w:tc>
        <w:tc>
          <w:tcPr>
            <w:tcW w:w="3610" w:type="dxa"/>
            <w:tcBorders>
              <w:right w:val="single" w:color="000000" w:sz="10" w:space="0"/>
            </w:tcBorders>
            <w:vAlign w:val="top"/>
          </w:tcPr>
          <w:p w14:paraId="1AC36A72">
            <w:pPr>
              <w:pStyle w:val="6"/>
              <w:spacing w:before="173" w:line="248" w:lineRule="auto"/>
              <w:ind w:left="143" w:right="98" w:hanging="24"/>
              <w:rPr>
                <w:sz w:val="20"/>
                <w:szCs w:val="20"/>
              </w:rPr>
            </w:pPr>
            <w:r>
              <w:rPr>
                <w:rFonts w:ascii="Times New Roman" w:hAnsi="Times New Roman" w:eastAsia="Times New Roman" w:cs="Times New Roman"/>
                <w:sz w:val="20"/>
                <w:szCs w:val="20"/>
              </w:rPr>
              <w:t>CQ</w:t>
            </w:r>
            <w:r>
              <w:rPr>
                <w:rFonts w:ascii="Times New Roman" w:hAnsi="Times New Roman" w:eastAsia="Times New Roman" w:cs="Times New Roman"/>
                <w:spacing w:val="5"/>
                <w:sz w:val="20"/>
                <w:szCs w:val="20"/>
              </w:rPr>
              <w:t xml:space="preserve">007  </w:t>
            </w:r>
            <w:r>
              <w:rPr>
                <w:spacing w:val="5"/>
                <w:sz w:val="20"/>
                <w:szCs w:val="20"/>
              </w:rPr>
              <w:t>目前已关闭，且城周山体管制</w:t>
            </w:r>
            <w:r>
              <w:rPr>
                <w:spacing w:val="7"/>
                <w:sz w:val="20"/>
                <w:szCs w:val="20"/>
              </w:rPr>
              <w:t xml:space="preserve"> </w:t>
            </w:r>
            <w:r>
              <w:rPr>
                <w:spacing w:val="1"/>
                <w:sz w:val="20"/>
                <w:szCs w:val="20"/>
              </w:rPr>
              <w:t>区已取消。</w:t>
            </w:r>
          </w:p>
        </w:tc>
      </w:tr>
      <w:tr w14:paraId="3F9D7E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939" w:type="dxa"/>
            <w:vMerge w:val="continue"/>
            <w:tcBorders>
              <w:top w:val="nil"/>
              <w:left w:val="single" w:color="000000" w:sz="10" w:space="0"/>
              <w:bottom w:val="nil"/>
            </w:tcBorders>
            <w:vAlign w:val="top"/>
          </w:tcPr>
          <w:p w14:paraId="61BDAF34">
            <w:pPr>
              <w:rPr>
                <w:rFonts w:ascii="Arial"/>
                <w:sz w:val="21"/>
              </w:rPr>
            </w:pPr>
          </w:p>
        </w:tc>
        <w:tc>
          <w:tcPr>
            <w:tcW w:w="932" w:type="dxa"/>
            <w:vMerge w:val="continue"/>
            <w:tcBorders>
              <w:top w:val="nil"/>
            </w:tcBorders>
            <w:vAlign w:val="top"/>
          </w:tcPr>
          <w:p w14:paraId="274DAFFD">
            <w:pPr>
              <w:rPr>
                <w:rFonts w:ascii="Arial"/>
                <w:sz w:val="21"/>
              </w:rPr>
            </w:pPr>
          </w:p>
        </w:tc>
        <w:tc>
          <w:tcPr>
            <w:tcW w:w="2895" w:type="dxa"/>
            <w:vAlign w:val="top"/>
          </w:tcPr>
          <w:p w14:paraId="733ADBE1">
            <w:pPr>
              <w:spacing w:line="378" w:lineRule="auto"/>
              <w:rPr>
                <w:rFonts w:ascii="Arial"/>
                <w:sz w:val="21"/>
              </w:rPr>
            </w:pPr>
          </w:p>
          <w:p w14:paraId="02CE3421">
            <w:pPr>
              <w:pStyle w:val="6"/>
              <w:spacing w:before="65" w:line="249" w:lineRule="auto"/>
              <w:ind w:left="406" w:right="179" w:hanging="235"/>
              <w:rPr>
                <w:sz w:val="20"/>
                <w:szCs w:val="20"/>
              </w:rPr>
            </w:pPr>
            <w:r>
              <w:rPr>
                <w:rFonts w:ascii="Times New Roman" w:hAnsi="Times New Roman" w:eastAsia="Times New Roman" w:cs="Times New Roman"/>
                <w:sz w:val="20"/>
                <w:szCs w:val="20"/>
              </w:rPr>
              <w:t>CQ</w:t>
            </w:r>
            <w:r>
              <w:rPr>
                <w:rFonts w:ascii="Times New Roman" w:hAnsi="Times New Roman" w:eastAsia="Times New Roman" w:cs="Times New Roman"/>
                <w:spacing w:val="7"/>
                <w:sz w:val="20"/>
                <w:szCs w:val="20"/>
              </w:rPr>
              <w:t>023</w:t>
            </w:r>
            <w:r>
              <w:rPr>
                <w:rFonts w:ascii="Times New Roman" w:hAnsi="Times New Roman" w:eastAsia="Times New Roman" w:cs="Times New Roman"/>
                <w:spacing w:val="26"/>
                <w:sz w:val="20"/>
                <w:szCs w:val="20"/>
              </w:rPr>
              <w:t xml:space="preserve"> </w:t>
            </w:r>
            <w:r>
              <w:rPr>
                <w:spacing w:val="7"/>
                <w:sz w:val="20"/>
                <w:szCs w:val="20"/>
              </w:rPr>
              <w:t>黔江区五里乡河南村</w:t>
            </w:r>
            <w:r>
              <w:rPr>
                <w:sz w:val="20"/>
                <w:szCs w:val="20"/>
              </w:rPr>
              <w:t xml:space="preserve"> </w:t>
            </w:r>
            <w:r>
              <w:rPr>
                <w:spacing w:val="8"/>
                <w:sz w:val="20"/>
                <w:szCs w:val="20"/>
              </w:rPr>
              <w:t>燕岩建筑石料用灰岩矿</w:t>
            </w:r>
          </w:p>
        </w:tc>
        <w:tc>
          <w:tcPr>
            <w:tcW w:w="4318" w:type="dxa"/>
            <w:vAlign w:val="top"/>
          </w:tcPr>
          <w:p w14:paraId="268D4EAC">
            <w:pPr>
              <w:pStyle w:val="6"/>
              <w:spacing w:before="39" w:line="251" w:lineRule="auto"/>
              <w:ind w:left="125" w:right="103" w:hanging="10"/>
              <w:rPr>
                <w:sz w:val="20"/>
                <w:szCs w:val="20"/>
              </w:rPr>
            </w:pPr>
            <w:r>
              <w:rPr>
                <w:spacing w:val="4"/>
                <w:sz w:val="20"/>
                <w:szCs w:val="20"/>
              </w:rPr>
              <w:t>部分位于永久基本农田内，部分位于城周山体</w:t>
            </w:r>
            <w:r>
              <w:rPr>
                <w:spacing w:val="13"/>
                <w:sz w:val="20"/>
                <w:szCs w:val="20"/>
              </w:rPr>
              <w:t xml:space="preserve"> </w:t>
            </w:r>
            <w:r>
              <w:rPr>
                <w:spacing w:val="7"/>
                <w:sz w:val="20"/>
                <w:szCs w:val="20"/>
              </w:rPr>
              <w:t>管制区禁建区和重点控建区。</w:t>
            </w:r>
          </w:p>
          <w:p w14:paraId="1825AAF9">
            <w:pPr>
              <w:pStyle w:val="6"/>
              <w:spacing w:before="2" w:line="236" w:lineRule="auto"/>
              <w:ind w:left="131" w:right="103" w:hanging="17"/>
              <w:rPr>
                <w:sz w:val="20"/>
                <w:szCs w:val="20"/>
              </w:rPr>
            </w:pPr>
            <w:r>
              <w:rPr>
                <w:spacing w:val="9"/>
                <w:sz w:val="20"/>
                <w:szCs w:val="20"/>
              </w:rPr>
              <w:t>建议</w:t>
            </w:r>
            <w:r>
              <w:rPr>
                <w:spacing w:val="-27"/>
                <w:sz w:val="20"/>
                <w:szCs w:val="20"/>
              </w:rPr>
              <w:t xml:space="preserve"> </w:t>
            </w:r>
            <w:r>
              <w:rPr>
                <w:rFonts w:ascii="Times New Roman" w:hAnsi="Times New Roman" w:eastAsia="Times New Roman" w:cs="Times New Roman"/>
                <w:sz w:val="20"/>
                <w:szCs w:val="20"/>
              </w:rPr>
              <w:t>CQ</w:t>
            </w:r>
            <w:r>
              <w:rPr>
                <w:rFonts w:ascii="Times New Roman" w:hAnsi="Times New Roman" w:eastAsia="Times New Roman" w:cs="Times New Roman"/>
                <w:spacing w:val="9"/>
                <w:sz w:val="20"/>
                <w:szCs w:val="20"/>
              </w:rPr>
              <w:t>023</w:t>
            </w:r>
            <w:r>
              <w:rPr>
                <w:rFonts w:ascii="Times New Roman" w:hAnsi="Times New Roman" w:eastAsia="Times New Roman" w:cs="Times New Roman"/>
                <w:spacing w:val="19"/>
                <w:w w:val="101"/>
                <w:sz w:val="20"/>
                <w:szCs w:val="20"/>
              </w:rPr>
              <w:t xml:space="preserve"> </w:t>
            </w:r>
            <w:r>
              <w:rPr>
                <w:spacing w:val="9"/>
                <w:sz w:val="20"/>
                <w:szCs w:val="20"/>
              </w:rPr>
              <w:t>进一步优化布局，严格落实黔江</w:t>
            </w:r>
            <w:r>
              <w:rPr>
                <w:sz w:val="20"/>
                <w:szCs w:val="20"/>
              </w:rPr>
              <w:t xml:space="preserve"> </w:t>
            </w:r>
            <w:r>
              <w:rPr>
                <w:spacing w:val="3"/>
                <w:sz w:val="20"/>
                <w:szCs w:val="20"/>
              </w:rPr>
              <w:t>区城周山体禁建区管控要求，避让永久基本农</w:t>
            </w:r>
            <w:r>
              <w:rPr>
                <w:spacing w:val="16"/>
                <w:sz w:val="20"/>
                <w:szCs w:val="20"/>
              </w:rPr>
              <w:t xml:space="preserve"> </w:t>
            </w:r>
            <w:r>
              <w:rPr>
                <w:spacing w:val="-12"/>
                <w:sz w:val="20"/>
                <w:szCs w:val="20"/>
              </w:rPr>
              <w:t>田。</w:t>
            </w:r>
          </w:p>
        </w:tc>
        <w:tc>
          <w:tcPr>
            <w:tcW w:w="1483" w:type="dxa"/>
            <w:vAlign w:val="top"/>
          </w:tcPr>
          <w:p w14:paraId="44721682">
            <w:pPr>
              <w:spacing w:line="257" w:lineRule="auto"/>
              <w:rPr>
                <w:rFonts w:ascii="Arial"/>
                <w:sz w:val="21"/>
              </w:rPr>
            </w:pPr>
          </w:p>
          <w:p w14:paraId="56EAAB25">
            <w:pPr>
              <w:spacing w:line="257" w:lineRule="auto"/>
              <w:rPr>
                <w:rFonts w:ascii="Arial"/>
                <w:sz w:val="21"/>
              </w:rPr>
            </w:pPr>
          </w:p>
          <w:p w14:paraId="283492C7">
            <w:pPr>
              <w:pStyle w:val="6"/>
              <w:spacing w:before="65" w:line="231" w:lineRule="auto"/>
              <w:ind w:left="469"/>
              <w:rPr>
                <w:sz w:val="20"/>
                <w:szCs w:val="20"/>
              </w:rPr>
            </w:pPr>
            <w:r>
              <w:rPr>
                <w:spacing w:val="-4"/>
                <w:sz w:val="20"/>
                <w:szCs w:val="20"/>
              </w:rPr>
              <w:t>已落实</w:t>
            </w:r>
          </w:p>
        </w:tc>
        <w:tc>
          <w:tcPr>
            <w:tcW w:w="3610" w:type="dxa"/>
            <w:tcBorders>
              <w:right w:val="single" w:color="000000" w:sz="10" w:space="0"/>
            </w:tcBorders>
            <w:vAlign w:val="top"/>
          </w:tcPr>
          <w:p w14:paraId="420537F4">
            <w:pPr>
              <w:spacing w:line="243" w:lineRule="auto"/>
              <w:rPr>
                <w:rFonts w:ascii="Arial"/>
                <w:sz w:val="21"/>
              </w:rPr>
            </w:pPr>
          </w:p>
          <w:p w14:paraId="016EB9BA">
            <w:pPr>
              <w:pStyle w:val="6"/>
              <w:spacing w:before="65" w:line="230" w:lineRule="auto"/>
              <w:ind w:left="130"/>
              <w:rPr>
                <w:sz w:val="20"/>
                <w:szCs w:val="20"/>
              </w:rPr>
            </w:pPr>
            <w:r>
              <w:rPr>
                <w:spacing w:val="7"/>
                <w:sz w:val="20"/>
                <w:szCs w:val="20"/>
              </w:rPr>
              <w:t>城周山体管制区已取消。</w:t>
            </w:r>
          </w:p>
          <w:p w14:paraId="1FEE0174">
            <w:pPr>
              <w:pStyle w:val="6"/>
              <w:spacing w:before="24" w:line="248" w:lineRule="auto"/>
              <w:ind w:left="126" w:right="98" w:hanging="7"/>
              <w:rPr>
                <w:sz w:val="20"/>
                <w:szCs w:val="20"/>
              </w:rPr>
            </w:pPr>
            <w:r>
              <w:rPr>
                <w:rFonts w:ascii="Times New Roman" w:hAnsi="Times New Roman" w:eastAsia="Times New Roman" w:cs="Times New Roman"/>
                <w:sz w:val="20"/>
                <w:szCs w:val="20"/>
              </w:rPr>
              <w:t>CQ</w:t>
            </w:r>
            <w:r>
              <w:rPr>
                <w:rFonts w:ascii="Times New Roman" w:hAnsi="Times New Roman" w:eastAsia="Times New Roman" w:cs="Times New Roman"/>
                <w:spacing w:val="5"/>
                <w:sz w:val="20"/>
                <w:szCs w:val="20"/>
              </w:rPr>
              <w:t xml:space="preserve">023  </w:t>
            </w:r>
            <w:r>
              <w:rPr>
                <w:spacing w:val="5"/>
                <w:sz w:val="20"/>
                <w:szCs w:val="20"/>
              </w:rPr>
              <w:t>目前暂未实施，且已不占用永</w:t>
            </w:r>
            <w:r>
              <w:rPr>
                <w:spacing w:val="7"/>
                <w:sz w:val="20"/>
                <w:szCs w:val="20"/>
              </w:rPr>
              <w:t xml:space="preserve"> </w:t>
            </w:r>
            <w:r>
              <w:rPr>
                <w:spacing w:val="5"/>
                <w:sz w:val="20"/>
                <w:szCs w:val="20"/>
              </w:rPr>
              <w:t>久基本农田。</w:t>
            </w:r>
          </w:p>
        </w:tc>
      </w:tr>
      <w:tr w14:paraId="046AED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939" w:type="dxa"/>
            <w:vMerge w:val="continue"/>
            <w:tcBorders>
              <w:top w:val="nil"/>
              <w:left w:val="single" w:color="000000" w:sz="10" w:space="0"/>
              <w:bottom w:val="nil"/>
            </w:tcBorders>
            <w:vAlign w:val="top"/>
          </w:tcPr>
          <w:p w14:paraId="3479BF02">
            <w:pPr>
              <w:rPr>
                <w:rFonts w:ascii="Arial"/>
                <w:sz w:val="21"/>
              </w:rPr>
            </w:pPr>
          </w:p>
        </w:tc>
        <w:tc>
          <w:tcPr>
            <w:tcW w:w="932" w:type="dxa"/>
            <w:vAlign w:val="top"/>
          </w:tcPr>
          <w:p w14:paraId="6927DDCD">
            <w:pPr>
              <w:spacing w:line="384" w:lineRule="auto"/>
              <w:rPr>
                <w:rFonts w:ascii="Arial"/>
                <w:sz w:val="21"/>
              </w:rPr>
            </w:pPr>
          </w:p>
          <w:p w14:paraId="007B0C74">
            <w:pPr>
              <w:pStyle w:val="6"/>
              <w:spacing w:before="65" w:line="251" w:lineRule="auto"/>
              <w:ind w:left="255" w:right="160" w:hanging="104"/>
              <w:rPr>
                <w:sz w:val="20"/>
                <w:szCs w:val="20"/>
              </w:rPr>
            </w:pPr>
            <w:r>
              <w:rPr>
                <w:spacing w:val="5"/>
                <w:sz w:val="20"/>
                <w:szCs w:val="20"/>
              </w:rPr>
              <w:t>建筑用</w:t>
            </w:r>
            <w:r>
              <w:rPr>
                <w:sz w:val="20"/>
                <w:szCs w:val="20"/>
              </w:rPr>
              <w:t xml:space="preserve"> </w:t>
            </w:r>
            <w:r>
              <w:rPr>
                <w:spacing w:val="2"/>
                <w:sz w:val="20"/>
                <w:szCs w:val="20"/>
              </w:rPr>
              <w:t>砂岩</w:t>
            </w:r>
          </w:p>
        </w:tc>
        <w:tc>
          <w:tcPr>
            <w:tcW w:w="2895" w:type="dxa"/>
            <w:vAlign w:val="top"/>
          </w:tcPr>
          <w:p w14:paraId="29797F2D">
            <w:pPr>
              <w:spacing w:line="384" w:lineRule="auto"/>
              <w:rPr>
                <w:rFonts w:ascii="Arial"/>
                <w:sz w:val="21"/>
              </w:rPr>
            </w:pPr>
          </w:p>
          <w:p w14:paraId="3CDB64F1">
            <w:pPr>
              <w:pStyle w:val="6"/>
              <w:spacing w:before="65" w:line="248" w:lineRule="auto"/>
              <w:ind w:left="926" w:right="179" w:hanging="755"/>
              <w:rPr>
                <w:sz w:val="20"/>
                <w:szCs w:val="20"/>
              </w:rPr>
            </w:pPr>
            <w:r>
              <w:rPr>
                <w:rFonts w:ascii="Times New Roman" w:hAnsi="Times New Roman" w:eastAsia="Times New Roman" w:cs="Times New Roman"/>
                <w:sz w:val="20"/>
                <w:szCs w:val="20"/>
              </w:rPr>
              <w:t>CQ</w:t>
            </w:r>
            <w:r>
              <w:rPr>
                <w:rFonts w:ascii="Times New Roman" w:hAnsi="Times New Roman" w:eastAsia="Times New Roman" w:cs="Times New Roman"/>
                <w:spacing w:val="7"/>
                <w:sz w:val="20"/>
                <w:szCs w:val="20"/>
              </w:rPr>
              <w:t>026</w:t>
            </w:r>
            <w:r>
              <w:rPr>
                <w:rFonts w:ascii="Times New Roman" w:hAnsi="Times New Roman" w:eastAsia="Times New Roman" w:cs="Times New Roman"/>
                <w:spacing w:val="26"/>
                <w:sz w:val="20"/>
                <w:szCs w:val="20"/>
              </w:rPr>
              <w:t xml:space="preserve"> </w:t>
            </w:r>
            <w:r>
              <w:rPr>
                <w:spacing w:val="7"/>
                <w:sz w:val="20"/>
                <w:szCs w:val="20"/>
              </w:rPr>
              <w:t>黔江区水田乡杉子岭</w:t>
            </w:r>
            <w:r>
              <w:rPr>
                <w:sz w:val="20"/>
                <w:szCs w:val="20"/>
              </w:rPr>
              <w:t xml:space="preserve"> </w:t>
            </w:r>
            <w:r>
              <w:rPr>
                <w:spacing w:val="7"/>
                <w:sz w:val="20"/>
                <w:szCs w:val="20"/>
              </w:rPr>
              <w:t>石英砂岩矿</w:t>
            </w:r>
          </w:p>
        </w:tc>
        <w:tc>
          <w:tcPr>
            <w:tcW w:w="4318" w:type="dxa"/>
            <w:vAlign w:val="top"/>
          </w:tcPr>
          <w:p w14:paraId="3D630D2E">
            <w:pPr>
              <w:pStyle w:val="6"/>
              <w:spacing w:before="42" w:line="242" w:lineRule="auto"/>
              <w:ind w:left="114" w:right="30"/>
              <w:jc w:val="both"/>
              <w:rPr>
                <w:sz w:val="20"/>
                <w:szCs w:val="20"/>
              </w:rPr>
            </w:pPr>
            <w:r>
              <w:rPr>
                <w:spacing w:val="4"/>
                <w:sz w:val="20"/>
                <w:szCs w:val="20"/>
              </w:rPr>
              <w:t>部分位于永久基本农田内，部分位于城周山体</w:t>
            </w:r>
            <w:r>
              <w:rPr>
                <w:spacing w:val="13"/>
                <w:sz w:val="20"/>
                <w:szCs w:val="20"/>
              </w:rPr>
              <w:t xml:space="preserve"> </w:t>
            </w:r>
            <w:r>
              <w:rPr>
                <w:spacing w:val="4"/>
                <w:sz w:val="20"/>
                <w:szCs w:val="20"/>
              </w:rPr>
              <w:t>管制区禁建区，矿区范围穿过现有省道</w:t>
            </w:r>
            <w:r>
              <w:rPr>
                <w:spacing w:val="-32"/>
                <w:sz w:val="20"/>
                <w:szCs w:val="20"/>
              </w:rPr>
              <w:t xml:space="preserve"> </w:t>
            </w:r>
            <w:r>
              <w:rPr>
                <w:rFonts w:ascii="Times New Roman" w:hAnsi="Times New Roman" w:eastAsia="Times New Roman" w:cs="Times New Roman"/>
                <w:spacing w:val="4"/>
                <w:sz w:val="20"/>
                <w:szCs w:val="20"/>
              </w:rPr>
              <w:t>S304</w:t>
            </w:r>
            <w:r>
              <w:rPr>
                <w:spacing w:val="4"/>
                <w:sz w:val="20"/>
                <w:szCs w:val="20"/>
              </w:rPr>
              <w:t>。</w:t>
            </w:r>
            <w:r>
              <w:rPr>
                <w:sz w:val="20"/>
                <w:szCs w:val="20"/>
              </w:rPr>
              <w:t xml:space="preserve"> </w:t>
            </w:r>
            <w:r>
              <w:rPr>
                <w:spacing w:val="4"/>
                <w:sz w:val="20"/>
                <w:szCs w:val="20"/>
              </w:rPr>
              <w:t>建议进一步优化布局，严格落实黔江区城周山</w:t>
            </w:r>
            <w:r>
              <w:rPr>
                <w:spacing w:val="14"/>
                <w:sz w:val="20"/>
                <w:szCs w:val="20"/>
              </w:rPr>
              <w:t xml:space="preserve"> </w:t>
            </w:r>
            <w:r>
              <w:rPr>
                <w:spacing w:val="4"/>
                <w:sz w:val="20"/>
                <w:szCs w:val="20"/>
              </w:rPr>
              <w:t>体禁建区管控要求，避让永久基本农田，禁止</w:t>
            </w:r>
            <w:r>
              <w:rPr>
                <w:spacing w:val="14"/>
                <w:sz w:val="20"/>
                <w:szCs w:val="20"/>
              </w:rPr>
              <w:t xml:space="preserve"> </w:t>
            </w:r>
            <w:r>
              <w:rPr>
                <w:spacing w:val="8"/>
                <w:sz w:val="20"/>
                <w:szCs w:val="20"/>
              </w:rPr>
              <w:t>在铁路直观可视范围内进行露天开采。</w:t>
            </w:r>
          </w:p>
        </w:tc>
        <w:tc>
          <w:tcPr>
            <w:tcW w:w="1483" w:type="dxa"/>
            <w:vAlign w:val="top"/>
          </w:tcPr>
          <w:p w14:paraId="0ECB8174">
            <w:pPr>
              <w:spacing w:line="247" w:lineRule="auto"/>
              <w:rPr>
                <w:rFonts w:ascii="Arial"/>
                <w:sz w:val="21"/>
              </w:rPr>
            </w:pPr>
          </w:p>
          <w:p w14:paraId="4104E53C">
            <w:pPr>
              <w:pStyle w:val="6"/>
              <w:spacing w:before="65" w:line="231" w:lineRule="auto"/>
              <w:ind w:left="133"/>
              <w:rPr>
                <w:sz w:val="20"/>
                <w:szCs w:val="20"/>
              </w:rPr>
            </w:pPr>
            <w:r>
              <w:rPr>
                <w:spacing w:val="7"/>
                <w:sz w:val="20"/>
                <w:szCs w:val="20"/>
              </w:rPr>
              <w:t>暂未投放，仍</w:t>
            </w:r>
          </w:p>
          <w:p w14:paraId="0BA91199">
            <w:pPr>
              <w:pStyle w:val="6"/>
              <w:spacing w:before="20" w:line="231" w:lineRule="auto"/>
              <w:ind w:left="164"/>
              <w:rPr>
                <w:sz w:val="20"/>
                <w:szCs w:val="20"/>
              </w:rPr>
            </w:pPr>
            <w:r>
              <w:rPr>
                <w:spacing w:val="1"/>
                <w:sz w:val="20"/>
                <w:szCs w:val="20"/>
              </w:rPr>
              <w:t>占用永久基本</w:t>
            </w:r>
          </w:p>
          <w:p w14:paraId="53763A28">
            <w:pPr>
              <w:pStyle w:val="6"/>
              <w:spacing w:before="23" w:line="232" w:lineRule="auto"/>
              <w:ind w:left="549"/>
              <w:rPr>
                <w:sz w:val="20"/>
                <w:szCs w:val="20"/>
              </w:rPr>
            </w:pPr>
            <w:r>
              <w:rPr>
                <w:spacing w:val="1"/>
                <w:sz w:val="20"/>
                <w:szCs w:val="20"/>
              </w:rPr>
              <w:t>农田</w:t>
            </w:r>
          </w:p>
        </w:tc>
        <w:tc>
          <w:tcPr>
            <w:tcW w:w="3610" w:type="dxa"/>
            <w:tcBorders>
              <w:right w:val="single" w:color="000000" w:sz="10" w:space="0"/>
            </w:tcBorders>
            <w:vAlign w:val="top"/>
          </w:tcPr>
          <w:p w14:paraId="6F5C19F7">
            <w:pPr>
              <w:pStyle w:val="6"/>
              <w:spacing w:before="177" w:line="230" w:lineRule="auto"/>
              <w:ind w:left="130"/>
              <w:rPr>
                <w:sz w:val="20"/>
                <w:szCs w:val="20"/>
              </w:rPr>
            </w:pPr>
            <w:r>
              <w:rPr>
                <w:spacing w:val="7"/>
                <w:sz w:val="20"/>
                <w:szCs w:val="20"/>
              </w:rPr>
              <w:t>城周山体管制区已取消。</w:t>
            </w:r>
          </w:p>
          <w:p w14:paraId="755FD40C">
            <w:pPr>
              <w:pStyle w:val="6"/>
              <w:spacing w:before="24" w:line="251" w:lineRule="auto"/>
              <w:ind w:left="126" w:right="98" w:hanging="7"/>
              <w:rPr>
                <w:sz w:val="20"/>
                <w:szCs w:val="20"/>
              </w:rPr>
            </w:pPr>
            <w:r>
              <w:rPr>
                <w:rFonts w:ascii="Times New Roman" w:hAnsi="Times New Roman" w:eastAsia="Times New Roman" w:cs="Times New Roman"/>
                <w:sz w:val="20"/>
                <w:szCs w:val="20"/>
              </w:rPr>
              <w:t>CQ</w:t>
            </w:r>
            <w:r>
              <w:rPr>
                <w:rFonts w:ascii="Times New Roman" w:hAnsi="Times New Roman" w:eastAsia="Times New Roman" w:cs="Times New Roman"/>
                <w:spacing w:val="5"/>
                <w:sz w:val="20"/>
                <w:szCs w:val="20"/>
              </w:rPr>
              <w:t xml:space="preserve">026  </w:t>
            </w:r>
            <w:r>
              <w:rPr>
                <w:spacing w:val="5"/>
                <w:sz w:val="20"/>
                <w:szCs w:val="20"/>
              </w:rPr>
              <w:t>目前暂未实施，建议后续实施</w:t>
            </w:r>
            <w:r>
              <w:rPr>
                <w:spacing w:val="7"/>
                <w:sz w:val="20"/>
                <w:szCs w:val="20"/>
              </w:rPr>
              <w:t xml:space="preserve"> </w:t>
            </w:r>
            <w:r>
              <w:rPr>
                <w:spacing w:val="8"/>
                <w:sz w:val="20"/>
                <w:szCs w:val="20"/>
              </w:rPr>
              <w:t>过程中严格落实“十四五</w:t>
            </w:r>
            <w:r>
              <w:rPr>
                <w:spacing w:val="-61"/>
                <w:sz w:val="20"/>
                <w:szCs w:val="20"/>
              </w:rPr>
              <w:t xml:space="preserve"> </w:t>
            </w:r>
            <w:r>
              <w:rPr>
                <w:spacing w:val="8"/>
                <w:sz w:val="20"/>
                <w:szCs w:val="20"/>
              </w:rPr>
              <w:t>”规划环评</w:t>
            </w:r>
            <w:r>
              <w:rPr>
                <w:sz w:val="20"/>
                <w:szCs w:val="20"/>
              </w:rPr>
              <w:t xml:space="preserve"> </w:t>
            </w:r>
            <w:r>
              <w:rPr>
                <w:spacing w:val="5"/>
                <w:sz w:val="20"/>
                <w:szCs w:val="20"/>
              </w:rPr>
              <w:t>提出的要求。</w:t>
            </w:r>
          </w:p>
        </w:tc>
      </w:tr>
      <w:tr w14:paraId="708F81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5" w:hRule="atLeast"/>
        </w:trPr>
        <w:tc>
          <w:tcPr>
            <w:tcW w:w="939" w:type="dxa"/>
            <w:vMerge w:val="continue"/>
            <w:tcBorders>
              <w:top w:val="nil"/>
              <w:left w:val="single" w:color="000000" w:sz="10" w:space="0"/>
              <w:bottom w:val="nil"/>
            </w:tcBorders>
            <w:vAlign w:val="top"/>
          </w:tcPr>
          <w:p w14:paraId="49ED9AC2">
            <w:pPr>
              <w:rPr>
                <w:rFonts w:ascii="Arial"/>
                <w:sz w:val="21"/>
              </w:rPr>
            </w:pPr>
          </w:p>
        </w:tc>
        <w:tc>
          <w:tcPr>
            <w:tcW w:w="932" w:type="dxa"/>
            <w:vAlign w:val="top"/>
          </w:tcPr>
          <w:p w14:paraId="4290C72F">
            <w:pPr>
              <w:spacing w:line="328" w:lineRule="auto"/>
              <w:rPr>
                <w:rFonts w:ascii="Arial"/>
                <w:sz w:val="21"/>
              </w:rPr>
            </w:pPr>
          </w:p>
          <w:p w14:paraId="7FE4AB1C">
            <w:pPr>
              <w:spacing w:line="329" w:lineRule="auto"/>
              <w:rPr>
                <w:rFonts w:ascii="Arial"/>
                <w:sz w:val="21"/>
              </w:rPr>
            </w:pPr>
          </w:p>
          <w:p w14:paraId="29DE7106">
            <w:pPr>
              <w:pStyle w:val="6"/>
              <w:spacing w:before="65" w:line="252" w:lineRule="auto"/>
              <w:ind w:left="258" w:right="160" w:hanging="107"/>
              <w:rPr>
                <w:sz w:val="20"/>
                <w:szCs w:val="20"/>
              </w:rPr>
            </w:pPr>
            <w:r>
              <w:rPr>
                <w:spacing w:val="5"/>
                <w:sz w:val="20"/>
                <w:szCs w:val="20"/>
              </w:rPr>
              <w:t>水泥用</w:t>
            </w:r>
            <w:r>
              <w:rPr>
                <w:sz w:val="20"/>
                <w:szCs w:val="20"/>
              </w:rPr>
              <w:t xml:space="preserve"> </w:t>
            </w:r>
            <w:r>
              <w:rPr>
                <w:spacing w:val="1"/>
                <w:sz w:val="20"/>
                <w:szCs w:val="20"/>
              </w:rPr>
              <w:t>灰岩</w:t>
            </w:r>
          </w:p>
        </w:tc>
        <w:tc>
          <w:tcPr>
            <w:tcW w:w="2895" w:type="dxa"/>
            <w:vAlign w:val="top"/>
          </w:tcPr>
          <w:p w14:paraId="46A12193">
            <w:pPr>
              <w:spacing w:line="328" w:lineRule="auto"/>
              <w:rPr>
                <w:rFonts w:ascii="Arial"/>
                <w:sz w:val="21"/>
              </w:rPr>
            </w:pPr>
          </w:p>
          <w:p w14:paraId="1F047A63">
            <w:pPr>
              <w:spacing w:line="329" w:lineRule="auto"/>
              <w:rPr>
                <w:rFonts w:ascii="Arial"/>
                <w:sz w:val="21"/>
              </w:rPr>
            </w:pPr>
          </w:p>
          <w:p w14:paraId="37762E33">
            <w:pPr>
              <w:pStyle w:val="6"/>
              <w:spacing w:before="65" w:line="248" w:lineRule="auto"/>
              <w:ind w:left="191" w:right="179" w:hanging="20"/>
              <w:rPr>
                <w:sz w:val="20"/>
                <w:szCs w:val="20"/>
              </w:rPr>
            </w:pPr>
            <w:r>
              <w:rPr>
                <w:rFonts w:ascii="Times New Roman" w:hAnsi="Times New Roman" w:eastAsia="Times New Roman" w:cs="Times New Roman"/>
                <w:sz w:val="20"/>
                <w:szCs w:val="20"/>
              </w:rPr>
              <w:t>CQ</w:t>
            </w:r>
            <w:r>
              <w:rPr>
                <w:rFonts w:ascii="Times New Roman" w:hAnsi="Times New Roman" w:eastAsia="Times New Roman" w:cs="Times New Roman"/>
                <w:spacing w:val="7"/>
                <w:sz w:val="20"/>
                <w:szCs w:val="20"/>
              </w:rPr>
              <w:t>027</w:t>
            </w:r>
            <w:r>
              <w:rPr>
                <w:rFonts w:ascii="Times New Roman" w:hAnsi="Times New Roman" w:eastAsia="Times New Roman" w:cs="Times New Roman"/>
                <w:spacing w:val="26"/>
                <w:sz w:val="20"/>
                <w:szCs w:val="20"/>
              </w:rPr>
              <w:t xml:space="preserve"> </w:t>
            </w:r>
            <w:r>
              <w:rPr>
                <w:spacing w:val="7"/>
                <w:sz w:val="20"/>
                <w:szCs w:val="20"/>
              </w:rPr>
              <w:t>重庆市黔江区水田乡</w:t>
            </w:r>
            <w:r>
              <w:rPr>
                <w:sz w:val="20"/>
                <w:szCs w:val="20"/>
              </w:rPr>
              <w:t xml:space="preserve"> </w:t>
            </w:r>
            <w:r>
              <w:rPr>
                <w:spacing w:val="8"/>
                <w:sz w:val="20"/>
                <w:szCs w:val="20"/>
              </w:rPr>
              <w:t>石郎村桃子坡水泥用灰岩矿</w:t>
            </w:r>
          </w:p>
        </w:tc>
        <w:tc>
          <w:tcPr>
            <w:tcW w:w="4318" w:type="dxa"/>
            <w:vAlign w:val="top"/>
          </w:tcPr>
          <w:p w14:paraId="332B521D">
            <w:pPr>
              <w:pStyle w:val="6"/>
              <w:spacing w:before="46" w:line="251" w:lineRule="auto"/>
              <w:ind w:left="113" w:right="103" w:firstLine="1"/>
              <w:jc w:val="both"/>
              <w:rPr>
                <w:sz w:val="20"/>
                <w:szCs w:val="20"/>
              </w:rPr>
            </w:pPr>
            <w:r>
              <w:rPr>
                <w:spacing w:val="4"/>
                <w:sz w:val="20"/>
                <w:szCs w:val="20"/>
              </w:rPr>
              <w:t>部分位于永久基本农田内，与黔江区冯家街道</w:t>
            </w:r>
            <w:r>
              <w:rPr>
                <w:spacing w:val="13"/>
                <w:sz w:val="20"/>
                <w:szCs w:val="20"/>
              </w:rPr>
              <w:t xml:space="preserve"> </w:t>
            </w:r>
            <w:r>
              <w:rPr>
                <w:spacing w:val="15"/>
                <w:sz w:val="20"/>
                <w:szCs w:val="20"/>
              </w:rPr>
              <w:t>枷鱼泉水库马林水厂水源地二级保护区部分</w:t>
            </w:r>
            <w:r>
              <w:rPr>
                <w:spacing w:val="9"/>
                <w:sz w:val="20"/>
                <w:szCs w:val="20"/>
              </w:rPr>
              <w:t xml:space="preserve"> </w:t>
            </w:r>
            <w:r>
              <w:rPr>
                <w:spacing w:val="8"/>
                <w:sz w:val="20"/>
                <w:szCs w:val="20"/>
              </w:rPr>
              <w:t>重叠，全部位于城周山体管制区禁建区。</w:t>
            </w:r>
          </w:p>
          <w:p w14:paraId="6F93E599">
            <w:pPr>
              <w:pStyle w:val="6"/>
              <w:spacing w:before="1" w:line="238" w:lineRule="auto"/>
              <w:ind w:left="114" w:right="59"/>
              <w:jc w:val="both"/>
              <w:rPr>
                <w:sz w:val="20"/>
                <w:szCs w:val="20"/>
              </w:rPr>
            </w:pPr>
            <w:r>
              <w:rPr>
                <w:spacing w:val="9"/>
                <w:sz w:val="20"/>
                <w:szCs w:val="20"/>
              </w:rPr>
              <w:t>建议</w:t>
            </w:r>
            <w:r>
              <w:rPr>
                <w:spacing w:val="-27"/>
                <w:sz w:val="20"/>
                <w:szCs w:val="20"/>
              </w:rPr>
              <w:t xml:space="preserve"> </w:t>
            </w:r>
            <w:r>
              <w:rPr>
                <w:rFonts w:ascii="Times New Roman" w:hAnsi="Times New Roman" w:eastAsia="Times New Roman" w:cs="Times New Roman"/>
                <w:sz w:val="20"/>
                <w:szCs w:val="20"/>
              </w:rPr>
              <w:t>CQ</w:t>
            </w:r>
            <w:r>
              <w:rPr>
                <w:rFonts w:ascii="Times New Roman" w:hAnsi="Times New Roman" w:eastAsia="Times New Roman" w:cs="Times New Roman"/>
                <w:spacing w:val="9"/>
                <w:sz w:val="20"/>
                <w:szCs w:val="20"/>
              </w:rPr>
              <w:t>027</w:t>
            </w:r>
            <w:r>
              <w:rPr>
                <w:rFonts w:ascii="Times New Roman" w:hAnsi="Times New Roman" w:eastAsia="Times New Roman" w:cs="Times New Roman"/>
                <w:spacing w:val="19"/>
                <w:w w:val="101"/>
                <w:sz w:val="20"/>
                <w:szCs w:val="20"/>
              </w:rPr>
              <w:t xml:space="preserve"> </w:t>
            </w:r>
            <w:r>
              <w:rPr>
                <w:spacing w:val="9"/>
                <w:sz w:val="20"/>
                <w:szCs w:val="20"/>
              </w:rPr>
              <w:t>进一步优化布局，严格落实黔江</w:t>
            </w:r>
            <w:r>
              <w:rPr>
                <w:sz w:val="20"/>
                <w:szCs w:val="20"/>
              </w:rPr>
              <w:t xml:space="preserve"> </w:t>
            </w:r>
            <w:r>
              <w:rPr>
                <w:spacing w:val="6"/>
                <w:sz w:val="20"/>
                <w:szCs w:val="20"/>
              </w:rPr>
              <w:t>区城周山体禁建区管控要求；调整区块范围，</w:t>
            </w:r>
            <w:r>
              <w:rPr>
                <w:spacing w:val="17"/>
                <w:sz w:val="20"/>
                <w:szCs w:val="20"/>
              </w:rPr>
              <w:t xml:space="preserve"> </w:t>
            </w:r>
            <w:r>
              <w:rPr>
                <w:spacing w:val="15"/>
                <w:sz w:val="20"/>
                <w:szCs w:val="20"/>
              </w:rPr>
              <w:t>避让黔江区冯家街道枷鱼泉水库马林水厂水</w:t>
            </w:r>
            <w:r>
              <w:rPr>
                <w:spacing w:val="9"/>
                <w:sz w:val="20"/>
                <w:szCs w:val="20"/>
              </w:rPr>
              <w:t xml:space="preserve"> </w:t>
            </w:r>
            <w:r>
              <w:rPr>
                <w:spacing w:val="8"/>
                <w:sz w:val="20"/>
                <w:szCs w:val="20"/>
              </w:rPr>
              <w:t>源地二级保护区和永久基本农田。</w:t>
            </w:r>
          </w:p>
        </w:tc>
        <w:tc>
          <w:tcPr>
            <w:tcW w:w="1483" w:type="dxa"/>
            <w:vAlign w:val="top"/>
          </w:tcPr>
          <w:p w14:paraId="0FC623CC">
            <w:pPr>
              <w:spacing w:line="260" w:lineRule="auto"/>
              <w:rPr>
                <w:rFonts w:ascii="Arial"/>
                <w:sz w:val="21"/>
              </w:rPr>
            </w:pPr>
          </w:p>
          <w:p w14:paraId="6EDD1CD7">
            <w:pPr>
              <w:spacing w:line="261" w:lineRule="auto"/>
              <w:rPr>
                <w:rFonts w:ascii="Arial"/>
                <w:sz w:val="21"/>
              </w:rPr>
            </w:pPr>
          </w:p>
          <w:p w14:paraId="5A0499F9">
            <w:pPr>
              <w:pStyle w:val="6"/>
              <w:spacing w:before="65" w:line="231" w:lineRule="auto"/>
              <w:ind w:left="133"/>
              <w:rPr>
                <w:sz w:val="20"/>
                <w:szCs w:val="20"/>
              </w:rPr>
            </w:pPr>
            <w:r>
              <w:rPr>
                <w:spacing w:val="7"/>
                <w:sz w:val="20"/>
                <w:szCs w:val="20"/>
              </w:rPr>
              <w:t>暂未投放，仍</w:t>
            </w:r>
          </w:p>
          <w:p w14:paraId="6734B9FF">
            <w:pPr>
              <w:pStyle w:val="6"/>
              <w:spacing w:before="20" w:line="232" w:lineRule="auto"/>
              <w:ind w:left="164"/>
              <w:rPr>
                <w:sz w:val="20"/>
                <w:szCs w:val="20"/>
              </w:rPr>
            </w:pPr>
            <w:r>
              <w:rPr>
                <w:spacing w:val="1"/>
                <w:sz w:val="20"/>
                <w:szCs w:val="20"/>
              </w:rPr>
              <w:t>占用饮用水源</w:t>
            </w:r>
          </w:p>
          <w:p w14:paraId="21978A25">
            <w:pPr>
              <w:pStyle w:val="6"/>
              <w:spacing w:before="23" w:line="229" w:lineRule="auto"/>
              <w:ind w:left="443"/>
              <w:rPr>
                <w:sz w:val="20"/>
                <w:szCs w:val="20"/>
              </w:rPr>
            </w:pPr>
            <w:r>
              <w:rPr>
                <w:spacing w:val="4"/>
                <w:sz w:val="20"/>
                <w:szCs w:val="20"/>
              </w:rPr>
              <w:t>保护区</w:t>
            </w:r>
          </w:p>
        </w:tc>
        <w:tc>
          <w:tcPr>
            <w:tcW w:w="3610" w:type="dxa"/>
            <w:tcBorders>
              <w:right w:val="single" w:color="000000" w:sz="10" w:space="0"/>
            </w:tcBorders>
            <w:vAlign w:val="top"/>
          </w:tcPr>
          <w:p w14:paraId="0D384591">
            <w:pPr>
              <w:spacing w:line="386" w:lineRule="auto"/>
              <w:rPr>
                <w:rFonts w:ascii="Arial"/>
                <w:sz w:val="21"/>
              </w:rPr>
            </w:pPr>
          </w:p>
          <w:p w14:paraId="60DCCA07">
            <w:pPr>
              <w:pStyle w:val="6"/>
              <w:spacing w:before="65" w:line="230" w:lineRule="auto"/>
              <w:ind w:left="130"/>
              <w:rPr>
                <w:sz w:val="20"/>
                <w:szCs w:val="20"/>
              </w:rPr>
            </w:pPr>
            <w:r>
              <w:rPr>
                <w:spacing w:val="7"/>
                <w:sz w:val="20"/>
                <w:szCs w:val="20"/>
              </w:rPr>
              <w:t>城周山体管制区已取消。</w:t>
            </w:r>
          </w:p>
          <w:p w14:paraId="45D428C4">
            <w:pPr>
              <w:pStyle w:val="6"/>
              <w:spacing w:before="23" w:line="251" w:lineRule="auto"/>
              <w:ind w:left="126" w:right="98" w:hanging="7"/>
              <w:rPr>
                <w:sz w:val="20"/>
                <w:szCs w:val="20"/>
              </w:rPr>
            </w:pPr>
            <w:r>
              <w:rPr>
                <w:rFonts w:ascii="Times New Roman" w:hAnsi="Times New Roman" w:eastAsia="Times New Roman" w:cs="Times New Roman"/>
                <w:sz w:val="20"/>
                <w:szCs w:val="20"/>
              </w:rPr>
              <w:t>CQ</w:t>
            </w:r>
            <w:r>
              <w:rPr>
                <w:rFonts w:ascii="Times New Roman" w:hAnsi="Times New Roman" w:eastAsia="Times New Roman" w:cs="Times New Roman"/>
                <w:spacing w:val="5"/>
                <w:sz w:val="20"/>
                <w:szCs w:val="20"/>
              </w:rPr>
              <w:t xml:space="preserve">027  </w:t>
            </w:r>
            <w:r>
              <w:rPr>
                <w:spacing w:val="5"/>
                <w:sz w:val="20"/>
                <w:szCs w:val="20"/>
              </w:rPr>
              <w:t>目前暂未实施，建议后续实施</w:t>
            </w:r>
            <w:r>
              <w:rPr>
                <w:spacing w:val="7"/>
                <w:sz w:val="20"/>
                <w:szCs w:val="20"/>
              </w:rPr>
              <w:t xml:space="preserve"> </w:t>
            </w:r>
            <w:r>
              <w:rPr>
                <w:spacing w:val="8"/>
                <w:sz w:val="20"/>
                <w:szCs w:val="20"/>
              </w:rPr>
              <w:t>过程中严格落实“十四五</w:t>
            </w:r>
            <w:r>
              <w:rPr>
                <w:spacing w:val="-61"/>
                <w:sz w:val="20"/>
                <w:szCs w:val="20"/>
              </w:rPr>
              <w:t xml:space="preserve"> </w:t>
            </w:r>
            <w:r>
              <w:rPr>
                <w:spacing w:val="8"/>
                <w:sz w:val="20"/>
                <w:szCs w:val="20"/>
              </w:rPr>
              <w:t>”规划环评</w:t>
            </w:r>
            <w:r>
              <w:rPr>
                <w:sz w:val="20"/>
                <w:szCs w:val="20"/>
              </w:rPr>
              <w:t xml:space="preserve"> </w:t>
            </w:r>
            <w:r>
              <w:rPr>
                <w:spacing w:val="5"/>
                <w:sz w:val="20"/>
                <w:szCs w:val="20"/>
              </w:rPr>
              <w:t>提出的要求。</w:t>
            </w:r>
          </w:p>
        </w:tc>
      </w:tr>
      <w:tr w14:paraId="2DDA13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939" w:type="dxa"/>
            <w:vMerge w:val="continue"/>
            <w:tcBorders>
              <w:top w:val="nil"/>
              <w:left w:val="single" w:color="000000" w:sz="10" w:space="0"/>
              <w:bottom w:val="nil"/>
            </w:tcBorders>
            <w:vAlign w:val="top"/>
          </w:tcPr>
          <w:p w14:paraId="1BBC132E">
            <w:pPr>
              <w:rPr>
                <w:rFonts w:ascii="Arial"/>
                <w:sz w:val="21"/>
              </w:rPr>
            </w:pPr>
          </w:p>
        </w:tc>
        <w:tc>
          <w:tcPr>
            <w:tcW w:w="932" w:type="dxa"/>
            <w:vMerge w:val="restart"/>
            <w:tcBorders>
              <w:bottom w:val="nil"/>
            </w:tcBorders>
            <w:vAlign w:val="top"/>
          </w:tcPr>
          <w:p w14:paraId="07616D39">
            <w:pPr>
              <w:pStyle w:val="6"/>
              <w:spacing w:before="192" w:line="232" w:lineRule="auto"/>
              <w:ind w:left="152"/>
              <w:rPr>
                <w:sz w:val="20"/>
                <w:szCs w:val="20"/>
              </w:rPr>
            </w:pPr>
            <w:r>
              <w:rPr>
                <w:spacing w:val="4"/>
                <w:sz w:val="20"/>
                <w:szCs w:val="20"/>
              </w:rPr>
              <w:t>饰面石</w:t>
            </w:r>
          </w:p>
          <w:p w14:paraId="0BB5AEAC">
            <w:pPr>
              <w:pStyle w:val="6"/>
              <w:spacing w:before="22" w:line="251" w:lineRule="auto"/>
              <w:ind w:left="254" w:right="160" w:hanging="103"/>
              <w:rPr>
                <w:sz w:val="20"/>
                <w:szCs w:val="20"/>
              </w:rPr>
            </w:pPr>
            <w:r>
              <w:rPr>
                <w:spacing w:val="5"/>
                <w:sz w:val="20"/>
                <w:szCs w:val="20"/>
              </w:rPr>
              <w:t>材用灰</w:t>
            </w:r>
            <w:r>
              <w:rPr>
                <w:sz w:val="20"/>
                <w:szCs w:val="20"/>
              </w:rPr>
              <w:t xml:space="preserve"> </w:t>
            </w:r>
            <w:r>
              <w:rPr>
                <w:spacing w:val="3"/>
                <w:sz w:val="20"/>
                <w:szCs w:val="20"/>
              </w:rPr>
              <w:t>岩矿</w:t>
            </w:r>
          </w:p>
        </w:tc>
        <w:tc>
          <w:tcPr>
            <w:tcW w:w="2895" w:type="dxa"/>
            <w:vAlign w:val="top"/>
          </w:tcPr>
          <w:p w14:paraId="26732EB6">
            <w:pPr>
              <w:pStyle w:val="6"/>
              <w:spacing w:before="52" w:line="224" w:lineRule="auto"/>
              <w:ind w:left="295" w:right="179" w:hanging="124"/>
              <w:rPr>
                <w:sz w:val="20"/>
                <w:szCs w:val="20"/>
              </w:rPr>
            </w:pPr>
            <w:r>
              <w:rPr>
                <w:rFonts w:ascii="Times New Roman" w:hAnsi="Times New Roman" w:eastAsia="Times New Roman" w:cs="Times New Roman"/>
                <w:sz w:val="20"/>
                <w:szCs w:val="20"/>
              </w:rPr>
              <w:t>CQ</w:t>
            </w:r>
            <w:r>
              <w:rPr>
                <w:rFonts w:ascii="Times New Roman" w:hAnsi="Times New Roman" w:eastAsia="Times New Roman" w:cs="Times New Roman"/>
                <w:spacing w:val="7"/>
                <w:sz w:val="20"/>
                <w:szCs w:val="20"/>
              </w:rPr>
              <w:t>028</w:t>
            </w:r>
            <w:r>
              <w:rPr>
                <w:rFonts w:ascii="Times New Roman" w:hAnsi="Times New Roman" w:eastAsia="Times New Roman" w:cs="Times New Roman"/>
                <w:spacing w:val="26"/>
                <w:sz w:val="20"/>
                <w:szCs w:val="20"/>
              </w:rPr>
              <w:t xml:space="preserve"> </w:t>
            </w:r>
            <w:r>
              <w:rPr>
                <w:spacing w:val="7"/>
                <w:sz w:val="20"/>
                <w:szCs w:val="20"/>
              </w:rPr>
              <w:t>重庆市黔江区邻鄂镇</w:t>
            </w:r>
            <w:r>
              <w:rPr>
                <w:sz w:val="20"/>
                <w:szCs w:val="20"/>
              </w:rPr>
              <w:t xml:space="preserve"> </w:t>
            </w:r>
            <w:r>
              <w:rPr>
                <w:spacing w:val="8"/>
                <w:sz w:val="20"/>
                <w:szCs w:val="20"/>
              </w:rPr>
              <w:t>殷家坨饰面石材用灰岩矿</w:t>
            </w:r>
          </w:p>
        </w:tc>
        <w:tc>
          <w:tcPr>
            <w:tcW w:w="4318" w:type="dxa"/>
            <w:vMerge w:val="restart"/>
            <w:tcBorders>
              <w:bottom w:val="nil"/>
            </w:tcBorders>
            <w:vAlign w:val="top"/>
          </w:tcPr>
          <w:p w14:paraId="67B50D12">
            <w:pPr>
              <w:pStyle w:val="6"/>
              <w:spacing w:before="58" w:line="250" w:lineRule="auto"/>
              <w:ind w:left="125" w:right="103" w:hanging="10"/>
              <w:rPr>
                <w:sz w:val="20"/>
                <w:szCs w:val="20"/>
              </w:rPr>
            </w:pPr>
            <w:r>
              <w:rPr>
                <w:spacing w:val="4"/>
                <w:sz w:val="20"/>
                <w:szCs w:val="20"/>
              </w:rPr>
              <w:t>部分位于永久基本农田内，部分位于城周山体</w:t>
            </w:r>
            <w:r>
              <w:rPr>
                <w:spacing w:val="13"/>
                <w:sz w:val="20"/>
                <w:szCs w:val="20"/>
              </w:rPr>
              <w:t xml:space="preserve"> </w:t>
            </w:r>
            <w:r>
              <w:rPr>
                <w:spacing w:val="7"/>
                <w:sz w:val="20"/>
                <w:szCs w:val="20"/>
              </w:rPr>
              <w:t>管制区禁建区和重点控建区。</w:t>
            </w:r>
          </w:p>
          <w:p w14:paraId="67C6C77D">
            <w:pPr>
              <w:pStyle w:val="6"/>
              <w:spacing w:before="1" w:line="237" w:lineRule="auto"/>
              <w:ind w:left="114" w:right="103"/>
              <w:rPr>
                <w:sz w:val="20"/>
                <w:szCs w:val="20"/>
              </w:rPr>
            </w:pPr>
            <w:r>
              <w:rPr>
                <w:spacing w:val="4"/>
                <w:sz w:val="20"/>
                <w:szCs w:val="20"/>
              </w:rPr>
              <w:t>建议进一步优化布局，严格落实黔江区城周山</w:t>
            </w:r>
            <w:r>
              <w:rPr>
                <w:spacing w:val="14"/>
                <w:sz w:val="20"/>
                <w:szCs w:val="20"/>
              </w:rPr>
              <w:t xml:space="preserve"> </w:t>
            </w:r>
            <w:r>
              <w:rPr>
                <w:spacing w:val="8"/>
                <w:sz w:val="20"/>
                <w:szCs w:val="20"/>
              </w:rPr>
              <w:t>体禁建区管控要求，避让永久基本农田。</w:t>
            </w:r>
          </w:p>
        </w:tc>
        <w:tc>
          <w:tcPr>
            <w:tcW w:w="1483" w:type="dxa"/>
            <w:vMerge w:val="restart"/>
            <w:tcBorders>
              <w:bottom w:val="nil"/>
            </w:tcBorders>
            <w:vAlign w:val="top"/>
          </w:tcPr>
          <w:p w14:paraId="4E4509BA">
            <w:pPr>
              <w:spacing w:line="398" w:lineRule="auto"/>
              <w:rPr>
                <w:rFonts w:ascii="Arial"/>
                <w:sz w:val="21"/>
              </w:rPr>
            </w:pPr>
          </w:p>
          <w:p w14:paraId="105BB774">
            <w:pPr>
              <w:pStyle w:val="6"/>
              <w:spacing w:before="65" w:line="231" w:lineRule="auto"/>
              <w:ind w:left="469"/>
              <w:rPr>
                <w:sz w:val="20"/>
                <w:szCs w:val="20"/>
              </w:rPr>
            </w:pPr>
            <w:r>
              <w:rPr>
                <w:spacing w:val="-4"/>
                <w:sz w:val="20"/>
                <w:szCs w:val="20"/>
              </w:rPr>
              <w:t>已落实</w:t>
            </w:r>
          </w:p>
        </w:tc>
        <w:tc>
          <w:tcPr>
            <w:tcW w:w="3610" w:type="dxa"/>
            <w:vMerge w:val="restart"/>
            <w:tcBorders>
              <w:bottom w:val="nil"/>
              <w:right w:val="single" w:color="000000" w:sz="10" w:space="0"/>
            </w:tcBorders>
            <w:vAlign w:val="top"/>
          </w:tcPr>
          <w:p w14:paraId="661EE6D1">
            <w:pPr>
              <w:pStyle w:val="6"/>
              <w:spacing w:before="192" w:line="230" w:lineRule="auto"/>
              <w:ind w:left="130"/>
              <w:rPr>
                <w:sz w:val="20"/>
                <w:szCs w:val="20"/>
              </w:rPr>
            </w:pPr>
            <w:r>
              <w:rPr>
                <w:spacing w:val="7"/>
                <w:sz w:val="20"/>
                <w:szCs w:val="20"/>
              </w:rPr>
              <w:t>城周山体管制区已取消。</w:t>
            </w:r>
          </w:p>
          <w:p w14:paraId="4D278861">
            <w:pPr>
              <w:pStyle w:val="6"/>
              <w:spacing w:before="24" w:line="248" w:lineRule="auto"/>
              <w:ind w:left="130" w:right="117" w:hanging="11"/>
              <w:rPr>
                <w:sz w:val="20"/>
                <w:szCs w:val="20"/>
              </w:rPr>
            </w:pPr>
            <w:r>
              <w:rPr>
                <w:rFonts w:ascii="Times New Roman" w:hAnsi="Times New Roman" w:eastAsia="Times New Roman" w:cs="Times New Roman"/>
                <w:sz w:val="20"/>
                <w:szCs w:val="20"/>
              </w:rPr>
              <w:t>CQ</w:t>
            </w:r>
            <w:r>
              <w:rPr>
                <w:rFonts w:ascii="Times New Roman" w:hAnsi="Times New Roman" w:eastAsia="Times New Roman" w:cs="Times New Roman"/>
                <w:spacing w:val="4"/>
                <w:sz w:val="20"/>
                <w:szCs w:val="20"/>
              </w:rPr>
              <w:t>028</w:t>
            </w:r>
            <w:r>
              <w:rPr>
                <w:rFonts w:ascii="Times New Roman" w:hAnsi="Times New Roman" w:eastAsia="Times New Roman" w:cs="Times New Roman"/>
                <w:spacing w:val="-22"/>
                <w:sz w:val="20"/>
                <w:szCs w:val="20"/>
              </w:rPr>
              <w:t xml:space="preserve"> </w:t>
            </w:r>
            <w:r>
              <w:rPr>
                <w:spacing w:val="4"/>
                <w:sz w:val="20"/>
                <w:szCs w:val="20"/>
              </w:rPr>
              <w:t>、</w:t>
            </w:r>
            <w:r>
              <w:rPr>
                <w:rFonts w:ascii="Times New Roman" w:hAnsi="Times New Roman" w:eastAsia="Times New Roman" w:cs="Times New Roman"/>
                <w:sz w:val="20"/>
                <w:szCs w:val="20"/>
              </w:rPr>
              <w:t>CQ</w:t>
            </w:r>
            <w:r>
              <w:rPr>
                <w:rFonts w:ascii="Times New Roman" w:hAnsi="Times New Roman" w:eastAsia="Times New Roman" w:cs="Times New Roman"/>
                <w:spacing w:val="4"/>
                <w:sz w:val="20"/>
                <w:szCs w:val="20"/>
              </w:rPr>
              <w:t xml:space="preserve">029  </w:t>
            </w:r>
            <w:r>
              <w:rPr>
                <w:spacing w:val="4"/>
                <w:sz w:val="20"/>
                <w:szCs w:val="20"/>
              </w:rPr>
              <w:t>目前暂未实施，且已</w:t>
            </w:r>
            <w:r>
              <w:rPr>
                <w:sz w:val="20"/>
                <w:szCs w:val="20"/>
              </w:rPr>
              <w:t xml:space="preserve"> </w:t>
            </w:r>
            <w:r>
              <w:rPr>
                <w:spacing w:val="7"/>
                <w:sz w:val="20"/>
                <w:szCs w:val="20"/>
              </w:rPr>
              <w:t>不占用永久基本农田。</w:t>
            </w:r>
          </w:p>
        </w:tc>
      </w:tr>
      <w:tr w14:paraId="09D944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39" w:type="dxa"/>
            <w:vMerge w:val="continue"/>
            <w:tcBorders>
              <w:top w:val="nil"/>
              <w:left w:val="single" w:color="000000" w:sz="10" w:space="0"/>
              <w:bottom w:val="single" w:color="000000" w:sz="10" w:space="0"/>
            </w:tcBorders>
            <w:vAlign w:val="top"/>
          </w:tcPr>
          <w:p w14:paraId="3240AF45">
            <w:pPr>
              <w:rPr>
                <w:rFonts w:ascii="Arial"/>
                <w:sz w:val="21"/>
              </w:rPr>
            </w:pPr>
          </w:p>
        </w:tc>
        <w:tc>
          <w:tcPr>
            <w:tcW w:w="932" w:type="dxa"/>
            <w:vMerge w:val="continue"/>
            <w:tcBorders>
              <w:top w:val="nil"/>
              <w:bottom w:val="single" w:color="000000" w:sz="10" w:space="0"/>
            </w:tcBorders>
            <w:vAlign w:val="top"/>
          </w:tcPr>
          <w:p w14:paraId="39C2973D">
            <w:pPr>
              <w:rPr>
                <w:rFonts w:ascii="Arial"/>
                <w:sz w:val="21"/>
              </w:rPr>
            </w:pPr>
          </w:p>
        </w:tc>
        <w:tc>
          <w:tcPr>
            <w:tcW w:w="2895" w:type="dxa"/>
            <w:tcBorders>
              <w:bottom w:val="single" w:color="000000" w:sz="10" w:space="0"/>
            </w:tcBorders>
            <w:vAlign w:val="top"/>
          </w:tcPr>
          <w:p w14:paraId="7637C6A7">
            <w:pPr>
              <w:pStyle w:val="6"/>
              <w:spacing w:before="54" w:line="234" w:lineRule="auto"/>
              <w:ind w:left="518" w:right="179" w:hanging="347"/>
              <w:rPr>
                <w:sz w:val="20"/>
                <w:szCs w:val="20"/>
              </w:rPr>
            </w:pPr>
            <w:r>
              <w:rPr>
                <w:rFonts w:ascii="Times New Roman" w:hAnsi="Times New Roman" w:eastAsia="Times New Roman" w:cs="Times New Roman"/>
                <w:sz w:val="20"/>
                <w:szCs w:val="20"/>
              </w:rPr>
              <w:t>CQ</w:t>
            </w:r>
            <w:r>
              <w:rPr>
                <w:rFonts w:ascii="Times New Roman" w:hAnsi="Times New Roman" w:eastAsia="Times New Roman" w:cs="Times New Roman"/>
                <w:spacing w:val="7"/>
                <w:sz w:val="20"/>
                <w:szCs w:val="20"/>
              </w:rPr>
              <w:t>029</w:t>
            </w:r>
            <w:r>
              <w:rPr>
                <w:rFonts w:ascii="Times New Roman" w:hAnsi="Times New Roman" w:eastAsia="Times New Roman" w:cs="Times New Roman"/>
                <w:spacing w:val="26"/>
                <w:sz w:val="20"/>
                <w:szCs w:val="20"/>
              </w:rPr>
              <w:t xml:space="preserve"> </w:t>
            </w:r>
            <w:r>
              <w:rPr>
                <w:spacing w:val="7"/>
                <w:sz w:val="20"/>
                <w:szCs w:val="20"/>
              </w:rPr>
              <w:t>重庆市黔江区邻鄂镇</w:t>
            </w:r>
            <w:r>
              <w:rPr>
                <w:sz w:val="20"/>
                <w:szCs w:val="20"/>
              </w:rPr>
              <w:t xml:space="preserve"> </w:t>
            </w:r>
            <w:r>
              <w:rPr>
                <w:spacing w:val="6"/>
                <w:sz w:val="20"/>
                <w:szCs w:val="20"/>
              </w:rPr>
              <w:t>阳火坨饰面用灰岩矿</w:t>
            </w:r>
          </w:p>
        </w:tc>
        <w:tc>
          <w:tcPr>
            <w:tcW w:w="4318" w:type="dxa"/>
            <w:vMerge w:val="continue"/>
            <w:tcBorders>
              <w:top w:val="nil"/>
              <w:bottom w:val="single" w:color="000000" w:sz="10" w:space="0"/>
            </w:tcBorders>
            <w:vAlign w:val="top"/>
          </w:tcPr>
          <w:p w14:paraId="502DE270">
            <w:pPr>
              <w:rPr>
                <w:rFonts w:ascii="Arial"/>
                <w:sz w:val="21"/>
              </w:rPr>
            </w:pPr>
          </w:p>
        </w:tc>
        <w:tc>
          <w:tcPr>
            <w:tcW w:w="1483" w:type="dxa"/>
            <w:vMerge w:val="continue"/>
            <w:tcBorders>
              <w:top w:val="nil"/>
              <w:bottom w:val="single" w:color="000000" w:sz="10" w:space="0"/>
            </w:tcBorders>
            <w:vAlign w:val="top"/>
          </w:tcPr>
          <w:p w14:paraId="2779F421">
            <w:pPr>
              <w:rPr>
                <w:rFonts w:ascii="Arial"/>
                <w:sz w:val="21"/>
              </w:rPr>
            </w:pPr>
          </w:p>
        </w:tc>
        <w:tc>
          <w:tcPr>
            <w:tcW w:w="3610" w:type="dxa"/>
            <w:vMerge w:val="continue"/>
            <w:tcBorders>
              <w:top w:val="nil"/>
              <w:bottom w:val="single" w:color="000000" w:sz="10" w:space="0"/>
              <w:right w:val="single" w:color="000000" w:sz="10" w:space="0"/>
            </w:tcBorders>
            <w:vAlign w:val="top"/>
          </w:tcPr>
          <w:p w14:paraId="3109E89E">
            <w:pPr>
              <w:rPr>
                <w:rFonts w:ascii="Arial"/>
                <w:sz w:val="21"/>
              </w:rPr>
            </w:pPr>
          </w:p>
        </w:tc>
      </w:tr>
    </w:tbl>
    <w:p w14:paraId="2D921C02">
      <w:pPr>
        <w:pStyle w:val="2"/>
      </w:pPr>
    </w:p>
    <w:p w14:paraId="12E6EEB6">
      <w:pPr>
        <w:sectPr>
          <w:headerReference r:id="rId138" w:type="default"/>
          <w:footerReference r:id="rId139" w:type="default"/>
          <w:pgSz w:w="16839" w:h="11906"/>
          <w:pgMar w:top="1116" w:right="1317" w:bottom="1480" w:left="1317" w:header="683" w:footer="1318" w:gutter="0"/>
          <w:cols w:space="720" w:num="1"/>
        </w:sectPr>
      </w:pPr>
    </w:p>
    <w:p w14:paraId="4FC0E8A4">
      <w:pPr>
        <w:pStyle w:val="2"/>
        <w:spacing w:line="294" w:lineRule="auto"/>
      </w:pPr>
    </w:p>
    <w:p w14:paraId="31E1D255">
      <w:pPr>
        <w:pStyle w:val="2"/>
        <w:spacing w:line="295" w:lineRule="auto"/>
      </w:pPr>
    </w:p>
    <w:p w14:paraId="4ADB828B">
      <w:pPr>
        <w:spacing w:before="65" w:line="231" w:lineRule="auto"/>
        <w:ind w:left="5804"/>
        <w:rPr>
          <w:rFonts w:ascii="仿宋" w:hAnsi="仿宋" w:eastAsia="仿宋" w:cs="仿宋"/>
          <w:sz w:val="20"/>
          <w:szCs w:val="20"/>
        </w:rPr>
      </w:pPr>
      <w:r>
        <w:rPr>
          <w:rFonts w:ascii="Times New Roman" w:hAnsi="Times New Roman" w:eastAsia="Times New Roman" w:cs="Times New Roman"/>
          <w:b/>
          <w:bCs/>
          <w:spacing w:val="6"/>
          <w:sz w:val="20"/>
          <w:szCs w:val="20"/>
        </w:rPr>
        <w:t xml:space="preserve">3.2-9 </w:t>
      </w:r>
      <w:r>
        <w:rPr>
          <w:rFonts w:ascii="仿宋" w:hAnsi="仿宋" w:eastAsia="仿宋" w:cs="仿宋"/>
          <w:b/>
          <w:bCs/>
          <w:spacing w:val="6"/>
          <w:sz w:val="20"/>
          <w:szCs w:val="20"/>
        </w:rPr>
        <w:t>规划环评审查意见落实情况</w:t>
      </w:r>
    </w:p>
    <w:p w14:paraId="5FDFF700">
      <w:pPr>
        <w:spacing w:line="21" w:lineRule="exact"/>
      </w:pPr>
    </w:p>
    <w:tbl>
      <w:tblPr>
        <w:tblStyle w:val="5"/>
        <w:tblW w:w="14177"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8"/>
        <w:gridCol w:w="8349"/>
        <w:gridCol w:w="1081"/>
        <w:gridCol w:w="4099"/>
      </w:tblGrid>
      <w:tr w14:paraId="3D90FB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648" w:type="dxa"/>
            <w:tcBorders>
              <w:top w:val="single" w:color="000000" w:sz="10" w:space="0"/>
              <w:left w:val="single" w:color="000000" w:sz="10" w:space="0"/>
            </w:tcBorders>
            <w:textDirection w:val="tbRlV"/>
            <w:vAlign w:val="top"/>
          </w:tcPr>
          <w:p w14:paraId="25BD5644">
            <w:pPr>
              <w:pStyle w:val="6"/>
              <w:spacing w:before="223" w:line="209" w:lineRule="auto"/>
              <w:ind w:left="36"/>
              <w:rPr>
                <w:sz w:val="20"/>
                <w:szCs w:val="20"/>
              </w:rPr>
            </w:pPr>
            <w:r>
              <w:rPr>
                <w:spacing w:val="13"/>
                <w:sz w:val="20"/>
                <w:szCs w:val="20"/>
              </w:rPr>
              <w:t>序</w:t>
            </w:r>
            <w:r>
              <w:rPr>
                <w:spacing w:val="-42"/>
                <w:sz w:val="20"/>
                <w:szCs w:val="20"/>
              </w:rPr>
              <w:t xml:space="preserve"> </w:t>
            </w:r>
            <w:r>
              <w:rPr>
                <w:spacing w:val="13"/>
                <w:sz w:val="20"/>
                <w:szCs w:val="20"/>
              </w:rPr>
              <w:t>号</w:t>
            </w:r>
          </w:p>
        </w:tc>
        <w:tc>
          <w:tcPr>
            <w:tcW w:w="8349" w:type="dxa"/>
            <w:tcBorders>
              <w:top w:val="single" w:color="000000" w:sz="10" w:space="0"/>
            </w:tcBorders>
            <w:vAlign w:val="top"/>
          </w:tcPr>
          <w:p w14:paraId="22A8F64E">
            <w:pPr>
              <w:pStyle w:val="6"/>
              <w:spacing w:before="170" w:line="231" w:lineRule="auto"/>
              <w:ind w:left="3778"/>
              <w:rPr>
                <w:sz w:val="20"/>
                <w:szCs w:val="20"/>
              </w:rPr>
            </w:pPr>
            <w:r>
              <w:rPr>
                <w:spacing w:val="1"/>
                <w:sz w:val="20"/>
                <w:szCs w:val="20"/>
              </w:rPr>
              <w:t>审查意见</w:t>
            </w:r>
          </w:p>
        </w:tc>
        <w:tc>
          <w:tcPr>
            <w:tcW w:w="1081" w:type="dxa"/>
            <w:tcBorders>
              <w:top w:val="single" w:color="000000" w:sz="10" w:space="0"/>
            </w:tcBorders>
            <w:vAlign w:val="top"/>
          </w:tcPr>
          <w:p w14:paraId="33823A99">
            <w:pPr>
              <w:pStyle w:val="6"/>
              <w:spacing w:before="170" w:line="231" w:lineRule="auto"/>
              <w:ind w:left="146"/>
              <w:rPr>
                <w:sz w:val="20"/>
                <w:szCs w:val="20"/>
              </w:rPr>
            </w:pPr>
            <w:r>
              <w:rPr>
                <w:spacing w:val="3"/>
                <w:sz w:val="20"/>
                <w:szCs w:val="20"/>
              </w:rPr>
              <w:t>落实情况</w:t>
            </w:r>
          </w:p>
        </w:tc>
        <w:tc>
          <w:tcPr>
            <w:tcW w:w="4099" w:type="dxa"/>
            <w:tcBorders>
              <w:top w:val="single" w:color="000000" w:sz="10" w:space="0"/>
              <w:right w:val="single" w:color="000000" w:sz="10" w:space="0"/>
            </w:tcBorders>
            <w:vAlign w:val="top"/>
          </w:tcPr>
          <w:p w14:paraId="095D0E31">
            <w:pPr>
              <w:pStyle w:val="6"/>
              <w:spacing w:before="171" w:line="232" w:lineRule="auto"/>
              <w:ind w:left="1540"/>
              <w:rPr>
                <w:sz w:val="20"/>
                <w:szCs w:val="20"/>
              </w:rPr>
            </w:pPr>
            <w:r>
              <w:rPr>
                <w:spacing w:val="6"/>
                <w:sz w:val="20"/>
                <w:szCs w:val="20"/>
              </w:rPr>
              <w:t>说明与备注</w:t>
            </w:r>
          </w:p>
        </w:tc>
      </w:tr>
      <w:tr w14:paraId="7D6712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4" w:hRule="atLeast"/>
        </w:trPr>
        <w:tc>
          <w:tcPr>
            <w:tcW w:w="648" w:type="dxa"/>
            <w:tcBorders>
              <w:left w:val="single" w:color="000000" w:sz="10" w:space="0"/>
            </w:tcBorders>
            <w:vAlign w:val="top"/>
          </w:tcPr>
          <w:p w14:paraId="268D94A7">
            <w:pPr>
              <w:spacing w:line="343" w:lineRule="auto"/>
              <w:rPr>
                <w:rFonts w:ascii="Arial"/>
                <w:sz w:val="21"/>
              </w:rPr>
            </w:pPr>
          </w:p>
          <w:p w14:paraId="507F5A5D">
            <w:pPr>
              <w:spacing w:line="343" w:lineRule="auto"/>
              <w:rPr>
                <w:rFonts w:ascii="Arial"/>
                <w:sz w:val="21"/>
              </w:rPr>
            </w:pPr>
          </w:p>
          <w:p w14:paraId="6BFBD1BE">
            <w:pPr>
              <w:spacing w:before="57" w:line="195" w:lineRule="auto"/>
              <w:ind w:left="27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8349" w:type="dxa"/>
            <w:vAlign w:val="top"/>
          </w:tcPr>
          <w:p w14:paraId="6002519A">
            <w:pPr>
              <w:pStyle w:val="6"/>
              <w:spacing w:before="32" w:line="231" w:lineRule="auto"/>
              <w:ind w:left="58"/>
              <w:rPr>
                <w:sz w:val="20"/>
                <w:szCs w:val="20"/>
              </w:rPr>
            </w:pPr>
            <w:r>
              <w:rPr>
                <w:spacing w:val="7"/>
                <w:sz w:val="20"/>
                <w:szCs w:val="20"/>
              </w:rPr>
              <w:t>（一）坚持生态优先</w:t>
            </w:r>
            <w:r>
              <w:rPr>
                <w:rFonts w:hint="eastAsia"/>
                <w:spacing w:val="7"/>
                <w:sz w:val="20"/>
                <w:szCs w:val="20"/>
                <w:lang w:eastAsia="zh-CN"/>
              </w:rPr>
              <w:t>、</w:t>
            </w:r>
            <w:r>
              <w:rPr>
                <w:spacing w:val="7"/>
                <w:sz w:val="20"/>
                <w:szCs w:val="20"/>
              </w:rPr>
              <w:t>绿色发展。</w:t>
            </w:r>
          </w:p>
          <w:p w14:paraId="1F56E1CD">
            <w:pPr>
              <w:pStyle w:val="6"/>
              <w:spacing w:before="19" w:line="244" w:lineRule="auto"/>
              <w:ind w:left="53" w:right="114" w:firstLine="4"/>
              <w:jc w:val="both"/>
              <w:rPr>
                <w:sz w:val="20"/>
                <w:szCs w:val="20"/>
              </w:rPr>
            </w:pPr>
            <w:r>
              <w:rPr>
                <w:spacing w:val="10"/>
                <w:sz w:val="20"/>
                <w:szCs w:val="20"/>
              </w:rPr>
              <w:t>坚持以习近平生态文明思想为指导，严格落</w:t>
            </w:r>
            <w:r>
              <w:rPr>
                <w:spacing w:val="9"/>
                <w:sz w:val="20"/>
                <w:szCs w:val="20"/>
              </w:rPr>
              <w:t>实《中华人民共和国长江保护法》，按照“共</w:t>
            </w:r>
            <w:r>
              <w:rPr>
                <w:sz w:val="20"/>
                <w:szCs w:val="20"/>
              </w:rPr>
              <w:t xml:space="preserve"> </w:t>
            </w:r>
            <w:r>
              <w:rPr>
                <w:spacing w:val="9"/>
                <w:sz w:val="20"/>
                <w:szCs w:val="20"/>
              </w:rPr>
              <w:t>抓大保护、不搞大开发</w:t>
            </w:r>
            <w:r>
              <w:rPr>
                <w:spacing w:val="-70"/>
                <w:sz w:val="20"/>
                <w:szCs w:val="20"/>
              </w:rPr>
              <w:t xml:space="preserve"> </w:t>
            </w:r>
            <w:r>
              <w:rPr>
                <w:spacing w:val="9"/>
                <w:sz w:val="20"/>
                <w:szCs w:val="20"/>
              </w:rPr>
              <w:t>”的要求，立足于生态系统稳定和生态环境</w:t>
            </w:r>
            <w:r>
              <w:rPr>
                <w:spacing w:val="8"/>
                <w:sz w:val="20"/>
                <w:szCs w:val="20"/>
              </w:rPr>
              <w:t>质量改善，处理好生态</w:t>
            </w:r>
            <w:r>
              <w:rPr>
                <w:sz w:val="20"/>
                <w:szCs w:val="20"/>
              </w:rPr>
              <w:t xml:space="preserve"> </w:t>
            </w:r>
            <w:r>
              <w:rPr>
                <w:spacing w:val="10"/>
                <w:sz w:val="20"/>
                <w:szCs w:val="20"/>
              </w:rPr>
              <w:t>环境保护与矿产资源开发的关系，合理控制矿产资</w:t>
            </w:r>
            <w:r>
              <w:rPr>
                <w:spacing w:val="9"/>
                <w:sz w:val="20"/>
                <w:szCs w:val="20"/>
              </w:rPr>
              <w:t>源开发规模与强度，不得占用依法应当</w:t>
            </w:r>
            <w:r>
              <w:rPr>
                <w:sz w:val="20"/>
                <w:szCs w:val="20"/>
              </w:rPr>
              <w:t xml:space="preserve"> </w:t>
            </w:r>
            <w:r>
              <w:rPr>
                <w:spacing w:val="10"/>
                <w:sz w:val="20"/>
                <w:szCs w:val="20"/>
              </w:rPr>
              <w:t>禁止开发的区域，优先避让生态环境敏感区域。进</w:t>
            </w:r>
            <w:r>
              <w:rPr>
                <w:spacing w:val="9"/>
                <w:sz w:val="20"/>
                <w:szCs w:val="20"/>
              </w:rPr>
              <w:t>一步强化《规划》的生态环境保护总体</w:t>
            </w:r>
            <w:r>
              <w:rPr>
                <w:sz w:val="20"/>
                <w:szCs w:val="20"/>
              </w:rPr>
              <w:t xml:space="preserve"> </w:t>
            </w:r>
            <w:r>
              <w:rPr>
                <w:spacing w:val="9"/>
                <w:sz w:val="20"/>
                <w:szCs w:val="20"/>
              </w:rPr>
              <w:t>要求，推动生态环境保护与矿产资源开发目标同步</w:t>
            </w:r>
            <w:r>
              <w:rPr>
                <w:spacing w:val="8"/>
                <w:sz w:val="20"/>
                <w:szCs w:val="20"/>
              </w:rPr>
              <w:t>实现。</w:t>
            </w:r>
          </w:p>
        </w:tc>
        <w:tc>
          <w:tcPr>
            <w:tcW w:w="1081" w:type="dxa"/>
            <w:vAlign w:val="top"/>
          </w:tcPr>
          <w:p w14:paraId="4D11FAFB">
            <w:pPr>
              <w:spacing w:line="321" w:lineRule="auto"/>
              <w:rPr>
                <w:rFonts w:ascii="Arial"/>
                <w:sz w:val="21"/>
              </w:rPr>
            </w:pPr>
          </w:p>
          <w:p w14:paraId="45185B59">
            <w:pPr>
              <w:spacing w:line="322" w:lineRule="auto"/>
              <w:rPr>
                <w:rFonts w:ascii="Arial"/>
                <w:sz w:val="21"/>
              </w:rPr>
            </w:pPr>
          </w:p>
          <w:p w14:paraId="6A632932">
            <w:pPr>
              <w:pStyle w:val="6"/>
              <w:spacing w:before="65" w:line="231" w:lineRule="auto"/>
              <w:ind w:left="268"/>
              <w:rPr>
                <w:sz w:val="20"/>
                <w:szCs w:val="20"/>
              </w:rPr>
            </w:pPr>
            <w:r>
              <w:rPr>
                <w:spacing w:val="-4"/>
                <w:sz w:val="20"/>
                <w:szCs w:val="20"/>
              </w:rPr>
              <w:t>已落实</w:t>
            </w:r>
          </w:p>
        </w:tc>
        <w:tc>
          <w:tcPr>
            <w:tcW w:w="4099" w:type="dxa"/>
            <w:tcBorders>
              <w:right w:val="single" w:color="000000" w:sz="10" w:space="0"/>
            </w:tcBorders>
            <w:vAlign w:val="top"/>
          </w:tcPr>
          <w:p w14:paraId="7285AE86">
            <w:pPr>
              <w:pStyle w:val="6"/>
              <w:spacing w:before="165" w:line="252" w:lineRule="auto"/>
              <w:ind w:left="70" w:right="43" w:hanging="2"/>
              <w:jc w:val="both"/>
              <w:rPr>
                <w:sz w:val="20"/>
                <w:szCs w:val="20"/>
              </w:rPr>
            </w:pPr>
            <w:r>
              <w:rPr>
                <w:spacing w:val="9"/>
                <w:sz w:val="20"/>
                <w:szCs w:val="20"/>
              </w:rPr>
              <w:t>有序设置和投放矿权，合理控制矿产资源开</w:t>
            </w:r>
            <w:r>
              <w:rPr>
                <w:sz w:val="20"/>
                <w:szCs w:val="20"/>
              </w:rPr>
              <w:t xml:space="preserve"> </w:t>
            </w:r>
            <w:r>
              <w:rPr>
                <w:spacing w:val="8"/>
                <w:sz w:val="20"/>
                <w:szCs w:val="20"/>
              </w:rPr>
              <w:t>发规模与强度，未超过开采指标要求，未占</w:t>
            </w:r>
            <w:r>
              <w:rPr>
                <w:spacing w:val="17"/>
                <w:sz w:val="20"/>
                <w:szCs w:val="20"/>
              </w:rPr>
              <w:t xml:space="preserve"> </w:t>
            </w:r>
            <w:r>
              <w:rPr>
                <w:spacing w:val="8"/>
                <w:sz w:val="20"/>
                <w:szCs w:val="20"/>
              </w:rPr>
              <w:t>用依法应当禁止开发的区域，避让了生态环</w:t>
            </w:r>
            <w:r>
              <w:rPr>
                <w:spacing w:val="17"/>
                <w:sz w:val="20"/>
                <w:szCs w:val="20"/>
              </w:rPr>
              <w:t xml:space="preserve"> </w:t>
            </w:r>
            <w:r>
              <w:rPr>
                <w:spacing w:val="8"/>
                <w:sz w:val="20"/>
                <w:szCs w:val="20"/>
              </w:rPr>
              <w:t>境敏感区域。规划实施期间无超规模开采和</w:t>
            </w:r>
            <w:r>
              <w:rPr>
                <w:spacing w:val="17"/>
                <w:sz w:val="20"/>
                <w:szCs w:val="20"/>
              </w:rPr>
              <w:t xml:space="preserve"> </w:t>
            </w:r>
            <w:r>
              <w:rPr>
                <w:spacing w:val="6"/>
                <w:sz w:val="20"/>
                <w:szCs w:val="20"/>
              </w:rPr>
              <w:t>无序开采现象。</w:t>
            </w:r>
          </w:p>
        </w:tc>
      </w:tr>
      <w:tr w14:paraId="2CDFE7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4" w:hRule="atLeast"/>
        </w:trPr>
        <w:tc>
          <w:tcPr>
            <w:tcW w:w="648" w:type="dxa"/>
            <w:tcBorders>
              <w:left w:val="single" w:color="000000" w:sz="10" w:space="0"/>
            </w:tcBorders>
            <w:vAlign w:val="top"/>
          </w:tcPr>
          <w:p w14:paraId="11785B59">
            <w:pPr>
              <w:spacing w:line="270" w:lineRule="auto"/>
              <w:rPr>
                <w:rFonts w:ascii="Arial"/>
                <w:sz w:val="21"/>
              </w:rPr>
            </w:pPr>
          </w:p>
          <w:p w14:paraId="1D464AB1">
            <w:pPr>
              <w:spacing w:line="270" w:lineRule="auto"/>
              <w:rPr>
                <w:rFonts w:ascii="Arial"/>
                <w:sz w:val="21"/>
              </w:rPr>
            </w:pPr>
          </w:p>
          <w:p w14:paraId="660CAFB6">
            <w:pPr>
              <w:spacing w:line="270" w:lineRule="auto"/>
              <w:rPr>
                <w:rFonts w:ascii="Arial"/>
                <w:sz w:val="21"/>
              </w:rPr>
            </w:pPr>
          </w:p>
          <w:p w14:paraId="16E5F147">
            <w:pPr>
              <w:spacing w:before="58" w:line="195" w:lineRule="auto"/>
              <w:ind w:left="25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8349" w:type="dxa"/>
            <w:vAlign w:val="top"/>
          </w:tcPr>
          <w:p w14:paraId="13178BDF">
            <w:pPr>
              <w:spacing w:line="362" w:lineRule="auto"/>
              <w:rPr>
                <w:rFonts w:ascii="Arial"/>
                <w:sz w:val="21"/>
              </w:rPr>
            </w:pPr>
          </w:p>
          <w:p w14:paraId="62BAA9A7">
            <w:pPr>
              <w:pStyle w:val="6"/>
              <w:spacing w:before="65" w:line="230" w:lineRule="auto"/>
              <w:ind w:left="58"/>
              <w:rPr>
                <w:sz w:val="20"/>
                <w:szCs w:val="20"/>
              </w:rPr>
            </w:pPr>
            <w:r>
              <w:rPr>
                <w:spacing w:val="8"/>
                <w:sz w:val="20"/>
                <w:szCs w:val="20"/>
              </w:rPr>
              <w:t>（二）严格产业准入，合理控制开采。</w:t>
            </w:r>
          </w:p>
          <w:p w14:paraId="27DB7DC9">
            <w:pPr>
              <w:pStyle w:val="6"/>
              <w:spacing w:before="21" w:line="251" w:lineRule="auto"/>
              <w:ind w:left="55"/>
              <w:jc w:val="both"/>
              <w:rPr>
                <w:sz w:val="20"/>
                <w:szCs w:val="20"/>
              </w:rPr>
            </w:pPr>
            <w:r>
              <w:rPr>
                <w:spacing w:val="7"/>
                <w:sz w:val="20"/>
                <w:szCs w:val="20"/>
              </w:rPr>
              <w:t>严格落实《规划》提出的全区矿山数量控制在</w:t>
            </w:r>
            <w:r>
              <w:rPr>
                <w:spacing w:val="-40"/>
                <w:sz w:val="20"/>
                <w:szCs w:val="20"/>
              </w:rPr>
              <w:t xml:space="preserve"> </w:t>
            </w:r>
            <w:r>
              <w:rPr>
                <w:rFonts w:ascii="Times New Roman" w:hAnsi="Times New Roman" w:eastAsia="Times New Roman" w:cs="Times New Roman"/>
                <w:spacing w:val="7"/>
                <w:sz w:val="20"/>
                <w:szCs w:val="20"/>
              </w:rPr>
              <w:t>28</w:t>
            </w:r>
            <w:r>
              <w:rPr>
                <w:rFonts w:ascii="Times New Roman" w:hAnsi="Times New Roman" w:eastAsia="Times New Roman" w:cs="Times New Roman"/>
                <w:spacing w:val="15"/>
                <w:w w:val="101"/>
                <w:sz w:val="20"/>
                <w:szCs w:val="20"/>
              </w:rPr>
              <w:t xml:space="preserve"> </w:t>
            </w:r>
            <w:r>
              <w:rPr>
                <w:spacing w:val="7"/>
                <w:sz w:val="20"/>
                <w:szCs w:val="20"/>
              </w:rPr>
              <w:t>个以内、矿山最</w:t>
            </w:r>
            <w:r>
              <w:rPr>
                <w:spacing w:val="6"/>
                <w:sz w:val="20"/>
                <w:szCs w:val="20"/>
              </w:rPr>
              <w:t>低开采规模准入要求、大</w:t>
            </w:r>
            <w:r>
              <w:rPr>
                <w:sz w:val="20"/>
                <w:szCs w:val="20"/>
              </w:rPr>
              <w:t xml:space="preserve">  </w:t>
            </w:r>
            <w:r>
              <w:rPr>
                <w:spacing w:val="8"/>
                <w:sz w:val="20"/>
                <w:szCs w:val="20"/>
              </w:rPr>
              <w:t>中型矿山比例达到</w:t>
            </w:r>
            <w:r>
              <w:rPr>
                <w:rFonts w:ascii="Times New Roman" w:hAnsi="Times New Roman" w:eastAsia="Times New Roman" w:cs="Times New Roman"/>
                <w:spacing w:val="8"/>
                <w:sz w:val="20"/>
                <w:szCs w:val="20"/>
              </w:rPr>
              <w:t>60%</w:t>
            </w:r>
            <w:r>
              <w:rPr>
                <w:spacing w:val="8"/>
                <w:sz w:val="20"/>
                <w:szCs w:val="20"/>
              </w:rPr>
              <w:t>等要求，水泥用灰岩、建筑石料用灰岩矿石产量严</w:t>
            </w:r>
            <w:r>
              <w:rPr>
                <w:spacing w:val="7"/>
                <w:sz w:val="20"/>
                <w:szCs w:val="20"/>
              </w:rPr>
              <w:t>格控制在《规划》</w:t>
            </w:r>
            <w:r>
              <w:rPr>
                <w:sz w:val="20"/>
                <w:szCs w:val="20"/>
              </w:rPr>
              <w:t xml:space="preserve"> </w:t>
            </w:r>
            <w:r>
              <w:rPr>
                <w:spacing w:val="6"/>
                <w:sz w:val="20"/>
                <w:szCs w:val="20"/>
              </w:rPr>
              <w:t>提出的约束性指标内。</w:t>
            </w:r>
          </w:p>
        </w:tc>
        <w:tc>
          <w:tcPr>
            <w:tcW w:w="1081" w:type="dxa"/>
            <w:vAlign w:val="top"/>
          </w:tcPr>
          <w:p w14:paraId="6D1763C0">
            <w:pPr>
              <w:spacing w:line="255" w:lineRule="auto"/>
              <w:rPr>
                <w:rFonts w:ascii="Arial"/>
                <w:sz w:val="21"/>
              </w:rPr>
            </w:pPr>
          </w:p>
          <w:p w14:paraId="0FD60424">
            <w:pPr>
              <w:spacing w:line="256" w:lineRule="auto"/>
              <w:rPr>
                <w:rFonts w:ascii="Arial"/>
                <w:sz w:val="21"/>
              </w:rPr>
            </w:pPr>
          </w:p>
          <w:p w14:paraId="1B4DB35C">
            <w:pPr>
              <w:spacing w:line="256" w:lineRule="auto"/>
              <w:rPr>
                <w:rFonts w:ascii="Arial"/>
                <w:sz w:val="21"/>
              </w:rPr>
            </w:pPr>
          </w:p>
          <w:p w14:paraId="32A3909C">
            <w:pPr>
              <w:pStyle w:val="6"/>
              <w:spacing w:before="65" w:line="231" w:lineRule="auto"/>
              <w:ind w:left="268"/>
              <w:rPr>
                <w:sz w:val="20"/>
                <w:szCs w:val="20"/>
              </w:rPr>
            </w:pPr>
            <w:r>
              <w:rPr>
                <w:spacing w:val="-4"/>
                <w:sz w:val="20"/>
                <w:szCs w:val="20"/>
              </w:rPr>
              <w:t>已落实</w:t>
            </w:r>
          </w:p>
        </w:tc>
        <w:tc>
          <w:tcPr>
            <w:tcW w:w="4099" w:type="dxa"/>
            <w:tcBorders>
              <w:right w:val="single" w:color="000000" w:sz="10" w:space="0"/>
            </w:tcBorders>
            <w:vAlign w:val="top"/>
          </w:tcPr>
          <w:p w14:paraId="60A26AF0">
            <w:pPr>
              <w:pStyle w:val="6"/>
              <w:spacing w:before="37" w:line="251" w:lineRule="auto"/>
              <w:ind w:left="70"/>
              <w:jc w:val="both"/>
              <w:rPr>
                <w:sz w:val="20"/>
                <w:szCs w:val="20"/>
              </w:rPr>
            </w:pPr>
            <w:r>
              <w:rPr>
                <w:spacing w:val="3"/>
                <w:sz w:val="20"/>
                <w:szCs w:val="20"/>
              </w:rPr>
              <w:t>截止</w:t>
            </w:r>
            <w:r>
              <w:rPr>
                <w:spacing w:val="-32"/>
                <w:sz w:val="20"/>
                <w:szCs w:val="20"/>
              </w:rPr>
              <w:t xml:space="preserve"> </w:t>
            </w:r>
            <w:r>
              <w:rPr>
                <w:rFonts w:ascii="Times New Roman" w:hAnsi="Times New Roman" w:eastAsia="Times New Roman" w:cs="Times New Roman"/>
                <w:spacing w:val="3"/>
                <w:sz w:val="20"/>
                <w:szCs w:val="20"/>
              </w:rPr>
              <w:t>2024</w:t>
            </w:r>
            <w:r>
              <w:rPr>
                <w:rFonts w:ascii="Times New Roman" w:hAnsi="Times New Roman" w:eastAsia="Times New Roman" w:cs="Times New Roman"/>
                <w:spacing w:val="22"/>
                <w:sz w:val="20"/>
                <w:szCs w:val="20"/>
              </w:rPr>
              <w:t xml:space="preserve"> </w:t>
            </w:r>
            <w:r>
              <w:rPr>
                <w:spacing w:val="3"/>
                <w:sz w:val="20"/>
                <w:szCs w:val="20"/>
              </w:rPr>
              <w:t>年</w:t>
            </w:r>
            <w:r>
              <w:rPr>
                <w:spacing w:val="-23"/>
                <w:sz w:val="20"/>
                <w:szCs w:val="20"/>
              </w:rPr>
              <w:t xml:space="preserve"> </w:t>
            </w:r>
            <w:r>
              <w:rPr>
                <w:rFonts w:ascii="Times New Roman" w:hAnsi="Times New Roman" w:eastAsia="Times New Roman" w:cs="Times New Roman"/>
                <w:spacing w:val="3"/>
                <w:sz w:val="20"/>
                <w:szCs w:val="20"/>
              </w:rPr>
              <w:t>12</w:t>
            </w:r>
            <w:r>
              <w:rPr>
                <w:rFonts w:ascii="Times New Roman" w:hAnsi="Times New Roman" w:eastAsia="Times New Roman" w:cs="Times New Roman"/>
                <w:spacing w:val="24"/>
                <w:w w:val="101"/>
                <w:sz w:val="20"/>
                <w:szCs w:val="20"/>
              </w:rPr>
              <w:t xml:space="preserve"> </w:t>
            </w:r>
            <w:r>
              <w:rPr>
                <w:spacing w:val="3"/>
                <w:sz w:val="20"/>
                <w:szCs w:val="20"/>
              </w:rPr>
              <w:t>月，黔江区有持证非油气采</w:t>
            </w:r>
            <w:r>
              <w:rPr>
                <w:sz w:val="20"/>
                <w:szCs w:val="20"/>
              </w:rPr>
              <w:t xml:space="preserve"> 矿权</w:t>
            </w:r>
            <w:r>
              <w:rPr>
                <w:spacing w:val="-9"/>
                <w:sz w:val="20"/>
                <w:szCs w:val="20"/>
              </w:rPr>
              <w:t xml:space="preserve"> </w:t>
            </w:r>
            <w:r>
              <w:rPr>
                <w:rFonts w:ascii="Times New Roman" w:hAnsi="Times New Roman" w:eastAsia="Times New Roman" w:cs="Times New Roman"/>
                <w:sz w:val="20"/>
                <w:szCs w:val="20"/>
              </w:rPr>
              <w:t>14</w:t>
            </w:r>
            <w:r>
              <w:rPr>
                <w:rFonts w:ascii="Times New Roman" w:hAnsi="Times New Roman" w:eastAsia="Times New Roman" w:cs="Times New Roman"/>
                <w:spacing w:val="18"/>
                <w:sz w:val="20"/>
                <w:szCs w:val="20"/>
              </w:rPr>
              <w:t xml:space="preserve"> </w:t>
            </w:r>
            <w:r>
              <w:rPr>
                <w:sz w:val="20"/>
                <w:szCs w:val="20"/>
              </w:rPr>
              <w:t>家，其中大型矿山</w:t>
            </w:r>
            <w:r>
              <w:rPr>
                <w:spacing w:val="-37"/>
                <w:sz w:val="20"/>
                <w:szCs w:val="20"/>
              </w:rPr>
              <w:t xml:space="preserve"> </w:t>
            </w:r>
            <w:r>
              <w:rPr>
                <w:rFonts w:ascii="Times New Roman" w:hAnsi="Times New Roman" w:eastAsia="Times New Roman" w:cs="Times New Roman"/>
                <w:sz w:val="20"/>
                <w:szCs w:val="20"/>
              </w:rPr>
              <w:t>3</w:t>
            </w:r>
            <w:r>
              <w:rPr>
                <w:rFonts w:ascii="Times New Roman" w:hAnsi="Times New Roman" w:eastAsia="Times New Roman" w:cs="Times New Roman"/>
                <w:spacing w:val="20"/>
                <w:w w:val="101"/>
                <w:sz w:val="20"/>
                <w:szCs w:val="20"/>
              </w:rPr>
              <w:t xml:space="preserve"> </w:t>
            </w:r>
            <w:r>
              <w:rPr>
                <w:sz w:val="20"/>
                <w:szCs w:val="20"/>
              </w:rPr>
              <w:t>家，中型矿山</w:t>
            </w:r>
            <w:r>
              <w:rPr>
                <w:spacing w:val="-37"/>
                <w:sz w:val="20"/>
                <w:szCs w:val="20"/>
              </w:rPr>
              <w:t xml:space="preserve"> </w:t>
            </w:r>
            <w:r>
              <w:rPr>
                <w:rFonts w:ascii="Times New Roman" w:hAnsi="Times New Roman" w:eastAsia="Times New Roman" w:cs="Times New Roman"/>
                <w:sz w:val="20"/>
                <w:szCs w:val="20"/>
              </w:rPr>
              <w:t xml:space="preserve">3  </w:t>
            </w:r>
            <w:r>
              <w:rPr>
                <w:spacing w:val="-3"/>
                <w:sz w:val="20"/>
                <w:szCs w:val="20"/>
              </w:rPr>
              <w:t>家，小型矿山</w:t>
            </w:r>
            <w:r>
              <w:rPr>
                <w:rFonts w:ascii="Times New Roman" w:hAnsi="Times New Roman" w:eastAsia="Times New Roman" w:cs="Times New Roman"/>
                <w:spacing w:val="-3"/>
                <w:sz w:val="20"/>
                <w:szCs w:val="20"/>
              </w:rPr>
              <w:t xml:space="preserve">8 </w:t>
            </w:r>
            <w:r>
              <w:rPr>
                <w:spacing w:val="-3"/>
                <w:sz w:val="20"/>
                <w:szCs w:val="20"/>
              </w:rPr>
              <w:t>家，大中型矿山占比为</w:t>
            </w:r>
            <w:r>
              <w:rPr>
                <w:rFonts w:ascii="Times New Roman" w:hAnsi="Times New Roman" w:eastAsia="Times New Roman" w:cs="Times New Roman"/>
                <w:spacing w:val="-3"/>
                <w:sz w:val="20"/>
                <w:szCs w:val="20"/>
              </w:rPr>
              <w:t>42.9%</w:t>
            </w:r>
            <w:r>
              <w:rPr>
                <w:spacing w:val="-3"/>
                <w:sz w:val="20"/>
                <w:szCs w:val="20"/>
              </w:rPr>
              <w:t>，</w:t>
            </w:r>
            <w:r>
              <w:rPr>
                <w:spacing w:val="18"/>
                <w:sz w:val="20"/>
                <w:szCs w:val="20"/>
              </w:rPr>
              <w:t xml:space="preserve"> </w:t>
            </w:r>
            <w:r>
              <w:rPr>
                <w:spacing w:val="1"/>
                <w:sz w:val="20"/>
                <w:szCs w:val="20"/>
              </w:rPr>
              <w:t>低于规划目标</w:t>
            </w:r>
            <w:r>
              <w:rPr>
                <w:spacing w:val="-48"/>
                <w:sz w:val="20"/>
                <w:szCs w:val="20"/>
              </w:rPr>
              <w:t xml:space="preserve"> </w:t>
            </w:r>
            <w:r>
              <w:rPr>
                <w:rFonts w:ascii="Times New Roman" w:hAnsi="Times New Roman" w:eastAsia="Times New Roman" w:cs="Times New Roman"/>
                <w:spacing w:val="1"/>
                <w:sz w:val="20"/>
                <w:szCs w:val="20"/>
              </w:rPr>
              <w:t>60%</w:t>
            </w:r>
            <w:r>
              <w:rPr>
                <w:spacing w:val="1"/>
                <w:sz w:val="20"/>
                <w:szCs w:val="20"/>
              </w:rPr>
              <w:t>。水泥用石灰岩产量</w:t>
            </w:r>
            <w:r>
              <w:rPr>
                <w:spacing w:val="-33"/>
                <w:sz w:val="20"/>
                <w:szCs w:val="20"/>
              </w:rPr>
              <w:t xml:space="preserve"> </w:t>
            </w:r>
            <w:r>
              <w:rPr>
                <w:rFonts w:ascii="Times New Roman" w:hAnsi="Times New Roman" w:eastAsia="Times New Roman" w:cs="Times New Roman"/>
                <w:spacing w:val="1"/>
                <w:sz w:val="20"/>
                <w:szCs w:val="20"/>
              </w:rPr>
              <w:t>13</w:t>
            </w:r>
            <w:r>
              <w:rPr>
                <w:rFonts w:ascii="Times New Roman" w:hAnsi="Times New Roman" w:eastAsia="Times New Roman" w:cs="Times New Roman"/>
                <w:sz w:val="20"/>
                <w:szCs w:val="20"/>
              </w:rPr>
              <w:t xml:space="preserve">5.4  </w:t>
            </w:r>
            <w:r>
              <w:rPr>
                <w:spacing w:val="3"/>
                <w:sz w:val="20"/>
                <w:szCs w:val="20"/>
              </w:rPr>
              <w:t>万吨，建筑石料用灰岩</w:t>
            </w:r>
            <w:r>
              <w:rPr>
                <w:spacing w:val="-28"/>
                <w:sz w:val="20"/>
                <w:szCs w:val="20"/>
              </w:rPr>
              <w:t xml:space="preserve"> </w:t>
            </w:r>
            <w:r>
              <w:rPr>
                <w:rFonts w:ascii="Times New Roman" w:hAnsi="Times New Roman" w:eastAsia="Times New Roman" w:cs="Times New Roman"/>
                <w:spacing w:val="3"/>
                <w:sz w:val="20"/>
                <w:szCs w:val="20"/>
              </w:rPr>
              <w:t>272.51</w:t>
            </w:r>
            <w:r>
              <w:rPr>
                <w:rFonts w:ascii="Times New Roman" w:hAnsi="Times New Roman" w:eastAsia="Times New Roman" w:cs="Times New Roman"/>
                <w:spacing w:val="16"/>
                <w:w w:val="101"/>
                <w:sz w:val="20"/>
                <w:szCs w:val="20"/>
              </w:rPr>
              <w:t xml:space="preserve"> </w:t>
            </w:r>
            <w:r>
              <w:rPr>
                <w:spacing w:val="3"/>
                <w:sz w:val="20"/>
                <w:szCs w:val="20"/>
              </w:rPr>
              <w:t>万吨，严格控</w:t>
            </w:r>
            <w:r>
              <w:rPr>
                <w:sz w:val="20"/>
                <w:szCs w:val="20"/>
              </w:rPr>
              <w:t xml:space="preserve"> </w:t>
            </w:r>
            <w:r>
              <w:rPr>
                <w:spacing w:val="7"/>
                <w:sz w:val="20"/>
                <w:szCs w:val="20"/>
              </w:rPr>
              <w:t>制在《规划》提出的约束性指标内。</w:t>
            </w:r>
          </w:p>
        </w:tc>
      </w:tr>
      <w:tr w14:paraId="67AF01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9" w:hRule="atLeast"/>
        </w:trPr>
        <w:tc>
          <w:tcPr>
            <w:tcW w:w="648" w:type="dxa"/>
            <w:tcBorders>
              <w:left w:val="single" w:color="000000" w:sz="10" w:space="0"/>
              <w:bottom w:val="single" w:color="000000" w:sz="10" w:space="0"/>
            </w:tcBorders>
            <w:vAlign w:val="top"/>
          </w:tcPr>
          <w:p w14:paraId="24D68DE7">
            <w:pPr>
              <w:spacing w:line="273" w:lineRule="auto"/>
              <w:rPr>
                <w:rFonts w:ascii="Arial"/>
                <w:sz w:val="21"/>
              </w:rPr>
            </w:pPr>
          </w:p>
          <w:p w14:paraId="1B61C445">
            <w:pPr>
              <w:spacing w:line="274" w:lineRule="auto"/>
              <w:rPr>
                <w:rFonts w:ascii="Arial"/>
                <w:sz w:val="21"/>
              </w:rPr>
            </w:pPr>
          </w:p>
          <w:p w14:paraId="0C31FECC">
            <w:pPr>
              <w:spacing w:line="274" w:lineRule="auto"/>
              <w:rPr>
                <w:rFonts w:ascii="Arial"/>
                <w:sz w:val="21"/>
              </w:rPr>
            </w:pPr>
          </w:p>
          <w:p w14:paraId="10473F50">
            <w:pPr>
              <w:spacing w:line="274" w:lineRule="auto"/>
              <w:rPr>
                <w:rFonts w:ascii="Arial"/>
                <w:sz w:val="21"/>
              </w:rPr>
            </w:pPr>
          </w:p>
          <w:p w14:paraId="41F8ABE8">
            <w:pPr>
              <w:spacing w:line="274" w:lineRule="auto"/>
              <w:rPr>
                <w:rFonts w:ascii="Arial"/>
                <w:sz w:val="21"/>
              </w:rPr>
            </w:pPr>
          </w:p>
          <w:p w14:paraId="02131553">
            <w:pPr>
              <w:spacing w:line="274" w:lineRule="auto"/>
              <w:rPr>
                <w:rFonts w:ascii="Arial"/>
                <w:sz w:val="21"/>
              </w:rPr>
            </w:pPr>
          </w:p>
          <w:p w14:paraId="23166E2D">
            <w:pPr>
              <w:spacing w:line="274" w:lineRule="auto"/>
              <w:rPr>
                <w:rFonts w:ascii="Arial"/>
                <w:sz w:val="21"/>
              </w:rPr>
            </w:pPr>
          </w:p>
          <w:p w14:paraId="1210E89C">
            <w:pPr>
              <w:spacing w:before="58" w:line="195" w:lineRule="auto"/>
              <w:ind w:left="26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8349" w:type="dxa"/>
            <w:tcBorders>
              <w:bottom w:val="single" w:color="000000" w:sz="10" w:space="0"/>
            </w:tcBorders>
            <w:vAlign w:val="top"/>
          </w:tcPr>
          <w:p w14:paraId="0255EE60">
            <w:pPr>
              <w:pStyle w:val="6"/>
              <w:spacing w:before="60" w:line="229" w:lineRule="auto"/>
              <w:ind w:left="58"/>
              <w:rPr>
                <w:sz w:val="20"/>
                <w:szCs w:val="20"/>
              </w:rPr>
            </w:pPr>
            <w:r>
              <w:rPr>
                <w:spacing w:val="8"/>
                <w:sz w:val="20"/>
                <w:szCs w:val="20"/>
              </w:rPr>
              <w:t>（三）严格保护生态空间，维护区域生态功能</w:t>
            </w:r>
          </w:p>
          <w:p w14:paraId="0A0628DB">
            <w:pPr>
              <w:pStyle w:val="6"/>
              <w:spacing w:before="22" w:line="251" w:lineRule="auto"/>
              <w:ind w:left="47" w:firstLine="6"/>
              <w:jc w:val="both"/>
              <w:rPr>
                <w:sz w:val="20"/>
                <w:szCs w:val="20"/>
              </w:rPr>
            </w:pPr>
            <w:r>
              <w:rPr>
                <w:spacing w:val="8"/>
                <w:sz w:val="20"/>
                <w:szCs w:val="20"/>
              </w:rPr>
              <w:t>按照重庆市“三线一单</w:t>
            </w:r>
            <w:r>
              <w:rPr>
                <w:spacing w:val="-60"/>
                <w:sz w:val="20"/>
                <w:szCs w:val="20"/>
              </w:rPr>
              <w:t xml:space="preserve"> </w:t>
            </w:r>
            <w:r>
              <w:rPr>
                <w:spacing w:val="8"/>
                <w:sz w:val="20"/>
                <w:szCs w:val="20"/>
              </w:rPr>
              <w:t>”生态环境分区管控方案、生态环境保护规划等要求，与一般生态</w:t>
            </w:r>
            <w:r>
              <w:rPr>
                <w:sz w:val="20"/>
                <w:szCs w:val="20"/>
              </w:rPr>
              <w:t xml:space="preserve">  </w:t>
            </w:r>
            <w:r>
              <w:rPr>
                <w:spacing w:val="8"/>
                <w:sz w:val="20"/>
                <w:szCs w:val="20"/>
              </w:rPr>
              <w:t>空间存在冲突的空白区新设勘查区块（</w:t>
            </w:r>
            <w:r>
              <w:rPr>
                <w:rFonts w:ascii="Times New Roman" w:hAnsi="Times New Roman" w:eastAsia="Times New Roman" w:cs="Times New Roman"/>
                <w:sz w:val="20"/>
                <w:szCs w:val="20"/>
              </w:rPr>
              <w:t>KQ</w:t>
            </w:r>
            <w:r>
              <w:rPr>
                <w:rFonts w:ascii="Times New Roman" w:hAnsi="Times New Roman" w:eastAsia="Times New Roman" w:cs="Times New Roman"/>
                <w:spacing w:val="8"/>
                <w:sz w:val="20"/>
                <w:szCs w:val="20"/>
              </w:rPr>
              <w:t>006</w:t>
            </w:r>
            <w:r>
              <w:rPr>
                <w:spacing w:val="8"/>
                <w:sz w:val="20"/>
                <w:szCs w:val="20"/>
              </w:rPr>
              <w:t>）和空白区新设开采区块（</w:t>
            </w:r>
            <w:r>
              <w:rPr>
                <w:rFonts w:ascii="Times New Roman" w:hAnsi="Times New Roman" w:eastAsia="Times New Roman" w:cs="Times New Roman"/>
                <w:sz w:val="20"/>
                <w:szCs w:val="20"/>
              </w:rPr>
              <w:t>CQ</w:t>
            </w:r>
            <w:r>
              <w:rPr>
                <w:rFonts w:ascii="Times New Roman" w:hAnsi="Times New Roman" w:eastAsia="Times New Roman" w:cs="Times New Roman"/>
                <w:spacing w:val="8"/>
                <w:sz w:val="20"/>
                <w:szCs w:val="20"/>
              </w:rPr>
              <w:t>022</w:t>
            </w:r>
            <w:r>
              <w:rPr>
                <w:rFonts w:ascii="Times New Roman" w:hAnsi="Times New Roman" w:eastAsia="Times New Roman" w:cs="Times New Roman"/>
                <w:spacing w:val="-20"/>
                <w:sz w:val="20"/>
                <w:szCs w:val="20"/>
              </w:rPr>
              <w:t xml:space="preserve"> </w:t>
            </w:r>
            <w:r>
              <w:rPr>
                <w:spacing w:val="8"/>
                <w:sz w:val="20"/>
                <w:szCs w:val="20"/>
              </w:rPr>
              <w:t>、</w:t>
            </w:r>
            <w:r>
              <w:rPr>
                <w:rFonts w:ascii="Times New Roman" w:hAnsi="Times New Roman" w:eastAsia="Times New Roman" w:cs="Times New Roman"/>
                <w:sz w:val="20"/>
                <w:szCs w:val="20"/>
              </w:rPr>
              <w:t>CQ</w:t>
            </w:r>
            <w:r>
              <w:rPr>
                <w:rFonts w:ascii="Times New Roman" w:hAnsi="Times New Roman" w:eastAsia="Times New Roman" w:cs="Times New Roman"/>
                <w:spacing w:val="8"/>
                <w:sz w:val="20"/>
                <w:szCs w:val="20"/>
              </w:rPr>
              <w:t>026</w:t>
            </w:r>
            <w:r>
              <w:rPr>
                <w:spacing w:val="8"/>
                <w:sz w:val="20"/>
                <w:szCs w:val="20"/>
              </w:rPr>
              <w:t>、</w:t>
            </w:r>
            <w:r>
              <w:rPr>
                <w:sz w:val="20"/>
                <w:szCs w:val="20"/>
              </w:rPr>
              <w:t xml:space="preserve"> </w:t>
            </w:r>
            <w:r>
              <w:rPr>
                <w:rFonts w:ascii="Times New Roman" w:hAnsi="Times New Roman" w:eastAsia="Times New Roman" w:cs="Times New Roman"/>
                <w:sz w:val="20"/>
                <w:szCs w:val="20"/>
              </w:rPr>
              <w:t>CQ</w:t>
            </w:r>
            <w:r>
              <w:rPr>
                <w:rFonts w:ascii="Times New Roman" w:hAnsi="Times New Roman" w:eastAsia="Times New Roman" w:cs="Times New Roman"/>
                <w:spacing w:val="9"/>
                <w:sz w:val="20"/>
                <w:szCs w:val="20"/>
              </w:rPr>
              <w:t>031</w:t>
            </w:r>
            <w:r>
              <w:rPr>
                <w:spacing w:val="9"/>
                <w:sz w:val="20"/>
                <w:szCs w:val="20"/>
              </w:rPr>
              <w:t>）应按照一般生态空间管控要求，严格控制勘查、开采活动范围和强度，严格落实</w:t>
            </w:r>
            <w:r>
              <w:rPr>
                <w:spacing w:val="3"/>
                <w:sz w:val="20"/>
                <w:szCs w:val="20"/>
              </w:rPr>
              <w:t xml:space="preserve">  </w:t>
            </w:r>
            <w:r>
              <w:rPr>
                <w:spacing w:val="9"/>
                <w:sz w:val="20"/>
                <w:szCs w:val="20"/>
              </w:rPr>
              <w:t>绿色勘查、绿色开采及矿山环境保护、生态修复相关要求，保证生态系统结构和生物多样</w:t>
            </w:r>
            <w:r>
              <w:rPr>
                <w:spacing w:val="4"/>
                <w:sz w:val="20"/>
                <w:szCs w:val="20"/>
              </w:rPr>
              <w:t xml:space="preserve">  </w:t>
            </w:r>
            <w:r>
              <w:rPr>
                <w:spacing w:val="8"/>
                <w:sz w:val="20"/>
                <w:szCs w:val="20"/>
              </w:rPr>
              <w:t>性维护功能不受破坏。与黔江区城周山体禁建区存在冲突的空白区新设开采区块（</w:t>
            </w:r>
            <w:r>
              <w:rPr>
                <w:rFonts w:ascii="Times New Roman" w:hAnsi="Times New Roman" w:eastAsia="Times New Roman" w:cs="Times New Roman"/>
                <w:sz w:val="20"/>
                <w:szCs w:val="20"/>
              </w:rPr>
              <w:t>CQ</w:t>
            </w:r>
            <w:r>
              <w:rPr>
                <w:rFonts w:ascii="Times New Roman" w:hAnsi="Times New Roman" w:eastAsia="Times New Roman" w:cs="Times New Roman"/>
                <w:spacing w:val="8"/>
                <w:sz w:val="20"/>
                <w:szCs w:val="20"/>
              </w:rPr>
              <w:t>0</w:t>
            </w:r>
            <w:r>
              <w:rPr>
                <w:rFonts w:ascii="Times New Roman" w:hAnsi="Times New Roman" w:eastAsia="Times New Roman" w:cs="Times New Roman"/>
                <w:spacing w:val="7"/>
                <w:sz w:val="20"/>
                <w:szCs w:val="20"/>
              </w:rPr>
              <w:t>23</w:t>
            </w:r>
            <w:r>
              <w:rPr>
                <w:spacing w:val="7"/>
                <w:sz w:val="20"/>
                <w:szCs w:val="20"/>
              </w:rPr>
              <w:t>、</w:t>
            </w:r>
            <w:r>
              <w:rPr>
                <w:sz w:val="20"/>
                <w:szCs w:val="20"/>
              </w:rPr>
              <w:t xml:space="preserve"> </w:t>
            </w:r>
            <w:r>
              <w:rPr>
                <w:rFonts w:ascii="Times New Roman" w:hAnsi="Times New Roman" w:eastAsia="Times New Roman" w:cs="Times New Roman"/>
                <w:sz w:val="20"/>
                <w:szCs w:val="20"/>
              </w:rPr>
              <w:t>CQ</w:t>
            </w:r>
            <w:r>
              <w:rPr>
                <w:rFonts w:ascii="Times New Roman" w:hAnsi="Times New Roman" w:eastAsia="Times New Roman" w:cs="Times New Roman"/>
                <w:spacing w:val="6"/>
                <w:sz w:val="20"/>
                <w:szCs w:val="20"/>
              </w:rPr>
              <w:t>026</w:t>
            </w:r>
            <w:r>
              <w:rPr>
                <w:rFonts w:ascii="Times New Roman" w:hAnsi="Times New Roman" w:eastAsia="Times New Roman" w:cs="Times New Roman"/>
                <w:spacing w:val="-22"/>
                <w:sz w:val="20"/>
                <w:szCs w:val="20"/>
              </w:rPr>
              <w:t xml:space="preserve"> </w:t>
            </w:r>
            <w:r>
              <w:rPr>
                <w:spacing w:val="6"/>
                <w:sz w:val="20"/>
                <w:szCs w:val="20"/>
              </w:rPr>
              <w:t>、</w:t>
            </w:r>
            <w:r>
              <w:rPr>
                <w:rFonts w:ascii="Times New Roman" w:hAnsi="Times New Roman" w:eastAsia="Times New Roman" w:cs="Times New Roman"/>
                <w:sz w:val="20"/>
                <w:szCs w:val="20"/>
              </w:rPr>
              <w:t>CQ</w:t>
            </w:r>
            <w:r>
              <w:rPr>
                <w:rFonts w:ascii="Times New Roman" w:hAnsi="Times New Roman" w:eastAsia="Times New Roman" w:cs="Times New Roman"/>
                <w:spacing w:val="6"/>
                <w:sz w:val="20"/>
                <w:szCs w:val="20"/>
              </w:rPr>
              <w:t>027</w:t>
            </w:r>
            <w:r>
              <w:rPr>
                <w:rFonts w:ascii="Times New Roman" w:hAnsi="Times New Roman" w:eastAsia="Times New Roman" w:cs="Times New Roman"/>
                <w:spacing w:val="-20"/>
                <w:sz w:val="20"/>
                <w:szCs w:val="20"/>
              </w:rPr>
              <w:t xml:space="preserve"> </w:t>
            </w:r>
            <w:r>
              <w:rPr>
                <w:spacing w:val="6"/>
                <w:sz w:val="20"/>
                <w:szCs w:val="20"/>
              </w:rPr>
              <w:t>、</w:t>
            </w:r>
            <w:r>
              <w:rPr>
                <w:rFonts w:ascii="Times New Roman" w:hAnsi="Times New Roman" w:eastAsia="Times New Roman" w:cs="Times New Roman"/>
                <w:sz w:val="20"/>
                <w:szCs w:val="20"/>
              </w:rPr>
              <w:t>CQ</w:t>
            </w:r>
            <w:r>
              <w:rPr>
                <w:rFonts w:ascii="Times New Roman" w:hAnsi="Times New Roman" w:eastAsia="Times New Roman" w:cs="Times New Roman"/>
                <w:spacing w:val="6"/>
                <w:sz w:val="20"/>
                <w:szCs w:val="20"/>
              </w:rPr>
              <w:t>028</w:t>
            </w:r>
            <w:r>
              <w:rPr>
                <w:rFonts w:ascii="Times New Roman" w:hAnsi="Times New Roman" w:eastAsia="Times New Roman" w:cs="Times New Roman"/>
                <w:spacing w:val="-19"/>
                <w:sz w:val="20"/>
                <w:szCs w:val="20"/>
              </w:rPr>
              <w:t xml:space="preserve"> </w:t>
            </w:r>
            <w:r>
              <w:rPr>
                <w:spacing w:val="6"/>
                <w:sz w:val="20"/>
                <w:szCs w:val="20"/>
              </w:rPr>
              <w:t>、</w:t>
            </w:r>
            <w:r>
              <w:rPr>
                <w:rFonts w:ascii="Times New Roman" w:hAnsi="Times New Roman" w:eastAsia="Times New Roman" w:cs="Times New Roman"/>
                <w:sz w:val="20"/>
                <w:szCs w:val="20"/>
              </w:rPr>
              <w:t>CQ</w:t>
            </w:r>
            <w:r>
              <w:rPr>
                <w:rFonts w:ascii="Times New Roman" w:hAnsi="Times New Roman" w:eastAsia="Times New Roman" w:cs="Times New Roman"/>
                <w:spacing w:val="6"/>
                <w:sz w:val="20"/>
                <w:szCs w:val="20"/>
              </w:rPr>
              <w:t>029</w:t>
            </w:r>
            <w:r>
              <w:rPr>
                <w:spacing w:val="6"/>
                <w:sz w:val="20"/>
                <w:szCs w:val="20"/>
              </w:rPr>
              <w:t>）应进一步优化布局，严格</w:t>
            </w:r>
            <w:r>
              <w:rPr>
                <w:spacing w:val="5"/>
                <w:sz w:val="20"/>
                <w:szCs w:val="20"/>
              </w:rPr>
              <w:t>落实黔江区城周山体禁建区管</w:t>
            </w:r>
            <w:r>
              <w:rPr>
                <w:sz w:val="20"/>
                <w:szCs w:val="20"/>
              </w:rPr>
              <w:t xml:space="preserve"> </w:t>
            </w:r>
            <w:r>
              <w:rPr>
                <w:spacing w:val="9"/>
                <w:sz w:val="20"/>
                <w:szCs w:val="20"/>
              </w:rPr>
              <w:t>控要求。与饮用水水源保护区存在冲突的空白区新设开采区块（</w:t>
            </w:r>
            <w:r>
              <w:rPr>
                <w:rFonts w:ascii="Times New Roman" w:hAnsi="Times New Roman" w:eastAsia="Times New Roman" w:cs="Times New Roman"/>
                <w:sz w:val="20"/>
                <w:szCs w:val="20"/>
              </w:rPr>
              <w:t>CQ</w:t>
            </w:r>
            <w:r>
              <w:rPr>
                <w:rFonts w:ascii="Times New Roman" w:hAnsi="Times New Roman" w:eastAsia="Times New Roman" w:cs="Times New Roman"/>
                <w:spacing w:val="9"/>
                <w:sz w:val="20"/>
                <w:szCs w:val="20"/>
              </w:rPr>
              <w:t>027</w:t>
            </w:r>
            <w:r>
              <w:rPr>
                <w:spacing w:val="9"/>
                <w:sz w:val="20"/>
                <w:szCs w:val="20"/>
              </w:rPr>
              <w:t>）应优化调整区块</w:t>
            </w:r>
            <w:r>
              <w:rPr>
                <w:spacing w:val="3"/>
                <w:sz w:val="20"/>
                <w:szCs w:val="20"/>
              </w:rPr>
              <w:t xml:space="preserve">  </w:t>
            </w:r>
            <w:r>
              <w:rPr>
                <w:spacing w:val="9"/>
                <w:sz w:val="20"/>
                <w:szCs w:val="20"/>
              </w:rPr>
              <w:t>范围避让饮用水水源保护区。与永久基本农田存在冲突的规划露天开采区块，应优化区块</w:t>
            </w:r>
            <w:r>
              <w:rPr>
                <w:spacing w:val="4"/>
                <w:sz w:val="20"/>
                <w:szCs w:val="20"/>
              </w:rPr>
              <w:t xml:space="preserve">  </w:t>
            </w:r>
            <w:r>
              <w:rPr>
                <w:spacing w:val="9"/>
                <w:sz w:val="20"/>
                <w:szCs w:val="20"/>
              </w:rPr>
              <w:t>布局，避让永久基本农田。对涉及占用二级公益林的，应优先调整区块布局，不占或者少</w:t>
            </w:r>
            <w:r>
              <w:rPr>
                <w:spacing w:val="4"/>
                <w:sz w:val="20"/>
                <w:szCs w:val="20"/>
              </w:rPr>
              <w:t xml:space="preserve">  </w:t>
            </w:r>
            <w:r>
              <w:rPr>
                <w:spacing w:val="8"/>
                <w:sz w:val="20"/>
                <w:szCs w:val="20"/>
              </w:rPr>
              <w:t>占公益林，确需使用的应按规定办理林地使用手续。</w:t>
            </w:r>
          </w:p>
          <w:p w14:paraId="75FB8BF1">
            <w:pPr>
              <w:pStyle w:val="6"/>
              <w:spacing w:before="6" w:line="251" w:lineRule="auto"/>
              <w:ind w:left="51" w:right="115" w:firstLine="3"/>
              <w:jc w:val="both"/>
              <w:rPr>
                <w:sz w:val="20"/>
                <w:szCs w:val="20"/>
              </w:rPr>
            </w:pPr>
            <w:r>
              <w:rPr>
                <w:spacing w:val="8"/>
                <w:sz w:val="20"/>
                <w:szCs w:val="20"/>
              </w:rPr>
              <w:t>严格控制涉及生物多样性保护优先区域、</w:t>
            </w:r>
            <w:r>
              <w:rPr>
                <w:spacing w:val="-40"/>
                <w:sz w:val="20"/>
                <w:szCs w:val="20"/>
              </w:rPr>
              <w:t xml:space="preserve"> </w:t>
            </w:r>
            <w:r>
              <w:rPr>
                <w:spacing w:val="8"/>
                <w:sz w:val="20"/>
                <w:szCs w:val="20"/>
              </w:rPr>
              <w:t>国家重要生态功能区、水土流失重点预防区等具</w:t>
            </w:r>
            <w:r>
              <w:rPr>
                <w:sz w:val="20"/>
                <w:szCs w:val="20"/>
              </w:rPr>
              <w:t xml:space="preserve"> </w:t>
            </w:r>
            <w:r>
              <w:rPr>
                <w:spacing w:val="10"/>
                <w:sz w:val="20"/>
                <w:szCs w:val="20"/>
              </w:rPr>
              <w:t>有重要生态功能的区域矿产开采活动，并采取严格有针对</w:t>
            </w:r>
            <w:r>
              <w:rPr>
                <w:spacing w:val="9"/>
                <w:sz w:val="20"/>
                <w:szCs w:val="20"/>
              </w:rPr>
              <w:t>性的保护措施，防止对区域生态</w:t>
            </w:r>
            <w:r>
              <w:rPr>
                <w:sz w:val="20"/>
                <w:szCs w:val="20"/>
              </w:rPr>
              <w:t xml:space="preserve"> </w:t>
            </w:r>
            <w:r>
              <w:rPr>
                <w:spacing w:val="7"/>
                <w:sz w:val="20"/>
                <w:szCs w:val="20"/>
              </w:rPr>
              <w:t>功能产生不良环境影响。</w:t>
            </w:r>
          </w:p>
        </w:tc>
        <w:tc>
          <w:tcPr>
            <w:tcW w:w="1081" w:type="dxa"/>
            <w:tcBorders>
              <w:bottom w:val="single" w:color="000000" w:sz="10" w:space="0"/>
            </w:tcBorders>
            <w:vAlign w:val="top"/>
          </w:tcPr>
          <w:p w14:paraId="4F5B1CC2">
            <w:pPr>
              <w:spacing w:line="267" w:lineRule="auto"/>
              <w:rPr>
                <w:rFonts w:ascii="Arial"/>
                <w:sz w:val="21"/>
              </w:rPr>
            </w:pPr>
          </w:p>
          <w:p w14:paraId="4E71011B">
            <w:pPr>
              <w:spacing w:line="267" w:lineRule="auto"/>
              <w:rPr>
                <w:rFonts w:ascii="Arial"/>
                <w:sz w:val="21"/>
              </w:rPr>
            </w:pPr>
          </w:p>
          <w:p w14:paraId="1595BBBD">
            <w:pPr>
              <w:spacing w:line="268" w:lineRule="auto"/>
              <w:rPr>
                <w:rFonts w:ascii="Arial"/>
                <w:sz w:val="21"/>
              </w:rPr>
            </w:pPr>
          </w:p>
          <w:p w14:paraId="73CA7F31">
            <w:pPr>
              <w:spacing w:line="268" w:lineRule="auto"/>
              <w:rPr>
                <w:rFonts w:ascii="Arial"/>
                <w:sz w:val="21"/>
              </w:rPr>
            </w:pPr>
          </w:p>
          <w:p w14:paraId="7C62263C">
            <w:pPr>
              <w:spacing w:line="268" w:lineRule="auto"/>
              <w:rPr>
                <w:rFonts w:ascii="Arial"/>
                <w:sz w:val="21"/>
              </w:rPr>
            </w:pPr>
          </w:p>
          <w:p w14:paraId="5D8A13A1">
            <w:pPr>
              <w:spacing w:line="268" w:lineRule="auto"/>
              <w:rPr>
                <w:rFonts w:ascii="Arial"/>
                <w:sz w:val="21"/>
              </w:rPr>
            </w:pPr>
          </w:p>
          <w:p w14:paraId="037A10B9">
            <w:pPr>
              <w:spacing w:line="268" w:lineRule="auto"/>
              <w:rPr>
                <w:rFonts w:ascii="Arial"/>
                <w:sz w:val="21"/>
              </w:rPr>
            </w:pPr>
          </w:p>
          <w:p w14:paraId="1DDD7065">
            <w:pPr>
              <w:pStyle w:val="6"/>
              <w:spacing w:before="65" w:line="231" w:lineRule="auto"/>
              <w:ind w:left="268"/>
              <w:rPr>
                <w:sz w:val="20"/>
                <w:szCs w:val="20"/>
              </w:rPr>
            </w:pPr>
            <w:r>
              <w:rPr>
                <w:spacing w:val="-5"/>
                <w:sz w:val="20"/>
                <w:szCs w:val="20"/>
              </w:rPr>
              <w:t>已落实</w:t>
            </w:r>
          </w:p>
        </w:tc>
        <w:tc>
          <w:tcPr>
            <w:tcW w:w="4099" w:type="dxa"/>
            <w:tcBorders>
              <w:bottom w:val="single" w:color="000000" w:sz="10" w:space="0"/>
              <w:right w:val="single" w:color="000000" w:sz="10" w:space="0"/>
            </w:tcBorders>
            <w:vAlign w:val="top"/>
          </w:tcPr>
          <w:p w14:paraId="3A3944A2">
            <w:pPr>
              <w:pStyle w:val="6"/>
              <w:spacing w:before="46" w:line="248" w:lineRule="auto"/>
              <w:ind w:left="119" w:right="42" w:firstLine="10"/>
              <w:rPr>
                <w:sz w:val="20"/>
                <w:szCs w:val="20"/>
              </w:rPr>
            </w:pPr>
            <w:r>
              <w:rPr>
                <w:spacing w:val="9"/>
                <w:sz w:val="20"/>
                <w:szCs w:val="20"/>
              </w:rPr>
              <w:t>（</w:t>
            </w:r>
            <w:r>
              <w:rPr>
                <w:rFonts w:ascii="Times New Roman" w:hAnsi="Times New Roman" w:eastAsia="Times New Roman" w:cs="Times New Roman"/>
                <w:spacing w:val="9"/>
                <w:sz w:val="20"/>
                <w:szCs w:val="20"/>
              </w:rPr>
              <w:t>1</w:t>
            </w:r>
            <w:r>
              <w:rPr>
                <w:spacing w:val="9"/>
                <w:sz w:val="20"/>
                <w:szCs w:val="20"/>
              </w:rPr>
              <w:t>）根据“</w:t>
            </w:r>
            <w:r>
              <w:rPr>
                <w:spacing w:val="-73"/>
                <w:sz w:val="20"/>
                <w:szCs w:val="20"/>
              </w:rPr>
              <w:t xml:space="preserve"> </w:t>
            </w:r>
            <w:r>
              <w:rPr>
                <w:spacing w:val="9"/>
                <w:sz w:val="20"/>
                <w:szCs w:val="20"/>
              </w:rPr>
              <w:t>三线一单</w:t>
            </w:r>
            <w:r>
              <w:rPr>
                <w:spacing w:val="-66"/>
                <w:sz w:val="20"/>
                <w:szCs w:val="20"/>
              </w:rPr>
              <w:t xml:space="preserve"> </w:t>
            </w:r>
            <w:r>
              <w:rPr>
                <w:spacing w:val="9"/>
                <w:sz w:val="20"/>
                <w:szCs w:val="20"/>
              </w:rPr>
              <w:t>”调整方案，</w:t>
            </w:r>
            <w:r>
              <w:rPr>
                <w:rFonts w:ascii="Times New Roman" w:hAnsi="Times New Roman" w:eastAsia="Times New Roman" w:cs="Times New Roman"/>
                <w:sz w:val="20"/>
                <w:szCs w:val="20"/>
              </w:rPr>
              <w:t>CQ</w:t>
            </w:r>
            <w:r>
              <w:rPr>
                <w:rFonts w:ascii="Times New Roman" w:hAnsi="Times New Roman" w:eastAsia="Times New Roman" w:cs="Times New Roman"/>
                <w:spacing w:val="9"/>
                <w:sz w:val="20"/>
                <w:szCs w:val="20"/>
              </w:rPr>
              <w:t>022</w:t>
            </w:r>
            <w:r>
              <w:rPr>
                <w:rFonts w:ascii="Times New Roman" w:hAnsi="Times New Roman" w:eastAsia="Times New Roman" w:cs="Times New Roman"/>
                <w:sz w:val="20"/>
                <w:szCs w:val="20"/>
              </w:rPr>
              <w:t xml:space="preserve"> </w:t>
            </w:r>
            <w:r>
              <w:rPr>
                <w:spacing w:val="6"/>
                <w:sz w:val="20"/>
                <w:szCs w:val="20"/>
              </w:rPr>
              <w:t xml:space="preserve">不占用一般生态空间，与一般生态空间重叠 </w:t>
            </w:r>
            <w:r>
              <w:rPr>
                <w:spacing w:val="5"/>
                <w:sz w:val="20"/>
                <w:szCs w:val="20"/>
              </w:rPr>
              <w:t>的为</w:t>
            </w:r>
            <w:r>
              <w:rPr>
                <w:spacing w:val="-22"/>
                <w:sz w:val="20"/>
                <w:szCs w:val="20"/>
              </w:rPr>
              <w:t xml:space="preserve"> </w:t>
            </w:r>
            <w:r>
              <w:rPr>
                <w:rFonts w:ascii="Times New Roman" w:hAnsi="Times New Roman" w:eastAsia="Times New Roman" w:cs="Times New Roman"/>
                <w:sz w:val="20"/>
                <w:szCs w:val="20"/>
              </w:rPr>
              <w:t>KQ</w:t>
            </w:r>
            <w:r>
              <w:rPr>
                <w:rFonts w:ascii="Times New Roman" w:hAnsi="Times New Roman" w:eastAsia="Times New Roman" w:cs="Times New Roman"/>
                <w:spacing w:val="5"/>
                <w:sz w:val="20"/>
                <w:szCs w:val="20"/>
              </w:rPr>
              <w:t xml:space="preserve">006 </w:t>
            </w:r>
            <w:r>
              <w:rPr>
                <w:spacing w:val="5"/>
                <w:sz w:val="20"/>
                <w:szCs w:val="20"/>
              </w:rPr>
              <w:t>、</w:t>
            </w:r>
            <w:r>
              <w:rPr>
                <w:rFonts w:ascii="Times New Roman" w:hAnsi="Times New Roman" w:eastAsia="Times New Roman" w:cs="Times New Roman"/>
                <w:sz w:val="20"/>
                <w:szCs w:val="20"/>
              </w:rPr>
              <w:t>KQ</w:t>
            </w:r>
            <w:r>
              <w:rPr>
                <w:rFonts w:ascii="Times New Roman" w:hAnsi="Times New Roman" w:eastAsia="Times New Roman" w:cs="Times New Roman"/>
                <w:spacing w:val="5"/>
                <w:sz w:val="20"/>
                <w:szCs w:val="20"/>
              </w:rPr>
              <w:t xml:space="preserve">007 </w:t>
            </w:r>
            <w:r>
              <w:rPr>
                <w:spacing w:val="5"/>
                <w:sz w:val="20"/>
                <w:szCs w:val="20"/>
              </w:rPr>
              <w:t>、</w:t>
            </w:r>
            <w:r>
              <w:rPr>
                <w:rFonts w:ascii="Times New Roman" w:hAnsi="Times New Roman" w:eastAsia="Times New Roman" w:cs="Times New Roman"/>
                <w:sz w:val="20"/>
                <w:szCs w:val="20"/>
              </w:rPr>
              <w:t>CQ</w:t>
            </w:r>
            <w:r>
              <w:rPr>
                <w:rFonts w:ascii="Times New Roman" w:hAnsi="Times New Roman" w:eastAsia="Times New Roman" w:cs="Times New Roman"/>
                <w:spacing w:val="5"/>
                <w:sz w:val="20"/>
                <w:szCs w:val="20"/>
              </w:rPr>
              <w:t xml:space="preserve">015 </w:t>
            </w:r>
            <w:r>
              <w:rPr>
                <w:spacing w:val="5"/>
                <w:sz w:val="20"/>
                <w:szCs w:val="20"/>
              </w:rPr>
              <w:t>、</w:t>
            </w:r>
            <w:r>
              <w:rPr>
                <w:rFonts w:ascii="Times New Roman" w:hAnsi="Times New Roman" w:eastAsia="Times New Roman" w:cs="Times New Roman"/>
                <w:sz w:val="20"/>
                <w:szCs w:val="20"/>
              </w:rPr>
              <w:t>CQ</w:t>
            </w:r>
            <w:r>
              <w:rPr>
                <w:rFonts w:ascii="Times New Roman" w:hAnsi="Times New Roman" w:eastAsia="Times New Roman" w:cs="Times New Roman"/>
                <w:spacing w:val="5"/>
                <w:sz w:val="20"/>
                <w:szCs w:val="20"/>
              </w:rPr>
              <w:t xml:space="preserve">026 </w:t>
            </w:r>
            <w:r>
              <w:rPr>
                <w:spacing w:val="5"/>
                <w:sz w:val="20"/>
                <w:szCs w:val="20"/>
              </w:rPr>
              <w:t>、</w:t>
            </w:r>
            <w:r>
              <w:rPr>
                <w:sz w:val="20"/>
                <w:szCs w:val="20"/>
              </w:rPr>
              <w:t xml:space="preserve"> </w:t>
            </w:r>
            <w:r>
              <w:rPr>
                <w:rFonts w:ascii="Times New Roman" w:hAnsi="Times New Roman" w:eastAsia="Times New Roman" w:cs="Times New Roman"/>
                <w:sz w:val="20"/>
                <w:szCs w:val="20"/>
              </w:rPr>
              <w:t>CQ</w:t>
            </w:r>
            <w:r>
              <w:rPr>
                <w:rFonts w:ascii="Times New Roman" w:hAnsi="Times New Roman" w:eastAsia="Times New Roman" w:cs="Times New Roman"/>
                <w:spacing w:val="8"/>
                <w:sz w:val="20"/>
                <w:szCs w:val="20"/>
              </w:rPr>
              <w:t>031</w:t>
            </w:r>
            <w:r>
              <w:rPr>
                <w:rFonts w:ascii="Times New Roman" w:hAnsi="Times New Roman" w:eastAsia="Times New Roman" w:cs="Times New Roman"/>
                <w:spacing w:val="-15"/>
                <w:sz w:val="20"/>
                <w:szCs w:val="20"/>
              </w:rPr>
              <w:t xml:space="preserve"> </w:t>
            </w:r>
            <w:r>
              <w:rPr>
                <w:spacing w:val="8"/>
                <w:sz w:val="20"/>
                <w:szCs w:val="20"/>
              </w:rPr>
              <w:t>，其中</w:t>
            </w:r>
            <w:r>
              <w:rPr>
                <w:spacing w:val="-31"/>
                <w:sz w:val="20"/>
                <w:szCs w:val="20"/>
              </w:rPr>
              <w:t xml:space="preserve"> </w:t>
            </w:r>
            <w:r>
              <w:rPr>
                <w:rFonts w:ascii="Times New Roman" w:hAnsi="Times New Roman" w:eastAsia="Times New Roman" w:cs="Times New Roman"/>
                <w:sz w:val="20"/>
                <w:szCs w:val="20"/>
              </w:rPr>
              <w:t>CQ</w:t>
            </w:r>
            <w:r>
              <w:rPr>
                <w:rFonts w:ascii="Times New Roman" w:hAnsi="Times New Roman" w:eastAsia="Times New Roman" w:cs="Times New Roman"/>
                <w:spacing w:val="8"/>
                <w:sz w:val="20"/>
                <w:szCs w:val="20"/>
              </w:rPr>
              <w:t xml:space="preserve">015  </w:t>
            </w:r>
            <w:r>
              <w:rPr>
                <w:spacing w:val="8"/>
                <w:sz w:val="20"/>
                <w:szCs w:val="20"/>
              </w:rPr>
              <w:t>目前未建设，勘查区</w:t>
            </w:r>
            <w:r>
              <w:rPr>
                <w:sz w:val="20"/>
                <w:szCs w:val="20"/>
              </w:rPr>
              <w:t xml:space="preserve"> </w:t>
            </w:r>
            <w:r>
              <w:rPr>
                <w:spacing w:val="4"/>
                <w:sz w:val="20"/>
                <w:szCs w:val="20"/>
              </w:rPr>
              <w:t>块</w:t>
            </w:r>
            <w:r>
              <w:rPr>
                <w:spacing w:val="-6"/>
                <w:sz w:val="20"/>
                <w:szCs w:val="20"/>
              </w:rPr>
              <w:t xml:space="preserve"> </w:t>
            </w:r>
            <w:r>
              <w:rPr>
                <w:rFonts w:ascii="Times New Roman" w:hAnsi="Times New Roman" w:eastAsia="Times New Roman" w:cs="Times New Roman"/>
                <w:sz w:val="20"/>
                <w:szCs w:val="20"/>
              </w:rPr>
              <w:t>KQ</w:t>
            </w:r>
            <w:r>
              <w:rPr>
                <w:rFonts w:ascii="Times New Roman" w:hAnsi="Times New Roman" w:eastAsia="Times New Roman" w:cs="Times New Roman"/>
                <w:spacing w:val="4"/>
                <w:sz w:val="20"/>
                <w:szCs w:val="20"/>
              </w:rPr>
              <w:t xml:space="preserve">006 </w:t>
            </w:r>
            <w:r>
              <w:rPr>
                <w:spacing w:val="4"/>
                <w:sz w:val="20"/>
                <w:szCs w:val="20"/>
              </w:rPr>
              <w:t>、</w:t>
            </w:r>
            <w:r>
              <w:rPr>
                <w:rFonts w:ascii="Times New Roman" w:hAnsi="Times New Roman" w:eastAsia="Times New Roman" w:cs="Times New Roman"/>
                <w:sz w:val="20"/>
                <w:szCs w:val="20"/>
              </w:rPr>
              <w:t>KQ</w:t>
            </w:r>
            <w:r>
              <w:rPr>
                <w:rFonts w:ascii="Times New Roman" w:hAnsi="Times New Roman" w:eastAsia="Times New Roman" w:cs="Times New Roman"/>
                <w:spacing w:val="4"/>
                <w:sz w:val="20"/>
                <w:szCs w:val="20"/>
              </w:rPr>
              <w:t>007</w:t>
            </w:r>
            <w:r>
              <w:rPr>
                <w:rFonts w:ascii="Times New Roman" w:hAnsi="Times New Roman" w:eastAsia="Times New Roman" w:cs="Times New Roman"/>
                <w:spacing w:val="42"/>
                <w:sz w:val="20"/>
                <w:szCs w:val="20"/>
              </w:rPr>
              <w:t xml:space="preserve"> </w:t>
            </w:r>
            <w:r>
              <w:rPr>
                <w:spacing w:val="4"/>
                <w:sz w:val="20"/>
                <w:szCs w:val="20"/>
              </w:rPr>
              <w:t>和开</w:t>
            </w:r>
            <w:r>
              <w:rPr>
                <w:spacing w:val="-58"/>
                <w:sz w:val="20"/>
                <w:szCs w:val="20"/>
              </w:rPr>
              <w:t xml:space="preserve"> </w:t>
            </w:r>
            <w:r>
              <w:rPr>
                <w:spacing w:val="4"/>
                <w:sz w:val="20"/>
                <w:szCs w:val="20"/>
              </w:rPr>
              <w:t>采</w:t>
            </w:r>
            <w:r>
              <w:rPr>
                <w:spacing w:val="-42"/>
                <w:sz w:val="20"/>
                <w:szCs w:val="20"/>
              </w:rPr>
              <w:t xml:space="preserve"> </w:t>
            </w:r>
            <w:r>
              <w:rPr>
                <w:spacing w:val="4"/>
                <w:sz w:val="20"/>
                <w:szCs w:val="20"/>
              </w:rPr>
              <w:t xml:space="preserve">区块 </w:t>
            </w:r>
            <w:r>
              <w:rPr>
                <w:rFonts w:ascii="Times New Roman" w:hAnsi="Times New Roman" w:eastAsia="Times New Roman" w:cs="Times New Roman"/>
                <w:sz w:val="20"/>
                <w:szCs w:val="20"/>
              </w:rPr>
              <w:t>CQ</w:t>
            </w:r>
            <w:r>
              <w:rPr>
                <w:rFonts w:ascii="Times New Roman" w:hAnsi="Times New Roman" w:eastAsia="Times New Roman" w:cs="Times New Roman"/>
                <w:spacing w:val="4"/>
                <w:sz w:val="20"/>
                <w:szCs w:val="20"/>
              </w:rPr>
              <w:t xml:space="preserve">026 </w:t>
            </w:r>
            <w:r>
              <w:rPr>
                <w:spacing w:val="4"/>
                <w:sz w:val="20"/>
                <w:szCs w:val="20"/>
              </w:rPr>
              <w:t>、</w:t>
            </w:r>
            <w:r>
              <w:rPr>
                <w:sz w:val="20"/>
                <w:szCs w:val="20"/>
              </w:rPr>
              <w:t xml:space="preserve"> </w:t>
            </w:r>
            <w:r>
              <w:rPr>
                <w:rFonts w:ascii="Times New Roman" w:hAnsi="Times New Roman" w:eastAsia="Times New Roman" w:cs="Times New Roman"/>
                <w:sz w:val="20"/>
                <w:szCs w:val="20"/>
              </w:rPr>
              <w:t>CQ</w:t>
            </w:r>
            <w:r>
              <w:rPr>
                <w:rFonts w:ascii="Times New Roman" w:hAnsi="Times New Roman" w:eastAsia="Times New Roman" w:cs="Times New Roman"/>
                <w:spacing w:val="3"/>
                <w:sz w:val="20"/>
                <w:szCs w:val="20"/>
              </w:rPr>
              <w:t>031</w:t>
            </w:r>
            <w:r>
              <w:rPr>
                <w:rFonts w:ascii="Times New Roman" w:hAnsi="Times New Roman" w:eastAsia="Times New Roman" w:cs="Times New Roman"/>
                <w:spacing w:val="35"/>
                <w:w w:val="101"/>
                <w:sz w:val="20"/>
                <w:szCs w:val="20"/>
              </w:rPr>
              <w:t xml:space="preserve"> </w:t>
            </w:r>
            <w:r>
              <w:rPr>
                <w:spacing w:val="3"/>
                <w:sz w:val="20"/>
                <w:szCs w:val="20"/>
              </w:rPr>
              <w:t>暂未实施，建议后续实施过程中严格</w:t>
            </w:r>
            <w:r>
              <w:rPr>
                <w:sz w:val="20"/>
                <w:szCs w:val="20"/>
              </w:rPr>
              <w:t xml:space="preserve"> </w:t>
            </w:r>
            <w:r>
              <w:rPr>
                <w:spacing w:val="7"/>
                <w:sz w:val="20"/>
                <w:szCs w:val="20"/>
              </w:rPr>
              <w:t>落实“十四五</w:t>
            </w:r>
            <w:r>
              <w:rPr>
                <w:spacing w:val="-70"/>
                <w:sz w:val="20"/>
                <w:szCs w:val="20"/>
              </w:rPr>
              <w:t xml:space="preserve"> </w:t>
            </w:r>
            <w:r>
              <w:rPr>
                <w:spacing w:val="7"/>
                <w:sz w:val="20"/>
                <w:szCs w:val="20"/>
              </w:rPr>
              <w:t>”规划环评提出的要求。</w:t>
            </w:r>
          </w:p>
          <w:p w14:paraId="722CC73D">
            <w:pPr>
              <w:pStyle w:val="6"/>
              <w:spacing w:before="23" w:line="230" w:lineRule="auto"/>
              <w:ind w:left="130"/>
              <w:rPr>
                <w:sz w:val="20"/>
                <w:szCs w:val="20"/>
              </w:rPr>
            </w:pPr>
            <w:r>
              <w:rPr>
                <w:spacing w:val="7"/>
                <w:sz w:val="20"/>
                <w:szCs w:val="20"/>
              </w:rPr>
              <w:t>（</w:t>
            </w:r>
            <w:r>
              <w:rPr>
                <w:rFonts w:ascii="Times New Roman" w:hAnsi="Times New Roman" w:eastAsia="Times New Roman" w:cs="Times New Roman"/>
                <w:spacing w:val="7"/>
                <w:sz w:val="20"/>
                <w:szCs w:val="20"/>
              </w:rPr>
              <w:t>2</w:t>
            </w:r>
            <w:r>
              <w:rPr>
                <w:spacing w:val="7"/>
                <w:sz w:val="20"/>
                <w:szCs w:val="20"/>
              </w:rPr>
              <w:t>）黔江区城周山体禁建区已取消。</w:t>
            </w:r>
          </w:p>
          <w:p w14:paraId="2E4359ED">
            <w:pPr>
              <w:pStyle w:val="6"/>
              <w:spacing w:before="23" w:line="246" w:lineRule="auto"/>
              <w:ind w:left="119" w:firstLine="10"/>
              <w:rPr>
                <w:sz w:val="20"/>
                <w:szCs w:val="20"/>
              </w:rPr>
            </w:pPr>
            <w:r>
              <w:rPr>
                <w:spacing w:val="10"/>
                <w:sz w:val="20"/>
                <w:szCs w:val="20"/>
              </w:rPr>
              <w:t>（</w:t>
            </w:r>
            <w:r>
              <w:rPr>
                <w:rFonts w:ascii="Times New Roman" w:hAnsi="Times New Roman" w:eastAsia="Times New Roman" w:cs="Times New Roman"/>
                <w:spacing w:val="10"/>
                <w:sz w:val="20"/>
                <w:szCs w:val="20"/>
              </w:rPr>
              <w:t>3</w:t>
            </w:r>
            <w:r>
              <w:rPr>
                <w:spacing w:val="10"/>
                <w:sz w:val="20"/>
                <w:szCs w:val="20"/>
              </w:rPr>
              <w:t>）根据根据国土空间规划“</w:t>
            </w:r>
            <w:r>
              <w:rPr>
                <w:spacing w:val="-67"/>
                <w:sz w:val="20"/>
                <w:szCs w:val="20"/>
              </w:rPr>
              <w:t xml:space="preserve"> </w:t>
            </w:r>
            <w:r>
              <w:rPr>
                <w:spacing w:val="10"/>
                <w:sz w:val="20"/>
                <w:szCs w:val="20"/>
              </w:rPr>
              <w:t>三区三线</w:t>
            </w:r>
            <w:r>
              <w:rPr>
                <w:spacing w:val="-70"/>
                <w:sz w:val="20"/>
                <w:szCs w:val="20"/>
              </w:rPr>
              <w:t xml:space="preserve"> </w:t>
            </w:r>
            <w:r>
              <w:rPr>
                <w:spacing w:val="10"/>
                <w:sz w:val="20"/>
                <w:szCs w:val="20"/>
              </w:rPr>
              <w:t>”</w:t>
            </w:r>
            <w:r>
              <w:rPr>
                <w:sz w:val="20"/>
                <w:szCs w:val="20"/>
              </w:rPr>
              <w:t xml:space="preserve"> </w:t>
            </w:r>
            <w:r>
              <w:rPr>
                <w:spacing w:val="7"/>
                <w:sz w:val="20"/>
                <w:szCs w:val="20"/>
              </w:rPr>
              <w:t>管控</w:t>
            </w:r>
            <w:r>
              <w:rPr>
                <w:spacing w:val="-46"/>
                <w:sz w:val="20"/>
                <w:szCs w:val="20"/>
              </w:rPr>
              <w:t xml:space="preserve"> </w:t>
            </w:r>
            <w:r>
              <w:rPr>
                <w:spacing w:val="7"/>
                <w:sz w:val="20"/>
                <w:szCs w:val="20"/>
              </w:rPr>
              <w:t>要求</w:t>
            </w:r>
            <w:r>
              <w:rPr>
                <w:spacing w:val="-48"/>
                <w:sz w:val="20"/>
                <w:szCs w:val="20"/>
              </w:rPr>
              <w:t xml:space="preserve"> </w:t>
            </w:r>
            <w:r>
              <w:rPr>
                <w:spacing w:val="7"/>
                <w:sz w:val="20"/>
                <w:szCs w:val="20"/>
              </w:rPr>
              <w:t>，</w:t>
            </w:r>
            <w:r>
              <w:rPr>
                <w:spacing w:val="-24"/>
                <w:sz w:val="20"/>
                <w:szCs w:val="20"/>
              </w:rPr>
              <w:t xml:space="preserve"> </w:t>
            </w:r>
            <w:r>
              <w:rPr>
                <w:spacing w:val="7"/>
                <w:sz w:val="20"/>
                <w:szCs w:val="20"/>
              </w:rPr>
              <w:t>占用永久基本农</w:t>
            </w:r>
            <w:r>
              <w:rPr>
                <w:spacing w:val="-31"/>
                <w:sz w:val="20"/>
                <w:szCs w:val="20"/>
              </w:rPr>
              <w:t xml:space="preserve"> </w:t>
            </w:r>
            <w:r>
              <w:rPr>
                <w:spacing w:val="7"/>
                <w:sz w:val="20"/>
                <w:szCs w:val="20"/>
              </w:rPr>
              <w:t>田</w:t>
            </w:r>
            <w:r>
              <w:rPr>
                <w:spacing w:val="-17"/>
                <w:sz w:val="20"/>
                <w:szCs w:val="20"/>
              </w:rPr>
              <w:t xml:space="preserve"> </w:t>
            </w:r>
            <w:r>
              <w:rPr>
                <w:rFonts w:ascii="Times New Roman" w:hAnsi="Times New Roman" w:eastAsia="Times New Roman" w:cs="Times New Roman"/>
                <w:sz w:val="20"/>
                <w:szCs w:val="20"/>
              </w:rPr>
              <w:t>CQ</w:t>
            </w:r>
            <w:r>
              <w:rPr>
                <w:rFonts w:ascii="Times New Roman" w:hAnsi="Times New Roman" w:eastAsia="Times New Roman" w:cs="Times New Roman"/>
                <w:spacing w:val="7"/>
                <w:sz w:val="20"/>
                <w:szCs w:val="20"/>
              </w:rPr>
              <w:t xml:space="preserve">004 </w:t>
            </w:r>
            <w:r>
              <w:rPr>
                <w:spacing w:val="7"/>
                <w:sz w:val="20"/>
                <w:szCs w:val="20"/>
              </w:rPr>
              <w:t>、</w:t>
            </w:r>
            <w:r>
              <w:rPr>
                <w:sz w:val="20"/>
                <w:szCs w:val="20"/>
              </w:rPr>
              <w:t xml:space="preserve"> </w:t>
            </w:r>
            <w:r>
              <w:rPr>
                <w:rFonts w:ascii="Times New Roman" w:hAnsi="Times New Roman" w:eastAsia="Times New Roman" w:cs="Times New Roman"/>
                <w:spacing w:val="-3"/>
                <w:sz w:val="20"/>
                <w:szCs w:val="20"/>
              </w:rPr>
              <w:t>CQ010</w:t>
            </w:r>
            <w:r>
              <w:rPr>
                <w:rFonts w:ascii="Times New Roman" w:hAnsi="Times New Roman" w:eastAsia="Times New Roman" w:cs="Times New Roman"/>
                <w:spacing w:val="-4"/>
                <w:sz w:val="20"/>
                <w:szCs w:val="20"/>
              </w:rPr>
              <w:t xml:space="preserve"> </w:t>
            </w:r>
            <w:r>
              <w:rPr>
                <w:spacing w:val="-3"/>
                <w:sz w:val="20"/>
                <w:szCs w:val="20"/>
              </w:rPr>
              <w:t>、</w:t>
            </w:r>
            <w:r>
              <w:rPr>
                <w:rFonts w:ascii="Times New Roman" w:hAnsi="Times New Roman" w:eastAsia="Times New Roman" w:cs="Times New Roman"/>
                <w:spacing w:val="-3"/>
                <w:sz w:val="20"/>
                <w:szCs w:val="20"/>
              </w:rPr>
              <w:t>CQ012</w:t>
            </w:r>
            <w:r>
              <w:rPr>
                <w:rFonts w:ascii="Times New Roman" w:hAnsi="Times New Roman" w:eastAsia="Times New Roman" w:cs="Times New Roman"/>
                <w:spacing w:val="-20"/>
                <w:sz w:val="20"/>
                <w:szCs w:val="20"/>
              </w:rPr>
              <w:t xml:space="preserve"> </w:t>
            </w:r>
            <w:r>
              <w:rPr>
                <w:spacing w:val="-3"/>
                <w:sz w:val="20"/>
                <w:szCs w:val="20"/>
              </w:rPr>
              <w:t>、</w:t>
            </w:r>
            <w:r>
              <w:rPr>
                <w:rFonts w:ascii="Times New Roman" w:hAnsi="Times New Roman" w:eastAsia="Times New Roman" w:cs="Times New Roman"/>
                <w:spacing w:val="-3"/>
                <w:sz w:val="20"/>
                <w:szCs w:val="20"/>
              </w:rPr>
              <w:t>CQ013</w:t>
            </w:r>
            <w:r>
              <w:rPr>
                <w:rFonts w:ascii="Times New Roman" w:hAnsi="Times New Roman" w:eastAsia="Times New Roman" w:cs="Times New Roman"/>
                <w:spacing w:val="-22"/>
                <w:sz w:val="20"/>
                <w:szCs w:val="20"/>
              </w:rPr>
              <w:t xml:space="preserve"> </w:t>
            </w:r>
            <w:r>
              <w:rPr>
                <w:spacing w:val="-3"/>
                <w:sz w:val="20"/>
                <w:szCs w:val="20"/>
              </w:rPr>
              <w:t>、</w:t>
            </w:r>
            <w:r>
              <w:rPr>
                <w:rFonts w:ascii="Times New Roman" w:hAnsi="Times New Roman" w:eastAsia="Times New Roman" w:cs="Times New Roman"/>
                <w:spacing w:val="-3"/>
                <w:sz w:val="20"/>
                <w:szCs w:val="20"/>
              </w:rPr>
              <w:t>CQ015</w:t>
            </w:r>
            <w:r>
              <w:rPr>
                <w:rFonts w:ascii="Times New Roman" w:hAnsi="Times New Roman" w:eastAsia="Times New Roman" w:cs="Times New Roman"/>
                <w:spacing w:val="-20"/>
                <w:sz w:val="20"/>
                <w:szCs w:val="20"/>
              </w:rPr>
              <w:t xml:space="preserve"> </w:t>
            </w:r>
            <w:r>
              <w:rPr>
                <w:spacing w:val="-3"/>
                <w:sz w:val="20"/>
                <w:szCs w:val="20"/>
              </w:rPr>
              <w:t>、</w:t>
            </w:r>
            <w:r>
              <w:rPr>
                <w:rFonts w:ascii="Times New Roman" w:hAnsi="Times New Roman" w:eastAsia="Times New Roman" w:cs="Times New Roman"/>
                <w:spacing w:val="-3"/>
                <w:sz w:val="20"/>
                <w:szCs w:val="20"/>
              </w:rPr>
              <w:t>CQ016</w:t>
            </w:r>
            <w:r>
              <w:rPr>
                <w:rFonts w:ascii="Times New Roman" w:hAnsi="Times New Roman" w:eastAsia="Times New Roman" w:cs="Times New Roman"/>
                <w:spacing w:val="-20"/>
                <w:sz w:val="20"/>
                <w:szCs w:val="20"/>
              </w:rPr>
              <w:t xml:space="preserve"> </w:t>
            </w:r>
            <w:r>
              <w:rPr>
                <w:spacing w:val="-3"/>
                <w:sz w:val="20"/>
                <w:szCs w:val="20"/>
              </w:rPr>
              <w:t>、</w:t>
            </w:r>
            <w:r>
              <w:rPr>
                <w:sz w:val="20"/>
                <w:szCs w:val="20"/>
              </w:rPr>
              <w:t xml:space="preserve"> </w:t>
            </w:r>
            <w:r>
              <w:rPr>
                <w:rFonts w:ascii="Times New Roman" w:hAnsi="Times New Roman" w:eastAsia="Times New Roman" w:cs="Times New Roman"/>
                <w:spacing w:val="-2"/>
                <w:sz w:val="20"/>
                <w:szCs w:val="20"/>
              </w:rPr>
              <w:t>CQ017</w:t>
            </w:r>
            <w:r>
              <w:rPr>
                <w:rFonts w:ascii="Times New Roman" w:hAnsi="Times New Roman" w:eastAsia="Times New Roman" w:cs="Times New Roman"/>
                <w:spacing w:val="-22"/>
                <w:sz w:val="20"/>
                <w:szCs w:val="20"/>
              </w:rPr>
              <w:t xml:space="preserve"> </w:t>
            </w:r>
            <w:r>
              <w:rPr>
                <w:spacing w:val="-2"/>
                <w:sz w:val="20"/>
                <w:szCs w:val="20"/>
              </w:rPr>
              <w:t>、</w:t>
            </w:r>
            <w:r>
              <w:rPr>
                <w:rFonts w:ascii="Times New Roman" w:hAnsi="Times New Roman" w:eastAsia="Times New Roman" w:cs="Times New Roman"/>
                <w:spacing w:val="-2"/>
                <w:sz w:val="20"/>
                <w:szCs w:val="20"/>
              </w:rPr>
              <w:t>CQ019</w:t>
            </w:r>
            <w:r>
              <w:rPr>
                <w:rFonts w:ascii="Times New Roman" w:hAnsi="Times New Roman" w:eastAsia="Times New Roman" w:cs="Times New Roman"/>
                <w:spacing w:val="-20"/>
                <w:sz w:val="20"/>
                <w:szCs w:val="20"/>
              </w:rPr>
              <w:t xml:space="preserve"> </w:t>
            </w:r>
            <w:r>
              <w:rPr>
                <w:spacing w:val="-2"/>
                <w:sz w:val="20"/>
                <w:szCs w:val="20"/>
              </w:rPr>
              <w:t>、</w:t>
            </w:r>
            <w:r>
              <w:rPr>
                <w:rFonts w:ascii="Times New Roman" w:hAnsi="Times New Roman" w:eastAsia="Times New Roman" w:cs="Times New Roman"/>
                <w:spacing w:val="-2"/>
                <w:sz w:val="20"/>
                <w:szCs w:val="20"/>
              </w:rPr>
              <w:t>CQ026</w:t>
            </w:r>
            <w:r>
              <w:rPr>
                <w:rFonts w:ascii="Times New Roman" w:hAnsi="Times New Roman" w:eastAsia="Times New Roman" w:cs="Times New Roman"/>
                <w:spacing w:val="-22"/>
                <w:sz w:val="20"/>
                <w:szCs w:val="20"/>
              </w:rPr>
              <w:t xml:space="preserve"> </w:t>
            </w:r>
            <w:r>
              <w:rPr>
                <w:spacing w:val="-2"/>
                <w:sz w:val="20"/>
                <w:szCs w:val="20"/>
              </w:rPr>
              <w:t>、</w:t>
            </w:r>
            <w:r>
              <w:rPr>
                <w:rFonts w:ascii="Times New Roman" w:hAnsi="Times New Roman" w:eastAsia="Times New Roman" w:cs="Times New Roman"/>
                <w:spacing w:val="-2"/>
                <w:sz w:val="20"/>
                <w:szCs w:val="20"/>
              </w:rPr>
              <w:t>C</w:t>
            </w:r>
            <w:r>
              <w:rPr>
                <w:rFonts w:ascii="Times New Roman" w:hAnsi="Times New Roman" w:eastAsia="Times New Roman" w:cs="Times New Roman"/>
                <w:spacing w:val="-3"/>
                <w:sz w:val="20"/>
                <w:szCs w:val="20"/>
              </w:rPr>
              <w:t>Q030</w:t>
            </w:r>
            <w:r>
              <w:rPr>
                <w:rFonts w:ascii="Times New Roman" w:hAnsi="Times New Roman" w:eastAsia="Times New Roman" w:cs="Times New Roman"/>
                <w:spacing w:val="-20"/>
                <w:sz w:val="20"/>
                <w:szCs w:val="20"/>
              </w:rPr>
              <w:t xml:space="preserve"> </w:t>
            </w:r>
            <w:r>
              <w:rPr>
                <w:spacing w:val="-3"/>
                <w:sz w:val="20"/>
                <w:szCs w:val="20"/>
              </w:rPr>
              <w:t>、</w:t>
            </w:r>
            <w:r>
              <w:rPr>
                <w:rFonts w:ascii="Times New Roman" w:hAnsi="Times New Roman" w:eastAsia="Times New Roman" w:cs="Times New Roman"/>
                <w:spacing w:val="-3"/>
                <w:sz w:val="20"/>
                <w:szCs w:val="20"/>
              </w:rPr>
              <w:t>CQ031</w:t>
            </w:r>
            <w:r>
              <w:rPr>
                <w:rFonts w:ascii="Times New Roman" w:hAnsi="Times New Roman" w:eastAsia="Times New Roman" w:cs="Times New Roman"/>
                <w:spacing w:val="-21"/>
                <w:sz w:val="20"/>
                <w:szCs w:val="20"/>
              </w:rPr>
              <w:t xml:space="preserve"> </w:t>
            </w:r>
            <w:r>
              <w:rPr>
                <w:spacing w:val="-3"/>
                <w:sz w:val="20"/>
                <w:szCs w:val="20"/>
              </w:rPr>
              <w:t>，</w:t>
            </w:r>
            <w:r>
              <w:rPr>
                <w:sz w:val="20"/>
                <w:szCs w:val="20"/>
              </w:rPr>
              <w:t xml:space="preserve"> </w:t>
            </w:r>
            <w:r>
              <w:rPr>
                <w:spacing w:val="7"/>
                <w:sz w:val="20"/>
                <w:szCs w:val="20"/>
              </w:rPr>
              <w:t>其中</w:t>
            </w:r>
            <w:r>
              <w:rPr>
                <w:spacing w:val="-26"/>
                <w:sz w:val="20"/>
                <w:szCs w:val="20"/>
              </w:rPr>
              <w:t xml:space="preserve"> </w:t>
            </w:r>
            <w:r>
              <w:rPr>
                <w:rFonts w:ascii="Times New Roman" w:hAnsi="Times New Roman" w:eastAsia="Times New Roman" w:cs="Times New Roman"/>
                <w:sz w:val="20"/>
                <w:szCs w:val="20"/>
              </w:rPr>
              <w:t>CQ</w:t>
            </w:r>
            <w:r>
              <w:rPr>
                <w:rFonts w:ascii="Times New Roman" w:hAnsi="Times New Roman" w:eastAsia="Times New Roman" w:cs="Times New Roman"/>
                <w:spacing w:val="7"/>
                <w:sz w:val="20"/>
                <w:szCs w:val="20"/>
              </w:rPr>
              <w:t>013</w:t>
            </w:r>
            <w:r>
              <w:rPr>
                <w:rFonts w:ascii="Times New Roman" w:hAnsi="Times New Roman" w:eastAsia="Times New Roman" w:cs="Times New Roman"/>
                <w:spacing w:val="-15"/>
                <w:sz w:val="20"/>
                <w:szCs w:val="20"/>
              </w:rPr>
              <w:t xml:space="preserve"> </w:t>
            </w:r>
            <w:r>
              <w:rPr>
                <w:spacing w:val="7"/>
                <w:sz w:val="20"/>
                <w:szCs w:val="20"/>
              </w:rPr>
              <w:t>、</w:t>
            </w:r>
            <w:r>
              <w:rPr>
                <w:rFonts w:ascii="Times New Roman" w:hAnsi="Times New Roman" w:eastAsia="Times New Roman" w:cs="Times New Roman"/>
                <w:sz w:val="20"/>
                <w:szCs w:val="20"/>
              </w:rPr>
              <w:t>CQ</w:t>
            </w:r>
            <w:r>
              <w:rPr>
                <w:rFonts w:ascii="Times New Roman" w:hAnsi="Times New Roman" w:eastAsia="Times New Roman" w:cs="Times New Roman"/>
                <w:spacing w:val="7"/>
                <w:sz w:val="20"/>
                <w:szCs w:val="20"/>
              </w:rPr>
              <w:t>019</w:t>
            </w:r>
            <w:r>
              <w:rPr>
                <w:rFonts w:ascii="Times New Roman" w:hAnsi="Times New Roman" w:eastAsia="Times New Roman" w:cs="Times New Roman"/>
                <w:spacing w:val="24"/>
                <w:sz w:val="20"/>
                <w:szCs w:val="20"/>
              </w:rPr>
              <w:t xml:space="preserve"> </w:t>
            </w:r>
            <w:r>
              <w:rPr>
                <w:spacing w:val="7"/>
                <w:sz w:val="20"/>
                <w:szCs w:val="20"/>
              </w:rPr>
              <w:t>正在开采中，均为地</w:t>
            </w:r>
            <w:r>
              <w:rPr>
                <w:sz w:val="20"/>
                <w:szCs w:val="20"/>
              </w:rPr>
              <w:t xml:space="preserve">  </w:t>
            </w:r>
            <w:r>
              <w:rPr>
                <w:spacing w:val="3"/>
                <w:sz w:val="20"/>
                <w:szCs w:val="20"/>
              </w:rPr>
              <w:t xml:space="preserve">下开采，其地面工业广场已避让永久基本农  </w:t>
            </w:r>
            <w:r>
              <w:rPr>
                <w:spacing w:val="5"/>
                <w:sz w:val="20"/>
                <w:szCs w:val="20"/>
              </w:rPr>
              <w:t>田</w:t>
            </w:r>
            <w:r>
              <w:rPr>
                <w:spacing w:val="-49"/>
                <w:sz w:val="20"/>
                <w:szCs w:val="20"/>
              </w:rPr>
              <w:t xml:space="preserve"> </w:t>
            </w:r>
            <w:r>
              <w:rPr>
                <w:spacing w:val="5"/>
                <w:sz w:val="20"/>
                <w:szCs w:val="20"/>
              </w:rPr>
              <w:t>；</w:t>
            </w:r>
            <w:r>
              <w:rPr>
                <w:rFonts w:ascii="Times New Roman" w:hAnsi="Times New Roman" w:eastAsia="Times New Roman" w:cs="Times New Roman"/>
                <w:sz w:val="20"/>
                <w:szCs w:val="20"/>
              </w:rPr>
              <w:t>CQ</w:t>
            </w:r>
            <w:r>
              <w:rPr>
                <w:rFonts w:ascii="Times New Roman" w:hAnsi="Times New Roman" w:eastAsia="Times New Roman" w:cs="Times New Roman"/>
                <w:spacing w:val="5"/>
                <w:sz w:val="20"/>
                <w:szCs w:val="20"/>
              </w:rPr>
              <w:t>015</w:t>
            </w:r>
            <w:r>
              <w:rPr>
                <w:rFonts w:ascii="Times New Roman" w:hAnsi="Times New Roman" w:eastAsia="Times New Roman" w:cs="Times New Roman"/>
                <w:spacing w:val="-8"/>
                <w:sz w:val="20"/>
                <w:szCs w:val="20"/>
              </w:rPr>
              <w:t xml:space="preserve"> </w:t>
            </w:r>
            <w:r>
              <w:rPr>
                <w:spacing w:val="5"/>
                <w:sz w:val="20"/>
                <w:szCs w:val="20"/>
              </w:rPr>
              <w:t>、</w:t>
            </w:r>
            <w:r>
              <w:rPr>
                <w:rFonts w:ascii="Times New Roman" w:hAnsi="Times New Roman" w:eastAsia="Times New Roman" w:cs="Times New Roman"/>
                <w:sz w:val="20"/>
                <w:szCs w:val="20"/>
              </w:rPr>
              <w:t>CQ</w:t>
            </w:r>
            <w:r>
              <w:rPr>
                <w:rFonts w:ascii="Times New Roman" w:hAnsi="Times New Roman" w:eastAsia="Times New Roman" w:cs="Times New Roman"/>
                <w:spacing w:val="5"/>
                <w:sz w:val="20"/>
                <w:szCs w:val="20"/>
              </w:rPr>
              <w:t>016</w:t>
            </w:r>
            <w:r>
              <w:rPr>
                <w:rFonts w:ascii="Times New Roman" w:hAnsi="Times New Roman" w:eastAsia="Times New Roman" w:cs="Times New Roman"/>
                <w:spacing w:val="-8"/>
                <w:sz w:val="20"/>
                <w:szCs w:val="20"/>
              </w:rPr>
              <w:t xml:space="preserve"> </w:t>
            </w:r>
            <w:r>
              <w:rPr>
                <w:spacing w:val="5"/>
                <w:sz w:val="20"/>
                <w:szCs w:val="20"/>
              </w:rPr>
              <w:t>、</w:t>
            </w:r>
            <w:r>
              <w:rPr>
                <w:rFonts w:ascii="Times New Roman" w:hAnsi="Times New Roman" w:eastAsia="Times New Roman" w:cs="Times New Roman"/>
                <w:sz w:val="20"/>
                <w:szCs w:val="20"/>
              </w:rPr>
              <w:t>CQ</w:t>
            </w:r>
            <w:r>
              <w:rPr>
                <w:rFonts w:ascii="Times New Roman" w:hAnsi="Times New Roman" w:eastAsia="Times New Roman" w:cs="Times New Roman"/>
                <w:spacing w:val="5"/>
                <w:sz w:val="20"/>
                <w:szCs w:val="20"/>
              </w:rPr>
              <w:t>017</w:t>
            </w:r>
            <w:r>
              <w:rPr>
                <w:rFonts w:ascii="Times New Roman" w:hAnsi="Times New Roman" w:eastAsia="Times New Roman" w:cs="Times New Roman"/>
                <w:spacing w:val="34"/>
                <w:sz w:val="20"/>
                <w:szCs w:val="20"/>
              </w:rPr>
              <w:t xml:space="preserve"> </w:t>
            </w:r>
            <w:r>
              <w:rPr>
                <w:spacing w:val="5"/>
                <w:sz w:val="20"/>
                <w:szCs w:val="20"/>
              </w:rPr>
              <w:t>暂未建设；</w:t>
            </w:r>
          </w:p>
        </w:tc>
      </w:tr>
    </w:tbl>
    <w:p w14:paraId="5BD4D223">
      <w:pPr>
        <w:pStyle w:val="2"/>
        <w:spacing w:line="142" w:lineRule="exact"/>
        <w:rPr>
          <w:sz w:val="12"/>
        </w:rPr>
      </w:pPr>
    </w:p>
    <w:p w14:paraId="1E5BC52A">
      <w:pPr>
        <w:spacing w:line="142" w:lineRule="exact"/>
        <w:rPr>
          <w:sz w:val="12"/>
          <w:szCs w:val="12"/>
        </w:rPr>
        <w:sectPr>
          <w:footerReference r:id="rId140" w:type="default"/>
          <w:pgSz w:w="16839" w:h="11906"/>
          <w:pgMar w:top="1116" w:right="1317" w:bottom="1480" w:left="1317" w:header="683" w:footer="1318" w:gutter="0"/>
          <w:cols w:space="720" w:num="1"/>
        </w:sectPr>
      </w:pPr>
    </w:p>
    <w:p w14:paraId="197C3184">
      <w:pPr>
        <w:spacing w:before="229"/>
      </w:pPr>
    </w:p>
    <w:tbl>
      <w:tblPr>
        <w:tblStyle w:val="5"/>
        <w:tblW w:w="14177"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8"/>
        <w:gridCol w:w="8349"/>
        <w:gridCol w:w="1081"/>
        <w:gridCol w:w="4099"/>
      </w:tblGrid>
      <w:tr w14:paraId="768640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648" w:type="dxa"/>
            <w:tcBorders>
              <w:top w:val="single" w:color="000000" w:sz="10" w:space="0"/>
              <w:left w:val="single" w:color="000000" w:sz="10" w:space="0"/>
            </w:tcBorders>
            <w:textDirection w:val="tbRlV"/>
            <w:vAlign w:val="top"/>
          </w:tcPr>
          <w:p w14:paraId="600D600D">
            <w:pPr>
              <w:pStyle w:val="6"/>
              <w:spacing w:before="223" w:line="209" w:lineRule="auto"/>
              <w:ind w:left="35"/>
              <w:rPr>
                <w:sz w:val="20"/>
                <w:szCs w:val="20"/>
              </w:rPr>
            </w:pPr>
            <w:r>
              <w:rPr>
                <w:spacing w:val="13"/>
                <w:sz w:val="20"/>
                <w:szCs w:val="20"/>
              </w:rPr>
              <w:t>序</w:t>
            </w:r>
            <w:r>
              <w:rPr>
                <w:spacing w:val="-40"/>
                <w:sz w:val="20"/>
                <w:szCs w:val="20"/>
              </w:rPr>
              <w:t xml:space="preserve"> </w:t>
            </w:r>
            <w:r>
              <w:rPr>
                <w:spacing w:val="13"/>
                <w:sz w:val="20"/>
                <w:szCs w:val="20"/>
              </w:rPr>
              <w:t>号</w:t>
            </w:r>
          </w:p>
        </w:tc>
        <w:tc>
          <w:tcPr>
            <w:tcW w:w="8349" w:type="dxa"/>
            <w:tcBorders>
              <w:top w:val="single" w:color="000000" w:sz="10" w:space="0"/>
            </w:tcBorders>
            <w:vAlign w:val="top"/>
          </w:tcPr>
          <w:p w14:paraId="741E838A">
            <w:pPr>
              <w:pStyle w:val="6"/>
              <w:spacing w:before="170" w:line="231" w:lineRule="auto"/>
              <w:ind w:left="3778"/>
              <w:rPr>
                <w:sz w:val="20"/>
                <w:szCs w:val="20"/>
              </w:rPr>
            </w:pPr>
            <w:r>
              <w:rPr>
                <w:spacing w:val="1"/>
                <w:sz w:val="20"/>
                <w:szCs w:val="20"/>
              </w:rPr>
              <w:t>审查意见</w:t>
            </w:r>
          </w:p>
        </w:tc>
        <w:tc>
          <w:tcPr>
            <w:tcW w:w="1081" w:type="dxa"/>
            <w:tcBorders>
              <w:top w:val="single" w:color="000000" w:sz="10" w:space="0"/>
            </w:tcBorders>
            <w:vAlign w:val="top"/>
          </w:tcPr>
          <w:p w14:paraId="0A34F51C">
            <w:pPr>
              <w:pStyle w:val="6"/>
              <w:spacing w:before="170" w:line="231" w:lineRule="auto"/>
              <w:ind w:left="146"/>
              <w:rPr>
                <w:sz w:val="20"/>
                <w:szCs w:val="20"/>
              </w:rPr>
            </w:pPr>
            <w:r>
              <w:rPr>
                <w:spacing w:val="3"/>
                <w:sz w:val="20"/>
                <w:szCs w:val="20"/>
              </w:rPr>
              <w:t>落实情况</w:t>
            </w:r>
          </w:p>
        </w:tc>
        <w:tc>
          <w:tcPr>
            <w:tcW w:w="4099" w:type="dxa"/>
            <w:tcBorders>
              <w:top w:val="single" w:color="000000" w:sz="10" w:space="0"/>
              <w:right w:val="single" w:color="000000" w:sz="10" w:space="0"/>
            </w:tcBorders>
            <w:vAlign w:val="top"/>
          </w:tcPr>
          <w:p w14:paraId="02C8EADE">
            <w:pPr>
              <w:pStyle w:val="6"/>
              <w:spacing w:before="170" w:line="232" w:lineRule="auto"/>
              <w:ind w:left="1540"/>
              <w:rPr>
                <w:sz w:val="20"/>
                <w:szCs w:val="20"/>
              </w:rPr>
            </w:pPr>
            <w:r>
              <w:rPr>
                <w:spacing w:val="6"/>
                <w:sz w:val="20"/>
                <w:szCs w:val="20"/>
              </w:rPr>
              <w:t>说明与备注</w:t>
            </w:r>
          </w:p>
        </w:tc>
      </w:tr>
      <w:tr w14:paraId="3C8B7B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3" w:hRule="atLeast"/>
        </w:trPr>
        <w:tc>
          <w:tcPr>
            <w:tcW w:w="648" w:type="dxa"/>
            <w:tcBorders>
              <w:left w:val="single" w:color="000000" w:sz="10" w:space="0"/>
            </w:tcBorders>
            <w:vAlign w:val="top"/>
          </w:tcPr>
          <w:p w14:paraId="59319619">
            <w:pPr>
              <w:rPr>
                <w:rFonts w:ascii="Arial"/>
                <w:sz w:val="21"/>
              </w:rPr>
            </w:pPr>
          </w:p>
        </w:tc>
        <w:tc>
          <w:tcPr>
            <w:tcW w:w="8349" w:type="dxa"/>
            <w:vAlign w:val="top"/>
          </w:tcPr>
          <w:p w14:paraId="24F07689">
            <w:pPr>
              <w:rPr>
                <w:rFonts w:ascii="Arial"/>
                <w:sz w:val="21"/>
              </w:rPr>
            </w:pPr>
          </w:p>
        </w:tc>
        <w:tc>
          <w:tcPr>
            <w:tcW w:w="1081" w:type="dxa"/>
            <w:vAlign w:val="top"/>
          </w:tcPr>
          <w:p w14:paraId="553E4914">
            <w:pPr>
              <w:rPr>
                <w:rFonts w:ascii="Arial"/>
                <w:sz w:val="21"/>
              </w:rPr>
            </w:pPr>
          </w:p>
        </w:tc>
        <w:tc>
          <w:tcPr>
            <w:tcW w:w="4099" w:type="dxa"/>
            <w:tcBorders>
              <w:right w:val="single" w:color="000000" w:sz="10" w:space="0"/>
            </w:tcBorders>
            <w:vAlign w:val="top"/>
          </w:tcPr>
          <w:p w14:paraId="7FD98775">
            <w:pPr>
              <w:pStyle w:val="6"/>
              <w:spacing w:before="32" w:line="250" w:lineRule="auto"/>
              <w:ind w:left="119" w:right="15"/>
              <w:rPr>
                <w:sz w:val="20"/>
                <w:szCs w:val="20"/>
              </w:rPr>
            </w:pPr>
            <w:r>
              <w:rPr>
                <w:rFonts w:ascii="Times New Roman" w:hAnsi="Times New Roman" w:eastAsia="Times New Roman" w:cs="Times New Roman"/>
                <w:sz w:val="20"/>
                <w:szCs w:val="20"/>
              </w:rPr>
              <w:t>CQ</w:t>
            </w:r>
            <w:r>
              <w:rPr>
                <w:rFonts w:ascii="Times New Roman" w:hAnsi="Times New Roman" w:eastAsia="Times New Roman" w:cs="Times New Roman"/>
                <w:spacing w:val="2"/>
                <w:sz w:val="20"/>
                <w:szCs w:val="20"/>
              </w:rPr>
              <w:t>004</w:t>
            </w:r>
            <w:r>
              <w:rPr>
                <w:rFonts w:ascii="Times New Roman" w:hAnsi="Times New Roman" w:eastAsia="Times New Roman" w:cs="Times New Roman"/>
                <w:spacing w:val="-5"/>
                <w:sz w:val="20"/>
                <w:szCs w:val="20"/>
              </w:rPr>
              <w:t xml:space="preserve"> </w:t>
            </w:r>
            <w:r>
              <w:rPr>
                <w:spacing w:val="2"/>
                <w:sz w:val="20"/>
                <w:szCs w:val="20"/>
              </w:rPr>
              <w:t>、</w:t>
            </w:r>
            <w:r>
              <w:rPr>
                <w:rFonts w:ascii="Times New Roman" w:hAnsi="Times New Roman" w:eastAsia="Times New Roman" w:cs="Times New Roman"/>
                <w:sz w:val="20"/>
                <w:szCs w:val="20"/>
              </w:rPr>
              <w:t>CQ</w:t>
            </w:r>
            <w:r>
              <w:rPr>
                <w:rFonts w:ascii="Times New Roman" w:hAnsi="Times New Roman" w:eastAsia="Times New Roman" w:cs="Times New Roman"/>
                <w:spacing w:val="2"/>
                <w:sz w:val="20"/>
                <w:szCs w:val="20"/>
              </w:rPr>
              <w:t>010</w:t>
            </w:r>
            <w:r>
              <w:rPr>
                <w:rFonts w:ascii="Times New Roman" w:hAnsi="Times New Roman" w:eastAsia="Times New Roman" w:cs="Times New Roman"/>
                <w:spacing w:val="-19"/>
                <w:sz w:val="20"/>
                <w:szCs w:val="20"/>
              </w:rPr>
              <w:t xml:space="preserve"> </w:t>
            </w:r>
            <w:r>
              <w:rPr>
                <w:spacing w:val="2"/>
                <w:sz w:val="20"/>
                <w:szCs w:val="20"/>
              </w:rPr>
              <w:t>、</w:t>
            </w:r>
            <w:r>
              <w:rPr>
                <w:rFonts w:ascii="Times New Roman" w:hAnsi="Times New Roman" w:eastAsia="Times New Roman" w:cs="Times New Roman"/>
                <w:sz w:val="20"/>
                <w:szCs w:val="20"/>
              </w:rPr>
              <w:t>CQ</w:t>
            </w:r>
            <w:r>
              <w:rPr>
                <w:rFonts w:ascii="Times New Roman" w:hAnsi="Times New Roman" w:eastAsia="Times New Roman" w:cs="Times New Roman"/>
                <w:spacing w:val="2"/>
                <w:sz w:val="20"/>
                <w:szCs w:val="20"/>
              </w:rPr>
              <w:t>012</w:t>
            </w:r>
            <w:r>
              <w:rPr>
                <w:rFonts w:ascii="Times New Roman" w:hAnsi="Times New Roman" w:eastAsia="Times New Roman" w:cs="Times New Roman"/>
                <w:spacing w:val="42"/>
                <w:sz w:val="20"/>
                <w:szCs w:val="20"/>
              </w:rPr>
              <w:t xml:space="preserve"> </w:t>
            </w:r>
            <w:r>
              <w:rPr>
                <w:spacing w:val="2"/>
                <w:sz w:val="20"/>
                <w:szCs w:val="20"/>
              </w:rPr>
              <w:t>已关闭；</w:t>
            </w:r>
            <w:r>
              <w:rPr>
                <w:rFonts w:ascii="Times New Roman" w:hAnsi="Times New Roman" w:eastAsia="Times New Roman" w:cs="Times New Roman"/>
                <w:sz w:val="20"/>
                <w:szCs w:val="20"/>
              </w:rPr>
              <w:t>CQ</w:t>
            </w:r>
            <w:r>
              <w:rPr>
                <w:rFonts w:ascii="Times New Roman" w:hAnsi="Times New Roman" w:eastAsia="Times New Roman" w:cs="Times New Roman"/>
                <w:spacing w:val="2"/>
                <w:sz w:val="20"/>
                <w:szCs w:val="20"/>
              </w:rPr>
              <w:t>026</w:t>
            </w:r>
            <w:r>
              <w:rPr>
                <w:rFonts w:ascii="Times New Roman" w:hAnsi="Times New Roman" w:eastAsia="Times New Roman" w:cs="Times New Roman"/>
                <w:spacing w:val="-20"/>
                <w:sz w:val="20"/>
                <w:szCs w:val="20"/>
              </w:rPr>
              <w:t xml:space="preserve"> </w:t>
            </w:r>
            <w:r>
              <w:rPr>
                <w:spacing w:val="2"/>
                <w:sz w:val="20"/>
                <w:szCs w:val="20"/>
              </w:rPr>
              <w:t>、</w:t>
            </w:r>
            <w:r>
              <w:rPr>
                <w:sz w:val="20"/>
                <w:szCs w:val="20"/>
              </w:rPr>
              <w:t xml:space="preserve"> </w:t>
            </w:r>
            <w:r>
              <w:rPr>
                <w:rFonts w:ascii="Times New Roman" w:hAnsi="Times New Roman" w:eastAsia="Times New Roman" w:cs="Times New Roman"/>
                <w:sz w:val="20"/>
                <w:szCs w:val="20"/>
              </w:rPr>
              <w:t>CQ</w:t>
            </w:r>
            <w:r>
              <w:rPr>
                <w:rFonts w:ascii="Times New Roman" w:hAnsi="Times New Roman" w:eastAsia="Times New Roman" w:cs="Times New Roman"/>
                <w:spacing w:val="3"/>
                <w:sz w:val="20"/>
                <w:szCs w:val="20"/>
              </w:rPr>
              <w:t>030</w:t>
            </w:r>
            <w:r>
              <w:rPr>
                <w:spacing w:val="3"/>
                <w:sz w:val="20"/>
                <w:szCs w:val="20"/>
              </w:rPr>
              <w:t>、</w:t>
            </w:r>
            <w:r>
              <w:rPr>
                <w:rFonts w:ascii="Times New Roman" w:hAnsi="Times New Roman" w:eastAsia="Times New Roman" w:cs="Times New Roman"/>
                <w:sz w:val="20"/>
                <w:szCs w:val="20"/>
              </w:rPr>
              <w:t>CQ</w:t>
            </w:r>
            <w:r>
              <w:rPr>
                <w:rFonts w:ascii="Times New Roman" w:hAnsi="Times New Roman" w:eastAsia="Times New Roman" w:cs="Times New Roman"/>
                <w:spacing w:val="3"/>
                <w:sz w:val="20"/>
                <w:szCs w:val="20"/>
              </w:rPr>
              <w:t xml:space="preserve">031  </w:t>
            </w:r>
            <w:r>
              <w:rPr>
                <w:spacing w:val="3"/>
                <w:sz w:val="20"/>
                <w:szCs w:val="20"/>
              </w:rPr>
              <w:t>目前暂未投放，建议后续实</w:t>
            </w:r>
            <w:r>
              <w:rPr>
                <w:spacing w:val="1"/>
                <w:sz w:val="20"/>
                <w:szCs w:val="20"/>
              </w:rPr>
              <w:t xml:space="preserve"> </w:t>
            </w:r>
            <w:r>
              <w:rPr>
                <w:spacing w:val="4"/>
                <w:sz w:val="20"/>
                <w:szCs w:val="20"/>
              </w:rPr>
              <w:t>施过程中严格落实“十四五</w:t>
            </w:r>
            <w:r>
              <w:rPr>
                <w:spacing w:val="-56"/>
                <w:sz w:val="20"/>
                <w:szCs w:val="20"/>
              </w:rPr>
              <w:t xml:space="preserve"> </w:t>
            </w:r>
            <w:r>
              <w:rPr>
                <w:spacing w:val="4"/>
                <w:sz w:val="20"/>
                <w:szCs w:val="20"/>
              </w:rPr>
              <w:t>”规划环评提出</w:t>
            </w:r>
            <w:r>
              <w:rPr>
                <w:sz w:val="20"/>
                <w:szCs w:val="20"/>
              </w:rPr>
              <w:t xml:space="preserve"> </w:t>
            </w:r>
            <w:r>
              <w:rPr>
                <w:spacing w:val="7"/>
                <w:sz w:val="20"/>
                <w:szCs w:val="20"/>
              </w:rPr>
              <w:t>的要求，不与永久基本农田相关要求冲突。</w:t>
            </w:r>
          </w:p>
          <w:p w14:paraId="1F74A47F">
            <w:pPr>
              <w:pStyle w:val="6"/>
              <w:spacing w:before="4" w:line="246" w:lineRule="auto"/>
              <w:ind w:left="119" w:firstLine="10"/>
              <w:jc w:val="both"/>
              <w:rPr>
                <w:sz w:val="20"/>
                <w:szCs w:val="20"/>
              </w:rPr>
            </w:pPr>
            <w:r>
              <w:rPr>
                <w:spacing w:val="9"/>
                <w:sz w:val="20"/>
                <w:szCs w:val="20"/>
              </w:rPr>
              <w:t>（</w:t>
            </w:r>
            <w:r>
              <w:rPr>
                <w:rFonts w:ascii="Times New Roman" w:hAnsi="Times New Roman" w:eastAsia="Times New Roman" w:cs="Times New Roman"/>
                <w:spacing w:val="9"/>
                <w:sz w:val="20"/>
                <w:szCs w:val="20"/>
              </w:rPr>
              <w:t>4</w:t>
            </w:r>
            <w:r>
              <w:rPr>
                <w:spacing w:val="9"/>
                <w:sz w:val="20"/>
                <w:szCs w:val="20"/>
              </w:rPr>
              <w:t>）与二级国家级公益林重叠的为开采区</w:t>
            </w:r>
            <w:r>
              <w:rPr>
                <w:spacing w:val="12"/>
                <w:sz w:val="20"/>
                <w:szCs w:val="20"/>
              </w:rPr>
              <w:t xml:space="preserve"> </w:t>
            </w:r>
            <w:r>
              <w:rPr>
                <w:spacing w:val="-6"/>
                <w:sz w:val="20"/>
                <w:szCs w:val="20"/>
              </w:rPr>
              <w:t>块</w:t>
            </w:r>
            <w:r>
              <w:rPr>
                <w:spacing w:val="-40"/>
                <w:sz w:val="20"/>
                <w:szCs w:val="20"/>
              </w:rPr>
              <w:t xml:space="preserve"> </w:t>
            </w:r>
            <w:r>
              <w:rPr>
                <w:rFonts w:ascii="Times New Roman" w:hAnsi="Times New Roman" w:eastAsia="Times New Roman" w:cs="Times New Roman"/>
                <w:spacing w:val="-6"/>
                <w:sz w:val="20"/>
                <w:szCs w:val="20"/>
              </w:rPr>
              <w:t>CQ018</w:t>
            </w:r>
            <w:r>
              <w:rPr>
                <w:spacing w:val="-6"/>
                <w:sz w:val="20"/>
                <w:szCs w:val="20"/>
              </w:rPr>
              <w:t>、</w:t>
            </w:r>
            <w:r>
              <w:rPr>
                <w:rFonts w:ascii="Times New Roman" w:hAnsi="Times New Roman" w:eastAsia="Times New Roman" w:cs="Times New Roman"/>
                <w:spacing w:val="-6"/>
                <w:sz w:val="20"/>
                <w:szCs w:val="20"/>
              </w:rPr>
              <w:t>CQ019</w:t>
            </w:r>
            <w:r>
              <w:rPr>
                <w:spacing w:val="-6"/>
                <w:sz w:val="20"/>
                <w:szCs w:val="20"/>
              </w:rPr>
              <w:t>、</w:t>
            </w:r>
            <w:r>
              <w:rPr>
                <w:rFonts w:ascii="Times New Roman" w:hAnsi="Times New Roman" w:eastAsia="Times New Roman" w:cs="Times New Roman"/>
                <w:spacing w:val="-6"/>
                <w:sz w:val="20"/>
                <w:szCs w:val="20"/>
              </w:rPr>
              <w:t>CQ023</w:t>
            </w:r>
            <w:r>
              <w:rPr>
                <w:spacing w:val="-6"/>
                <w:sz w:val="20"/>
                <w:szCs w:val="20"/>
              </w:rPr>
              <w:t>、</w:t>
            </w:r>
            <w:r>
              <w:rPr>
                <w:rFonts w:ascii="Times New Roman" w:hAnsi="Times New Roman" w:eastAsia="Times New Roman" w:cs="Times New Roman"/>
                <w:spacing w:val="-6"/>
                <w:sz w:val="20"/>
                <w:szCs w:val="20"/>
              </w:rPr>
              <w:t>CQ026</w:t>
            </w:r>
            <w:r>
              <w:rPr>
                <w:spacing w:val="-6"/>
                <w:sz w:val="20"/>
                <w:szCs w:val="20"/>
              </w:rPr>
              <w:t>、</w:t>
            </w:r>
            <w:r>
              <w:rPr>
                <w:rFonts w:ascii="Times New Roman" w:hAnsi="Times New Roman" w:eastAsia="Times New Roman" w:cs="Times New Roman"/>
                <w:spacing w:val="-6"/>
                <w:sz w:val="20"/>
                <w:szCs w:val="20"/>
              </w:rPr>
              <w:t>CQ027</w:t>
            </w:r>
            <w:r>
              <w:rPr>
                <w:spacing w:val="-6"/>
                <w:sz w:val="20"/>
                <w:szCs w:val="20"/>
              </w:rPr>
              <w:t>、</w:t>
            </w:r>
            <w:r>
              <w:rPr>
                <w:sz w:val="20"/>
                <w:szCs w:val="20"/>
              </w:rPr>
              <w:t xml:space="preserve"> </w:t>
            </w:r>
            <w:r>
              <w:rPr>
                <w:rFonts w:ascii="Times New Roman" w:hAnsi="Times New Roman" w:eastAsia="Times New Roman" w:cs="Times New Roman"/>
                <w:spacing w:val="-5"/>
                <w:sz w:val="20"/>
                <w:szCs w:val="20"/>
              </w:rPr>
              <w:t>CQ030</w:t>
            </w:r>
            <w:r>
              <w:rPr>
                <w:spacing w:val="-5"/>
                <w:sz w:val="20"/>
                <w:szCs w:val="20"/>
              </w:rPr>
              <w:t>、</w:t>
            </w:r>
            <w:r>
              <w:rPr>
                <w:rFonts w:ascii="Times New Roman" w:hAnsi="Times New Roman" w:eastAsia="Times New Roman" w:cs="Times New Roman"/>
                <w:spacing w:val="-5"/>
                <w:sz w:val="20"/>
                <w:szCs w:val="20"/>
              </w:rPr>
              <w:t>CQ031</w:t>
            </w:r>
            <w:r>
              <w:rPr>
                <w:spacing w:val="-5"/>
                <w:sz w:val="20"/>
                <w:szCs w:val="20"/>
              </w:rPr>
              <w:t>，其中</w:t>
            </w:r>
            <w:r>
              <w:rPr>
                <w:spacing w:val="-30"/>
                <w:sz w:val="20"/>
                <w:szCs w:val="20"/>
              </w:rPr>
              <w:t xml:space="preserve"> </w:t>
            </w:r>
            <w:r>
              <w:rPr>
                <w:rFonts w:ascii="Times New Roman" w:hAnsi="Times New Roman" w:eastAsia="Times New Roman" w:cs="Times New Roman"/>
                <w:spacing w:val="-5"/>
                <w:sz w:val="20"/>
                <w:szCs w:val="20"/>
              </w:rPr>
              <w:t xml:space="preserve">CQ019  </w:t>
            </w:r>
            <w:r>
              <w:rPr>
                <w:spacing w:val="-5"/>
                <w:sz w:val="20"/>
                <w:szCs w:val="20"/>
              </w:rPr>
              <w:t>目前正在开采，</w:t>
            </w:r>
            <w:r>
              <w:rPr>
                <w:sz w:val="20"/>
                <w:szCs w:val="20"/>
              </w:rPr>
              <w:t xml:space="preserve"> 已按要求办理了使用林地手续，</w:t>
            </w:r>
            <w:r>
              <w:rPr>
                <w:rFonts w:ascii="Times New Roman" w:hAnsi="Times New Roman" w:eastAsia="Times New Roman" w:cs="Times New Roman"/>
                <w:sz w:val="20"/>
                <w:szCs w:val="20"/>
              </w:rPr>
              <w:t xml:space="preserve">CQ018  </w:t>
            </w:r>
            <w:r>
              <w:rPr>
                <w:sz w:val="20"/>
                <w:szCs w:val="20"/>
              </w:rPr>
              <w:t>目前</w:t>
            </w:r>
            <w:r>
              <w:rPr>
                <w:spacing w:val="18"/>
                <w:sz w:val="20"/>
                <w:szCs w:val="20"/>
              </w:rPr>
              <w:t xml:space="preserve"> </w:t>
            </w:r>
            <w:r>
              <w:rPr>
                <w:spacing w:val="3"/>
                <w:sz w:val="20"/>
                <w:szCs w:val="20"/>
              </w:rPr>
              <w:t>暂未建设，其余</w:t>
            </w:r>
            <w:r>
              <w:rPr>
                <w:spacing w:val="-24"/>
                <w:sz w:val="20"/>
                <w:szCs w:val="20"/>
              </w:rPr>
              <w:t xml:space="preserve"> </w:t>
            </w:r>
            <w:r>
              <w:rPr>
                <w:rFonts w:ascii="Times New Roman" w:hAnsi="Times New Roman" w:eastAsia="Times New Roman" w:cs="Times New Roman"/>
                <w:sz w:val="20"/>
                <w:szCs w:val="20"/>
              </w:rPr>
              <w:t>CQ</w:t>
            </w:r>
            <w:r>
              <w:rPr>
                <w:rFonts w:ascii="Times New Roman" w:hAnsi="Times New Roman" w:eastAsia="Times New Roman" w:cs="Times New Roman"/>
                <w:spacing w:val="3"/>
                <w:sz w:val="20"/>
                <w:szCs w:val="20"/>
              </w:rPr>
              <w:t>023</w:t>
            </w:r>
            <w:r>
              <w:rPr>
                <w:rFonts w:ascii="Times New Roman" w:hAnsi="Times New Roman" w:eastAsia="Times New Roman" w:cs="Times New Roman"/>
                <w:spacing w:val="-19"/>
                <w:sz w:val="20"/>
                <w:szCs w:val="20"/>
              </w:rPr>
              <w:t xml:space="preserve"> </w:t>
            </w:r>
            <w:r>
              <w:rPr>
                <w:spacing w:val="3"/>
                <w:sz w:val="20"/>
                <w:szCs w:val="20"/>
              </w:rPr>
              <w:t>、</w:t>
            </w:r>
            <w:r>
              <w:rPr>
                <w:rFonts w:ascii="Times New Roman" w:hAnsi="Times New Roman" w:eastAsia="Times New Roman" w:cs="Times New Roman"/>
                <w:sz w:val="20"/>
                <w:szCs w:val="20"/>
              </w:rPr>
              <w:t>CQ</w:t>
            </w:r>
            <w:r>
              <w:rPr>
                <w:rFonts w:ascii="Times New Roman" w:hAnsi="Times New Roman" w:eastAsia="Times New Roman" w:cs="Times New Roman"/>
                <w:spacing w:val="3"/>
                <w:sz w:val="20"/>
                <w:szCs w:val="20"/>
              </w:rPr>
              <w:t>026</w:t>
            </w:r>
            <w:r>
              <w:rPr>
                <w:rFonts w:ascii="Times New Roman" w:hAnsi="Times New Roman" w:eastAsia="Times New Roman" w:cs="Times New Roman"/>
                <w:spacing w:val="-20"/>
                <w:sz w:val="20"/>
                <w:szCs w:val="20"/>
              </w:rPr>
              <w:t xml:space="preserve"> </w:t>
            </w:r>
            <w:r>
              <w:rPr>
                <w:spacing w:val="3"/>
                <w:sz w:val="20"/>
                <w:szCs w:val="20"/>
              </w:rPr>
              <w:t>、</w:t>
            </w:r>
            <w:r>
              <w:rPr>
                <w:rFonts w:ascii="Times New Roman" w:hAnsi="Times New Roman" w:eastAsia="Times New Roman" w:cs="Times New Roman"/>
                <w:sz w:val="20"/>
                <w:szCs w:val="20"/>
              </w:rPr>
              <w:t>CQ</w:t>
            </w:r>
            <w:r>
              <w:rPr>
                <w:rFonts w:ascii="Times New Roman" w:hAnsi="Times New Roman" w:eastAsia="Times New Roman" w:cs="Times New Roman"/>
                <w:spacing w:val="3"/>
                <w:sz w:val="20"/>
                <w:szCs w:val="20"/>
              </w:rPr>
              <w:t>027</w:t>
            </w:r>
            <w:r>
              <w:rPr>
                <w:rFonts w:ascii="Times New Roman" w:hAnsi="Times New Roman" w:eastAsia="Times New Roman" w:cs="Times New Roman"/>
                <w:spacing w:val="-19"/>
                <w:sz w:val="20"/>
                <w:szCs w:val="20"/>
              </w:rPr>
              <w:t xml:space="preserve"> </w:t>
            </w:r>
            <w:r>
              <w:rPr>
                <w:spacing w:val="3"/>
                <w:sz w:val="20"/>
                <w:szCs w:val="20"/>
              </w:rPr>
              <w:t>、</w:t>
            </w:r>
            <w:r>
              <w:rPr>
                <w:sz w:val="20"/>
                <w:szCs w:val="20"/>
              </w:rPr>
              <w:t xml:space="preserve"> </w:t>
            </w:r>
            <w:r>
              <w:rPr>
                <w:rFonts w:ascii="Times New Roman" w:hAnsi="Times New Roman" w:eastAsia="Times New Roman" w:cs="Times New Roman"/>
                <w:sz w:val="20"/>
                <w:szCs w:val="20"/>
              </w:rPr>
              <w:t>CQ</w:t>
            </w:r>
            <w:r>
              <w:rPr>
                <w:rFonts w:ascii="Times New Roman" w:hAnsi="Times New Roman" w:eastAsia="Times New Roman" w:cs="Times New Roman"/>
                <w:spacing w:val="3"/>
                <w:sz w:val="20"/>
                <w:szCs w:val="20"/>
              </w:rPr>
              <w:t>030</w:t>
            </w:r>
            <w:r>
              <w:rPr>
                <w:spacing w:val="3"/>
                <w:sz w:val="20"/>
                <w:szCs w:val="20"/>
              </w:rPr>
              <w:t>、</w:t>
            </w:r>
            <w:r>
              <w:rPr>
                <w:rFonts w:ascii="Times New Roman" w:hAnsi="Times New Roman" w:eastAsia="Times New Roman" w:cs="Times New Roman"/>
                <w:sz w:val="20"/>
                <w:szCs w:val="20"/>
              </w:rPr>
              <w:t>CQ</w:t>
            </w:r>
            <w:r>
              <w:rPr>
                <w:rFonts w:ascii="Times New Roman" w:hAnsi="Times New Roman" w:eastAsia="Times New Roman" w:cs="Times New Roman"/>
                <w:spacing w:val="3"/>
                <w:sz w:val="20"/>
                <w:szCs w:val="20"/>
              </w:rPr>
              <w:t>031</w:t>
            </w:r>
            <w:r>
              <w:rPr>
                <w:rFonts w:ascii="Times New Roman" w:hAnsi="Times New Roman" w:eastAsia="Times New Roman" w:cs="Times New Roman"/>
                <w:spacing w:val="33"/>
                <w:w w:val="101"/>
                <w:sz w:val="20"/>
                <w:szCs w:val="20"/>
              </w:rPr>
              <w:t xml:space="preserve"> </w:t>
            </w:r>
            <w:r>
              <w:rPr>
                <w:spacing w:val="3"/>
                <w:sz w:val="20"/>
                <w:szCs w:val="20"/>
              </w:rPr>
              <w:t>暂未投放，建议后续实施过</w:t>
            </w:r>
            <w:r>
              <w:rPr>
                <w:sz w:val="20"/>
                <w:szCs w:val="20"/>
              </w:rPr>
              <w:t xml:space="preserve"> </w:t>
            </w:r>
            <w:r>
              <w:rPr>
                <w:spacing w:val="3"/>
                <w:sz w:val="20"/>
                <w:szCs w:val="20"/>
              </w:rPr>
              <w:t>程中严格落实“十四五</w:t>
            </w:r>
            <w:r>
              <w:rPr>
                <w:spacing w:val="-61"/>
                <w:sz w:val="20"/>
                <w:szCs w:val="20"/>
              </w:rPr>
              <w:t xml:space="preserve"> </w:t>
            </w:r>
            <w:r>
              <w:rPr>
                <w:spacing w:val="3"/>
                <w:sz w:val="20"/>
                <w:szCs w:val="20"/>
              </w:rPr>
              <w:t>”规划环评提出的要</w:t>
            </w:r>
            <w:r>
              <w:rPr>
                <w:sz w:val="20"/>
                <w:szCs w:val="20"/>
              </w:rPr>
              <w:t xml:space="preserve"> 求。</w:t>
            </w:r>
          </w:p>
        </w:tc>
      </w:tr>
      <w:tr w14:paraId="516BBA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48" w:type="dxa"/>
            <w:tcBorders>
              <w:left w:val="single" w:color="000000" w:sz="10" w:space="0"/>
            </w:tcBorders>
            <w:vAlign w:val="top"/>
          </w:tcPr>
          <w:p w14:paraId="13921C81">
            <w:pPr>
              <w:spacing w:line="281" w:lineRule="auto"/>
              <w:rPr>
                <w:rFonts w:ascii="Arial"/>
                <w:sz w:val="21"/>
              </w:rPr>
            </w:pPr>
          </w:p>
          <w:p w14:paraId="45805E4C">
            <w:pPr>
              <w:spacing w:line="281" w:lineRule="auto"/>
              <w:rPr>
                <w:rFonts w:ascii="Arial"/>
                <w:sz w:val="21"/>
              </w:rPr>
            </w:pPr>
          </w:p>
          <w:p w14:paraId="72E0FB32">
            <w:pPr>
              <w:spacing w:before="57" w:line="195" w:lineRule="auto"/>
              <w:ind w:left="25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8349" w:type="dxa"/>
            <w:vAlign w:val="top"/>
          </w:tcPr>
          <w:p w14:paraId="53EABD7E">
            <w:pPr>
              <w:pStyle w:val="6"/>
              <w:spacing w:before="42" w:line="231" w:lineRule="auto"/>
              <w:ind w:left="58"/>
              <w:rPr>
                <w:sz w:val="20"/>
                <w:szCs w:val="20"/>
              </w:rPr>
            </w:pPr>
            <w:r>
              <w:rPr>
                <w:spacing w:val="8"/>
                <w:sz w:val="20"/>
                <w:szCs w:val="20"/>
              </w:rPr>
              <w:t>（四）加强矿山生态修复和环境治理</w:t>
            </w:r>
          </w:p>
          <w:p w14:paraId="0991B5D0">
            <w:pPr>
              <w:pStyle w:val="6"/>
              <w:spacing w:before="20"/>
              <w:ind w:left="55" w:right="115" w:firstLine="2"/>
              <w:jc w:val="both"/>
              <w:rPr>
                <w:sz w:val="20"/>
                <w:szCs w:val="20"/>
              </w:rPr>
            </w:pPr>
            <w:r>
              <w:rPr>
                <w:spacing w:val="9"/>
                <w:sz w:val="20"/>
                <w:szCs w:val="20"/>
              </w:rPr>
              <w:t>结合区域生态环境质量改善目标和主要生态环境问题，分区域、分矿种确定矿山修复和环</w:t>
            </w:r>
            <w:r>
              <w:rPr>
                <w:spacing w:val="18"/>
                <w:sz w:val="20"/>
                <w:szCs w:val="20"/>
              </w:rPr>
              <w:t xml:space="preserve"> </w:t>
            </w:r>
            <w:r>
              <w:rPr>
                <w:spacing w:val="10"/>
                <w:sz w:val="20"/>
                <w:szCs w:val="20"/>
              </w:rPr>
              <w:t>境治理总体要求，强化生态环境保护。重视关闭</w:t>
            </w:r>
            <w:r>
              <w:rPr>
                <w:spacing w:val="9"/>
                <w:sz w:val="20"/>
                <w:szCs w:val="20"/>
              </w:rPr>
              <w:t>矿山及历史遗留矿山的生态环境问题，按</w:t>
            </w:r>
            <w:r>
              <w:rPr>
                <w:sz w:val="20"/>
                <w:szCs w:val="20"/>
              </w:rPr>
              <w:t xml:space="preserve"> </w:t>
            </w:r>
            <w:r>
              <w:rPr>
                <w:spacing w:val="10"/>
                <w:sz w:val="20"/>
                <w:szCs w:val="20"/>
              </w:rPr>
              <w:t>照国家、重庆市和黔江区相关文件规定和要求，</w:t>
            </w:r>
            <w:r>
              <w:rPr>
                <w:spacing w:val="9"/>
                <w:sz w:val="20"/>
                <w:szCs w:val="20"/>
              </w:rPr>
              <w:t>落实矿山治理恢复或土地复垦责任主体，</w:t>
            </w:r>
            <w:r>
              <w:rPr>
                <w:sz w:val="20"/>
                <w:szCs w:val="20"/>
              </w:rPr>
              <w:t xml:space="preserve"> </w:t>
            </w:r>
            <w:r>
              <w:rPr>
                <w:spacing w:val="9"/>
                <w:sz w:val="20"/>
                <w:szCs w:val="20"/>
              </w:rPr>
              <w:t>采取自然恢复、工程修复或合法再利用措施有序推进正军采石场等矿山的生态修复。</w:t>
            </w:r>
          </w:p>
        </w:tc>
        <w:tc>
          <w:tcPr>
            <w:tcW w:w="1081" w:type="dxa"/>
            <w:vAlign w:val="top"/>
          </w:tcPr>
          <w:p w14:paraId="68567721">
            <w:pPr>
              <w:spacing w:line="259" w:lineRule="auto"/>
              <w:rPr>
                <w:rFonts w:ascii="Arial"/>
                <w:sz w:val="21"/>
              </w:rPr>
            </w:pPr>
          </w:p>
          <w:p w14:paraId="1E3CEAE5">
            <w:pPr>
              <w:spacing w:line="260" w:lineRule="auto"/>
              <w:rPr>
                <w:rFonts w:ascii="Arial"/>
                <w:sz w:val="21"/>
              </w:rPr>
            </w:pPr>
          </w:p>
          <w:p w14:paraId="5A6260A1">
            <w:pPr>
              <w:pStyle w:val="6"/>
              <w:spacing w:before="65" w:line="231" w:lineRule="auto"/>
              <w:ind w:left="268"/>
              <w:rPr>
                <w:sz w:val="20"/>
                <w:szCs w:val="20"/>
              </w:rPr>
            </w:pPr>
            <w:r>
              <w:rPr>
                <w:spacing w:val="-4"/>
                <w:sz w:val="20"/>
                <w:szCs w:val="20"/>
              </w:rPr>
              <w:t>已落实</w:t>
            </w:r>
          </w:p>
        </w:tc>
        <w:tc>
          <w:tcPr>
            <w:tcW w:w="4099" w:type="dxa"/>
            <w:tcBorders>
              <w:right w:val="single" w:color="000000" w:sz="10" w:space="0"/>
            </w:tcBorders>
            <w:vAlign w:val="top"/>
          </w:tcPr>
          <w:p w14:paraId="30D7471D">
            <w:pPr>
              <w:pStyle w:val="6"/>
              <w:spacing w:before="178" w:line="251" w:lineRule="auto"/>
              <w:ind w:left="70" w:right="43" w:firstLine="7"/>
              <w:jc w:val="both"/>
              <w:rPr>
                <w:sz w:val="20"/>
                <w:szCs w:val="20"/>
              </w:rPr>
            </w:pPr>
            <w:r>
              <w:rPr>
                <w:spacing w:val="8"/>
                <w:sz w:val="20"/>
                <w:szCs w:val="20"/>
              </w:rPr>
              <w:t>每年均完成了市局下达的年度修复任务。关</w:t>
            </w:r>
            <w:r>
              <w:rPr>
                <w:spacing w:val="9"/>
                <w:sz w:val="20"/>
                <w:szCs w:val="20"/>
              </w:rPr>
              <w:t xml:space="preserve"> </w:t>
            </w:r>
            <w:r>
              <w:rPr>
                <w:spacing w:val="8"/>
                <w:sz w:val="20"/>
                <w:szCs w:val="20"/>
              </w:rPr>
              <w:t>闭矿山及历史遗留矿山正按照国家、重庆市</w:t>
            </w:r>
            <w:r>
              <w:rPr>
                <w:spacing w:val="17"/>
                <w:sz w:val="20"/>
                <w:szCs w:val="20"/>
              </w:rPr>
              <w:t xml:space="preserve"> </w:t>
            </w:r>
            <w:r>
              <w:rPr>
                <w:spacing w:val="8"/>
                <w:sz w:val="20"/>
                <w:szCs w:val="20"/>
              </w:rPr>
              <w:t>和黔江区相关文件规定和要求，分年度落实</w:t>
            </w:r>
            <w:r>
              <w:rPr>
                <w:spacing w:val="17"/>
                <w:sz w:val="20"/>
                <w:szCs w:val="20"/>
              </w:rPr>
              <w:t xml:space="preserve"> </w:t>
            </w:r>
            <w:r>
              <w:rPr>
                <w:spacing w:val="8"/>
                <w:sz w:val="20"/>
                <w:szCs w:val="20"/>
              </w:rPr>
              <w:t>矿山治理恢复和土地复垦责任。</w:t>
            </w:r>
          </w:p>
        </w:tc>
      </w:tr>
      <w:tr w14:paraId="30E1B8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5" w:hRule="atLeast"/>
        </w:trPr>
        <w:tc>
          <w:tcPr>
            <w:tcW w:w="648" w:type="dxa"/>
            <w:tcBorders>
              <w:left w:val="single" w:color="000000" w:sz="10" w:space="0"/>
              <w:bottom w:val="single" w:color="000000" w:sz="10" w:space="0"/>
            </w:tcBorders>
            <w:vAlign w:val="top"/>
          </w:tcPr>
          <w:p w14:paraId="7D3DDB90">
            <w:pPr>
              <w:spacing w:line="252" w:lineRule="auto"/>
              <w:rPr>
                <w:rFonts w:ascii="Arial"/>
                <w:sz w:val="21"/>
              </w:rPr>
            </w:pPr>
          </w:p>
          <w:p w14:paraId="12EBA41E">
            <w:pPr>
              <w:spacing w:line="252" w:lineRule="auto"/>
              <w:rPr>
                <w:rFonts w:ascii="Arial"/>
                <w:sz w:val="21"/>
              </w:rPr>
            </w:pPr>
          </w:p>
          <w:p w14:paraId="35F62597">
            <w:pPr>
              <w:spacing w:line="253" w:lineRule="auto"/>
              <w:rPr>
                <w:rFonts w:ascii="Arial"/>
                <w:sz w:val="21"/>
              </w:rPr>
            </w:pPr>
          </w:p>
          <w:p w14:paraId="79018E66">
            <w:pPr>
              <w:spacing w:line="253" w:lineRule="auto"/>
              <w:rPr>
                <w:rFonts w:ascii="Arial"/>
                <w:sz w:val="21"/>
              </w:rPr>
            </w:pPr>
          </w:p>
          <w:p w14:paraId="10AB9D87">
            <w:pPr>
              <w:spacing w:line="253" w:lineRule="auto"/>
              <w:rPr>
                <w:rFonts w:ascii="Arial"/>
                <w:sz w:val="21"/>
              </w:rPr>
            </w:pPr>
          </w:p>
          <w:p w14:paraId="1043A7EA">
            <w:pPr>
              <w:spacing w:line="253" w:lineRule="auto"/>
              <w:rPr>
                <w:rFonts w:ascii="Arial"/>
                <w:sz w:val="21"/>
              </w:rPr>
            </w:pPr>
          </w:p>
          <w:p w14:paraId="1086065F">
            <w:pPr>
              <w:spacing w:before="58" w:line="192" w:lineRule="auto"/>
              <w:ind w:left="26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8349" w:type="dxa"/>
            <w:tcBorders>
              <w:bottom w:val="single" w:color="000000" w:sz="10" w:space="0"/>
            </w:tcBorders>
            <w:vAlign w:val="top"/>
          </w:tcPr>
          <w:p w14:paraId="5561665C">
            <w:pPr>
              <w:pStyle w:val="6"/>
              <w:spacing w:before="47" w:line="231" w:lineRule="auto"/>
              <w:ind w:left="58"/>
              <w:rPr>
                <w:sz w:val="20"/>
                <w:szCs w:val="20"/>
              </w:rPr>
            </w:pPr>
            <w:r>
              <w:rPr>
                <w:spacing w:val="8"/>
                <w:sz w:val="20"/>
                <w:szCs w:val="20"/>
              </w:rPr>
              <w:t>（五）严守环境质量底线，加强环境污染防治</w:t>
            </w:r>
          </w:p>
          <w:p w14:paraId="469F52DC">
            <w:pPr>
              <w:pStyle w:val="6"/>
              <w:spacing w:before="20" w:line="250" w:lineRule="auto"/>
              <w:ind w:left="61" w:right="115" w:hanging="8"/>
              <w:rPr>
                <w:sz w:val="20"/>
                <w:szCs w:val="20"/>
              </w:rPr>
            </w:pPr>
            <w:r>
              <w:rPr>
                <w:spacing w:val="10"/>
                <w:sz w:val="20"/>
                <w:szCs w:val="20"/>
              </w:rPr>
              <w:t>针对蓬东乡永赢建筑石料用灰岩矿等现状存在粉尘外</w:t>
            </w:r>
            <w:r>
              <w:rPr>
                <w:spacing w:val="9"/>
                <w:sz w:val="20"/>
                <w:szCs w:val="20"/>
              </w:rPr>
              <w:t>溢、矿石露天堆放等问题，应加强废</w:t>
            </w:r>
            <w:r>
              <w:rPr>
                <w:sz w:val="20"/>
                <w:szCs w:val="20"/>
              </w:rPr>
              <w:t xml:space="preserve"> </w:t>
            </w:r>
            <w:r>
              <w:rPr>
                <w:spacing w:val="9"/>
                <w:sz w:val="20"/>
                <w:szCs w:val="20"/>
              </w:rPr>
              <w:t>气污染治理，认真落实好环评文件及环评批准书提出的各项环境保护措施和要求。</w:t>
            </w:r>
          </w:p>
          <w:p w14:paraId="0C4A51C6">
            <w:pPr>
              <w:pStyle w:val="6"/>
              <w:spacing w:before="6" w:line="247" w:lineRule="auto"/>
              <w:ind w:left="53"/>
              <w:rPr>
                <w:sz w:val="20"/>
                <w:szCs w:val="20"/>
              </w:rPr>
            </w:pPr>
            <w:r>
              <w:rPr>
                <w:spacing w:val="9"/>
                <w:sz w:val="20"/>
                <w:szCs w:val="20"/>
              </w:rPr>
              <w:t>矿产资源开发利用过程中采用技术经济可行，措施有效的污染防治措施，控制生产和运输</w:t>
            </w:r>
            <w:r>
              <w:rPr>
                <w:spacing w:val="1"/>
                <w:sz w:val="20"/>
                <w:szCs w:val="20"/>
              </w:rPr>
              <w:t xml:space="preserve">  </w:t>
            </w:r>
            <w:r>
              <w:rPr>
                <w:spacing w:val="9"/>
                <w:sz w:val="20"/>
                <w:szCs w:val="20"/>
              </w:rPr>
              <w:t>产生的污染物排放。采矿生产、生活污废水应尽量回用或处理后达标排放，减少污染物排</w:t>
            </w:r>
            <w:r>
              <w:rPr>
                <w:spacing w:val="1"/>
                <w:sz w:val="20"/>
                <w:szCs w:val="20"/>
              </w:rPr>
              <w:t xml:space="preserve">  </w:t>
            </w:r>
            <w:r>
              <w:rPr>
                <w:spacing w:val="9"/>
                <w:sz w:val="20"/>
                <w:szCs w:val="20"/>
              </w:rPr>
              <w:t>放量。采取密闭、除尘、洒水降尘等有效措施控制矿山开采和破碎加工过程中粉尘等大气</w:t>
            </w:r>
            <w:r>
              <w:rPr>
                <w:spacing w:val="1"/>
                <w:sz w:val="20"/>
                <w:szCs w:val="20"/>
              </w:rPr>
              <w:t xml:space="preserve">  </w:t>
            </w:r>
            <w:r>
              <w:rPr>
                <w:spacing w:val="7"/>
                <w:sz w:val="20"/>
                <w:szCs w:val="20"/>
              </w:rPr>
              <w:t>污染物排放，严格控制矿产品及弃渣运输过程中的粉尘污染和尾气排放。临近自然保护区、</w:t>
            </w:r>
            <w:r>
              <w:rPr>
                <w:spacing w:val="8"/>
                <w:sz w:val="20"/>
                <w:szCs w:val="20"/>
              </w:rPr>
              <w:t xml:space="preserve"> </w:t>
            </w:r>
            <w:r>
              <w:rPr>
                <w:spacing w:val="9"/>
                <w:sz w:val="20"/>
                <w:szCs w:val="20"/>
              </w:rPr>
              <w:t>生态保护红线的开采区块应切实加强对生态环境的保护，严控生产建设活动，工业场地尽</w:t>
            </w:r>
            <w:r>
              <w:rPr>
                <w:spacing w:val="1"/>
                <w:sz w:val="20"/>
                <w:szCs w:val="20"/>
              </w:rPr>
              <w:t xml:space="preserve">  </w:t>
            </w:r>
            <w:r>
              <w:rPr>
                <w:spacing w:val="9"/>
                <w:sz w:val="20"/>
                <w:szCs w:val="20"/>
              </w:rPr>
              <w:t>量远离生态环境敏感区布设，强化粉尘排放控制，降低对生态环境的影响。临近环境空气</w:t>
            </w:r>
            <w:r>
              <w:rPr>
                <w:spacing w:val="1"/>
                <w:sz w:val="20"/>
                <w:szCs w:val="20"/>
              </w:rPr>
              <w:t xml:space="preserve">  </w:t>
            </w:r>
            <w:r>
              <w:rPr>
                <w:spacing w:val="8"/>
                <w:sz w:val="20"/>
                <w:szCs w:val="20"/>
              </w:rPr>
              <w:t>一类功能区的矿山应强化粉尘排放控制措施，确保</w:t>
            </w:r>
            <w:r>
              <w:rPr>
                <w:spacing w:val="-37"/>
                <w:sz w:val="20"/>
                <w:szCs w:val="20"/>
              </w:rPr>
              <w:t xml:space="preserve"> </w:t>
            </w:r>
            <w:r>
              <w:rPr>
                <w:rFonts w:ascii="Times New Roman" w:hAnsi="Times New Roman" w:eastAsia="Times New Roman" w:cs="Times New Roman"/>
                <w:spacing w:val="8"/>
                <w:sz w:val="20"/>
                <w:szCs w:val="20"/>
              </w:rPr>
              <w:t>300</w:t>
            </w:r>
            <w:r>
              <w:rPr>
                <w:rFonts w:ascii="Times New Roman" w:hAnsi="Times New Roman" w:eastAsia="Times New Roman" w:cs="Times New Roman"/>
                <w:spacing w:val="20"/>
                <w:w w:val="101"/>
                <w:sz w:val="20"/>
                <w:szCs w:val="20"/>
              </w:rPr>
              <w:t xml:space="preserve"> </w:t>
            </w:r>
            <w:r>
              <w:rPr>
                <w:spacing w:val="8"/>
                <w:sz w:val="20"/>
                <w:szCs w:val="20"/>
              </w:rPr>
              <w:t>米缓冲带内环境空气质量满足《环</w:t>
            </w:r>
            <w:r>
              <w:rPr>
                <w:sz w:val="20"/>
                <w:szCs w:val="20"/>
              </w:rPr>
              <w:t xml:space="preserve">  </w:t>
            </w:r>
            <w:r>
              <w:rPr>
                <w:spacing w:val="3"/>
                <w:sz w:val="20"/>
                <w:szCs w:val="20"/>
              </w:rPr>
              <w:t>境空气质量标准》（</w:t>
            </w: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3095-2012</w:t>
            </w:r>
            <w:r>
              <w:rPr>
                <w:spacing w:val="3"/>
                <w:sz w:val="20"/>
                <w:szCs w:val="20"/>
              </w:rPr>
              <w:t>）一级标准要求。合理布局工业场地，合理安排作业时间，</w:t>
            </w:r>
            <w:r>
              <w:rPr>
                <w:spacing w:val="11"/>
                <w:sz w:val="20"/>
                <w:szCs w:val="20"/>
              </w:rPr>
              <w:t xml:space="preserve"> </w:t>
            </w:r>
            <w:r>
              <w:rPr>
                <w:spacing w:val="9"/>
                <w:sz w:val="20"/>
                <w:szCs w:val="20"/>
              </w:rPr>
              <w:t>选用低噪声设备，采取消声、隔声、减振等措施，减缓噪声不利影响，确保符合声环境相</w:t>
            </w:r>
          </w:p>
        </w:tc>
        <w:tc>
          <w:tcPr>
            <w:tcW w:w="1081" w:type="dxa"/>
            <w:tcBorders>
              <w:bottom w:val="single" w:color="000000" w:sz="10" w:space="0"/>
            </w:tcBorders>
            <w:vAlign w:val="top"/>
          </w:tcPr>
          <w:p w14:paraId="1E1FE11C">
            <w:pPr>
              <w:spacing w:line="244" w:lineRule="auto"/>
              <w:rPr>
                <w:rFonts w:ascii="Arial"/>
                <w:sz w:val="21"/>
              </w:rPr>
            </w:pPr>
          </w:p>
          <w:p w14:paraId="7B8CC02D">
            <w:pPr>
              <w:spacing w:line="244" w:lineRule="auto"/>
              <w:rPr>
                <w:rFonts w:ascii="Arial"/>
                <w:sz w:val="21"/>
              </w:rPr>
            </w:pPr>
          </w:p>
          <w:p w14:paraId="0E0B7380">
            <w:pPr>
              <w:spacing w:line="245" w:lineRule="auto"/>
              <w:rPr>
                <w:rFonts w:ascii="Arial"/>
                <w:sz w:val="21"/>
              </w:rPr>
            </w:pPr>
          </w:p>
          <w:p w14:paraId="26728FC2">
            <w:pPr>
              <w:spacing w:line="245" w:lineRule="auto"/>
              <w:rPr>
                <w:rFonts w:ascii="Arial"/>
                <w:sz w:val="21"/>
              </w:rPr>
            </w:pPr>
          </w:p>
          <w:p w14:paraId="24F87691">
            <w:pPr>
              <w:spacing w:line="245" w:lineRule="auto"/>
              <w:rPr>
                <w:rFonts w:ascii="Arial"/>
                <w:sz w:val="21"/>
              </w:rPr>
            </w:pPr>
          </w:p>
          <w:p w14:paraId="55CF279B">
            <w:pPr>
              <w:spacing w:line="245" w:lineRule="auto"/>
              <w:rPr>
                <w:rFonts w:ascii="Arial"/>
                <w:sz w:val="21"/>
              </w:rPr>
            </w:pPr>
          </w:p>
          <w:p w14:paraId="3225B001">
            <w:pPr>
              <w:pStyle w:val="6"/>
              <w:spacing w:before="65" w:line="231" w:lineRule="auto"/>
              <w:ind w:left="268"/>
              <w:rPr>
                <w:sz w:val="20"/>
                <w:szCs w:val="20"/>
              </w:rPr>
            </w:pPr>
            <w:r>
              <w:rPr>
                <w:spacing w:val="-4"/>
                <w:sz w:val="20"/>
                <w:szCs w:val="20"/>
              </w:rPr>
              <w:t>已落实</w:t>
            </w:r>
          </w:p>
        </w:tc>
        <w:tc>
          <w:tcPr>
            <w:tcW w:w="4099" w:type="dxa"/>
            <w:tcBorders>
              <w:bottom w:val="single" w:color="000000" w:sz="10" w:space="0"/>
              <w:right w:val="single" w:color="000000" w:sz="10" w:space="0"/>
            </w:tcBorders>
            <w:vAlign w:val="top"/>
          </w:tcPr>
          <w:p w14:paraId="36A1FEB6">
            <w:pPr>
              <w:spacing w:line="305" w:lineRule="auto"/>
              <w:rPr>
                <w:rFonts w:ascii="Arial"/>
                <w:sz w:val="21"/>
              </w:rPr>
            </w:pPr>
          </w:p>
          <w:p w14:paraId="7FBC47CB">
            <w:pPr>
              <w:spacing w:line="305" w:lineRule="auto"/>
              <w:rPr>
                <w:rFonts w:ascii="Arial"/>
                <w:sz w:val="21"/>
              </w:rPr>
            </w:pPr>
          </w:p>
          <w:p w14:paraId="279E0746">
            <w:pPr>
              <w:pStyle w:val="6"/>
              <w:spacing w:before="71" w:line="241" w:lineRule="auto"/>
              <w:ind w:left="69" w:right="40" w:firstLine="1"/>
              <w:jc w:val="both"/>
              <w:rPr>
                <w:sz w:val="20"/>
                <w:szCs w:val="20"/>
              </w:rPr>
            </w:pPr>
            <w:r>
              <w:rPr>
                <w:spacing w:val="3"/>
                <w:sz w:val="20"/>
                <w:szCs w:val="20"/>
              </w:rPr>
              <w:t>蓬东乡永赢建筑石料用灰岩矿、</w:t>
            </w:r>
            <w:r>
              <w:rPr>
                <w:spacing w:val="3"/>
              </w:rPr>
              <w:t>石家镇火石</w:t>
            </w:r>
            <w:r>
              <w:rPr>
                <w:spacing w:val="13"/>
              </w:rPr>
              <w:t xml:space="preserve"> </w:t>
            </w:r>
            <w:r>
              <w:rPr>
                <w:spacing w:val="-2"/>
              </w:rPr>
              <w:t>垭建筑石料用灰岩矿、</w:t>
            </w:r>
            <w:r>
              <w:rPr>
                <w:spacing w:val="-62"/>
              </w:rPr>
              <w:t xml:space="preserve"> </w:t>
            </w:r>
            <w:r>
              <w:rPr>
                <w:spacing w:val="-2"/>
              </w:rPr>
              <w:t>中塘镇兴权村中波</w:t>
            </w:r>
            <w:r>
              <w:t xml:space="preserve"> </w:t>
            </w:r>
            <w:r>
              <w:rPr>
                <w:spacing w:val="2"/>
              </w:rPr>
              <w:t>建筑石料用灰岩矿目前已关闭，</w:t>
            </w:r>
            <w:r>
              <w:rPr>
                <w:spacing w:val="2"/>
                <w:sz w:val="20"/>
                <w:szCs w:val="20"/>
              </w:rPr>
              <w:t>其余</w:t>
            </w:r>
            <w:r>
              <w:rPr>
                <w:spacing w:val="-19"/>
                <w:sz w:val="20"/>
                <w:szCs w:val="20"/>
              </w:rPr>
              <w:t xml:space="preserve"> </w:t>
            </w:r>
            <w:r>
              <w:rPr>
                <w:rFonts w:ascii="Times New Roman" w:hAnsi="Times New Roman" w:eastAsia="Times New Roman" w:cs="Times New Roman"/>
                <w:spacing w:val="2"/>
                <w:sz w:val="20"/>
                <w:szCs w:val="20"/>
              </w:rPr>
              <w:t>3</w:t>
            </w:r>
            <w:r>
              <w:rPr>
                <w:rFonts w:ascii="Times New Roman" w:hAnsi="Times New Roman" w:eastAsia="Times New Roman" w:cs="Times New Roman"/>
                <w:spacing w:val="23"/>
                <w:sz w:val="20"/>
                <w:szCs w:val="20"/>
              </w:rPr>
              <w:t xml:space="preserve"> </w:t>
            </w:r>
            <w:r>
              <w:rPr>
                <w:spacing w:val="2"/>
                <w:sz w:val="20"/>
                <w:szCs w:val="20"/>
              </w:rPr>
              <w:t>家</w:t>
            </w:r>
            <w:r>
              <w:rPr>
                <w:sz w:val="20"/>
                <w:szCs w:val="20"/>
              </w:rPr>
              <w:t xml:space="preserve"> </w:t>
            </w:r>
            <w:r>
              <w:t>水市乡水市村建筑石料用灰岩矿、蓬东乡</w:t>
            </w:r>
            <w:r>
              <w:rPr>
                <w:spacing w:val="12"/>
              </w:rPr>
              <w:t xml:space="preserve"> </w:t>
            </w:r>
            <w:r>
              <w:t>棕树坪建筑石料用灰岩矿、黑溪镇转堡建</w:t>
            </w:r>
            <w:r>
              <w:rPr>
                <w:spacing w:val="12"/>
              </w:rPr>
              <w:t xml:space="preserve"> 筑石料用灰岩矿</w:t>
            </w:r>
            <w:r>
              <w:rPr>
                <w:spacing w:val="12"/>
                <w:sz w:val="20"/>
                <w:szCs w:val="20"/>
              </w:rPr>
              <w:t>落实完成环境污染防治措</w:t>
            </w:r>
            <w:r>
              <w:rPr>
                <w:spacing w:val="14"/>
                <w:sz w:val="20"/>
                <w:szCs w:val="20"/>
              </w:rPr>
              <w:t xml:space="preserve"> </w:t>
            </w:r>
            <w:r>
              <w:rPr>
                <w:spacing w:val="8"/>
                <w:sz w:val="20"/>
                <w:szCs w:val="20"/>
              </w:rPr>
              <w:t>施，并要求企业参照绿色矿山进行管理。</w:t>
            </w:r>
          </w:p>
        </w:tc>
      </w:tr>
    </w:tbl>
    <w:p w14:paraId="0773E6AE">
      <w:pPr>
        <w:pStyle w:val="2"/>
      </w:pPr>
    </w:p>
    <w:p w14:paraId="421601BF">
      <w:pPr>
        <w:sectPr>
          <w:footerReference r:id="rId141" w:type="default"/>
          <w:pgSz w:w="16839" w:h="11906"/>
          <w:pgMar w:top="1116" w:right="1317" w:bottom="1480" w:left="1317" w:header="683" w:footer="1318" w:gutter="0"/>
          <w:cols w:space="720" w:num="1"/>
        </w:sectPr>
      </w:pPr>
    </w:p>
    <w:p w14:paraId="46C394BA">
      <w:pPr>
        <w:spacing w:before="229"/>
      </w:pPr>
    </w:p>
    <w:tbl>
      <w:tblPr>
        <w:tblStyle w:val="5"/>
        <w:tblW w:w="14177"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8"/>
        <w:gridCol w:w="8349"/>
        <w:gridCol w:w="1081"/>
        <w:gridCol w:w="4099"/>
      </w:tblGrid>
      <w:tr w14:paraId="1C01BE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648" w:type="dxa"/>
            <w:tcBorders>
              <w:top w:val="single" w:color="000000" w:sz="10" w:space="0"/>
              <w:left w:val="single" w:color="000000" w:sz="10" w:space="0"/>
            </w:tcBorders>
            <w:textDirection w:val="tbRlV"/>
            <w:vAlign w:val="top"/>
          </w:tcPr>
          <w:p w14:paraId="4F3843B4">
            <w:pPr>
              <w:pStyle w:val="6"/>
              <w:spacing w:before="223" w:line="209" w:lineRule="auto"/>
              <w:ind w:left="35"/>
              <w:rPr>
                <w:sz w:val="20"/>
                <w:szCs w:val="20"/>
              </w:rPr>
            </w:pPr>
            <w:r>
              <w:rPr>
                <w:spacing w:val="13"/>
                <w:sz w:val="20"/>
                <w:szCs w:val="20"/>
              </w:rPr>
              <w:t>序</w:t>
            </w:r>
            <w:r>
              <w:rPr>
                <w:spacing w:val="-40"/>
                <w:sz w:val="20"/>
                <w:szCs w:val="20"/>
              </w:rPr>
              <w:t xml:space="preserve"> </w:t>
            </w:r>
            <w:r>
              <w:rPr>
                <w:spacing w:val="13"/>
                <w:sz w:val="20"/>
                <w:szCs w:val="20"/>
              </w:rPr>
              <w:t>号</w:t>
            </w:r>
          </w:p>
        </w:tc>
        <w:tc>
          <w:tcPr>
            <w:tcW w:w="8349" w:type="dxa"/>
            <w:tcBorders>
              <w:top w:val="single" w:color="000000" w:sz="10" w:space="0"/>
            </w:tcBorders>
            <w:vAlign w:val="top"/>
          </w:tcPr>
          <w:p w14:paraId="4C8BDA4E">
            <w:pPr>
              <w:pStyle w:val="6"/>
              <w:spacing w:before="170" w:line="231" w:lineRule="auto"/>
              <w:ind w:left="3778"/>
              <w:rPr>
                <w:sz w:val="20"/>
                <w:szCs w:val="20"/>
              </w:rPr>
            </w:pPr>
            <w:r>
              <w:rPr>
                <w:spacing w:val="1"/>
                <w:sz w:val="20"/>
                <w:szCs w:val="20"/>
              </w:rPr>
              <w:t>审查意见</w:t>
            </w:r>
          </w:p>
        </w:tc>
        <w:tc>
          <w:tcPr>
            <w:tcW w:w="1081" w:type="dxa"/>
            <w:tcBorders>
              <w:top w:val="single" w:color="000000" w:sz="10" w:space="0"/>
            </w:tcBorders>
            <w:vAlign w:val="top"/>
          </w:tcPr>
          <w:p w14:paraId="72B40B26">
            <w:pPr>
              <w:pStyle w:val="6"/>
              <w:spacing w:before="170" w:line="231" w:lineRule="auto"/>
              <w:ind w:left="146"/>
              <w:rPr>
                <w:sz w:val="20"/>
                <w:szCs w:val="20"/>
              </w:rPr>
            </w:pPr>
            <w:r>
              <w:rPr>
                <w:spacing w:val="3"/>
                <w:sz w:val="20"/>
                <w:szCs w:val="20"/>
              </w:rPr>
              <w:t>落实情况</w:t>
            </w:r>
          </w:p>
        </w:tc>
        <w:tc>
          <w:tcPr>
            <w:tcW w:w="4099" w:type="dxa"/>
            <w:tcBorders>
              <w:top w:val="single" w:color="000000" w:sz="10" w:space="0"/>
              <w:right w:val="single" w:color="000000" w:sz="10" w:space="0"/>
            </w:tcBorders>
            <w:vAlign w:val="top"/>
          </w:tcPr>
          <w:p w14:paraId="0948FFEC">
            <w:pPr>
              <w:pStyle w:val="6"/>
              <w:spacing w:before="170" w:line="232" w:lineRule="auto"/>
              <w:ind w:left="1540"/>
              <w:rPr>
                <w:sz w:val="20"/>
                <w:szCs w:val="20"/>
              </w:rPr>
            </w:pPr>
            <w:r>
              <w:rPr>
                <w:spacing w:val="6"/>
                <w:sz w:val="20"/>
                <w:szCs w:val="20"/>
              </w:rPr>
              <w:t>说明与备注</w:t>
            </w:r>
          </w:p>
        </w:tc>
      </w:tr>
      <w:tr w14:paraId="723DC5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6" w:hRule="atLeast"/>
        </w:trPr>
        <w:tc>
          <w:tcPr>
            <w:tcW w:w="648" w:type="dxa"/>
            <w:tcBorders>
              <w:left w:val="single" w:color="000000" w:sz="10" w:space="0"/>
            </w:tcBorders>
            <w:vAlign w:val="top"/>
          </w:tcPr>
          <w:p w14:paraId="7C6B1553">
            <w:pPr>
              <w:rPr>
                <w:rFonts w:ascii="Arial"/>
                <w:sz w:val="21"/>
              </w:rPr>
            </w:pPr>
          </w:p>
        </w:tc>
        <w:tc>
          <w:tcPr>
            <w:tcW w:w="8349" w:type="dxa"/>
            <w:vAlign w:val="top"/>
          </w:tcPr>
          <w:p w14:paraId="5B5B39CD">
            <w:pPr>
              <w:pStyle w:val="6"/>
              <w:spacing w:before="34" w:line="250" w:lineRule="auto"/>
              <w:ind w:left="54" w:right="115" w:firstLine="5"/>
              <w:rPr>
                <w:sz w:val="20"/>
                <w:szCs w:val="20"/>
              </w:rPr>
            </w:pPr>
            <w:r>
              <w:rPr>
                <w:spacing w:val="9"/>
                <w:sz w:val="20"/>
                <w:szCs w:val="20"/>
              </w:rPr>
              <w:t>关标准。矿山剥离表土、废石妥善处置，实现资源化利用，危险废物依法依规交有资质单</w:t>
            </w:r>
            <w:r>
              <w:rPr>
                <w:spacing w:val="17"/>
                <w:sz w:val="20"/>
                <w:szCs w:val="20"/>
              </w:rPr>
              <w:t xml:space="preserve"> </w:t>
            </w:r>
            <w:r>
              <w:rPr>
                <w:spacing w:val="9"/>
                <w:sz w:val="20"/>
                <w:szCs w:val="20"/>
              </w:rPr>
              <w:t>位处置。做好矿区工业场地分区防渗，强化废石场、弃渣场土壤和地下水污染防治措施。</w:t>
            </w:r>
          </w:p>
        </w:tc>
        <w:tc>
          <w:tcPr>
            <w:tcW w:w="1081" w:type="dxa"/>
            <w:vAlign w:val="top"/>
          </w:tcPr>
          <w:p w14:paraId="18566271">
            <w:pPr>
              <w:rPr>
                <w:rFonts w:ascii="Arial"/>
                <w:sz w:val="21"/>
              </w:rPr>
            </w:pPr>
          </w:p>
        </w:tc>
        <w:tc>
          <w:tcPr>
            <w:tcW w:w="4099" w:type="dxa"/>
            <w:tcBorders>
              <w:right w:val="single" w:color="000000" w:sz="10" w:space="0"/>
            </w:tcBorders>
            <w:vAlign w:val="top"/>
          </w:tcPr>
          <w:p w14:paraId="2FADBF18">
            <w:pPr>
              <w:rPr>
                <w:rFonts w:ascii="Arial"/>
                <w:sz w:val="21"/>
              </w:rPr>
            </w:pPr>
          </w:p>
        </w:tc>
      </w:tr>
      <w:tr w14:paraId="0B309E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7" w:hRule="atLeast"/>
        </w:trPr>
        <w:tc>
          <w:tcPr>
            <w:tcW w:w="648" w:type="dxa"/>
            <w:tcBorders>
              <w:left w:val="single" w:color="000000" w:sz="10" w:space="0"/>
            </w:tcBorders>
            <w:vAlign w:val="top"/>
          </w:tcPr>
          <w:p w14:paraId="63180E70">
            <w:pPr>
              <w:spacing w:line="423" w:lineRule="auto"/>
              <w:rPr>
                <w:rFonts w:ascii="Arial"/>
                <w:sz w:val="21"/>
              </w:rPr>
            </w:pPr>
          </w:p>
          <w:p w14:paraId="37E449A8">
            <w:pPr>
              <w:spacing w:before="58" w:line="195" w:lineRule="auto"/>
              <w:ind w:left="262"/>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8349" w:type="dxa"/>
            <w:vAlign w:val="top"/>
          </w:tcPr>
          <w:p w14:paraId="16A5E10F">
            <w:pPr>
              <w:pStyle w:val="6"/>
              <w:spacing w:before="39" w:line="231" w:lineRule="auto"/>
              <w:ind w:left="58"/>
              <w:rPr>
                <w:sz w:val="20"/>
                <w:szCs w:val="20"/>
              </w:rPr>
            </w:pPr>
            <w:r>
              <w:rPr>
                <w:spacing w:val="7"/>
                <w:sz w:val="20"/>
                <w:szCs w:val="20"/>
              </w:rPr>
              <w:t>（六）强化环境风险防控。</w:t>
            </w:r>
          </w:p>
          <w:p w14:paraId="78CBE8FA">
            <w:pPr>
              <w:pStyle w:val="6"/>
              <w:spacing w:before="19" w:line="236" w:lineRule="auto"/>
              <w:ind w:left="53" w:right="115" w:firstLine="2"/>
              <w:jc w:val="both"/>
              <w:rPr>
                <w:sz w:val="20"/>
                <w:szCs w:val="20"/>
              </w:rPr>
            </w:pPr>
            <w:r>
              <w:rPr>
                <w:spacing w:val="10"/>
                <w:sz w:val="20"/>
                <w:szCs w:val="20"/>
              </w:rPr>
              <w:t>严格落实矿产资源开发各项环境风险防范措施，</w:t>
            </w:r>
            <w:r>
              <w:rPr>
                <w:spacing w:val="9"/>
                <w:sz w:val="20"/>
                <w:szCs w:val="20"/>
              </w:rPr>
              <w:t>防范突发性环境风险事故发生。临近饮用</w:t>
            </w:r>
            <w:r>
              <w:rPr>
                <w:sz w:val="20"/>
                <w:szCs w:val="20"/>
              </w:rPr>
              <w:t xml:space="preserve"> </w:t>
            </w:r>
            <w:r>
              <w:rPr>
                <w:spacing w:val="10"/>
                <w:sz w:val="20"/>
                <w:szCs w:val="20"/>
              </w:rPr>
              <w:t>水水源保护区的采矿区，应严格落实相关废水处理措</w:t>
            </w:r>
            <w:r>
              <w:rPr>
                <w:spacing w:val="9"/>
                <w:sz w:val="20"/>
                <w:szCs w:val="20"/>
              </w:rPr>
              <w:t>施和环境风险防范措施，预防突发性</w:t>
            </w:r>
            <w:r>
              <w:rPr>
                <w:sz w:val="20"/>
                <w:szCs w:val="20"/>
              </w:rPr>
              <w:t xml:space="preserve"> </w:t>
            </w:r>
            <w:r>
              <w:rPr>
                <w:spacing w:val="8"/>
                <w:sz w:val="20"/>
                <w:szCs w:val="20"/>
              </w:rPr>
              <w:t>环境风险事故对饮用水水源保护区造成影响。</w:t>
            </w:r>
          </w:p>
        </w:tc>
        <w:tc>
          <w:tcPr>
            <w:tcW w:w="1081" w:type="dxa"/>
            <w:vAlign w:val="top"/>
          </w:tcPr>
          <w:p w14:paraId="2CDFA9BB">
            <w:pPr>
              <w:spacing w:line="380" w:lineRule="auto"/>
              <w:rPr>
                <w:rFonts w:ascii="Arial"/>
                <w:sz w:val="21"/>
              </w:rPr>
            </w:pPr>
          </w:p>
          <w:p w14:paraId="31D82562">
            <w:pPr>
              <w:pStyle w:val="6"/>
              <w:spacing w:before="65" w:line="231" w:lineRule="auto"/>
              <w:ind w:left="268"/>
              <w:rPr>
                <w:sz w:val="20"/>
                <w:szCs w:val="20"/>
              </w:rPr>
            </w:pPr>
            <w:r>
              <w:rPr>
                <w:spacing w:val="-4"/>
                <w:sz w:val="20"/>
                <w:szCs w:val="20"/>
              </w:rPr>
              <w:t>已落实</w:t>
            </w:r>
          </w:p>
        </w:tc>
        <w:tc>
          <w:tcPr>
            <w:tcW w:w="4099" w:type="dxa"/>
            <w:tcBorders>
              <w:right w:val="single" w:color="000000" w:sz="10" w:space="0"/>
            </w:tcBorders>
            <w:vAlign w:val="top"/>
          </w:tcPr>
          <w:p w14:paraId="443A7372">
            <w:pPr>
              <w:spacing w:line="380" w:lineRule="auto"/>
              <w:rPr>
                <w:rFonts w:ascii="Arial"/>
                <w:sz w:val="21"/>
              </w:rPr>
            </w:pPr>
          </w:p>
          <w:p w14:paraId="7A463C3D">
            <w:pPr>
              <w:pStyle w:val="6"/>
              <w:spacing w:before="65" w:line="231" w:lineRule="auto"/>
              <w:ind w:left="69"/>
              <w:rPr>
                <w:sz w:val="20"/>
                <w:szCs w:val="20"/>
              </w:rPr>
            </w:pPr>
            <w:r>
              <w:rPr>
                <w:spacing w:val="8"/>
                <w:sz w:val="20"/>
                <w:szCs w:val="20"/>
              </w:rPr>
              <w:t>投放矿权已强化环境风险管控措施。</w:t>
            </w:r>
          </w:p>
        </w:tc>
      </w:tr>
      <w:tr w14:paraId="08F18D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3" w:hRule="atLeast"/>
        </w:trPr>
        <w:tc>
          <w:tcPr>
            <w:tcW w:w="648" w:type="dxa"/>
            <w:tcBorders>
              <w:left w:val="single" w:color="000000" w:sz="10" w:space="0"/>
              <w:bottom w:val="single" w:color="000000" w:sz="10" w:space="0"/>
            </w:tcBorders>
            <w:vAlign w:val="top"/>
          </w:tcPr>
          <w:p w14:paraId="6BC5EB44">
            <w:pPr>
              <w:spacing w:line="352" w:lineRule="auto"/>
              <w:rPr>
                <w:rFonts w:ascii="Arial"/>
                <w:sz w:val="21"/>
              </w:rPr>
            </w:pPr>
          </w:p>
          <w:p w14:paraId="58CE9761">
            <w:pPr>
              <w:spacing w:line="353" w:lineRule="auto"/>
              <w:rPr>
                <w:rFonts w:ascii="Arial"/>
                <w:sz w:val="21"/>
              </w:rPr>
            </w:pPr>
          </w:p>
          <w:p w14:paraId="59EA91A3">
            <w:pPr>
              <w:spacing w:before="58" w:line="192" w:lineRule="auto"/>
              <w:ind w:left="261"/>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8349" w:type="dxa"/>
            <w:tcBorders>
              <w:bottom w:val="single" w:color="000000" w:sz="10" w:space="0"/>
            </w:tcBorders>
            <w:vAlign w:val="top"/>
          </w:tcPr>
          <w:p w14:paraId="232635D2">
            <w:pPr>
              <w:pStyle w:val="6"/>
              <w:spacing w:before="47" w:line="231" w:lineRule="auto"/>
              <w:ind w:left="58"/>
              <w:rPr>
                <w:sz w:val="20"/>
                <w:szCs w:val="20"/>
              </w:rPr>
            </w:pPr>
            <w:r>
              <w:rPr>
                <w:spacing w:val="6"/>
                <w:sz w:val="20"/>
                <w:szCs w:val="20"/>
              </w:rPr>
              <w:t>（七）规范环境管理。</w:t>
            </w:r>
          </w:p>
          <w:p w14:paraId="2C264FE9">
            <w:pPr>
              <w:pStyle w:val="6"/>
              <w:spacing w:before="18" w:line="245" w:lineRule="auto"/>
              <w:ind w:left="53" w:right="115"/>
              <w:rPr>
                <w:sz w:val="20"/>
                <w:szCs w:val="20"/>
              </w:rPr>
            </w:pPr>
            <w:r>
              <w:rPr>
                <w:spacing w:val="8"/>
                <w:sz w:val="20"/>
                <w:szCs w:val="20"/>
              </w:rPr>
              <w:t>《规划》</w:t>
            </w:r>
            <w:r>
              <w:rPr>
                <w:spacing w:val="-38"/>
                <w:sz w:val="20"/>
                <w:szCs w:val="20"/>
              </w:rPr>
              <w:t xml:space="preserve"> </w:t>
            </w:r>
            <w:r>
              <w:rPr>
                <w:spacing w:val="8"/>
                <w:sz w:val="20"/>
                <w:szCs w:val="20"/>
              </w:rPr>
              <w:t>中所含建设项目应结合规划环评提出的指导意见和管控要求做好环境影响评价工</w:t>
            </w:r>
            <w:r>
              <w:rPr>
                <w:sz w:val="20"/>
                <w:szCs w:val="20"/>
              </w:rPr>
              <w:t xml:space="preserve"> </w:t>
            </w:r>
            <w:r>
              <w:rPr>
                <w:spacing w:val="10"/>
                <w:sz w:val="20"/>
                <w:szCs w:val="20"/>
              </w:rPr>
              <w:t>作，加强与规划环评的联动，重点评价项目建设对区</w:t>
            </w:r>
            <w:r>
              <w:rPr>
                <w:spacing w:val="9"/>
                <w:sz w:val="20"/>
                <w:szCs w:val="20"/>
              </w:rPr>
              <w:t>域生态系统、水环境、土壤环境等环</w:t>
            </w:r>
            <w:r>
              <w:rPr>
                <w:sz w:val="20"/>
                <w:szCs w:val="20"/>
              </w:rPr>
              <w:t xml:space="preserve"> </w:t>
            </w:r>
            <w:r>
              <w:rPr>
                <w:spacing w:val="10"/>
                <w:sz w:val="20"/>
                <w:szCs w:val="20"/>
              </w:rPr>
              <w:t>境影响的途径、范围和程度，深入论证生态修复工程</w:t>
            </w:r>
            <w:r>
              <w:rPr>
                <w:spacing w:val="9"/>
                <w:sz w:val="20"/>
                <w:szCs w:val="20"/>
              </w:rPr>
              <w:t>、环境保护措施及环境风险防范措施</w:t>
            </w:r>
            <w:r>
              <w:rPr>
                <w:sz w:val="20"/>
                <w:szCs w:val="20"/>
              </w:rPr>
              <w:t xml:space="preserve"> </w:t>
            </w:r>
            <w:r>
              <w:rPr>
                <w:spacing w:val="10"/>
                <w:sz w:val="20"/>
                <w:szCs w:val="20"/>
              </w:rPr>
              <w:t>的可行性。规划环评文件中相关规划和产业政策符合</w:t>
            </w:r>
            <w:r>
              <w:rPr>
                <w:spacing w:val="9"/>
                <w:sz w:val="20"/>
                <w:szCs w:val="20"/>
              </w:rPr>
              <w:t>性分析已明确的，项目环评可简化。</w:t>
            </w:r>
            <w:r>
              <w:rPr>
                <w:sz w:val="20"/>
                <w:szCs w:val="20"/>
              </w:rPr>
              <w:t xml:space="preserve"> </w:t>
            </w:r>
            <w:r>
              <w:rPr>
                <w:spacing w:val="9"/>
                <w:sz w:val="20"/>
                <w:szCs w:val="20"/>
              </w:rPr>
              <w:t>规划修编时或新一轮规划启动时应重新编制环境影响报告书。</w:t>
            </w:r>
          </w:p>
        </w:tc>
        <w:tc>
          <w:tcPr>
            <w:tcW w:w="1081" w:type="dxa"/>
            <w:tcBorders>
              <w:bottom w:val="single" w:color="000000" w:sz="10" w:space="0"/>
            </w:tcBorders>
            <w:vAlign w:val="top"/>
          </w:tcPr>
          <w:p w14:paraId="58E4FD9C">
            <w:pPr>
              <w:spacing w:line="279" w:lineRule="auto"/>
              <w:rPr>
                <w:rFonts w:ascii="Arial"/>
                <w:sz w:val="21"/>
              </w:rPr>
            </w:pPr>
          </w:p>
          <w:p w14:paraId="7B6371E6">
            <w:pPr>
              <w:spacing w:line="280" w:lineRule="auto"/>
              <w:rPr>
                <w:rFonts w:ascii="Arial"/>
                <w:sz w:val="21"/>
              </w:rPr>
            </w:pPr>
          </w:p>
          <w:p w14:paraId="6157FA4A">
            <w:pPr>
              <w:pStyle w:val="6"/>
              <w:spacing w:before="65" w:line="231" w:lineRule="auto"/>
              <w:ind w:left="268"/>
              <w:rPr>
                <w:sz w:val="20"/>
                <w:szCs w:val="20"/>
              </w:rPr>
            </w:pPr>
            <w:r>
              <w:rPr>
                <w:spacing w:val="-4"/>
                <w:sz w:val="20"/>
                <w:szCs w:val="20"/>
              </w:rPr>
              <w:t>已落实</w:t>
            </w:r>
          </w:p>
        </w:tc>
        <w:tc>
          <w:tcPr>
            <w:tcW w:w="4099" w:type="dxa"/>
            <w:tcBorders>
              <w:bottom w:val="single" w:color="000000" w:sz="10" w:space="0"/>
              <w:right w:val="single" w:color="000000" w:sz="10" w:space="0"/>
            </w:tcBorders>
            <w:vAlign w:val="top"/>
          </w:tcPr>
          <w:p w14:paraId="34DCC97B">
            <w:pPr>
              <w:pStyle w:val="6"/>
              <w:spacing w:before="50" w:line="245" w:lineRule="auto"/>
              <w:ind w:left="69" w:right="43"/>
              <w:jc w:val="both"/>
              <w:rPr>
                <w:sz w:val="20"/>
                <w:szCs w:val="20"/>
              </w:rPr>
            </w:pPr>
            <w:r>
              <w:rPr>
                <w:spacing w:val="9"/>
                <w:sz w:val="20"/>
                <w:szCs w:val="20"/>
              </w:rPr>
              <w:t>新投放矿权均按照要求进行环境影响评价，</w:t>
            </w:r>
            <w:r>
              <w:rPr>
                <w:sz w:val="20"/>
                <w:szCs w:val="20"/>
              </w:rPr>
              <w:t xml:space="preserve"> </w:t>
            </w:r>
            <w:r>
              <w:rPr>
                <w:spacing w:val="6"/>
                <w:sz w:val="20"/>
                <w:szCs w:val="20"/>
              </w:rPr>
              <w:t>《规划》在实施过程中，</w:t>
            </w:r>
            <w:r>
              <w:rPr>
                <w:spacing w:val="-44"/>
                <w:sz w:val="20"/>
                <w:szCs w:val="20"/>
              </w:rPr>
              <w:t xml:space="preserve"> </w:t>
            </w:r>
            <w:r>
              <w:rPr>
                <w:spacing w:val="6"/>
                <w:sz w:val="20"/>
                <w:szCs w:val="20"/>
              </w:rPr>
              <w:t>当前部分区块进行</w:t>
            </w:r>
            <w:r>
              <w:rPr>
                <w:sz w:val="20"/>
                <w:szCs w:val="20"/>
              </w:rPr>
              <w:t xml:space="preserve"> </w:t>
            </w:r>
            <w:r>
              <w:rPr>
                <w:spacing w:val="9"/>
                <w:sz w:val="20"/>
                <w:szCs w:val="20"/>
              </w:rPr>
              <w:t>了调整，正在按规定开展环境影响评价。本</w:t>
            </w:r>
            <w:r>
              <w:rPr>
                <w:sz w:val="20"/>
                <w:szCs w:val="20"/>
              </w:rPr>
              <w:t xml:space="preserve"> </w:t>
            </w:r>
            <w:r>
              <w:rPr>
                <w:spacing w:val="6"/>
                <w:sz w:val="20"/>
                <w:szCs w:val="20"/>
              </w:rPr>
              <w:t>次规划调整，与最新自然保护地、</w:t>
            </w:r>
            <w:r>
              <w:rPr>
                <w:spacing w:val="-44"/>
                <w:sz w:val="20"/>
                <w:szCs w:val="20"/>
              </w:rPr>
              <w:t xml:space="preserve"> </w:t>
            </w:r>
            <w:r>
              <w:rPr>
                <w:spacing w:val="6"/>
                <w:sz w:val="20"/>
                <w:szCs w:val="20"/>
              </w:rPr>
              <w:t>国土空间</w:t>
            </w:r>
            <w:r>
              <w:rPr>
                <w:sz w:val="20"/>
                <w:szCs w:val="20"/>
              </w:rPr>
              <w:t xml:space="preserve"> </w:t>
            </w:r>
            <w:r>
              <w:rPr>
                <w:spacing w:val="8"/>
                <w:sz w:val="20"/>
                <w:szCs w:val="20"/>
              </w:rPr>
              <w:t>规划进行了衔接，严格落实了相应的管控要</w:t>
            </w:r>
            <w:r>
              <w:rPr>
                <w:spacing w:val="17"/>
                <w:sz w:val="20"/>
                <w:szCs w:val="20"/>
              </w:rPr>
              <w:t xml:space="preserve"> </w:t>
            </w:r>
            <w:r>
              <w:rPr>
                <w:spacing w:val="-3"/>
                <w:sz w:val="20"/>
                <w:szCs w:val="20"/>
              </w:rPr>
              <w:t>求。</w:t>
            </w:r>
          </w:p>
        </w:tc>
      </w:tr>
    </w:tbl>
    <w:p w14:paraId="146663FF">
      <w:pPr>
        <w:pStyle w:val="2"/>
      </w:pPr>
    </w:p>
    <w:p w14:paraId="13EA385B">
      <w:pPr>
        <w:sectPr>
          <w:footerReference r:id="rId142" w:type="default"/>
          <w:pgSz w:w="16839" w:h="11906"/>
          <w:pgMar w:top="1116" w:right="1317" w:bottom="1480" w:left="1317" w:header="683" w:footer="1318" w:gutter="0"/>
          <w:cols w:space="720" w:num="1"/>
        </w:sectPr>
      </w:pPr>
    </w:p>
    <w:p w14:paraId="39B9BFD0">
      <w:pPr>
        <w:pStyle w:val="2"/>
        <w:spacing w:line="385" w:lineRule="auto"/>
      </w:pPr>
    </w:p>
    <w:p w14:paraId="069F47B8">
      <w:pPr>
        <w:spacing w:before="82" w:line="229" w:lineRule="auto"/>
        <w:ind w:left="114"/>
        <w:outlineLvl w:val="3"/>
        <w:rPr>
          <w:rFonts w:ascii="仿宋" w:hAnsi="仿宋" w:eastAsia="仿宋" w:cs="仿宋"/>
          <w:sz w:val="25"/>
          <w:szCs w:val="25"/>
        </w:rPr>
      </w:pPr>
      <w:r>
        <w:rPr>
          <w:rFonts w:ascii="Times New Roman" w:hAnsi="Times New Roman" w:eastAsia="Times New Roman" w:cs="Times New Roman"/>
          <w:b/>
          <w:bCs/>
          <w:spacing w:val="5"/>
          <w:sz w:val="25"/>
          <w:szCs w:val="25"/>
        </w:rPr>
        <w:t>3.2.2.2</w:t>
      </w:r>
      <w:r>
        <w:rPr>
          <w:rFonts w:ascii="Times New Roman" w:hAnsi="Times New Roman" w:eastAsia="Times New Roman" w:cs="Times New Roman"/>
          <w:b/>
          <w:bCs/>
          <w:spacing w:val="22"/>
          <w:sz w:val="25"/>
          <w:szCs w:val="25"/>
        </w:rPr>
        <w:t xml:space="preserve"> </w:t>
      </w:r>
      <w:r>
        <w:rPr>
          <w:rFonts w:ascii="仿宋" w:hAnsi="仿宋" w:eastAsia="仿宋" w:cs="仿宋"/>
          <w:b/>
          <w:bCs/>
          <w:spacing w:val="5"/>
          <w:sz w:val="25"/>
          <w:szCs w:val="25"/>
        </w:rPr>
        <w:t>环境管理落实情况调查</w:t>
      </w:r>
    </w:p>
    <w:p w14:paraId="622219F2">
      <w:pPr>
        <w:spacing w:before="270" w:line="228" w:lineRule="auto"/>
        <w:ind w:left="652"/>
        <w:rPr>
          <w:rFonts w:ascii="仿宋" w:hAnsi="仿宋" w:eastAsia="仿宋" w:cs="仿宋"/>
          <w:sz w:val="25"/>
          <w:szCs w:val="25"/>
        </w:rPr>
      </w:pPr>
      <w:r>
        <w:rPr>
          <w:rFonts w:ascii="仿宋" w:hAnsi="仿宋" w:eastAsia="仿宋" w:cs="仿宋"/>
          <w:spacing w:val="9"/>
          <w:sz w:val="25"/>
          <w:szCs w:val="25"/>
        </w:rPr>
        <w:t>（</w:t>
      </w:r>
      <w:r>
        <w:rPr>
          <w:rFonts w:ascii="Times New Roman" w:hAnsi="Times New Roman" w:eastAsia="Times New Roman" w:cs="Times New Roman"/>
          <w:spacing w:val="9"/>
          <w:sz w:val="25"/>
          <w:szCs w:val="25"/>
        </w:rPr>
        <w:t>1</w:t>
      </w:r>
      <w:r>
        <w:rPr>
          <w:rFonts w:ascii="仿宋" w:hAnsi="仿宋" w:eastAsia="仿宋" w:cs="仿宋"/>
          <w:spacing w:val="9"/>
          <w:sz w:val="25"/>
          <w:szCs w:val="25"/>
        </w:rPr>
        <w:t>）规划包括的建设项目环评、竣工验收等制度</w:t>
      </w:r>
      <w:r>
        <w:rPr>
          <w:rFonts w:ascii="仿宋" w:hAnsi="仿宋" w:eastAsia="仿宋" w:cs="仿宋"/>
          <w:spacing w:val="8"/>
          <w:sz w:val="25"/>
          <w:szCs w:val="25"/>
        </w:rPr>
        <w:t>执行情况</w:t>
      </w:r>
    </w:p>
    <w:p w14:paraId="158B3A87">
      <w:pPr>
        <w:spacing w:before="150" w:line="340" w:lineRule="auto"/>
        <w:ind w:left="129" w:right="111" w:firstLine="519"/>
        <w:rPr>
          <w:rFonts w:ascii="仿宋" w:hAnsi="仿宋" w:eastAsia="仿宋" w:cs="仿宋"/>
          <w:sz w:val="25"/>
          <w:szCs w:val="25"/>
        </w:rPr>
      </w:pPr>
      <w:r>
        <w:rPr>
          <w:rFonts w:ascii="仿宋" w:hAnsi="仿宋" w:eastAsia="仿宋" w:cs="仿宋"/>
          <w:spacing w:val="2"/>
          <w:sz w:val="25"/>
          <w:szCs w:val="25"/>
        </w:rPr>
        <w:t>据调查，截止</w:t>
      </w:r>
      <w:r>
        <w:rPr>
          <w:rFonts w:ascii="仿宋" w:hAnsi="仿宋" w:eastAsia="仿宋" w:cs="仿宋"/>
          <w:spacing w:val="-54"/>
          <w:sz w:val="25"/>
          <w:szCs w:val="25"/>
        </w:rPr>
        <w:t xml:space="preserve"> </w:t>
      </w:r>
      <w:r>
        <w:rPr>
          <w:rFonts w:ascii="Times New Roman" w:hAnsi="Times New Roman" w:eastAsia="Times New Roman" w:cs="Times New Roman"/>
          <w:spacing w:val="2"/>
          <w:sz w:val="25"/>
          <w:szCs w:val="25"/>
        </w:rPr>
        <w:t>2024</w:t>
      </w:r>
      <w:r>
        <w:rPr>
          <w:rFonts w:ascii="Times New Roman" w:hAnsi="Times New Roman" w:eastAsia="Times New Roman" w:cs="Times New Roman"/>
          <w:spacing w:val="24"/>
          <w:w w:val="101"/>
          <w:sz w:val="25"/>
          <w:szCs w:val="25"/>
        </w:rPr>
        <w:t xml:space="preserve"> </w:t>
      </w:r>
      <w:r>
        <w:rPr>
          <w:rFonts w:ascii="仿宋" w:hAnsi="仿宋" w:eastAsia="仿宋" w:cs="仿宋"/>
          <w:spacing w:val="2"/>
          <w:sz w:val="25"/>
          <w:szCs w:val="25"/>
        </w:rPr>
        <w:t>年</w:t>
      </w:r>
      <w:r>
        <w:rPr>
          <w:rFonts w:ascii="仿宋" w:hAnsi="仿宋" w:eastAsia="仿宋" w:cs="仿宋"/>
          <w:spacing w:val="-28"/>
          <w:sz w:val="25"/>
          <w:szCs w:val="25"/>
        </w:rPr>
        <w:t xml:space="preserve"> </w:t>
      </w:r>
      <w:r>
        <w:rPr>
          <w:rFonts w:ascii="Times New Roman" w:hAnsi="Times New Roman" w:eastAsia="Times New Roman" w:cs="Times New Roman"/>
          <w:spacing w:val="2"/>
          <w:sz w:val="25"/>
          <w:szCs w:val="25"/>
        </w:rPr>
        <w:t>12</w:t>
      </w:r>
      <w:r>
        <w:rPr>
          <w:rFonts w:ascii="Times New Roman" w:hAnsi="Times New Roman" w:eastAsia="Times New Roman" w:cs="Times New Roman"/>
          <w:spacing w:val="32"/>
          <w:w w:val="101"/>
          <w:sz w:val="25"/>
          <w:szCs w:val="25"/>
        </w:rPr>
        <w:t xml:space="preserve"> </w:t>
      </w:r>
      <w:r>
        <w:rPr>
          <w:rFonts w:ascii="仿宋" w:hAnsi="仿宋" w:eastAsia="仿宋" w:cs="仿宋"/>
          <w:spacing w:val="2"/>
          <w:sz w:val="25"/>
          <w:szCs w:val="25"/>
        </w:rPr>
        <w:t>月，全区共有矿山企业</w:t>
      </w:r>
      <w:r>
        <w:rPr>
          <w:rFonts w:ascii="仿宋" w:hAnsi="仿宋" w:eastAsia="仿宋" w:cs="仿宋"/>
          <w:spacing w:val="-30"/>
          <w:sz w:val="25"/>
          <w:szCs w:val="25"/>
        </w:rPr>
        <w:t xml:space="preserve"> </w:t>
      </w:r>
      <w:r>
        <w:rPr>
          <w:rFonts w:ascii="Times New Roman" w:hAnsi="Times New Roman" w:eastAsia="Times New Roman" w:cs="Times New Roman"/>
          <w:spacing w:val="2"/>
          <w:sz w:val="25"/>
          <w:szCs w:val="25"/>
        </w:rPr>
        <w:t>14</w:t>
      </w:r>
      <w:r>
        <w:rPr>
          <w:rFonts w:ascii="Times New Roman" w:hAnsi="Times New Roman" w:eastAsia="Times New Roman" w:cs="Times New Roman"/>
          <w:spacing w:val="23"/>
          <w:sz w:val="25"/>
          <w:szCs w:val="25"/>
        </w:rPr>
        <w:t xml:space="preserve"> </w:t>
      </w:r>
      <w:r>
        <w:rPr>
          <w:rFonts w:ascii="仿宋" w:hAnsi="仿宋" w:eastAsia="仿宋" w:cs="仿宋"/>
          <w:spacing w:val="2"/>
          <w:sz w:val="25"/>
          <w:szCs w:val="25"/>
        </w:rPr>
        <w:t>家，其</w:t>
      </w:r>
      <w:r>
        <w:rPr>
          <w:rFonts w:ascii="仿宋" w:hAnsi="仿宋" w:eastAsia="仿宋" w:cs="仿宋"/>
          <w:spacing w:val="1"/>
          <w:sz w:val="25"/>
          <w:szCs w:val="25"/>
        </w:rPr>
        <w:t>中有</w:t>
      </w:r>
      <w:r>
        <w:rPr>
          <w:rFonts w:ascii="Times New Roman" w:hAnsi="Times New Roman" w:eastAsia="Times New Roman" w:cs="Times New Roman"/>
          <w:spacing w:val="1"/>
          <w:sz w:val="25"/>
          <w:szCs w:val="25"/>
        </w:rPr>
        <w:t>9</w:t>
      </w:r>
      <w:r>
        <w:rPr>
          <w:rFonts w:ascii="Times New Roman" w:hAnsi="Times New Roman" w:eastAsia="Times New Roman" w:cs="Times New Roman"/>
          <w:spacing w:val="22"/>
          <w:sz w:val="25"/>
          <w:szCs w:val="25"/>
        </w:rPr>
        <w:t xml:space="preserve"> </w:t>
      </w:r>
      <w:r>
        <w:rPr>
          <w:rFonts w:ascii="仿宋" w:hAnsi="仿宋" w:eastAsia="仿宋" w:cs="仿宋"/>
          <w:spacing w:val="1"/>
          <w:sz w:val="25"/>
          <w:szCs w:val="25"/>
        </w:rPr>
        <w:t>家正在开</w:t>
      </w:r>
      <w:r>
        <w:rPr>
          <w:rFonts w:ascii="仿宋" w:hAnsi="仿宋" w:eastAsia="仿宋" w:cs="仿宋"/>
          <w:sz w:val="25"/>
          <w:szCs w:val="25"/>
        </w:rPr>
        <w:t xml:space="preserve"> </w:t>
      </w:r>
      <w:r>
        <w:rPr>
          <w:rFonts w:ascii="仿宋" w:hAnsi="仿宋" w:eastAsia="仿宋" w:cs="仿宋"/>
          <w:spacing w:val="8"/>
          <w:sz w:val="25"/>
          <w:szCs w:val="25"/>
        </w:rPr>
        <w:t>采，有</w:t>
      </w:r>
      <w:r>
        <w:rPr>
          <w:rFonts w:ascii="仿宋" w:hAnsi="仿宋" w:eastAsia="仿宋" w:cs="仿宋"/>
          <w:spacing w:val="-56"/>
          <w:sz w:val="25"/>
          <w:szCs w:val="25"/>
        </w:rPr>
        <w:t xml:space="preserve"> </w:t>
      </w:r>
      <w:r>
        <w:rPr>
          <w:rFonts w:ascii="Times New Roman" w:hAnsi="Times New Roman" w:eastAsia="Times New Roman" w:cs="Times New Roman"/>
          <w:spacing w:val="8"/>
          <w:sz w:val="25"/>
          <w:szCs w:val="25"/>
        </w:rPr>
        <w:t>4</w:t>
      </w:r>
      <w:r>
        <w:rPr>
          <w:rFonts w:ascii="Times New Roman" w:hAnsi="Times New Roman" w:eastAsia="Times New Roman" w:cs="Times New Roman"/>
          <w:spacing w:val="25"/>
          <w:sz w:val="25"/>
          <w:szCs w:val="25"/>
        </w:rPr>
        <w:t xml:space="preserve"> </w:t>
      </w:r>
      <w:r>
        <w:rPr>
          <w:rFonts w:ascii="仿宋" w:hAnsi="仿宋" w:eastAsia="仿宋" w:cs="仿宋"/>
          <w:spacing w:val="8"/>
          <w:sz w:val="25"/>
          <w:szCs w:val="25"/>
        </w:rPr>
        <w:t>家未建设，</w:t>
      </w:r>
      <w:r>
        <w:rPr>
          <w:rFonts w:ascii="Times New Roman" w:hAnsi="Times New Roman" w:eastAsia="Times New Roman" w:cs="Times New Roman"/>
          <w:spacing w:val="8"/>
          <w:sz w:val="25"/>
          <w:szCs w:val="25"/>
        </w:rPr>
        <w:t>1</w:t>
      </w:r>
      <w:r>
        <w:rPr>
          <w:rFonts w:ascii="Times New Roman" w:hAnsi="Times New Roman" w:eastAsia="Times New Roman" w:cs="Times New Roman"/>
          <w:spacing w:val="22"/>
          <w:w w:val="101"/>
          <w:sz w:val="25"/>
          <w:szCs w:val="25"/>
        </w:rPr>
        <w:t xml:space="preserve"> </w:t>
      </w:r>
      <w:r>
        <w:rPr>
          <w:rFonts w:ascii="仿宋" w:hAnsi="仿宋" w:eastAsia="仿宋" w:cs="仿宋"/>
          <w:spacing w:val="8"/>
          <w:sz w:val="25"/>
          <w:szCs w:val="25"/>
        </w:rPr>
        <w:t>家正在建设中，全部办理了环评</w:t>
      </w:r>
      <w:r>
        <w:rPr>
          <w:rFonts w:ascii="仿宋" w:hAnsi="仿宋" w:eastAsia="仿宋" w:cs="仿宋"/>
          <w:spacing w:val="7"/>
          <w:sz w:val="25"/>
          <w:szCs w:val="25"/>
        </w:rPr>
        <w:t>审批手续，开采中的均</w:t>
      </w:r>
      <w:r>
        <w:rPr>
          <w:rFonts w:ascii="仿宋" w:hAnsi="仿宋" w:eastAsia="仿宋" w:cs="仿宋"/>
          <w:sz w:val="25"/>
          <w:szCs w:val="25"/>
        </w:rPr>
        <w:t xml:space="preserve"> </w:t>
      </w:r>
      <w:r>
        <w:rPr>
          <w:rFonts w:ascii="仿宋" w:hAnsi="仿宋" w:eastAsia="仿宋" w:cs="仿宋"/>
          <w:spacing w:val="6"/>
          <w:sz w:val="25"/>
          <w:szCs w:val="25"/>
        </w:rPr>
        <w:t>办理了环保竣工验收手续，详见表</w:t>
      </w:r>
      <w:r>
        <w:rPr>
          <w:rFonts w:ascii="仿宋" w:hAnsi="仿宋" w:eastAsia="仿宋" w:cs="仿宋"/>
          <w:spacing w:val="-39"/>
          <w:sz w:val="25"/>
          <w:szCs w:val="25"/>
        </w:rPr>
        <w:t xml:space="preserve"> </w:t>
      </w:r>
      <w:r>
        <w:rPr>
          <w:rFonts w:ascii="Times New Roman" w:hAnsi="Times New Roman" w:eastAsia="Times New Roman" w:cs="Times New Roman"/>
          <w:spacing w:val="6"/>
          <w:sz w:val="25"/>
          <w:szCs w:val="25"/>
        </w:rPr>
        <w:t>3.2-10</w:t>
      </w:r>
      <w:r>
        <w:rPr>
          <w:rFonts w:ascii="仿宋" w:hAnsi="仿宋" w:eastAsia="仿宋" w:cs="仿宋"/>
          <w:spacing w:val="6"/>
          <w:sz w:val="25"/>
          <w:szCs w:val="25"/>
        </w:rPr>
        <w:t>。</w:t>
      </w:r>
    </w:p>
    <w:p w14:paraId="7678B96C">
      <w:pPr>
        <w:spacing w:before="41" w:line="231" w:lineRule="auto"/>
        <w:ind w:left="2736"/>
        <w:rPr>
          <w:rFonts w:ascii="仿宋" w:hAnsi="仿宋" w:eastAsia="仿宋" w:cs="仿宋"/>
          <w:sz w:val="20"/>
          <w:szCs w:val="20"/>
        </w:rPr>
      </w:pPr>
      <w:r>
        <w:rPr>
          <w:rFonts w:ascii="Times New Roman" w:hAnsi="Times New Roman" w:eastAsia="Times New Roman" w:cs="Times New Roman"/>
          <w:b/>
          <w:bCs/>
          <w:spacing w:val="7"/>
          <w:sz w:val="20"/>
          <w:szCs w:val="20"/>
        </w:rPr>
        <w:t xml:space="preserve">3.2-10  </w:t>
      </w:r>
      <w:r>
        <w:rPr>
          <w:rFonts w:ascii="仿宋" w:hAnsi="仿宋" w:eastAsia="仿宋" w:cs="仿宋"/>
          <w:b/>
          <w:bCs/>
          <w:spacing w:val="7"/>
          <w:sz w:val="20"/>
          <w:szCs w:val="20"/>
        </w:rPr>
        <w:t>黔江区现有矿山环评审批</w:t>
      </w:r>
      <w:r>
        <w:rPr>
          <w:rFonts w:ascii="仿宋" w:hAnsi="仿宋" w:eastAsia="仿宋" w:cs="仿宋"/>
          <w:b/>
          <w:bCs/>
          <w:spacing w:val="6"/>
          <w:sz w:val="20"/>
          <w:szCs w:val="20"/>
        </w:rPr>
        <w:t>及验收情况</w:t>
      </w:r>
    </w:p>
    <w:p w14:paraId="719D0EC7">
      <w:pPr>
        <w:spacing w:line="22" w:lineRule="exact"/>
      </w:pPr>
    </w:p>
    <w:tbl>
      <w:tblPr>
        <w:tblStyle w:val="5"/>
        <w:tblW w:w="906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2"/>
        <w:gridCol w:w="1135"/>
        <w:gridCol w:w="2365"/>
        <w:gridCol w:w="1171"/>
        <w:gridCol w:w="1962"/>
        <w:gridCol w:w="885"/>
        <w:gridCol w:w="1100"/>
      </w:tblGrid>
      <w:tr w14:paraId="07AFFA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42" w:type="dxa"/>
            <w:textDirection w:val="tbRlV"/>
            <w:vAlign w:val="top"/>
          </w:tcPr>
          <w:p w14:paraId="2598E37A">
            <w:pPr>
              <w:pStyle w:val="6"/>
              <w:spacing w:before="115" w:line="209" w:lineRule="auto"/>
              <w:ind w:left="37"/>
              <w:rPr>
                <w:sz w:val="20"/>
                <w:szCs w:val="20"/>
              </w:rPr>
            </w:pPr>
            <w:r>
              <w:rPr>
                <w:b/>
                <w:bCs/>
                <w:spacing w:val="11"/>
                <w:sz w:val="20"/>
                <w:szCs w:val="20"/>
              </w:rPr>
              <w:t>序</w:t>
            </w:r>
            <w:r>
              <w:rPr>
                <w:spacing w:val="-43"/>
                <w:sz w:val="20"/>
                <w:szCs w:val="20"/>
              </w:rPr>
              <w:t xml:space="preserve"> </w:t>
            </w:r>
            <w:r>
              <w:rPr>
                <w:b/>
                <w:bCs/>
                <w:spacing w:val="11"/>
                <w:sz w:val="20"/>
                <w:szCs w:val="20"/>
              </w:rPr>
              <w:t>号</w:t>
            </w:r>
          </w:p>
        </w:tc>
        <w:tc>
          <w:tcPr>
            <w:tcW w:w="1135" w:type="dxa"/>
            <w:vAlign w:val="top"/>
          </w:tcPr>
          <w:p w14:paraId="0C7B9700">
            <w:pPr>
              <w:pStyle w:val="6"/>
              <w:spacing w:before="37" w:line="234" w:lineRule="auto"/>
              <w:ind w:left="262" w:right="146" w:hanging="102"/>
              <w:rPr>
                <w:sz w:val="20"/>
                <w:szCs w:val="20"/>
              </w:rPr>
            </w:pPr>
            <w:r>
              <w:rPr>
                <w:b/>
                <w:bCs/>
                <w:spacing w:val="3"/>
                <w:sz w:val="20"/>
                <w:szCs w:val="20"/>
              </w:rPr>
              <w:t>十四五规</w:t>
            </w:r>
            <w:r>
              <w:rPr>
                <w:spacing w:val="1"/>
                <w:sz w:val="20"/>
                <w:szCs w:val="20"/>
              </w:rPr>
              <w:t xml:space="preserve"> </w:t>
            </w:r>
            <w:r>
              <w:rPr>
                <w:b/>
                <w:bCs/>
                <w:spacing w:val="2"/>
                <w:sz w:val="20"/>
                <w:szCs w:val="20"/>
              </w:rPr>
              <w:t>划编号</w:t>
            </w:r>
          </w:p>
        </w:tc>
        <w:tc>
          <w:tcPr>
            <w:tcW w:w="2365" w:type="dxa"/>
            <w:vAlign w:val="top"/>
          </w:tcPr>
          <w:p w14:paraId="2CD30F91">
            <w:pPr>
              <w:pStyle w:val="6"/>
              <w:spacing w:before="172" w:line="229" w:lineRule="auto"/>
              <w:ind w:left="789"/>
              <w:rPr>
                <w:sz w:val="20"/>
                <w:szCs w:val="20"/>
              </w:rPr>
            </w:pPr>
            <w:r>
              <w:rPr>
                <w:b/>
                <w:bCs/>
                <w:sz w:val="20"/>
                <w:szCs w:val="20"/>
              </w:rPr>
              <w:t>区块名称</w:t>
            </w:r>
          </w:p>
        </w:tc>
        <w:tc>
          <w:tcPr>
            <w:tcW w:w="1171" w:type="dxa"/>
            <w:vAlign w:val="top"/>
          </w:tcPr>
          <w:p w14:paraId="5E0837EF">
            <w:pPr>
              <w:pStyle w:val="6"/>
              <w:spacing w:before="172" w:line="229" w:lineRule="auto"/>
              <w:ind w:left="175"/>
              <w:rPr>
                <w:sz w:val="20"/>
                <w:szCs w:val="20"/>
              </w:rPr>
            </w:pPr>
            <w:r>
              <w:rPr>
                <w:b/>
                <w:bCs/>
                <w:spacing w:val="5"/>
                <w:sz w:val="20"/>
                <w:szCs w:val="20"/>
              </w:rPr>
              <w:t>开采矿种</w:t>
            </w:r>
          </w:p>
        </w:tc>
        <w:tc>
          <w:tcPr>
            <w:tcW w:w="1962" w:type="dxa"/>
            <w:vAlign w:val="top"/>
          </w:tcPr>
          <w:p w14:paraId="5A8A9454">
            <w:pPr>
              <w:pStyle w:val="6"/>
              <w:spacing w:before="171" w:line="231" w:lineRule="auto"/>
              <w:ind w:left="360"/>
              <w:rPr>
                <w:sz w:val="20"/>
                <w:szCs w:val="20"/>
              </w:rPr>
            </w:pPr>
            <w:r>
              <w:rPr>
                <w:b/>
                <w:bCs/>
                <w:spacing w:val="6"/>
                <w:sz w:val="20"/>
                <w:szCs w:val="20"/>
              </w:rPr>
              <w:t>环评审批情况</w:t>
            </w:r>
          </w:p>
        </w:tc>
        <w:tc>
          <w:tcPr>
            <w:tcW w:w="885" w:type="dxa"/>
            <w:vAlign w:val="top"/>
          </w:tcPr>
          <w:p w14:paraId="7AE09DE7">
            <w:pPr>
              <w:pStyle w:val="6"/>
              <w:spacing w:before="37" w:line="234" w:lineRule="auto"/>
              <w:ind w:left="349" w:right="124" w:hanging="212"/>
              <w:rPr>
                <w:sz w:val="20"/>
                <w:szCs w:val="20"/>
              </w:rPr>
            </w:pPr>
            <w:r>
              <w:rPr>
                <w:b/>
                <w:bCs/>
                <w:spacing w:val="3"/>
                <w:sz w:val="20"/>
                <w:szCs w:val="20"/>
              </w:rPr>
              <w:t>验收情</w:t>
            </w:r>
            <w:r>
              <w:rPr>
                <w:spacing w:val="1"/>
                <w:sz w:val="20"/>
                <w:szCs w:val="20"/>
              </w:rPr>
              <w:t xml:space="preserve"> </w:t>
            </w:r>
            <w:r>
              <w:rPr>
                <w:b/>
                <w:bCs/>
                <w:spacing w:val="-3"/>
                <w:sz w:val="20"/>
                <w:szCs w:val="20"/>
              </w:rPr>
              <w:t>况</w:t>
            </w:r>
          </w:p>
        </w:tc>
        <w:tc>
          <w:tcPr>
            <w:tcW w:w="1100" w:type="dxa"/>
            <w:vAlign w:val="top"/>
          </w:tcPr>
          <w:p w14:paraId="6C591A49">
            <w:pPr>
              <w:pStyle w:val="6"/>
              <w:spacing w:before="171" w:line="232" w:lineRule="auto"/>
              <w:ind w:left="138"/>
              <w:rPr>
                <w:sz w:val="20"/>
                <w:szCs w:val="20"/>
              </w:rPr>
            </w:pPr>
            <w:r>
              <w:rPr>
                <w:b/>
                <w:bCs/>
                <w:spacing w:val="5"/>
                <w:sz w:val="20"/>
                <w:szCs w:val="20"/>
              </w:rPr>
              <w:t>矿山现状</w:t>
            </w:r>
          </w:p>
        </w:tc>
      </w:tr>
      <w:tr w14:paraId="2B48BD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442" w:type="dxa"/>
            <w:vAlign w:val="top"/>
          </w:tcPr>
          <w:p w14:paraId="31C1E591">
            <w:pPr>
              <w:spacing w:line="280" w:lineRule="auto"/>
              <w:rPr>
                <w:rFonts w:ascii="Arial"/>
                <w:sz w:val="21"/>
              </w:rPr>
            </w:pPr>
          </w:p>
          <w:p w14:paraId="15CD3969">
            <w:pPr>
              <w:spacing w:before="58" w:line="195" w:lineRule="auto"/>
              <w:ind w:left="18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35" w:type="dxa"/>
            <w:vAlign w:val="top"/>
          </w:tcPr>
          <w:p w14:paraId="10B1C544">
            <w:pPr>
              <w:spacing w:line="280" w:lineRule="auto"/>
              <w:rPr>
                <w:rFonts w:ascii="Arial"/>
                <w:sz w:val="21"/>
              </w:rPr>
            </w:pPr>
          </w:p>
          <w:p w14:paraId="44AA7C8F">
            <w:pPr>
              <w:spacing w:before="57" w:line="197" w:lineRule="auto"/>
              <w:ind w:left="265"/>
              <w:rPr>
                <w:rFonts w:ascii="Times New Roman" w:hAnsi="Times New Roman" w:eastAsia="Times New Roman" w:cs="Times New Roman"/>
                <w:sz w:val="20"/>
                <w:szCs w:val="20"/>
              </w:rPr>
            </w:pPr>
            <w:r>
              <w:rPr>
                <w:rFonts w:ascii="Times New Roman" w:hAnsi="Times New Roman" w:eastAsia="Times New Roman" w:cs="Times New Roman"/>
                <w:sz w:val="20"/>
                <w:szCs w:val="20"/>
              </w:rPr>
              <w:t>CQ</w:t>
            </w:r>
            <w:r>
              <w:rPr>
                <w:rFonts w:ascii="Times New Roman" w:hAnsi="Times New Roman" w:eastAsia="Times New Roman" w:cs="Times New Roman"/>
                <w:spacing w:val="6"/>
                <w:sz w:val="20"/>
                <w:szCs w:val="20"/>
              </w:rPr>
              <w:t>002</w:t>
            </w:r>
          </w:p>
        </w:tc>
        <w:tc>
          <w:tcPr>
            <w:tcW w:w="2365" w:type="dxa"/>
            <w:vAlign w:val="top"/>
          </w:tcPr>
          <w:p w14:paraId="5FC26B83">
            <w:pPr>
              <w:pStyle w:val="6"/>
              <w:spacing w:before="30" w:line="231" w:lineRule="auto"/>
              <w:ind w:left="149"/>
              <w:rPr>
                <w:sz w:val="20"/>
                <w:szCs w:val="20"/>
              </w:rPr>
            </w:pPr>
            <w:r>
              <w:rPr>
                <w:spacing w:val="7"/>
                <w:sz w:val="20"/>
                <w:szCs w:val="20"/>
              </w:rPr>
              <w:t>重庆市黔江区白蜡园矿</w:t>
            </w:r>
          </w:p>
          <w:p w14:paraId="28592A3B">
            <w:pPr>
              <w:pStyle w:val="6"/>
              <w:spacing w:before="23" w:line="231" w:lineRule="auto"/>
              <w:ind w:left="142"/>
              <w:rPr>
                <w:sz w:val="20"/>
                <w:szCs w:val="20"/>
              </w:rPr>
            </w:pPr>
            <w:r>
              <w:rPr>
                <w:spacing w:val="8"/>
                <w:sz w:val="20"/>
                <w:szCs w:val="20"/>
              </w:rPr>
              <w:t>业有限公司白蜡园采石</w:t>
            </w:r>
          </w:p>
          <w:p w14:paraId="1B3FE366">
            <w:pPr>
              <w:pStyle w:val="6"/>
              <w:spacing w:before="20" w:line="218" w:lineRule="auto"/>
              <w:ind w:left="1089"/>
              <w:rPr>
                <w:sz w:val="20"/>
                <w:szCs w:val="20"/>
              </w:rPr>
            </w:pPr>
            <w:r>
              <w:rPr>
                <w:sz w:val="20"/>
                <w:szCs w:val="20"/>
              </w:rPr>
              <w:t>场</w:t>
            </w:r>
          </w:p>
        </w:tc>
        <w:tc>
          <w:tcPr>
            <w:tcW w:w="1171" w:type="dxa"/>
            <w:vAlign w:val="top"/>
          </w:tcPr>
          <w:p w14:paraId="120E3CD6">
            <w:pPr>
              <w:pStyle w:val="6"/>
              <w:spacing w:before="167" w:line="251" w:lineRule="auto"/>
              <w:ind w:left="280" w:right="166" w:hanging="105"/>
              <w:rPr>
                <w:sz w:val="20"/>
                <w:szCs w:val="20"/>
              </w:rPr>
            </w:pPr>
            <w:r>
              <w:rPr>
                <w:spacing w:val="5"/>
                <w:sz w:val="20"/>
                <w:szCs w:val="20"/>
              </w:rPr>
              <w:t>建筑石料</w:t>
            </w:r>
            <w:r>
              <w:rPr>
                <w:spacing w:val="2"/>
                <w:sz w:val="20"/>
                <w:szCs w:val="20"/>
              </w:rPr>
              <w:t xml:space="preserve"> </w:t>
            </w:r>
            <w:r>
              <w:rPr>
                <w:spacing w:val="5"/>
                <w:sz w:val="20"/>
                <w:szCs w:val="20"/>
              </w:rPr>
              <w:t>用灰岩</w:t>
            </w:r>
          </w:p>
        </w:tc>
        <w:tc>
          <w:tcPr>
            <w:tcW w:w="1962" w:type="dxa"/>
            <w:vAlign w:val="top"/>
          </w:tcPr>
          <w:p w14:paraId="499D12EA">
            <w:pPr>
              <w:pStyle w:val="6"/>
              <w:spacing w:before="167" w:line="251" w:lineRule="auto"/>
              <w:ind w:left="305" w:right="244" w:hanging="47"/>
              <w:rPr>
                <w:sz w:val="20"/>
                <w:szCs w:val="20"/>
              </w:rPr>
            </w:pPr>
            <w:r>
              <w:rPr>
                <w:spacing w:val="7"/>
                <w:sz w:val="20"/>
                <w:szCs w:val="20"/>
              </w:rPr>
              <w:t>渝（黔江）环准</w:t>
            </w:r>
            <w:r>
              <w:rPr>
                <w:spacing w:val="3"/>
                <w:sz w:val="20"/>
                <w:szCs w:val="20"/>
              </w:rPr>
              <w:t xml:space="preserve"> </w:t>
            </w:r>
            <w:r>
              <w:rPr>
                <w:spacing w:val="1"/>
                <w:sz w:val="20"/>
                <w:szCs w:val="20"/>
              </w:rPr>
              <w:t>〔</w:t>
            </w:r>
            <w:r>
              <w:rPr>
                <w:rFonts w:ascii="Times New Roman" w:hAnsi="Times New Roman" w:eastAsia="Times New Roman" w:cs="Times New Roman"/>
                <w:spacing w:val="1"/>
                <w:sz w:val="20"/>
                <w:szCs w:val="20"/>
              </w:rPr>
              <w:t>2011</w:t>
            </w:r>
            <w:r>
              <w:rPr>
                <w:spacing w:val="1"/>
                <w:sz w:val="20"/>
                <w:szCs w:val="20"/>
              </w:rPr>
              <w:t>〕</w:t>
            </w:r>
            <w:r>
              <w:rPr>
                <w:rFonts w:ascii="Times New Roman" w:hAnsi="Times New Roman" w:eastAsia="Times New Roman" w:cs="Times New Roman"/>
                <w:spacing w:val="1"/>
                <w:sz w:val="20"/>
                <w:szCs w:val="20"/>
              </w:rPr>
              <w:t>204</w:t>
            </w:r>
            <w:r>
              <w:rPr>
                <w:rFonts w:ascii="Times New Roman" w:hAnsi="Times New Roman" w:eastAsia="Times New Roman" w:cs="Times New Roman"/>
                <w:spacing w:val="28"/>
                <w:w w:val="101"/>
                <w:sz w:val="20"/>
                <w:szCs w:val="20"/>
              </w:rPr>
              <w:t xml:space="preserve"> </w:t>
            </w:r>
            <w:r>
              <w:rPr>
                <w:spacing w:val="1"/>
                <w:sz w:val="20"/>
                <w:szCs w:val="20"/>
              </w:rPr>
              <w:t>号</w:t>
            </w:r>
          </w:p>
        </w:tc>
        <w:tc>
          <w:tcPr>
            <w:tcW w:w="885" w:type="dxa"/>
            <w:vAlign w:val="top"/>
          </w:tcPr>
          <w:p w14:paraId="19D1B42E">
            <w:pPr>
              <w:pStyle w:val="6"/>
              <w:spacing w:before="303" w:line="232" w:lineRule="auto"/>
              <w:ind w:left="167"/>
              <w:rPr>
                <w:sz w:val="20"/>
                <w:szCs w:val="20"/>
              </w:rPr>
            </w:pPr>
            <w:r>
              <w:rPr>
                <w:spacing w:val="-4"/>
                <w:sz w:val="20"/>
                <w:szCs w:val="20"/>
              </w:rPr>
              <w:t>已验收</w:t>
            </w:r>
          </w:p>
        </w:tc>
        <w:tc>
          <w:tcPr>
            <w:tcW w:w="1100" w:type="dxa"/>
            <w:vAlign w:val="top"/>
          </w:tcPr>
          <w:p w14:paraId="45758B57">
            <w:pPr>
              <w:pStyle w:val="6"/>
              <w:spacing w:before="303" w:line="231" w:lineRule="auto"/>
              <w:ind w:left="352"/>
              <w:rPr>
                <w:sz w:val="20"/>
                <w:szCs w:val="20"/>
              </w:rPr>
            </w:pPr>
            <w:r>
              <w:rPr>
                <w:spacing w:val="2"/>
                <w:sz w:val="20"/>
                <w:szCs w:val="20"/>
              </w:rPr>
              <w:t>开采</w:t>
            </w:r>
          </w:p>
        </w:tc>
      </w:tr>
      <w:tr w14:paraId="02CE12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42" w:type="dxa"/>
            <w:vAlign w:val="top"/>
          </w:tcPr>
          <w:p w14:paraId="03E74436">
            <w:pPr>
              <w:spacing w:before="205" w:line="195" w:lineRule="auto"/>
              <w:ind w:left="16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35" w:type="dxa"/>
            <w:vAlign w:val="top"/>
          </w:tcPr>
          <w:p w14:paraId="33F22A5A">
            <w:pPr>
              <w:spacing w:before="204" w:line="197" w:lineRule="auto"/>
              <w:ind w:left="265"/>
              <w:rPr>
                <w:rFonts w:ascii="Times New Roman" w:hAnsi="Times New Roman" w:eastAsia="Times New Roman" w:cs="Times New Roman"/>
                <w:sz w:val="20"/>
                <w:szCs w:val="20"/>
              </w:rPr>
            </w:pPr>
            <w:r>
              <w:rPr>
                <w:rFonts w:ascii="Times New Roman" w:hAnsi="Times New Roman" w:eastAsia="Times New Roman" w:cs="Times New Roman"/>
                <w:sz w:val="20"/>
                <w:szCs w:val="20"/>
              </w:rPr>
              <w:t>CQ</w:t>
            </w:r>
            <w:r>
              <w:rPr>
                <w:rFonts w:ascii="Times New Roman" w:hAnsi="Times New Roman" w:eastAsia="Times New Roman" w:cs="Times New Roman"/>
                <w:spacing w:val="6"/>
                <w:sz w:val="20"/>
                <w:szCs w:val="20"/>
              </w:rPr>
              <w:t>003</w:t>
            </w:r>
          </w:p>
        </w:tc>
        <w:tc>
          <w:tcPr>
            <w:tcW w:w="2365" w:type="dxa"/>
            <w:vAlign w:val="top"/>
          </w:tcPr>
          <w:p w14:paraId="0D69064F">
            <w:pPr>
              <w:pStyle w:val="6"/>
              <w:spacing w:before="32" w:line="234" w:lineRule="auto"/>
              <w:ind w:left="367" w:right="133" w:hanging="218"/>
              <w:rPr>
                <w:sz w:val="20"/>
                <w:szCs w:val="20"/>
              </w:rPr>
            </w:pPr>
            <w:r>
              <w:rPr>
                <w:spacing w:val="7"/>
                <w:sz w:val="20"/>
                <w:szCs w:val="20"/>
              </w:rPr>
              <w:t>重庆正阳新材料有限公</w:t>
            </w:r>
            <w:r>
              <w:rPr>
                <w:spacing w:val="6"/>
                <w:sz w:val="20"/>
                <w:szCs w:val="20"/>
              </w:rPr>
              <w:t xml:space="preserve"> </w:t>
            </w:r>
            <w:r>
              <w:rPr>
                <w:spacing w:val="5"/>
                <w:sz w:val="20"/>
                <w:szCs w:val="20"/>
              </w:rPr>
              <w:t>司大堡石灰石矿山</w:t>
            </w:r>
          </w:p>
        </w:tc>
        <w:tc>
          <w:tcPr>
            <w:tcW w:w="1171" w:type="dxa"/>
            <w:vAlign w:val="top"/>
          </w:tcPr>
          <w:p w14:paraId="08BB8378">
            <w:pPr>
              <w:pStyle w:val="6"/>
              <w:spacing w:before="32" w:line="234" w:lineRule="auto"/>
              <w:ind w:left="280" w:right="166" w:hanging="105"/>
              <w:rPr>
                <w:sz w:val="20"/>
                <w:szCs w:val="20"/>
              </w:rPr>
            </w:pPr>
            <w:r>
              <w:rPr>
                <w:spacing w:val="5"/>
                <w:sz w:val="20"/>
                <w:szCs w:val="20"/>
              </w:rPr>
              <w:t>建筑石料</w:t>
            </w:r>
            <w:r>
              <w:rPr>
                <w:spacing w:val="2"/>
                <w:sz w:val="20"/>
                <w:szCs w:val="20"/>
              </w:rPr>
              <w:t xml:space="preserve"> </w:t>
            </w:r>
            <w:r>
              <w:rPr>
                <w:spacing w:val="5"/>
                <w:sz w:val="20"/>
                <w:szCs w:val="20"/>
              </w:rPr>
              <w:t>用灰岩</w:t>
            </w:r>
          </w:p>
        </w:tc>
        <w:tc>
          <w:tcPr>
            <w:tcW w:w="1962" w:type="dxa"/>
            <w:vAlign w:val="top"/>
          </w:tcPr>
          <w:p w14:paraId="2EC8EBD0">
            <w:pPr>
              <w:pStyle w:val="6"/>
              <w:spacing w:before="166" w:line="231" w:lineRule="auto"/>
              <w:ind w:left="284"/>
              <w:rPr>
                <w:sz w:val="20"/>
                <w:szCs w:val="20"/>
              </w:rPr>
            </w:pPr>
            <w:r>
              <w:rPr>
                <w:spacing w:val="4"/>
                <w:sz w:val="20"/>
                <w:szCs w:val="20"/>
              </w:rPr>
              <w:t>已取得环评批复</w:t>
            </w:r>
          </w:p>
        </w:tc>
        <w:tc>
          <w:tcPr>
            <w:tcW w:w="885" w:type="dxa"/>
            <w:vAlign w:val="top"/>
          </w:tcPr>
          <w:p w14:paraId="3D1F8FF8">
            <w:pPr>
              <w:pStyle w:val="6"/>
              <w:spacing w:before="166" w:line="232" w:lineRule="auto"/>
              <w:ind w:left="167"/>
              <w:rPr>
                <w:sz w:val="20"/>
                <w:szCs w:val="20"/>
              </w:rPr>
            </w:pPr>
            <w:r>
              <w:rPr>
                <w:spacing w:val="-4"/>
                <w:sz w:val="20"/>
                <w:szCs w:val="20"/>
              </w:rPr>
              <w:t>已验收</w:t>
            </w:r>
          </w:p>
        </w:tc>
        <w:tc>
          <w:tcPr>
            <w:tcW w:w="1100" w:type="dxa"/>
            <w:vAlign w:val="top"/>
          </w:tcPr>
          <w:p w14:paraId="20C430C4">
            <w:pPr>
              <w:pStyle w:val="6"/>
              <w:spacing w:before="166" w:line="231" w:lineRule="auto"/>
              <w:ind w:left="352"/>
              <w:rPr>
                <w:sz w:val="20"/>
                <w:szCs w:val="20"/>
              </w:rPr>
            </w:pPr>
            <w:r>
              <w:rPr>
                <w:spacing w:val="2"/>
                <w:sz w:val="20"/>
                <w:szCs w:val="20"/>
              </w:rPr>
              <w:t>开采</w:t>
            </w:r>
          </w:p>
        </w:tc>
      </w:tr>
      <w:tr w14:paraId="35DCFD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42" w:type="dxa"/>
            <w:vAlign w:val="top"/>
          </w:tcPr>
          <w:p w14:paraId="103AB3B8">
            <w:pPr>
              <w:spacing w:before="205" w:line="195" w:lineRule="auto"/>
              <w:ind w:left="17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135" w:type="dxa"/>
            <w:vAlign w:val="top"/>
          </w:tcPr>
          <w:p w14:paraId="54A064E7">
            <w:pPr>
              <w:spacing w:before="205" w:line="197" w:lineRule="auto"/>
              <w:ind w:left="265"/>
              <w:rPr>
                <w:rFonts w:ascii="Times New Roman" w:hAnsi="Times New Roman" w:eastAsia="Times New Roman" w:cs="Times New Roman"/>
                <w:sz w:val="20"/>
                <w:szCs w:val="20"/>
              </w:rPr>
            </w:pPr>
            <w:r>
              <w:rPr>
                <w:rFonts w:ascii="Times New Roman" w:hAnsi="Times New Roman" w:eastAsia="Times New Roman" w:cs="Times New Roman"/>
                <w:sz w:val="20"/>
                <w:szCs w:val="20"/>
              </w:rPr>
              <w:t>CQ</w:t>
            </w:r>
            <w:r>
              <w:rPr>
                <w:rFonts w:ascii="Times New Roman" w:hAnsi="Times New Roman" w:eastAsia="Times New Roman" w:cs="Times New Roman"/>
                <w:spacing w:val="6"/>
                <w:sz w:val="20"/>
                <w:szCs w:val="20"/>
              </w:rPr>
              <w:t>005</w:t>
            </w:r>
          </w:p>
        </w:tc>
        <w:tc>
          <w:tcPr>
            <w:tcW w:w="2365" w:type="dxa"/>
            <w:vAlign w:val="top"/>
          </w:tcPr>
          <w:p w14:paraId="54427191">
            <w:pPr>
              <w:pStyle w:val="6"/>
              <w:spacing w:before="32" w:line="234" w:lineRule="auto"/>
              <w:ind w:left="245" w:right="133" w:hanging="96"/>
              <w:rPr>
                <w:sz w:val="20"/>
                <w:szCs w:val="20"/>
              </w:rPr>
            </w:pPr>
            <w:r>
              <w:rPr>
                <w:spacing w:val="7"/>
                <w:sz w:val="20"/>
                <w:szCs w:val="20"/>
              </w:rPr>
              <w:t>重庆市黔江区鸿韬矿业</w:t>
            </w:r>
            <w:r>
              <w:rPr>
                <w:spacing w:val="6"/>
                <w:sz w:val="20"/>
                <w:szCs w:val="20"/>
              </w:rPr>
              <w:t xml:space="preserve"> </w:t>
            </w:r>
            <w:r>
              <w:rPr>
                <w:spacing w:val="8"/>
                <w:sz w:val="20"/>
                <w:szCs w:val="20"/>
              </w:rPr>
              <w:t>有限公司李涛采石场</w:t>
            </w:r>
          </w:p>
        </w:tc>
        <w:tc>
          <w:tcPr>
            <w:tcW w:w="1171" w:type="dxa"/>
            <w:vAlign w:val="top"/>
          </w:tcPr>
          <w:p w14:paraId="5DEFDBB6">
            <w:pPr>
              <w:pStyle w:val="6"/>
              <w:spacing w:before="32" w:line="234" w:lineRule="auto"/>
              <w:ind w:left="280" w:right="166" w:hanging="105"/>
              <w:rPr>
                <w:sz w:val="20"/>
                <w:szCs w:val="20"/>
              </w:rPr>
            </w:pPr>
            <w:r>
              <w:rPr>
                <w:spacing w:val="5"/>
                <w:sz w:val="20"/>
                <w:szCs w:val="20"/>
              </w:rPr>
              <w:t>建筑石料</w:t>
            </w:r>
            <w:r>
              <w:rPr>
                <w:spacing w:val="2"/>
                <w:sz w:val="20"/>
                <w:szCs w:val="20"/>
              </w:rPr>
              <w:t xml:space="preserve"> </w:t>
            </w:r>
            <w:r>
              <w:rPr>
                <w:spacing w:val="5"/>
                <w:sz w:val="20"/>
                <w:szCs w:val="20"/>
              </w:rPr>
              <w:t>用灰岩</w:t>
            </w:r>
          </w:p>
        </w:tc>
        <w:tc>
          <w:tcPr>
            <w:tcW w:w="1962" w:type="dxa"/>
            <w:vAlign w:val="top"/>
          </w:tcPr>
          <w:p w14:paraId="646E6CCF">
            <w:pPr>
              <w:pStyle w:val="6"/>
              <w:spacing w:before="32" w:line="234" w:lineRule="auto"/>
              <w:ind w:left="343" w:right="244" w:hanging="85"/>
              <w:rPr>
                <w:sz w:val="20"/>
                <w:szCs w:val="20"/>
              </w:rPr>
            </w:pPr>
            <w:r>
              <w:rPr>
                <w:spacing w:val="7"/>
                <w:sz w:val="20"/>
                <w:szCs w:val="20"/>
              </w:rPr>
              <w:t>渝（黔江）环准</w:t>
            </w:r>
            <w:r>
              <w:rPr>
                <w:spacing w:val="3"/>
                <w:sz w:val="20"/>
                <w:szCs w:val="20"/>
              </w:rPr>
              <w:t xml:space="preserve"> </w:t>
            </w:r>
            <w:r>
              <w:rPr>
                <w:spacing w:val="-2"/>
                <w:sz w:val="20"/>
                <w:szCs w:val="20"/>
              </w:rPr>
              <w:t>﹝</w:t>
            </w:r>
            <w:r>
              <w:rPr>
                <w:rFonts w:ascii="Times New Roman" w:hAnsi="Times New Roman" w:eastAsia="Times New Roman" w:cs="Times New Roman"/>
                <w:spacing w:val="-2"/>
                <w:sz w:val="20"/>
                <w:szCs w:val="20"/>
              </w:rPr>
              <w:t>2019</w:t>
            </w:r>
            <w:r>
              <w:rPr>
                <w:spacing w:val="-2"/>
                <w:sz w:val="20"/>
                <w:szCs w:val="20"/>
              </w:rPr>
              <w:t>﹞</w:t>
            </w:r>
            <w:r>
              <w:rPr>
                <w:rFonts w:ascii="Times New Roman" w:hAnsi="Times New Roman" w:eastAsia="Times New Roman" w:cs="Times New Roman"/>
                <w:spacing w:val="-2"/>
                <w:sz w:val="20"/>
                <w:szCs w:val="20"/>
              </w:rPr>
              <w:t>048</w:t>
            </w:r>
            <w:r>
              <w:rPr>
                <w:rFonts w:ascii="Times New Roman" w:hAnsi="Times New Roman" w:eastAsia="Times New Roman" w:cs="Times New Roman"/>
                <w:spacing w:val="20"/>
                <w:w w:val="101"/>
                <w:sz w:val="20"/>
                <w:szCs w:val="20"/>
              </w:rPr>
              <w:t xml:space="preserve"> </w:t>
            </w:r>
            <w:r>
              <w:rPr>
                <w:spacing w:val="-2"/>
                <w:sz w:val="20"/>
                <w:szCs w:val="20"/>
              </w:rPr>
              <w:t>号</w:t>
            </w:r>
          </w:p>
        </w:tc>
        <w:tc>
          <w:tcPr>
            <w:tcW w:w="885" w:type="dxa"/>
            <w:vAlign w:val="top"/>
          </w:tcPr>
          <w:p w14:paraId="1BC4E2CA">
            <w:pPr>
              <w:pStyle w:val="6"/>
              <w:spacing w:before="168" w:line="232" w:lineRule="auto"/>
              <w:ind w:left="167"/>
              <w:rPr>
                <w:sz w:val="20"/>
                <w:szCs w:val="20"/>
              </w:rPr>
            </w:pPr>
            <w:r>
              <w:rPr>
                <w:spacing w:val="-4"/>
                <w:sz w:val="20"/>
                <w:szCs w:val="20"/>
              </w:rPr>
              <w:t>已验收</w:t>
            </w:r>
          </w:p>
        </w:tc>
        <w:tc>
          <w:tcPr>
            <w:tcW w:w="1100" w:type="dxa"/>
            <w:vAlign w:val="top"/>
          </w:tcPr>
          <w:p w14:paraId="1321DF69">
            <w:pPr>
              <w:pStyle w:val="6"/>
              <w:spacing w:before="169" w:line="231" w:lineRule="auto"/>
              <w:ind w:left="352"/>
              <w:rPr>
                <w:sz w:val="20"/>
                <w:szCs w:val="20"/>
              </w:rPr>
            </w:pPr>
            <w:r>
              <w:rPr>
                <w:spacing w:val="2"/>
                <w:sz w:val="20"/>
                <w:szCs w:val="20"/>
              </w:rPr>
              <w:t>开采</w:t>
            </w:r>
          </w:p>
        </w:tc>
      </w:tr>
      <w:tr w14:paraId="3A19A5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42" w:type="dxa"/>
            <w:vAlign w:val="top"/>
          </w:tcPr>
          <w:p w14:paraId="2F9FC1CF">
            <w:pPr>
              <w:spacing w:before="204"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135" w:type="dxa"/>
            <w:vAlign w:val="top"/>
          </w:tcPr>
          <w:p w14:paraId="712E73F9">
            <w:pPr>
              <w:spacing w:before="204" w:line="197" w:lineRule="auto"/>
              <w:ind w:left="265"/>
              <w:rPr>
                <w:rFonts w:ascii="Times New Roman" w:hAnsi="Times New Roman" w:eastAsia="Times New Roman" w:cs="Times New Roman"/>
                <w:sz w:val="20"/>
                <w:szCs w:val="20"/>
              </w:rPr>
            </w:pPr>
            <w:r>
              <w:rPr>
                <w:rFonts w:ascii="Times New Roman" w:hAnsi="Times New Roman" w:eastAsia="Times New Roman" w:cs="Times New Roman"/>
                <w:sz w:val="20"/>
                <w:szCs w:val="20"/>
              </w:rPr>
              <w:t>CQ</w:t>
            </w:r>
            <w:r>
              <w:rPr>
                <w:rFonts w:ascii="Times New Roman" w:hAnsi="Times New Roman" w:eastAsia="Times New Roman" w:cs="Times New Roman"/>
                <w:spacing w:val="6"/>
                <w:sz w:val="20"/>
                <w:szCs w:val="20"/>
              </w:rPr>
              <w:t>006</w:t>
            </w:r>
          </w:p>
        </w:tc>
        <w:tc>
          <w:tcPr>
            <w:tcW w:w="2365" w:type="dxa"/>
            <w:vAlign w:val="top"/>
          </w:tcPr>
          <w:p w14:paraId="6874CB20">
            <w:pPr>
              <w:pStyle w:val="6"/>
              <w:spacing w:before="35" w:line="233" w:lineRule="auto"/>
              <w:ind w:left="142" w:right="133" w:firstLine="7"/>
              <w:rPr>
                <w:sz w:val="20"/>
                <w:szCs w:val="20"/>
              </w:rPr>
            </w:pPr>
            <w:r>
              <w:rPr>
                <w:spacing w:val="7"/>
                <w:sz w:val="20"/>
                <w:szCs w:val="20"/>
              </w:rPr>
              <w:t>重庆市黔江区蓬东乡棕</w:t>
            </w:r>
            <w:r>
              <w:rPr>
                <w:spacing w:val="6"/>
                <w:sz w:val="20"/>
                <w:szCs w:val="20"/>
              </w:rPr>
              <w:t xml:space="preserve"> </w:t>
            </w:r>
            <w:r>
              <w:rPr>
                <w:spacing w:val="8"/>
                <w:sz w:val="20"/>
                <w:szCs w:val="20"/>
              </w:rPr>
              <w:t>树坪建筑石料用灰岩矿</w:t>
            </w:r>
          </w:p>
        </w:tc>
        <w:tc>
          <w:tcPr>
            <w:tcW w:w="1171" w:type="dxa"/>
            <w:vAlign w:val="top"/>
          </w:tcPr>
          <w:p w14:paraId="0A806C88">
            <w:pPr>
              <w:pStyle w:val="6"/>
              <w:spacing w:before="35" w:line="233" w:lineRule="auto"/>
              <w:ind w:left="280" w:right="166" w:hanging="105"/>
              <w:rPr>
                <w:sz w:val="20"/>
                <w:szCs w:val="20"/>
              </w:rPr>
            </w:pPr>
            <w:r>
              <w:rPr>
                <w:spacing w:val="5"/>
                <w:sz w:val="20"/>
                <w:szCs w:val="20"/>
              </w:rPr>
              <w:t>建筑石料</w:t>
            </w:r>
            <w:r>
              <w:rPr>
                <w:spacing w:val="2"/>
                <w:sz w:val="20"/>
                <w:szCs w:val="20"/>
              </w:rPr>
              <w:t xml:space="preserve"> </w:t>
            </w:r>
            <w:r>
              <w:rPr>
                <w:spacing w:val="5"/>
                <w:sz w:val="20"/>
                <w:szCs w:val="20"/>
              </w:rPr>
              <w:t>用灰岩</w:t>
            </w:r>
          </w:p>
        </w:tc>
        <w:tc>
          <w:tcPr>
            <w:tcW w:w="1962" w:type="dxa"/>
            <w:vAlign w:val="top"/>
          </w:tcPr>
          <w:p w14:paraId="44CF94E3">
            <w:pPr>
              <w:pStyle w:val="6"/>
              <w:spacing w:before="35" w:line="233" w:lineRule="auto"/>
              <w:ind w:left="305" w:right="244" w:hanging="47"/>
              <w:rPr>
                <w:sz w:val="20"/>
                <w:szCs w:val="20"/>
              </w:rPr>
            </w:pPr>
            <w:r>
              <w:rPr>
                <w:spacing w:val="7"/>
                <w:sz w:val="20"/>
                <w:szCs w:val="20"/>
              </w:rPr>
              <w:t>渝（黔江）环准</w:t>
            </w:r>
            <w:r>
              <w:rPr>
                <w:spacing w:val="3"/>
                <w:sz w:val="20"/>
                <w:szCs w:val="20"/>
              </w:rPr>
              <w:t xml:space="preserve"> </w:t>
            </w:r>
            <w:r>
              <w:rPr>
                <w:spacing w:val="1"/>
                <w:sz w:val="20"/>
                <w:szCs w:val="20"/>
              </w:rPr>
              <w:t>〔</w:t>
            </w:r>
            <w:r>
              <w:rPr>
                <w:rFonts w:ascii="Times New Roman" w:hAnsi="Times New Roman" w:eastAsia="Times New Roman" w:cs="Times New Roman"/>
                <w:spacing w:val="1"/>
                <w:sz w:val="20"/>
                <w:szCs w:val="20"/>
              </w:rPr>
              <w:t>2017</w:t>
            </w:r>
            <w:r>
              <w:rPr>
                <w:spacing w:val="1"/>
                <w:sz w:val="20"/>
                <w:szCs w:val="20"/>
              </w:rPr>
              <w:t>〕</w:t>
            </w:r>
            <w:r>
              <w:rPr>
                <w:rFonts w:ascii="Times New Roman" w:hAnsi="Times New Roman" w:eastAsia="Times New Roman" w:cs="Times New Roman"/>
                <w:spacing w:val="1"/>
                <w:sz w:val="20"/>
                <w:szCs w:val="20"/>
              </w:rPr>
              <w:t>043</w:t>
            </w:r>
            <w:r>
              <w:rPr>
                <w:rFonts w:ascii="Times New Roman" w:hAnsi="Times New Roman" w:eastAsia="Times New Roman" w:cs="Times New Roman"/>
                <w:spacing w:val="28"/>
                <w:w w:val="101"/>
                <w:sz w:val="20"/>
                <w:szCs w:val="20"/>
              </w:rPr>
              <w:t xml:space="preserve"> </w:t>
            </w:r>
            <w:r>
              <w:rPr>
                <w:spacing w:val="1"/>
                <w:sz w:val="20"/>
                <w:szCs w:val="20"/>
              </w:rPr>
              <w:t>号</w:t>
            </w:r>
          </w:p>
        </w:tc>
        <w:tc>
          <w:tcPr>
            <w:tcW w:w="885" w:type="dxa"/>
            <w:vAlign w:val="top"/>
          </w:tcPr>
          <w:p w14:paraId="3E219D66">
            <w:pPr>
              <w:pStyle w:val="6"/>
              <w:spacing w:before="168" w:line="232" w:lineRule="auto"/>
              <w:ind w:left="167"/>
              <w:rPr>
                <w:sz w:val="20"/>
                <w:szCs w:val="20"/>
              </w:rPr>
            </w:pPr>
            <w:r>
              <w:rPr>
                <w:spacing w:val="-4"/>
                <w:sz w:val="20"/>
                <w:szCs w:val="20"/>
              </w:rPr>
              <w:t>已验收</w:t>
            </w:r>
          </w:p>
        </w:tc>
        <w:tc>
          <w:tcPr>
            <w:tcW w:w="1100" w:type="dxa"/>
            <w:vAlign w:val="top"/>
          </w:tcPr>
          <w:p w14:paraId="59558CDB">
            <w:pPr>
              <w:pStyle w:val="6"/>
              <w:spacing w:before="168" w:line="231" w:lineRule="auto"/>
              <w:ind w:left="352"/>
              <w:rPr>
                <w:sz w:val="20"/>
                <w:szCs w:val="20"/>
              </w:rPr>
            </w:pPr>
            <w:r>
              <w:rPr>
                <w:spacing w:val="2"/>
                <w:sz w:val="20"/>
                <w:szCs w:val="20"/>
              </w:rPr>
              <w:t>开采</w:t>
            </w:r>
          </w:p>
        </w:tc>
      </w:tr>
      <w:tr w14:paraId="6FEBEC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42" w:type="dxa"/>
            <w:vAlign w:val="top"/>
          </w:tcPr>
          <w:p w14:paraId="7F5B1B57">
            <w:pPr>
              <w:spacing w:before="207" w:line="192" w:lineRule="auto"/>
              <w:ind w:left="175"/>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135" w:type="dxa"/>
            <w:vAlign w:val="top"/>
          </w:tcPr>
          <w:p w14:paraId="0A9B4DE4">
            <w:pPr>
              <w:spacing w:before="203" w:line="197" w:lineRule="auto"/>
              <w:ind w:left="265"/>
              <w:rPr>
                <w:rFonts w:ascii="Times New Roman" w:hAnsi="Times New Roman" w:eastAsia="Times New Roman" w:cs="Times New Roman"/>
                <w:sz w:val="20"/>
                <w:szCs w:val="20"/>
              </w:rPr>
            </w:pPr>
            <w:r>
              <w:rPr>
                <w:rFonts w:ascii="Times New Roman" w:hAnsi="Times New Roman" w:eastAsia="Times New Roman" w:cs="Times New Roman"/>
                <w:sz w:val="20"/>
                <w:szCs w:val="20"/>
              </w:rPr>
              <w:t>CQ</w:t>
            </w:r>
            <w:r>
              <w:rPr>
                <w:rFonts w:ascii="Times New Roman" w:hAnsi="Times New Roman" w:eastAsia="Times New Roman" w:cs="Times New Roman"/>
                <w:spacing w:val="6"/>
                <w:sz w:val="20"/>
                <w:szCs w:val="20"/>
              </w:rPr>
              <w:t>008</w:t>
            </w:r>
          </w:p>
        </w:tc>
        <w:tc>
          <w:tcPr>
            <w:tcW w:w="2365" w:type="dxa"/>
            <w:vAlign w:val="top"/>
          </w:tcPr>
          <w:p w14:paraId="05339AEE">
            <w:pPr>
              <w:pStyle w:val="6"/>
              <w:spacing w:before="32" w:line="234" w:lineRule="auto"/>
              <w:ind w:left="670" w:right="133" w:hanging="521"/>
              <w:rPr>
                <w:sz w:val="20"/>
                <w:szCs w:val="20"/>
              </w:rPr>
            </w:pPr>
            <w:r>
              <w:rPr>
                <w:spacing w:val="7"/>
                <w:sz w:val="20"/>
                <w:szCs w:val="20"/>
              </w:rPr>
              <w:t>重庆转堡矿业有限公司</w:t>
            </w:r>
            <w:r>
              <w:rPr>
                <w:spacing w:val="6"/>
                <w:sz w:val="20"/>
                <w:szCs w:val="20"/>
              </w:rPr>
              <w:t xml:space="preserve"> 转堡采石场</w:t>
            </w:r>
          </w:p>
        </w:tc>
        <w:tc>
          <w:tcPr>
            <w:tcW w:w="1171" w:type="dxa"/>
            <w:vAlign w:val="top"/>
          </w:tcPr>
          <w:p w14:paraId="7505239A">
            <w:pPr>
              <w:pStyle w:val="6"/>
              <w:spacing w:before="32" w:line="234" w:lineRule="auto"/>
              <w:ind w:left="280" w:right="166" w:hanging="105"/>
              <w:rPr>
                <w:sz w:val="20"/>
                <w:szCs w:val="20"/>
              </w:rPr>
            </w:pPr>
            <w:r>
              <w:rPr>
                <w:spacing w:val="5"/>
                <w:sz w:val="20"/>
                <w:szCs w:val="20"/>
              </w:rPr>
              <w:t>建筑石料</w:t>
            </w:r>
            <w:r>
              <w:rPr>
                <w:spacing w:val="2"/>
                <w:sz w:val="20"/>
                <w:szCs w:val="20"/>
              </w:rPr>
              <w:t xml:space="preserve"> </w:t>
            </w:r>
            <w:r>
              <w:rPr>
                <w:spacing w:val="5"/>
                <w:sz w:val="20"/>
                <w:szCs w:val="20"/>
              </w:rPr>
              <w:t>用灰岩</w:t>
            </w:r>
          </w:p>
        </w:tc>
        <w:tc>
          <w:tcPr>
            <w:tcW w:w="1962" w:type="dxa"/>
            <w:vAlign w:val="top"/>
          </w:tcPr>
          <w:p w14:paraId="08FA2490">
            <w:pPr>
              <w:pStyle w:val="6"/>
              <w:spacing w:before="32" w:line="234" w:lineRule="auto"/>
              <w:ind w:left="305" w:right="244" w:hanging="47"/>
              <w:rPr>
                <w:sz w:val="20"/>
                <w:szCs w:val="20"/>
              </w:rPr>
            </w:pPr>
            <w:r>
              <w:rPr>
                <w:spacing w:val="7"/>
                <w:sz w:val="20"/>
                <w:szCs w:val="20"/>
              </w:rPr>
              <w:t>渝（黔江）环准</w:t>
            </w:r>
            <w:r>
              <w:rPr>
                <w:spacing w:val="3"/>
                <w:sz w:val="20"/>
                <w:szCs w:val="20"/>
              </w:rPr>
              <w:t xml:space="preserve"> </w:t>
            </w:r>
            <w:r>
              <w:rPr>
                <w:spacing w:val="1"/>
                <w:sz w:val="20"/>
                <w:szCs w:val="20"/>
              </w:rPr>
              <w:t>〔</w:t>
            </w:r>
            <w:r>
              <w:rPr>
                <w:rFonts w:ascii="Times New Roman" w:hAnsi="Times New Roman" w:eastAsia="Times New Roman" w:cs="Times New Roman"/>
                <w:spacing w:val="1"/>
                <w:sz w:val="20"/>
                <w:szCs w:val="20"/>
              </w:rPr>
              <w:t>2015</w:t>
            </w:r>
            <w:r>
              <w:rPr>
                <w:spacing w:val="1"/>
                <w:sz w:val="20"/>
                <w:szCs w:val="20"/>
              </w:rPr>
              <w:t>〕</w:t>
            </w:r>
            <w:r>
              <w:rPr>
                <w:rFonts w:ascii="Times New Roman" w:hAnsi="Times New Roman" w:eastAsia="Times New Roman" w:cs="Times New Roman"/>
                <w:spacing w:val="1"/>
                <w:sz w:val="20"/>
                <w:szCs w:val="20"/>
              </w:rPr>
              <w:t>010</w:t>
            </w:r>
            <w:r>
              <w:rPr>
                <w:rFonts w:ascii="Times New Roman" w:hAnsi="Times New Roman" w:eastAsia="Times New Roman" w:cs="Times New Roman"/>
                <w:spacing w:val="28"/>
                <w:w w:val="101"/>
                <w:sz w:val="20"/>
                <w:szCs w:val="20"/>
              </w:rPr>
              <w:t xml:space="preserve"> </w:t>
            </w:r>
            <w:r>
              <w:rPr>
                <w:spacing w:val="1"/>
                <w:sz w:val="20"/>
                <w:szCs w:val="20"/>
              </w:rPr>
              <w:t>号</w:t>
            </w:r>
          </w:p>
        </w:tc>
        <w:tc>
          <w:tcPr>
            <w:tcW w:w="885" w:type="dxa"/>
            <w:vAlign w:val="top"/>
          </w:tcPr>
          <w:p w14:paraId="15F5AE7D">
            <w:pPr>
              <w:pStyle w:val="6"/>
              <w:spacing w:before="167" w:line="232" w:lineRule="auto"/>
              <w:ind w:left="167"/>
              <w:rPr>
                <w:sz w:val="20"/>
                <w:szCs w:val="20"/>
              </w:rPr>
            </w:pPr>
            <w:r>
              <w:rPr>
                <w:spacing w:val="-4"/>
                <w:sz w:val="20"/>
                <w:szCs w:val="20"/>
              </w:rPr>
              <w:t>已验收</w:t>
            </w:r>
          </w:p>
        </w:tc>
        <w:tc>
          <w:tcPr>
            <w:tcW w:w="1100" w:type="dxa"/>
            <w:vAlign w:val="top"/>
          </w:tcPr>
          <w:p w14:paraId="3A140F43">
            <w:pPr>
              <w:pStyle w:val="6"/>
              <w:spacing w:before="168" w:line="231" w:lineRule="auto"/>
              <w:ind w:left="352"/>
              <w:rPr>
                <w:sz w:val="20"/>
                <w:szCs w:val="20"/>
              </w:rPr>
            </w:pPr>
            <w:r>
              <w:rPr>
                <w:spacing w:val="2"/>
                <w:sz w:val="20"/>
                <w:szCs w:val="20"/>
              </w:rPr>
              <w:t>开采</w:t>
            </w:r>
          </w:p>
        </w:tc>
      </w:tr>
      <w:tr w14:paraId="7B706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442" w:type="dxa"/>
            <w:vAlign w:val="top"/>
          </w:tcPr>
          <w:p w14:paraId="502150D7">
            <w:pPr>
              <w:spacing w:before="218" w:line="195" w:lineRule="auto"/>
              <w:ind w:left="174"/>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135" w:type="dxa"/>
            <w:vAlign w:val="top"/>
          </w:tcPr>
          <w:p w14:paraId="3B6A7DC6">
            <w:pPr>
              <w:spacing w:before="218" w:line="197" w:lineRule="auto"/>
              <w:ind w:left="265"/>
              <w:rPr>
                <w:rFonts w:ascii="Times New Roman" w:hAnsi="Times New Roman" w:eastAsia="Times New Roman" w:cs="Times New Roman"/>
                <w:sz w:val="20"/>
                <w:szCs w:val="20"/>
              </w:rPr>
            </w:pPr>
            <w:r>
              <w:rPr>
                <w:rFonts w:ascii="Times New Roman" w:hAnsi="Times New Roman" w:eastAsia="Times New Roman" w:cs="Times New Roman"/>
                <w:sz w:val="20"/>
                <w:szCs w:val="20"/>
              </w:rPr>
              <w:t>CQ</w:t>
            </w:r>
            <w:r>
              <w:rPr>
                <w:rFonts w:ascii="Times New Roman" w:hAnsi="Times New Roman" w:eastAsia="Times New Roman" w:cs="Times New Roman"/>
                <w:spacing w:val="6"/>
                <w:sz w:val="20"/>
                <w:szCs w:val="20"/>
              </w:rPr>
              <w:t>013</w:t>
            </w:r>
          </w:p>
        </w:tc>
        <w:tc>
          <w:tcPr>
            <w:tcW w:w="2365" w:type="dxa"/>
            <w:vAlign w:val="top"/>
          </w:tcPr>
          <w:p w14:paraId="2341032F">
            <w:pPr>
              <w:pStyle w:val="6"/>
              <w:spacing w:before="45"/>
              <w:ind w:left="462" w:right="133" w:hanging="313"/>
              <w:rPr>
                <w:sz w:val="20"/>
                <w:szCs w:val="20"/>
              </w:rPr>
            </w:pPr>
            <w:r>
              <w:rPr>
                <w:spacing w:val="7"/>
                <w:sz w:val="20"/>
                <w:szCs w:val="20"/>
              </w:rPr>
              <w:t>重庆市黔江区黑溪镇泰</w:t>
            </w:r>
            <w:r>
              <w:rPr>
                <w:spacing w:val="6"/>
                <w:sz w:val="20"/>
                <w:szCs w:val="20"/>
              </w:rPr>
              <w:t xml:space="preserve"> </w:t>
            </w:r>
            <w:r>
              <w:rPr>
                <w:spacing w:val="7"/>
                <w:sz w:val="20"/>
                <w:szCs w:val="20"/>
              </w:rPr>
              <w:t>峰铸型用砂岩矿</w:t>
            </w:r>
          </w:p>
        </w:tc>
        <w:tc>
          <w:tcPr>
            <w:tcW w:w="1171" w:type="dxa"/>
            <w:vAlign w:val="top"/>
          </w:tcPr>
          <w:p w14:paraId="7CEB42D6">
            <w:pPr>
              <w:pStyle w:val="6"/>
              <w:spacing w:before="33" w:line="224" w:lineRule="auto"/>
              <w:ind w:left="156"/>
            </w:pPr>
            <w:r>
              <w:rPr>
                <w:spacing w:val="-4"/>
              </w:rPr>
              <w:t>铸型用砂</w:t>
            </w:r>
          </w:p>
          <w:p w14:paraId="4C27E7DA">
            <w:pPr>
              <w:pStyle w:val="6"/>
              <w:spacing w:before="18" w:line="207" w:lineRule="auto"/>
              <w:ind w:left="485"/>
            </w:pPr>
            <w:r>
              <w:t>岩</w:t>
            </w:r>
          </w:p>
        </w:tc>
        <w:tc>
          <w:tcPr>
            <w:tcW w:w="1962" w:type="dxa"/>
            <w:vAlign w:val="top"/>
          </w:tcPr>
          <w:p w14:paraId="3F6A65EC">
            <w:pPr>
              <w:pStyle w:val="6"/>
              <w:spacing w:before="175" w:line="223" w:lineRule="auto"/>
              <w:ind w:left="471"/>
            </w:pPr>
            <w:r>
              <w:rPr>
                <w:spacing w:val="-9"/>
              </w:rPr>
              <w:t>已取得批复</w:t>
            </w:r>
          </w:p>
        </w:tc>
        <w:tc>
          <w:tcPr>
            <w:tcW w:w="885" w:type="dxa"/>
            <w:vAlign w:val="top"/>
          </w:tcPr>
          <w:p w14:paraId="1364C0CE">
            <w:pPr>
              <w:pStyle w:val="6"/>
              <w:spacing w:before="175" w:line="224" w:lineRule="auto"/>
              <w:ind w:left="155"/>
            </w:pPr>
            <w:r>
              <w:rPr>
                <w:spacing w:val="-14"/>
              </w:rPr>
              <w:t>已验收</w:t>
            </w:r>
          </w:p>
        </w:tc>
        <w:tc>
          <w:tcPr>
            <w:tcW w:w="1100" w:type="dxa"/>
            <w:vAlign w:val="top"/>
          </w:tcPr>
          <w:p w14:paraId="63FE9A2A">
            <w:pPr>
              <w:pStyle w:val="6"/>
              <w:spacing w:before="180" w:line="231" w:lineRule="auto"/>
              <w:ind w:left="352"/>
              <w:rPr>
                <w:sz w:val="20"/>
                <w:szCs w:val="20"/>
              </w:rPr>
            </w:pPr>
            <w:r>
              <w:rPr>
                <w:spacing w:val="2"/>
                <w:sz w:val="20"/>
                <w:szCs w:val="20"/>
              </w:rPr>
              <w:t>开采</w:t>
            </w:r>
          </w:p>
        </w:tc>
      </w:tr>
      <w:tr w14:paraId="2345F1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442" w:type="dxa"/>
            <w:vAlign w:val="top"/>
          </w:tcPr>
          <w:p w14:paraId="11581162">
            <w:pPr>
              <w:spacing w:line="284" w:lineRule="auto"/>
              <w:rPr>
                <w:rFonts w:ascii="Arial"/>
                <w:sz w:val="21"/>
              </w:rPr>
            </w:pPr>
          </w:p>
          <w:p w14:paraId="0913080A">
            <w:pPr>
              <w:spacing w:before="58" w:line="192" w:lineRule="auto"/>
              <w:ind w:left="172"/>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135" w:type="dxa"/>
            <w:vAlign w:val="top"/>
          </w:tcPr>
          <w:p w14:paraId="4A00041D">
            <w:pPr>
              <w:spacing w:line="281" w:lineRule="auto"/>
              <w:rPr>
                <w:rFonts w:ascii="Arial"/>
                <w:sz w:val="21"/>
              </w:rPr>
            </w:pPr>
          </w:p>
          <w:p w14:paraId="58B8F9C9">
            <w:pPr>
              <w:spacing w:before="58" w:line="197" w:lineRule="auto"/>
              <w:ind w:left="265"/>
              <w:rPr>
                <w:rFonts w:ascii="Times New Roman" w:hAnsi="Times New Roman" w:eastAsia="Times New Roman" w:cs="Times New Roman"/>
                <w:sz w:val="20"/>
                <w:szCs w:val="20"/>
              </w:rPr>
            </w:pPr>
            <w:r>
              <w:rPr>
                <w:rFonts w:ascii="Times New Roman" w:hAnsi="Times New Roman" w:eastAsia="Times New Roman" w:cs="Times New Roman"/>
                <w:sz w:val="20"/>
                <w:szCs w:val="20"/>
              </w:rPr>
              <w:t>CQ</w:t>
            </w:r>
            <w:r>
              <w:rPr>
                <w:rFonts w:ascii="Times New Roman" w:hAnsi="Times New Roman" w:eastAsia="Times New Roman" w:cs="Times New Roman"/>
                <w:spacing w:val="6"/>
                <w:sz w:val="20"/>
                <w:szCs w:val="20"/>
              </w:rPr>
              <w:t>015</w:t>
            </w:r>
          </w:p>
        </w:tc>
        <w:tc>
          <w:tcPr>
            <w:tcW w:w="2365" w:type="dxa"/>
            <w:vAlign w:val="top"/>
          </w:tcPr>
          <w:p w14:paraId="5F785797">
            <w:pPr>
              <w:pStyle w:val="6"/>
              <w:spacing w:before="33" w:line="231" w:lineRule="auto"/>
              <w:ind w:left="142"/>
              <w:rPr>
                <w:sz w:val="20"/>
                <w:szCs w:val="20"/>
              </w:rPr>
            </w:pPr>
            <w:r>
              <w:rPr>
                <w:spacing w:val="8"/>
                <w:sz w:val="20"/>
                <w:szCs w:val="20"/>
              </w:rPr>
              <w:t>贵州天弘矿业股份有限</w:t>
            </w:r>
          </w:p>
          <w:p w14:paraId="3194B722">
            <w:pPr>
              <w:pStyle w:val="6"/>
              <w:spacing w:before="20" w:line="232" w:lineRule="auto"/>
              <w:ind w:left="146"/>
              <w:rPr>
                <w:sz w:val="20"/>
                <w:szCs w:val="20"/>
              </w:rPr>
            </w:pPr>
            <w:r>
              <w:rPr>
                <w:spacing w:val="5"/>
                <w:sz w:val="20"/>
                <w:szCs w:val="20"/>
              </w:rPr>
              <w:t>公司萤石（普通）</w:t>
            </w:r>
            <w:r>
              <w:rPr>
                <w:spacing w:val="-60"/>
                <w:sz w:val="20"/>
                <w:szCs w:val="20"/>
              </w:rPr>
              <w:t xml:space="preserve"> </w:t>
            </w:r>
            <w:r>
              <w:rPr>
                <w:spacing w:val="5"/>
                <w:sz w:val="20"/>
                <w:szCs w:val="20"/>
              </w:rPr>
              <w:t>、重</w:t>
            </w:r>
          </w:p>
          <w:p w14:paraId="32F19099">
            <w:pPr>
              <w:pStyle w:val="6"/>
              <w:spacing w:before="20" w:line="217" w:lineRule="auto"/>
              <w:ind w:left="894"/>
              <w:rPr>
                <w:sz w:val="20"/>
                <w:szCs w:val="20"/>
              </w:rPr>
            </w:pPr>
            <w:r>
              <w:rPr>
                <w:spacing w:val="-1"/>
                <w:sz w:val="20"/>
                <w:szCs w:val="20"/>
              </w:rPr>
              <w:t>晶石矿</w:t>
            </w:r>
          </w:p>
        </w:tc>
        <w:tc>
          <w:tcPr>
            <w:tcW w:w="1171" w:type="dxa"/>
            <w:vAlign w:val="top"/>
          </w:tcPr>
          <w:p w14:paraId="4AC4074B">
            <w:pPr>
              <w:pStyle w:val="6"/>
              <w:spacing w:before="34" w:line="250" w:lineRule="auto"/>
              <w:ind w:left="121" w:right="106" w:firstLine="60"/>
              <w:rPr>
                <w:sz w:val="20"/>
                <w:szCs w:val="20"/>
              </w:rPr>
            </w:pPr>
            <w:r>
              <w:rPr>
                <w:spacing w:val="4"/>
                <w:sz w:val="20"/>
                <w:szCs w:val="20"/>
              </w:rPr>
              <w:t>萤石（普</w:t>
            </w:r>
            <w:r>
              <w:rPr>
                <w:sz w:val="20"/>
                <w:szCs w:val="20"/>
              </w:rPr>
              <w:t xml:space="preserve"> </w:t>
            </w:r>
            <w:r>
              <w:rPr>
                <w:spacing w:val="-13"/>
                <w:sz w:val="20"/>
                <w:szCs w:val="20"/>
              </w:rPr>
              <w:t>通）、重晶</w:t>
            </w:r>
          </w:p>
          <w:p w14:paraId="506C1678">
            <w:pPr>
              <w:pStyle w:val="6"/>
              <w:spacing w:line="217" w:lineRule="auto"/>
              <w:ind w:left="492"/>
              <w:rPr>
                <w:sz w:val="20"/>
                <w:szCs w:val="20"/>
              </w:rPr>
            </w:pPr>
            <w:r>
              <w:rPr>
                <w:sz w:val="20"/>
                <w:szCs w:val="20"/>
              </w:rPr>
              <w:t>石</w:t>
            </w:r>
          </w:p>
        </w:tc>
        <w:tc>
          <w:tcPr>
            <w:tcW w:w="1962" w:type="dxa"/>
            <w:vAlign w:val="top"/>
          </w:tcPr>
          <w:p w14:paraId="3A1D035A">
            <w:pPr>
              <w:pStyle w:val="6"/>
              <w:spacing w:before="167" w:line="254" w:lineRule="auto"/>
              <w:ind w:left="305" w:right="244" w:hanging="47"/>
              <w:rPr>
                <w:sz w:val="20"/>
                <w:szCs w:val="20"/>
              </w:rPr>
            </w:pPr>
            <w:r>
              <w:rPr>
                <w:spacing w:val="7"/>
                <w:sz w:val="20"/>
                <w:szCs w:val="20"/>
              </w:rPr>
              <w:t>渝（黔江）环准</w:t>
            </w:r>
            <w:r>
              <w:rPr>
                <w:spacing w:val="3"/>
                <w:sz w:val="20"/>
                <w:szCs w:val="20"/>
              </w:rPr>
              <w:t xml:space="preserve"> </w:t>
            </w:r>
            <w:r>
              <w:rPr>
                <w:spacing w:val="1"/>
                <w:sz w:val="20"/>
                <w:szCs w:val="20"/>
              </w:rPr>
              <w:t>〔</w:t>
            </w:r>
            <w:r>
              <w:rPr>
                <w:rFonts w:ascii="Times New Roman" w:hAnsi="Times New Roman" w:eastAsia="Times New Roman" w:cs="Times New Roman"/>
                <w:spacing w:val="1"/>
                <w:sz w:val="20"/>
                <w:szCs w:val="20"/>
              </w:rPr>
              <w:t>2018</w:t>
            </w:r>
            <w:r>
              <w:rPr>
                <w:spacing w:val="1"/>
                <w:sz w:val="20"/>
                <w:szCs w:val="20"/>
              </w:rPr>
              <w:t>〕</w:t>
            </w:r>
            <w:r>
              <w:rPr>
                <w:rFonts w:ascii="Times New Roman" w:hAnsi="Times New Roman" w:eastAsia="Times New Roman" w:cs="Times New Roman"/>
                <w:spacing w:val="1"/>
                <w:sz w:val="20"/>
                <w:szCs w:val="20"/>
              </w:rPr>
              <w:t>006</w:t>
            </w:r>
            <w:r>
              <w:rPr>
                <w:rFonts w:ascii="Times New Roman" w:hAnsi="Times New Roman" w:eastAsia="Times New Roman" w:cs="Times New Roman"/>
                <w:spacing w:val="28"/>
                <w:w w:val="101"/>
                <w:sz w:val="20"/>
                <w:szCs w:val="20"/>
              </w:rPr>
              <w:t xml:space="preserve"> </w:t>
            </w:r>
            <w:r>
              <w:rPr>
                <w:spacing w:val="1"/>
                <w:sz w:val="20"/>
                <w:szCs w:val="20"/>
              </w:rPr>
              <w:t>号</w:t>
            </w:r>
          </w:p>
        </w:tc>
        <w:tc>
          <w:tcPr>
            <w:tcW w:w="885" w:type="dxa"/>
            <w:vAlign w:val="top"/>
          </w:tcPr>
          <w:p w14:paraId="7A15B758">
            <w:pPr>
              <w:spacing w:line="278" w:lineRule="auto"/>
              <w:rPr>
                <w:rFonts w:ascii="Arial"/>
                <w:sz w:val="21"/>
              </w:rPr>
            </w:pPr>
          </w:p>
          <w:p w14:paraId="746E7E33">
            <w:pPr>
              <w:spacing w:before="57" w:line="199" w:lineRule="auto"/>
              <w:ind w:left="4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00" w:type="dxa"/>
            <w:vAlign w:val="top"/>
          </w:tcPr>
          <w:p w14:paraId="455A8438">
            <w:pPr>
              <w:pStyle w:val="6"/>
              <w:spacing w:before="299" w:line="223" w:lineRule="auto"/>
              <w:ind w:left="343"/>
            </w:pPr>
            <w:r>
              <w:rPr>
                <w:spacing w:val="-8"/>
              </w:rPr>
              <w:t>未建</w:t>
            </w:r>
          </w:p>
        </w:tc>
      </w:tr>
      <w:tr w14:paraId="5D66FC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442" w:type="dxa"/>
            <w:vAlign w:val="top"/>
          </w:tcPr>
          <w:p w14:paraId="43F17C25">
            <w:pPr>
              <w:spacing w:line="282" w:lineRule="auto"/>
              <w:rPr>
                <w:rFonts w:ascii="Arial"/>
                <w:sz w:val="21"/>
              </w:rPr>
            </w:pPr>
          </w:p>
          <w:p w14:paraId="6ACBB115">
            <w:pPr>
              <w:spacing w:before="58" w:line="195" w:lineRule="auto"/>
              <w:ind w:left="17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135" w:type="dxa"/>
            <w:vAlign w:val="top"/>
          </w:tcPr>
          <w:p w14:paraId="7BB83CE2">
            <w:pPr>
              <w:spacing w:line="282" w:lineRule="auto"/>
              <w:rPr>
                <w:rFonts w:ascii="Arial"/>
                <w:sz w:val="21"/>
              </w:rPr>
            </w:pPr>
          </w:p>
          <w:p w14:paraId="4D0C6E66">
            <w:pPr>
              <w:spacing w:before="58" w:line="197" w:lineRule="auto"/>
              <w:ind w:left="265"/>
              <w:rPr>
                <w:rFonts w:ascii="Times New Roman" w:hAnsi="Times New Roman" w:eastAsia="Times New Roman" w:cs="Times New Roman"/>
                <w:sz w:val="20"/>
                <w:szCs w:val="20"/>
              </w:rPr>
            </w:pPr>
            <w:r>
              <w:rPr>
                <w:rFonts w:ascii="Times New Roman" w:hAnsi="Times New Roman" w:eastAsia="Times New Roman" w:cs="Times New Roman"/>
                <w:sz w:val="20"/>
                <w:szCs w:val="20"/>
              </w:rPr>
              <w:t>CQ</w:t>
            </w:r>
            <w:r>
              <w:rPr>
                <w:rFonts w:ascii="Times New Roman" w:hAnsi="Times New Roman" w:eastAsia="Times New Roman" w:cs="Times New Roman"/>
                <w:spacing w:val="6"/>
                <w:sz w:val="20"/>
                <w:szCs w:val="20"/>
              </w:rPr>
              <w:t>016</w:t>
            </w:r>
          </w:p>
        </w:tc>
        <w:tc>
          <w:tcPr>
            <w:tcW w:w="2365" w:type="dxa"/>
            <w:vAlign w:val="top"/>
          </w:tcPr>
          <w:p w14:paraId="7D2E8DBD">
            <w:pPr>
              <w:pStyle w:val="6"/>
              <w:spacing w:before="168" w:line="251" w:lineRule="auto"/>
              <w:ind w:left="146" w:right="133" w:hanging="4"/>
              <w:rPr>
                <w:sz w:val="20"/>
                <w:szCs w:val="20"/>
              </w:rPr>
            </w:pPr>
            <w:r>
              <w:rPr>
                <w:spacing w:val="8"/>
                <w:sz w:val="20"/>
                <w:szCs w:val="20"/>
              </w:rPr>
              <w:t>贵州天弘矿业股份有限</w:t>
            </w:r>
            <w:r>
              <w:rPr>
                <w:spacing w:val="2"/>
                <w:sz w:val="20"/>
                <w:szCs w:val="20"/>
              </w:rPr>
              <w:t xml:space="preserve"> </w:t>
            </w:r>
            <w:r>
              <w:rPr>
                <w:spacing w:val="7"/>
                <w:sz w:val="20"/>
                <w:szCs w:val="20"/>
              </w:rPr>
              <w:t>公司黔江区水槽萤石厂</w:t>
            </w:r>
          </w:p>
        </w:tc>
        <w:tc>
          <w:tcPr>
            <w:tcW w:w="1171" w:type="dxa"/>
            <w:vAlign w:val="top"/>
          </w:tcPr>
          <w:p w14:paraId="28655A43">
            <w:pPr>
              <w:pStyle w:val="6"/>
              <w:spacing w:before="33" w:line="251" w:lineRule="auto"/>
              <w:ind w:left="121" w:right="106" w:firstLine="60"/>
              <w:rPr>
                <w:sz w:val="20"/>
                <w:szCs w:val="20"/>
              </w:rPr>
            </w:pPr>
            <w:r>
              <w:rPr>
                <w:spacing w:val="4"/>
                <w:sz w:val="20"/>
                <w:szCs w:val="20"/>
              </w:rPr>
              <w:t>萤石（普</w:t>
            </w:r>
            <w:r>
              <w:rPr>
                <w:sz w:val="20"/>
                <w:szCs w:val="20"/>
              </w:rPr>
              <w:t xml:space="preserve"> </w:t>
            </w:r>
            <w:r>
              <w:rPr>
                <w:spacing w:val="-13"/>
                <w:sz w:val="20"/>
                <w:szCs w:val="20"/>
              </w:rPr>
              <w:t>通）、重晶</w:t>
            </w:r>
          </w:p>
          <w:p w14:paraId="30BFC936">
            <w:pPr>
              <w:pStyle w:val="6"/>
              <w:spacing w:line="215" w:lineRule="auto"/>
              <w:ind w:left="492"/>
              <w:rPr>
                <w:sz w:val="20"/>
                <w:szCs w:val="20"/>
              </w:rPr>
            </w:pPr>
            <w:r>
              <w:rPr>
                <w:sz w:val="20"/>
                <w:szCs w:val="20"/>
              </w:rPr>
              <w:t>石</w:t>
            </w:r>
          </w:p>
        </w:tc>
        <w:tc>
          <w:tcPr>
            <w:tcW w:w="1962" w:type="dxa"/>
            <w:vAlign w:val="top"/>
          </w:tcPr>
          <w:p w14:paraId="13893332">
            <w:pPr>
              <w:pStyle w:val="6"/>
              <w:spacing w:before="170" w:line="251" w:lineRule="auto"/>
              <w:ind w:left="305" w:right="244" w:hanging="47"/>
              <w:rPr>
                <w:sz w:val="20"/>
                <w:szCs w:val="20"/>
              </w:rPr>
            </w:pPr>
            <w:r>
              <w:rPr>
                <w:spacing w:val="7"/>
                <w:sz w:val="20"/>
                <w:szCs w:val="20"/>
              </w:rPr>
              <w:t>渝（黔江）环准</w:t>
            </w:r>
            <w:r>
              <w:rPr>
                <w:spacing w:val="3"/>
                <w:sz w:val="20"/>
                <w:szCs w:val="20"/>
              </w:rPr>
              <w:t xml:space="preserve"> </w:t>
            </w:r>
            <w:r>
              <w:rPr>
                <w:spacing w:val="1"/>
                <w:sz w:val="20"/>
                <w:szCs w:val="20"/>
              </w:rPr>
              <w:t>〔</w:t>
            </w:r>
            <w:r>
              <w:rPr>
                <w:rFonts w:ascii="Times New Roman" w:hAnsi="Times New Roman" w:eastAsia="Times New Roman" w:cs="Times New Roman"/>
                <w:spacing w:val="1"/>
                <w:sz w:val="20"/>
                <w:szCs w:val="20"/>
              </w:rPr>
              <w:t>2018</w:t>
            </w:r>
            <w:r>
              <w:rPr>
                <w:spacing w:val="1"/>
                <w:sz w:val="20"/>
                <w:szCs w:val="20"/>
              </w:rPr>
              <w:t>〕</w:t>
            </w:r>
            <w:r>
              <w:rPr>
                <w:rFonts w:ascii="Times New Roman" w:hAnsi="Times New Roman" w:eastAsia="Times New Roman" w:cs="Times New Roman"/>
                <w:spacing w:val="1"/>
                <w:sz w:val="20"/>
                <w:szCs w:val="20"/>
              </w:rPr>
              <w:t>005</w:t>
            </w:r>
            <w:r>
              <w:rPr>
                <w:rFonts w:ascii="Times New Roman" w:hAnsi="Times New Roman" w:eastAsia="Times New Roman" w:cs="Times New Roman"/>
                <w:spacing w:val="28"/>
                <w:w w:val="101"/>
                <w:sz w:val="20"/>
                <w:szCs w:val="20"/>
              </w:rPr>
              <w:t xml:space="preserve"> </w:t>
            </w:r>
            <w:r>
              <w:rPr>
                <w:spacing w:val="1"/>
                <w:sz w:val="20"/>
                <w:szCs w:val="20"/>
              </w:rPr>
              <w:t>号</w:t>
            </w:r>
          </w:p>
        </w:tc>
        <w:tc>
          <w:tcPr>
            <w:tcW w:w="885" w:type="dxa"/>
            <w:vAlign w:val="top"/>
          </w:tcPr>
          <w:p w14:paraId="2EDBF1BF">
            <w:pPr>
              <w:spacing w:line="279" w:lineRule="auto"/>
              <w:rPr>
                <w:rFonts w:ascii="Arial"/>
                <w:sz w:val="21"/>
              </w:rPr>
            </w:pPr>
          </w:p>
          <w:p w14:paraId="30F3E27D">
            <w:pPr>
              <w:spacing w:before="57" w:line="199" w:lineRule="auto"/>
              <w:ind w:left="4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00" w:type="dxa"/>
            <w:vAlign w:val="top"/>
          </w:tcPr>
          <w:p w14:paraId="0C3119AD">
            <w:pPr>
              <w:pStyle w:val="6"/>
              <w:spacing w:before="298" w:line="223" w:lineRule="auto"/>
              <w:ind w:left="343"/>
            </w:pPr>
            <w:r>
              <w:rPr>
                <w:spacing w:val="-8"/>
              </w:rPr>
              <w:t>未建</w:t>
            </w:r>
          </w:p>
        </w:tc>
      </w:tr>
      <w:tr w14:paraId="4F6D84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442" w:type="dxa"/>
            <w:vAlign w:val="top"/>
          </w:tcPr>
          <w:p w14:paraId="0207A1D8">
            <w:pPr>
              <w:spacing w:line="282" w:lineRule="auto"/>
              <w:rPr>
                <w:rFonts w:ascii="Arial"/>
                <w:sz w:val="21"/>
              </w:rPr>
            </w:pPr>
          </w:p>
          <w:p w14:paraId="6B598A2D">
            <w:pPr>
              <w:spacing w:before="58" w:line="195" w:lineRule="auto"/>
              <w:ind w:left="173"/>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135" w:type="dxa"/>
            <w:vAlign w:val="top"/>
          </w:tcPr>
          <w:p w14:paraId="7260B6A9">
            <w:pPr>
              <w:spacing w:line="282" w:lineRule="auto"/>
              <w:rPr>
                <w:rFonts w:ascii="Arial"/>
                <w:sz w:val="21"/>
              </w:rPr>
            </w:pPr>
          </w:p>
          <w:p w14:paraId="3A03F0CB">
            <w:pPr>
              <w:spacing w:before="57" w:line="197" w:lineRule="auto"/>
              <w:ind w:left="265"/>
              <w:rPr>
                <w:rFonts w:ascii="Times New Roman" w:hAnsi="Times New Roman" w:eastAsia="Times New Roman" w:cs="Times New Roman"/>
                <w:sz w:val="20"/>
                <w:szCs w:val="20"/>
              </w:rPr>
            </w:pPr>
            <w:r>
              <w:rPr>
                <w:rFonts w:ascii="Times New Roman" w:hAnsi="Times New Roman" w:eastAsia="Times New Roman" w:cs="Times New Roman"/>
                <w:sz w:val="20"/>
                <w:szCs w:val="20"/>
              </w:rPr>
              <w:t>CQ</w:t>
            </w:r>
            <w:r>
              <w:rPr>
                <w:rFonts w:ascii="Times New Roman" w:hAnsi="Times New Roman" w:eastAsia="Times New Roman" w:cs="Times New Roman"/>
                <w:spacing w:val="6"/>
                <w:sz w:val="20"/>
                <w:szCs w:val="20"/>
              </w:rPr>
              <w:t>017</w:t>
            </w:r>
          </w:p>
        </w:tc>
        <w:tc>
          <w:tcPr>
            <w:tcW w:w="2365" w:type="dxa"/>
            <w:vAlign w:val="top"/>
          </w:tcPr>
          <w:p w14:paraId="13109540">
            <w:pPr>
              <w:pStyle w:val="6"/>
              <w:spacing w:before="34" w:line="231" w:lineRule="auto"/>
              <w:ind w:left="142"/>
              <w:rPr>
                <w:sz w:val="20"/>
                <w:szCs w:val="20"/>
              </w:rPr>
            </w:pPr>
            <w:r>
              <w:rPr>
                <w:spacing w:val="8"/>
                <w:sz w:val="20"/>
                <w:szCs w:val="20"/>
              </w:rPr>
              <w:t>贵州天弘矿业股份有限</w:t>
            </w:r>
          </w:p>
          <w:p w14:paraId="5966D267">
            <w:pPr>
              <w:pStyle w:val="6"/>
              <w:spacing w:before="20" w:line="232" w:lineRule="auto"/>
              <w:ind w:left="146"/>
              <w:rPr>
                <w:sz w:val="20"/>
                <w:szCs w:val="20"/>
              </w:rPr>
            </w:pPr>
            <w:r>
              <w:rPr>
                <w:spacing w:val="7"/>
                <w:sz w:val="20"/>
                <w:szCs w:val="20"/>
              </w:rPr>
              <w:t>公司黔江区鹅池镇萤石</w:t>
            </w:r>
          </w:p>
          <w:p w14:paraId="314D508F">
            <w:pPr>
              <w:pStyle w:val="6"/>
              <w:spacing w:before="22" w:line="214" w:lineRule="auto"/>
              <w:ind w:left="877"/>
              <w:rPr>
                <w:sz w:val="20"/>
                <w:szCs w:val="20"/>
              </w:rPr>
            </w:pPr>
            <w:r>
              <w:rPr>
                <w:spacing w:val="5"/>
                <w:sz w:val="20"/>
                <w:szCs w:val="20"/>
              </w:rPr>
              <w:t>开采厂</w:t>
            </w:r>
          </w:p>
        </w:tc>
        <w:tc>
          <w:tcPr>
            <w:tcW w:w="1171" w:type="dxa"/>
            <w:vAlign w:val="top"/>
          </w:tcPr>
          <w:p w14:paraId="01C9B5A9">
            <w:pPr>
              <w:pStyle w:val="6"/>
              <w:spacing w:before="34" w:line="251" w:lineRule="auto"/>
              <w:ind w:left="121" w:right="106" w:firstLine="60"/>
              <w:rPr>
                <w:sz w:val="20"/>
                <w:szCs w:val="20"/>
              </w:rPr>
            </w:pPr>
            <w:r>
              <w:rPr>
                <w:spacing w:val="4"/>
                <w:sz w:val="20"/>
                <w:szCs w:val="20"/>
              </w:rPr>
              <w:t>萤石（普</w:t>
            </w:r>
            <w:r>
              <w:rPr>
                <w:sz w:val="20"/>
                <w:szCs w:val="20"/>
              </w:rPr>
              <w:t xml:space="preserve"> </w:t>
            </w:r>
            <w:r>
              <w:rPr>
                <w:spacing w:val="-13"/>
                <w:sz w:val="20"/>
                <w:szCs w:val="20"/>
              </w:rPr>
              <w:t>通）、重晶</w:t>
            </w:r>
          </w:p>
          <w:p w14:paraId="4D4BD381">
            <w:pPr>
              <w:pStyle w:val="6"/>
              <w:spacing w:line="214" w:lineRule="auto"/>
              <w:ind w:left="492"/>
              <w:rPr>
                <w:sz w:val="20"/>
                <w:szCs w:val="20"/>
              </w:rPr>
            </w:pPr>
            <w:r>
              <w:rPr>
                <w:sz w:val="20"/>
                <w:szCs w:val="20"/>
              </w:rPr>
              <w:t>石</w:t>
            </w:r>
          </w:p>
        </w:tc>
        <w:tc>
          <w:tcPr>
            <w:tcW w:w="1962" w:type="dxa"/>
            <w:vAlign w:val="top"/>
          </w:tcPr>
          <w:p w14:paraId="49613833">
            <w:pPr>
              <w:pStyle w:val="6"/>
              <w:spacing w:before="172" w:line="251" w:lineRule="auto"/>
              <w:ind w:left="305" w:right="244" w:hanging="47"/>
              <w:rPr>
                <w:sz w:val="20"/>
                <w:szCs w:val="20"/>
              </w:rPr>
            </w:pPr>
            <w:r>
              <w:rPr>
                <w:spacing w:val="7"/>
                <w:sz w:val="20"/>
                <w:szCs w:val="20"/>
              </w:rPr>
              <w:t>渝（黔江）环准</w:t>
            </w:r>
            <w:r>
              <w:rPr>
                <w:spacing w:val="3"/>
                <w:sz w:val="20"/>
                <w:szCs w:val="20"/>
              </w:rPr>
              <w:t xml:space="preserve"> </w:t>
            </w:r>
            <w:r>
              <w:rPr>
                <w:spacing w:val="1"/>
                <w:sz w:val="20"/>
                <w:szCs w:val="20"/>
              </w:rPr>
              <w:t>〔</w:t>
            </w:r>
            <w:r>
              <w:rPr>
                <w:rFonts w:ascii="Times New Roman" w:hAnsi="Times New Roman" w:eastAsia="Times New Roman" w:cs="Times New Roman"/>
                <w:spacing w:val="1"/>
                <w:sz w:val="20"/>
                <w:szCs w:val="20"/>
              </w:rPr>
              <w:t>2018</w:t>
            </w:r>
            <w:r>
              <w:rPr>
                <w:spacing w:val="1"/>
                <w:sz w:val="20"/>
                <w:szCs w:val="20"/>
              </w:rPr>
              <w:t>〕</w:t>
            </w:r>
            <w:r>
              <w:rPr>
                <w:rFonts w:ascii="Times New Roman" w:hAnsi="Times New Roman" w:eastAsia="Times New Roman" w:cs="Times New Roman"/>
                <w:spacing w:val="1"/>
                <w:sz w:val="20"/>
                <w:szCs w:val="20"/>
              </w:rPr>
              <w:t>004</w:t>
            </w:r>
            <w:r>
              <w:rPr>
                <w:rFonts w:ascii="Times New Roman" w:hAnsi="Times New Roman" w:eastAsia="Times New Roman" w:cs="Times New Roman"/>
                <w:spacing w:val="28"/>
                <w:w w:val="101"/>
                <w:sz w:val="20"/>
                <w:szCs w:val="20"/>
              </w:rPr>
              <w:t xml:space="preserve"> </w:t>
            </w:r>
            <w:r>
              <w:rPr>
                <w:spacing w:val="1"/>
                <w:sz w:val="20"/>
                <w:szCs w:val="20"/>
              </w:rPr>
              <w:t>号</w:t>
            </w:r>
          </w:p>
        </w:tc>
        <w:tc>
          <w:tcPr>
            <w:tcW w:w="885" w:type="dxa"/>
            <w:vAlign w:val="top"/>
          </w:tcPr>
          <w:p w14:paraId="1F8B0C15">
            <w:pPr>
              <w:spacing w:line="278" w:lineRule="auto"/>
              <w:rPr>
                <w:rFonts w:ascii="Arial"/>
                <w:sz w:val="21"/>
              </w:rPr>
            </w:pPr>
          </w:p>
          <w:p w14:paraId="704BCE92">
            <w:pPr>
              <w:spacing w:before="58" w:line="199" w:lineRule="auto"/>
              <w:ind w:left="4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00" w:type="dxa"/>
            <w:vAlign w:val="top"/>
          </w:tcPr>
          <w:p w14:paraId="5A768EDC">
            <w:pPr>
              <w:pStyle w:val="6"/>
              <w:spacing w:before="300" w:line="223" w:lineRule="auto"/>
              <w:ind w:left="343"/>
            </w:pPr>
            <w:r>
              <w:rPr>
                <w:spacing w:val="-8"/>
              </w:rPr>
              <w:t>未建</w:t>
            </w:r>
          </w:p>
        </w:tc>
      </w:tr>
      <w:tr w14:paraId="3E19EB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442" w:type="dxa"/>
            <w:vAlign w:val="top"/>
          </w:tcPr>
          <w:p w14:paraId="237C958B">
            <w:pPr>
              <w:spacing w:line="284" w:lineRule="auto"/>
              <w:rPr>
                <w:rFonts w:ascii="Arial"/>
                <w:sz w:val="21"/>
              </w:rPr>
            </w:pPr>
          </w:p>
          <w:p w14:paraId="3D42C217">
            <w:pPr>
              <w:spacing w:before="57" w:line="195" w:lineRule="auto"/>
              <w:ind w:left="13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135" w:type="dxa"/>
            <w:vAlign w:val="top"/>
          </w:tcPr>
          <w:p w14:paraId="3EBE36BD">
            <w:pPr>
              <w:spacing w:line="284" w:lineRule="auto"/>
              <w:rPr>
                <w:rFonts w:ascii="Arial"/>
                <w:sz w:val="21"/>
              </w:rPr>
            </w:pPr>
          </w:p>
          <w:p w14:paraId="34064AA9">
            <w:pPr>
              <w:spacing w:before="57" w:line="197" w:lineRule="auto"/>
              <w:ind w:left="265"/>
              <w:rPr>
                <w:rFonts w:ascii="Times New Roman" w:hAnsi="Times New Roman" w:eastAsia="Times New Roman" w:cs="Times New Roman"/>
                <w:sz w:val="20"/>
                <w:szCs w:val="20"/>
              </w:rPr>
            </w:pPr>
            <w:r>
              <w:rPr>
                <w:rFonts w:ascii="Times New Roman" w:hAnsi="Times New Roman" w:eastAsia="Times New Roman" w:cs="Times New Roman"/>
                <w:sz w:val="20"/>
                <w:szCs w:val="20"/>
              </w:rPr>
              <w:t>CQ</w:t>
            </w:r>
            <w:r>
              <w:rPr>
                <w:rFonts w:ascii="Times New Roman" w:hAnsi="Times New Roman" w:eastAsia="Times New Roman" w:cs="Times New Roman"/>
                <w:spacing w:val="6"/>
                <w:sz w:val="20"/>
                <w:szCs w:val="20"/>
              </w:rPr>
              <w:t>018</w:t>
            </w:r>
          </w:p>
        </w:tc>
        <w:tc>
          <w:tcPr>
            <w:tcW w:w="2365" w:type="dxa"/>
            <w:vAlign w:val="top"/>
          </w:tcPr>
          <w:p w14:paraId="14B77CBE">
            <w:pPr>
              <w:pStyle w:val="6"/>
              <w:spacing w:before="170" w:line="251" w:lineRule="auto"/>
              <w:ind w:left="146" w:right="133" w:hanging="4"/>
              <w:rPr>
                <w:sz w:val="20"/>
                <w:szCs w:val="20"/>
              </w:rPr>
            </w:pPr>
            <w:r>
              <w:rPr>
                <w:spacing w:val="8"/>
                <w:sz w:val="20"/>
                <w:szCs w:val="20"/>
              </w:rPr>
              <w:t>贵州天弘矿业股份有限</w:t>
            </w:r>
            <w:r>
              <w:rPr>
                <w:spacing w:val="2"/>
                <w:sz w:val="20"/>
                <w:szCs w:val="20"/>
              </w:rPr>
              <w:t xml:space="preserve"> </w:t>
            </w:r>
            <w:r>
              <w:rPr>
                <w:spacing w:val="7"/>
                <w:sz w:val="20"/>
                <w:szCs w:val="20"/>
              </w:rPr>
              <w:t>公司黔江区四季采矿场</w:t>
            </w:r>
          </w:p>
        </w:tc>
        <w:tc>
          <w:tcPr>
            <w:tcW w:w="1171" w:type="dxa"/>
            <w:vAlign w:val="top"/>
          </w:tcPr>
          <w:p w14:paraId="56C15068">
            <w:pPr>
              <w:pStyle w:val="6"/>
              <w:spacing w:before="35" w:line="251" w:lineRule="auto"/>
              <w:ind w:left="121" w:right="106" w:firstLine="60"/>
              <w:rPr>
                <w:sz w:val="20"/>
                <w:szCs w:val="20"/>
              </w:rPr>
            </w:pPr>
            <w:r>
              <w:rPr>
                <w:spacing w:val="4"/>
                <w:sz w:val="20"/>
                <w:szCs w:val="20"/>
              </w:rPr>
              <w:t>萤石（普</w:t>
            </w:r>
            <w:r>
              <w:rPr>
                <w:sz w:val="20"/>
                <w:szCs w:val="20"/>
              </w:rPr>
              <w:t xml:space="preserve"> </w:t>
            </w:r>
            <w:r>
              <w:rPr>
                <w:spacing w:val="-13"/>
                <w:sz w:val="20"/>
                <w:szCs w:val="20"/>
              </w:rPr>
              <w:t>通）、重晶</w:t>
            </w:r>
          </w:p>
          <w:p w14:paraId="3334B0DD">
            <w:pPr>
              <w:pStyle w:val="6"/>
              <w:spacing w:line="215" w:lineRule="auto"/>
              <w:ind w:left="492"/>
              <w:rPr>
                <w:sz w:val="20"/>
                <w:szCs w:val="20"/>
              </w:rPr>
            </w:pPr>
            <w:r>
              <w:rPr>
                <w:sz w:val="20"/>
                <w:szCs w:val="20"/>
              </w:rPr>
              <w:t>石</w:t>
            </w:r>
          </w:p>
        </w:tc>
        <w:tc>
          <w:tcPr>
            <w:tcW w:w="1962" w:type="dxa"/>
            <w:vAlign w:val="top"/>
          </w:tcPr>
          <w:p w14:paraId="2F69B947">
            <w:pPr>
              <w:pStyle w:val="6"/>
              <w:spacing w:before="171" w:line="251" w:lineRule="auto"/>
              <w:ind w:left="305" w:right="244" w:hanging="47"/>
              <w:rPr>
                <w:sz w:val="20"/>
                <w:szCs w:val="20"/>
              </w:rPr>
            </w:pPr>
            <w:r>
              <w:rPr>
                <w:spacing w:val="7"/>
                <w:sz w:val="20"/>
                <w:szCs w:val="20"/>
              </w:rPr>
              <w:t>渝（黔江）环准</w:t>
            </w:r>
            <w:r>
              <w:rPr>
                <w:spacing w:val="3"/>
                <w:sz w:val="20"/>
                <w:szCs w:val="20"/>
              </w:rPr>
              <w:t xml:space="preserve"> </w:t>
            </w:r>
            <w:r>
              <w:rPr>
                <w:spacing w:val="1"/>
                <w:sz w:val="20"/>
                <w:szCs w:val="20"/>
              </w:rPr>
              <w:t>〔</w:t>
            </w:r>
            <w:r>
              <w:rPr>
                <w:rFonts w:ascii="Times New Roman" w:hAnsi="Times New Roman" w:eastAsia="Times New Roman" w:cs="Times New Roman"/>
                <w:spacing w:val="1"/>
                <w:sz w:val="20"/>
                <w:szCs w:val="20"/>
              </w:rPr>
              <w:t>2018</w:t>
            </w:r>
            <w:r>
              <w:rPr>
                <w:spacing w:val="1"/>
                <w:sz w:val="20"/>
                <w:szCs w:val="20"/>
              </w:rPr>
              <w:t>〕</w:t>
            </w:r>
            <w:r>
              <w:rPr>
                <w:rFonts w:ascii="Times New Roman" w:hAnsi="Times New Roman" w:eastAsia="Times New Roman" w:cs="Times New Roman"/>
                <w:spacing w:val="1"/>
                <w:sz w:val="20"/>
                <w:szCs w:val="20"/>
              </w:rPr>
              <w:t>007</w:t>
            </w:r>
            <w:r>
              <w:rPr>
                <w:rFonts w:ascii="Times New Roman" w:hAnsi="Times New Roman" w:eastAsia="Times New Roman" w:cs="Times New Roman"/>
                <w:spacing w:val="28"/>
                <w:w w:val="101"/>
                <w:sz w:val="20"/>
                <w:szCs w:val="20"/>
              </w:rPr>
              <w:t xml:space="preserve"> </w:t>
            </w:r>
            <w:r>
              <w:rPr>
                <w:spacing w:val="1"/>
                <w:sz w:val="20"/>
                <w:szCs w:val="20"/>
              </w:rPr>
              <w:t>号</w:t>
            </w:r>
          </w:p>
        </w:tc>
        <w:tc>
          <w:tcPr>
            <w:tcW w:w="885" w:type="dxa"/>
            <w:vAlign w:val="top"/>
          </w:tcPr>
          <w:p w14:paraId="4B65104D">
            <w:pPr>
              <w:spacing w:line="280" w:lineRule="auto"/>
              <w:rPr>
                <w:rFonts w:ascii="Arial"/>
                <w:sz w:val="21"/>
              </w:rPr>
            </w:pPr>
          </w:p>
          <w:p w14:paraId="2B124972">
            <w:pPr>
              <w:spacing w:before="58" w:line="199" w:lineRule="auto"/>
              <w:ind w:left="4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00" w:type="dxa"/>
            <w:vAlign w:val="top"/>
          </w:tcPr>
          <w:p w14:paraId="5D153A0C">
            <w:pPr>
              <w:pStyle w:val="6"/>
              <w:spacing w:before="300" w:line="223" w:lineRule="auto"/>
              <w:ind w:left="343"/>
            </w:pPr>
            <w:r>
              <w:rPr>
                <w:spacing w:val="-8"/>
              </w:rPr>
              <w:t>未建</w:t>
            </w:r>
          </w:p>
        </w:tc>
      </w:tr>
      <w:tr w14:paraId="359312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442" w:type="dxa"/>
            <w:vAlign w:val="top"/>
          </w:tcPr>
          <w:p w14:paraId="0134625D">
            <w:pPr>
              <w:spacing w:line="283" w:lineRule="auto"/>
              <w:rPr>
                <w:rFonts w:ascii="Arial"/>
                <w:sz w:val="21"/>
              </w:rPr>
            </w:pPr>
          </w:p>
          <w:p w14:paraId="69AA4854">
            <w:pPr>
              <w:spacing w:before="57" w:line="195" w:lineRule="auto"/>
              <w:ind w:left="13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11</w:t>
            </w:r>
          </w:p>
        </w:tc>
        <w:tc>
          <w:tcPr>
            <w:tcW w:w="1135" w:type="dxa"/>
            <w:vAlign w:val="top"/>
          </w:tcPr>
          <w:p w14:paraId="7F57C2BA">
            <w:pPr>
              <w:spacing w:line="282" w:lineRule="auto"/>
              <w:rPr>
                <w:rFonts w:ascii="Arial"/>
                <w:sz w:val="21"/>
              </w:rPr>
            </w:pPr>
          </w:p>
          <w:p w14:paraId="4F8C83F2">
            <w:pPr>
              <w:spacing w:before="58" w:line="197" w:lineRule="auto"/>
              <w:ind w:left="265"/>
              <w:rPr>
                <w:rFonts w:ascii="Times New Roman" w:hAnsi="Times New Roman" w:eastAsia="Times New Roman" w:cs="Times New Roman"/>
                <w:sz w:val="20"/>
                <w:szCs w:val="20"/>
              </w:rPr>
            </w:pPr>
            <w:r>
              <w:rPr>
                <w:rFonts w:ascii="Times New Roman" w:hAnsi="Times New Roman" w:eastAsia="Times New Roman" w:cs="Times New Roman"/>
                <w:sz w:val="20"/>
                <w:szCs w:val="20"/>
              </w:rPr>
              <w:t>CQ</w:t>
            </w:r>
            <w:r>
              <w:rPr>
                <w:rFonts w:ascii="Times New Roman" w:hAnsi="Times New Roman" w:eastAsia="Times New Roman" w:cs="Times New Roman"/>
                <w:spacing w:val="6"/>
                <w:sz w:val="20"/>
                <w:szCs w:val="20"/>
              </w:rPr>
              <w:t>019</w:t>
            </w:r>
          </w:p>
        </w:tc>
        <w:tc>
          <w:tcPr>
            <w:tcW w:w="2365" w:type="dxa"/>
            <w:vAlign w:val="top"/>
          </w:tcPr>
          <w:p w14:paraId="1CD64656">
            <w:pPr>
              <w:pStyle w:val="6"/>
              <w:spacing w:before="35" w:line="231" w:lineRule="auto"/>
              <w:ind w:left="149"/>
              <w:rPr>
                <w:sz w:val="20"/>
                <w:szCs w:val="20"/>
              </w:rPr>
            </w:pPr>
            <w:r>
              <w:rPr>
                <w:spacing w:val="7"/>
                <w:sz w:val="20"/>
                <w:szCs w:val="20"/>
              </w:rPr>
              <w:t>重庆市黔江区鑫石矿业</w:t>
            </w:r>
          </w:p>
          <w:p w14:paraId="56CD450A">
            <w:pPr>
              <w:pStyle w:val="6"/>
              <w:spacing w:before="20" w:line="231" w:lineRule="auto"/>
              <w:ind w:left="140"/>
              <w:rPr>
                <w:sz w:val="20"/>
                <w:szCs w:val="20"/>
              </w:rPr>
            </w:pPr>
            <w:r>
              <w:rPr>
                <w:spacing w:val="8"/>
                <w:sz w:val="20"/>
                <w:szCs w:val="20"/>
              </w:rPr>
              <w:t>有限责任公司铁厂坝萤</w:t>
            </w:r>
          </w:p>
          <w:p w14:paraId="6E0D7922">
            <w:pPr>
              <w:pStyle w:val="6"/>
              <w:spacing w:before="23" w:line="213" w:lineRule="auto"/>
              <w:ind w:left="668"/>
              <w:rPr>
                <w:sz w:val="20"/>
                <w:szCs w:val="20"/>
              </w:rPr>
            </w:pPr>
            <w:r>
              <w:rPr>
                <w:spacing w:val="7"/>
                <w:sz w:val="20"/>
                <w:szCs w:val="20"/>
              </w:rPr>
              <w:t>石重晶石矿</w:t>
            </w:r>
          </w:p>
        </w:tc>
        <w:tc>
          <w:tcPr>
            <w:tcW w:w="1171" w:type="dxa"/>
            <w:vAlign w:val="top"/>
          </w:tcPr>
          <w:p w14:paraId="0D26989F">
            <w:pPr>
              <w:pStyle w:val="6"/>
              <w:spacing w:before="35" w:line="251" w:lineRule="auto"/>
              <w:ind w:left="121" w:right="106" w:firstLine="60"/>
              <w:rPr>
                <w:sz w:val="20"/>
                <w:szCs w:val="20"/>
              </w:rPr>
            </w:pPr>
            <w:r>
              <w:rPr>
                <w:spacing w:val="4"/>
                <w:sz w:val="20"/>
                <w:szCs w:val="20"/>
              </w:rPr>
              <w:t>萤石（普</w:t>
            </w:r>
            <w:r>
              <w:rPr>
                <w:sz w:val="20"/>
                <w:szCs w:val="20"/>
              </w:rPr>
              <w:t xml:space="preserve"> </w:t>
            </w:r>
            <w:r>
              <w:rPr>
                <w:spacing w:val="-13"/>
                <w:sz w:val="20"/>
                <w:szCs w:val="20"/>
              </w:rPr>
              <w:t>通）、重晶</w:t>
            </w:r>
          </w:p>
          <w:p w14:paraId="1D9C3518">
            <w:pPr>
              <w:pStyle w:val="6"/>
              <w:spacing w:before="1" w:line="213" w:lineRule="auto"/>
              <w:ind w:left="492"/>
              <w:rPr>
                <w:sz w:val="20"/>
                <w:szCs w:val="20"/>
              </w:rPr>
            </w:pPr>
            <w:r>
              <w:rPr>
                <w:sz w:val="20"/>
                <w:szCs w:val="20"/>
              </w:rPr>
              <w:t>石</w:t>
            </w:r>
          </w:p>
        </w:tc>
        <w:tc>
          <w:tcPr>
            <w:tcW w:w="1962" w:type="dxa"/>
            <w:vAlign w:val="top"/>
          </w:tcPr>
          <w:p w14:paraId="0C0A44B1">
            <w:pPr>
              <w:pStyle w:val="6"/>
              <w:spacing w:before="306" w:line="231" w:lineRule="auto"/>
              <w:ind w:left="284"/>
              <w:rPr>
                <w:sz w:val="20"/>
                <w:szCs w:val="20"/>
              </w:rPr>
            </w:pPr>
            <w:r>
              <w:rPr>
                <w:spacing w:val="4"/>
                <w:sz w:val="20"/>
                <w:szCs w:val="20"/>
              </w:rPr>
              <w:t>已取得环评批复</w:t>
            </w:r>
          </w:p>
        </w:tc>
        <w:tc>
          <w:tcPr>
            <w:tcW w:w="885" w:type="dxa"/>
            <w:vAlign w:val="top"/>
          </w:tcPr>
          <w:p w14:paraId="0625A12F">
            <w:pPr>
              <w:pStyle w:val="6"/>
              <w:spacing w:before="305" w:line="232" w:lineRule="auto"/>
              <w:ind w:left="167"/>
              <w:rPr>
                <w:sz w:val="20"/>
                <w:szCs w:val="20"/>
              </w:rPr>
            </w:pPr>
            <w:r>
              <w:rPr>
                <w:spacing w:val="-4"/>
                <w:sz w:val="20"/>
                <w:szCs w:val="20"/>
              </w:rPr>
              <w:t>已验收</w:t>
            </w:r>
          </w:p>
        </w:tc>
        <w:tc>
          <w:tcPr>
            <w:tcW w:w="1100" w:type="dxa"/>
            <w:vAlign w:val="top"/>
          </w:tcPr>
          <w:p w14:paraId="10248776">
            <w:pPr>
              <w:pStyle w:val="6"/>
              <w:spacing w:before="306" w:line="231" w:lineRule="auto"/>
              <w:ind w:left="352"/>
              <w:rPr>
                <w:sz w:val="20"/>
                <w:szCs w:val="20"/>
              </w:rPr>
            </w:pPr>
            <w:r>
              <w:rPr>
                <w:spacing w:val="2"/>
                <w:sz w:val="20"/>
                <w:szCs w:val="20"/>
              </w:rPr>
              <w:t>开采</w:t>
            </w:r>
          </w:p>
        </w:tc>
      </w:tr>
      <w:tr w14:paraId="4446A9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42" w:type="dxa"/>
            <w:vAlign w:val="top"/>
          </w:tcPr>
          <w:p w14:paraId="007404FA">
            <w:pPr>
              <w:spacing w:before="207" w:line="195" w:lineRule="auto"/>
              <w:ind w:left="13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1135" w:type="dxa"/>
            <w:vAlign w:val="top"/>
          </w:tcPr>
          <w:p w14:paraId="557BA974">
            <w:pPr>
              <w:spacing w:before="207" w:line="197" w:lineRule="auto"/>
              <w:ind w:left="265"/>
              <w:rPr>
                <w:rFonts w:ascii="Times New Roman" w:hAnsi="Times New Roman" w:eastAsia="Times New Roman" w:cs="Times New Roman"/>
                <w:sz w:val="20"/>
                <w:szCs w:val="20"/>
              </w:rPr>
            </w:pPr>
            <w:r>
              <w:rPr>
                <w:rFonts w:ascii="Times New Roman" w:hAnsi="Times New Roman" w:eastAsia="Times New Roman" w:cs="Times New Roman"/>
                <w:sz w:val="20"/>
                <w:szCs w:val="20"/>
              </w:rPr>
              <w:t>CQ</w:t>
            </w:r>
            <w:r>
              <w:rPr>
                <w:rFonts w:ascii="Times New Roman" w:hAnsi="Times New Roman" w:eastAsia="Times New Roman" w:cs="Times New Roman"/>
                <w:spacing w:val="6"/>
                <w:sz w:val="20"/>
                <w:szCs w:val="20"/>
              </w:rPr>
              <w:t>020</w:t>
            </w:r>
          </w:p>
        </w:tc>
        <w:tc>
          <w:tcPr>
            <w:tcW w:w="2365" w:type="dxa"/>
            <w:vAlign w:val="top"/>
          </w:tcPr>
          <w:p w14:paraId="0FCCBF3B">
            <w:pPr>
              <w:pStyle w:val="6"/>
              <w:spacing w:before="37" w:line="232" w:lineRule="auto"/>
              <w:ind w:left="356" w:right="133" w:hanging="207"/>
              <w:rPr>
                <w:sz w:val="20"/>
                <w:szCs w:val="20"/>
              </w:rPr>
            </w:pPr>
            <w:r>
              <w:rPr>
                <w:spacing w:val="7"/>
                <w:sz w:val="20"/>
                <w:szCs w:val="20"/>
              </w:rPr>
              <w:t>重庆市黔江区蓬东乡河</w:t>
            </w:r>
            <w:r>
              <w:rPr>
                <w:spacing w:val="6"/>
                <w:sz w:val="20"/>
                <w:szCs w:val="20"/>
              </w:rPr>
              <w:t xml:space="preserve"> </w:t>
            </w:r>
            <w:r>
              <w:rPr>
                <w:spacing w:val="7"/>
                <w:sz w:val="20"/>
                <w:szCs w:val="20"/>
              </w:rPr>
              <w:t>坝坡水泥用灰岩矿</w:t>
            </w:r>
          </w:p>
        </w:tc>
        <w:tc>
          <w:tcPr>
            <w:tcW w:w="1171" w:type="dxa"/>
            <w:vAlign w:val="top"/>
          </w:tcPr>
          <w:p w14:paraId="3AF1625E">
            <w:pPr>
              <w:pStyle w:val="6"/>
              <w:spacing w:before="36" w:line="232" w:lineRule="auto"/>
              <w:ind w:left="174"/>
              <w:rPr>
                <w:sz w:val="20"/>
                <w:szCs w:val="20"/>
              </w:rPr>
            </w:pPr>
            <w:r>
              <w:rPr>
                <w:spacing w:val="6"/>
                <w:sz w:val="20"/>
                <w:szCs w:val="20"/>
              </w:rPr>
              <w:t>水泥用灰</w:t>
            </w:r>
          </w:p>
          <w:p w14:paraId="444AA362">
            <w:pPr>
              <w:pStyle w:val="6"/>
              <w:spacing w:before="20" w:line="214" w:lineRule="auto"/>
              <w:ind w:left="384"/>
              <w:rPr>
                <w:sz w:val="20"/>
                <w:szCs w:val="20"/>
              </w:rPr>
            </w:pPr>
            <w:r>
              <w:rPr>
                <w:spacing w:val="3"/>
                <w:sz w:val="20"/>
                <w:szCs w:val="20"/>
              </w:rPr>
              <w:t>岩矿</w:t>
            </w:r>
          </w:p>
        </w:tc>
        <w:tc>
          <w:tcPr>
            <w:tcW w:w="1962" w:type="dxa"/>
            <w:vAlign w:val="top"/>
          </w:tcPr>
          <w:p w14:paraId="1031F15A">
            <w:pPr>
              <w:pStyle w:val="6"/>
              <w:spacing w:before="37" w:line="232" w:lineRule="auto"/>
              <w:ind w:left="305" w:right="244" w:hanging="47"/>
              <w:rPr>
                <w:sz w:val="20"/>
                <w:szCs w:val="20"/>
              </w:rPr>
            </w:pPr>
            <w:r>
              <w:rPr>
                <w:spacing w:val="7"/>
                <w:sz w:val="20"/>
                <w:szCs w:val="20"/>
              </w:rPr>
              <w:t>渝（黔江）环准</w:t>
            </w:r>
            <w:r>
              <w:rPr>
                <w:spacing w:val="3"/>
                <w:sz w:val="20"/>
                <w:szCs w:val="20"/>
              </w:rPr>
              <w:t xml:space="preserve"> </w:t>
            </w:r>
            <w:r>
              <w:rPr>
                <w:spacing w:val="1"/>
                <w:sz w:val="20"/>
                <w:szCs w:val="20"/>
              </w:rPr>
              <w:t>〔</w:t>
            </w:r>
            <w:r>
              <w:rPr>
                <w:rFonts w:ascii="Times New Roman" w:hAnsi="Times New Roman" w:eastAsia="Times New Roman" w:cs="Times New Roman"/>
                <w:spacing w:val="1"/>
                <w:sz w:val="20"/>
                <w:szCs w:val="20"/>
              </w:rPr>
              <w:t>2020</w:t>
            </w:r>
            <w:r>
              <w:rPr>
                <w:spacing w:val="1"/>
                <w:sz w:val="20"/>
                <w:szCs w:val="20"/>
              </w:rPr>
              <w:t>〕</w:t>
            </w:r>
            <w:r>
              <w:rPr>
                <w:rFonts w:ascii="Times New Roman" w:hAnsi="Times New Roman" w:eastAsia="Times New Roman" w:cs="Times New Roman"/>
                <w:spacing w:val="1"/>
                <w:sz w:val="20"/>
                <w:szCs w:val="20"/>
              </w:rPr>
              <w:t>037</w:t>
            </w:r>
            <w:r>
              <w:rPr>
                <w:rFonts w:ascii="Times New Roman" w:hAnsi="Times New Roman" w:eastAsia="Times New Roman" w:cs="Times New Roman"/>
                <w:spacing w:val="28"/>
                <w:w w:val="101"/>
                <w:sz w:val="20"/>
                <w:szCs w:val="20"/>
              </w:rPr>
              <w:t xml:space="preserve"> </w:t>
            </w:r>
            <w:r>
              <w:rPr>
                <w:spacing w:val="1"/>
                <w:sz w:val="20"/>
                <w:szCs w:val="20"/>
              </w:rPr>
              <w:t>号</w:t>
            </w:r>
          </w:p>
        </w:tc>
        <w:tc>
          <w:tcPr>
            <w:tcW w:w="885" w:type="dxa"/>
            <w:vAlign w:val="top"/>
          </w:tcPr>
          <w:p w14:paraId="32DE8F08">
            <w:pPr>
              <w:pStyle w:val="6"/>
              <w:spacing w:before="171" w:line="232" w:lineRule="auto"/>
              <w:ind w:left="167"/>
              <w:rPr>
                <w:sz w:val="20"/>
                <w:szCs w:val="20"/>
              </w:rPr>
            </w:pPr>
            <w:r>
              <w:rPr>
                <w:spacing w:val="-4"/>
                <w:sz w:val="20"/>
                <w:szCs w:val="20"/>
              </w:rPr>
              <w:t>已验收</w:t>
            </w:r>
          </w:p>
        </w:tc>
        <w:tc>
          <w:tcPr>
            <w:tcW w:w="1100" w:type="dxa"/>
            <w:vAlign w:val="top"/>
          </w:tcPr>
          <w:p w14:paraId="240F0058">
            <w:pPr>
              <w:pStyle w:val="6"/>
              <w:spacing w:before="171" w:line="231" w:lineRule="auto"/>
              <w:ind w:left="352"/>
              <w:rPr>
                <w:sz w:val="20"/>
                <w:szCs w:val="20"/>
              </w:rPr>
            </w:pPr>
            <w:r>
              <w:rPr>
                <w:spacing w:val="2"/>
                <w:sz w:val="20"/>
                <w:szCs w:val="20"/>
              </w:rPr>
              <w:t>开采</w:t>
            </w:r>
          </w:p>
        </w:tc>
      </w:tr>
      <w:tr w14:paraId="381B82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42" w:type="dxa"/>
            <w:vAlign w:val="top"/>
          </w:tcPr>
          <w:p w14:paraId="750EF38C">
            <w:pPr>
              <w:spacing w:before="206" w:line="195" w:lineRule="auto"/>
              <w:ind w:left="13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1135" w:type="dxa"/>
            <w:vAlign w:val="top"/>
          </w:tcPr>
          <w:p w14:paraId="6A700C97">
            <w:pPr>
              <w:spacing w:before="206" w:line="197" w:lineRule="auto"/>
              <w:ind w:left="265"/>
              <w:rPr>
                <w:rFonts w:ascii="Times New Roman" w:hAnsi="Times New Roman" w:eastAsia="Times New Roman" w:cs="Times New Roman"/>
                <w:sz w:val="20"/>
                <w:szCs w:val="20"/>
              </w:rPr>
            </w:pPr>
            <w:r>
              <w:rPr>
                <w:rFonts w:ascii="Times New Roman" w:hAnsi="Times New Roman" w:eastAsia="Times New Roman" w:cs="Times New Roman"/>
                <w:sz w:val="20"/>
                <w:szCs w:val="20"/>
              </w:rPr>
              <w:t>CQ</w:t>
            </w:r>
            <w:r>
              <w:rPr>
                <w:rFonts w:ascii="Times New Roman" w:hAnsi="Times New Roman" w:eastAsia="Times New Roman" w:cs="Times New Roman"/>
                <w:spacing w:val="6"/>
                <w:sz w:val="20"/>
                <w:szCs w:val="20"/>
              </w:rPr>
              <w:t>021</w:t>
            </w:r>
          </w:p>
        </w:tc>
        <w:tc>
          <w:tcPr>
            <w:tcW w:w="2365" w:type="dxa"/>
            <w:vAlign w:val="top"/>
          </w:tcPr>
          <w:p w14:paraId="038FB078">
            <w:pPr>
              <w:pStyle w:val="6"/>
              <w:spacing w:before="35" w:line="233" w:lineRule="auto"/>
              <w:ind w:left="253" w:right="133" w:hanging="107"/>
              <w:rPr>
                <w:sz w:val="20"/>
                <w:szCs w:val="20"/>
              </w:rPr>
            </w:pPr>
            <w:r>
              <w:rPr>
                <w:spacing w:val="7"/>
                <w:sz w:val="20"/>
                <w:szCs w:val="20"/>
              </w:rPr>
              <w:t>黔江区杉岭乡兴隆村后</w:t>
            </w:r>
            <w:r>
              <w:rPr>
                <w:spacing w:val="8"/>
                <w:sz w:val="20"/>
                <w:szCs w:val="20"/>
              </w:rPr>
              <w:t xml:space="preserve"> </w:t>
            </w:r>
            <w:r>
              <w:rPr>
                <w:spacing w:val="7"/>
                <w:sz w:val="20"/>
                <w:szCs w:val="20"/>
              </w:rPr>
              <w:t>河建筑石料用灰岩矿</w:t>
            </w:r>
          </w:p>
        </w:tc>
        <w:tc>
          <w:tcPr>
            <w:tcW w:w="1171" w:type="dxa"/>
            <w:vAlign w:val="top"/>
          </w:tcPr>
          <w:p w14:paraId="3378F2F6">
            <w:pPr>
              <w:pStyle w:val="6"/>
              <w:spacing w:before="35" w:line="233" w:lineRule="auto"/>
              <w:ind w:left="280" w:right="166" w:hanging="105"/>
              <w:rPr>
                <w:sz w:val="20"/>
                <w:szCs w:val="20"/>
              </w:rPr>
            </w:pPr>
            <w:r>
              <w:rPr>
                <w:spacing w:val="5"/>
                <w:sz w:val="20"/>
                <w:szCs w:val="20"/>
              </w:rPr>
              <w:t>建筑石料</w:t>
            </w:r>
            <w:r>
              <w:rPr>
                <w:spacing w:val="2"/>
                <w:sz w:val="20"/>
                <w:szCs w:val="20"/>
              </w:rPr>
              <w:t xml:space="preserve"> </w:t>
            </w:r>
            <w:r>
              <w:rPr>
                <w:spacing w:val="5"/>
                <w:sz w:val="20"/>
                <w:szCs w:val="20"/>
              </w:rPr>
              <w:t>用灰岩</w:t>
            </w:r>
          </w:p>
        </w:tc>
        <w:tc>
          <w:tcPr>
            <w:tcW w:w="1962" w:type="dxa"/>
            <w:vAlign w:val="top"/>
          </w:tcPr>
          <w:p w14:paraId="74B235F1">
            <w:pPr>
              <w:pStyle w:val="6"/>
              <w:spacing w:before="35" w:line="233" w:lineRule="auto"/>
              <w:ind w:left="358" w:right="244" w:hanging="100"/>
              <w:rPr>
                <w:sz w:val="20"/>
                <w:szCs w:val="20"/>
              </w:rPr>
            </w:pPr>
            <w:r>
              <w:rPr>
                <w:spacing w:val="7"/>
                <w:sz w:val="20"/>
                <w:szCs w:val="20"/>
              </w:rPr>
              <w:t>渝（黔江）环准</w:t>
            </w:r>
            <w:r>
              <w:rPr>
                <w:spacing w:val="3"/>
                <w:sz w:val="20"/>
                <w:szCs w:val="20"/>
              </w:rPr>
              <w:t xml:space="preserve"> </w:t>
            </w:r>
            <w:r>
              <w:rPr>
                <w:spacing w:val="1"/>
                <w:sz w:val="20"/>
                <w:szCs w:val="20"/>
              </w:rPr>
              <w:t>〔</w:t>
            </w:r>
            <w:r>
              <w:rPr>
                <w:rFonts w:ascii="Times New Roman" w:hAnsi="Times New Roman" w:eastAsia="Times New Roman" w:cs="Times New Roman"/>
                <w:spacing w:val="1"/>
                <w:sz w:val="20"/>
                <w:szCs w:val="20"/>
              </w:rPr>
              <w:t>2024</w:t>
            </w:r>
            <w:r>
              <w:rPr>
                <w:spacing w:val="1"/>
                <w:sz w:val="20"/>
                <w:szCs w:val="20"/>
              </w:rPr>
              <w:t>〕</w:t>
            </w:r>
            <w:r>
              <w:rPr>
                <w:rFonts w:ascii="Times New Roman" w:hAnsi="Times New Roman" w:eastAsia="Times New Roman" w:cs="Times New Roman"/>
                <w:spacing w:val="1"/>
                <w:sz w:val="20"/>
                <w:szCs w:val="20"/>
              </w:rPr>
              <w:t>19</w:t>
            </w:r>
            <w:r>
              <w:rPr>
                <w:rFonts w:ascii="Times New Roman" w:hAnsi="Times New Roman" w:eastAsia="Times New Roman" w:cs="Times New Roman"/>
                <w:spacing w:val="24"/>
                <w:sz w:val="20"/>
                <w:szCs w:val="20"/>
              </w:rPr>
              <w:t xml:space="preserve"> </w:t>
            </w:r>
            <w:r>
              <w:rPr>
                <w:spacing w:val="1"/>
                <w:sz w:val="20"/>
                <w:szCs w:val="20"/>
              </w:rPr>
              <w:t>号</w:t>
            </w:r>
          </w:p>
        </w:tc>
        <w:tc>
          <w:tcPr>
            <w:tcW w:w="885" w:type="dxa"/>
            <w:vAlign w:val="top"/>
          </w:tcPr>
          <w:p w14:paraId="3DC2276C">
            <w:pPr>
              <w:spacing w:before="203" w:line="199" w:lineRule="auto"/>
              <w:ind w:left="4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00" w:type="dxa"/>
            <w:vAlign w:val="top"/>
          </w:tcPr>
          <w:p w14:paraId="2F98CA06">
            <w:pPr>
              <w:pStyle w:val="6"/>
              <w:spacing w:before="170" w:line="232" w:lineRule="auto"/>
              <w:ind w:left="246"/>
              <w:rPr>
                <w:sz w:val="20"/>
                <w:szCs w:val="20"/>
              </w:rPr>
            </w:pPr>
            <w:r>
              <w:rPr>
                <w:spacing w:val="5"/>
                <w:sz w:val="20"/>
                <w:szCs w:val="20"/>
              </w:rPr>
              <w:t>建设期</w:t>
            </w:r>
          </w:p>
        </w:tc>
      </w:tr>
      <w:tr w14:paraId="0E5BAF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442" w:type="dxa"/>
            <w:vAlign w:val="top"/>
          </w:tcPr>
          <w:p w14:paraId="271C421E">
            <w:pPr>
              <w:spacing w:line="264" w:lineRule="auto"/>
              <w:rPr>
                <w:rFonts w:ascii="Arial"/>
                <w:sz w:val="21"/>
              </w:rPr>
            </w:pPr>
          </w:p>
          <w:p w14:paraId="6E2DD5AB">
            <w:pPr>
              <w:spacing w:before="58" w:line="195" w:lineRule="auto"/>
              <w:ind w:left="13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1135" w:type="dxa"/>
            <w:vAlign w:val="top"/>
          </w:tcPr>
          <w:p w14:paraId="1941DB68">
            <w:pPr>
              <w:spacing w:line="264" w:lineRule="auto"/>
              <w:rPr>
                <w:rFonts w:ascii="Arial"/>
                <w:sz w:val="21"/>
              </w:rPr>
            </w:pPr>
          </w:p>
          <w:p w14:paraId="19F780CC">
            <w:pPr>
              <w:spacing w:before="58" w:line="197" w:lineRule="auto"/>
              <w:ind w:left="265"/>
              <w:rPr>
                <w:rFonts w:ascii="Times New Roman" w:hAnsi="Times New Roman" w:eastAsia="Times New Roman" w:cs="Times New Roman"/>
                <w:sz w:val="20"/>
                <w:szCs w:val="20"/>
              </w:rPr>
            </w:pPr>
            <w:r>
              <w:rPr>
                <w:rFonts w:ascii="Times New Roman" w:hAnsi="Times New Roman" w:eastAsia="Times New Roman" w:cs="Times New Roman"/>
                <w:sz w:val="20"/>
                <w:szCs w:val="20"/>
              </w:rPr>
              <w:t>CQ</w:t>
            </w:r>
            <w:r>
              <w:rPr>
                <w:rFonts w:ascii="Times New Roman" w:hAnsi="Times New Roman" w:eastAsia="Times New Roman" w:cs="Times New Roman"/>
                <w:spacing w:val="6"/>
                <w:sz w:val="20"/>
                <w:szCs w:val="20"/>
              </w:rPr>
              <w:t>022</w:t>
            </w:r>
          </w:p>
        </w:tc>
        <w:tc>
          <w:tcPr>
            <w:tcW w:w="2365" w:type="dxa"/>
            <w:vAlign w:val="top"/>
          </w:tcPr>
          <w:p w14:paraId="4E7E642C">
            <w:pPr>
              <w:pStyle w:val="6"/>
              <w:spacing w:before="34" w:line="231" w:lineRule="auto"/>
              <w:ind w:left="196"/>
              <w:rPr>
                <w:sz w:val="19"/>
                <w:szCs w:val="19"/>
              </w:rPr>
            </w:pPr>
            <w:r>
              <w:rPr>
                <w:spacing w:val="8"/>
                <w:sz w:val="19"/>
                <w:szCs w:val="19"/>
              </w:rPr>
              <w:t>黔江区蓬东乡尖山村六</w:t>
            </w:r>
          </w:p>
          <w:p w14:paraId="24DB7BB7">
            <w:pPr>
              <w:pStyle w:val="6"/>
              <w:spacing w:before="22" w:line="229" w:lineRule="auto"/>
              <w:ind w:left="193"/>
              <w:rPr>
                <w:sz w:val="19"/>
                <w:szCs w:val="19"/>
              </w:rPr>
            </w:pPr>
            <w:r>
              <w:rPr>
                <w:spacing w:val="8"/>
                <w:sz w:val="19"/>
                <w:szCs w:val="19"/>
              </w:rPr>
              <w:t>组道湾建筑石料用灰岩</w:t>
            </w:r>
          </w:p>
          <w:p w14:paraId="0105B194">
            <w:pPr>
              <w:pStyle w:val="6"/>
              <w:spacing w:before="23" w:line="217" w:lineRule="auto"/>
              <w:ind w:left="1092"/>
              <w:rPr>
                <w:sz w:val="19"/>
                <w:szCs w:val="19"/>
              </w:rPr>
            </w:pPr>
            <w:r>
              <w:rPr>
                <w:sz w:val="19"/>
                <w:szCs w:val="19"/>
              </w:rPr>
              <w:t>矿</w:t>
            </w:r>
          </w:p>
        </w:tc>
        <w:tc>
          <w:tcPr>
            <w:tcW w:w="1171" w:type="dxa"/>
            <w:vAlign w:val="top"/>
          </w:tcPr>
          <w:p w14:paraId="3ECD887C">
            <w:pPr>
              <w:pStyle w:val="6"/>
              <w:spacing w:before="152" w:line="251" w:lineRule="auto"/>
              <w:ind w:left="280" w:right="166" w:hanging="105"/>
              <w:rPr>
                <w:sz w:val="20"/>
                <w:szCs w:val="20"/>
              </w:rPr>
            </w:pPr>
            <w:r>
              <w:rPr>
                <w:spacing w:val="5"/>
                <w:sz w:val="20"/>
                <w:szCs w:val="20"/>
              </w:rPr>
              <w:t>建筑石料</w:t>
            </w:r>
            <w:r>
              <w:rPr>
                <w:spacing w:val="2"/>
                <w:sz w:val="20"/>
                <w:szCs w:val="20"/>
              </w:rPr>
              <w:t xml:space="preserve"> </w:t>
            </w:r>
            <w:r>
              <w:rPr>
                <w:spacing w:val="5"/>
                <w:sz w:val="20"/>
                <w:szCs w:val="20"/>
              </w:rPr>
              <w:t>用灰岩</w:t>
            </w:r>
          </w:p>
        </w:tc>
        <w:tc>
          <w:tcPr>
            <w:tcW w:w="1962" w:type="dxa"/>
            <w:vAlign w:val="top"/>
          </w:tcPr>
          <w:p w14:paraId="6785FACC">
            <w:pPr>
              <w:pStyle w:val="6"/>
              <w:spacing w:before="152" w:line="251" w:lineRule="auto"/>
              <w:ind w:left="358" w:right="244" w:hanging="100"/>
              <w:rPr>
                <w:sz w:val="20"/>
                <w:szCs w:val="20"/>
              </w:rPr>
            </w:pPr>
            <w:r>
              <w:rPr>
                <w:spacing w:val="7"/>
                <w:sz w:val="20"/>
                <w:szCs w:val="20"/>
              </w:rPr>
              <w:t>渝（黔江）环准</w:t>
            </w:r>
            <w:r>
              <w:rPr>
                <w:spacing w:val="3"/>
                <w:sz w:val="20"/>
                <w:szCs w:val="20"/>
              </w:rPr>
              <w:t xml:space="preserve"> </w:t>
            </w:r>
            <w:r>
              <w:rPr>
                <w:spacing w:val="1"/>
                <w:sz w:val="20"/>
                <w:szCs w:val="20"/>
              </w:rPr>
              <w:t>〔</w:t>
            </w:r>
            <w:r>
              <w:rPr>
                <w:rFonts w:ascii="Times New Roman" w:hAnsi="Times New Roman" w:eastAsia="Times New Roman" w:cs="Times New Roman"/>
                <w:spacing w:val="1"/>
                <w:sz w:val="20"/>
                <w:szCs w:val="20"/>
              </w:rPr>
              <w:t>2022</w:t>
            </w:r>
            <w:r>
              <w:rPr>
                <w:spacing w:val="1"/>
                <w:sz w:val="20"/>
                <w:szCs w:val="20"/>
              </w:rPr>
              <w:t>〕</w:t>
            </w:r>
            <w:r>
              <w:rPr>
                <w:rFonts w:ascii="Times New Roman" w:hAnsi="Times New Roman" w:eastAsia="Times New Roman" w:cs="Times New Roman"/>
                <w:spacing w:val="1"/>
                <w:sz w:val="20"/>
                <w:szCs w:val="20"/>
              </w:rPr>
              <w:t>21</w:t>
            </w:r>
            <w:r>
              <w:rPr>
                <w:rFonts w:ascii="Times New Roman" w:hAnsi="Times New Roman" w:eastAsia="Times New Roman" w:cs="Times New Roman"/>
                <w:spacing w:val="24"/>
                <w:sz w:val="20"/>
                <w:szCs w:val="20"/>
              </w:rPr>
              <w:t xml:space="preserve"> </w:t>
            </w:r>
            <w:r>
              <w:rPr>
                <w:spacing w:val="1"/>
                <w:sz w:val="20"/>
                <w:szCs w:val="20"/>
              </w:rPr>
              <w:t>号</w:t>
            </w:r>
          </w:p>
        </w:tc>
        <w:tc>
          <w:tcPr>
            <w:tcW w:w="885" w:type="dxa"/>
            <w:vAlign w:val="top"/>
          </w:tcPr>
          <w:p w14:paraId="1F785CDE">
            <w:pPr>
              <w:pStyle w:val="6"/>
              <w:spacing w:before="287" w:line="232" w:lineRule="auto"/>
              <w:ind w:left="167"/>
              <w:rPr>
                <w:sz w:val="20"/>
                <w:szCs w:val="20"/>
              </w:rPr>
            </w:pPr>
            <w:r>
              <w:rPr>
                <w:spacing w:val="-4"/>
                <w:sz w:val="20"/>
                <w:szCs w:val="20"/>
              </w:rPr>
              <w:t>已验收</w:t>
            </w:r>
          </w:p>
        </w:tc>
        <w:tc>
          <w:tcPr>
            <w:tcW w:w="1100" w:type="dxa"/>
            <w:vAlign w:val="top"/>
          </w:tcPr>
          <w:p w14:paraId="39AF8340">
            <w:pPr>
              <w:pStyle w:val="6"/>
              <w:spacing w:before="287" w:line="231" w:lineRule="auto"/>
              <w:ind w:left="352"/>
              <w:rPr>
                <w:sz w:val="20"/>
                <w:szCs w:val="20"/>
              </w:rPr>
            </w:pPr>
            <w:r>
              <w:rPr>
                <w:spacing w:val="2"/>
                <w:sz w:val="20"/>
                <w:szCs w:val="20"/>
              </w:rPr>
              <w:t>开采</w:t>
            </w:r>
          </w:p>
        </w:tc>
      </w:tr>
    </w:tbl>
    <w:p w14:paraId="5BD520C4">
      <w:pPr>
        <w:spacing w:before="143" w:line="228" w:lineRule="auto"/>
        <w:ind w:left="652"/>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2</w:t>
      </w:r>
      <w:r>
        <w:rPr>
          <w:rFonts w:ascii="仿宋" w:hAnsi="仿宋" w:eastAsia="仿宋" w:cs="仿宋"/>
          <w:spacing w:val="7"/>
          <w:sz w:val="25"/>
          <w:szCs w:val="25"/>
        </w:rPr>
        <w:t>）环保督察处理情况</w:t>
      </w:r>
    </w:p>
    <w:p w14:paraId="3226A253">
      <w:pPr>
        <w:spacing w:line="228" w:lineRule="auto"/>
        <w:rPr>
          <w:rFonts w:ascii="仿宋" w:hAnsi="仿宋" w:eastAsia="仿宋" w:cs="仿宋"/>
          <w:sz w:val="25"/>
          <w:szCs w:val="25"/>
        </w:rPr>
        <w:sectPr>
          <w:headerReference r:id="rId143" w:type="default"/>
          <w:footerReference r:id="rId144" w:type="default"/>
          <w:pgSz w:w="11906" w:h="16839"/>
          <w:pgMar w:top="1116" w:right="1364" w:bottom="1480" w:left="1476" w:header="683" w:footer="1318" w:gutter="0"/>
          <w:cols w:space="720" w:num="1"/>
        </w:sectPr>
      </w:pPr>
    </w:p>
    <w:p w14:paraId="3AF08601">
      <w:pPr>
        <w:pStyle w:val="2"/>
        <w:spacing w:line="385" w:lineRule="auto"/>
      </w:pPr>
    </w:p>
    <w:p w14:paraId="154B2BB6">
      <w:pPr>
        <w:spacing w:before="82" w:line="340" w:lineRule="auto"/>
        <w:ind w:left="117" w:firstLine="509"/>
        <w:jc w:val="both"/>
        <w:rPr>
          <w:rFonts w:ascii="仿宋" w:hAnsi="仿宋" w:eastAsia="仿宋" w:cs="仿宋"/>
          <w:sz w:val="25"/>
          <w:szCs w:val="25"/>
        </w:rPr>
      </w:pPr>
      <w:r>
        <w:rPr>
          <w:rFonts w:ascii="Times New Roman" w:hAnsi="Times New Roman" w:eastAsia="Times New Roman" w:cs="Times New Roman"/>
          <w:spacing w:val="7"/>
          <w:sz w:val="25"/>
          <w:szCs w:val="25"/>
        </w:rPr>
        <w:t>2023</w:t>
      </w:r>
      <w:r>
        <w:rPr>
          <w:rFonts w:ascii="Times New Roman" w:hAnsi="Times New Roman" w:eastAsia="Times New Roman" w:cs="Times New Roman"/>
          <w:spacing w:val="35"/>
          <w:sz w:val="25"/>
          <w:szCs w:val="25"/>
        </w:rPr>
        <w:t xml:space="preserve"> </w:t>
      </w:r>
      <w:r>
        <w:rPr>
          <w:rFonts w:ascii="仿宋" w:hAnsi="仿宋" w:eastAsia="仿宋" w:cs="仿宋"/>
          <w:spacing w:val="7"/>
          <w:sz w:val="25"/>
          <w:szCs w:val="25"/>
        </w:rPr>
        <w:t>年初，重庆市生态环境督察办向黔江区生态局移交了《</w:t>
      </w:r>
      <w:r>
        <w:rPr>
          <w:rFonts w:ascii="Times New Roman" w:hAnsi="Times New Roman" w:eastAsia="Times New Roman" w:cs="Times New Roman"/>
          <w:spacing w:val="7"/>
          <w:sz w:val="25"/>
          <w:szCs w:val="25"/>
        </w:rPr>
        <w:t>2022</w:t>
      </w:r>
      <w:r>
        <w:rPr>
          <w:rFonts w:ascii="Times New Roman" w:hAnsi="Times New Roman" w:eastAsia="Times New Roman" w:cs="Times New Roman"/>
          <w:spacing w:val="27"/>
          <w:sz w:val="25"/>
          <w:szCs w:val="25"/>
        </w:rPr>
        <w:t xml:space="preserve"> </w:t>
      </w:r>
      <w:r>
        <w:rPr>
          <w:rFonts w:ascii="仿宋" w:hAnsi="仿宋" w:eastAsia="仿宋" w:cs="仿宋"/>
          <w:spacing w:val="7"/>
          <w:sz w:val="25"/>
          <w:szCs w:val="25"/>
        </w:rPr>
        <w:t>年重庆</w:t>
      </w:r>
      <w:r>
        <w:rPr>
          <w:rFonts w:ascii="仿宋" w:hAnsi="仿宋" w:eastAsia="仿宋" w:cs="仿宋"/>
          <w:sz w:val="25"/>
          <w:szCs w:val="25"/>
        </w:rPr>
        <w:t xml:space="preserve"> </w:t>
      </w:r>
      <w:r>
        <w:rPr>
          <w:rFonts w:ascii="仿宋" w:hAnsi="仿宋" w:eastAsia="仿宋" w:cs="仿宋"/>
          <w:spacing w:val="7"/>
          <w:sz w:val="25"/>
          <w:szCs w:val="25"/>
        </w:rPr>
        <w:t>市生态环境警示片》问题清单：黔江区已关闭</w:t>
      </w:r>
      <w:r>
        <w:rPr>
          <w:rFonts w:ascii="仿宋" w:hAnsi="仿宋" w:eastAsia="仿宋" w:cs="仿宋"/>
          <w:spacing w:val="6"/>
          <w:sz w:val="25"/>
          <w:szCs w:val="25"/>
        </w:rPr>
        <w:t>的连铭煤矿部分生产设施设备未</w:t>
      </w:r>
      <w:r>
        <w:rPr>
          <w:rFonts w:ascii="仿宋" w:hAnsi="仿宋" w:eastAsia="仿宋" w:cs="仿宋"/>
          <w:sz w:val="25"/>
          <w:szCs w:val="25"/>
        </w:rPr>
        <w:t xml:space="preserve"> </w:t>
      </w:r>
      <w:r>
        <w:rPr>
          <w:rFonts w:ascii="仿宋" w:hAnsi="仿宋" w:eastAsia="仿宋" w:cs="仿宋"/>
          <w:spacing w:val="7"/>
          <w:sz w:val="25"/>
          <w:szCs w:val="25"/>
        </w:rPr>
        <w:t>拆除，未实施生态修复。针对重庆市环保督察指出的</w:t>
      </w:r>
      <w:r>
        <w:rPr>
          <w:rFonts w:ascii="仿宋" w:hAnsi="仿宋" w:eastAsia="仿宋" w:cs="仿宋"/>
          <w:spacing w:val="6"/>
          <w:sz w:val="25"/>
          <w:szCs w:val="25"/>
        </w:rPr>
        <w:t>问题，黔江区规划和自然</w:t>
      </w:r>
      <w:r>
        <w:rPr>
          <w:rFonts w:ascii="仿宋" w:hAnsi="仿宋" w:eastAsia="仿宋" w:cs="仿宋"/>
          <w:sz w:val="25"/>
          <w:szCs w:val="25"/>
        </w:rPr>
        <w:t xml:space="preserve"> </w:t>
      </w:r>
      <w:r>
        <w:rPr>
          <w:rFonts w:ascii="仿宋" w:hAnsi="仿宋" w:eastAsia="仿宋" w:cs="仿宋"/>
          <w:spacing w:val="7"/>
          <w:sz w:val="25"/>
          <w:szCs w:val="25"/>
        </w:rPr>
        <w:t>资源局及相关部门十分重视，按要求进行整改</w:t>
      </w:r>
      <w:r>
        <w:rPr>
          <w:rFonts w:ascii="仿宋" w:hAnsi="仿宋" w:eastAsia="仿宋" w:cs="仿宋"/>
          <w:spacing w:val="6"/>
          <w:sz w:val="25"/>
          <w:szCs w:val="25"/>
        </w:rPr>
        <w:t>，现就矿山环保投诉问题及整改</w:t>
      </w:r>
      <w:r>
        <w:rPr>
          <w:rFonts w:ascii="仿宋" w:hAnsi="仿宋" w:eastAsia="仿宋" w:cs="仿宋"/>
          <w:sz w:val="25"/>
          <w:szCs w:val="25"/>
        </w:rPr>
        <w:t xml:space="preserve"> </w:t>
      </w:r>
      <w:r>
        <w:rPr>
          <w:rFonts w:ascii="仿宋" w:hAnsi="仿宋" w:eastAsia="仿宋" w:cs="仿宋"/>
          <w:spacing w:val="6"/>
          <w:sz w:val="25"/>
          <w:szCs w:val="25"/>
        </w:rPr>
        <w:t>情况汇总如下。</w:t>
      </w:r>
    </w:p>
    <w:p w14:paraId="4E348745">
      <w:pPr>
        <w:spacing w:line="340" w:lineRule="auto"/>
        <w:rPr>
          <w:rFonts w:ascii="仿宋" w:hAnsi="仿宋" w:eastAsia="仿宋" w:cs="仿宋"/>
          <w:sz w:val="25"/>
          <w:szCs w:val="25"/>
        </w:rPr>
        <w:sectPr>
          <w:headerReference r:id="rId145" w:type="default"/>
          <w:footerReference r:id="rId146" w:type="default"/>
          <w:pgSz w:w="11906" w:h="16839"/>
          <w:pgMar w:top="1116" w:right="1473" w:bottom="1480" w:left="1587" w:header="683" w:footer="1318" w:gutter="0"/>
          <w:cols w:space="720" w:num="1"/>
        </w:sectPr>
      </w:pPr>
    </w:p>
    <w:p w14:paraId="09FE535F">
      <w:pPr>
        <w:pStyle w:val="2"/>
        <w:spacing w:line="295" w:lineRule="auto"/>
      </w:pPr>
    </w:p>
    <w:p w14:paraId="0FF1E40C">
      <w:pPr>
        <w:pStyle w:val="2"/>
        <w:spacing w:line="295" w:lineRule="auto"/>
      </w:pPr>
    </w:p>
    <w:p w14:paraId="507D38B3">
      <w:pPr>
        <w:spacing w:before="65" w:line="229" w:lineRule="auto"/>
        <w:ind w:left="5830"/>
        <w:rPr>
          <w:rFonts w:ascii="仿宋" w:hAnsi="仿宋" w:eastAsia="仿宋" w:cs="仿宋"/>
          <w:sz w:val="20"/>
          <w:szCs w:val="20"/>
        </w:rPr>
      </w:pPr>
      <w:r>
        <w:rPr>
          <w:rFonts w:ascii="Times New Roman" w:hAnsi="Times New Roman" w:eastAsia="Times New Roman" w:cs="Times New Roman"/>
          <w:b/>
          <w:bCs/>
          <w:spacing w:val="6"/>
          <w:sz w:val="20"/>
          <w:szCs w:val="20"/>
        </w:rPr>
        <w:t xml:space="preserve">3.2-11  </w:t>
      </w:r>
      <w:r>
        <w:rPr>
          <w:rFonts w:ascii="仿宋" w:hAnsi="仿宋" w:eastAsia="仿宋" w:cs="仿宋"/>
          <w:b/>
          <w:bCs/>
          <w:spacing w:val="6"/>
          <w:sz w:val="20"/>
          <w:szCs w:val="20"/>
        </w:rPr>
        <w:t>环保督察处理和整改情况</w:t>
      </w:r>
    </w:p>
    <w:p w14:paraId="472902B5">
      <w:pPr>
        <w:spacing w:line="23" w:lineRule="exact"/>
      </w:pPr>
    </w:p>
    <w:tbl>
      <w:tblPr>
        <w:tblStyle w:val="5"/>
        <w:tblW w:w="14166"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8"/>
        <w:gridCol w:w="2438"/>
        <w:gridCol w:w="1488"/>
        <w:gridCol w:w="4080"/>
        <w:gridCol w:w="4041"/>
        <w:gridCol w:w="1421"/>
      </w:tblGrid>
      <w:tr w14:paraId="7422C9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6" w:hRule="atLeast"/>
        </w:trPr>
        <w:tc>
          <w:tcPr>
            <w:tcW w:w="698" w:type="dxa"/>
            <w:tcBorders>
              <w:top w:val="single" w:color="000000" w:sz="10" w:space="0"/>
              <w:left w:val="single" w:color="000000" w:sz="10" w:space="0"/>
            </w:tcBorders>
            <w:vAlign w:val="top"/>
          </w:tcPr>
          <w:p w14:paraId="46ECC6AB">
            <w:pPr>
              <w:pStyle w:val="6"/>
              <w:spacing w:before="298" w:line="231" w:lineRule="auto"/>
              <w:ind w:left="135"/>
              <w:rPr>
                <w:sz w:val="20"/>
                <w:szCs w:val="20"/>
              </w:rPr>
            </w:pPr>
            <w:r>
              <w:rPr>
                <w:spacing w:val="2"/>
                <w:sz w:val="20"/>
                <w:szCs w:val="20"/>
              </w:rPr>
              <w:t>序号</w:t>
            </w:r>
          </w:p>
        </w:tc>
        <w:tc>
          <w:tcPr>
            <w:tcW w:w="2438" w:type="dxa"/>
            <w:tcBorders>
              <w:top w:val="single" w:color="000000" w:sz="10" w:space="0"/>
            </w:tcBorders>
            <w:vAlign w:val="top"/>
          </w:tcPr>
          <w:p w14:paraId="7A1A5F22">
            <w:pPr>
              <w:pStyle w:val="6"/>
              <w:spacing w:before="298" w:line="231" w:lineRule="auto"/>
              <w:ind w:left="609"/>
              <w:rPr>
                <w:sz w:val="20"/>
                <w:szCs w:val="20"/>
              </w:rPr>
            </w:pPr>
            <w:r>
              <w:rPr>
                <w:spacing w:val="3"/>
                <w:sz w:val="20"/>
                <w:szCs w:val="20"/>
              </w:rPr>
              <w:t>问题基本情况</w:t>
            </w:r>
          </w:p>
        </w:tc>
        <w:tc>
          <w:tcPr>
            <w:tcW w:w="1488" w:type="dxa"/>
            <w:tcBorders>
              <w:top w:val="single" w:color="000000" w:sz="10" w:space="0"/>
            </w:tcBorders>
            <w:vAlign w:val="top"/>
          </w:tcPr>
          <w:p w14:paraId="35183326">
            <w:pPr>
              <w:pStyle w:val="6"/>
              <w:spacing w:before="298" w:line="229" w:lineRule="auto"/>
              <w:ind w:left="117"/>
              <w:rPr>
                <w:sz w:val="20"/>
                <w:szCs w:val="20"/>
              </w:rPr>
            </w:pPr>
            <w:r>
              <w:rPr>
                <w:spacing w:val="7"/>
                <w:sz w:val="20"/>
                <w:szCs w:val="20"/>
              </w:rPr>
              <w:t>整改责任单位</w:t>
            </w:r>
          </w:p>
        </w:tc>
        <w:tc>
          <w:tcPr>
            <w:tcW w:w="4080" w:type="dxa"/>
            <w:tcBorders>
              <w:top w:val="single" w:color="000000" w:sz="10" w:space="0"/>
            </w:tcBorders>
            <w:vAlign w:val="top"/>
          </w:tcPr>
          <w:p w14:paraId="350B141F">
            <w:pPr>
              <w:pStyle w:val="6"/>
              <w:spacing w:before="298" w:line="231" w:lineRule="auto"/>
              <w:ind w:left="1629"/>
              <w:rPr>
                <w:sz w:val="20"/>
                <w:szCs w:val="20"/>
              </w:rPr>
            </w:pPr>
            <w:r>
              <w:rPr>
                <w:spacing w:val="5"/>
                <w:sz w:val="20"/>
                <w:szCs w:val="20"/>
              </w:rPr>
              <w:t>整改目标</w:t>
            </w:r>
          </w:p>
        </w:tc>
        <w:tc>
          <w:tcPr>
            <w:tcW w:w="4041" w:type="dxa"/>
            <w:tcBorders>
              <w:top w:val="single" w:color="000000" w:sz="10" w:space="0"/>
            </w:tcBorders>
            <w:vAlign w:val="top"/>
          </w:tcPr>
          <w:p w14:paraId="114D9DAC">
            <w:pPr>
              <w:pStyle w:val="6"/>
              <w:spacing w:before="297" w:line="232" w:lineRule="auto"/>
              <w:ind w:left="1302"/>
              <w:rPr>
                <w:sz w:val="20"/>
                <w:szCs w:val="20"/>
              </w:rPr>
            </w:pPr>
            <w:r>
              <w:rPr>
                <w:spacing w:val="7"/>
                <w:sz w:val="20"/>
                <w:szCs w:val="20"/>
              </w:rPr>
              <w:t>整改措施及成效</w:t>
            </w:r>
          </w:p>
        </w:tc>
        <w:tc>
          <w:tcPr>
            <w:tcW w:w="1421" w:type="dxa"/>
            <w:tcBorders>
              <w:top w:val="single" w:color="000000" w:sz="10" w:space="0"/>
              <w:right w:val="single" w:color="000000" w:sz="10" w:space="0"/>
            </w:tcBorders>
            <w:vAlign w:val="top"/>
          </w:tcPr>
          <w:p w14:paraId="672FBA1B">
            <w:pPr>
              <w:pStyle w:val="6"/>
              <w:spacing w:before="297" w:line="232" w:lineRule="auto"/>
              <w:ind w:left="302"/>
              <w:rPr>
                <w:sz w:val="20"/>
                <w:szCs w:val="20"/>
              </w:rPr>
            </w:pPr>
            <w:r>
              <w:rPr>
                <w:spacing w:val="5"/>
                <w:sz w:val="20"/>
                <w:szCs w:val="20"/>
              </w:rPr>
              <w:t>整改时间</w:t>
            </w:r>
          </w:p>
        </w:tc>
      </w:tr>
      <w:tr w14:paraId="59A941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5" w:hRule="atLeast"/>
        </w:trPr>
        <w:tc>
          <w:tcPr>
            <w:tcW w:w="698" w:type="dxa"/>
            <w:tcBorders>
              <w:left w:val="single" w:color="000000" w:sz="10" w:space="0"/>
              <w:bottom w:val="single" w:color="000000" w:sz="10" w:space="0"/>
            </w:tcBorders>
            <w:vAlign w:val="top"/>
          </w:tcPr>
          <w:p w14:paraId="0E5B1450">
            <w:pPr>
              <w:spacing w:line="270" w:lineRule="auto"/>
              <w:rPr>
                <w:rFonts w:ascii="Arial"/>
                <w:sz w:val="21"/>
              </w:rPr>
            </w:pPr>
          </w:p>
          <w:p w14:paraId="25BBC631">
            <w:pPr>
              <w:spacing w:line="270" w:lineRule="auto"/>
              <w:rPr>
                <w:rFonts w:ascii="Arial"/>
                <w:sz w:val="21"/>
              </w:rPr>
            </w:pPr>
          </w:p>
          <w:p w14:paraId="6A499281">
            <w:pPr>
              <w:spacing w:line="270" w:lineRule="auto"/>
              <w:rPr>
                <w:rFonts w:ascii="Arial"/>
                <w:sz w:val="21"/>
              </w:rPr>
            </w:pPr>
          </w:p>
          <w:p w14:paraId="684099A8">
            <w:pPr>
              <w:spacing w:line="271" w:lineRule="auto"/>
              <w:rPr>
                <w:rFonts w:ascii="Arial"/>
                <w:sz w:val="21"/>
              </w:rPr>
            </w:pPr>
          </w:p>
          <w:p w14:paraId="5DA5F914">
            <w:pPr>
              <w:spacing w:line="271" w:lineRule="auto"/>
              <w:rPr>
                <w:rFonts w:ascii="Arial"/>
                <w:sz w:val="21"/>
              </w:rPr>
            </w:pPr>
          </w:p>
          <w:p w14:paraId="5DEA4D9D">
            <w:pPr>
              <w:spacing w:line="271" w:lineRule="auto"/>
              <w:rPr>
                <w:rFonts w:ascii="Arial"/>
                <w:sz w:val="21"/>
              </w:rPr>
            </w:pPr>
          </w:p>
          <w:p w14:paraId="22FB4CDF">
            <w:pPr>
              <w:spacing w:line="271" w:lineRule="auto"/>
              <w:rPr>
                <w:rFonts w:ascii="Arial"/>
                <w:sz w:val="21"/>
              </w:rPr>
            </w:pPr>
          </w:p>
          <w:p w14:paraId="5C371BEC">
            <w:pPr>
              <w:spacing w:before="58"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438" w:type="dxa"/>
            <w:tcBorders>
              <w:bottom w:val="single" w:color="000000" w:sz="10" w:space="0"/>
            </w:tcBorders>
            <w:vAlign w:val="top"/>
          </w:tcPr>
          <w:p w14:paraId="2A850ACA">
            <w:pPr>
              <w:spacing w:line="263" w:lineRule="auto"/>
              <w:rPr>
                <w:rFonts w:ascii="Arial"/>
                <w:sz w:val="21"/>
              </w:rPr>
            </w:pPr>
          </w:p>
          <w:p w14:paraId="49480682">
            <w:pPr>
              <w:spacing w:line="263" w:lineRule="auto"/>
              <w:rPr>
                <w:rFonts w:ascii="Arial"/>
                <w:sz w:val="21"/>
              </w:rPr>
            </w:pPr>
          </w:p>
          <w:p w14:paraId="51919AF4">
            <w:pPr>
              <w:spacing w:line="263" w:lineRule="auto"/>
              <w:rPr>
                <w:rFonts w:ascii="Arial"/>
                <w:sz w:val="21"/>
              </w:rPr>
            </w:pPr>
          </w:p>
          <w:p w14:paraId="6785B1D4">
            <w:pPr>
              <w:spacing w:line="263" w:lineRule="auto"/>
              <w:rPr>
                <w:rFonts w:ascii="Arial"/>
                <w:sz w:val="21"/>
              </w:rPr>
            </w:pPr>
          </w:p>
          <w:p w14:paraId="298FCB33">
            <w:pPr>
              <w:spacing w:line="263" w:lineRule="auto"/>
              <w:rPr>
                <w:rFonts w:ascii="Arial"/>
                <w:sz w:val="21"/>
              </w:rPr>
            </w:pPr>
          </w:p>
          <w:p w14:paraId="78065B89">
            <w:pPr>
              <w:spacing w:line="264" w:lineRule="auto"/>
              <w:rPr>
                <w:rFonts w:ascii="Arial"/>
                <w:sz w:val="21"/>
              </w:rPr>
            </w:pPr>
          </w:p>
          <w:p w14:paraId="27ADBDAF">
            <w:pPr>
              <w:pStyle w:val="6"/>
              <w:spacing w:before="65" w:line="229" w:lineRule="auto"/>
              <w:ind w:left="90"/>
              <w:rPr>
                <w:sz w:val="20"/>
                <w:szCs w:val="20"/>
              </w:rPr>
            </w:pPr>
            <w:r>
              <w:rPr>
                <w:spacing w:val="6"/>
                <w:sz w:val="20"/>
                <w:szCs w:val="20"/>
              </w:rPr>
              <w:t>已关闭的连铭煤矿部分生</w:t>
            </w:r>
          </w:p>
          <w:p w14:paraId="4AA0F7FA">
            <w:pPr>
              <w:pStyle w:val="6"/>
              <w:spacing w:before="23" w:line="231" w:lineRule="auto"/>
              <w:ind w:left="65"/>
              <w:rPr>
                <w:sz w:val="20"/>
                <w:szCs w:val="20"/>
              </w:rPr>
            </w:pPr>
            <w:r>
              <w:rPr>
                <w:spacing w:val="8"/>
                <w:sz w:val="20"/>
                <w:szCs w:val="20"/>
              </w:rPr>
              <w:t>产设施设备未拆除，未实</w:t>
            </w:r>
          </w:p>
          <w:p w14:paraId="6C8EDE8D">
            <w:pPr>
              <w:pStyle w:val="6"/>
              <w:spacing w:before="23" w:line="231" w:lineRule="auto"/>
              <w:ind w:left="588"/>
              <w:rPr>
                <w:sz w:val="20"/>
                <w:szCs w:val="20"/>
              </w:rPr>
            </w:pPr>
            <w:r>
              <w:rPr>
                <w:spacing w:val="5"/>
                <w:sz w:val="20"/>
                <w:szCs w:val="20"/>
              </w:rPr>
              <w:t>施生态修复。</w:t>
            </w:r>
          </w:p>
        </w:tc>
        <w:tc>
          <w:tcPr>
            <w:tcW w:w="1488" w:type="dxa"/>
            <w:tcBorders>
              <w:bottom w:val="single" w:color="000000" w:sz="10" w:space="0"/>
            </w:tcBorders>
            <w:vAlign w:val="top"/>
          </w:tcPr>
          <w:p w14:paraId="58D6F031">
            <w:pPr>
              <w:spacing w:line="245" w:lineRule="auto"/>
              <w:rPr>
                <w:rFonts w:ascii="Arial"/>
                <w:sz w:val="21"/>
              </w:rPr>
            </w:pPr>
          </w:p>
          <w:p w14:paraId="19E7C1C9">
            <w:pPr>
              <w:spacing w:line="245" w:lineRule="auto"/>
              <w:rPr>
                <w:rFonts w:ascii="Arial"/>
                <w:sz w:val="21"/>
              </w:rPr>
            </w:pPr>
          </w:p>
          <w:p w14:paraId="073C27F4">
            <w:pPr>
              <w:spacing w:line="245" w:lineRule="auto"/>
              <w:rPr>
                <w:rFonts w:ascii="Arial"/>
                <w:sz w:val="21"/>
              </w:rPr>
            </w:pPr>
          </w:p>
          <w:p w14:paraId="751BFF00">
            <w:pPr>
              <w:spacing w:line="245" w:lineRule="auto"/>
              <w:rPr>
                <w:rFonts w:ascii="Arial"/>
                <w:sz w:val="21"/>
              </w:rPr>
            </w:pPr>
          </w:p>
          <w:p w14:paraId="26FD08B2">
            <w:pPr>
              <w:spacing w:line="245" w:lineRule="auto"/>
              <w:rPr>
                <w:rFonts w:ascii="Arial"/>
                <w:sz w:val="21"/>
              </w:rPr>
            </w:pPr>
          </w:p>
          <w:p w14:paraId="1650C4BE">
            <w:pPr>
              <w:spacing w:line="245" w:lineRule="auto"/>
              <w:rPr>
                <w:rFonts w:ascii="Arial"/>
                <w:sz w:val="21"/>
              </w:rPr>
            </w:pPr>
          </w:p>
          <w:p w14:paraId="1BBF81D9">
            <w:pPr>
              <w:spacing w:line="245" w:lineRule="auto"/>
              <w:rPr>
                <w:rFonts w:ascii="Arial"/>
                <w:sz w:val="21"/>
              </w:rPr>
            </w:pPr>
          </w:p>
          <w:p w14:paraId="2E265DB4">
            <w:pPr>
              <w:pStyle w:val="6"/>
              <w:spacing w:before="65" w:line="232" w:lineRule="auto"/>
              <w:ind w:left="135"/>
              <w:rPr>
                <w:sz w:val="20"/>
                <w:szCs w:val="20"/>
              </w:rPr>
            </w:pPr>
            <w:r>
              <w:rPr>
                <w:spacing w:val="4"/>
                <w:sz w:val="20"/>
                <w:szCs w:val="20"/>
              </w:rPr>
              <w:t>区规划自然资</w:t>
            </w:r>
          </w:p>
          <w:p w14:paraId="4948D2F5">
            <w:pPr>
              <w:pStyle w:val="6"/>
              <w:spacing w:before="19" w:line="232" w:lineRule="auto"/>
              <w:ind w:left="541"/>
              <w:rPr>
                <w:sz w:val="20"/>
                <w:szCs w:val="20"/>
              </w:rPr>
            </w:pPr>
            <w:r>
              <w:rPr>
                <w:spacing w:val="-1"/>
                <w:sz w:val="20"/>
                <w:szCs w:val="20"/>
              </w:rPr>
              <w:t>源局</w:t>
            </w:r>
          </w:p>
        </w:tc>
        <w:tc>
          <w:tcPr>
            <w:tcW w:w="4080" w:type="dxa"/>
            <w:tcBorders>
              <w:bottom w:val="single" w:color="000000" w:sz="10" w:space="0"/>
            </w:tcBorders>
            <w:vAlign w:val="top"/>
          </w:tcPr>
          <w:p w14:paraId="67B56875">
            <w:pPr>
              <w:spacing w:line="259" w:lineRule="auto"/>
              <w:rPr>
                <w:rFonts w:ascii="Arial"/>
                <w:sz w:val="21"/>
              </w:rPr>
            </w:pPr>
          </w:p>
          <w:p w14:paraId="233E7600">
            <w:pPr>
              <w:spacing w:line="259" w:lineRule="auto"/>
              <w:rPr>
                <w:rFonts w:ascii="Arial"/>
                <w:sz w:val="21"/>
              </w:rPr>
            </w:pPr>
          </w:p>
          <w:p w14:paraId="692F99F3">
            <w:pPr>
              <w:spacing w:line="259" w:lineRule="auto"/>
              <w:rPr>
                <w:rFonts w:ascii="Arial"/>
                <w:sz w:val="21"/>
              </w:rPr>
            </w:pPr>
          </w:p>
          <w:p w14:paraId="1E3DF70A">
            <w:pPr>
              <w:spacing w:line="259" w:lineRule="auto"/>
              <w:rPr>
                <w:rFonts w:ascii="Arial"/>
                <w:sz w:val="21"/>
              </w:rPr>
            </w:pPr>
          </w:p>
          <w:p w14:paraId="51DCBCE7">
            <w:pPr>
              <w:pStyle w:val="6"/>
              <w:spacing w:before="65" w:line="252" w:lineRule="auto"/>
              <w:ind w:left="58" w:right="44"/>
              <w:jc w:val="both"/>
              <w:rPr>
                <w:sz w:val="20"/>
                <w:szCs w:val="20"/>
              </w:rPr>
            </w:pPr>
            <w:r>
              <w:rPr>
                <w:spacing w:val="3"/>
                <w:sz w:val="20"/>
                <w:szCs w:val="20"/>
              </w:rPr>
              <w:t>按照矿山生态修复</w:t>
            </w:r>
            <w:r>
              <w:rPr>
                <w:rFonts w:ascii="Times New Roman" w:hAnsi="Times New Roman" w:eastAsia="Times New Roman" w:cs="Times New Roman"/>
                <w:spacing w:val="3"/>
                <w:sz w:val="20"/>
                <w:szCs w:val="20"/>
              </w:rPr>
              <w:t>“</w:t>
            </w:r>
            <w:r>
              <w:rPr>
                <w:spacing w:val="3"/>
                <w:sz w:val="20"/>
                <w:szCs w:val="20"/>
              </w:rPr>
              <w:t>宜耕则耕、宜园则园、宜</w:t>
            </w:r>
            <w:r>
              <w:rPr>
                <w:spacing w:val="15"/>
                <w:sz w:val="20"/>
                <w:szCs w:val="20"/>
              </w:rPr>
              <w:t xml:space="preserve"> </w:t>
            </w:r>
            <w:r>
              <w:rPr>
                <w:spacing w:val="3"/>
                <w:sz w:val="20"/>
                <w:szCs w:val="20"/>
              </w:rPr>
              <w:t>林则林、宜水则水、宜建则建</w:t>
            </w:r>
            <w:r>
              <w:rPr>
                <w:rFonts w:ascii="Times New Roman" w:hAnsi="Times New Roman" w:eastAsia="Times New Roman" w:cs="Times New Roman"/>
                <w:spacing w:val="3"/>
                <w:sz w:val="20"/>
                <w:szCs w:val="20"/>
              </w:rPr>
              <w:t>”</w:t>
            </w:r>
            <w:r>
              <w:rPr>
                <w:spacing w:val="3"/>
                <w:sz w:val="20"/>
                <w:szCs w:val="20"/>
              </w:rPr>
              <w:t>的原则和矿山</w:t>
            </w:r>
            <w:r>
              <w:rPr>
                <w:spacing w:val="14"/>
                <w:sz w:val="20"/>
                <w:szCs w:val="20"/>
              </w:rPr>
              <w:t xml:space="preserve"> </w:t>
            </w:r>
            <w:r>
              <w:rPr>
                <w:spacing w:val="8"/>
                <w:sz w:val="20"/>
                <w:szCs w:val="20"/>
              </w:rPr>
              <w:t>构建筑物处置方式的指导意见，拆除原矿区</w:t>
            </w:r>
            <w:r>
              <w:rPr>
                <w:spacing w:val="13"/>
                <w:sz w:val="20"/>
                <w:szCs w:val="20"/>
              </w:rPr>
              <w:t xml:space="preserve"> </w:t>
            </w:r>
            <w:r>
              <w:rPr>
                <w:spacing w:val="8"/>
                <w:sz w:val="20"/>
                <w:szCs w:val="20"/>
              </w:rPr>
              <w:t>内存在安全隐患的原保留建构筑物，并实施</w:t>
            </w:r>
            <w:r>
              <w:rPr>
                <w:spacing w:val="13"/>
                <w:sz w:val="20"/>
                <w:szCs w:val="20"/>
              </w:rPr>
              <w:t xml:space="preserve"> </w:t>
            </w:r>
            <w:r>
              <w:rPr>
                <w:spacing w:val="8"/>
                <w:sz w:val="20"/>
                <w:szCs w:val="20"/>
              </w:rPr>
              <w:t>生态修复工程。对当前利用的构建筑物按用</w:t>
            </w:r>
            <w:r>
              <w:rPr>
                <w:spacing w:val="10"/>
                <w:sz w:val="20"/>
                <w:szCs w:val="20"/>
              </w:rPr>
              <w:t xml:space="preserve"> </w:t>
            </w:r>
            <w:r>
              <w:rPr>
                <w:spacing w:val="8"/>
                <w:sz w:val="20"/>
                <w:szCs w:val="20"/>
              </w:rPr>
              <w:t>途进行分类管理，由属地镇街加强房屋安全</w:t>
            </w:r>
            <w:r>
              <w:rPr>
                <w:spacing w:val="13"/>
                <w:sz w:val="20"/>
                <w:szCs w:val="20"/>
              </w:rPr>
              <w:t xml:space="preserve"> </w:t>
            </w:r>
            <w:r>
              <w:rPr>
                <w:spacing w:val="1"/>
                <w:sz w:val="20"/>
                <w:szCs w:val="20"/>
              </w:rPr>
              <w:t>监管。</w:t>
            </w:r>
          </w:p>
        </w:tc>
        <w:tc>
          <w:tcPr>
            <w:tcW w:w="4041" w:type="dxa"/>
            <w:tcBorders>
              <w:bottom w:val="single" w:color="000000" w:sz="10" w:space="0"/>
            </w:tcBorders>
            <w:vAlign w:val="top"/>
          </w:tcPr>
          <w:p w14:paraId="293A1D19">
            <w:pPr>
              <w:spacing w:line="262" w:lineRule="auto"/>
              <w:rPr>
                <w:rFonts w:ascii="Arial"/>
                <w:sz w:val="21"/>
              </w:rPr>
            </w:pPr>
          </w:p>
          <w:p w14:paraId="33AF8FE2">
            <w:pPr>
              <w:spacing w:line="262" w:lineRule="auto"/>
              <w:rPr>
                <w:rFonts w:ascii="Arial"/>
                <w:sz w:val="21"/>
              </w:rPr>
            </w:pPr>
          </w:p>
          <w:p w14:paraId="685DEF71">
            <w:pPr>
              <w:spacing w:line="262" w:lineRule="auto"/>
              <w:rPr>
                <w:rFonts w:ascii="Arial"/>
                <w:sz w:val="21"/>
              </w:rPr>
            </w:pPr>
          </w:p>
          <w:p w14:paraId="5DC7BD45">
            <w:pPr>
              <w:spacing w:line="262" w:lineRule="auto"/>
              <w:rPr>
                <w:rFonts w:ascii="Arial"/>
                <w:sz w:val="21"/>
              </w:rPr>
            </w:pPr>
          </w:p>
          <w:p w14:paraId="611F0F71">
            <w:pPr>
              <w:spacing w:line="262" w:lineRule="auto"/>
              <w:rPr>
                <w:rFonts w:ascii="Arial"/>
                <w:sz w:val="21"/>
              </w:rPr>
            </w:pPr>
          </w:p>
          <w:p w14:paraId="4EAD11C7">
            <w:pPr>
              <w:pStyle w:val="6"/>
              <w:spacing w:before="65" w:line="229" w:lineRule="auto"/>
              <w:jc w:val="right"/>
              <w:rPr>
                <w:sz w:val="20"/>
                <w:szCs w:val="20"/>
              </w:rPr>
            </w:pPr>
            <w:r>
              <w:rPr>
                <w:sz w:val="20"/>
                <w:szCs w:val="20"/>
              </w:rPr>
              <w:t>整改措施：</w:t>
            </w:r>
            <w:r>
              <w:rPr>
                <w:rFonts w:ascii="Times New Roman" w:hAnsi="Times New Roman" w:eastAsia="Times New Roman" w:cs="Times New Roman"/>
                <w:sz w:val="20"/>
                <w:szCs w:val="20"/>
              </w:rPr>
              <w:t>1.</w:t>
            </w:r>
            <w:r>
              <w:rPr>
                <w:sz w:val="20"/>
                <w:szCs w:val="20"/>
              </w:rPr>
              <w:t>完成现场构建筑物情况的摸排。</w:t>
            </w:r>
          </w:p>
          <w:p w14:paraId="162FBB8B">
            <w:pPr>
              <w:pStyle w:val="6"/>
              <w:spacing w:before="21" w:line="251" w:lineRule="auto"/>
              <w:ind w:left="65" w:right="39" w:hanging="8"/>
              <w:rPr>
                <w:sz w:val="20"/>
                <w:szCs w:val="20"/>
              </w:rPr>
            </w:pPr>
            <w:r>
              <w:rPr>
                <w:rFonts w:ascii="Times New Roman" w:hAnsi="Times New Roman" w:eastAsia="Times New Roman" w:cs="Times New Roman"/>
                <w:spacing w:val="9"/>
                <w:sz w:val="20"/>
                <w:szCs w:val="20"/>
              </w:rPr>
              <w:t>2.</w:t>
            </w:r>
            <w:r>
              <w:rPr>
                <w:spacing w:val="9"/>
                <w:sz w:val="20"/>
                <w:szCs w:val="20"/>
              </w:rPr>
              <w:t>拆除原矿区划拨地范围内存在安全隐患的</w:t>
            </w:r>
            <w:r>
              <w:rPr>
                <w:spacing w:val="3"/>
                <w:sz w:val="20"/>
                <w:szCs w:val="20"/>
              </w:rPr>
              <w:t xml:space="preserve"> </w:t>
            </w:r>
            <w:r>
              <w:rPr>
                <w:spacing w:val="8"/>
                <w:sz w:val="20"/>
                <w:szCs w:val="20"/>
              </w:rPr>
              <w:t>构建筑物。</w:t>
            </w:r>
            <w:r>
              <w:rPr>
                <w:rFonts w:ascii="Times New Roman" w:hAnsi="Times New Roman" w:eastAsia="Times New Roman" w:cs="Times New Roman"/>
                <w:spacing w:val="8"/>
                <w:sz w:val="20"/>
                <w:szCs w:val="20"/>
              </w:rPr>
              <w:t>3.</w:t>
            </w:r>
            <w:r>
              <w:rPr>
                <w:spacing w:val="8"/>
                <w:sz w:val="20"/>
                <w:szCs w:val="20"/>
              </w:rPr>
              <w:t>完成拆除区域生态修复工程。</w:t>
            </w:r>
            <w:r>
              <w:rPr>
                <w:spacing w:val="14"/>
                <w:sz w:val="20"/>
                <w:szCs w:val="20"/>
              </w:rPr>
              <w:t xml:space="preserve"> </w:t>
            </w:r>
            <w:r>
              <w:rPr>
                <w:spacing w:val="6"/>
                <w:sz w:val="20"/>
                <w:szCs w:val="20"/>
              </w:rPr>
              <w:t>整改成效：对现场有安全隐患的建构筑物进</w:t>
            </w:r>
            <w:r>
              <w:rPr>
                <w:spacing w:val="10"/>
                <w:sz w:val="20"/>
                <w:szCs w:val="20"/>
              </w:rPr>
              <w:t xml:space="preserve"> </w:t>
            </w:r>
            <w:r>
              <w:rPr>
                <w:spacing w:val="8"/>
                <w:sz w:val="20"/>
                <w:szCs w:val="20"/>
              </w:rPr>
              <w:t>行了拆除，并完成平整覆土等修复工作。</w:t>
            </w:r>
          </w:p>
        </w:tc>
        <w:tc>
          <w:tcPr>
            <w:tcW w:w="1421" w:type="dxa"/>
            <w:tcBorders>
              <w:bottom w:val="single" w:color="000000" w:sz="10" w:space="0"/>
              <w:right w:val="single" w:color="000000" w:sz="10" w:space="0"/>
            </w:tcBorders>
            <w:vAlign w:val="top"/>
          </w:tcPr>
          <w:p w14:paraId="0C022126">
            <w:pPr>
              <w:spacing w:line="245" w:lineRule="auto"/>
              <w:rPr>
                <w:rFonts w:ascii="Arial"/>
                <w:sz w:val="21"/>
              </w:rPr>
            </w:pPr>
          </w:p>
          <w:p w14:paraId="1E6CBD5E">
            <w:pPr>
              <w:spacing w:line="245" w:lineRule="auto"/>
              <w:rPr>
                <w:rFonts w:ascii="Arial"/>
                <w:sz w:val="21"/>
              </w:rPr>
            </w:pPr>
          </w:p>
          <w:p w14:paraId="279539FB">
            <w:pPr>
              <w:spacing w:line="245" w:lineRule="auto"/>
              <w:rPr>
                <w:rFonts w:ascii="Arial"/>
                <w:sz w:val="21"/>
              </w:rPr>
            </w:pPr>
          </w:p>
          <w:p w14:paraId="4E3C53B1">
            <w:pPr>
              <w:spacing w:line="245" w:lineRule="auto"/>
              <w:rPr>
                <w:rFonts w:ascii="Arial"/>
                <w:sz w:val="21"/>
              </w:rPr>
            </w:pPr>
          </w:p>
          <w:p w14:paraId="3BD1B872">
            <w:pPr>
              <w:spacing w:line="245" w:lineRule="auto"/>
              <w:rPr>
                <w:rFonts w:ascii="Arial"/>
                <w:sz w:val="21"/>
              </w:rPr>
            </w:pPr>
          </w:p>
          <w:p w14:paraId="720DD0D2">
            <w:pPr>
              <w:spacing w:line="245" w:lineRule="auto"/>
              <w:rPr>
                <w:rFonts w:ascii="Arial"/>
                <w:sz w:val="21"/>
              </w:rPr>
            </w:pPr>
          </w:p>
          <w:p w14:paraId="48307A94">
            <w:pPr>
              <w:spacing w:line="245" w:lineRule="auto"/>
              <w:rPr>
                <w:rFonts w:ascii="Arial"/>
                <w:sz w:val="21"/>
              </w:rPr>
            </w:pPr>
          </w:p>
          <w:p w14:paraId="0BA40477">
            <w:pPr>
              <w:pStyle w:val="6"/>
              <w:spacing w:before="65" w:line="231" w:lineRule="auto"/>
              <w:ind w:left="62"/>
              <w:rPr>
                <w:sz w:val="20"/>
                <w:szCs w:val="20"/>
              </w:rPr>
            </w:pPr>
            <w:r>
              <w:rPr>
                <w:rFonts w:ascii="Times New Roman" w:hAnsi="Times New Roman" w:eastAsia="Times New Roman" w:cs="Times New Roman"/>
                <w:sz w:val="20"/>
                <w:szCs w:val="20"/>
              </w:rPr>
              <w:t>2023</w:t>
            </w:r>
            <w:r>
              <w:rPr>
                <w:rFonts w:ascii="Times New Roman" w:hAnsi="Times New Roman" w:eastAsia="Times New Roman" w:cs="Times New Roman"/>
                <w:spacing w:val="25"/>
                <w:sz w:val="20"/>
                <w:szCs w:val="20"/>
              </w:rPr>
              <w:t xml:space="preserve"> </w:t>
            </w:r>
            <w:r>
              <w:rPr>
                <w:sz w:val="20"/>
                <w:szCs w:val="20"/>
              </w:rPr>
              <w:t>年</w:t>
            </w:r>
            <w:r>
              <w:rPr>
                <w:spacing w:val="-41"/>
                <w:sz w:val="20"/>
                <w:szCs w:val="20"/>
              </w:rPr>
              <w:t xml:space="preserve"> </w:t>
            </w:r>
            <w:r>
              <w:rPr>
                <w:rFonts w:ascii="Times New Roman" w:hAnsi="Times New Roman" w:eastAsia="Times New Roman" w:cs="Times New Roman"/>
                <w:sz w:val="20"/>
                <w:szCs w:val="20"/>
              </w:rPr>
              <w:t>6</w:t>
            </w:r>
            <w:r>
              <w:rPr>
                <w:rFonts w:ascii="Times New Roman" w:hAnsi="Times New Roman" w:eastAsia="Times New Roman" w:cs="Times New Roman"/>
                <w:spacing w:val="23"/>
                <w:sz w:val="20"/>
                <w:szCs w:val="20"/>
              </w:rPr>
              <w:t xml:space="preserve"> </w:t>
            </w:r>
            <w:r>
              <w:rPr>
                <w:sz w:val="20"/>
                <w:szCs w:val="20"/>
              </w:rPr>
              <w:t>月至</w:t>
            </w:r>
          </w:p>
          <w:p w14:paraId="10730266">
            <w:pPr>
              <w:pStyle w:val="6"/>
              <w:spacing w:before="20" w:line="231" w:lineRule="auto"/>
              <w:ind w:left="110"/>
              <w:rPr>
                <w:sz w:val="20"/>
                <w:szCs w:val="20"/>
              </w:rPr>
            </w:pPr>
            <w:r>
              <w:rPr>
                <w:rFonts w:ascii="Times New Roman" w:hAnsi="Times New Roman" w:eastAsia="Times New Roman" w:cs="Times New Roman"/>
                <w:spacing w:val="-1"/>
                <w:sz w:val="20"/>
                <w:szCs w:val="20"/>
              </w:rPr>
              <w:t>2023</w:t>
            </w:r>
            <w:r>
              <w:rPr>
                <w:rFonts w:ascii="Times New Roman" w:hAnsi="Times New Roman" w:eastAsia="Times New Roman" w:cs="Times New Roman"/>
                <w:spacing w:val="17"/>
                <w:w w:val="101"/>
                <w:sz w:val="20"/>
                <w:szCs w:val="20"/>
              </w:rPr>
              <w:t xml:space="preserve"> </w:t>
            </w:r>
            <w:r>
              <w:rPr>
                <w:spacing w:val="-1"/>
                <w:sz w:val="20"/>
                <w:szCs w:val="20"/>
              </w:rPr>
              <w:t>年</w:t>
            </w:r>
            <w:r>
              <w:rPr>
                <w:spacing w:val="-21"/>
                <w:sz w:val="20"/>
                <w:szCs w:val="20"/>
              </w:rPr>
              <w:t xml:space="preserve"> </w:t>
            </w:r>
            <w:r>
              <w:rPr>
                <w:rFonts w:ascii="Times New Roman" w:hAnsi="Times New Roman" w:eastAsia="Times New Roman" w:cs="Times New Roman"/>
                <w:spacing w:val="-1"/>
                <w:sz w:val="20"/>
                <w:szCs w:val="20"/>
              </w:rPr>
              <w:t>12</w:t>
            </w:r>
            <w:r>
              <w:rPr>
                <w:rFonts w:ascii="Times New Roman" w:hAnsi="Times New Roman" w:eastAsia="Times New Roman" w:cs="Times New Roman"/>
                <w:spacing w:val="25"/>
                <w:w w:val="101"/>
                <w:sz w:val="20"/>
                <w:szCs w:val="20"/>
              </w:rPr>
              <w:t xml:space="preserve"> </w:t>
            </w:r>
            <w:r>
              <w:rPr>
                <w:spacing w:val="-1"/>
                <w:sz w:val="20"/>
                <w:szCs w:val="20"/>
              </w:rPr>
              <w:t>月</w:t>
            </w:r>
          </w:p>
        </w:tc>
      </w:tr>
    </w:tbl>
    <w:p w14:paraId="74BE9520">
      <w:pPr>
        <w:pStyle w:val="2"/>
      </w:pPr>
    </w:p>
    <w:p w14:paraId="605756E7">
      <w:pPr>
        <w:sectPr>
          <w:headerReference r:id="rId147" w:type="default"/>
          <w:footerReference r:id="rId148" w:type="default"/>
          <w:pgSz w:w="16839" w:h="11906"/>
          <w:pgMar w:top="1116" w:right="1328" w:bottom="1480" w:left="1317" w:header="683" w:footer="1318" w:gutter="0"/>
          <w:cols w:space="720" w:num="1"/>
        </w:sectPr>
      </w:pPr>
    </w:p>
    <w:p w14:paraId="63FD74EC">
      <w:pPr>
        <w:pStyle w:val="2"/>
        <w:spacing w:line="386" w:lineRule="auto"/>
      </w:pPr>
    </w:p>
    <w:p w14:paraId="0CEBF108">
      <w:pPr>
        <w:spacing w:before="81" w:line="226" w:lineRule="auto"/>
        <w:ind w:left="664"/>
        <w:rPr>
          <w:rFonts w:ascii="仿宋" w:hAnsi="仿宋" w:eastAsia="仿宋" w:cs="仿宋"/>
          <w:sz w:val="25"/>
          <w:szCs w:val="25"/>
        </w:rPr>
      </w:pPr>
      <w:r>
        <w:rPr>
          <w:rFonts w:ascii="仿宋" w:hAnsi="仿宋" w:eastAsia="仿宋" w:cs="仿宋"/>
          <w:spacing w:val="8"/>
          <w:sz w:val="25"/>
          <w:szCs w:val="25"/>
        </w:rPr>
        <w:t>（</w:t>
      </w:r>
      <w:r>
        <w:rPr>
          <w:rFonts w:ascii="Times New Roman" w:hAnsi="Times New Roman" w:eastAsia="Times New Roman" w:cs="Times New Roman"/>
          <w:spacing w:val="8"/>
          <w:sz w:val="25"/>
          <w:szCs w:val="25"/>
        </w:rPr>
        <w:t>3</w:t>
      </w:r>
      <w:r>
        <w:rPr>
          <w:rFonts w:ascii="仿宋" w:hAnsi="仿宋" w:eastAsia="仿宋" w:cs="仿宋"/>
          <w:spacing w:val="8"/>
          <w:sz w:val="25"/>
          <w:szCs w:val="25"/>
        </w:rPr>
        <w:t>）存在的主要生态环境问题解决情况调查</w:t>
      </w:r>
    </w:p>
    <w:p w14:paraId="21D3DBC0">
      <w:pPr>
        <w:spacing w:before="155" w:line="339" w:lineRule="auto"/>
        <w:ind w:left="151" w:right="116" w:firstLine="507"/>
        <w:rPr>
          <w:rFonts w:ascii="仿宋" w:hAnsi="仿宋" w:eastAsia="仿宋" w:cs="仿宋"/>
          <w:sz w:val="25"/>
          <w:szCs w:val="25"/>
        </w:rPr>
      </w:pPr>
      <w:r>
        <w:rPr>
          <w:rFonts w:ascii="仿宋" w:hAnsi="仿宋" w:eastAsia="仿宋" w:cs="仿宋"/>
          <w:spacing w:val="7"/>
          <w:sz w:val="25"/>
          <w:szCs w:val="25"/>
        </w:rPr>
        <w:t>针对《重庆市规划和自然资源局关于移送绿色矿山“</w:t>
      </w:r>
      <w:r>
        <w:rPr>
          <w:rFonts w:ascii="仿宋" w:hAnsi="仿宋" w:eastAsia="仿宋" w:cs="仿宋"/>
          <w:spacing w:val="-74"/>
          <w:sz w:val="25"/>
          <w:szCs w:val="25"/>
        </w:rPr>
        <w:t xml:space="preserve"> </w:t>
      </w:r>
      <w:r>
        <w:rPr>
          <w:rFonts w:ascii="仿宋" w:hAnsi="仿宋" w:eastAsia="仿宋" w:cs="仿宋"/>
          <w:spacing w:val="7"/>
          <w:sz w:val="25"/>
          <w:szCs w:val="25"/>
        </w:rPr>
        <w:t>回头看</w:t>
      </w:r>
      <w:r>
        <w:rPr>
          <w:rFonts w:ascii="仿宋" w:hAnsi="仿宋" w:eastAsia="仿宋" w:cs="仿宋"/>
          <w:spacing w:val="-90"/>
          <w:sz w:val="25"/>
          <w:szCs w:val="25"/>
        </w:rPr>
        <w:t xml:space="preserve"> </w:t>
      </w:r>
      <w:r>
        <w:rPr>
          <w:rFonts w:ascii="仿宋" w:hAnsi="仿宋" w:eastAsia="仿宋" w:cs="仿宋"/>
          <w:spacing w:val="7"/>
          <w:sz w:val="25"/>
          <w:szCs w:val="25"/>
        </w:rPr>
        <w:t>”有关问</w:t>
      </w:r>
      <w:r>
        <w:rPr>
          <w:rFonts w:ascii="仿宋" w:hAnsi="仿宋" w:eastAsia="仿宋" w:cs="仿宋"/>
          <w:spacing w:val="6"/>
          <w:sz w:val="25"/>
          <w:szCs w:val="25"/>
        </w:rPr>
        <w:t>题的</w:t>
      </w:r>
      <w:r>
        <w:rPr>
          <w:rFonts w:ascii="仿宋" w:hAnsi="仿宋" w:eastAsia="仿宋" w:cs="仿宋"/>
          <w:sz w:val="25"/>
          <w:szCs w:val="25"/>
        </w:rPr>
        <w:t xml:space="preserve"> </w:t>
      </w:r>
      <w:r>
        <w:rPr>
          <w:rFonts w:ascii="仿宋" w:hAnsi="仿宋" w:eastAsia="仿宋" w:cs="仿宋"/>
          <w:spacing w:val="8"/>
          <w:sz w:val="25"/>
          <w:szCs w:val="25"/>
        </w:rPr>
        <w:t>函》提出的相关问题，</w:t>
      </w:r>
      <w:r>
        <w:rPr>
          <w:rFonts w:ascii="Times New Roman" w:hAnsi="Times New Roman" w:eastAsia="Times New Roman" w:cs="Times New Roman"/>
          <w:spacing w:val="8"/>
          <w:sz w:val="25"/>
          <w:szCs w:val="25"/>
        </w:rPr>
        <w:t>6</w:t>
      </w:r>
      <w:r>
        <w:rPr>
          <w:rFonts w:ascii="Times New Roman" w:hAnsi="Times New Roman" w:eastAsia="Times New Roman" w:cs="Times New Roman"/>
          <w:spacing w:val="25"/>
          <w:sz w:val="25"/>
          <w:szCs w:val="25"/>
        </w:rPr>
        <w:t xml:space="preserve"> </w:t>
      </w:r>
      <w:r>
        <w:rPr>
          <w:rFonts w:ascii="仿宋" w:hAnsi="仿宋" w:eastAsia="仿宋" w:cs="仿宋"/>
          <w:spacing w:val="8"/>
          <w:sz w:val="25"/>
          <w:szCs w:val="25"/>
        </w:rPr>
        <w:t>家矿山中有</w:t>
      </w:r>
      <w:r>
        <w:rPr>
          <w:rFonts w:ascii="仿宋" w:hAnsi="仿宋" w:eastAsia="仿宋" w:cs="仿宋"/>
          <w:spacing w:val="-47"/>
          <w:sz w:val="25"/>
          <w:szCs w:val="25"/>
        </w:rPr>
        <w:t xml:space="preserve"> </w:t>
      </w:r>
      <w:r>
        <w:rPr>
          <w:rFonts w:ascii="Times New Roman" w:hAnsi="Times New Roman" w:eastAsia="Times New Roman" w:cs="Times New Roman"/>
          <w:spacing w:val="8"/>
          <w:sz w:val="25"/>
          <w:szCs w:val="25"/>
        </w:rPr>
        <w:t>3</w:t>
      </w:r>
      <w:r>
        <w:rPr>
          <w:rFonts w:ascii="Times New Roman" w:hAnsi="Times New Roman" w:eastAsia="Times New Roman" w:cs="Times New Roman"/>
          <w:spacing w:val="27"/>
          <w:w w:val="101"/>
          <w:sz w:val="25"/>
          <w:szCs w:val="25"/>
        </w:rPr>
        <w:t xml:space="preserve"> </w:t>
      </w:r>
      <w:r>
        <w:rPr>
          <w:rFonts w:ascii="仿宋" w:hAnsi="仿宋" w:eastAsia="仿宋" w:cs="仿宋"/>
          <w:spacing w:val="8"/>
          <w:sz w:val="25"/>
          <w:szCs w:val="25"/>
        </w:rPr>
        <w:t>家已关闭，剩余</w:t>
      </w:r>
      <w:r>
        <w:rPr>
          <w:rFonts w:ascii="仿宋" w:hAnsi="仿宋" w:eastAsia="仿宋" w:cs="仿宋"/>
          <w:spacing w:val="-47"/>
          <w:sz w:val="25"/>
          <w:szCs w:val="25"/>
        </w:rPr>
        <w:t xml:space="preserve"> </w:t>
      </w:r>
      <w:r>
        <w:rPr>
          <w:rFonts w:ascii="Times New Roman" w:hAnsi="Times New Roman" w:eastAsia="Times New Roman" w:cs="Times New Roman"/>
          <w:spacing w:val="8"/>
          <w:sz w:val="25"/>
          <w:szCs w:val="25"/>
        </w:rPr>
        <w:t>3</w:t>
      </w:r>
      <w:r>
        <w:rPr>
          <w:rFonts w:ascii="Times New Roman" w:hAnsi="Times New Roman" w:eastAsia="Times New Roman" w:cs="Times New Roman"/>
          <w:spacing w:val="27"/>
          <w:w w:val="101"/>
          <w:sz w:val="25"/>
          <w:szCs w:val="25"/>
        </w:rPr>
        <w:t xml:space="preserve"> </w:t>
      </w:r>
      <w:r>
        <w:rPr>
          <w:rFonts w:ascii="仿宋" w:hAnsi="仿宋" w:eastAsia="仿宋" w:cs="仿宋"/>
          <w:spacing w:val="8"/>
          <w:sz w:val="25"/>
          <w:szCs w:val="25"/>
        </w:rPr>
        <w:t>家进行了</w:t>
      </w:r>
      <w:r>
        <w:rPr>
          <w:rFonts w:ascii="仿宋" w:hAnsi="仿宋" w:eastAsia="仿宋" w:cs="仿宋"/>
          <w:spacing w:val="7"/>
          <w:sz w:val="25"/>
          <w:szCs w:val="25"/>
        </w:rPr>
        <w:t>认真整改、</w:t>
      </w:r>
      <w:r>
        <w:rPr>
          <w:rFonts w:ascii="仿宋" w:hAnsi="仿宋" w:eastAsia="仿宋" w:cs="仿宋"/>
          <w:sz w:val="25"/>
          <w:szCs w:val="25"/>
        </w:rPr>
        <w:t xml:space="preserve"> </w:t>
      </w:r>
      <w:r>
        <w:rPr>
          <w:rFonts w:ascii="仿宋" w:hAnsi="仿宋" w:eastAsia="仿宋" w:cs="仿宋"/>
          <w:spacing w:val="3"/>
          <w:sz w:val="25"/>
          <w:szCs w:val="25"/>
        </w:rPr>
        <w:t>落实，详见表</w:t>
      </w:r>
      <w:r>
        <w:rPr>
          <w:rFonts w:ascii="仿宋" w:hAnsi="仿宋" w:eastAsia="仿宋" w:cs="仿宋"/>
          <w:spacing w:val="-44"/>
          <w:sz w:val="25"/>
          <w:szCs w:val="25"/>
        </w:rPr>
        <w:t xml:space="preserve"> </w:t>
      </w:r>
      <w:r>
        <w:rPr>
          <w:rFonts w:ascii="Times New Roman" w:hAnsi="Times New Roman" w:eastAsia="Times New Roman" w:cs="Times New Roman"/>
          <w:spacing w:val="3"/>
          <w:sz w:val="25"/>
          <w:szCs w:val="25"/>
        </w:rPr>
        <w:t>3.2-12</w:t>
      </w:r>
      <w:r>
        <w:rPr>
          <w:rFonts w:ascii="仿宋" w:hAnsi="仿宋" w:eastAsia="仿宋" w:cs="仿宋"/>
          <w:spacing w:val="3"/>
          <w:sz w:val="25"/>
          <w:szCs w:val="25"/>
        </w:rPr>
        <w:t>。</w:t>
      </w:r>
    </w:p>
    <w:p w14:paraId="4AEB1E2D">
      <w:pPr>
        <w:spacing w:before="44" w:line="228" w:lineRule="auto"/>
        <w:ind w:left="1942"/>
        <w:rPr>
          <w:rFonts w:ascii="仿宋" w:hAnsi="仿宋" w:eastAsia="仿宋" w:cs="仿宋"/>
          <w:sz w:val="20"/>
          <w:szCs w:val="20"/>
        </w:rPr>
      </w:pPr>
      <w:r>
        <w:rPr>
          <w:rFonts w:ascii="仿宋" w:hAnsi="仿宋" w:eastAsia="仿宋" w:cs="仿宋"/>
          <w:b/>
          <w:bCs/>
          <w:spacing w:val="4"/>
          <w:sz w:val="20"/>
          <w:szCs w:val="20"/>
        </w:rPr>
        <w:t>表</w:t>
      </w:r>
      <w:r>
        <w:rPr>
          <w:rFonts w:ascii="仿宋" w:hAnsi="仿宋" w:eastAsia="仿宋" w:cs="仿宋"/>
          <w:spacing w:val="-31"/>
          <w:sz w:val="20"/>
          <w:szCs w:val="20"/>
        </w:rPr>
        <w:t xml:space="preserve"> </w:t>
      </w:r>
      <w:r>
        <w:rPr>
          <w:rFonts w:ascii="Times New Roman" w:hAnsi="Times New Roman" w:eastAsia="Times New Roman" w:cs="Times New Roman"/>
          <w:b/>
          <w:bCs/>
          <w:spacing w:val="4"/>
          <w:sz w:val="20"/>
          <w:szCs w:val="20"/>
        </w:rPr>
        <w:t xml:space="preserve">3.2-12    </w:t>
      </w:r>
      <w:r>
        <w:rPr>
          <w:rFonts w:ascii="仿宋" w:hAnsi="仿宋" w:eastAsia="仿宋" w:cs="仿宋"/>
          <w:b/>
          <w:bCs/>
          <w:spacing w:val="4"/>
          <w:sz w:val="20"/>
          <w:szCs w:val="20"/>
        </w:rPr>
        <w:t>绿色矿山“</w:t>
      </w:r>
      <w:r>
        <w:rPr>
          <w:rFonts w:ascii="仿宋" w:hAnsi="仿宋" w:eastAsia="仿宋" w:cs="仿宋"/>
          <w:spacing w:val="-61"/>
          <w:sz w:val="20"/>
          <w:szCs w:val="20"/>
        </w:rPr>
        <w:t xml:space="preserve"> </w:t>
      </w:r>
      <w:r>
        <w:rPr>
          <w:rFonts w:ascii="仿宋" w:hAnsi="仿宋" w:eastAsia="仿宋" w:cs="仿宋"/>
          <w:b/>
          <w:bCs/>
          <w:spacing w:val="4"/>
          <w:sz w:val="20"/>
          <w:szCs w:val="20"/>
        </w:rPr>
        <w:t>回头看</w:t>
      </w:r>
      <w:r>
        <w:rPr>
          <w:rFonts w:ascii="仿宋" w:hAnsi="仿宋" w:eastAsia="仿宋" w:cs="仿宋"/>
          <w:spacing w:val="-70"/>
          <w:sz w:val="20"/>
          <w:szCs w:val="20"/>
        </w:rPr>
        <w:t xml:space="preserve"> </w:t>
      </w:r>
      <w:r>
        <w:rPr>
          <w:rFonts w:ascii="仿宋" w:hAnsi="仿宋" w:eastAsia="仿宋" w:cs="仿宋"/>
          <w:b/>
          <w:bCs/>
          <w:spacing w:val="4"/>
          <w:sz w:val="20"/>
          <w:szCs w:val="20"/>
        </w:rPr>
        <w:t>”存在问题的矿山及整改情况表</w:t>
      </w:r>
    </w:p>
    <w:p w14:paraId="7BCB3844">
      <w:pPr>
        <w:spacing w:line="23" w:lineRule="exact"/>
      </w:pPr>
    </w:p>
    <w:tbl>
      <w:tblPr>
        <w:tblStyle w:val="5"/>
        <w:tblW w:w="9059"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09"/>
        <w:gridCol w:w="2967"/>
        <w:gridCol w:w="2983"/>
      </w:tblGrid>
      <w:tr w14:paraId="582406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3109" w:type="dxa"/>
            <w:tcBorders>
              <w:top w:val="single" w:color="000000" w:sz="10" w:space="0"/>
              <w:left w:val="single" w:color="000000" w:sz="10" w:space="0"/>
            </w:tcBorders>
            <w:vAlign w:val="top"/>
          </w:tcPr>
          <w:p w14:paraId="44D81431">
            <w:pPr>
              <w:pStyle w:val="6"/>
              <w:spacing w:before="63" w:line="232" w:lineRule="auto"/>
              <w:ind w:left="1135"/>
              <w:rPr>
                <w:sz w:val="20"/>
                <w:szCs w:val="20"/>
              </w:rPr>
            </w:pPr>
            <w:r>
              <w:rPr>
                <w:spacing w:val="5"/>
                <w:sz w:val="20"/>
                <w:szCs w:val="20"/>
              </w:rPr>
              <w:t>涉及矿山</w:t>
            </w:r>
          </w:p>
        </w:tc>
        <w:tc>
          <w:tcPr>
            <w:tcW w:w="2967" w:type="dxa"/>
            <w:tcBorders>
              <w:top w:val="single" w:color="000000" w:sz="10" w:space="0"/>
            </w:tcBorders>
            <w:vAlign w:val="top"/>
          </w:tcPr>
          <w:p w14:paraId="2D67DF83">
            <w:pPr>
              <w:pStyle w:val="6"/>
              <w:spacing w:before="64" w:line="228" w:lineRule="auto"/>
              <w:ind w:left="970"/>
              <w:rPr>
                <w:sz w:val="20"/>
                <w:szCs w:val="20"/>
              </w:rPr>
            </w:pPr>
            <w:r>
              <w:rPr>
                <w:spacing w:val="6"/>
                <w:sz w:val="20"/>
                <w:szCs w:val="20"/>
              </w:rPr>
              <w:t>存在的问题</w:t>
            </w:r>
          </w:p>
        </w:tc>
        <w:tc>
          <w:tcPr>
            <w:tcW w:w="2983" w:type="dxa"/>
            <w:tcBorders>
              <w:top w:val="single" w:color="000000" w:sz="10" w:space="0"/>
              <w:right w:val="single" w:color="000000" w:sz="10" w:space="0"/>
            </w:tcBorders>
            <w:vAlign w:val="top"/>
          </w:tcPr>
          <w:p w14:paraId="7A5F7ECF">
            <w:pPr>
              <w:pStyle w:val="6"/>
              <w:spacing w:before="64" w:line="231" w:lineRule="auto"/>
              <w:ind w:left="1082"/>
              <w:rPr>
                <w:sz w:val="20"/>
                <w:szCs w:val="20"/>
              </w:rPr>
            </w:pPr>
            <w:r>
              <w:rPr>
                <w:spacing w:val="5"/>
                <w:sz w:val="20"/>
                <w:szCs w:val="20"/>
              </w:rPr>
              <w:t>解决情况</w:t>
            </w:r>
          </w:p>
        </w:tc>
      </w:tr>
      <w:tr w14:paraId="4F1AB4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atLeast"/>
        </w:trPr>
        <w:tc>
          <w:tcPr>
            <w:tcW w:w="3109" w:type="dxa"/>
            <w:tcBorders>
              <w:left w:val="single" w:color="000000" w:sz="10" w:space="0"/>
            </w:tcBorders>
            <w:vAlign w:val="top"/>
          </w:tcPr>
          <w:p w14:paraId="5587C03B">
            <w:pPr>
              <w:pStyle w:val="6"/>
              <w:spacing w:before="32" w:line="233" w:lineRule="auto"/>
              <w:ind w:left="820" w:right="186" w:hanging="624"/>
              <w:rPr>
                <w:sz w:val="20"/>
                <w:szCs w:val="20"/>
              </w:rPr>
            </w:pPr>
            <w:r>
              <w:rPr>
                <w:spacing w:val="8"/>
                <w:sz w:val="20"/>
                <w:szCs w:val="20"/>
              </w:rPr>
              <w:t>重庆市黔江区石家镇火石垭建</w:t>
            </w:r>
            <w:r>
              <w:rPr>
                <w:spacing w:val="3"/>
                <w:sz w:val="20"/>
                <w:szCs w:val="20"/>
              </w:rPr>
              <w:t xml:space="preserve"> </w:t>
            </w:r>
            <w:r>
              <w:rPr>
                <w:spacing w:val="7"/>
                <w:sz w:val="20"/>
                <w:szCs w:val="20"/>
              </w:rPr>
              <w:t>筑石料用灰岩矿</w:t>
            </w:r>
          </w:p>
        </w:tc>
        <w:tc>
          <w:tcPr>
            <w:tcW w:w="2967" w:type="dxa"/>
            <w:vAlign w:val="top"/>
          </w:tcPr>
          <w:p w14:paraId="25EE48E5">
            <w:pPr>
              <w:pStyle w:val="6"/>
              <w:spacing w:before="31" w:line="230" w:lineRule="auto"/>
              <w:ind w:left="56"/>
              <w:rPr>
                <w:sz w:val="20"/>
                <w:szCs w:val="20"/>
              </w:rPr>
            </w:pPr>
            <w:r>
              <w:rPr>
                <w:spacing w:val="3"/>
                <w:sz w:val="20"/>
                <w:szCs w:val="20"/>
              </w:rPr>
              <w:t>加工间密闭效果不佳，有明显粉</w:t>
            </w:r>
          </w:p>
          <w:p w14:paraId="0B3D8D62">
            <w:pPr>
              <w:pStyle w:val="6"/>
              <w:spacing w:before="22" w:line="216" w:lineRule="auto"/>
              <w:ind w:left="865"/>
              <w:rPr>
                <w:sz w:val="20"/>
                <w:szCs w:val="20"/>
              </w:rPr>
            </w:pPr>
            <w:r>
              <w:rPr>
                <w:spacing w:val="5"/>
                <w:sz w:val="20"/>
                <w:szCs w:val="20"/>
              </w:rPr>
              <w:t>尘外溢现象。</w:t>
            </w:r>
          </w:p>
        </w:tc>
        <w:tc>
          <w:tcPr>
            <w:tcW w:w="2983" w:type="dxa"/>
            <w:tcBorders>
              <w:right w:val="single" w:color="000000" w:sz="10" w:space="0"/>
            </w:tcBorders>
            <w:vAlign w:val="top"/>
          </w:tcPr>
          <w:p w14:paraId="64A5D5F0">
            <w:pPr>
              <w:pStyle w:val="6"/>
              <w:spacing w:before="166" w:line="230" w:lineRule="auto"/>
              <w:ind w:left="1012"/>
              <w:rPr>
                <w:sz w:val="20"/>
                <w:szCs w:val="20"/>
              </w:rPr>
            </w:pPr>
            <w:r>
              <w:rPr>
                <w:spacing w:val="-1"/>
                <w:sz w:val="20"/>
                <w:szCs w:val="20"/>
              </w:rPr>
              <w:t>目前已关闭</w:t>
            </w:r>
          </w:p>
        </w:tc>
      </w:tr>
      <w:tr w14:paraId="77C6F5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5" w:hRule="atLeast"/>
        </w:trPr>
        <w:tc>
          <w:tcPr>
            <w:tcW w:w="3109" w:type="dxa"/>
            <w:tcBorders>
              <w:left w:val="single" w:color="000000" w:sz="10" w:space="0"/>
            </w:tcBorders>
            <w:vAlign w:val="top"/>
          </w:tcPr>
          <w:p w14:paraId="3C28B2C0">
            <w:pPr>
              <w:pStyle w:val="6"/>
              <w:spacing w:before="86" w:line="252" w:lineRule="auto"/>
              <w:ind w:left="820" w:right="186" w:hanging="624"/>
              <w:rPr>
                <w:sz w:val="20"/>
                <w:szCs w:val="20"/>
              </w:rPr>
            </w:pPr>
            <w:r>
              <w:rPr>
                <w:spacing w:val="8"/>
                <w:sz w:val="20"/>
                <w:szCs w:val="20"/>
              </w:rPr>
              <w:t>重庆市黔江区水市乡水市村建</w:t>
            </w:r>
            <w:r>
              <w:rPr>
                <w:spacing w:val="3"/>
                <w:sz w:val="20"/>
                <w:szCs w:val="20"/>
              </w:rPr>
              <w:t xml:space="preserve"> </w:t>
            </w:r>
            <w:r>
              <w:rPr>
                <w:spacing w:val="7"/>
                <w:sz w:val="20"/>
                <w:szCs w:val="20"/>
              </w:rPr>
              <w:t>筑石料用灰岩矿</w:t>
            </w:r>
          </w:p>
        </w:tc>
        <w:tc>
          <w:tcPr>
            <w:tcW w:w="2967" w:type="dxa"/>
            <w:vAlign w:val="top"/>
          </w:tcPr>
          <w:p w14:paraId="67C626AC">
            <w:pPr>
              <w:pStyle w:val="6"/>
              <w:spacing w:before="86" w:line="252" w:lineRule="auto"/>
              <w:ind w:left="232" w:right="43" w:hanging="176"/>
              <w:rPr>
                <w:sz w:val="20"/>
                <w:szCs w:val="20"/>
              </w:rPr>
            </w:pPr>
            <w:r>
              <w:rPr>
                <w:spacing w:val="4"/>
                <w:sz w:val="20"/>
                <w:szCs w:val="20"/>
              </w:rPr>
              <w:t>加工车间密闭效果不好，有明显</w:t>
            </w:r>
            <w:r>
              <w:rPr>
                <w:sz w:val="20"/>
                <w:szCs w:val="20"/>
              </w:rPr>
              <w:t xml:space="preserve"> </w:t>
            </w:r>
            <w:r>
              <w:rPr>
                <w:spacing w:val="7"/>
                <w:sz w:val="20"/>
                <w:szCs w:val="20"/>
              </w:rPr>
              <w:t>粉尘外溢；进料口未密闭。</w:t>
            </w:r>
          </w:p>
        </w:tc>
        <w:tc>
          <w:tcPr>
            <w:tcW w:w="2983" w:type="dxa"/>
            <w:tcBorders>
              <w:right w:val="single" w:color="000000" w:sz="10" w:space="0"/>
            </w:tcBorders>
            <w:vAlign w:val="top"/>
          </w:tcPr>
          <w:p w14:paraId="347E68B1">
            <w:pPr>
              <w:pStyle w:val="6"/>
              <w:spacing w:before="223" w:line="228" w:lineRule="auto"/>
              <w:ind w:left="240"/>
              <w:rPr>
                <w:sz w:val="20"/>
                <w:szCs w:val="20"/>
              </w:rPr>
            </w:pPr>
            <w:r>
              <w:rPr>
                <w:sz w:val="20"/>
                <w:szCs w:val="20"/>
              </w:rPr>
              <w:t>加工车间和进料</w:t>
            </w:r>
            <w:r>
              <w:rPr>
                <w:spacing w:val="-49"/>
                <w:sz w:val="20"/>
                <w:szCs w:val="20"/>
              </w:rPr>
              <w:t xml:space="preserve"> </w:t>
            </w:r>
            <w:r>
              <w:rPr>
                <w:sz w:val="20"/>
                <w:szCs w:val="20"/>
              </w:rPr>
              <w:t>口</w:t>
            </w:r>
            <w:r>
              <w:rPr>
                <w:spacing w:val="-57"/>
                <w:sz w:val="20"/>
                <w:szCs w:val="20"/>
              </w:rPr>
              <w:t xml:space="preserve"> </w:t>
            </w:r>
            <w:r>
              <w:rPr>
                <w:sz w:val="20"/>
                <w:szCs w:val="20"/>
              </w:rPr>
              <w:t>已密闭。</w:t>
            </w:r>
          </w:p>
        </w:tc>
      </w:tr>
      <w:tr w14:paraId="30B680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2" w:hRule="atLeast"/>
        </w:trPr>
        <w:tc>
          <w:tcPr>
            <w:tcW w:w="3109" w:type="dxa"/>
            <w:tcBorders>
              <w:left w:val="single" w:color="000000" w:sz="10" w:space="0"/>
            </w:tcBorders>
            <w:vAlign w:val="top"/>
          </w:tcPr>
          <w:p w14:paraId="2B638F7F">
            <w:pPr>
              <w:pStyle w:val="6"/>
              <w:spacing w:before="159" w:line="250" w:lineRule="auto"/>
              <w:ind w:left="820" w:right="186" w:hanging="624"/>
              <w:rPr>
                <w:sz w:val="20"/>
                <w:szCs w:val="20"/>
              </w:rPr>
            </w:pPr>
            <w:r>
              <w:rPr>
                <w:spacing w:val="8"/>
                <w:sz w:val="20"/>
                <w:szCs w:val="20"/>
              </w:rPr>
              <w:t>重庆市黔江区蓬东乡棕树坪建</w:t>
            </w:r>
            <w:r>
              <w:rPr>
                <w:spacing w:val="3"/>
                <w:sz w:val="20"/>
                <w:szCs w:val="20"/>
              </w:rPr>
              <w:t xml:space="preserve"> </w:t>
            </w:r>
            <w:r>
              <w:rPr>
                <w:spacing w:val="7"/>
                <w:sz w:val="20"/>
                <w:szCs w:val="20"/>
              </w:rPr>
              <w:t>筑石料用灰岩矿</w:t>
            </w:r>
          </w:p>
        </w:tc>
        <w:tc>
          <w:tcPr>
            <w:tcW w:w="2967" w:type="dxa"/>
            <w:vAlign w:val="top"/>
          </w:tcPr>
          <w:p w14:paraId="5B66620E">
            <w:pPr>
              <w:pStyle w:val="6"/>
              <w:spacing w:before="161" w:line="250" w:lineRule="auto"/>
              <w:ind w:left="55" w:right="5"/>
              <w:rPr>
                <w:sz w:val="20"/>
                <w:szCs w:val="20"/>
              </w:rPr>
            </w:pPr>
            <w:r>
              <w:rPr>
                <w:spacing w:val="6"/>
                <w:sz w:val="20"/>
                <w:szCs w:val="20"/>
              </w:rPr>
              <w:t>加工车间密闭有明显粉尘外溢；</w:t>
            </w:r>
            <w:r>
              <w:rPr>
                <w:spacing w:val="9"/>
                <w:sz w:val="20"/>
                <w:szCs w:val="20"/>
              </w:rPr>
              <w:t xml:space="preserve"> </w:t>
            </w:r>
            <w:r>
              <w:rPr>
                <w:spacing w:val="6"/>
                <w:sz w:val="20"/>
                <w:szCs w:val="20"/>
              </w:rPr>
              <w:t>硬化道路较多损毁且积泥严重。</w:t>
            </w:r>
          </w:p>
        </w:tc>
        <w:tc>
          <w:tcPr>
            <w:tcW w:w="2983" w:type="dxa"/>
            <w:tcBorders>
              <w:right w:val="single" w:color="000000" w:sz="10" w:space="0"/>
            </w:tcBorders>
            <w:vAlign w:val="top"/>
          </w:tcPr>
          <w:p w14:paraId="09A0B4F6">
            <w:pPr>
              <w:pStyle w:val="6"/>
              <w:spacing w:before="160" w:line="228" w:lineRule="auto"/>
              <w:ind w:left="135"/>
              <w:rPr>
                <w:sz w:val="20"/>
                <w:szCs w:val="20"/>
              </w:rPr>
            </w:pPr>
            <w:r>
              <w:rPr>
                <w:spacing w:val="8"/>
                <w:sz w:val="20"/>
                <w:szCs w:val="20"/>
              </w:rPr>
              <w:t>加工车间已密闭，定期洒水降</w:t>
            </w:r>
          </w:p>
          <w:p w14:paraId="58312401">
            <w:pPr>
              <w:pStyle w:val="6"/>
              <w:spacing w:before="24" w:line="231" w:lineRule="auto"/>
              <w:ind w:left="768"/>
              <w:rPr>
                <w:sz w:val="20"/>
                <w:szCs w:val="20"/>
              </w:rPr>
            </w:pPr>
            <w:r>
              <w:rPr>
                <w:spacing w:val="6"/>
                <w:sz w:val="20"/>
                <w:szCs w:val="20"/>
              </w:rPr>
              <w:t>尘，清扫地面。</w:t>
            </w:r>
          </w:p>
        </w:tc>
      </w:tr>
      <w:tr w14:paraId="7D27E9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7" w:hRule="atLeast"/>
        </w:trPr>
        <w:tc>
          <w:tcPr>
            <w:tcW w:w="3109" w:type="dxa"/>
            <w:tcBorders>
              <w:left w:val="single" w:color="000000" w:sz="10" w:space="0"/>
            </w:tcBorders>
            <w:vAlign w:val="top"/>
          </w:tcPr>
          <w:p w14:paraId="7923BAD3">
            <w:pPr>
              <w:pStyle w:val="6"/>
              <w:spacing w:before="99" w:line="252" w:lineRule="auto"/>
              <w:ind w:left="614" w:right="186" w:hanging="418"/>
              <w:rPr>
                <w:sz w:val="20"/>
                <w:szCs w:val="20"/>
              </w:rPr>
            </w:pPr>
            <w:r>
              <w:rPr>
                <w:spacing w:val="8"/>
                <w:sz w:val="20"/>
                <w:szCs w:val="20"/>
              </w:rPr>
              <w:t>重庆市黔江区中塘镇兴权村中</w:t>
            </w:r>
            <w:r>
              <w:rPr>
                <w:spacing w:val="3"/>
                <w:sz w:val="20"/>
                <w:szCs w:val="20"/>
              </w:rPr>
              <w:t xml:space="preserve"> </w:t>
            </w:r>
            <w:r>
              <w:rPr>
                <w:spacing w:val="7"/>
                <w:sz w:val="20"/>
                <w:szCs w:val="20"/>
              </w:rPr>
              <w:t>波建筑石料用灰岩矿</w:t>
            </w:r>
          </w:p>
        </w:tc>
        <w:tc>
          <w:tcPr>
            <w:tcW w:w="2967" w:type="dxa"/>
            <w:vAlign w:val="top"/>
          </w:tcPr>
          <w:p w14:paraId="09F2B8E7">
            <w:pPr>
              <w:pStyle w:val="6"/>
              <w:spacing w:before="100" w:line="229" w:lineRule="auto"/>
              <w:ind w:left="58"/>
              <w:rPr>
                <w:sz w:val="20"/>
                <w:szCs w:val="20"/>
              </w:rPr>
            </w:pPr>
            <w:r>
              <w:rPr>
                <w:spacing w:val="3"/>
                <w:sz w:val="20"/>
                <w:szCs w:val="20"/>
              </w:rPr>
              <w:t>进料口平台积水积泥较多；部分</w:t>
            </w:r>
          </w:p>
          <w:p w14:paraId="5934D3BC">
            <w:pPr>
              <w:pStyle w:val="6"/>
              <w:spacing w:before="25" w:line="228" w:lineRule="auto"/>
              <w:ind w:left="348"/>
              <w:rPr>
                <w:sz w:val="20"/>
                <w:szCs w:val="20"/>
              </w:rPr>
            </w:pPr>
            <w:r>
              <w:rPr>
                <w:spacing w:val="6"/>
                <w:sz w:val="20"/>
                <w:szCs w:val="20"/>
              </w:rPr>
              <w:t>密闭车间破损尚未修复。</w:t>
            </w:r>
          </w:p>
        </w:tc>
        <w:tc>
          <w:tcPr>
            <w:tcW w:w="2983" w:type="dxa"/>
            <w:tcBorders>
              <w:right w:val="single" w:color="000000" w:sz="10" w:space="0"/>
            </w:tcBorders>
            <w:vAlign w:val="top"/>
          </w:tcPr>
          <w:p w14:paraId="2E60A345">
            <w:pPr>
              <w:pStyle w:val="6"/>
              <w:spacing w:before="237" w:line="230" w:lineRule="auto"/>
              <w:ind w:left="1012"/>
              <w:rPr>
                <w:sz w:val="20"/>
                <w:szCs w:val="20"/>
              </w:rPr>
            </w:pPr>
            <w:r>
              <w:rPr>
                <w:spacing w:val="-1"/>
                <w:sz w:val="20"/>
                <w:szCs w:val="20"/>
              </w:rPr>
              <w:t>目前已关闭</w:t>
            </w:r>
          </w:p>
        </w:tc>
      </w:tr>
      <w:tr w14:paraId="46AA89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3109" w:type="dxa"/>
            <w:tcBorders>
              <w:left w:val="single" w:color="000000" w:sz="10" w:space="0"/>
            </w:tcBorders>
            <w:vAlign w:val="top"/>
          </w:tcPr>
          <w:p w14:paraId="64B2206B">
            <w:pPr>
              <w:pStyle w:val="6"/>
              <w:spacing w:before="180" w:line="250" w:lineRule="auto"/>
              <w:ind w:left="923" w:right="186" w:hanging="727"/>
              <w:rPr>
                <w:sz w:val="20"/>
                <w:szCs w:val="20"/>
              </w:rPr>
            </w:pPr>
            <w:r>
              <w:rPr>
                <w:spacing w:val="8"/>
                <w:sz w:val="20"/>
                <w:szCs w:val="20"/>
              </w:rPr>
              <w:t>重庆市黔江区黑溪镇转堡建筑</w:t>
            </w:r>
            <w:r>
              <w:rPr>
                <w:spacing w:val="3"/>
                <w:sz w:val="20"/>
                <w:szCs w:val="20"/>
              </w:rPr>
              <w:t xml:space="preserve"> </w:t>
            </w:r>
            <w:r>
              <w:rPr>
                <w:spacing w:val="7"/>
                <w:sz w:val="20"/>
                <w:szCs w:val="20"/>
              </w:rPr>
              <w:t>石料用灰岩矿</w:t>
            </w:r>
          </w:p>
        </w:tc>
        <w:tc>
          <w:tcPr>
            <w:tcW w:w="2967" w:type="dxa"/>
            <w:vAlign w:val="top"/>
          </w:tcPr>
          <w:p w14:paraId="2B6E4CFC">
            <w:pPr>
              <w:pStyle w:val="6"/>
              <w:spacing w:before="44" w:line="229" w:lineRule="auto"/>
              <w:ind w:left="62"/>
              <w:rPr>
                <w:sz w:val="20"/>
                <w:szCs w:val="20"/>
              </w:rPr>
            </w:pPr>
            <w:r>
              <w:rPr>
                <w:spacing w:val="3"/>
                <w:sz w:val="20"/>
                <w:szCs w:val="20"/>
              </w:rPr>
              <w:t>露天堆放有大量成品矿石；进料</w:t>
            </w:r>
          </w:p>
          <w:p w14:paraId="5A3F899A">
            <w:pPr>
              <w:pStyle w:val="6"/>
              <w:spacing w:before="23" w:line="230" w:lineRule="auto"/>
              <w:jc w:val="right"/>
              <w:rPr>
                <w:sz w:val="20"/>
                <w:szCs w:val="20"/>
              </w:rPr>
            </w:pPr>
            <w:r>
              <w:rPr>
                <w:spacing w:val="2"/>
                <w:sz w:val="20"/>
                <w:szCs w:val="20"/>
              </w:rPr>
              <w:t>口未密闭；加工间密闭有破损；</w:t>
            </w:r>
          </w:p>
          <w:p w14:paraId="3EF2A72C">
            <w:pPr>
              <w:pStyle w:val="6"/>
              <w:spacing w:before="24" w:line="200" w:lineRule="auto"/>
              <w:ind w:left="441"/>
              <w:rPr>
                <w:sz w:val="20"/>
                <w:szCs w:val="20"/>
              </w:rPr>
            </w:pPr>
            <w:r>
              <w:rPr>
                <w:spacing w:val="7"/>
                <w:sz w:val="20"/>
                <w:szCs w:val="20"/>
              </w:rPr>
              <w:t>有明显粉尘外溢现象。</w:t>
            </w:r>
          </w:p>
        </w:tc>
        <w:tc>
          <w:tcPr>
            <w:tcW w:w="2983" w:type="dxa"/>
            <w:tcBorders>
              <w:right w:val="single" w:color="000000" w:sz="10" w:space="0"/>
            </w:tcBorders>
            <w:vAlign w:val="top"/>
          </w:tcPr>
          <w:p w14:paraId="4F601F04">
            <w:pPr>
              <w:pStyle w:val="6"/>
              <w:spacing w:before="44" w:line="229" w:lineRule="auto"/>
              <w:ind w:left="66"/>
              <w:rPr>
                <w:sz w:val="20"/>
                <w:szCs w:val="20"/>
              </w:rPr>
            </w:pPr>
            <w:r>
              <w:rPr>
                <w:spacing w:val="3"/>
                <w:sz w:val="20"/>
                <w:szCs w:val="20"/>
              </w:rPr>
              <w:t>矿石堆场进行了合理布局，加工</w:t>
            </w:r>
          </w:p>
          <w:p w14:paraId="1F7A8453">
            <w:pPr>
              <w:pStyle w:val="6"/>
              <w:spacing w:before="23" w:line="228" w:lineRule="auto"/>
              <w:ind w:left="71"/>
              <w:rPr>
                <w:sz w:val="20"/>
                <w:szCs w:val="20"/>
              </w:rPr>
            </w:pPr>
            <w:r>
              <w:rPr>
                <w:spacing w:val="3"/>
                <w:sz w:val="20"/>
                <w:szCs w:val="20"/>
              </w:rPr>
              <w:t>车间已密闭，进料口采用扫水喷</w:t>
            </w:r>
          </w:p>
          <w:p w14:paraId="5438877A">
            <w:pPr>
              <w:pStyle w:val="6"/>
              <w:spacing w:before="27" w:line="200" w:lineRule="auto"/>
              <w:ind w:left="662"/>
              <w:rPr>
                <w:sz w:val="20"/>
                <w:szCs w:val="20"/>
              </w:rPr>
            </w:pPr>
            <w:r>
              <w:rPr>
                <w:spacing w:val="6"/>
                <w:sz w:val="20"/>
                <w:szCs w:val="20"/>
              </w:rPr>
              <w:t>淋进行降尘处理。</w:t>
            </w:r>
          </w:p>
        </w:tc>
      </w:tr>
      <w:tr w14:paraId="25052D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3109" w:type="dxa"/>
            <w:tcBorders>
              <w:left w:val="single" w:color="000000" w:sz="10" w:space="0"/>
              <w:bottom w:val="single" w:color="000000" w:sz="10" w:space="0"/>
            </w:tcBorders>
            <w:vAlign w:val="top"/>
          </w:tcPr>
          <w:p w14:paraId="4504F21F">
            <w:pPr>
              <w:pStyle w:val="6"/>
              <w:spacing w:before="50" w:line="234" w:lineRule="auto"/>
              <w:ind w:left="923" w:right="186" w:hanging="727"/>
              <w:rPr>
                <w:sz w:val="20"/>
                <w:szCs w:val="20"/>
              </w:rPr>
            </w:pPr>
            <w:r>
              <w:rPr>
                <w:spacing w:val="8"/>
                <w:sz w:val="20"/>
                <w:szCs w:val="20"/>
              </w:rPr>
              <w:t>重庆市黔江区蓬东乡永赢建筑</w:t>
            </w:r>
            <w:r>
              <w:rPr>
                <w:spacing w:val="3"/>
                <w:sz w:val="20"/>
                <w:szCs w:val="20"/>
              </w:rPr>
              <w:t xml:space="preserve"> </w:t>
            </w:r>
            <w:r>
              <w:rPr>
                <w:spacing w:val="7"/>
                <w:sz w:val="20"/>
                <w:szCs w:val="20"/>
              </w:rPr>
              <w:t>石料用灰岩矿</w:t>
            </w:r>
          </w:p>
        </w:tc>
        <w:tc>
          <w:tcPr>
            <w:tcW w:w="2967" w:type="dxa"/>
            <w:tcBorders>
              <w:bottom w:val="single" w:color="000000" w:sz="10" w:space="0"/>
            </w:tcBorders>
            <w:vAlign w:val="top"/>
          </w:tcPr>
          <w:p w14:paraId="1E7C1ECB">
            <w:pPr>
              <w:pStyle w:val="6"/>
              <w:spacing w:before="185" w:line="228" w:lineRule="auto"/>
              <w:ind w:left="761"/>
              <w:rPr>
                <w:sz w:val="20"/>
                <w:szCs w:val="20"/>
              </w:rPr>
            </w:pPr>
            <w:r>
              <w:rPr>
                <w:spacing w:val="5"/>
                <w:sz w:val="20"/>
                <w:szCs w:val="20"/>
              </w:rPr>
              <w:t>存在扬尘问题。</w:t>
            </w:r>
          </w:p>
        </w:tc>
        <w:tc>
          <w:tcPr>
            <w:tcW w:w="2983" w:type="dxa"/>
            <w:tcBorders>
              <w:bottom w:val="single" w:color="000000" w:sz="10" w:space="0"/>
              <w:right w:val="single" w:color="000000" w:sz="10" w:space="0"/>
            </w:tcBorders>
            <w:vAlign w:val="top"/>
          </w:tcPr>
          <w:p w14:paraId="66E0B719">
            <w:pPr>
              <w:pStyle w:val="6"/>
              <w:spacing w:before="185" w:line="230" w:lineRule="auto"/>
              <w:ind w:left="1012"/>
              <w:rPr>
                <w:sz w:val="20"/>
                <w:szCs w:val="20"/>
              </w:rPr>
            </w:pPr>
            <w:r>
              <w:rPr>
                <w:spacing w:val="-1"/>
                <w:sz w:val="20"/>
                <w:szCs w:val="20"/>
              </w:rPr>
              <w:t>目前已关闭</w:t>
            </w:r>
          </w:p>
        </w:tc>
      </w:tr>
    </w:tbl>
    <w:p w14:paraId="716D6892">
      <w:pPr>
        <w:spacing w:before="212"/>
      </w:pPr>
    </w:p>
    <w:tbl>
      <w:tblPr>
        <w:tblStyle w:val="5"/>
        <w:tblW w:w="906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32"/>
        <w:gridCol w:w="4533"/>
      </w:tblGrid>
      <w:tr w14:paraId="7A13D2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5" w:hRule="atLeast"/>
        </w:trPr>
        <w:tc>
          <w:tcPr>
            <w:tcW w:w="4532" w:type="dxa"/>
            <w:vAlign w:val="top"/>
          </w:tcPr>
          <w:p w14:paraId="573E7411">
            <w:pPr>
              <w:spacing w:line="261" w:lineRule="auto"/>
              <w:rPr>
                <w:rFonts w:ascii="Arial"/>
                <w:sz w:val="21"/>
              </w:rPr>
            </w:pPr>
          </w:p>
          <w:p w14:paraId="27E787BF">
            <w:pPr>
              <w:spacing w:line="262" w:lineRule="auto"/>
              <w:rPr>
                <w:rFonts w:ascii="Arial"/>
                <w:sz w:val="21"/>
              </w:rPr>
            </w:pPr>
          </w:p>
          <w:p w14:paraId="56A662FC">
            <w:pPr>
              <w:spacing w:line="262" w:lineRule="auto"/>
              <w:rPr>
                <w:rFonts w:ascii="Arial"/>
                <w:sz w:val="21"/>
              </w:rPr>
            </w:pPr>
          </w:p>
          <w:p w14:paraId="3BCE3471">
            <w:pPr>
              <w:spacing w:before="285" w:line="737" w:lineRule="exact"/>
              <w:ind w:left="2562"/>
              <w:rPr>
                <w:rFonts w:ascii="Arial" w:hAnsi="Arial" w:eastAsia="Arial" w:cs="Arial"/>
                <w:sz w:val="99"/>
                <w:szCs w:val="99"/>
              </w:rPr>
            </w:pPr>
            <w:r>
              <w:drawing>
                <wp:anchor distT="0" distB="0" distL="0" distR="0" simplePos="0" relativeHeight="251662336" behindDoc="1" locked="0" layoutInCell="1" allowOverlap="1">
                  <wp:simplePos x="0" y="0"/>
                  <wp:positionH relativeFrom="column">
                    <wp:posOffset>81280</wp:posOffset>
                  </wp:positionH>
                  <wp:positionV relativeFrom="paragraph">
                    <wp:posOffset>-497840</wp:posOffset>
                  </wp:positionV>
                  <wp:extent cx="2712720" cy="2034540"/>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271"/>
                          <a:stretch>
                            <a:fillRect/>
                          </a:stretch>
                        </pic:blipFill>
                        <pic:spPr>
                          <a:xfrm>
                            <a:off x="0" y="0"/>
                            <a:ext cx="2712720" cy="2034540"/>
                          </a:xfrm>
                          <a:prstGeom prst="rect">
                            <a:avLst/>
                          </a:prstGeom>
                        </pic:spPr>
                      </pic:pic>
                    </a:graphicData>
                  </a:graphic>
                </wp:anchor>
              </w:drawing>
            </w:r>
            <w:r>
              <w:rPr>
                <w:rFonts w:ascii="Arial" w:hAnsi="Arial" w:eastAsia="Arial" w:cs="Arial"/>
                <w:color w:val="FF0000"/>
                <w:spacing w:val="155"/>
                <w:w w:val="175"/>
                <w:position w:val="-13"/>
                <w:sz w:val="99"/>
                <w:szCs w:val="99"/>
              </w:rPr>
              <w:t>/</w:t>
            </w:r>
          </w:p>
          <w:p w14:paraId="6408C250">
            <w:pPr>
              <w:pStyle w:val="6"/>
              <w:tabs>
                <w:tab w:val="left" w:pos="1506"/>
              </w:tabs>
              <w:spacing w:before="176" w:line="228" w:lineRule="auto"/>
              <w:ind w:left="1335"/>
              <w:rPr>
                <w:sz w:val="19"/>
                <w:szCs w:val="19"/>
              </w:rPr>
            </w:pPr>
            <w:r>
              <w:rPr>
                <w:sz w:val="19"/>
                <w:szCs w:val="19"/>
                <w:shd w:val="clear" w:fill="FFFFFE"/>
              </w:rPr>
              <w:tab/>
            </w:r>
            <w:r>
              <w:rPr>
                <w:spacing w:val="8"/>
                <w:sz w:val="19"/>
                <w:szCs w:val="19"/>
                <w:shd w:val="clear" w:fill="FFFFFE"/>
              </w:rPr>
              <w:t>加工车间密闭</w:t>
            </w:r>
            <w:r>
              <w:rPr>
                <w:sz w:val="19"/>
                <w:szCs w:val="19"/>
                <w:shd w:val="clear" w:fill="FFFFFE"/>
              </w:rPr>
              <w:t xml:space="preserve">     </w:t>
            </w:r>
          </w:p>
        </w:tc>
        <w:tc>
          <w:tcPr>
            <w:tcW w:w="4533" w:type="dxa"/>
            <w:vAlign w:val="top"/>
          </w:tcPr>
          <w:p w14:paraId="13BEAF6E">
            <w:pPr>
              <w:spacing w:line="361" w:lineRule="auto"/>
              <w:rPr>
                <w:rFonts w:ascii="Arial"/>
                <w:sz w:val="21"/>
              </w:rPr>
            </w:pPr>
            <w:r>
              <w:drawing>
                <wp:anchor distT="0" distB="0" distL="0" distR="0" simplePos="0" relativeHeight="251661312" behindDoc="1" locked="0" layoutInCell="1" allowOverlap="1">
                  <wp:simplePos x="0" y="0"/>
                  <wp:positionH relativeFrom="rightMargin">
                    <wp:posOffset>-2783205</wp:posOffset>
                  </wp:positionH>
                  <wp:positionV relativeFrom="topMargin">
                    <wp:posOffset>3175</wp:posOffset>
                  </wp:positionV>
                  <wp:extent cx="2689860" cy="2038985"/>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272"/>
                          <a:stretch>
                            <a:fillRect/>
                          </a:stretch>
                        </pic:blipFill>
                        <pic:spPr>
                          <a:xfrm>
                            <a:off x="0" y="0"/>
                            <a:ext cx="2689859" cy="2039111"/>
                          </a:xfrm>
                          <a:prstGeom prst="rect">
                            <a:avLst/>
                          </a:prstGeom>
                        </pic:spPr>
                      </pic:pic>
                    </a:graphicData>
                  </a:graphic>
                </wp:anchor>
              </w:drawing>
            </w:r>
          </w:p>
          <w:p w14:paraId="5AD867AA">
            <w:pPr>
              <w:pStyle w:val="6"/>
              <w:spacing w:line="1469" w:lineRule="exact"/>
              <w:ind w:firstLine="1579"/>
            </w:pPr>
            <w:r>
              <w:rPr>
                <w:position w:val="-29"/>
              </w:rPr>
              <w:pict>
                <v:group id="_x0000_s1027" o:spid="_x0000_s1027" o:spt="203" style="height:73.45pt;width:69.25pt;" coordsize="1385,1468">
                  <o:lock v:ext="edit"/>
                  <v:shape id="_x0000_s1028" o:spid="_x0000_s1028" o:spt="75" type="#_x0000_t75" style="position:absolute;left:0;top:0;height:1468;width:1385;" filled="f" stroked="f" coordsize="21600,21600">
                    <v:path/>
                    <v:fill on="f" focussize="0,0"/>
                    <v:stroke on="f"/>
                    <v:imagedata r:id="rId273" o:title=""/>
                    <o:lock v:ext="edit" aspectratio="t"/>
                  </v:shape>
                  <v:shape id="_x0000_s1029" o:spid="_x0000_s1029" o:spt="202" type="#_x0000_t202" style="position:absolute;left:-20;top:-20;height:1508;width:1425;" filled="f" stroked="f" coordsize="21600,21600">
                    <v:path/>
                    <v:fill on="f" focussize="0,0"/>
                    <v:stroke on="f"/>
                    <v:imagedata o:title=""/>
                    <o:lock v:ext="edit" aspectratio="f"/>
                    <v:textbox inset="0mm,0mm,0mm,0mm">
                      <w:txbxContent>
                        <w:p w14:paraId="6F1273BD">
                          <w:pPr>
                            <w:spacing w:before="137" w:line="229" w:lineRule="auto"/>
                            <w:ind w:left="193"/>
                            <w:rPr>
                              <w:rFonts w:ascii="仿宋" w:hAnsi="仿宋" w:eastAsia="仿宋" w:cs="仿宋"/>
                              <w:sz w:val="19"/>
                              <w:szCs w:val="19"/>
                            </w:rPr>
                          </w:pPr>
                          <w:r>
                            <w:rPr>
                              <w:rFonts w:ascii="仿宋" w:hAnsi="仿宋" w:eastAsia="仿宋" w:cs="仿宋"/>
                              <w:spacing w:val="6"/>
                              <w:sz w:val="19"/>
                              <w:szCs w:val="19"/>
                            </w:rPr>
                            <w:t>进料口密闭</w:t>
                          </w:r>
                        </w:p>
                      </w:txbxContent>
                    </v:textbox>
                  </v:shape>
                  <w10:wrap type="none"/>
                  <w10:anchorlock/>
                </v:group>
              </w:pict>
            </w:r>
          </w:p>
        </w:tc>
      </w:tr>
      <w:tr w14:paraId="760868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9065" w:type="dxa"/>
            <w:gridSpan w:val="2"/>
            <w:vAlign w:val="top"/>
          </w:tcPr>
          <w:p w14:paraId="4DF1D24E">
            <w:pPr>
              <w:pStyle w:val="6"/>
              <w:spacing w:before="61" w:line="229" w:lineRule="auto"/>
              <w:ind w:left="2450"/>
              <w:rPr>
                <w:sz w:val="20"/>
                <w:szCs w:val="20"/>
              </w:rPr>
            </w:pPr>
            <w:r>
              <w:rPr>
                <w:spacing w:val="8"/>
                <w:sz w:val="20"/>
                <w:szCs w:val="20"/>
              </w:rPr>
              <w:t>重庆市黔江区水市乡水市村建筑石料用灰岩矿</w:t>
            </w:r>
          </w:p>
        </w:tc>
      </w:tr>
    </w:tbl>
    <w:p w14:paraId="298639D1">
      <w:pPr>
        <w:pStyle w:val="2"/>
      </w:pPr>
    </w:p>
    <w:p w14:paraId="68FCC54A">
      <w:pPr>
        <w:sectPr>
          <w:headerReference r:id="rId149" w:type="default"/>
          <w:footerReference r:id="rId150" w:type="default"/>
          <w:pgSz w:w="11906" w:h="16839"/>
          <w:pgMar w:top="1116" w:right="1356" w:bottom="1480" w:left="1464" w:header="683" w:footer="1318" w:gutter="0"/>
          <w:cols w:space="720" w:num="1"/>
        </w:sectPr>
      </w:pPr>
    </w:p>
    <w:p w14:paraId="1226FC0A">
      <w:pPr>
        <w:spacing w:before="82"/>
      </w:pPr>
      <w:r>
        <w:drawing>
          <wp:anchor distT="0" distB="0" distL="0" distR="0" simplePos="0" relativeHeight="251665408" behindDoc="1" locked="0" layoutInCell="0" allowOverlap="1">
            <wp:simplePos x="0" y="0"/>
            <wp:positionH relativeFrom="page">
              <wp:posOffset>1010285</wp:posOffset>
            </wp:positionH>
            <wp:positionV relativeFrom="page">
              <wp:posOffset>3035300</wp:posOffset>
            </wp:positionV>
            <wp:extent cx="2732405" cy="2214245"/>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274"/>
                    <a:stretch>
                      <a:fillRect/>
                    </a:stretch>
                  </pic:blipFill>
                  <pic:spPr>
                    <a:xfrm>
                      <a:off x="0" y="0"/>
                      <a:ext cx="2732532" cy="2214372"/>
                    </a:xfrm>
                    <a:prstGeom prst="rect">
                      <a:avLst/>
                    </a:prstGeom>
                  </pic:spPr>
                </pic:pic>
              </a:graphicData>
            </a:graphic>
          </wp:anchor>
        </w:drawing>
      </w:r>
      <w:r>
        <w:drawing>
          <wp:anchor distT="0" distB="0" distL="0" distR="0" simplePos="0" relativeHeight="251666432" behindDoc="1" locked="0" layoutInCell="0" allowOverlap="1">
            <wp:simplePos x="0" y="0"/>
            <wp:positionH relativeFrom="page">
              <wp:posOffset>3887470</wp:posOffset>
            </wp:positionH>
            <wp:positionV relativeFrom="page">
              <wp:posOffset>3035300</wp:posOffset>
            </wp:positionV>
            <wp:extent cx="2732405" cy="2190115"/>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275"/>
                    <a:stretch>
                      <a:fillRect/>
                    </a:stretch>
                  </pic:blipFill>
                  <pic:spPr>
                    <a:xfrm>
                      <a:off x="0" y="0"/>
                      <a:ext cx="2732532" cy="2189988"/>
                    </a:xfrm>
                    <a:prstGeom prst="rect">
                      <a:avLst/>
                    </a:prstGeom>
                  </pic:spPr>
                </pic:pic>
              </a:graphicData>
            </a:graphic>
          </wp:anchor>
        </w:drawing>
      </w:r>
      <w:r>
        <w:drawing>
          <wp:anchor distT="0" distB="0" distL="0" distR="0" simplePos="0" relativeHeight="251667456" behindDoc="1" locked="0" layoutInCell="0" allowOverlap="1">
            <wp:simplePos x="0" y="0"/>
            <wp:positionH relativeFrom="page">
              <wp:posOffset>1010285</wp:posOffset>
            </wp:positionH>
            <wp:positionV relativeFrom="page">
              <wp:posOffset>5382260</wp:posOffset>
            </wp:positionV>
            <wp:extent cx="2732405" cy="2125980"/>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276"/>
                    <a:stretch>
                      <a:fillRect/>
                    </a:stretch>
                  </pic:blipFill>
                  <pic:spPr>
                    <a:xfrm>
                      <a:off x="0" y="0"/>
                      <a:ext cx="2732532" cy="2125979"/>
                    </a:xfrm>
                    <a:prstGeom prst="rect">
                      <a:avLst/>
                    </a:prstGeom>
                  </pic:spPr>
                </pic:pic>
              </a:graphicData>
            </a:graphic>
          </wp:anchor>
        </w:drawing>
      </w:r>
      <w:r>
        <w:drawing>
          <wp:anchor distT="0" distB="0" distL="0" distR="0" simplePos="0" relativeHeight="251668480" behindDoc="1" locked="0" layoutInCell="0" allowOverlap="1">
            <wp:simplePos x="0" y="0"/>
            <wp:positionH relativeFrom="page">
              <wp:posOffset>3887470</wp:posOffset>
            </wp:positionH>
            <wp:positionV relativeFrom="page">
              <wp:posOffset>5382260</wp:posOffset>
            </wp:positionV>
            <wp:extent cx="2732405" cy="2117090"/>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277"/>
                    <a:stretch>
                      <a:fillRect/>
                    </a:stretch>
                  </pic:blipFill>
                  <pic:spPr>
                    <a:xfrm>
                      <a:off x="0" y="0"/>
                      <a:ext cx="2732532" cy="2116835"/>
                    </a:xfrm>
                    <a:prstGeom prst="rect">
                      <a:avLst/>
                    </a:prstGeom>
                  </pic:spPr>
                </pic:pic>
              </a:graphicData>
            </a:graphic>
          </wp:anchor>
        </w:drawing>
      </w:r>
    </w:p>
    <w:tbl>
      <w:tblPr>
        <w:tblStyle w:val="5"/>
        <w:tblW w:w="90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32"/>
        <w:gridCol w:w="4533"/>
      </w:tblGrid>
      <w:tr w14:paraId="3E04FB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7" w:hRule="atLeast"/>
        </w:trPr>
        <w:tc>
          <w:tcPr>
            <w:tcW w:w="4532" w:type="dxa"/>
            <w:vAlign w:val="top"/>
          </w:tcPr>
          <w:p w14:paraId="798F7BA4">
            <w:pPr>
              <w:spacing w:line="318" w:lineRule="auto"/>
              <w:rPr>
                <w:rFonts w:ascii="Arial"/>
                <w:sz w:val="21"/>
              </w:rPr>
            </w:pPr>
          </w:p>
          <w:p w14:paraId="67F3F5E9">
            <w:pPr>
              <w:spacing w:line="319" w:lineRule="auto"/>
              <w:rPr>
                <w:rFonts w:ascii="Arial"/>
                <w:sz w:val="21"/>
              </w:rPr>
            </w:pPr>
          </w:p>
          <w:p w14:paraId="2BD54AD4">
            <w:pPr>
              <w:pStyle w:val="6"/>
              <w:tabs>
                <w:tab w:val="left" w:pos="1506"/>
              </w:tabs>
              <w:spacing w:before="62" w:line="224" w:lineRule="auto"/>
              <w:ind w:left="1334"/>
              <w:rPr>
                <w:sz w:val="19"/>
                <w:szCs w:val="19"/>
              </w:rPr>
            </w:pPr>
            <w:r>
              <w:drawing>
                <wp:anchor distT="0" distB="0" distL="0" distR="0" simplePos="0" relativeHeight="251663360" behindDoc="1" locked="0" layoutInCell="1" allowOverlap="1">
                  <wp:simplePos x="0" y="0"/>
                  <wp:positionH relativeFrom="column">
                    <wp:posOffset>70485</wp:posOffset>
                  </wp:positionH>
                  <wp:positionV relativeFrom="paragraph">
                    <wp:posOffset>-403860</wp:posOffset>
                  </wp:positionV>
                  <wp:extent cx="2732405" cy="1751330"/>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278"/>
                          <a:stretch>
                            <a:fillRect/>
                          </a:stretch>
                        </pic:blipFill>
                        <pic:spPr>
                          <a:xfrm>
                            <a:off x="0" y="0"/>
                            <a:ext cx="2732532" cy="1751076"/>
                          </a:xfrm>
                          <a:prstGeom prst="rect">
                            <a:avLst/>
                          </a:prstGeom>
                        </pic:spPr>
                      </pic:pic>
                    </a:graphicData>
                  </a:graphic>
                </wp:anchor>
              </w:drawing>
            </w:r>
            <w:r>
              <w:rPr>
                <w:sz w:val="19"/>
                <w:szCs w:val="19"/>
                <w:shd w:val="clear" w:fill="FFFFFE"/>
              </w:rPr>
              <w:tab/>
            </w:r>
            <w:r>
              <w:rPr>
                <w:spacing w:val="7"/>
                <w:sz w:val="19"/>
                <w:szCs w:val="19"/>
                <w:shd w:val="clear" w:fill="FFFFFE"/>
              </w:rPr>
              <w:t>加工车间密闭</w:t>
            </w:r>
            <w:r>
              <w:rPr>
                <w:sz w:val="19"/>
                <w:szCs w:val="19"/>
                <w:shd w:val="clear" w:fill="FFFFFE"/>
              </w:rPr>
              <w:t xml:space="preserve">   </w:t>
            </w:r>
          </w:p>
          <w:p w14:paraId="273566CF">
            <w:pPr>
              <w:spacing w:before="117" w:line="634" w:lineRule="exact"/>
              <w:ind w:left="2226"/>
              <w:rPr>
                <w:rFonts w:ascii="Arial" w:hAnsi="Arial" w:eastAsia="Arial" w:cs="Arial"/>
                <w:sz w:val="85"/>
                <w:szCs w:val="85"/>
              </w:rPr>
            </w:pPr>
            <w:r>
              <w:rPr>
                <w:rFonts w:ascii="Arial" w:hAnsi="Arial" w:eastAsia="Arial" w:cs="Arial"/>
                <w:color w:val="FF0000"/>
                <w:spacing w:val="46"/>
                <w:w w:val="125"/>
                <w:position w:val="-11"/>
                <w:sz w:val="85"/>
                <w:szCs w:val="85"/>
              </w:rPr>
              <w:t>\</w:t>
            </w:r>
          </w:p>
        </w:tc>
        <w:tc>
          <w:tcPr>
            <w:tcW w:w="4533" w:type="dxa"/>
            <w:vAlign w:val="top"/>
          </w:tcPr>
          <w:p w14:paraId="0F143816">
            <w:pPr>
              <w:spacing w:line="271" w:lineRule="auto"/>
              <w:rPr>
                <w:rFonts w:ascii="Arial"/>
                <w:sz w:val="21"/>
              </w:rPr>
            </w:pPr>
          </w:p>
          <w:p w14:paraId="161AEC09">
            <w:pPr>
              <w:spacing w:line="271" w:lineRule="auto"/>
              <w:rPr>
                <w:rFonts w:ascii="Arial"/>
                <w:sz w:val="21"/>
              </w:rPr>
            </w:pPr>
          </w:p>
          <w:p w14:paraId="629F6E1A">
            <w:pPr>
              <w:spacing w:line="272" w:lineRule="auto"/>
              <w:rPr>
                <w:rFonts w:ascii="Arial"/>
                <w:sz w:val="21"/>
              </w:rPr>
            </w:pPr>
          </w:p>
          <w:p w14:paraId="632EADE9">
            <w:pPr>
              <w:spacing w:line="647" w:lineRule="exact"/>
              <w:ind w:left="2426"/>
            </w:pPr>
            <w:r>
              <w:drawing>
                <wp:anchor distT="0" distB="0" distL="0" distR="0" simplePos="0" relativeHeight="251664384" behindDoc="1" locked="0" layoutInCell="1" allowOverlap="1">
                  <wp:simplePos x="0" y="0"/>
                  <wp:positionH relativeFrom="column">
                    <wp:posOffset>71755</wp:posOffset>
                  </wp:positionH>
                  <wp:positionV relativeFrom="paragraph">
                    <wp:posOffset>-516890</wp:posOffset>
                  </wp:positionV>
                  <wp:extent cx="2731135" cy="1802765"/>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279"/>
                          <a:stretch>
                            <a:fillRect/>
                          </a:stretch>
                        </pic:blipFill>
                        <pic:spPr>
                          <a:xfrm>
                            <a:off x="0" y="0"/>
                            <a:ext cx="2731008" cy="1802892"/>
                          </a:xfrm>
                          <a:prstGeom prst="rect">
                            <a:avLst/>
                          </a:prstGeom>
                        </pic:spPr>
                      </pic:pic>
                    </a:graphicData>
                  </a:graphic>
                </wp:anchor>
              </w:drawing>
            </w:r>
            <w:r>
              <w:rPr>
                <w:position w:val="-13"/>
              </w:rPr>
              <w:drawing>
                <wp:inline distT="0" distB="0" distL="0" distR="0">
                  <wp:extent cx="512445" cy="41084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280"/>
                          <a:stretch>
                            <a:fillRect/>
                          </a:stretch>
                        </pic:blipFill>
                        <pic:spPr>
                          <a:xfrm>
                            <a:off x="0" y="0"/>
                            <a:ext cx="512876" cy="411390"/>
                          </a:xfrm>
                          <a:prstGeom prst="rect">
                            <a:avLst/>
                          </a:prstGeom>
                        </pic:spPr>
                      </pic:pic>
                    </a:graphicData>
                  </a:graphic>
                </wp:inline>
              </w:drawing>
            </w:r>
          </w:p>
          <w:p w14:paraId="5AC9E971">
            <w:pPr>
              <w:pStyle w:val="6"/>
              <w:tabs>
                <w:tab w:val="left" w:pos="2545"/>
              </w:tabs>
              <w:spacing w:before="172" w:line="228" w:lineRule="auto"/>
              <w:ind w:left="2373"/>
              <w:rPr>
                <w:sz w:val="19"/>
                <w:szCs w:val="19"/>
              </w:rPr>
            </w:pPr>
            <w:r>
              <w:rPr>
                <w:sz w:val="19"/>
                <w:szCs w:val="19"/>
                <w:shd w:val="clear" w:fill="FFFFFE"/>
              </w:rPr>
              <w:tab/>
            </w:r>
            <w:r>
              <w:rPr>
                <w:spacing w:val="6"/>
                <w:sz w:val="19"/>
                <w:szCs w:val="19"/>
                <w:shd w:val="clear" w:fill="FFFFFE"/>
              </w:rPr>
              <w:t xml:space="preserve">加工车间密闭  </w:t>
            </w:r>
          </w:p>
        </w:tc>
      </w:tr>
      <w:tr w14:paraId="7FFBC0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065" w:type="dxa"/>
            <w:gridSpan w:val="2"/>
            <w:vAlign w:val="top"/>
          </w:tcPr>
          <w:p w14:paraId="1A1C6CE0">
            <w:pPr>
              <w:pStyle w:val="6"/>
              <w:spacing w:before="32" w:line="216" w:lineRule="auto"/>
              <w:ind w:left="2554"/>
              <w:rPr>
                <w:sz w:val="20"/>
                <w:szCs w:val="20"/>
              </w:rPr>
            </w:pPr>
            <w:r>
              <w:rPr>
                <w:spacing w:val="8"/>
                <w:sz w:val="20"/>
                <w:szCs w:val="20"/>
              </w:rPr>
              <w:t>重庆市黔江区黑溪镇转堡建筑石料用灰岩矿</w:t>
            </w:r>
          </w:p>
        </w:tc>
      </w:tr>
      <w:tr w14:paraId="28C683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9" w:hRule="atLeast"/>
        </w:trPr>
        <w:tc>
          <w:tcPr>
            <w:tcW w:w="4532" w:type="dxa"/>
            <w:tcBorders>
              <w:bottom w:val="nil"/>
            </w:tcBorders>
            <w:vAlign w:val="top"/>
          </w:tcPr>
          <w:p w14:paraId="251DDC27">
            <w:pPr>
              <w:spacing w:line="440" w:lineRule="auto"/>
              <w:rPr>
                <w:rFonts w:ascii="Arial"/>
                <w:sz w:val="21"/>
              </w:rPr>
            </w:pPr>
          </w:p>
          <w:p w14:paraId="75AFB59C">
            <w:pPr>
              <w:pStyle w:val="6"/>
              <w:spacing w:line="436" w:lineRule="exact"/>
              <w:ind w:firstLine="1649"/>
            </w:pPr>
            <w:r>
              <w:rPr>
                <w:position w:val="-9"/>
              </w:rPr>
              <w:pict>
                <v:shape id="_x0000_s1030" o:spid="_x0000_s1030" o:spt="202" type="#_x0000_t202" style="height:22pt;width:80.2pt;" fillcolor="#FFFFFF" filled="t" stroked="f" coordsize="21600,21600">
                  <v:path/>
                  <v:fill on="t" focussize="0,0"/>
                  <v:stroke on="f"/>
                  <v:imagedata o:title=""/>
                  <o:lock v:ext="edit" aspectratio="f"/>
                  <v:textbox inset="0mm,0mm,0mm,0mm">
                    <w:txbxContent>
                      <w:p w14:paraId="7BA2270A">
                        <w:pPr>
                          <w:spacing w:before="118" w:line="228" w:lineRule="auto"/>
                          <w:ind w:left="172"/>
                          <w:rPr>
                            <w:rFonts w:ascii="仿宋" w:hAnsi="仿宋" w:eastAsia="仿宋" w:cs="仿宋"/>
                            <w:sz w:val="19"/>
                            <w:szCs w:val="19"/>
                          </w:rPr>
                        </w:pPr>
                        <w:r>
                          <w:rPr>
                            <w:rFonts w:ascii="仿宋" w:hAnsi="仿宋" w:eastAsia="仿宋" w:cs="仿宋"/>
                            <w:spacing w:val="7"/>
                            <w:sz w:val="19"/>
                            <w:szCs w:val="19"/>
                          </w:rPr>
                          <w:t>加工车间密闭</w:t>
                        </w:r>
                      </w:p>
                    </w:txbxContent>
                  </v:textbox>
                  <w10:wrap type="none"/>
                  <w10:anchorlock/>
                </v:shape>
              </w:pict>
            </w:r>
          </w:p>
        </w:tc>
        <w:tc>
          <w:tcPr>
            <w:tcW w:w="4533" w:type="dxa"/>
            <w:vMerge w:val="restart"/>
            <w:tcBorders>
              <w:bottom w:val="nil"/>
            </w:tcBorders>
            <w:vAlign w:val="top"/>
          </w:tcPr>
          <w:p w14:paraId="6AA01506">
            <w:pPr>
              <w:spacing w:line="250" w:lineRule="auto"/>
              <w:rPr>
                <w:rFonts w:ascii="Arial"/>
                <w:sz w:val="21"/>
              </w:rPr>
            </w:pPr>
          </w:p>
          <w:p w14:paraId="5A6AE084">
            <w:pPr>
              <w:spacing w:line="250" w:lineRule="auto"/>
              <w:rPr>
                <w:rFonts w:ascii="Arial"/>
                <w:sz w:val="21"/>
              </w:rPr>
            </w:pPr>
          </w:p>
          <w:p w14:paraId="106B7C6E">
            <w:pPr>
              <w:spacing w:line="250" w:lineRule="auto"/>
              <w:rPr>
                <w:rFonts w:ascii="Arial"/>
                <w:sz w:val="21"/>
              </w:rPr>
            </w:pPr>
          </w:p>
          <w:p w14:paraId="04D88BA1">
            <w:pPr>
              <w:spacing w:line="251" w:lineRule="auto"/>
              <w:rPr>
                <w:rFonts w:ascii="Arial"/>
                <w:sz w:val="21"/>
              </w:rPr>
            </w:pPr>
          </w:p>
          <w:p w14:paraId="133F9A90">
            <w:pPr>
              <w:pStyle w:val="6"/>
              <w:spacing w:line="432" w:lineRule="exact"/>
              <w:ind w:firstLine="2008"/>
            </w:pPr>
            <w:r>
              <w:rPr>
                <w:position w:val="-9"/>
              </w:rPr>
              <w:pict>
                <v:group id="_x0000_s1031" o:spid="_x0000_s1031" o:spt="203" style="height:22pt;width:82pt;" coordsize="1640,440">
                  <o:lock v:ext="edit"/>
                  <v:shape id="_x0000_s1032" o:spid="_x0000_s1032" o:spt="75" type="#_x0000_t75" style="position:absolute;left:0;top:0;height:440;width:1640;" filled="f" stroked="f" coordsize="21600,21600">
                    <v:path/>
                    <v:fill on="f" focussize="0,0"/>
                    <v:stroke on="f"/>
                    <v:imagedata r:id="rId281" o:title=""/>
                    <o:lock v:ext="edit" aspectratio="t"/>
                  </v:shape>
                  <v:shape id="_x0000_s1033" o:spid="_x0000_s1033" o:spt="202" type="#_x0000_t202" style="position:absolute;left:-20;top:-20;height:480;width:1680;" filled="f" stroked="f" coordsize="21600,21600">
                    <v:path/>
                    <v:fill on="f" focussize="0,0"/>
                    <v:stroke on="f"/>
                    <v:imagedata o:title=""/>
                    <o:lock v:ext="edit" aspectratio="f"/>
                    <v:textbox inset="0mm,0mm,0mm,0mm">
                      <w:txbxContent>
                        <w:p w14:paraId="1DD53594">
                          <w:pPr>
                            <w:spacing w:before="138" w:line="228" w:lineRule="auto"/>
                            <w:ind w:left="192"/>
                            <w:rPr>
                              <w:rFonts w:ascii="仿宋" w:hAnsi="仿宋" w:eastAsia="仿宋" w:cs="仿宋"/>
                              <w:sz w:val="19"/>
                              <w:szCs w:val="19"/>
                            </w:rPr>
                          </w:pPr>
                          <w:r>
                            <w:rPr>
                              <w:rFonts w:ascii="仿宋" w:hAnsi="仿宋" w:eastAsia="仿宋" w:cs="仿宋"/>
                              <w:spacing w:val="7"/>
                              <w:sz w:val="19"/>
                              <w:szCs w:val="19"/>
                            </w:rPr>
                            <w:t>加工车间密闭</w:t>
                          </w:r>
                        </w:p>
                      </w:txbxContent>
                    </v:textbox>
                  </v:shape>
                  <w10:wrap type="none"/>
                  <w10:anchorlock/>
                </v:group>
              </w:pict>
            </w:r>
          </w:p>
        </w:tc>
      </w:tr>
      <w:tr w14:paraId="1845E0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4532" w:type="dxa"/>
            <w:vMerge w:val="restart"/>
            <w:tcBorders>
              <w:top w:val="nil"/>
              <w:bottom w:val="nil"/>
            </w:tcBorders>
            <w:vAlign w:val="top"/>
          </w:tcPr>
          <w:p w14:paraId="3AA828A7">
            <w:pPr>
              <w:spacing w:before="10" w:line="739" w:lineRule="exact"/>
              <w:ind w:firstLine="2232"/>
            </w:pPr>
            <w:r>
              <w:rPr>
                <w:position w:val="-14"/>
              </w:rPr>
              <w:drawing>
                <wp:inline distT="0" distB="0" distL="0" distR="0">
                  <wp:extent cx="285750" cy="46863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282"/>
                          <a:stretch>
                            <a:fillRect/>
                          </a:stretch>
                        </pic:blipFill>
                        <pic:spPr>
                          <a:xfrm>
                            <a:off x="0" y="0"/>
                            <a:ext cx="286016" cy="469189"/>
                          </a:xfrm>
                          <a:prstGeom prst="rect">
                            <a:avLst/>
                          </a:prstGeom>
                        </pic:spPr>
                      </pic:pic>
                    </a:graphicData>
                  </a:graphic>
                </wp:inline>
              </w:drawing>
            </w:r>
          </w:p>
        </w:tc>
        <w:tc>
          <w:tcPr>
            <w:tcW w:w="4533" w:type="dxa"/>
            <w:vMerge w:val="continue"/>
            <w:tcBorders>
              <w:top w:val="nil"/>
              <w:bottom w:val="nil"/>
            </w:tcBorders>
            <w:vAlign w:val="top"/>
          </w:tcPr>
          <w:p w14:paraId="05A4266F">
            <w:pPr>
              <w:rPr>
                <w:rFonts w:ascii="Arial"/>
                <w:sz w:val="21"/>
              </w:rPr>
            </w:pPr>
          </w:p>
        </w:tc>
      </w:tr>
      <w:tr w14:paraId="1D2DF7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39" w:hRule="atLeast"/>
        </w:trPr>
        <w:tc>
          <w:tcPr>
            <w:tcW w:w="4532" w:type="dxa"/>
            <w:vMerge w:val="continue"/>
            <w:tcBorders>
              <w:top w:val="nil"/>
            </w:tcBorders>
            <w:vAlign w:val="top"/>
          </w:tcPr>
          <w:p w14:paraId="4F3FFFE1">
            <w:pPr>
              <w:rPr>
                <w:rFonts w:ascii="Arial"/>
                <w:sz w:val="21"/>
              </w:rPr>
            </w:pPr>
          </w:p>
        </w:tc>
        <w:tc>
          <w:tcPr>
            <w:tcW w:w="4533" w:type="dxa"/>
            <w:tcBorders>
              <w:top w:val="nil"/>
            </w:tcBorders>
            <w:vAlign w:val="top"/>
          </w:tcPr>
          <w:p w14:paraId="0E8C3317">
            <w:pPr>
              <w:spacing w:before="8" w:line="588" w:lineRule="exact"/>
              <w:ind w:firstLine="2319"/>
            </w:pPr>
            <w:r>
              <w:rPr>
                <w:position w:val="-11"/>
              </w:rPr>
              <w:drawing>
                <wp:inline distT="0" distB="0" distL="0" distR="0">
                  <wp:extent cx="148590" cy="37338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283"/>
                          <a:stretch>
                            <a:fillRect/>
                          </a:stretch>
                        </pic:blipFill>
                        <pic:spPr>
                          <a:xfrm>
                            <a:off x="0" y="0"/>
                            <a:ext cx="148806" cy="373761"/>
                          </a:xfrm>
                          <a:prstGeom prst="rect">
                            <a:avLst/>
                          </a:prstGeom>
                        </pic:spPr>
                      </pic:pic>
                    </a:graphicData>
                  </a:graphic>
                </wp:inline>
              </w:drawing>
            </w:r>
          </w:p>
        </w:tc>
      </w:tr>
      <w:tr w14:paraId="7BE0BE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7" w:hRule="atLeast"/>
        </w:trPr>
        <w:tc>
          <w:tcPr>
            <w:tcW w:w="4532" w:type="dxa"/>
            <w:tcBorders>
              <w:bottom w:val="nil"/>
            </w:tcBorders>
            <w:vAlign w:val="top"/>
          </w:tcPr>
          <w:p w14:paraId="599BF9FD">
            <w:pPr>
              <w:spacing w:line="269" w:lineRule="auto"/>
              <w:rPr>
                <w:rFonts w:ascii="Arial"/>
                <w:sz w:val="21"/>
              </w:rPr>
            </w:pPr>
          </w:p>
          <w:p w14:paraId="7A037E06">
            <w:pPr>
              <w:spacing w:line="269" w:lineRule="auto"/>
              <w:rPr>
                <w:rFonts w:ascii="Arial"/>
                <w:sz w:val="21"/>
              </w:rPr>
            </w:pPr>
          </w:p>
          <w:p w14:paraId="37768B99">
            <w:pPr>
              <w:spacing w:line="269" w:lineRule="auto"/>
              <w:rPr>
                <w:rFonts w:ascii="Arial"/>
                <w:sz w:val="21"/>
              </w:rPr>
            </w:pPr>
          </w:p>
          <w:p w14:paraId="3D593DBF">
            <w:pPr>
              <w:spacing w:line="465" w:lineRule="exact"/>
              <w:ind w:firstLine="1936"/>
            </w:pPr>
            <w:r>
              <w:rPr>
                <w:position w:val="-9"/>
              </w:rPr>
              <w:drawing>
                <wp:inline distT="0" distB="0" distL="0" distR="0">
                  <wp:extent cx="371475" cy="29464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284"/>
                          <a:stretch>
                            <a:fillRect/>
                          </a:stretch>
                        </pic:blipFill>
                        <pic:spPr>
                          <a:xfrm>
                            <a:off x="0" y="0"/>
                            <a:ext cx="371906" cy="295185"/>
                          </a:xfrm>
                          <a:prstGeom prst="rect">
                            <a:avLst/>
                          </a:prstGeom>
                        </pic:spPr>
                      </pic:pic>
                    </a:graphicData>
                  </a:graphic>
                </wp:inline>
              </w:drawing>
            </w:r>
          </w:p>
        </w:tc>
        <w:tc>
          <w:tcPr>
            <w:tcW w:w="4533" w:type="dxa"/>
            <w:vMerge w:val="restart"/>
            <w:tcBorders>
              <w:bottom w:val="nil"/>
            </w:tcBorders>
            <w:vAlign w:val="top"/>
          </w:tcPr>
          <w:p w14:paraId="6CFA7F47">
            <w:pPr>
              <w:spacing w:line="247" w:lineRule="auto"/>
              <w:rPr>
                <w:rFonts w:ascii="Arial"/>
                <w:sz w:val="21"/>
              </w:rPr>
            </w:pPr>
          </w:p>
          <w:p w14:paraId="30CB8B83">
            <w:pPr>
              <w:spacing w:line="247" w:lineRule="auto"/>
              <w:rPr>
                <w:rFonts w:ascii="Arial"/>
                <w:sz w:val="21"/>
              </w:rPr>
            </w:pPr>
          </w:p>
          <w:p w14:paraId="0F49887F">
            <w:pPr>
              <w:spacing w:line="247" w:lineRule="auto"/>
              <w:rPr>
                <w:rFonts w:ascii="Arial"/>
                <w:sz w:val="21"/>
              </w:rPr>
            </w:pPr>
          </w:p>
          <w:p w14:paraId="6E14F518">
            <w:pPr>
              <w:spacing w:line="247" w:lineRule="auto"/>
              <w:rPr>
                <w:rFonts w:ascii="Arial"/>
                <w:sz w:val="21"/>
              </w:rPr>
            </w:pPr>
          </w:p>
          <w:p w14:paraId="2656F14A">
            <w:pPr>
              <w:spacing w:line="247" w:lineRule="auto"/>
              <w:rPr>
                <w:rFonts w:ascii="Arial"/>
                <w:sz w:val="21"/>
              </w:rPr>
            </w:pPr>
          </w:p>
          <w:p w14:paraId="63A2438E">
            <w:pPr>
              <w:spacing w:line="248" w:lineRule="auto"/>
              <w:rPr>
                <w:rFonts w:ascii="Arial"/>
                <w:sz w:val="21"/>
              </w:rPr>
            </w:pPr>
          </w:p>
          <w:p w14:paraId="3418A23D">
            <w:pPr>
              <w:pStyle w:val="6"/>
              <w:spacing w:line="439" w:lineRule="exact"/>
              <w:ind w:firstLine="2022"/>
            </w:pPr>
            <w:r>
              <w:rPr>
                <w:position w:val="-8"/>
              </w:rPr>
              <w:pict>
                <v:group id="_x0000_s1034" o:spid="_x0000_s1034" o:spt="203" style="height:22pt;width:76.35pt;" coordsize="1526,440">
                  <o:lock v:ext="edit"/>
                  <v:shape id="_x0000_s1035" o:spid="_x0000_s1035" o:spt="75" type="#_x0000_t75" style="position:absolute;left:0;top:0;height:440;width:1526;" filled="f" stroked="f" coordsize="21600,21600">
                    <v:path/>
                    <v:fill on="f" focussize="0,0"/>
                    <v:stroke on="f"/>
                    <v:imagedata r:id="rId285" o:title=""/>
                    <o:lock v:ext="edit" aspectratio="t"/>
                  </v:shape>
                  <v:shape id="_x0000_s1036" o:spid="_x0000_s1036" o:spt="202" type="#_x0000_t202" style="position:absolute;left:-20;top:-20;height:480;width:1566;" filled="f" stroked="f" coordsize="21600,21600">
                    <v:path/>
                    <v:fill on="f" focussize="0,0"/>
                    <v:stroke on="f"/>
                    <v:imagedata o:title=""/>
                    <o:lock v:ext="edit" aspectratio="f"/>
                    <v:textbox inset="0mm,0mm,0mm,0mm">
                      <w:txbxContent>
                        <w:p w14:paraId="0B924ABF">
                          <w:pPr>
                            <w:spacing w:before="137" w:line="231" w:lineRule="auto"/>
                            <w:ind w:left="197"/>
                            <w:rPr>
                              <w:rFonts w:ascii="仿宋" w:hAnsi="仿宋" w:eastAsia="仿宋" w:cs="仿宋"/>
                              <w:sz w:val="19"/>
                              <w:szCs w:val="19"/>
                            </w:rPr>
                          </w:pPr>
                          <w:r>
                            <w:rPr>
                              <w:rFonts w:ascii="仿宋" w:hAnsi="仿宋" w:eastAsia="仿宋" w:cs="仿宋"/>
                              <w:spacing w:val="7"/>
                              <w:sz w:val="19"/>
                              <w:szCs w:val="19"/>
                            </w:rPr>
                            <w:t>定期地面清扫</w:t>
                          </w:r>
                        </w:p>
                      </w:txbxContent>
                    </v:textbox>
                  </v:shape>
                  <w10:wrap type="none"/>
                  <w10:anchorlock/>
                </v:group>
              </w:pict>
            </w:r>
          </w:p>
        </w:tc>
      </w:tr>
      <w:tr w14:paraId="2B091C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4532" w:type="dxa"/>
            <w:vMerge w:val="restart"/>
            <w:tcBorders>
              <w:top w:val="nil"/>
              <w:bottom w:val="nil"/>
            </w:tcBorders>
            <w:vAlign w:val="top"/>
          </w:tcPr>
          <w:p w14:paraId="7B4E385F">
            <w:pPr>
              <w:pStyle w:val="6"/>
              <w:spacing w:before="15" w:line="439" w:lineRule="exact"/>
              <w:ind w:firstLine="2264"/>
            </w:pPr>
            <w:r>
              <w:rPr>
                <w:position w:val="-8"/>
              </w:rPr>
              <w:pict>
                <v:group id="_x0000_s1037" o:spid="_x0000_s1037" o:spt="203" style="height:21.95pt;width:76.35pt;" coordsize="1526,439">
                  <o:lock v:ext="edit"/>
                  <v:shape id="_x0000_s1038" o:spid="_x0000_s1038" o:spt="75" type="#_x0000_t75" style="position:absolute;left:0;top:0;height:439;width:1526;" filled="f" stroked="f" coordsize="21600,21600">
                    <v:path/>
                    <v:fill on="f" focussize="0,0"/>
                    <v:stroke on="f"/>
                    <v:imagedata r:id="rId286" o:title=""/>
                    <o:lock v:ext="edit" aspectratio="t"/>
                  </v:shape>
                  <v:shape id="_x0000_s1039" o:spid="_x0000_s1039" o:spt="202" type="#_x0000_t202" style="position:absolute;left:-20;top:-20;height:479;width:1566;" filled="f" stroked="f" coordsize="21600,21600">
                    <v:path/>
                    <v:fill on="f" focussize="0,0"/>
                    <v:stroke on="f"/>
                    <v:imagedata o:title=""/>
                    <o:lock v:ext="edit" aspectratio="f"/>
                    <v:textbox inset="0mm,0mm,0mm,0mm">
                      <w:txbxContent>
                        <w:p w14:paraId="637DAC00">
                          <w:pPr>
                            <w:spacing w:before="137" w:line="232" w:lineRule="auto"/>
                            <w:ind w:left="196"/>
                            <w:rPr>
                              <w:rFonts w:ascii="仿宋" w:hAnsi="仿宋" w:eastAsia="仿宋" w:cs="仿宋"/>
                              <w:sz w:val="19"/>
                              <w:szCs w:val="19"/>
                            </w:rPr>
                          </w:pPr>
                          <w:r>
                            <w:rPr>
                              <w:rFonts w:ascii="仿宋" w:hAnsi="仿宋" w:eastAsia="仿宋" w:cs="仿宋"/>
                              <w:spacing w:val="7"/>
                              <w:sz w:val="19"/>
                              <w:szCs w:val="19"/>
                            </w:rPr>
                            <w:t>定期洒水降尘</w:t>
                          </w:r>
                        </w:p>
                      </w:txbxContent>
                    </v:textbox>
                  </v:shape>
                  <w10:wrap type="none"/>
                  <w10:anchorlock/>
                </v:group>
              </w:pict>
            </w:r>
          </w:p>
        </w:tc>
        <w:tc>
          <w:tcPr>
            <w:tcW w:w="4533" w:type="dxa"/>
            <w:vMerge w:val="continue"/>
            <w:tcBorders>
              <w:top w:val="nil"/>
              <w:bottom w:val="nil"/>
            </w:tcBorders>
            <w:vAlign w:val="top"/>
          </w:tcPr>
          <w:p w14:paraId="74327896">
            <w:pPr>
              <w:rPr>
                <w:rFonts w:ascii="Arial"/>
                <w:sz w:val="21"/>
              </w:rPr>
            </w:pPr>
          </w:p>
        </w:tc>
      </w:tr>
      <w:tr w14:paraId="625765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1" w:hRule="atLeast"/>
        </w:trPr>
        <w:tc>
          <w:tcPr>
            <w:tcW w:w="4532" w:type="dxa"/>
            <w:vMerge w:val="continue"/>
            <w:tcBorders>
              <w:top w:val="nil"/>
            </w:tcBorders>
            <w:vAlign w:val="top"/>
          </w:tcPr>
          <w:p w14:paraId="6346CCC1">
            <w:pPr>
              <w:rPr>
                <w:rFonts w:ascii="Arial"/>
                <w:sz w:val="21"/>
              </w:rPr>
            </w:pPr>
          </w:p>
        </w:tc>
        <w:tc>
          <w:tcPr>
            <w:tcW w:w="4533" w:type="dxa"/>
            <w:tcBorders>
              <w:top w:val="nil"/>
            </w:tcBorders>
            <w:vAlign w:val="top"/>
          </w:tcPr>
          <w:p w14:paraId="16423701">
            <w:pPr>
              <w:spacing w:before="25" w:line="591" w:lineRule="exact"/>
              <w:ind w:firstLine="1779"/>
            </w:pPr>
            <w:r>
              <w:rPr>
                <w:position w:val="-11"/>
              </w:rPr>
              <w:drawing>
                <wp:inline distT="0" distB="0" distL="0" distR="0">
                  <wp:extent cx="419735" cy="37528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287"/>
                          <a:stretch>
                            <a:fillRect/>
                          </a:stretch>
                        </pic:blipFill>
                        <pic:spPr>
                          <a:xfrm>
                            <a:off x="0" y="0"/>
                            <a:ext cx="419735" cy="375666"/>
                          </a:xfrm>
                          <a:prstGeom prst="rect">
                            <a:avLst/>
                          </a:prstGeom>
                        </pic:spPr>
                      </pic:pic>
                    </a:graphicData>
                  </a:graphic>
                </wp:inline>
              </w:drawing>
            </w:r>
          </w:p>
        </w:tc>
      </w:tr>
      <w:tr w14:paraId="25D256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9065" w:type="dxa"/>
            <w:gridSpan w:val="2"/>
            <w:vAlign w:val="top"/>
          </w:tcPr>
          <w:p w14:paraId="62392F0C">
            <w:pPr>
              <w:pStyle w:val="6"/>
              <w:spacing w:before="37" w:line="217" w:lineRule="auto"/>
              <w:ind w:left="2450"/>
              <w:rPr>
                <w:sz w:val="20"/>
                <w:szCs w:val="20"/>
              </w:rPr>
            </w:pPr>
            <w:r>
              <w:rPr>
                <w:spacing w:val="8"/>
                <w:sz w:val="20"/>
                <w:szCs w:val="20"/>
              </w:rPr>
              <w:t>重庆市黔江区蓬东乡棕树坪建筑石料用灰岩矿</w:t>
            </w:r>
          </w:p>
        </w:tc>
      </w:tr>
    </w:tbl>
    <w:p w14:paraId="57909606">
      <w:pPr>
        <w:spacing w:before="265" w:line="229" w:lineRule="auto"/>
        <w:ind w:left="116"/>
        <w:outlineLvl w:val="2"/>
        <w:rPr>
          <w:rFonts w:ascii="仿宋" w:hAnsi="仿宋" w:eastAsia="仿宋" w:cs="仿宋"/>
          <w:sz w:val="25"/>
          <w:szCs w:val="25"/>
        </w:rPr>
      </w:pPr>
      <w:r>
        <w:rPr>
          <w:rFonts w:ascii="Times New Roman" w:hAnsi="Times New Roman" w:eastAsia="Times New Roman" w:cs="Times New Roman"/>
          <w:b/>
          <w:bCs/>
          <w:spacing w:val="5"/>
          <w:sz w:val="25"/>
          <w:szCs w:val="25"/>
        </w:rPr>
        <w:t xml:space="preserve">3.2.3 </w:t>
      </w:r>
      <w:r>
        <w:rPr>
          <w:rFonts w:ascii="仿宋" w:hAnsi="仿宋" w:eastAsia="仿宋" w:cs="仿宋"/>
          <w:b/>
          <w:bCs/>
          <w:spacing w:val="5"/>
          <w:sz w:val="25"/>
          <w:szCs w:val="25"/>
        </w:rPr>
        <w:t>现有主要环境问题</w:t>
      </w:r>
    </w:p>
    <w:p w14:paraId="6EF0CD2B">
      <w:pPr>
        <w:spacing w:before="267" w:line="340" w:lineRule="auto"/>
        <w:ind w:left="129" w:right="114" w:firstLine="521"/>
        <w:rPr>
          <w:rFonts w:ascii="仿宋" w:hAnsi="仿宋" w:eastAsia="仿宋" w:cs="仿宋"/>
          <w:sz w:val="25"/>
          <w:szCs w:val="25"/>
        </w:rPr>
      </w:pPr>
      <w:r>
        <w:rPr>
          <w:rFonts w:ascii="仿宋" w:hAnsi="仿宋" w:eastAsia="仿宋" w:cs="仿宋"/>
          <w:spacing w:val="7"/>
          <w:sz w:val="25"/>
          <w:szCs w:val="25"/>
        </w:rPr>
        <w:t>根据《</w:t>
      </w:r>
      <w:r>
        <w:rPr>
          <w:rFonts w:ascii="仿宋" w:hAnsi="仿宋" w:eastAsia="仿宋" w:cs="仿宋"/>
          <w:spacing w:val="-83"/>
          <w:sz w:val="25"/>
          <w:szCs w:val="25"/>
        </w:rPr>
        <w:t xml:space="preserve"> </w:t>
      </w:r>
      <w:r>
        <w:rPr>
          <w:rFonts w:ascii="仿宋" w:hAnsi="仿宋" w:eastAsia="仿宋" w:cs="仿宋"/>
          <w:spacing w:val="7"/>
          <w:sz w:val="25"/>
          <w:szCs w:val="25"/>
        </w:rPr>
        <w:t>“十四五</w:t>
      </w:r>
      <w:r>
        <w:rPr>
          <w:rFonts w:ascii="仿宋" w:hAnsi="仿宋" w:eastAsia="仿宋" w:cs="仿宋"/>
          <w:spacing w:val="-88"/>
          <w:sz w:val="25"/>
          <w:szCs w:val="25"/>
        </w:rPr>
        <w:t xml:space="preserve"> </w:t>
      </w:r>
      <w:r>
        <w:rPr>
          <w:rFonts w:ascii="仿宋" w:hAnsi="仿宋" w:eastAsia="仿宋" w:cs="仿宋"/>
          <w:spacing w:val="7"/>
          <w:sz w:val="25"/>
          <w:szCs w:val="25"/>
        </w:rPr>
        <w:t>”矿规环评》，并结合现状对存在的主要生态环境进行了</w:t>
      </w:r>
      <w:r>
        <w:rPr>
          <w:rFonts w:ascii="仿宋" w:hAnsi="仿宋" w:eastAsia="仿宋" w:cs="仿宋"/>
          <w:sz w:val="25"/>
          <w:szCs w:val="25"/>
        </w:rPr>
        <w:t xml:space="preserve"> </w:t>
      </w:r>
      <w:r>
        <w:rPr>
          <w:rFonts w:ascii="仿宋" w:hAnsi="仿宋" w:eastAsia="仿宋" w:cs="仿宋"/>
          <w:spacing w:val="7"/>
          <w:sz w:val="25"/>
          <w:szCs w:val="25"/>
        </w:rPr>
        <w:t>识别，并提出解决方案。</w:t>
      </w:r>
    </w:p>
    <w:p w14:paraId="5F98C852">
      <w:pPr>
        <w:spacing w:before="1" w:line="229" w:lineRule="auto"/>
        <w:ind w:left="654"/>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1</w:t>
      </w:r>
      <w:r>
        <w:rPr>
          <w:rFonts w:ascii="仿宋" w:hAnsi="仿宋" w:eastAsia="仿宋" w:cs="仿宋"/>
          <w:spacing w:val="7"/>
          <w:sz w:val="25"/>
          <w:szCs w:val="25"/>
        </w:rPr>
        <w:t>）大中型矿山比例不足</w:t>
      </w:r>
    </w:p>
    <w:p w14:paraId="70D8EE1B">
      <w:pPr>
        <w:spacing w:line="229" w:lineRule="auto"/>
        <w:rPr>
          <w:rFonts w:ascii="仿宋" w:hAnsi="仿宋" w:eastAsia="仿宋" w:cs="仿宋"/>
          <w:sz w:val="25"/>
          <w:szCs w:val="25"/>
        </w:rPr>
        <w:sectPr>
          <w:headerReference r:id="rId151" w:type="default"/>
          <w:footerReference r:id="rId152" w:type="default"/>
          <w:pgSz w:w="11906" w:h="16839"/>
          <w:pgMar w:top="1116" w:right="1361" w:bottom="1480" w:left="1474" w:header="683" w:footer="1318" w:gutter="0"/>
          <w:cols w:space="720" w:num="1"/>
        </w:sectPr>
      </w:pPr>
    </w:p>
    <w:p w14:paraId="40100616">
      <w:pPr>
        <w:pStyle w:val="2"/>
        <w:spacing w:line="387" w:lineRule="auto"/>
      </w:pPr>
    </w:p>
    <w:p w14:paraId="12031E50">
      <w:pPr>
        <w:spacing w:before="81" w:line="339" w:lineRule="auto"/>
        <w:ind w:left="21" w:right="69" w:firstLine="520"/>
        <w:jc w:val="both"/>
        <w:rPr>
          <w:rFonts w:ascii="仿宋" w:hAnsi="仿宋" w:eastAsia="仿宋" w:cs="仿宋"/>
          <w:sz w:val="25"/>
          <w:szCs w:val="25"/>
        </w:rPr>
      </w:pPr>
      <w:r>
        <w:rPr>
          <w:rFonts w:ascii="仿宋" w:hAnsi="仿宋" w:eastAsia="仿宋" w:cs="仿宋"/>
          <w:spacing w:val="9"/>
          <w:sz w:val="25"/>
          <w:szCs w:val="25"/>
        </w:rPr>
        <w:t>黔江区矿山仍存在大量小矿山，大中型矿山比例不足，虽大中型矿山比例</w:t>
      </w:r>
      <w:r>
        <w:rPr>
          <w:rFonts w:ascii="仿宋" w:hAnsi="仿宋" w:eastAsia="仿宋" w:cs="仿宋"/>
          <w:spacing w:val="13"/>
          <w:sz w:val="25"/>
          <w:szCs w:val="25"/>
        </w:rPr>
        <w:t xml:space="preserve"> </w:t>
      </w:r>
      <w:r>
        <w:rPr>
          <w:rFonts w:ascii="仿宋" w:hAnsi="仿宋" w:eastAsia="仿宋" w:cs="仿宋"/>
          <w:spacing w:val="4"/>
          <w:sz w:val="25"/>
          <w:szCs w:val="25"/>
        </w:rPr>
        <w:t>由</w:t>
      </w:r>
      <w:r>
        <w:rPr>
          <w:rFonts w:ascii="仿宋" w:hAnsi="仿宋" w:eastAsia="仿宋" w:cs="仿宋"/>
          <w:spacing w:val="-35"/>
          <w:sz w:val="25"/>
          <w:szCs w:val="25"/>
        </w:rPr>
        <w:t xml:space="preserve"> </w:t>
      </w:r>
      <w:r>
        <w:rPr>
          <w:rFonts w:ascii="Times New Roman" w:hAnsi="Times New Roman" w:eastAsia="Times New Roman" w:cs="Times New Roman"/>
          <w:spacing w:val="4"/>
          <w:sz w:val="25"/>
          <w:szCs w:val="25"/>
        </w:rPr>
        <w:t>2020</w:t>
      </w:r>
      <w:r>
        <w:rPr>
          <w:rFonts w:ascii="Times New Roman" w:hAnsi="Times New Roman" w:eastAsia="Times New Roman" w:cs="Times New Roman"/>
          <w:spacing w:val="25"/>
          <w:sz w:val="25"/>
          <w:szCs w:val="25"/>
        </w:rPr>
        <w:t xml:space="preserve"> </w:t>
      </w:r>
      <w:r>
        <w:rPr>
          <w:rFonts w:ascii="仿宋" w:hAnsi="仿宋" w:eastAsia="仿宋" w:cs="仿宋"/>
          <w:spacing w:val="4"/>
          <w:sz w:val="25"/>
          <w:szCs w:val="25"/>
        </w:rPr>
        <w:t>年的</w:t>
      </w:r>
      <w:r>
        <w:rPr>
          <w:rFonts w:ascii="仿宋" w:hAnsi="仿宋" w:eastAsia="仿宋" w:cs="仿宋"/>
          <w:spacing w:val="-52"/>
          <w:sz w:val="25"/>
          <w:szCs w:val="25"/>
        </w:rPr>
        <w:t xml:space="preserve"> </w:t>
      </w:r>
      <w:r>
        <w:rPr>
          <w:rFonts w:ascii="Times New Roman" w:hAnsi="Times New Roman" w:eastAsia="Times New Roman" w:cs="Times New Roman"/>
          <w:spacing w:val="4"/>
          <w:sz w:val="25"/>
          <w:szCs w:val="25"/>
        </w:rPr>
        <w:t>28%</w:t>
      </w:r>
      <w:r>
        <w:rPr>
          <w:rFonts w:ascii="仿宋" w:hAnsi="仿宋" w:eastAsia="仿宋" w:cs="仿宋"/>
          <w:spacing w:val="4"/>
          <w:sz w:val="25"/>
          <w:szCs w:val="25"/>
        </w:rPr>
        <w:t>上升为</w:t>
      </w:r>
      <w:r>
        <w:rPr>
          <w:rFonts w:ascii="仿宋" w:hAnsi="仿宋" w:eastAsia="仿宋" w:cs="仿宋"/>
          <w:spacing w:val="-55"/>
          <w:sz w:val="25"/>
          <w:szCs w:val="25"/>
        </w:rPr>
        <w:t xml:space="preserve"> </w:t>
      </w:r>
      <w:r>
        <w:rPr>
          <w:rFonts w:ascii="Times New Roman" w:hAnsi="Times New Roman" w:eastAsia="Times New Roman" w:cs="Times New Roman"/>
          <w:spacing w:val="4"/>
          <w:sz w:val="25"/>
          <w:szCs w:val="25"/>
        </w:rPr>
        <w:t>2024</w:t>
      </w:r>
      <w:r>
        <w:rPr>
          <w:rFonts w:ascii="Times New Roman" w:hAnsi="Times New Roman" w:eastAsia="Times New Roman" w:cs="Times New Roman"/>
          <w:spacing w:val="25"/>
          <w:sz w:val="25"/>
          <w:szCs w:val="25"/>
        </w:rPr>
        <w:t xml:space="preserve"> </w:t>
      </w:r>
      <w:r>
        <w:rPr>
          <w:rFonts w:ascii="仿宋" w:hAnsi="仿宋" w:eastAsia="仿宋" w:cs="仿宋"/>
          <w:spacing w:val="4"/>
          <w:sz w:val="25"/>
          <w:szCs w:val="25"/>
        </w:rPr>
        <w:t>年的</w:t>
      </w:r>
      <w:r>
        <w:rPr>
          <w:rFonts w:ascii="仿宋" w:hAnsi="仿宋" w:eastAsia="仿宋" w:cs="仿宋"/>
          <w:spacing w:val="-54"/>
          <w:sz w:val="25"/>
          <w:szCs w:val="25"/>
        </w:rPr>
        <w:t xml:space="preserve"> </w:t>
      </w:r>
      <w:r>
        <w:rPr>
          <w:rFonts w:ascii="Times New Roman" w:hAnsi="Times New Roman" w:eastAsia="Times New Roman" w:cs="Times New Roman"/>
          <w:spacing w:val="4"/>
          <w:sz w:val="25"/>
          <w:szCs w:val="25"/>
        </w:rPr>
        <w:t>42.9%</w:t>
      </w:r>
      <w:r>
        <w:rPr>
          <w:rFonts w:ascii="Times New Roman" w:hAnsi="Times New Roman" w:eastAsia="Times New Roman" w:cs="Times New Roman"/>
          <w:spacing w:val="-24"/>
          <w:sz w:val="25"/>
          <w:szCs w:val="25"/>
        </w:rPr>
        <w:t xml:space="preserve"> </w:t>
      </w:r>
      <w:r>
        <w:rPr>
          <w:rFonts w:ascii="仿宋" w:hAnsi="仿宋" w:eastAsia="仿宋" w:cs="仿宋"/>
          <w:spacing w:val="4"/>
          <w:sz w:val="25"/>
          <w:szCs w:val="25"/>
        </w:rPr>
        <w:t>，但仍与</w:t>
      </w:r>
      <w:r>
        <w:rPr>
          <w:rFonts w:hint="eastAsia" w:ascii="仿宋" w:hAnsi="仿宋" w:eastAsia="仿宋" w:cs="仿宋"/>
          <w:spacing w:val="4"/>
          <w:sz w:val="25"/>
          <w:szCs w:val="25"/>
          <w:lang w:eastAsia="zh-CN"/>
        </w:rPr>
        <w:t>“</w:t>
      </w:r>
      <w:r>
        <w:rPr>
          <w:rFonts w:ascii="仿宋" w:hAnsi="仿宋" w:eastAsia="仿宋" w:cs="仿宋"/>
          <w:spacing w:val="4"/>
          <w:sz w:val="25"/>
          <w:szCs w:val="25"/>
        </w:rPr>
        <w:t>十四五</w:t>
      </w:r>
      <w:r>
        <w:rPr>
          <w:rFonts w:hint="eastAsia" w:ascii="仿宋" w:hAnsi="仿宋" w:eastAsia="仿宋" w:cs="仿宋"/>
          <w:spacing w:val="4"/>
          <w:sz w:val="25"/>
          <w:szCs w:val="25"/>
          <w:lang w:eastAsia="zh-CN"/>
        </w:rPr>
        <w:t>”</w:t>
      </w:r>
      <w:r>
        <w:rPr>
          <w:rFonts w:ascii="仿宋" w:hAnsi="仿宋" w:eastAsia="仿宋" w:cs="仿宋"/>
          <w:spacing w:val="4"/>
          <w:sz w:val="25"/>
          <w:szCs w:val="25"/>
        </w:rPr>
        <w:t>规划指标</w:t>
      </w:r>
      <w:r>
        <w:rPr>
          <w:rFonts w:ascii="仿宋" w:hAnsi="仿宋" w:eastAsia="仿宋" w:cs="仿宋"/>
          <w:spacing w:val="-49"/>
          <w:sz w:val="25"/>
          <w:szCs w:val="25"/>
        </w:rPr>
        <w:t xml:space="preserve"> </w:t>
      </w:r>
      <w:r>
        <w:rPr>
          <w:rFonts w:ascii="Times New Roman" w:hAnsi="Times New Roman" w:eastAsia="Times New Roman" w:cs="Times New Roman"/>
          <w:spacing w:val="4"/>
          <w:sz w:val="25"/>
          <w:szCs w:val="25"/>
        </w:rPr>
        <w:t>60%</w:t>
      </w:r>
      <w:r>
        <w:rPr>
          <w:rFonts w:ascii="仿宋" w:hAnsi="仿宋" w:eastAsia="仿宋" w:cs="仿宋"/>
          <w:spacing w:val="4"/>
          <w:sz w:val="25"/>
          <w:szCs w:val="25"/>
        </w:rPr>
        <w:t>存在一</w:t>
      </w:r>
      <w:r>
        <w:rPr>
          <w:rFonts w:ascii="仿宋" w:hAnsi="仿宋" w:eastAsia="仿宋" w:cs="仿宋"/>
          <w:sz w:val="25"/>
          <w:szCs w:val="25"/>
        </w:rPr>
        <w:t xml:space="preserve"> </w:t>
      </w:r>
      <w:r>
        <w:rPr>
          <w:rFonts w:ascii="仿宋" w:hAnsi="仿宋" w:eastAsia="仿宋" w:cs="仿宋"/>
          <w:spacing w:val="8"/>
          <w:sz w:val="25"/>
          <w:szCs w:val="25"/>
        </w:rPr>
        <w:t>定差距，不利于矿产资源规模化、集约化发展。</w:t>
      </w:r>
    </w:p>
    <w:p w14:paraId="056954A1">
      <w:pPr>
        <w:spacing w:before="4" w:line="339" w:lineRule="auto"/>
        <w:ind w:left="16" w:right="71" w:firstLine="522"/>
        <w:jc w:val="both"/>
        <w:rPr>
          <w:rFonts w:ascii="仿宋" w:hAnsi="仿宋" w:eastAsia="仿宋" w:cs="仿宋"/>
          <w:sz w:val="25"/>
          <w:szCs w:val="25"/>
        </w:rPr>
      </w:pPr>
      <w:r>
        <w:rPr>
          <w:rFonts w:ascii="仿宋" w:hAnsi="仿宋" w:eastAsia="仿宋" w:cs="仿宋"/>
          <w:spacing w:val="9"/>
          <w:sz w:val="25"/>
          <w:szCs w:val="25"/>
        </w:rPr>
        <w:t>解决方案：加快推进大中型矿山建设，优化矿产资源开发利用布局产能适</w:t>
      </w:r>
      <w:r>
        <w:rPr>
          <w:rFonts w:ascii="仿宋" w:hAnsi="仿宋" w:eastAsia="仿宋" w:cs="仿宋"/>
          <w:spacing w:val="14"/>
          <w:sz w:val="25"/>
          <w:szCs w:val="25"/>
        </w:rPr>
        <w:t xml:space="preserve"> </w:t>
      </w:r>
      <w:r>
        <w:rPr>
          <w:rFonts w:ascii="仿宋" w:hAnsi="仿宋" w:eastAsia="仿宋" w:cs="仿宋"/>
          <w:spacing w:val="10"/>
          <w:sz w:val="25"/>
          <w:szCs w:val="25"/>
        </w:rPr>
        <w:t>度集中，压缩取消过剩生产能力，制定推行</w:t>
      </w:r>
      <w:r>
        <w:rPr>
          <w:rFonts w:ascii="仿宋" w:hAnsi="仿宋" w:eastAsia="仿宋" w:cs="仿宋"/>
          <w:spacing w:val="9"/>
          <w:sz w:val="25"/>
          <w:szCs w:val="25"/>
        </w:rPr>
        <w:t>单个矿山最低开采规模，取消落后</w:t>
      </w:r>
      <w:r>
        <w:rPr>
          <w:rFonts w:ascii="仿宋" w:hAnsi="仿宋" w:eastAsia="仿宋" w:cs="仿宋"/>
          <w:sz w:val="25"/>
          <w:szCs w:val="25"/>
        </w:rPr>
        <w:t xml:space="preserve"> </w:t>
      </w:r>
      <w:r>
        <w:rPr>
          <w:rFonts w:ascii="仿宋" w:hAnsi="仿宋" w:eastAsia="仿宋" w:cs="仿宋"/>
          <w:spacing w:val="10"/>
          <w:sz w:val="25"/>
          <w:szCs w:val="25"/>
        </w:rPr>
        <w:t>工艺的产能及环境破坏影响大的产能，提高</w:t>
      </w:r>
      <w:r>
        <w:rPr>
          <w:rFonts w:ascii="仿宋" w:hAnsi="仿宋" w:eastAsia="仿宋" w:cs="仿宋"/>
          <w:spacing w:val="9"/>
          <w:sz w:val="25"/>
          <w:szCs w:val="25"/>
        </w:rPr>
        <w:t>优势矿产的精深加工能力和综合利</w:t>
      </w:r>
      <w:r>
        <w:rPr>
          <w:rFonts w:ascii="仿宋" w:hAnsi="仿宋" w:eastAsia="仿宋" w:cs="仿宋"/>
          <w:sz w:val="25"/>
          <w:szCs w:val="25"/>
        </w:rPr>
        <w:t xml:space="preserve"> </w:t>
      </w:r>
      <w:r>
        <w:rPr>
          <w:rFonts w:ascii="仿宋" w:hAnsi="仿宋" w:eastAsia="仿宋" w:cs="仿宋"/>
          <w:spacing w:val="8"/>
          <w:sz w:val="25"/>
          <w:szCs w:val="25"/>
        </w:rPr>
        <w:t>用水平，引导矿山企业的规模开采和集约化经营。</w:t>
      </w:r>
    </w:p>
    <w:p w14:paraId="1F99FA55">
      <w:pPr>
        <w:spacing w:before="1" w:line="339" w:lineRule="auto"/>
        <w:ind w:left="16" w:right="71" w:firstLine="525"/>
        <w:jc w:val="both"/>
        <w:rPr>
          <w:rFonts w:ascii="仿宋" w:hAnsi="仿宋" w:eastAsia="仿宋" w:cs="仿宋"/>
          <w:sz w:val="25"/>
          <w:szCs w:val="25"/>
        </w:rPr>
      </w:pPr>
      <w:r>
        <w:rPr>
          <w:rFonts w:ascii="仿宋" w:hAnsi="仿宋" w:eastAsia="仿宋" w:cs="仿宋"/>
          <w:spacing w:val="5"/>
          <w:sz w:val="25"/>
          <w:szCs w:val="25"/>
        </w:rPr>
        <w:t>（</w:t>
      </w:r>
      <w:r>
        <w:rPr>
          <w:rFonts w:ascii="Times New Roman" w:hAnsi="Times New Roman" w:eastAsia="Times New Roman" w:cs="Times New Roman"/>
          <w:spacing w:val="5"/>
          <w:sz w:val="25"/>
          <w:szCs w:val="25"/>
        </w:rPr>
        <w:t>2</w:t>
      </w:r>
      <w:r>
        <w:rPr>
          <w:rFonts w:ascii="仿宋" w:hAnsi="仿宋" w:eastAsia="仿宋" w:cs="仿宋"/>
          <w:spacing w:val="5"/>
          <w:sz w:val="25"/>
          <w:szCs w:val="25"/>
        </w:rPr>
        <w:t>）根据最新的生态保护红线、永久基本农田、城镇开发边界、国家公益</w:t>
      </w:r>
      <w:r>
        <w:rPr>
          <w:rFonts w:ascii="仿宋" w:hAnsi="仿宋" w:eastAsia="仿宋" w:cs="仿宋"/>
          <w:spacing w:val="10"/>
          <w:sz w:val="25"/>
          <w:szCs w:val="25"/>
        </w:rPr>
        <w:t xml:space="preserve"> 林、饮用水源保护区进行叠图分析，部分区</w:t>
      </w:r>
      <w:r>
        <w:rPr>
          <w:rFonts w:ascii="仿宋" w:hAnsi="仿宋" w:eastAsia="仿宋" w:cs="仿宋"/>
          <w:spacing w:val="9"/>
          <w:sz w:val="25"/>
          <w:szCs w:val="25"/>
        </w:rPr>
        <w:t>块仍占用永久基本农田、城镇开发</w:t>
      </w:r>
      <w:r>
        <w:rPr>
          <w:rFonts w:ascii="仿宋" w:hAnsi="仿宋" w:eastAsia="仿宋" w:cs="仿宋"/>
          <w:sz w:val="25"/>
          <w:szCs w:val="25"/>
        </w:rPr>
        <w:t xml:space="preserve"> </w:t>
      </w:r>
      <w:r>
        <w:rPr>
          <w:rFonts w:ascii="仿宋" w:hAnsi="仿宋" w:eastAsia="仿宋" w:cs="仿宋"/>
          <w:spacing w:val="5"/>
          <w:sz w:val="25"/>
          <w:szCs w:val="25"/>
        </w:rPr>
        <w:t>边界、</w:t>
      </w:r>
      <w:r>
        <w:rPr>
          <w:rFonts w:ascii="仿宋" w:hAnsi="仿宋" w:eastAsia="仿宋" w:cs="仿宋"/>
          <w:spacing w:val="-70"/>
          <w:sz w:val="25"/>
          <w:szCs w:val="25"/>
        </w:rPr>
        <w:t xml:space="preserve"> </w:t>
      </w:r>
      <w:r>
        <w:rPr>
          <w:rFonts w:ascii="仿宋" w:hAnsi="仿宋" w:eastAsia="仿宋" w:cs="仿宋"/>
          <w:spacing w:val="5"/>
          <w:sz w:val="25"/>
          <w:szCs w:val="25"/>
        </w:rPr>
        <w:t>国家公益林、饮用水源保护区。</w:t>
      </w:r>
    </w:p>
    <w:p w14:paraId="67D09896">
      <w:pPr>
        <w:spacing w:before="3" w:line="333" w:lineRule="auto"/>
        <w:ind w:left="18" w:right="71" w:firstLine="544"/>
        <w:rPr>
          <w:rFonts w:ascii="仿宋" w:hAnsi="仿宋" w:eastAsia="仿宋" w:cs="仿宋"/>
          <w:sz w:val="25"/>
          <w:szCs w:val="25"/>
        </w:rPr>
      </w:pPr>
      <w:r>
        <w:rPr>
          <w:rFonts w:ascii="仿宋" w:hAnsi="仿宋" w:eastAsia="仿宋" w:cs="仿宋"/>
          <w:b/>
          <w:bCs/>
          <w:spacing w:val="2"/>
          <w:sz w:val="25"/>
          <w:szCs w:val="25"/>
        </w:rPr>
        <w:t>问题：暂未投放区块</w:t>
      </w:r>
      <w:r>
        <w:rPr>
          <w:rFonts w:ascii="仿宋" w:hAnsi="仿宋" w:eastAsia="仿宋" w:cs="仿宋"/>
          <w:spacing w:val="-34"/>
          <w:sz w:val="25"/>
          <w:szCs w:val="25"/>
        </w:rPr>
        <w:t xml:space="preserve"> </w:t>
      </w:r>
      <w:r>
        <w:rPr>
          <w:rFonts w:ascii="Times New Roman" w:hAnsi="Times New Roman" w:eastAsia="Times New Roman" w:cs="Times New Roman"/>
          <w:sz w:val="25"/>
          <w:szCs w:val="25"/>
        </w:rPr>
        <w:t>CQ</w:t>
      </w:r>
      <w:r>
        <w:rPr>
          <w:rFonts w:ascii="Times New Roman" w:hAnsi="Times New Roman" w:eastAsia="Times New Roman" w:cs="Times New Roman"/>
          <w:spacing w:val="2"/>
          <w:sz w:val="25"/>
          <w:szCs w:val="25"/>
        </w:rPr>
        <w:t>026</w:t>
      </w:r>
      <w:r>
        <w:rPr>
          <w:rFonts w:ascii="Times New Roman" w:hAnsi="Times New Roman" w:eastAsia="Times New Roman" w:cs="Times New Roman"/>
          <w:spacing w:val="-24"/>
          <w:sz w:val="25"/>
          <w:szCs w:val="25"/>
        </w:rPr>
        <w:t xml:space="preserve"> </w:t>
      </w:r>
      <w:r>
        <w:rPr>
          <w:rFonts w:ascii="仿宋" w:hAnsi="仿宋" w:eastAsia="仿宋" w:cs="仿宋"/>
          <w:spacing w:val="2"/>
          <w:sz w:val="25"/>
          <w:szCs w:val="25"/>
        </w:rPr>
        <w:t>、</w:t>
      </w:r>
      <w:r>
        <w:rPr>
          <w:rFonts w:ascii="Times New Roman" w:hAnsi="Times New Roman" w:eastAsia="Times New Roman" w:cs="Times New Roman"/>
          <w:sz w:val="25"/>
          <w:szCs w:val="25"/>
        </w:rPr>
        <w:t>CQ</w:t>
      </w:r>
      <w:r>
        <w:rPr>
          <w:rFonts w:ascii="Times New Roman" w:hAnsi="Times New Roman" w:eastAsia="Times New Roman" w:cs="Times New Roman"/>
          <w:spacing w:val="2"/>
          <w:sz w:val="25"/>
          <w:szCs w:val="25"/>
        </w:rPr>
        <w:t>030</w:t>
      </w:r>
      <w:r>
        <w:rPr>
          <w:rFonts w:ascii="Times New Roman" w:hAnsi="Times New Roman" w:eastAsia="Times New Roman" w:cs="Times New Roman"/>
          <w:spacing w:val="-23"/>
          <w:sz w:val="25"/>
          <w:szCs w:val="25"/>
        </w:rPr>
        <w:t xml:space="preserve"> </w:t>
      </w:r>
      <w:r>
        <w:rPr>
          <w:rFonts w:ascii="仿宋" w:hAnsi="仿宋" w:eastAsia="仿宋" w:cs="仿宋"/>
          <w:spacing w:val="2"/>
          <w:sz w:val="25"/>
          <w:szCs w:val="25"/>
        </w:rPr>
        <w:t>、</w:t>
      </w:r>
      <w:r>
        <w:rPr>
          <w:rFonts w:ascii="Times New Roman" w:hAnsi="Times New Roman" w:eastAsia="Times New Roman" w:cs="Times New Roman"/>
          <w:sz w:val="25"/>
          <w:szCs w:val="25"/>
        </w:rPr>
        <w:t>CQ</w:t>
      </w:r>
      <w:r>
        <w:rPr>
          <w:rFonts w:ascii="Times New Roman" w:hAnsi="Times New Roman" w:eastAsia="Times New Roman" w:cs="Times New Roman"/>
          <w:spacing w:val="2"/>
          <w:sz w:val="25"/>
          <w:szCs w:val="25"/>
        </w:rPr>
        <w:t>031</w:t>
      </w:r>
      <w:r>
        <w:rPr>
          <w:rFonts w:ascii="Times New Roman" w:hAnsi="Times New Roman" w:eastAsia="Times New Roman" w:cs="Times New Roman"/>
          <w:spacing w:val="-24"/>
          <w:sz w:val="25"/>
          <w:szCs w:val="25"/>
        </w:rPr>
        <w:t xml:space="preserve"> </w:t>
      </w:r>
      <w:r>
        <w:rPr>
          <w:rFonts w:ascii="仿宋" w:hAnsi="仿宋" w:eastAsia="仿宋" w:cs="仿宋"/>
          <w:spacing w:val="2"/>
          <w:sz w:val="25"/>
          <w:szCs w:val="25"/>
        </w:rPr>
        <w:t>、</w:t>
      </w:r>
      <w:r>
        <w:rPr>
          <w:rFonts w:ascii="Times New Roman" w:hAnsi="Times New Roman" w:eastAsia="Times New Roman" w:cs="Times New Roman"/>
          <w:sz w:val="25"/>
          <w:szCs w:val="25"/>
        </w:rPr>
        <w:t>CQ</w:t>
      </w:r>
      <w:r>
        <w:rPr>
          <w:rFonts w:ascii="Times New Roman" w:hAnsi="Times New Roman" w:eastAsia="Times New Roman" w:cs="Times New Roman"/>
          <w:spacing w:val="2"/>
          <w:sz w:val="25"/>
          <w:szCs w:val="25"/>
        </w:rPr>
        <w:t>032</w:t>
      </w:r>
      <w:r>
        <w:rPr>
          <w:rFonts w:ascii="Times New Roman" w:hAnsi="Times New Roman" w:eastAsia="Times New Roman" w:cs="Times New Roman"/>
          <w:spacing w:val="32"/>
          <w:w w:val="101"/>
          <w:sz w:val="25"/>
          <w:szCs w:val="25"/>
        </w:rPr>
        <w:t xml:space="preserve"> </w:t>
      </w:r>
      <w:r>
        <w:rPr>
          <w:rFonts w:ascii="仿宋" w:hAnsi="仿宋" w:eastAsia="仿宋" w:cs="仿宋"/>
          <w:spacing w:val="2"/>
          <w:sz w:val="25"/>
          <w:szCs w:val="25"/>
        </w:rPr>
        <w:t>与永久基本农田存</w:t>
      </w:r>
      <w:r>
        <w:rPr>
          <w:rFonts w:ascii="仿宋" w:hAnsi="仿宋" w:eastAsia="仿宋" w:cs="仿宋"/>
          <w:sz w:val="25"/>
          <w:szCs w:val="25"/>
        </w:rPr>
        <w:t xml:space="preserve"> </w:t>
      </w:r>
      <w:r>
        <w:rPr>
          <w:rFonts w:ascii="仿宋" w:hAnsi="仿宋" w:eastAsia="仿宋" w:cs="仿宋"/>
          <w:spacing w:val="5"/>
          <w:sz w:val="25"/>
          <w:szCs w:val="25"/>
        </w:rPr>
        <w:t>在部分重叠</w:t>
      </w:r>
    </w:p>
    <w:p w14:paraId="6FE7DC85">
      <w:pPr>
        <w:spacing w:before="17" w:line="332" w:lineRule="auto"/>
        <w:ind w:left="8" w:right="117" w:firstLine="530"/>
        <w:rPr>
          <w:rFonts w:ascii="仿宋" w:hAnsi="仿宋" w:eastAsia="仿宋" w:cs="仿宋"/>
          <w:sz w:val="25"/>
          <w:szCs w:val="25"/>
        </w:rPr>
      </w:pPr>
      <w:r>
        <w:rPr>
          <w:rFonts w:ascii="仿宋" w:hAnsi="仿宋" w:eastAsia="仿宋" w:cs="仿宋"/>
          <w:b/>
          <w:bCs/>
          <w:spacing w:val="9"/>
          <w:sz w:val="25"/>
          <w:szCs w:val="25"/>
        </w:rPr>
        <w:t>解决方案：</w:t>
      </w:r>
      <w:r>
        <w:rPr>
          <w:rFonts w:ascii="仿宋" w:hAnsi="仿宋" w:eastAsia="仿宋" w:cs="仿宋"/>
          <w:spacing w:val="9"/>
          <w:sz w:val="25"/>
          <w:szCs w:val="25"/>
        </w:rPr>
        <w:t>建议露天开采区块</w:t>
      </w:r>
      <w:r>
        <w:rPr>
          <w:rFonts w:ascii="仿宋" w:hAnsi="仿宋" w:eastAsia="仿宋" w:cs="仿宋"/>
          <w:spacing w:val="-45"/>
          <w:sz w:val="25"/>
          <w:szCs w:val="25"/>
        </w:rPr>
        <w:t xml:space="preserve"> </w:t>
      </w:r>
      <w:r>
        <w:rPr>
          <w:rFonts w:ascii="Times New Roman" w:hAnsi="Times New Roman" w:eastAsia="Times New Roman" w:cs="Times New Roman"/>
          <w:sz w:val="25"/>
          <w:szCs w:val="25"/>
        </w:rPr>
        <w:t>CQ</w:t>
      </w:r>
      <w:r>
        <w:rPr>
          <w:rFonts w:ascii="Times New Roman" w:hAnsi="Times New Roman" w:eastAsia="Times New Roman" w:cs="Times New Roman"/>
          <w:spacing w:val="9"/>
          <w:sz w:val="25"/>
          <w:szCs w:val="25"/>
        </w:rPr>
        <w:t>026</w:t>
      </w:r>
      <w:r>
        <w:rPr>
          <w:rFonts w:ascii="Times New Roman" w:hAnsi="Times New Roman" w:eastAsia="Times New Roman" w:cs="Times New Roman"/>
          <w:spacing w:val="29"/>
          <w:w w:val="101"/>
          <w:sz w:val="25"/>
          <w:szCs w:val="25"/>
        </w:rPr>
        <w:t xml:space="preserve"> </w:t>
      </w:r>
      <w:r>
        <w:rPr>
          <w:rFonts w:ascii="仿宋" w:hAnsi="仿宋" w:eastAsia="仿宋" w:cs="仿宋"/>
          <w:spacing w:val="9"/>
          <w:sz w:val="25"/>
          <w:szCs w:val="25"/>
        </w:rPr>
        <w:t>和地下开采区块</w:t>
      </w:r>
      <w:r>
        <w:rPr>
          <w:rFonts w:ascii="仿宋" w:hAnsi="仿宋" w:eastAsia="仿宋" w:cs="仿宋"/>
          <w:spacing w:val="-44"/>
          <w:sz w:val="25"/>
          <w:szCs w:val="25"/>
        </w:rPr>
        <w:t xml:space="preserve"> </w:t>
      </w:r>
      <w:r>
        <w:rPr>
          <w:rFonts w:ascii="Times New Roman" w:hAnsi="Times New Roman" w:eastAsia="Times New Roman" w:cs="Times New Roman"/>
          <w:sz w:val="25"/>
          <w:szCs w:val="25"/>
        </w:rPr>
        <w:t>CQ</w:t>
      </w:r>
      <w:r>
        <w:rPr>
          <w:rFonts w:ascii="Times New Roman" w:hAnsi="Times New Roman" w:eastAsia="Times New Roman" w:cs="Times New Roman"/>
          <w:spacing w:val="9"/>
          <w:sz w:val="25"/>
          <w:szCs w:val="25"/>
        </w:rPr>
        <w:t>030</w:t>
      </w:r>
      <w:r>
        <w:rPr>
          <w:rFonts w:ascii="Times New Roman" w:hAnsi="Times New Roman" w:eastAsia="Times New Roman" w:cs="Times New Roman"/>
          <w:spacing w:val="-18"/>
          <w:sz w:val="25"/>
          <w:szCs w:val="25"/>
        </w:rPr>
        <w:t xml:space="preserve"> </w:t>
      </w:r>
      <w:r>
        <w:rPr>
          <w:rFonts w:ascii="仿宋" w:hAnsi="仿宋" w:eastAsia="仿宋" w:cs="仿宋"/>
          <w:spacing w:val="9"/>
          <w:sz w:val="25"/>
          <w:szCs w:val="25"/>
        </w:rPr>
        <w:t>、</w:t>
      </w:r>
      <w:r>
        <w:rPr>
          <w:rFonts w:ascii="Times New Roman" w:hAnsi="Times New Roman" w:eastAsia="Times New Roman" w:cs="Times New Roman"/>
          <w:sz w:val="25"/>
          <w:szCs w:val="25"/>
        </w:rPr>
        <w:t>CQ</w:t>
      </w:r>
      <w:r>
        <w:rPr>
          <w:rFonts w:ascii="Times New Roman" w:hAnsi="Times New Roman" w:eastAsia="Times New Roman" w:cs="Times New Roman"/>
          <w:spacing w:val="9"/>
          <w:sz w:val="25"/>
          <w:szCs w:val="25"/>
        </w:rPr>
        <w:t>031</w:t>
      </w:r>
      <w:r>
        <w:rPr>
          <w:rFonts w:ascii="仿宋" w:hAnsi="仿宋" w:eastAsia="仿宋" w:cs="仿宋"/>
          <w:spacing w:val="9"/>
          <w:sz w:val="25"/>
          <w:szCs w:val="25"/>
        </w:rPr>
        <w:t>、</w:t>
      </w:r>
      <w:r>
        <w:rPr>
          <w:rFonts w:ascii="仿宋" w:hAnsi="仿宋" w:eastAsia="仿宋" w:cs="仿宋"/>
          <w:sz w:val="25"/>
          <w:szCs w:val="25"/>
        </w:rPr>
        <w:t xml:space="preserve"> </w:t>
      </w:r>
      <w:r>
        <w:rPr>
          <w:rFonts w:ascii="Times New Roman" w:hAnsi="Times New Roman" w:eastAsia="Times New Roman" w:cs="Times New Roman"/>
          <w:sz w:val="25"/>
          <w:szCs w:val="25"/>
        </w:rPr>
        <w:t>CQ</w:t>
      </w:r>
      <w:r>
        <w:rPr>
          <w:rFonts w:ascii="Times New Roman" w:hAnsi="Times New Roman" w:eastAsia="Times New Roman" w:cs="Times New Roman"/>
          <w:spacing w:val="8"/>
          <w:sz w:val="25"/>
          <w:szCs w:val="25"/>
        </w:rPr>
        <w:t>032</w:t>
      </w:r>
      <w:r>
        <w:rPr>
          <w:rFonts w:ascii="Times New Roman" w:hAnsi="Times New Roman" w:eastAsia="Times New Roman" w:cs="Times New Roman"/>
          <w:spacing w:val="37"/>
          <w:w w:val="101"/>
          <w:sz w:val="25"/>
          <w:szCs w:val="25"/>
        </w:rPr>
        <w:t xml:space="preserve"> </w:t>
      </w:r>
      <w:r>
        <w:rPr>
          <w:rFonts w:ascii="仿宋" w:hAnsi="仿宋" w:eastAsia="仿宋" w:cs="仿宋"/>
          <w:spacing w:val="8"/>
          <w:sz w:val="25"/>
          <w:szCs w:val="25"/>
        </w:rPr>
        <w:t>的地面工程在后续开采前应优化布局，避让永久基本农田。</w:t>
      </w:r>
    </w:p>
    <w:p w14:paraId="03ECBF6D">
      <w:pPr>
        <w:spacing w:before="19" w:line="221" w:lineRule="auto"/>
        <w:ind w:left="562"/>
        <w:rPr>
          <w:rFonts w:ascii="仿宋" w:hAnsi="仿宋" w:eastAsia="仿宋" w:cs="仿宋"/>
          <w:sz w:val="25"/>
          <w:szCs w:val="25"/>
        </w:rPr>
      </w:pPr>
      <w:r>
        <w:rPr>
          <w:rFonts w:ascii="仿宋" w:hAnsi="仿宋" w:eastAsia="仿宋" w:cs="仿宋"/>
          <w:b/>
          <w:bCs/>
          <w:spacing w:val="5"/>
          <w:sz w:val="25"/>
          <w:szCs w:val="25"/>
        </w:rPr>
        <w:t>问题：</w:t>
      </w:r>
      <w:r>
        <w:rPr>
          <w:rFonts w:ascii="Times New Roman" w:hAnsi="Times New Roman" w:eastAsia="Times New Roman" w:cs="Times New Roman"/>
          <w:sz w:val="25"/>
          <w:szCs w:val="25"/>
        </w:rPr>
        <w:t>CQ</w:t>
      </w:r>
      <w:r>
        <w:rPr>
          <w:rFonts w:ascii="Times New Roman" w:hAnsi="Times New Roman" w:eastAsia="Times New Roman" w:cs="Times New Roman"/>
          <w:spacing w:val="5"/>
          <w:sz w:val="25"/>
          <w:szCs w:val="25"/>
        </w:rPr>
        <w:t>031</w:t>
      </w:r>
      <w:r>
        <w:rPr>
          <w:rFonts w:ascii="Times New Roman" w:hAnsi="Times New Roman" w:eastAsia="Times New Roman" w:cs="Times New Roman"/>
          <w:spacing w:val="41"/>
          <w:w w:val="101"/>
          <w:sz w:val="25"/>
          <w:szCs w:val="25"/>
        </w:rPr>
        <w:t xml:space="preserve"> </w:t>
      </w:r>
      <w:r>
        <w:rPr>
          <w:rFonts w:ascii="仿宋" w:hAnsi="仿宋" w:eastAsia="仿宋" w:cs="仿宋"/>
          <w:spacing w:val="5"/>
          <w:sz w:val="25"/>
          <w:szCs w:val="25"/>
        </w:rPr>
        <w:t>与城镇开发边界有部分重叠</w:t>
      </w:r>
    </w:p>
    <w:p w14:paraId="7986BF8D">
      <w:pPr>
        <w:spacing w:before="162" w:line="337" w:lineRule="auto"/>
        <w:ind w:left="23" w:right="71" w:firstLine="515"/>
        <w:rPr>
          <w:rFonts w:ascii="仿宋" w:hAnsi="仿宋" w:eastAsia="仿宋" w:cs="仿宋"/>
          <w:sz w:val="25"/>
          <w:szCs w:val="25"/>
        </w:rPr>
      </w:pPr>
      <w:r>
        <w:rPr>
          <w:rFonts w:ascii="仿宋" w:hAnsi="仿宋" w:eastAsia="仿宋" w:cs="仿宋"/>
          <w:b/>
          <w:bCs/>
          <w:spacing w:val="4"/>
          <w:sz w:val="25"/>
          <w:szCs w:val="25"/>
        </w:rPr>
        <w:t>解决方案：</w:t>
      </w:r>
      <w:r>
        <w:rPr>
          <w:rFonts w:ascii="仿宋" w:hAnsi="仿宋" w:eastAsia="仿宋" w:cs="仿宋"/>
          <w:spacing w:val="4"/>
          <w:sz w:val="25"/>
          <w:szCs w:val="25"/>
        </w:rPr>
        <w:t>建议地下开采区块</w:t>
      </w:r>
      <w:r>
        <w:rPr>
          <w:rFonts w:ascii="仿宋" w:hAnsi="仿宋" w:eastAsia="仿宋" w:cs="仿宋"/>
          <w:spacing w:val="-36"/>
          <w:sz w:val="25"/>
          <w:szCs w:val="25"/>
        </w:rPr>
        <w:t xml:space="preserve"> </w:t>
      </w:r>
      <w:r>
        <w:rPr>
          <w:rFonts w:ascii="Times New Roman" w:hAnsi="Times New Roman" w:eastAsia="Times New Roman" w:cs="Times New Roman"/>
          <w:sz w:val="25"/>
          <w:szCs w:val="25"/>
        </w:rPr>
        <w:t>CQ</w:t>
      </w:r>
      <w:r>
        <w:rPr>
          <w:rFonts w:ascii="Times New Roman" w:hAnsi="Times New Roman" w:eastAsia="Times New Roman" w:cs="Times New Roman"/>
          <w:spacing w:val="4"/>
          <w:sz w:val="25"/>
          <w:szCs w:val="25"/>
        </w:rPr>
        <w:t>031</w:t>
      </w:r>
      <w:r>
        <w:rPr>
          <w:rFonts w:ascii="Times New Roman" w:hAnsi="Times New Roman" w:eastAsia="Times New Roman" w:cs="Times New Roman"/>
          <w:spacing w:val="37"/>
          <w:w w:val="101"/>
          <w:sz w:val="25"/>
          <w:szCs w:val="25"/>
        </w:rPr>
        <w:t xml:space="preserve"> </w:t>
      </w:r>
      <w:r>
        <w:rPr>
          <w:rFonts w:ascii="仿宋" w:hAnsi="仿宋" w:eastAsia="仿宋" w:cs="仿宋"/>
          <w:spacing w:val="4"/>
          <w:sz w:val="25"/>
          <w:szCs w:val="25"/>
        </w:rPr>
        <w:t>的地面工程应优化布局，避让城镇开</w:t>
      </w:r>
      <w:r>
        <w:rPr>
          <w:rFonts w:ascii="仿宋" w:hAnsi="仿宋" w:eastAsia="仿宋" w:cs="仿宋"/>
          <w:sz w:val="25"/>
          <w:szCs w:val="25"/>
        </w:rPr>
        <w:t xml:space="preserve"> </w:t>
      </w:r>
      <w:r>
        <w:rPr>
          <w:rFonts w:ascii="仿宋" w:hAnsi="仿宋" w:eastAsia="仿宋" w:cs="仿宋"/>
          <w:spacing w:val="1"/>
          <w:sz w:val="25"/>
          <w:szCs w:val="25"/>
        </w:rPr>
        <w:t>发边界。</w:t>
      </w:r>
    </w:p>
    <w:p w14:paraId="76315C44">
      <w:pPr>
        <w:spacing w:before="6" w:line="334" w:lineRule="auto"/>
        <w:ind w:left="26" w:right="71" w:firstLine="536"/>
        <w:rPr>
          <w:rFonts w:ascii="仿宋" w:hAnsi="仿宋" w:eastAsia="仿宋" w:cs="仿宋"/>
          <w:sz w:val="25"/>
          <w:szCs w:val="25"/>
        </w:rPr>
      </w:pPr>
      <w:r>
        <w:rPr>
          <w:rFonts w:ascii="仿宋" w:hAnsi="仿宋" w:eastAsia="仿宋" w:cs="仿宋"/>
          <w:b/>
          <w:bCs/>
          <w:spacing w:val="4"/>
          <w:sz w:val="25"/>
          <w:szCs w:val="25"/>
        </w:rPr>
        <w:t>问题：暂未投放区块</w:t>
      </w:r>
      <w:r>
        <w:rPr>
          <w:rFonts w:ascii="仿宋" w:hAnsi="仿宋" w:eastAsia="仿宋" w:cs="仿宋"/>
          <w:spacing w:val="-43"/>
          <w:sz w:val="25"/>
          <w:szCs w:val="25"/>
        </w:rPr>
        <w:t xml:space="preserve"> </w:t>
      </w:r>
      <w:r>
        <w:rPr>
          <w:rFonts w:ascii="Times New Roman" w:hAnsi="Times New Roman" w:eastAsia="Times New Roman" w:cs="Times New Roman"/>
          <w:sz w:val="25"/>
          <w:szCs w:val="25"/>
        </w:rPr>
        <w:t>CQ</w:t>
      </w:r>
      <w:r>
        <w:rPr>
          <w:rFonts w:ascii="Times New Roman" w:hAnsi="Times New Roman" w:eastAsia="Times New Roman" w:cs="Times New Roman"/>
          <w:spacing w:val="4"/>
          <w:sz w:val="25"/>
          <w:szCs w:val="25"/>
        </w:rPr>
        <w:t>023</w:t>
      </w:r>
      <w:r>
        <w:rPr>
          <w:rFonts w:ascii="Times New Roman" w:hAnsi="Times New Roman" w:eastAsia="Times New Roman" w:cs="Times New Roman"/>
          <w:spacing w:val="-16"/>
          <w:sz w:val="25"/>
          <w:szCs w:val="25"/>
        </w:rPr>
        <w:t xml:space="preserve"> </w:t>
      </w:r>
      <w:r>
        <w:rPr>
          <w:rFonts w:ascii="仿宋" w:hAnsi="仿宋" w:eastAsia="仿宋" w:cs="仿宋"/>
          <w:spacing w:val="4"/>
          <w:sz w:val="25"/>
          <w:szCs w:val="25"/>
        </w:rPr>
        <w:t>、</w:t>
      </w:r>
      <w:r>
        <w:rPr>
          <w:rFonts w:ascii="Times New Roman" w:hAnsi="Times New Roman" w:eastAsia="Times New Roman" w:cs="Times New Roman"/>
          <w:sz w:val="25"/>
          <w:szCs w:val="25"/>
        </w:rPr>
        <w:t>CQ</w:t>
      </w:r>
      <w:r>
        <w:rPr>
          <w:rFonts w:ascii="Times New Roman" w:hAnsi="Times New Roman" w:eastAsia="Times New Roman" w:cs="Times New Roman"/>
          <w:spacing w:val="4"/>
          <w:sz w:val="25"/>
          <w:szCs w:val="25"/>
        </w:rPr>
        <w:t>026</w:t>
      </w:r>
      <w:r>
        <w:rPr>
          <w:rFonts w:ascii="Times New Roman" w:hAnsi="Times New Roman" w:eastAsia="Times New Roman" w:cs="Times New Roman"/>
          <w:spacing w:val="-19"/>
          <w:sz w:val="25"/>
          <w:szCs w:val="25"/>
        </w:rPr>
        <w:t xml:space="preserve"> </w:t>
      </w:r>
      <w:r>
        <w:rPr>
          <w:rFonts w:ascii="仿宋" w:hAnsi="仿宋" w:eastAsia="仿宋" w:cs="仿宋"/>
          <w:spacing w:val="4"/>
          <w:sz w:val="25"/>
          <w:szCs w:val="25"/>
        </w:rPr>
        <w:t>、</w:t>
      </w:r>
      <w:r>
        <w:rPr>
          <w:rFonts w:ascii="Times New Roman" w:hAnsi="Times New Roman" w:eastAsia="Times New Roman" w:cs="Times New Roman"/>
          <w:sz w:val="25"/>
          <w:szCs w:val="25"/>
        </w:rPr>
        <w:t>CQ</w:t>
      </w:r>
      <w:r>
        <w:rPr>
          <w:rFonts w:ascii="Times New Roman" w:hAnsi="Times New Roman" w:eastAsia="Times New Roman" w:cs="Times New Roman"/>
          <w:spacing w:val="4"/>
          <w:sz w:val="25"/>
          <w:szCs w:val="25"/>
        </w:rPr>
        <w:t>027</w:t>
      </w:r>
      <w:r>
        <w:rPr>
          <w:rFonts w:ascii="Times New Roman" w:hAnsi="Times New Roman" w:eastAsia="Times New Roman" w:cs="Times New Roman"/>
          <w:spacing w:val="-19"/>
          <w:sz w:val="25"/>
          <w:szCs w:val="25"/>
        </w:rPr>
        <w:t xml:space="preserve"> </w:t>
      </w:r>
      <w:r>
        <w:rPr>
          <w:rFonts w:ascii="仿宋" w:hAnsi="仿宋" w:eastAsia="仿宋" w:cs="仿宋"/>
          <w:spacing w:val="3"/>
          <w:sz w:val="25"/>
          <w:szCs w:val="25"/>
        </w:rPr>
        <w:t>、</w:t>
      </w:r>
      <w:r>
        <w:rPr>
          <w:rFonts w:ascii="Times New Roman" w:hAnsi="Times New Roman" w:eastAsia="Times New Roman" w:cs="Times New Roman"/>
          <w:sz w:val="25"/>
          <w:szCs w:val="25"/>
        </w:rPr>
        <w:t>CQ</w:t>
      </w:r>
      <w:r>
        <w:rPr>
          <w:rFonts w:ascii="Times New Roman" w:hAnsi="Times New Roman" w:eastAsia="Times New Roman" w:cs="Times New Roman"/>
          <w:spacing w:val="3"/>
          <w:sz w:val="25"/>
          <w:szCs w:val="25"/>
        </w:rPr>
        <w:t>030</w:t>
      </w:r>
      <w:r>
        <w:rPr>
          <w:rFonts w:ascii="Times New Roman" w:hAnsi="Times New Roman" w:eastAsia="Times New Roman" w:cs="Times New Roman"/>
          <w:spacing w:val="-18"/>
          <w:sz w:val="25"/>
          <w:szCs w:val="25"/>
        </w:rPr>
        <w:t xml:space="preserve"> </w:t>
      </w:r>
      <w:r>
        <w:rPr>
          <w:rFonts w:ascii="仿宋" w:hAnsi="仿宋" w:eastAsia="仿宋" w:cs="仿宋"/>
          <w:spacing w:val="3"/>
          <w:sz w:val="25"/>
          <w:szCs w:val="25"/>
        </w:rPr>
        <w:t>、</w:t>
      </w:r>
      <w:r>
        <w:rPr>
          <w:rFonts w:ascii="Times New Roman" w:hAnsi="Times New Roman" w:eastAsia="Times New Roman" w:cs="Times New Roman"/>
          <w:sz w:val="25"/>
          <w:szCs w:val="25"/>
        </w:rPr>
        <w:t>CQ</w:t>
      </w:r>
      <w:r>
        <w:rPr>
          <w:rFonts w:ascii="Times New Roman" w:hAnsi="Times New Roman" w:eastAsia="Times New Roman" w:cs="Times New Roman"/>
          <w:spacing w:val="3"/>
          <w:sz w:val="25"/>
          <w:szCs w:val="25"/>
        </w:rPr>
        <w:t>031</w:t>
      </w:r>
      <w:r>
        <w:rPr>
          <w:rFonts w:ascii="Times New Roman" w:hAnsi="Times New Roman" w:eastAsia="Times New Roman" w:cs="Times New Roman"/>
          <w:spacing w:val="-17"/>
          <w:sz w:val="25"/>
          <w:szCs w:val="25"/>
        </w:rPr>
        <w:t xml:space="preserve"> </w:t>
      </w:r>
      <w:r>
        <w:rPr>
          <w:rFonts w:ascii="仿宋" w:hAnsi="仿宋" w:eastAsia="仿宋" w:cs="仿宋"/>
          <w:spacing w:val="3"/>
          <w:sz w:val="25"/>
          <w:szCs w:val="25"/>
        </w:rPr>
        <w:t>、</w:t>
      </w:r>
      <w:r>
        <w:rPr>
          <w:rFonts w:ascii="Times New Roman" w:hAnsi="Times New Roman" w:eastAsia="Times New Roman" w:cs="Times New Roman"/>
          <w:sz w:val="25"/>
          <w:szCs w:val="25"/>
        </w:rPr>
        <w:t>CQ</w:t>
      </w:r>
      <w:r>
        <w:rPr>
          <w:rFonts w:ascii="Times New Roman" w:hAnsi="Times New Roman" w:eastAsia="Times New Roman" w:cs="Times New Roman"/>
          <w:spacing w:val="3"/>
          <w:sz w:val="25"/>
          <w:szCs w:val="25"/>
        </w:rPr>
        <w:t>032</w:t>
      </w:r>
      <w:r>
        <w:rPr>
          <w:rFonts w:ascii="Times New Roman" w:hAnsi="Times New Roman" w:eastAsia="Times New Roman" w:cs="Times New Roman"/>
          <w:sz w:val="25"/>
          <w:szCs w:val="25"/>
        </w:rPr>
        <w:t xml:space="preserve"> </w:t>
      </w:r>
      <w:r>
        <w:rPr>
          <w:rFonts w:ascii="仿宋" w:hAnsi="仿宋" w:eastAsia="仿宋" w:cs="仿宋"/>
          <w:spacing w:val="7"/>
          <w:sz w:val="25"/>
          <w:szCs w:val="25"/>
        </w:rPr>
        <w:t>与二级国家级公益林存在部分重叠。</w:t>
      </w:r>
    </w:p>
    <w:p w14:paraId="7F228863">
      <w:pPr>
        <w:spacing w:before="15" w:line="339" w:lineRule="auto"/>
        <w:ind w:left="8" w:right="71" w:firstLine="530"/>
        <w:jc w:val="both"/>
        <w:rPr>
          <w:rFonts w:ascii="仿宋" w:hAnsi="仿宋" w:eastAsia="仿宋" w:cs="仿宋"/>
          <w:sz w:val="25"/>
          <w:szCs w:val="25"/>
        </w:rPr>
      </w:pPr>
      <w:r>
        <w:rPr>
          <w:rFonts w:ascii="仿宋" w:hAnsi="仿宋" w:eastAsia="仿宋" w:cs="仿宋"/>
          <w:b/>
          <w:bCs/>
          <w:spacing w:val="11"/>
          <w:sz w:val="25"/>
          <w:szCs w:val="25"/>
        </w:rPr>
        <w:t>解决方案</w:t>
      </w:r>
      <w:r>
        <w:rPr>
          <w:rFonts w:ascii="仿宋" w:hAnsi="仿宋" w:eastAsia="仿宋" w:cs="仿宋"/>
          <w:spacing w:val="11"/>
          <w:sz w:val="25"/>
          <w:szCs w:val="25"/>
        </w:rPr>
        <w:t>：建议露天开采区块</w:t>
      </w:r>
      <w:r>
        <w:rPr>
          <w:rFonts w:ascii="仿宋" w:hAnsi="仿宋" w:eastAsia="仿宋" w:cs="仿宋"/>
          <w:spacing w:val="-30"/>
          <w:sz w:val="25"/>
          <w:szCs w:val="25"/>
        </w:rPr>
        <w:t xml:space="preserve"> </w:t>
      </w:r>
      <w:r>
        <w:rPr>
          <w:rFonts w:ascii="Times New Roman" w:hAnsi="Times New Roman" w:eastAsia="Times New Roman" w:cs="Times New Roman"/>
          <w:sz w:val="25"/>
          <w:szCs w:val="25"/>
        </w:rPr>
        <w:t>CQ</w:t>
      </w:r>
      <w:r>
        <w:rPr>
          <w:rFonts w:ascii="Times New Roman" w:hAnsi="Times New Roman" w:eastAsia="Times New Roman" w:cs="Times New Roman"/>
          <w:spacing w:val="11"/>
          <w:sz w:val="25"/>
          <w:szCs w:val="25"/>
        </w:rPr>
        <w:t>023</w:t>
      </w:r>
      <w:r>
        <w:rPr>
          <w:rFonts w:ascii="Times New Roman" w:hAnsi="Times New Roman" w:eastAsia="Times New Roman" w:cs="Times New Roman"/>
          <w:spacing w:val="-16"/>
          <w:sz w:val="25"/>
          <w:szCs w:val="25"/>
        </w:rPr>
        <w:t xml:space="preserve"> </w:t>
      </w:r>
      <w:r>
        <w:rPr>
          <w:rFonts w:ascii="仿宋" w:hAnsi="仿宋" w:eastAsia="仿宋" w:cs="仿宋"/>
          <w:spacing w:val="11"/>
          <w:sz w:val="25"/>
          <w:szCs w:val="25"/>
        </w:rPr>
        <w:t>、</w:t>
      </w:r>
      <w:r>
        <w:rPr>
          <w:rFonts w:ascii="Times New Roman" w:hAnsi="Times New Roman" w:eastAsia="Times New Roman" w:cs="Times New Roman"/>
          <w:sz w:val="25"/>
          <w:szCs w:val="25"/>
        </w:rPr>
        <w:t>CQ</w:t>
      </w:r>
      <w:r>
        <w:rPr>
          <w:rFonts w:ascii="Times New Roman" w:hAnsi="Times New Roman" w:eastAsia="Times New Roman" w:cs="Times New Roman"/>
          <w:spacing w:val="11"/>
          <w:sz w:val="25"/>
          <w:szCs w:val="25"/>
        </w:rPr>
        <w:t>026</w:t>
      </w:r>
      <w:r>
        <w:rPr>
          <w:rFonts w:ascii="Times New Roman" w:hAnsi="Times New Roman" w:eastAsia="Times New Roman" w:cs="Times New Roman"/>
          <w:spacing w:val="-12"/>
          <w:sz w:val="25"/>
          <w:szCs w:val="25"/>
        </w:rPr>
        <w:t xml:space="preserve"> </w:t>
      </w:r>
      <w:r>
        <w:rPr>
          <w:rFonts w:ascii="仿宋" w:hAnsi="仿宋" w:eastAsia="仿宋" w:cs="仿宋"/>
          <w:spacing w:val="11"/>
          <w:sz w:val="25"/>
          <w:szCs w:val="25"/>
        </w:rPr>
        <w:t>、</w:t>
      </w:r>
      <w:r>
        <w:rPr>
          <w:rFonts w:ascii="Times New Roman" w:hAnsi="Times New Roman" w:eastAsia="Times New Roman" w:cs="Times New Roman"/>
          <w:sz w:val="25"/>
          <w:szCs w:val="25"/>
        </w:rPr>
        <w:t>CQ</w:t>
      </w:r>
      <w:r>
        <w:rPr>
          <w:rFonts w:ascii="Times New Roman" w:hAnsi="Times New Roman" w:eastAsia="Times New Roman" w:cs="Times New Roman"/>
          <w:spacing w:val="11"/>
          <w:sz w:val="25"/>
          <w:szCs w:val="25"/>
        </w:rPr>
        <w:t>027</w:t>
      </w:r>
      <w:r>
        <w:rPr>
          <w:rFonts w:ascii="Times New Roman" w:hAnsi="Times New Roman" w:eastAsia="Times New Roman" w:cs="Times New Roman"/>
          <w:spacing w:val="29"/>
          <w:w w:val="101"/>
          <w:sz w:val="25"/>
          <w:szCs w:val="25"/>
        </w:rPr>
        <w:t xml:space="preserve"> </w:t>
      </w:r>
      <w:r>
        <w:rPr>
          <w:rFonts w:ascii="仿宋" w:hAnsi="仿宋" w:eastAsia="仿宋" w:cs="仿宋"/>
          <w:spacing w:val="11"/>
          <w:sz w:val="25"/>
          <w:szCs w:val="25"/>
        </w:rPr>
        <w:t>和地下开采区块</w:t>
      </w:r>
      <w:r>
        <w:rPr>
          <w:rFonts w:ascii="仿宋" w:hAnsi="仿宋" w:eastAsia="仿宋" w:cs="仿宋"/>
          <w:sz w:val="25"/>
          <w:szCs w:val="25"/>
        </w:rPr>
        <w:t xml:space="preserve"> </w:t>
      </w:r>
      <w:r>
        <w:rPr>
          <w:rFonts w:ascii="Times New Roman" w:hAnsi="Times New Roman" w:eastAsia="Times New Roman" w:cs="Times New Roman"/>
          <w:sz w:val="25"/>
          <w:szCs w:val="25"/>
        </w:rPr>
        <w:t>CQ</w:t>
      </w:r>
      <w:r>
        <w:rPr>
          <w:rFonts w:ascii="Times New Roman" w:hAnsi="Times New Roman" w:eastAsia="Times New Roman" w:cs="Times New Roman"/>
          <w:spacing w:val="7"/>
          <w:sz w:val="25"/>
          <w:szCs w:val="25"/>
        </w:rPr>
        <w:t>030</w:t>
      </w:r>
      <w:r>
        <w:rPr>
          <w:rFonts w:ascii="Times New Roman" w:hAnsi="Times New Roman" w:eastAsia="Times New Roman" w:cs="Times New Roman"/>
          <w:spacing w:val="-21"/>
          <w:sz w:val="25"/>
          <w:szCs w:val="25"/>
        </w:rPr>
        <w:t xml:space="preserve"> </w:t>
      </w:r>
      <w:r>
        <w:rPr>
          <w:rFonts w:ascii="仿宋" w:hAnsi="仿宋" w:eastAsia="仿宋" w:cs="仿宋"/>
          <w:spacing w:val="7"/>
          <w:sz w:val="25"/>
          <w:szCs w:val="25"/>
        </w:rPr>
        <w:t>、</w:t>
      </w:r>
      <w:r>
        <w:rPr>
          <w:rFonts w:ascii="Times New Roman" w:hAnsi="Times New Roman" w:eastAsia="Times New Roman" w:cs="Times New Roman"/>
          <w:sz w:val="25"/>
          <w:szCs w:val="25"/>
        </w:rPr>
        <w:t>CQ</w:t>
      </w:r>
      <w:r>
        <w:rPr>
          <w:rFonts w:ascii="Times New Roman" w:hAnsi="Times New Roman" w:eastAsia="Times New Roman" w:cs="Times New Roman"/>
          <w:spacing w:val="7"/>
          <w:sz w:val="25"/>
          <w:szCs w:val="25"/>
        </w:rPr>
        <w:t>031</w:t>
      </w:r>
      <w:r>
        <w:rPr>
          <w:rFonts w:ascii="Times New Roman" w:hAnsi="Times New Roman" w:eastAsia="Times New Roman" w:cs="Times New Roman"/>
          <w:spacing w:val="-21"/>
          <w:sz w:val="25"/>
          <w:szCs w:val="25"/>
        </w:rPr>
        <w:t xml:space="preserve"> </w:t>
      </w:r>
      <w:r>
        <w:rPr>
          <w:rFonts w:ascii="仿宋" w:hAnsi="仿宋" w:eastAsia="仿宋" w:cs="仿宋"/>
          <w:spacing w:val="7"/>
          <w:sz w:val="25"/>
          <w:szCs w:val="25"/>
        </w:rPr>
        <w:t>、</w:t>
      </w:r>
      <w:r>
        <w:rPr>
          <w:rFonts w:ascii="Times New Roman" w:hAnsi="Times New Roman" w:eastAsia="Times New Roman" w:cs="Times New Roman"/>
          <w:sz w:val="25"/>
          <w:szCs w:val="25"/>
        </w:rPr>
        <w:t>CQ</w:t>
      </w:r>
      <w:r>
        <w:rPr>
          <w:rFonts w:ascii="Times New Roman" w:hAnsi="Times New Roman" w:eastAsia="Times New Roman" w:cs="Times New Roman"/>
          <w:spacing w:val="7"/>
          <w:sz w:val="25"/>
          <w:szCs w:val="25"/>
        </w:rPr>
        <w:t>032</w:t>
      </w:r>
      <w:r>
        <w:rPr>
          <w:rFonts w:ascii="Times New Roman" w:hAnsi="Times New Roman" w:eastAsia="Times New Roman" w:cs="Times New Roman"/>
          <w:spacing w:val="40"/>
          <w:sz w:val="25"/>
          <w:szCs w:val="25"/>
        </w:rPr>
        <w:t xml:space="preserve"> </w:t>
      </w:r>
      <w:r>
        <w:rPr>
          <w:rFonts w:ascii="仿宋" w:hAnsi="仿宋" w:eastAsia="仿宋" w:cs="仿宋"/>
          <w:spacing w:val="7"/>
          <w:sz w:val="25"/>
          <w:szCs w:val="25"/>
        </w:rPr>
        <w:t>的地面工程在后续开采前应优先优化</w:t>
      </w:r>
      <w:r>
        <w:rPr>
          <w:rFonts w:ascii="仿宋" w:hAnsi="仿宋" w:eastAsia="仿宋" w:cs="仿宋"/>
          <w:spacing w:val="6"/>
          <w:sz w:val="25"/>
          <w:szCs w:val="25"/>
        </w:rPr>
        <w:t>布局，不占或者</w:t>
      </w:r>
      <w:r>
        <w:rPr>
          <w:rFonts w:ascii="仿宋" w:hAnsi="仿宋" w:eastAsia="仿宋" w:cs="仿宋"/>
          <w:sz w:val="25"/>
          <w:szCs w:val="25"/>
        </w:rPr>
        <w:t xml:space="preserve"> </w:t>
      </w:r>
      <w:r>
        <w:rPr>
          <w:rFonts w:ascii="仿宋" w:hAnsi="仿宋" w:eastAsia="仿宋" w:cs="仿宋"/>
          <w:spacing w:val="10"/>
          <w:sz w:val="25"/>
          <w:szCs w:val="25"/>
        </w:rPr>
        <w:t>少占公益林林地，确需使用的，严格按照《建设项目使用林地</w:t>
      </w:r>
      <w:r>
        <w:rPr>
          <w:rFonts w:ascii="仿宋" w:hAnsi="仿宋" w:eastAsia="仿宋" w:cs="仿宋"/>
          <w:spacing w:val="9"/>
          <w:sz w:val="25"/>
          <w:szCs w:val="25"/>
        </w:rPr>
        <w:t>审核审批管理办</w:t>
      </w:r>
      <w:r>
        <w:rPr>
          <w:rFonts w:ascii="仿宋" w:hAnsi="仿宋" w:eastAsia="仿宋" w:cs="仿宋"/>
          <w:sz w:val="25"/>
          <w:szCs w:val="25"/>
        </w:rPr>
        <w:t xml:space="preserve"> </w:t>
      </w:r>
      <w:r>
        <w:rPr>
          <w:rFonts w:ascii="仿宋" w:hAnsi="仿宋" w:eastAsia="仿宋" w:cs="仿宋"/>
          <w:spacing w:val="10"/>
          <w:sz w:val="25"/>
          <w:szCs w:val="25"/>
        </w:rPr>
        <w:t>法》有关规定办理使用林地手续。涉及林木采伐的，按相关规</w:t>
      </w:r>
      <w:r>
        <w:rPr>
          <w:rFonts w:ascii="仿宋" w:hAnsi="仿宋" w:eastAsia="仿宋" w:cs="仿宋"/>
          <w:spacing w:val="9"/>
          <w:sz w:val="25"/>
          <w:szCs w:val="25"/>
        </w:rPr>
        <w:t>定依法办理林木</w:t>
      </w:r>
      <w:r>
        <w:rPr>
          <w:rFonts w:ascii="仿宋" w:hAnsi="仿宋" w:eastAsia="仿宋" w:cs="仿宋"/>
          <w:sz w:val="25"/>
          <w:szCs w:val="25"/>
        </w:rPr>
        <w:t xml:space="preserve"> </w:t>
      </w:r>
      <w:r>
        <w:rPr>
          <w:rFonts w:ascii="仿宋" w:hAnsi="仿宋" w:eastAsia="仿宋" w:cs="仿宋"/>
          <w:spacing w:val="5"/>
          <w:sz w:val="25"/>
          <w:szCs w:val="25"/>
        </w:rPr>
        <w:t>采伐手续。</w:t>
      </w:r>
    </w:p>
    <w:p w14:paraId="3667F1E2">
      <w:pPr>
        <w:spacing w:before="6" w:line="219" w:lineRule="auto"/>
        <w:ind w:left="562"/>
        <w:rPr>
          <w:rFonts w:ascii="仿宋" w:hAnsi="仿宋" w:eastAsia="仿宋" w:cs="仿宋"/>
          <w:sz w:val="25"/>
          <w:szCs w:val="25"/>
        </w:rPr>
      </w:pPr>
      <w:r>
        <w:rPr>
          <w:rFonts w:ascii="仿宋" w:hAnsi="仿宋" w:eastAsia="仿宋" w:cs="仿宋"/>
          <w:b/>
          <w:bCs/>
          <w:spacing w:val="5"/>
          <w:sz w:val="25"/>
          <w:szCs w:val="25"/>
        </w:rPr>
        <w:t>问题：暂未投放区块</w:t>
      </w:r>
      <w:r>
        <w:rPr>
          <w:rFonts w:ascii="仿宋" w:hAnsi="仿宋" w:eastAsia="仿宋" w:cs="仿宋"/>
          <w:spacing w:val="-44"/>
          <w:sz w:val="25"/>
          <w:szCs w:val="25"/>
        </w:rPr>
        <w:t xml:space="preserve"> </w:t>
      </w:r>
      <w:r>
        <w:rPr>
          <w:rFonts w:ascii="Times New Roman" w:hAnsi="Times New Roman" w:eastAsia="Times New Roman" w:cs="Times New Roman"/>
          <w:sz w:val="25"/>
          <w:szCs w:val="25"/>
        </w:rPr>
        <w:t>CQ</w:t>
      </w:r>
      <w:r>
        <w:rPr>
          <w:rFonts w:ascii="Times New Roman" w:hAnsi="Times New Roman" w:eastAsia="Times New Roman" w:cs="Times New Roman"/>
          <w:spacing w:val="5"/>
          <w:sz w:val="25"/>
          <w:szCs w:val="25"/>
        </w:rPr>
        <w:t>026</w:t>
      </w:r>
      <w:r>
        <w:rPr>
          <w:rFonts w:ascii="Times New Roman" w:hAnsi="Times New Roman" w:eastAsia="Times New Roman" w:cs="Times New Roman"/>
          <w:spacing w:val="-24"/>
          <w:sz w:val="25"/>
          <w:szCs w:val="25"/>
        </w:rPr>
        <w:t xml:space="preserve"> </w:t>
      </w:r>
      <w:r>
        <w:rPr>
          <w:rFonts w:ascii="仿宋" w:hAnsi="仿宋" w:eastAsia="仿宋" w:cs="仿宋"/>
          <w:spacing w:val="5"/>
          <w:sz w:val="25"/>
          <w:szCs w:val="25"/>
        </w:rPr>
        <w:t>、</w:t>
      </w:r>
      <w:r>
        <w:rPr>
          <w:rFonts w:ascii="Times New Roman" w:hAnsi="Times New Roman" w:eastAsia="Times New Roman" w:cs="Times New Roman"/>
          <w:sz w:val="25"/>
          <w:szCs w:val="25"/>
        </w:rPr>
        <w:t>CQ</w:t>
      </w:r>
      <w:r>
        <w:rPr>
          <w:rFonts w:ascii="Times New Roman" w:hAnsi="Times New Roman" w:eastAsia="Times New Roman" w:cs="Times New Roman"/>
          <w:spacing w:val="5"/>
          <w:sz w:val="25"/>
          <w:szCs w:val="25"/>
        </w:rPr>
        <w:t>027</w:t>
      </w:r>
      <w:r>
        <w:rPr>
          <w:rFonts w:ascii="Times New Roman" w:hAnsi="Times New Roman" w:eastAsia="Times New Roman" w:cs="Times New Roman"/>
          <w:spacing w:val="32"/>
          <w:w w:val="101"/>
          <w:sz w:val="25"/>
          <w:szCs w:val="25"/>
        </w:rPr>
        <w:t xml:space="preserve"> </w:t>
      </w:r>
      <w:r>
        <w:rPr>
          <w:rFonts w:ascii="仿宋" w:hAnsi="仿宋" w:eastAsia="仿宋" w:cs="仿宋"/>
          <w:spacing w:val="5"/>
          <w:sz w:val="25"/>
          <w:szCs w:val="25"/>
        </w:rPr>
        <w:t>与饮用水源保护区存在部分重叠。</w:t>
      </w:r>
    </w:p>
    <w:p w14:paraId="140147F9">
      <w:pPr>
        <w:spacing w:before="164" w:line="338" w:lineRule="auto"/>
        <w:ind w:left="15" w:right="71" w:firstLine="530"/>
        <w:rPr>
          <w:rFonts w:ascii="仿宋" w:hAnsi="仿宋" w:eastAsia="仿宋" w:cs="仿宋"/>
          <w:sz w:val="25"/>
          <w:szCs w:val="25"/>
        </w:rPr>
      </w:pPr>
      <w:r>
        <w:rPr>
          <w:rFonts w:ascii="仿宋" w:hAnsi="仿宋" w:eastAsia="仿宋" w:cs="仿宋"/>
          <w:b/>
          <w:bCs/>
          <w:spacing w:val="5"/>
          <w:sz w:val="25"/>
          <w:szCs w:val="25"/>
        </w:rPr>
        <w:t>解决方案：</w:t>
      </w:r>
      <w:r>
        <w:rPr>
          <w:rFonts w:ascii="仿宋" w:hAnsi="仿宋" w:eastAsia="仿宋" w:cs="仿宋"/>
          <w:spacing w:val="5"/>
          <w:sz w:val="25"/>
          <w:szCs w:val="25"/>
        </w:rPr>
        <w:t>评价建议露天开采区块</w:t>
      </w:r>
      <w:r>
        <w:rPr>
          <w:rFonts w:ascii="仿宋" w:hAnsi="仿宋" w:eastAsia="仿宋" w:cs="仿宋"/>
          <w:spacing w:val="-32"/>
          <w:sz w:val="25"/>
          <w:szCs w:val="25"/>
        </w:rPr>
        <w:t xml:space="preserve"> </w:t>
      </w:r>
      <w:r>
        <w:rPr>
          <w:rFonts w:ascii="Times New Roman" w:hAnsi="Times New Roman" w:eastAsia="Times New Roman" w:cs="Times New Roman"/>
          <w:sz w:val="25"/>
          <w:szCs w:val="25"/>
        </w:rPr>
        <w:t>CQ</w:t>
      </w:r>
      <w:r>
        <w:rPr>
          <w:rFonts w:ascii="Times New Roman" w:hAnsi="Times New Roman" w:eastAsia="Times New Roman" w:cs="Times New Roman"/>
          <w:spacing w:val="5"/>
          <w:sz w:val="25"/>
          <w:szCs w:val="25"/>
        </w:rPr>
        <w:t>026</w:t>
      </w:r>
      <w:r>
        <w:rPr>
          <w:rFonts w:ascii="仿宋" w:hAnsi="仿宋" w:eastAsia="仿宋" w:cs="仿宋"/>
          <w:spacing w:val="5"/>
          <w:sz w:val="25"/>
          <w:szCs w:val="25"/>
        </w:rPr>
        <w:t>、</w:t>
      </w:r>
      <w:r>
        <w:rPr>
          <w:rFonts w:ascii="Times New Roman" w:hAnsi="Times New Roman" w:eastAsia="Times New Roman" w:cs="Times New Roman"/>
          <w:sz w:val="25"/>
          <w:szCs w:val="25"/>
        </w:rPr>
        <w:t>CQ</w:t>
      </w:r>
      <w:r>
        <w:rPr>
          <w:rFonts w:ascii="Times New Roman" w:hAnsi="Times New Roman" w:eastAsia="Times New Roman" w:cs="Times New Roman"/>
          <w:spacing w:val="5"/>
          <w:sz w:val="25"/>
          <w:szCs w:val="25"/>
        </w:rPr>
        <w:t>027</w:t>
      </w:r>
      <w:r>
        <w:rPr>
          <w:rFonts w:ascii="Times New Roman" w:hAnsi="Times New Roman" w:eastAsia="Times New Roman" w:cs="Times New Roman"/>
          <w:spacing w:val="22"/>
          <w:sz w:val="25"/>
          <w:szCs w:val="25"/>
        </w:rPr>
        <w:t xml:space="preserve"> </w:t>
      </w:r>
      <w:r>
        <w:rPr>
          <w:rFonts w:ascii="仿宋" w:hAnsi="仿宋" w:eastAsia="仿宋" w:cs="仿宋"/>
          <w:spacing w:val="5"/>
          <w:sz w:val="25"/>
          <w:szCs w:val="25"/>
        </w:rPr>
        <w:t>优化调整区块范围，避</w:t>
      </w:r>
      <w:r>
        <w:rPr>
          <w:rFonts w:ascii="仿宋" w:hAnsi="仿宋" w:eastAsia="仿宋" w:cs="仿宋"/>
          <w:sz w:val="25"/>
          <w:szCs w:val="25"/>
        </w:rPr>
        <w:t xml:space="preserve"> </w:t>
      </w:r>
      <w:r>
        <w:rPr>
          <w:rFonts w:ascii="仿宋" w:hAnsi="仿宋" w:eastAsia="仿宋" w:cs="仿宋"/>
          <w:spacing w:val="10"/>
          <w:sz w:val="25"/>
          <w:szCs w:val="25"/>
        </w:rPr>
        <w:t>让饮用水水源保护区，并在开采过程中做好污</w:t>
      </w:r>
      <w:r>
        <w:rPr>
          <w:rFonts w:ascii="仿宋" w:hAnsi="仿宋" w:eastAsia="仿宋" w:cs="仿宋"/>
          <w:spacing w:val="9"/>
          <w:sz w:val="25"/>
          <w:szCs w:val="25"/>
        </w:rPr>
        <w:t>染防治，严禁向饮用水水源地排</w:t>
      </w:r>
      <w:r>
        <w:rPr>
          <w:rFonts w:ascii="仿宋" w:hAnsi="仿宋" w:eastAsia="仿宋" w:cs="仿宋"/>
          <w:sz w:val="25"/>
          <w:szCs w:val="25"/>
        </w:rPr>
        <w:t xml:space="preserve"> </w:t>
      </w:r>
      <w:r>
        <w:rPr>
          <w:rFonts w:ascii="仿宋" w:hAnsi="仿宋" w:eastAsia="仿宋" w:cs="仿宋"/>
          <w:spacing w:val="7"/>
          <w:sz w:val="25"/>
          <w:szCs w:val="25"/>
        </w:rPr>
        <w:t>污，保护饮用水源水质。</w:t>
      </w:r>
    </w:p>
    <w:p w14:paraId="0DAF4B7B">
      <w:pPr>
        <w:spacing w:before="8" w:line="325" w:lineRule="auto"/>
        <w:ind w:left="29" w:firstLine="512"/>
        <w:rPr>
          <w:rFonts w:ascii="仿宋" w:hAnsi="仿宋" w:eastAsia="仿宋" w:cs="仿宋"/>
          <w:sz w:val="25"/>
          <w:szCs w:val="25"/>
        </w:rPr>
      </w:pPr>
      <w:r>
        <w:rPr>
          <w:rFonts w:ascii="仿宋" w:hAnsi="仿宋" w:eastAsia="仿宋" w:cs="仿宋"/>
          <w:spacing w:val="3"/>
          <w:sz w:val="25"/>
          <w:szCs w:val="25"/>
        </w:rPr>
        <w:t>（</w:t>
      </w:r>
      <w:r>
        <w:rPr>
          <w:rFonts w:ascii="Times New Roman" w:hAnsi="Times New Roman" w:eastAsia="Times New Roman" w:cs="Times New Roman"/>
          <w:spacing w:val="3"/>
          <w:sz w:val="25"/>
          <w:szCs w:val="25"/>
        </w:rPr>
        <w:t>3</w:t>
      </w:r>
      <w:r>
        <w:rPr>
          <w:rFonts w:ascii="仿宋" w:hAnsi="仿宋" w:eastAsia="仿宋" w:cs="仿宋"/>
          <w:spacing w:val="3"/>
          <w:sz w:val="25"/>
          <w:szCs w:val="25"/>
        </w:rPr>
        <w:t>）</w:t>
      </w:r>
      <w:r>
        <w:rPr>
          <w:rFonts w:hint="eastAsia" w:ascii="仿宋" w:hAnsi="仿宋" w:eastAsia="仿宋" w:cs="仿宋"/>
          <w:spacing w:val="3"/>
          <w:sz w:val="25"/>
          <w:szCs w:val="25"/>
          <w:lang w:eastAsia="zh-CN"/>
        </w:rPr>
        <w:t>“</w:t>
      </w:r>
      <w:r>
        <w:rPr>
          <w:rFonts w:ascii="仿宋" w:hAnsi="仿宋" w:eastAsia="仿宋" w:cs="仿宋"/>
          <w:spacing w:val="3"/>
          <w:sz w:val="25"/>
          <w:szCs w:val="25"/>
        </w:rPr>
        <w:t>十四五</w:t>
      </w:r>
      <w:r>
        <w:rPr>
          <w:rFonts w:hint="eastAsia" w:ascii="仿宋" w:hAnsi="仿宋" w:eastAsia="仿宋" w:cs="仿宋"/>
          <w:spacing w:val="3"/>
          <w:sz w:val="25"/>
          <w:szCs w:val="25"/>
          <w:lang w:eastAsia="zh-CN"/>
        </w:rPr>
        <w:t>”</w:t>
      </w:r>
      <w:r>
        <w:rPr>
          <w:rFonts w:ascii="仿宋" w:hAnsi="仿宋" w:eastAsia="仿宋" w:cs="仿宋"/>
          <w:spacing w:val="3"/>
          <w:sz w:val="25"/>
          <w:szCs w:val="25"/>
        </w:rPr>
        <w:t>期间黔江区共关闭</w:t>
      </w:r>
      <w:r>
        <w:rPr>
          <w:rFonts w:ascii="仿宋" w:hAnsi="仿宋" w:eastAsia="仿宋" w:cs="仿宋"/>
          <w:spacing w:val="-22"/>
          <w:sz w:val="25"/>
          <w:szCs w:val="25"/>
        </w:rPr>
        <w:t xml:space="preserve"> </w:t>
      </w:r>
      <w:r>
        <w:rPr>
          <w:rFonts w:ascii="Times New Roman" w:hAnsi="Times New Roman" w:eastAsia="Times New Roman" w:cs="Times New Roman"/>
          <w:spacing w:val="3"/>
          <w:sz w:val="25"/>
          <w:szCs w:val="25"/>
        </w:rPr>
        <w:t>11</w:t>
      </w:r>
      <w:r>
        <w:rPr>
          <w:rFonts w:ascii="Times New Roman" w:hAnsi="Times New Roman" w:eastAsia="Times New Roman" w:cs="Times New Roman"/>
          <w:spacing w:val="21"/>
          <w:sz w:val="25"/>
          <w:szCs w:val="25"/>
        </w:rPr>
        <w:t xml:space="preserve"> </w:t>
      </w:r>
      <w:r>
        <w:rPr>
          <w:rFonts w:ascii="仿宋" w:hAnsi="仿宋" w:eastAsia="仿宋" w:cs="仿宋"/>
          <w:spacing w:val="3"/>
          <w:sz w:val="25"/>
          <w:szCs w:val="25"/>
        </w:rPr>
        <w:t>个矿山，</w:t>
      </w:r>
      <w:r>
        <w:rPr>
          <w:rFonts w:ascii="Times New Roman" w:hAnsi="Times New Roman" w:eastAsia="Times New Roman" w:cs="Times New Roman"/>
          <w:spacing w:val="3"/>
          <w:sz w:val="25"/>
          <w:szCs w:val="25"/>
        </w:rPr>
        <w:t>4</w:t>
      </w:r>
      <w:r>
        <w:rPr>
          <w:rFonts w:ascii="Times New Roman" w:hAnsi="Times New Roman" w:eastAsia="Times New Roman" w:cs="Times New Roman"/>
          <w:spacing w:val="20"/>
          <w:w w:val="101"/>
          <w:sz w:val="25"/>
          <w:szCs w:val="25"/>
        </w:rPr>
        <w:t xml:space="preserve"> </w:t>
      </w:r>
      <w:r>
        <w:rPr>
          <w:rFonts w:ascii="仿宋" w:hAnsi="仿宋" w:eastAsia="仿宋" w:cs="仿宋"/>
          <w:spacing w:val="3"/>
          <w:sz w:val="25"/>
          <w:szCs w:val="25"/>
        </w:rPr>
        <w:t>个矿山已完成生态修复工作，</w:t>
      </w:r>
      <w:r>
        <w:rPr>
          <w:rFonts w:ascii="仿宋" w:hAnsi="仿宋" w:eastAsia="仿宋" w:cs="仿宋"/>
          <w:sz w:val="25"/>
          <w:szCs w:val="25"/>
        </w:rPr>
        <w:t xml:space="preserve"> </w:t>
      </w:r>
      <w:r>
        <w:rPr>
          <w:rFonts w:ascii="Times New Roman" w:hAnsi="Times New Roman" w:eastAsia="Times New Roman" w:cs="Times New Roman"/>
          <w:spacing w:val="6"/>
          <w:sz w:val="25"/>
          <w:szCs w:val="25"/>
        </w:rPr>
        <w:t>1</w:t>
      </w:r>
      <w:r>
        <w:rPr>
          <w:rFonts w:ascii="Times New Roman" w:hAnsi="Times New Roman" w:eastAsia="Times New Roman" w:cs="Times New Roman"/>
          <w:spacing w:val="22"/>
          <w:sz w:val="25"/>
          <w:szCs w:val="25"/>
        </w:rPr>
        <w:t xml:space="preserve"> </w:t>
      </w:r>
      <w:r>
        <w:rPr>
          <w:rFonts w:ascii="仿宋" w:hAnsi="仿宋" w:eastAsia="仿宋" w:cs="仿宋"/>
          <w:spacing w:val="6"/>
          <w:sz w:val="25"/>
          <w:szCs w:val="25"/>
        </w:rPr>
        <w:t>个矿山在办理再利用手续（农业项目</w:t>
      </w:r>
      <w:r>
        <w:rPr>
          <w:rFonts w:ascii="仿宋" w:hAnsi="仿宋" w:eastAsia="仿宋" w:cs="仿宋"/>
          <w:spacing w:val="24"/>
          <w:sz w:val="25"/>
          <w:szCs w:val="25"/>
        </w:rPr>
        <w:t>），</w:t>
      </w:r>
      <w:r>
        <w:rPr>
          <w:rFonts w:ascii="Times New Roman" w:hAnsi="Times New Roman" w:eastAsia="Times New Roman" w:cs="Times New Roman"/>
          <w:spacing w:val="6"/>
          <w:sz w:val="25"/>
          <w:szCs w:val="25"/>
        </w:rPr>
        <w:t>6</w:t>
      </w:r>
      <w:r>
        <w:rPr>
          <w:rFonts w:ascii="Times New Roman" w:hAnsi="Times New Roman" w:eastAsia="Times New Roman" w:cs="Times New Roman"/>
          <w:spacing w:val="22"/>
          <w:w w:val="101"/>
          <w:sz w:val="25"/>
          <w:szCs w:val="25"/>
        </w:rPr>
        <w:t xml:space="preserve"> </w:t>
      </w:r>
      <w:r>
        <w:rPr>
          <w:rFonts w:ascii="仿宋" w:hAnsi="仿宋" w:eastAsia="仿宋" w:cs="仿宋"/>
          <w:spacing w:val="6"/>
          <w:sz w:val="25"/>
          <w:szCs w:val="25"/>
        </w:rPr>
        <w:t>个矿山正在进行生态修复。</w:t>
      </w:r>
    </w:p>
    <w:p w14:paraId="79A38A0B">
      <w:pPr>
        <w:spacing w:line="325" w:lineRule="auto"/>
        <w:rPr>
          <w:rFonts w:ascii="仿宋" w:hAnsi="仿宋" w:eastAsia="仿宋" w:cs="仿宋"/>
          <w:sz w:val="25"/>
          <w:szCs w:val="25"/>
        </w:rPr>
        <w:sectPr>
          <w:headerReference r:id="rId153" w:type="default"/>
          <w:footerReference r:id="rId154" w:type="default"/>
          <w:pgSz w:w="11906" w:h="16839"/>
          <w:pgMar w:top="1116" w:right="1404" w:bottom="1480" w:left="1587" w:header="683" w:footer="1318" w:gutter="0"/>
          <w:cols w:space="720" w:num="1"/>
        </w:sectPr>
      </w:pPr>
    </w:p>
    <w:p w14:paraId="5690435C">
      <w:pPr>
        <w:pStyle w:val="2"/>
        <w:spacing w:line="388" w:lineRule="auto"/>
      </w:pPr>
    </w:p>
    <w:p w14:paraId="215F2E58">
      <w:pPr>
        <w:spacing w:before="81" w:line="339" w:lineRule="auto"/>
        <w:ind w:left="39" w:right="8" w:firstLine="528"/>
        <w:jc w:val="both"/>
        <w:rPr>
          <w:rFonts w:ascii="仿宋" w:hAnsi="仿宋" w:eastAsia="仿宋" w:cs="仿宋"/>
          <w:sz w:val="25"/>
          <w:szCs w:val="25"/>
        </w:rPr>
      </w:pPr>
      <w:r>
        <w:rPr>
          <w:rFonts w:ascii="仿宋" w:hAnsi="仿宋" w:eastAsia="仿宋" w:cs="仿宋"/>
          <w:b/>
          <w:bCs/>
          <w:spacing w:val="9"/>
          <w:sz w:val="25"/>
          <w:szCs w:val="25"/>
        </w:rPr>
        <w:t>解决方案：</w:t>
      </w:r>
      <w:r>
        <w:rPr>
          <w:rFonts w:ascii="仿宋" w:hAnsi="仿宋" w:eastAsia="仿宋" w:cs="仿宋"/>
          <w:spacing w:val="9"/>
          <w:sz w:val="25"/>
          <w:szCs w:val="25"/>
        </w:rPr>
        <w:t>针对关闭矿山，应严格按照《重庆市历史遗留和关闭矿山地质</w:t>
      </w:r>
      <w:r>
        <w:rPr>
          <w:rFonts w:ascii="仿宋" w:hAnsi="仿宋" w:eastAsia="仿宋" w:cs="仿宋"/>
          <w:spacing w:val="1"/>
          <w:sz w:val="25"/>
          <w:szCs w:val="25"/>
        </w:rPr>
        <w:t xml:space="preserve"> </w:t>
      </w:r>
      <w:r>
        <w:rPr>
          <w:rFonts w:ascii="仿宋" w:hAnsi="仿宋" w:eastAsia="仿宋" w:cs="仿宋"/>
          <w:spacing w:val="7"/>
          <w:sz w:val="25"/>
          <w:szCs w:val="25"/>
        </w:rPr>
        <w:t>环境治理恢复与土地复垦工作方案》（渝府办发</w:t>
      </w:r>
      <w:r>
        <w:rPr>
          <w:rFonts w:ascii="仿宋" w:hAnsi="仿宋" w:eastAsia="仿宋" w:cs="仿宋"/>
          <w:spacing w:val="6"/>
          <w:sz w:val="25"/>
          <w:szCs w:val="25"/>
        </w:rPr>
        <w:t>〔</w:t>
      </w:r>
      <w:r>
        <w:rPr>
          <w:rFonts w:ascii="Times New Roman" w:hAnsi="Times New Roman" w:eastAsia="Times New Roman" w:cs="Times New Roman"/>
          <w:spacing w:val="6"/>
          <w:sz w:val="25"/>
          <w:szCs w:val="25"/>
        </w:rPr>
        <w:t>2018</w:t>
      </w:r>
      <w:r>
        <w:rPr>
          <w:rFonts w:ascii="仿宋" w:hAnsi="仿宋" w:eastAsia="仿宋" w:cs="仿宋"/>
          <w:spacing w:val="6"/>
          <w:sz w:val="25"/>
          <w:szCs w:val="25"/>
        </w:rPr>
        <w:t>〕</w:t>
      </w:r>
      <w:r>
        <w:rPr>
          <w:rFonts w:ascii="Times New Roman" w:hAnsi="Times New Roman" w:eastAsia="Times New Roman" w:cs="Times New Roman"/>
          <w:spacing w:val="6"/>
          <w:sz w:val="25"/>
          <w:szCs w:val="25"/>
        </w:rPr>
        <w:t>55</w:t>
      </w:r>
      <w:r>
        <w:rPr>
          <w:rFonts w:ascii="Times New Roman" w:hAnsi="Times New Roman" w:eastAsia="Times New Roman" w:cs="Times New Roman"/>
          <w:spacing w:val="26"/>
          <w:sz w:val="25"/>
          <w:szCs w:val="25"/>
        </w:rPr>
        <w:t xml:space="preserve"> </w:t>
      </w:r>
      <w:r>
        <w:rPr>
          <w:rFonts w:ascii="仿宋" w:hAnsi="仿宋" w:eastAsia="仿宋" w:cs="仿宋"/>
          <w:spacing w:val="6"/>
          <w:sz w:val="25"/>
          <w:szCs w:val="25"/>
        </w:rPr>
        <w:t>号）及《重庆市历</w:t>
      </w:r>
      <w:r>
        <w:rPr>
          <w:rFonts w:ascii="仿宋" w:hAnsi="仿宋" w:eastAsia="仿宋" w:cs="仿宋"/>
          <w:sz w:val="25"/>
          <w:szCs w:val="25"/>
        </w:rPr>
        <w:t xml:space="preserve"> </w:t>
      </w:r>
      <w:r>
        <w:rPr>
          <w:rFonts w:ascii="仿宋" w:hAnsi="仿宋" w:eastAsia="仿宋" w:cs="仿宋"/>
          <w:spacing w:val="-2"/>
          <w:sz w:val="25"/>
          <w:szCs w:val="25"/>
        </w:rPr>
        <w:t>史遗留和关闭矿山地质环境治理恢复与土地复垦管理办法》（渝</w:t>
      </w:r>
      <w:r>
        <w:rPr>
          <w:rFonts w:ascii="仿宋" w:hAnsi="仿宋" w:eastAsia="仿宋" w:cs="仿宋"/>
          <w:spacing w:val="-3"/>
          <w:sz w:val="25"/>
          <w:szCs w:val="25"/>
        </w:rPr>
        <w:t>规资规范〔</w:t>
      </w:r>
      <w:r>
        <w:rPr>
          <w:rFonts w:ascii="Times New Roman" w:hAnsi="Times New Roman" w:eastAsia="Times New Roman" w:cs="Times New Roman"/>
          <w:spacing w:val="-3"/>
          <w:sz w:val="25"/>
          <w:szCs w:val="25"/>
        </w:rPr>
        <w:t>2021</w:t>
      </w:r>
      <w:r>
        <w:rPr>
          <w:rFonts w:ascii="仿宋" w:hAnsi="仿宋" w:eastAsia="仿宋" w:cs="仿宋"/>
          <w:spacing w:val="-3"/>
          <w:sz w:val="25"/>
          <w:szCs w:val="25"/>
        </w:rPr>
        <w:t>〕</w:t>
      </w:r>
      <w:r>
        <w:rPr>
          <w:rFonts w:ascii="仿宋" w:hAnsi="仿宋" w:eastAsia="仿宋" w:cs="仿宋"/>
          <w:sz w:val="25"/>
          <w:szCs w:val="25"/>
        </w:rPr>
        <w:t xml:space="preserve"> </w:t>
      </w:r>
      <w:r>
        <w:rPr>
          <w:rFonts w:ascii="Times New Roman" w:hAnsi="Times New Roman" w:eastAsia="Times New Roman" w:cs="Times New Roman"/>
          <w:spacing w:val="11"/>
          <w:sz w:val="25"/>
          <w:szCs w:val="25"/>
        </w:rPr>
        <w:t>6</w:t>
      </w:r>
      <w:r>
        <w:rPr>
          <w:rFonts w:ascii="Times New Roman" w:hAnsi="Times New Roman" w:eastAsia="Times New Roman" w:cs="Times New Roman"/>
          <w:spacing w:val="28"/>
          <w:w w:val="101"/>
          <w:sz w:val="25"/>
          <w:szCs w:val="25"/>
        </w:rPr>
        <w:t xml:space="preserve"> </w:t>
      </w:r>
      <w:r>
        <w:rPr>
          <w:rFonts w:ascii="仿宋" w:hAnsi="仿宋" w:eastAsia="仿宋" w:cs="仿宋"/>
          <w:spacing w:val="11"/>
          <w:sz w:val="25"/>
          <w:szCs w:val="25"/>
        </w:rPr>
        <w:t>号）等规定和要求，强化规划区关闭和历史遗留矿山生</w:t>
      </w:r>
      <w:r>
        <w:rPr>
          <w:rFonts w:ascii="仿宋" w:hAnsi="仿宋" w:eastAsia="仿宋" w:cs="仿宋"/>
          <w:spacing w:val="10"/>
          <w:sz w:val="25"/>
          <w:szCs w:val="25"/>
        </w:rPr>
        <w:t>态恢复措施，编制生</w:t>
      </w:r>
      <w:r>
        <w:rPr>
          <w:rFonts w:ascii="仿宋" w:hAnsi="仿宋" w:eastAsia="仿宋" w:cs="仿宋"/>
          <w:sz w:val="25"/>
          <w:szCs w:val="25"/>
        </w:rPr>
        <w:t xml:space="preserve"> </w:t>
      </w:r>
      <w:r>
        <w:rPr>
          <w:rFonts w:ascii="仿宋" w:hAnsi="仿宋" w:eastAsia="仿宋" w:cs="仿宋"/>
          <w:spacing w:val="10"/>
          <w:sz w:val="25"/>
          <w:szCs w:val="25"/>
        </w:rPr>
        <w:t>态恢复方案，落实矿山地质环境恢复治理及土地复垦总目</w:t>
      </w:r>
      <w:r>
        <w:rPr>
          <w:rFonts w:ascii="仿宋" w:hAnsi="仿宋" w:eastAsia="仿宋" w:cs="仿宋"/>
          <w:spacing w:val="9"/>
          <w:sz w:val="25"/>
          <w:szCs w:val="25"/>
        </w:rPr>
        <w:t>标和年度目标，逐步</w:t>
      </w:r>
      <w:r>
        <w:rPr>
          <w:rFonts w:ascii="仿宋" w:hAnsi="仿宋" w:eastAsia="仿宋" w:cs="仿宋"/>
          <w:sz w:val="25"/>
          <w:szCs w:val="25"/>
        </w:rPr>
        <w:t xml:space="preserve"> </w:t>
      </w:r>
      <w:r>
        <w:rPr>
          <w:rFonts w:ascii="仿宋" w:hAnsi="仿宋" w:eastAsia="仿宋" w:cs="仿宋"/>
          <w:spacing w:val="8"/>
          <w:sz w:val="25"/>
          <w:szCs w:val="25"/>
        </w:rPr>
        <w:t>有序推进生态恢复，确保治理到位。</w:t>
      </w:r>
    </w:p>
    <w:p w14:paraId="33A9DE91">
      <w:pPr>
        <w:spacing w:before="45" w:line="230" w:lineRule="auto"/>
        <w:ind w:left="2271"/>
        <w:rPr>
          <w:rFonts w:ascii="仿宋" w:hAnsi="仿宋" w:eastAsia="仿宋" w:cs="仿宋"/>
          <w:sz w:val="20"/>
          <w:szCs w:val="20"/>
        </w:rPr>
      </w:pPr>
      <w:r>
        <w:rPr>
          <w:rFonts w:ascii="仿宋" w:hAnsi="仿宋" w:eastAsia="仿宋" w:cs="仿宋"/>
          <w:b/>
          <w:bCs/>
          <w:spacing w:val="5"/>
          <w:sz w:val="20"/>
          <w:szCs w:val="20"/>
        </w:rPr>
        <w:t>表</w:t>
      </w:r>
      <w:r>
        <w:rPr>
          <w:rFonts w:ascii="仿宋" w:hAnsi="仿宋" w:eastAsia="仿宋" w:cs="仿宋"/>
          <w:spacing w:val="-24"/>
          <w:sz w:val="20"/>
          <w:szCs w:val="20"/>
        </w:rPr>
        <w:t xml:space="preserve"> </w:t>
      </w:r>
      <w:r>
        <w:rPr>
          <w:rFonts w:ascii="Times New Roman" w:hAnsi="Times New Roman" w:eastAsia="Times New Roman" w:cs="Times New Roman"/>
          <w:b/>
          <w:bCs/>
          <w:spacing w:val="5"/>
          <w:sz w:val="20"/>
          <w:szCs w:val="20"/>
        </w:rPr>
        <w:t xml:space="preserve">3.2-13        </w:t>
      </w:r>
      <w:r>
        <w:rPr>
          <w:rFonts w:hint="eastAsia" w:ascii="Times New Roman" w:hAnsi="Times New Roman" w:eastAsia="宋体" w:cs="Times New Roman"/>
          <w:b/>
          <w:bCs/>
          <w:spacing w:val="5"/>
          <w:sz w:val="20"/>
          <w:szCs w:val="20"/>
          <w:lang w:eastAsia="zh-CN"/>
        </w:rPr>
        <w:t>“</w:t>
      </w:r>
      <w:r>
        <w:rPr>
          <w:rFonts w:ascii="仿宋" w:hAnsi="仿宋" w:eastAsia="仿宋" w:cs="仿宋"/>
          <w:b/>
          <w:bCs/>
          <w:spacing w:val="5"/>
          <w:sz w:val="20"/>
          <w:szCs w:val="20"/>
        </w:rPr>
        <w:t>十四五</w:t>
      </w:r>
      <w:r>
        <w:rPr>
          <w:rFonts w:hint="eastAsia" w:ascii="Times New Roman" w:hAnsi="Times New Roman" w:eastAsia="宋体" w:cs="Times New Roman"/>
          <w:b/>
          <w:bCs/>
          <w:spacing w:val="5"/>
          <w:sz w:val="20"/>
          <w:szCs w:val="20"/>
          <w:lang w:eastAsia="zh-CN"/>
        </w:rPr>
        <w:t>”</w:t>
      </w:r>
      <w:r>
        <w:rPr>
          <w:rFonts w:ascii="仿宋" w:hAnsi="仿宋" w:eastAsia="仿宋" w:cs="仿宋"/>
          <w:b/>
          <w:bCs/>
          <w:spacing w:val="5"/>
          <w:sz w:val="20"/>
          <w:szCs w:val="20"/>
        </w:rPr>
        <w:t>期间关闭矿山生态环境修复计划</w:t>
      </w:r>
    </w:p>
    <w:p w14:paraId="673E0CC3">
      <w:pPr>
        <w:spacing w:line="22" w:lineRule="exact"/>
      </w:pPr>
    </w:p>
    <w:tbl>
      <w:tblPr>
        <w:tblStyle w:val="5"/>
        <w:tblW w:w="8878" w:type="dxa"/>
        <w:tblInd w:w="1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59"/>
        <w:gridCol w:w="4656"/>
        <w:gridCol w:w="1614"/>
        <w:gridCol w:w="2249"/>
      </w:tblGrid>
      <w:tr w14:paraId="5627F1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0" w:hRule="atLeast"/>
        </w:trPr>
        <w:tc>
          <w:tcPr>
            <w:tcW w:w="359" w:type="dxa"/>
            <w:tcBorders>
              <w:top w:val="single" w:color="000000" w:sz="10" w:space="0"/>
              <w:left w:val="single" w:color="000000" w:sz="10" w:space="0"/>
            </w:tcBorders>
            <w:textDirection w:val="tbRlV"/>
            <w:vAlign w:val="top"/>
          </w:tcPr>
          <w:p w14:paraId="497E0E13">
            <w:pPr>
              <w:pStyle w:val="6"/>
              <w:spacing w:before="73" w:line="209" w:lineRule="auto"/>
              <w:ind w:left="51"/>
              <w:rPr>
                <w:sz w:val="20"/>
                <w:szCs w:val="20"/>
              </w:rPr>
            </w:pPr>
            <w:r>
              <w:rPr>
                <w:spacing w:val="13"/>
                <w:sz w:val="20"/>
                <w:szCs w:val="20"/>
              </w:rPr>
              <w:t>序</w:t>
            </w:r>
            <w:r>
              <w:rPr>
                <w:spacing w:val="-42"/>
                <w:sz w:val="20"/>
                <w:szCs w:val="20"/>
              </w:rPr>
              <w:t xml:space="preserve"> </w:t>
            </w:r>
            <w:r>
              <w:rPr>
                <w:spacing w:val="13"/>
                <w:sz w:val="20"/>
                <w:szCs w:val="20"/>
              </w:rPr>
              <w:t>号</w:t>
            </w:r>
          </w:p>
        </w:tc>
        <w:tc>
          <w:tcPr>
            <w:tcW w:w="4656" w:type="dxa"/>
            <w:tcBorders>
              <w:top w:val="single" w:color="000000" w:sz="10" w:space="0"/>
            </w:tcBorders>
            <w:vAlign w:val="top"/>
          </w:tcPr>
          <w:p w14:paraId="2179FF8F">
            <w:pPr>
              <w:pStyle w:val="6"/>
              <w:spacing w:before="186" w:line="229" w:lineRule="auto"/>
              <w:ind w:left="1909"/>
              <w:rPr>
                <w:sz w:val="20"/>
                <w:szCs w:val="20"/>
              </w:rPr>
            </w:pPr>
            <w:r>
              <w:rPr>
                <w:spacing w:val="5"/>
                <w:sz w:val="20"/>
                <w:szCs w:val="20"/>
              </w:rPr>
              <w:t>矿山名称</w:t>
            </w:r>
          </w:p>
        </w:tc>
        <w:tc>
          <w:tcPr>
            <w:tcW w:w="1614" w:type="dxa"/>
            <w:tcBorders>
              <w:top w:val="single" w:color="000000" w:sz="10" w:space="0"/>
            </w:tcBorders>
            <w:vAlign w:val="top"/>
          </w:tcPr>
          <w:p w14:paraId="67D885A0">
            <w:pPr>
              <w:pStyle w:val="6"/>
              <w:spacing w:before="50" w:line="235" w:lineRule="auto"/>
              <w:ind w:left="503" w:right="62" w:hanging="419"/>
              <w:rPr>
                <w:sz w:val="20"/>
                <w:szCs w:val="20"/>
              </w:rPr>
            </w:pPr>
            <w:r>
              <w:rPr>
                <w:spacing w:val="7"/>
                <w:sz w:val="20"/>
                <w:szCs w:val="20"/>
              </w:rPr>
              <w:t>存在主要生态环</w:t>
            </w:r>
            <w:r>
              <w:rPr>
                <w:spacing w:val="1"/>
                <w:sz w:val="20"/>
                <w:szCs w:val="20"/>
              </w:rPr>
              <w:t xml:space="preserve"> </w:t>
            </w:r>
            <w:r>
              <w:rPr>
                <w:spacing w:val="4"/>
                <w:sz w:val="20"/>
                <w:szCs w:val="20"/>
              </w:rPr>
              <w:t>境问题</w:t>
            </w:r>
          </w:p>
        </w:tc>
        <w:tc>
          <w:tcPr>
            <w:tcW w:w="2249" w:type="dxa"/>
            <w:tcBorders>
              <w:top w:val="single" w:color="000000" w:sz="10" w:space="0"/>
              <w:right w:val="single" w:color="000000" w:sz="10" w:space="0"/>
            </w:tcBorders>
            <w:vAlign w:val="top"/>
          </w:tcPr>
          <w:p w14:paraId="42A686D7">
            <w:pPr>
              <w:pStyle w:val="6"/>
              <w:spacing w:before="185" w:line="231" w:lineRule="auto"/>
              <w:ind w:left="715"/>
              <w:rPr>
                <w:sz w:val="20"/>
                <w:szCs w:val="20"/>
              </w:rPr>
            </w:pPr>
            <w:r>
              <w:rPr>
                <w:spacing w:val="5"/>
                <w:sz w:val="20"/>
                <w:szCs w:val="20"/>
              </w:rPr>
              <w:t>解决方案</w:t>
            </w:r>
          </w:p>
        </w:tc>
      </w:tr>
      <w:tr w14:paraId="62B16F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2" w:hRule="atLeast"/>
        </w:trPr>
        <w:tc>
          <w:tcPr>
            <w:tcW w:w="359" w:type="dxa"/>
            <w:tcBorders>
              <w:left w:val="single" w:color="000000" w:sz="10" w:space="0"/>
            </w:tcBorders>
            <w:vAlign w:val="top"/>
          </w:tcPr>
          <w:p w14:paraId="786B1E72">
            <w:pPr>
              <w:spacing w:before="97" w:line="195" w:lineRule="auto"/>
              <w:ind w:left="13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4656" w:type="dxa"/>
            <w:vAlign w:val="top"/>
          </w:tcPr>
          <w:p w14:paraId="1F066D01">
            <w:pPr>
              <w:pStyle w:val="6"/>
              <w:spacing w:before="61" w:line="229" w:lineRule="auto"/>
              <w:ind w:left="236"/>
              <w:rPr>
                <w:sz w:val="20"/>
                <w:szCs w:val="20"/>
              </w:rPr>
            </w:pPr>
            <w:r>
              <w:rPr>
                <w:spacing w:val="8"/>
                <w:sz w:val="20"/>
                <w:szCs w:val="20"/>
              </w:rPr>
              <w:t>重庆市黔江区石家镇火石垭建筑石料用灰岩矿</w:t>
            </w:r>
          </w:p>
        </w:tc>
        <w:tc>
          <w:tcPr>
            <w:tcW w:w="1614" w:type="dxa"/>
            <w:vMerge w:val="restart"/>
            <w:tcBorders>
              <w:bottom w:val="nil"/>
            </w:tcBorders>
            <w:vAlign w:val="top"/>
          </w:tcPr>
          <w:p w14:paraId="6AD523DA">
            <w:pPr>
              <w:spacing w:line="298" w:lineRule="auto"/>
              <w:rPr>
                <w:rFonts w:ascii="Arial"/>
                <w:sz w:val="21"/>
              </w:rPr>
            </w:pPr>
          </w:p>
          <w:p w14:paraId="1AFC0E86">
            <w:pPr>
              <w:spacing w:line="298" w:lineRule="auto"/>
              <w:rPr>
                <w:rFonts w:ascii="Arial"/>
                <w:sz w:val="21"/>
              </w:rPr>
            </w:pPr>
          </w:p>
          <w:p w14:paraId="0F582D89">
            <w:pPr>
              <w:spacing w:line="299" w:lineRule="auto"/>
              <w:rPr>
                <w:rFonts w:ascii="Arial"/>
                <w:sz w:val="21"/>
              </w:rPr>
            </w:pPr>
          </w:p>
          <w:p w14:paraId="1A3222B0">
            <w:pPr>
              <w:pStyle w:val="6"/>
              <w:spacing w:before="65" w:line="253" w:lineRule="auto"/>
              <w:ind w:left="508" w:right="62" w:hanging="391"/>
              <w:rPr>
                <w:sz w:val="20"/>
                <w:szCs w:val="20"/>
              </w:rPr>
            </w:pPr>
            <w:r>
              <w:rPr>
                <w:spacing w:val="2"/>
                <w:sz w:val="20"/>
                <w:szCs w:val="20"/>
              </w:rPr>
              <w:t>目前正在进行生</w:t>
            </w:r>
            <w:r>
              <w:rPr>
                <w:spacing w:val="3"/>
                <w:sz w:val="20"/>
                <w:szCs w:val="20"/>
              </w:rPr>
              <w:t xml:space="preserve"> </w:t>
            </w:r>
            <w:r>
              <w:rPr>
                <w:spacing w:val="2"/>
                <w:sz w:val="20"/>
                <w:szCs w:val="20"/>
              </w:rPr>
              <w:t>态修复</w:t>
            </w:r>
          </w:p>
        </w:tc>
        <w:tc>
          <w:tcPr>
            <w:tcW w:w="2249" w:type="dxa"/>
            <w:vMerge w:val="restart"/>
            <w:tcBorders>
              <w:bottom w:val="nil"/>
              <w:right w:val="single" w:color="000000" w:sz="10" w:space="0"/>
            </w:tcBorders>
            <w:vAlign w:val="top"/>
          </w:tcPr>
          <w:p w14:paraId="6E102852">
            <w:pPr>
              <w:spacing w:line="313" w:lineRule="auto"/>
              <w:rPr>
                <w:rFonts w:ascii="Arial"/>
                <w:sz w:val="21"/>
              </w:rPr>
            </w:pPr>
          </w:p>
          <w:p w14:paraId="15150303">
            <w:pPr>
              <w:spacing w:line="313" w:lineRule="auto"/>
              <w:rPr>
                <w:rFonts w:ascii="Arial"/>
                <w:sz w:val="21"/>
              </w:rPr>
            </w:pPr>
          </w:p>
          <w:p w14:paraId="0C45E73C">
            <w:pPr>
              <w:pStyle w:val="6"/>
              <w:spacing w:before="65" w:line="231" w:lineRule="auto"/>
              <w:ind w:left="86"/>
              <w:rPr>
                <w:sz w:val="20"/>
                <w:szCs w:val="20"/>
              </w:rPr>
            </w:pPr>
            <w:r>
              <w:rPr>
                <w:spacing w:val="7"/>
                <w:sz w:val="20"/>
                <w:szCs w:val="20"/>
              </w:rPr>
              <w:t>要求加快生态修复方案</w:t>
            </w:r>
          </w:p>
          <w:p w14:paraId="4C9314B8">
            <w:pPr>
              <w:pStyle w:val="6"/>
              <w:spacing w:before="21" w:line="230" w:lineRule="auto"/>
              <w:ind w:right="5"/>
              <w:jc w:val="right"/>
              <w:rPr>
                <w:sz w:val="20"/>
                <w:szCs w:val="20"/>
              </w:rPr>
            </w:pPr>
            <w:r>
              <w:rPr>
                <w:spacing w:val="-2"/>
                <w:sz w:val="20"/>
                <w:szCs w:val="20"/>
              </w:rPr>
              <w:t>的编制，方案通过后立即</w:t>
            </w:r>
          </w:p>
          <w:p w14:paraId="45D5FC40">
            <w:pPr>
              <w:pStyle w:val="6"/>
              <w:spacing w:before="21" w:line="231" w:lineRule="auto"/>
              <w:ind w:left="85"/>
              <w:rPr>
                <w:sz w:val="20"/>
                <w:szCs w:val="20"/>
              </w:rPr>
            </w:pPr>
            <w:r>
              <w:rPr>
                <w:spacing w:val="8"/>
                <w:sz w:val="20"/>
                <w:szCs w:val="20"/>
              </w:rPr>
              <w:t>启动矿山地质环境治理</w:t>
            </w:r>
          </w:p>
          <w:p w14:paraId="5649218D">
            <w:pPr>
              <w:pStyle w:val="6"/>
              <w:spacing w:before="23" w:line="229" w:lineRule="auto"/>
              <w:ind w:left="296"/>
              <w:rPr>
                <w:sz w:val="20"/>
                <w:szCs w:val="20"/>
              </w:rPr>
            </w:pPr>
            <w:r>
              <w:rPr>
                <w:spacing w:val="6"/>
                <w:sz w:val="20"/>
                <w:szCs w:val="20"/>
              </w:rPr>
              <w:t>及土地复垦工作。</w:t>
            </w:r>
          </w:p>
        </w:tc>
      </w:tr>
      <w:tr w14:paraId="4A9984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7" w:hRule="atLeast"/>
        </w:trPr>
        <w:tc>
          <w:tcPr>
            <w:tcW w:w="359" w:type="dxa"/>
            <w:tcBorders>
              <w:left w:val="single" w:color="000000" w:sz="10" w:space="0"/>
            </w:tcBorders>
            <w:vAlign w:val="top"/>
          </w:tcPr>
          <w:p w14:paraId="479D93E0">
            <w:pPr>
              <w:spacing w:before="118" w:line="195" w:lineRule="auto"/>
              <w:ind w:left="11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4656" w:type="dxa"/>
            <w:vAlign w:val="top"/>
          </w:tcPr>
          <w:p w14:paraId="66606B47">
            <w:pPr>
              <w:pStyle w:val="6"/>
              <w:spacing w:before="82" w:line="229" w:lineRule="auto"/>
              <w:ind w:left="25"/>
              <w:rPr>
                <w:sz w:val="20"/>
                <w:szCs w:val="20"/>
              </w:rPr>
            </w:pPr>
            <w:r>
              <w:rPr>
                <w:spacing w:val="9"/>
                <w:sz w:val="20"/>
                <w:szCs w:val="20"/>
              </w:rPr>
              <w:t>重庆市黔江区中塘镇兴权村中波建筑石料用灰</w:t>
            </w:r>
            <w:r>
              <w:rPr>
                <w:spacing w:val="8"/>
                <w:sz w:val="20"/>
                <w:szCs w:val="20"/>
              </w:rPr>
              <w:t>岩矿</w:t>
            </w:r>
          </w:p>
        </w:tc>
        <w:tc>
          <w:tcPr>
            <w:tcW w:w="1614" w:type="dxa"/>
            <w:vMerge w:val="continue"/>
            <w:tcBorders>
              <w:top w:val="nil"/>
              <w:bottom w:val="nil"/>
            </w:tcBorders>
            <w:vAlign w:val="top"/>
          </w:tcPr>
          <w:p w14:paraId="27350F30">
            <w:pPr>
              <w:rPr>
                <w:rFonts w:ascii="Arial"/>
                <w:sz w:val="21"/>
              </w:rPr>
            </w:pPr>
          </w:p>
        </w:tc>
        <w:tc>
          <w:tcPr>
            <w:tcW w:w="2249" w:type="dxa"/>
            <w:vMerge w:val="continue"/>
            <w:tcBorders>
              <w:top w:val="nil"/>
              <w:bottom w:val="nil"/>
              <w:right w:val="single" w:color="000000" w:sz="10" w:space="0"/>
            </w:tcBorders>
            <w:vAlign w:val="top"/>
          </w:tcPr>
          <w:p w14:paraId="5B7A1D25">
            <w:pPr>
              <w:rPr>
                <w:rFonts w:ascii="Arial"/>
                <w:sz w:val="21"/>
              </w:rPr>
            </w:pPr>
          </w:p>
        </w:tc>
      </w:tr>
      <w:tr w14:paraId="6C1B4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8" w:hRule="atLeast"/>
        </w:trPr>
        <w:tc>
          <w:tcPr>
            <w:tcW w:w="359" w:type="dxa"/>
            <w:tcBorders>
              <w:left w:val="single" w:color="000000" w:sz="10" w:space="0"/>
            </w:tcBorders>
            <w:vAlign w:val="top"/>
          </w:tcPr>
          <w:p w14:paraId="21FAEF5B">
            <w:pPr>
              <w:spacing w:before="147" w:line="195" w:lineRule="auto"/>
              <w:ind w:left="11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4656" w:type="dxa"/>
            <w:vAlign w:val="top"/>
          </w:tcPr>
          <w:p w14:paraId="2C29ACA5">
            <w:pPr>
              <w:pStyle w:val="6"/>
              <w:spacing w:before="111" w:line="231" w:lineRule="auto"/>
              <w:ind w:left="445"/>
              <w:rPr>
                <w:sz w:val="20"/>
                <w:szCs w:val="20"/>
              </w:rPr>
            </w:pPr>
            <w:r>
              <w:rPr>
                <w:spacing w:val="8"/>
                <w:sz w:val="20"/>
                <w:szCs w:val="20"/>
              </w:rPr>
              <w:t>重庆市黔江区金溪镇金竹坪萤石重晶石矿</w:t>
            </w:r>
          </w:p>
        </w:tc>
        <w:tc>
          <w:tcPr>
            <w:tcW w:w="1614" w:type="dxa"/>
            <w:vMerge w:val="continue"/>
            <w:tcBorders>
              <w:top w:val="nil"/>
              <w:bottom w:val="nil"/>
            </w:tcBorders>
            <w:vAlign w:val="top"/>
          </w:tcPr>
          <w:p w14:paraId="3F407631">
            <w:pPr>
              <w:rPr>
                <w:rFonts w:ascii="Arial"/>
                <w:sz w:val="21"/>
              </w:rPr>
            </w:pPr>
          </w:p>
        </w:tc>
        <w:tc>
          <w:tcPr>
            <w:tcW w:w="2249" w:type="dxa"/>
            <w:vMerge w:val="continue"/>
            <w:tcBorders>
              <w:top w:val="nil"/>
              <w:bottom w:val="nil"/>
              <w:right w:val="single" w:color="000000" w:sz="10" w:space="0"/>
            </w:tcBorders>
            <w:vAlign w:val="top"/>
          </w:tcPr>
          <w:p w14:paraId="003D520D">
            <w:pPr>
              <w:rPr>
                <w:rFonts w:ascii="Arial"/>
                <w:sz w:val="21"/>
              </w:rPr>
            </w:pPr>
          </w:p>
        </w:tc>
      </w:tr>
      <w:tr w14:paraId="4C9C36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8" w:hRule="atLeast"/>
        </w:trPr>
        <w:tc>
          <w:tcPr>
            <w:tcW w:w="359" w:type="dxa"/>
            <w:tcBorders>
              <w:left w:val="single" w:color="000000" w:sz="10" w:space="0"/>
            </w:tcBorders>
            <w:vAlign w:val="top"/>
          </w:tcPr>
          <w:p w14:paraId="00A1343B">
            <w:pPr>
              <w:spacing w:before="151" w:line="195" w:lineRule="auto"/>
              <w:ind w:left="11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4656" w:type="dxa"/>
            <w:vAlign w:val="top"/>
          </w:tcPr>
          <w:p w14:paraId="22E6333B">
            <w:pPr>
              <w:pStyle w:val="6"/>
              <w:spacing w:before="115" w:line="231" w:lineRule="auto"/>
              <w:ind w:left="25"/>
              <w:rPr>
                <w:sz w:val="20"/>
                <w:szCs w:val="20"/>
              </w:rPr>
            </w:pPr>
            <w:r>
              <w:rPr>
                <w:spacing w:val="9"/>
                <w:sz w:val="20"/>
                <w:szCs w:val="20"/>
              </w:rPr>
              <w:t>重庆市黔江区炽钰矿业有限责任公司遐成二采</w:t>
            </w:r>
            <w:r>
              <w:rPr>
                <w:spacing w:val="8"/>
                <w:sz w:val="20"/>
                <w:szCs w:val="20"/>
              </w:rPr>
              <w:t>石场</w:t>
            </w:r>
          </w:p>
        </w:tc>
        <w:tc>
          <w:tcPr>
            <w:tcW w:w="1614" w:type="dxa"/>
            <w:vMerge w:val="continue"/>
            <w:tcBorders>
              <w:top w:val="nil"/>
              <w:bottom w:val="nil"/>
            </w:tcBorders>
            <w:vAlign w:val="top"/>
          </w:tcPr>
          <w:p w14:paraId="3AFA32B6">
            <w:pPr>
              <w:rPr>
                <w:rFonts w:ascii="Arial"/>
                <w:sz w:val="21"/>
              </w:rPr>
            </w:pPr>
          </w:p>
        </w:tc>
        <w:tc>
          <w:tcPr>
            <w:tcW w:w="2249" w:type="dxa"/>
            <w:vMerge w:val="continue"/>
            <w:tcBorders>
              <w:top w:val="nil"/>
              <w:bottom w:val="nil"/>
              <w:right w:val="single" w:color="000000" w:sz="10" w:space="0"/>
            </w:tcBorders>
            <w:vAlign w:val="top"/>
          </w:tcPr>
          <w:p w14:paraId="520EF96F">
            <w:pPr>
              <w:rPr>
                <w:rFonts w:ascii="Arial"/>
                <w:sz w:val="21"/>
              </w:rPr>
            </w:pPr>
          </w:p>
        </w:tc>
      </w:tr>
      <w:tr w14:paraId="563D12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359" w:type="dxa"/>
            <w:tcBorders>
              <w:left w:val="single" w:color="000000" w:sz="10" w:space="0"/>
            </w:tcBorders>
            <w:vAlign w:val="top"/>
          </w:tcPr>
          <w:p w14:paraId="0AD83A82">
            <w:pPr>
              <w:spacing w:before="158" w:line="192" w:lineRule="auto"/>
              <w:ind w:left="11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4656" w:type="dxa"/>
            <w:vAlign w:val="top"/>
          </w:tcPr>
          <w:p w14:paraId="43650395">
            <w:pPr>
              <w:pStyle w:val="6"/>
              <w:spacing w:before="119" w:line="231" w:lineRule="auto"/>
              <w:ind w:left="236"/>
              <w:rPr>
                <w:sz w:val="20"/>
                <w:szCs w:val="20"/>
              </w:rPr>
            </w:pPr>
            <w:r>
              <w:rPr>
                <w:spacing w:val="8"/>
                <w:sz w:val="20"/>
                <w:szCs w:val="20"/>
              </w:rPr>
              <w:t>重庆市黔江区中堂石材有限公司魏家湾采石场</w:t>
            </w:r>
          </w:p>
        </w:tc>
        <w:tc>
          <w:tcPr>
            <w:tcW w:w="1614" w:type="dxa"/>
            <w:vMerge w:val="continue"/>
            <w:tcBorders>
              <w:top w:val="nil"/>
              <w:bottom w:val="nil"/>
            </w:tcBorders>
            <w:vAlign w:val="top"/>
          </w:tcPr>
          <w:p w14:paraId="480C51D5">
            <w:pPr>
              <w:rPr>
                <w:rFonts w:ascii="Arial"/>
                <w:sz w:val="21"/>
              </w:rPr>
            </w:pPr>
          </w:p>
        </w:tc>
        <w:tc>
          <w:tcPr>
            <w:tcW w:w="2249" w:type="dxa"/>
            <w:vMerge w:val="continue"/>
            <w:tcBorders>
              <w:top w:val="nil"/>
              <w:bottom w:val="nil"/>
              <w:right w:val="single" w:color="000000" w:sz="10" w:space="0"/>
            </w:tcBorders>
            <w:vAlign w:val="top"/>
          </w:tcPr>
          <w:p w14:paraId="0EFA9771">
            <w:pPr>
              <w:rPr>
                <w:rFonts w:ascii="Arial"/>
                <w:sz w:val="21"/>
              </w:rPr>
            </w:pPr>
          </w:p>
        </w:tc>
      </w:tr>
      <w:tr w14:paraId="127DD1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359" w:type="dxa"/>
            <w:tcBorders>
              <w:left w:val="single" w:color="000000" w:sz="10" w:space="0"/>
              <w:bottom w:val="single" w:color="000000" w:sz="10" w:space="0"/>
            </w:tcBorders>
            <w:vAlign w:val="top"/>
          </w:tcPr>
          <w:p w14:paraId="22DF42D3">
            <w:pPr>
              <w:spacing w:before="158" w:line="195" w:lineRule="auto"/>
              <w:ind w:left="118"/>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4656" w:type="dxa"/>
            <w:tcBorders>
              <w:bottom w:val="single" w:color="000000" w:sz="10" w:space="0"/>
            </w:tcBorders>
            <w:vAlign w:val="top"/>
          </w:tcPr>
          <w:p w14:paraId="0A49AF4B">
            <w:pPr>
              <w:pStyle w:val="6"/>
              <w:spacing w:before="122" w:line="231" w:lineRule="auto"/>
              <w:ind w:left="551"/>
              <w:rPr>
                <w:sz w:val="20"/>
                <w:szCs w:val="20"/>
              </w:rPr>
            </w:pPr>
            <w:r>
              <w:rPr>
                <w:spacing w:val="8"/>
                <w:sz w:val="20"/>
                <w:szCs w:val="20"/>
              </w:rPr>
              <w:t>重庆市荣跃坊矿业有限公司照耀采石场</w:t>
            </w:r>
          </w:p>
        </w:tc>
        <w:tc>
          <w:tcPr>
            <w:tcW w:w="1614" w:type="dxa"/>
            <w:vMerge w:val="continue"/>
            <w:tcBorders>
              <w:top w:val="nil"/>
              <w:bottom w:val="single" w:color="000000" w:sz="10" w:space="0"/>
            </w:tcBorders>
            <w:vAlign w:val="top"/>
          </w:tcPr>
          <w:p w14:paraId="24B58B40">
            <w:pPr>
              <w:rPr>
                <w:rFonts w:ascii="Arial"/>
                <w:sz w:val="21"/>
              </w:rPr>
            </w:pPr>
          </w:p>
        </w:tc>
        <w:tc>
          <w:tcPr>
            <w:tcW w:w="2249" w:type="dxa"/>
            <w:vMerge w:val="continue"/>
            <w:tcBorders>
              <w:top w:val="nil"/>
              <w:bottom w:val="single" w:color="000000" w:sz="10" w:space="0"/>
              <w:right w:val="single" w:color="000000" w:sz="10" w:space="0"/>
            </w:tcBorders>
            <w:vAlign w:val="top"/>
          </w:tcPr>
          <w:p w14:paraId="20051149">
            <w:pPr>
              <w:rPr>
                <w:rFonts w:ascii="Arial"/>
                <w:sz w:val="21"/>
              </w:rPr>
            </w:pPr>
          </w:p>
        </w:tc>
      </w:tr>
    </w:tbl>
    <w:p w14:paraId="0C1A6851">
      <w:pPr>
        <w:spacing w:before="267" w:line="229" w:lineRule="auto"/>
        <w:ind w:left="32"/>
        <w:outlineLvl w:val="2"/>
        <w:rPr>
          <w:rFonts w:ascii="仿宋" w:hAnsi="仿宋" w:eastAsia="仿宋" w:cs="仿宋"/>
          <w:sz w:val="25"/>
          <w:szCs w:val="25"/>
        </w:rPr>
      </w:pPr>
      <w:r>
        <w:rPr>
          <w:rFonts w:ascii="Times New Roman" w:hAnsi="Times New Roman" w:eastAsia="Times New Roman" w:cs="Times New Roman"/>
          <w:b/>
          <w:bCs/>
          <w:spacing w:val="4"/>
          <w:sz w:val="25"/>
          <w:szCs w:val="25"/>
        </w:rPr>
        <w:t>3.2.4</w:t>
      </w:r>
      <w:r>
        <w:rPr>
          <w:rFonts w:ascii="Times New Roman" w:hAnsi="Times New Roman" w:eastAsia="Times New Roman" w:cs="Times New Roman"/>
          <w:b/>
          <w:bCs/>
          <w:spacing w:val="30"/>
          <w:sz w:val="25"/>
          <w:szCs w:val="25"/>
        </w:rPr>
        <w:t xml:space="preserve"> </w:t>
      </w:r>
      <w:r>
        <w:rPr>
          <w:rFonts w:ascii="仿宋" w:hAnsi="仿宋" w:eastAsia="仿宋" w:cs="仿宋"/>
          <w:b/>
          <w:bCs/>
          <w:spacing w:val="4"/>
          <w:sz w:val="25"/>
          <w:szCs w:val="25"/>
        </w:rPr>
        <w:t>采矿业产排污情况</w:t>
      </w:r>
    </w:p>
    <w:p w14:paraId="7380BC2E">
      <w:pPr>
        <w:spacing w:before="271" w:line="338" w:lineRule="auto"/>
        <w:ind w:left="49" w:right="90" w:firstLine="478"/>
        <w:rPr>
          <w:rFonts w:ascii="仿宋" w:hAnsi="仿宋" w:eastAsia="仿宋" w:cs="仿宋"/>
          <w:sz w:val="25"/>
          <w:szCs w:val="25"/>
        </w:rPr>
      </w:pPr>
      <w:r>
        <w:rPr>
          <w:rFonts w:ascii="仿宋" w:hAnsi="仿宋" w:eastAsia="仿宋" w:cs="仿宋"/>
          <w:spacing w:val="9"/>
          <w:sz w:val="25"/>
          <w:szCs w:val="25"/>
        </w:rPr>
        <w:t>规划实施期间，随着开发利用结构的优化和资源综合利用水平的提升，</w:t>
      </w:r>
      <w:r>
        <w:rPr>
          <w:rFonts w:ascii="仿宋" w:hAnsi="仿宋" w:eastAsia="仿宋" w:cs="仿宋"/>
          <w:spacing w:val="-70"/>
          <w:sz w:val="25"/>
          <w:szCs w:val="25"/>
        </w:rPr>
        <w:t xml:space="preserve"> </w:t>
      </w:r>
      <w:r>
        <w:rPr>
          <w:rFonts w:ascii="仿宋" w:hAnsi="仿宋" w:eastAsia="仿宋" w:cs="仿宋"/>
          <w:spacing w:val="9"/>
          <w:sz w:val="25"/>
          <w:szCs w:val="25"/>
        </w:rPr>
        <w:t>以</w:t>
      </w:r>
      <w:r>
        <w:rPr>
          <w:rFonts w:ascii="仿宋" w:hAnsi="仿宋" w:eastAsia="仿宋" w:cs="仿宋"/>
          <w:sz w:val="25"/>
          <w:szCs w:val="25"/>
        </w:rPr>
        <w:t xml:space="preserve"> </w:t>
      </w:r>
      <w:r>
        <w:rPr>
          <w:rFonts w:ascii="仿宋" w:hAnsi="仿宋" w:eastAsia="仿宋" w:cs="仿宋"/>
          <w:spacing w:val="9"/>
          <w:sz w:val="25"/>
          <w:szCs w:val="25"/>
        </w:rPr>
        <w:t>及各项环保措施的落实，采矿业固体废物、废气、废水都得到了很好的治理。</w:t>
      </w:r>
    </w:p>
    <w:p w14:paraId="4AB7A98E">
      <w:pPr>
        <w:spacing w:before="3" w:line="229" w:lineRule="auto"/>
        <w:ind w:left="34"/>
        <w:rPr>
          <w:rFonts w:ascii="仿宋" w:hAnsi="仿宋" w:eastAsia="仿宋" w:cs="仿宋"/>
          <w:sz w:val="25"/>
          <w:szCs w:val="25"/>
        </w:rPr>
      </w:pPr>
      <w:r>
        <w:rPr>
          <w:rFonts w:ascii="Times New Roman" w:hAnsi="Times New Roman" w:eastAsia="Times New Roman" w:cs="Times New Roman"/>
          <w:spacing w:val="5"/>
          <w:sz w:val="25"/>
          <w:szCs w:val="25"/>
        </w:rPr>
        <w:t>2020</w:t>
      </w:r>
      <w:r>
        <w:rPr>
          <w:rFonts w:ascii="Times New Roman" w:hAnsi="Times New Roman" w:eastAsia="Times New Roman" w:cs="Times New Roman"/>
          <w:spacing w:val="-19"/>
          <w:sz w:val="25"/>
          <w:szCs w:val="25"/>
        </w:rPr>
        <w:t xml:space="preserve"> </w:t>
      </w:r>
      <w:r>
        <w:rPr>
          <w:rFonts w:ascii="仿宋" w:hAnsi="仿宋" w:eastAsia="仿宋" w:cs="仿宋"/>
          <w:spacing w:val="5"/>
          <w:sz w:val="25"/>
          <w:szCs w:val="25"/>
        </w:rPr>
        <w:t>、</w:t>
      </w:r>
      <w:r>
        <w:rPr>
          <w:rFonts w:ascii="Times New Roman" w:hAnsi="Times New Roman" w:eastAsia="Times New Roman" w:cs="Times New Roman"/>
          <w:spacing w:val="5"/>
          <w:sz w:val="25"/>
          <w:szCs w:val="25"/>
        </w:rPr>
        <w:t>2024</w:t>
      </w:r>
      <w:r>
        <w:rPr>
          <w:rFonts w:ascii="Times New Roman" w:hAnsi="Times New Roman" w:eastAsia="Times New Roman" w:cs="Times New Roman"/>
          <w:spacing w:val="25"/>
          <w:sz w:val="25"/>
          <w:szCs w:val="25"/>
        </w:rPr>
        <w:t xml:space="preserve"> </w:t>
      </w:r>
      <w:r>
        <w:rPr>
          <w:rFonts w:ascii="仿宋" w:hAnsi="仿宋" w:eastAsia="仿宋" w:cs="仿宋"/>
          <w:spacing w:val="5"/>
          <w:sz w:val="25"/>
          <w:szCs w:val="25"/>
        </w:rPr>
        <w:t>年黔江区采矿业的排污统计见下表。</w:t>
      </w:r>
    </w:p>
    <w:p w14:paraId="54FBD937">
      <w:pPr>
        <w:spacing w:before="147" w:line="340" w:lineRule="auto"/>
        <w:ind w:left="45" w:firstLine="470"/>
        <w:jc w:val="both"/>
        <w:rPr>
          <w:rFonts w:ascii="仿宋" w:hAnsi="仿宋" w:eastAsia="仿宋" w:cs="仿宋"/>
          <w:sz w:val="25"/>
          <w:szCs w:val="25"/>
        </w:rPr>
      </w:pPr>
      <w:r>
        <w:rPr>
          <w:rFonts w:ascii="Times New Roman" w:hAnsi="Times New Roman" w:eastAsia="Times New Roman" w:cs="Times New Roman"/>
          <w:spacing w:val="8"/>
          <w:sz w:val="25"/>
          <w:szCs w:val="25"/>
        </w:rPr>
        <w:t>2020</w:t>
      </w:r>
      <w:r>
        <w:rPr>
          <w:rFonts w:ascii="Times New Roman" w:hAnsi="Times New Roman" w:eastAsia="Times New Roman" w:cs="Times New Roman"/>
          <w:spacing w:val="27"/>
          <w:sz w:val="25"/>
          <w:szCs w:val="25"/>
        </w:rPr>
        <w:t xml:space="preserve"> </w:t>
      </w:r>
      <w:r>
        <w:rPr>
          <w:rFonts w:ascii="仿宋" w:hAnsi="仿宋" w:eastAsia="仿宋" w:cs="仿宋"/>
          <w:spacing w:val="8"/>
          <w:sz w:val="25"/>
          <w:szCs w:val="25"/>
        </w:rPr>
        <w:t>年，受市场行情影响，黔江区部分矿山未生产，黔江</w:t>
      </w:r>
      <w:r>
        <w:rPr>
          <w:rFonts w:ascii="仿宋" w:hAnsi="仿宋" w:eastAsia="仿宋" w:cs="仿宋"/>
          <w:spacing w:val="7"/>
          <w:sz w:val="25"/>
          <w:szCs w:val="25"/>
        </w:rPr>
        <w:t>区萤石（普通）</w:t>
      </w:r>
      <w:r>
        <w:rPr>
          <w:rFonts w:ascii="仿宋" w:hAnsi="仿宋" w:eastAsia="仿宋" w:cs="仿宋"/>
          <w:sz w:val="25"/>
          <w:szCs w:val="25"/>
        </w:rPr>
        <w:t xml:space="preserve"> </w:t>
      </w:r>
      <w:r>
        <w:rPr>
          <w:rFonts w:ascii="仿宋" w:hAnsi="仿宋" w:eastAsia="仿宋" w:cs="仿宋"/>
          <w:spacing w:val="10"/>
          <w:sz w:val="25"/>
          <w:szCs w:val="25"/>
        </w:rPr>
        <w:t>矿基本未开采，饰面用灰岩矿未建设，全区</w:t>
      </w:r>
      <w:r>
        <w:rPr>
          <w:rFonts w:ascii="仿宋" w:hAnsi="仿宋" w:eastAsia="仿宋" w:cs="仿宋"/>
          <w:spacing w:val="9"/>
          <w:sz w:val="25"/>
          <w:szCs w:val="25"/>
        </w:rPr>
        <w:t>在产矿山均为建筑石料用灰岩，年</w:t>
      </w:r>
      <w:r>
        <w:rPr>
          <w:rFonts w:ascii="仿宋" w:hAnsi="仿宋" w:eastAsia="仿宋" w:cs="仿宋"/>
          <w:sz w:val="25"/>
          <w:szCs w:val="25"/>
        </w:rPr>
        <w:t xml:space="preserve"> </w:t>
      </w:r>
      <w:r>
        <w:rPr>
          <w:rFonts w:ascii="仿宋" w:hAnsi="仿宋" w:eastAsia="仿宋" w:cs="仿宋"/>
          <w:spacing w:val="7"/>
          <w:sz w:val="25"/>
          <w:szCs w:val="25"/>
        </w:rPr>
        <w:t>开采量较小，排污量较少；</w:t>
      </w:r>
      <w:r>
        <w:rPr>
          <w:rFonts w:ascii="Times New Roman" w:hAnsi="Times New Roman" w:eastAsia="Times New Roman" w:cs="Times New Roman"/>
          <w:spacing w:val="7"/>
          <w:sz w:val="25"/>
          <w:szCs w:val="25"/>
        </w:rPr>
        <w:t>2024</w:t>
      </w:r>
      <w:r>
        <w:rPr>
          <w:rFonts w:ascii="Times New Roman" w:hAnsi="Times New Roman" w:eastAsia="Times New Roman" w:cs="Times New Roman"/>
          <w:spacing w:val="25"/>
          <w:sz w:val="25"/>
          <w:szCs w:val="25"/>
        </w:rPr>
        <w:t xml:space="preserve"> </w:t>
      </w:r>
      <w:r>
        <w:rPr>
          <w:rFonts w:ascii="仿宋" w:hAnsi="仿宋" w:eastAsia="仿宋" w:cs="仿宋"/>
          <w:spacing w:val="7"/>
          <w:sz w:val="25"/>
          <w:szCs w:val="25"/>
        </w:rPr>
        <w:t>年各矿山逐渐</w:t>
      </w:r>
      <w:r>
        <w:rPr>
          <w:rFonts w:ascii="仿宋" w:hAnsi="仿宋" w:eastAsia="仿宋" w:cs="仿宋"/>
          <w:spacing w:val="6"/>
          <w:sz w:val="25"/>
          <w:szCs w:val="25"/>
        </w:rPr>
        <w:t>复产或投放，在产矿山主要为建</w:t>
      </w:r>
      <w:r>
        <w:rPr>
          <w:rFonts w:ascii="仿宋" w:hAnsi="仿宋" w:eastAsia="仿宋" w:cs="仿宋"/>
          <w:sz w:val="25"/>
          <w:szCs w:val="25"/>
        </w:rPr>
        <w:t xml:space="preserve"> </w:t>
      </w:r>
      <w:r>
        <w:rPr>
          <w:rFonts w:ascii="仿宋" w:hAnsi="仿宋" w:eastAsia="仿宋" w:cs="仿宋"/>
          <w:spacing w:val="10"/>
          <w:sz w:val="25"/>
          <w:szCs w:val="25"/>
        </w:rPr>
        <w:t>筑石料用灰岩（全年实际开采量约</w:t>
      </w:r>
      <w:r>
        <w:rPr>
          <w:rFonts w:ascii="仿宋" w:hAnsi="仿宋" w:eastAsia="仿宋" w:cs="仿宋"/>
          <w:spacing w:val="-43"/>
          <w:sz w:val="25"/>
          <w:szCs w:val="25"/>
        </w:rPr>
        <w:t xml:space="preserve"> </w:t>
      </w:r>
      <w:r>
        <w:rPr>
          <w:rFonts w:ascii="Times New Roman" w:hAnsi="Times New Roman" w:eastAsia="Times New Roman" w:cs="Times New Roman"/>
          <w:spacing w:val="10"/>
          <w:sz w:val="25"/>
          <w:szCs w:val="25"/>
        </w:rPr>
        <w:t>547</w:t>
      </w:r>
      <w:r>
        <w:rPr>
          <w:rFonts w:ascii="Times New Roman" w:hAnsi="Times New Roman" w:eastAsia="Times New Roman" w:cs="Times New Roman"/>
          <w:spacing w:val="29"/>
          <w:w w:val="101"/>
          <w:sz w:val="25"/>
          <w:szCs w:val="25"/>
        </w:rPr>
        <w:t xml:space="preserve"> </w:t>
      </w:r>
      <w:r>
        <w:rPr>
          <w:rFonts w:ascii="仿宋" w:hAnsi="仿宋" w:eastAsia="仿宋" w:cs="仿宋"/>
          <w:spacing w:val="10"/>
          <w:sz w:val="25"/>
          <w:szCs w:val="25"/>
        </w:rPr>
        <w:t>万</w:t>
      </w:r>
      <w:r>
        <w:rPr>
          <w:rFonts w:ascii="仿宋" w:hAnsi="仿宋" w:eastAsia="仿宋" w:cs="仿宋"/>
          <w:spacing w:val="-53"/>
          <w:sz w:val="25"/>
          <w:szCs w:val="25"/>
        </w:rPr>
        <w:t xml:space="preserve"> </w:t>
      </w:r>
      <w:r>
        <w:rPr>
          <w:rFonts w:ascii="Times New Roman" w:hAnsi="Times New Roman" w:eastAsia="Times New Roman" w:cs="Times New Roman"/>
          <w:spacing w:val="10"/>
          <w:sz w:val="25"/>
          <w:szCs w:val="25"/>
        </w:rPr>
        <w:t>t</w:t>
      </w:r>
      <w:r>
        <w:rPr>
          <w:rFonts w:ascii="Times New Roman" w:hAnsi="Times New Roman" w:eastAsia="Times New Roman" w:cs="Times New Roman"/>
          <w:spacing w:val="-23"/>
          <w:sz w:val="25"/>
          <w:szCs w:val="25"/>
        </w:rPr>
        <w:t xml:space="preserve"> </w:t>
      </w:r>
      <w:r>
        <w:rPr>
          <w:rFonts w:ascii="仿宋" w:hAnsi="仿宋" w:eastAsia="仿宋" w:cs="仿宋"/>
          <w:spacing w:val="10"/>
          <w:sz w:val="25"/>
          <w:szCs w:val="25"/>
        </w:rPr>
        <w:t>）、水泥用石灰岩（全</w:t>
      </w:r>
      <w:r>
        <w:rPr>
          <w:rFonts w:ascii="仿宋" w:hAnsi="仿宋" w:eastAsia="仿宋" w:cs="仿宋"/>
          <w:spacing w:val="9"/>
          <w:sz w:val="25"/>
          <w:szCs w:val="25"/>
        </w:rPr>
        <w:t>年实际开采</w:t>
      </w:r>
      <w:r>
        <w:rPr>
          <w:rFonts w:ascii="仿宋" w:hAnsi="仿宋" w:eastAsia="仿宋" w:cs="仿宋"/>
          <w:sz w:val="25"/>
          <w:szCs w:val="25"/>
        </w:rPr>
        <w:t xml:space="preserve"> </w:t>
      </w:r>
      <w:r>
        <w:rPr>
          <w:rFonts w:ascii="仿宋" w:hAnsi="仿宋" w:eastAsia="仿宋" w:cs="仿宋"/>
          <w:spacing w:val="3"/>
          <w:sz w:val="25"/>
          <w:szCs w:val="25"/>
        </w:rPr>
        <w:t>量约</w:t>
      </w:r>
      <w:r>
        <w:rPr>
          <w:rFonts w:ascii="仿宋" w:hAnsi="仿宋" w:eastAsia="仿宋" w:cs="仿宋"/>
          <w:spacing w:val="-50"/>
          <w:sz w:val="25"/>
          <w:szCs w:val="25"/>
        </w:rPr>
        <w:t xml:space="preserve"> </w:t>
      </w:r>
      <w:r>
        <w:rPr>
          <w:rFonts w:ascii="Times New Roman" w:hAnsi="Times New Roman" w:eastAsia="Times New Roman" w:cs="Times New Roman"/>
          <w:spacing w:val="3"/>
          <w:sz w:val="25"/>
          <w:szCs w:val="25"/>
        </w:rPr>
        <w:t>200</w:t>
      </w:r>
      <w:r>
        <w:rPr>
          <w:rFonts w:ascii="Times New Roman" w:hAnsi="Times New Roman" w:eastAsia="Times New Roman" w:cs="Times New Roman"/>
          <w:spacing w:val="24"/>
          <w:sz w:val="25"/>
          <w:szCs w:val="25"/>
        </w:rPr>
        <w:t xml:space="preserve"> </w:t>
      </w:r>
      <w:r>
        <w:rPr>
          <w:rFonts w:ascii="仿宋" w:hAnsi="仿宋" w:eastAsia="仿宋" w:cs="仿宋"/>
          <w:spacing w:val="3"/>
          <w:sz w:val="25"/>
          <w:szCs w:val="25"/>
        </w:rPr>
        <w:t>万</w:t>
      </w:r>
      <w:r>
        <w:rPr>
          <w:rFonts w:ascii="仿宋" w:hAnsi="仿宋" w:eastAsia="仿宋" w:cs="仿宋"/>
          <w:spacing w:val="-57"/>
          <w:sz w:val="25"/>
          <w:szCs w:val="25"/>
        </w:rPr>
        <w:t xml:space="preserve"> </w:t>
      </w:r>
      <w:r>
        <w:rPr>
          <w:rFonts w:ascii="Times New Roman" w:hAnsi="Times New Roman" w:eastAsia="Times New Roman" w:cs="Times New Roman"/>
          <w:spacing w:val="3"/>
          <w:sz w:val="25"/>
          <w:szCs w:val="25"/>
        </w:rPr>
        <w:t>t</w:t>
      </w:r>
      <w:r>
        <w:rPr>
          <w:rFonts w:ascii="Times New Roman" w:hAnsi="Times New Roman" w:eastAsia="Times New Roman" w:cs="Times New Roman"/>
          <w:spacing w:val="-25"/>
          <w:sz w:val="25"/>
          <w:szCs w:val="25"/>
        </w:rPr>
        <w:t xml:space="preserve"> </w:t>
      </w:r>
      <w:r>
        <w:rPr>
          <w:rFonts w:ascii="仿宋" w:hAnsi="仿宋" w:eastAsia="仿宋" w:cs="仿宋"/>
          <w:spacing w:val="3"/>
          <w:sz w:val="25"/>
          <w:szCs w:val="25"/>
        </w:rPr>
        <w:t>）和萤石（普通</w:t>
      </w:r>
      <w:r>
        <w:rPr>
          <w:rFonts w:ascii="仿宋" w:hAnsi="仿宋" w:eastAsia="仿宋" w:cs="仿宋"/>
          <w:spacing w:val="-27"/>
          <w:sz w:val="25"/>
          <w:szCs w:val="25"/>
        </w:rPr>
        <w:t>）（</w:t>
      </w:r>
      <w:r>
        <w:rPr>
          <w:rFonts w:ascii="仿宋" w:hAnsi="仿宋" w:eastAsia="仿宋" w:cs="仿宋"/>
          <w:spacing w:val="3"/>
          <w:sz w:val="25"/>
          <w:szCs w:val="25"/>
        </w:rPr>
        <w:t>全年实际开采量约</w:t>
      </w:r>
      <w:r>
        <w:rPr>
          <w:rFonts w:ascii="仿宋" w:hAnsi="仿宋" w:eastAsia="仿宋" w:cs="仿宋"/>
          <w:spacing w:val="-47"/>
          <w:sz w:val="25"/>
          <w:szCs w:val="25"/>
        </w:rPr>
        <w:t xml:space="preserve"> </w:t>
      </w:r>
      <w:r>
        <w:rPr>
          <w:rFonts w:ascii="Times New Roman" w:hAnsi="Times New Roman" w:eastAsia="Times New Roman" w:cs="Times New Roman"/>
          <w:spacing w:val="3"/>
          <w:sz w:val="25"/>
          <w:szCs w:val="25"/>
        </w:rPr>
        <w:t>3</w:t>
      </w:r>
      <w:r>
        <w:rPr>
          <w:rFonts w:ascii="Times New Roman" w:hAnsi="Times New Roman" w:eastAsia="Times New Roman" w:cs="Times New Roman"/>
          <w:spacing w:val="21"/>
          <w:w w:val="101"/>
          <w:sz w:val="25"/>
          <w:szCs w:val="25"/>
        </w:rPr>
        <w:t xml:space="preserve"> </w:t>
      </w:r>
      <w:r>
        <w:rPr>
          <w:rFonts w:ascii="仿宋" w:hAnsi="仿宋" w:eastAsia="仿宋" w:cs="仿宋"/>
          <w:spacing w:val="3"/>
          <w:sz w:val="25"/>
          <w:szCs w:val="25"/>
        </w:rPr>
        <w:t>万</w:t>
      </w:r>
      <w:r>
        <w:rPr>
          <w:rFonts w:ascii="仿宋" w:hAnsi="仿宋" w:eastAsia="仿宋" w:cs="仿宋"/>
          <w:spacing w:val="-55"/>
          <w:sz w:val="25"/>
          <w:szCs w:val="25"/>
        </w:rPr>
        <w:t xml:space="preserve"> </w:t>
      </w:r>
      <w:r>
        <w:rPr>
          <w:rFonts w:ascii="Times New Roman" w:hAnsi="Times New Roman" w:eastAsia="Times New Roman" w:cs="Times New Roman"/>
          <w:spacing w:val="3"/>
          <w:sz w:val="25"/>
          <w:szCs w:val="25"/>
        </w:rPr>
        <w:t>t</w:t>
      </w:r>
      <w:r>
        <w:rPr>
          <w:rFonts w:ascii="Times New Roman" w:hAnsi="Times New Roman" w:eastAsia="Times New Roman" w:cs="Times New Roman"/>
          <w:spacing w:val="-26"/>
          <w:sz w:val="25"/>
          <w:szCs w:val="25"/>
        </w:rPr>
        <w:t xml:space="preserve"> </w:t>
      </w:r>
      <w:r>
        <w:rPr>
          <w:rFonts w:ascii="仿宋" w:hAnsi="仿宋" w:eastAsia="仿宋" w:cs="仿宋"/>
          <w:spacing w:val="-27"/>
          <w:sz w:val="25"/>
          <w:szCs w:val="25"/>
        </w:rPr>
        <w:t>），</w:t>
      </w:r>
      <w:r>
        <w:rPr>
          <w:rFonts w:ascii="仿宋" w:hAnsi="仿宋" w:eastAsia="仿宋" w:cs="仿宋"/>
          <w:spacing w:val="3"/>
          <w:sz w:val="25"/>
          <w:szCs w:val="25"/>
        </w:rPr>
        <w:t>排污量有所增加。</w:t>
      </w:r>
    </w:p>
    <w:p w14:paraId="4F2181F3">
      <w:pPr>
        <w:spacing w:before="43" w:line="231" w:lineRule="auto"/>
        <w:ind w:left="2693"/>
        <w:rPr>
          <w:rFonts w:ascii="仿宋" w:hAnsi="仿宋" w:eastAsia="仿宋" w:cs="仿宋"/>
          <w:sz w:val="20"/>
          <w:szCs w:val="20"/>
        </w:rPr>
      </w:pPr>
      <w:r>
        <w:rPr>
          <w:rFonts w:ascii="仿宋" w:hAnsi="仿宋" w:eastAsia="仿宋" w:cs="仿宋"/>
          <w:b/>
          <w:bCs/>
          <w:spacing w:val="5"/>
          <w:sz w:val="20"/>
          <w:szCs w:val="20"/>
        </w:rPr>
        <w:t>表</w:t>
      </w:r>
      <w:r>
        <w:rPr>
          <w:rFonts w:ascii="仿宋" w:hAnsi="仿宋" w:eastAsia="仿宋" w:cs="仿宋"/>
          <w:spacing w:val="-31"/>
          <w:sz w:val="20"/>
          <w:szCs w:val="20"/>
        </w:rPr>
        <w:t xml:space="preserve"> </w:t>
      </w:r>
      <w:r>
        <w:rPr>
          <w:rFonts w:ascii="Times New Roman" w:hAnsi="Times New Roman" w:eastAsia="Times New Roman" w:cs="Times New Roman"/>
          <w:b/>
          <w:bCs/>
          <w:spacing w:val="5"/>
          <w:sz w:val="20"/>
          <w:szCs w:val="20"/>
        </w:rPr>
        <w:t xml:space="preserve">3.2-14    </w:t>
      </w:r>
      <w:r>
        <w:rPr>
          <w:rFonts w:ascii="仿宋" w:hAnsi="仿宋" w:eastAsia="仿宋" w:cs="仿宋"/>
          <w:b/>
          <w:bCs/>
          <w:spacing w:val="5"/>
          <w:sz w:val="20"/>
          <w:szCs w:val="20"/>
        </w:rPr>
        <w:t>黔江区采矿业的排污统计表</w:t>
      </w:r>
    </w:p>
    <w:p w14:paraId="4E53AB58">
      <w:pPr>
        <w:spacing w:line="22" w:lineRule="exact"/>
      </w:pPr>
    </w:p>
    <w:tbl>
      <w:tblPr>
        <w:tblStyle w:val="5"/>
        <w:tblW w:w="887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64"/>
        <w:gridCol w:w="1170"/>
        <w:gridCol w:w="1905"/>
        <w:gridCol w:w="2022"/>
        <w:gridCol w:w="2512"/>
      </w:tblGrid>
      <w:tr w14:paraId="34A15B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264" w:type="dxa"/>
            <w:vMerge w:val="restart"/>
            <w:tcBorders>
              <w:top w:val="single" w:color="000000" w:sz="10" w:space="0"/>
              <w:left w:val="single" w:color="000000" w:sz="10" w:space="0"/>
              <w:bottom w:val="nil"/>
            </w:tcBorders>
            <w:vAlign w:val="top"/>
          </w:tcPr>
          <w:p w14:paraId="7AE365DB">
            <w:pPr>
              <w:pStyle w:val="6"/>
              <w:spacing w:before="303" w:line="231" w:lineRule="auto"/>
              <w:ind w:left="422"/>
              <w:rPr>
                <w:sz w:val="20"/>
                <w:szCs w:val="20"/>
              </w:rPr>
            </w:pPr>
            <w:r>
              <w:rPr>
                <w:spacing w:val="-1"/>
                <w:sz w:val="20"/>
                <w:szCs w:val="20"/>
              </w:rPr>
              <w:t>年份</w:t>
            </w:r>
          </w:p>
        </w:tc>
        <w:tc>
          <w:tcPr>
            <w:tcW w:w="1170" w:type="dxa"/>
            <w:vMerge w:val="restart"/>
            <w:tcBorders>
              <w:top w:val="single" w:color="000000" w:sz="10" w:space="0"/>
              <w:bottom w:val="nil"/>
            </w:tcBorders>
            <w:vAlign w:val="top"/>
          </w:tcPr>
          <w:p w14:paraId="3781ECE5">
            <w:pPr>
              <w:pStyle w:val="6"/>
              <w:spacing w:before="123" w:line="231" w:lineRule="auto"/>
              <w:ind w:left="66"/>
              <w:rPr>
                <w:sz w:val="20"/>
                <w:szCs w:val="20"/>
              </w:rPr>
            </w:pPr>
            <w:r>
              <w:rPr>
                <w:spacing w:val="6"/>
                <w:sz w:val="20"/>
                <w:szCs w:val="20"/>
              </w:rPr>
              <w:t>年开采总量</w:t>
            </w:r>
          </w:p>
          <w:p w14:paraId="281EC169">
            <w:pPr>
              <w:pStyle w:val="6"/>
              <w:spacing w:before="110" w:line="234" w:lineRule="auto"/>
              <w:ind w:left="222"/>
              <w:rPr>
                <w:sz w:val="20"/>
                <w:szCs w:val="20"/>
              </w:rPr>
            </w:pPr>
            <w:r>
              <w:rPr>
                <w:sz w:val="20"/>
                <w:szCs w:val="20"/>
              </w:rPr>
              <w:t>（万</w:t>
            </w:r>
            <w:r>
              <w:rPr>
                <w:spacing w:val="-44"/>
                <w:sz w:val="20"/>
                <w:szCs w:val="20"/>
              </w:rPr>
              <w:t xml:space="preserve"> </w:t>
            </w:r>
            <w:r>
              <w:rPr>
                <w:rFonts w:ascii="Times New Roman" w:hAnsi="Times New Roman" w:eastAsia="Times New Roman" w:cs="Times New Roman"/>
                <w:sz w:val="20"/>
                <w:szCs w:val="20"/>
              </w:rPr>
              <w:t>t</w:t>
            </w:r>
            <w:r>
              <w:rPr>
                <w:sz w:val="20"/>
                <w:szCs w:val="20"/>
              </w:rPr>
              <w:t>）</w:t>
            </w:r>
          </w:p>
        </w:tc>
        <w:tc>
          <w:tcPr>
            <w:tcW w:w="1905" w:type="dxa"/>
            <w:tcBorders>
              <w:top w:val="single" w:color="000000" w:sz="10" w:space="0"/>
            </w:tcBorders>
            <w:vAlign w:val="top"/>
          </w:tcPr>
          <w:p w14:paraId="2FBFDC37">
            <w:pPr>
              <w:pStyle w:val="6"/>
              <w:spacing w:before="103" w:line="232" w:lineRule="auto"/>
              <w:ind w:left="750"/>
              <w:rPr>
                <w:sz w:val="20"/>
                <w:szCs w:val="20"/>
              </w:rPr>
            </w:pPr>
            <w:r>
              <w:rPr>
                <w:spacing w:val="1"/>
                <w:sz w:val="20"/>
                <w:szCs w:val="20"/>
              </w:rPr>
              <w:t>粉尘</w:t>
            </w:r>
          </w:p>
        </w:tc>
        <w:tc>
          <w:tcPr>
            <w:tcW w:w="2022" w:type="dxa"/>
            <w:tcBorders>
              <w:top w:val="single" w:color="000000" w:sz="10" w:space="0"/>
            </w:tcBorders>
            <w:vAlign w:val="top"/>
          </w:tcPr>
          <w:p w14:paraId="6DEE5051">
            <w:pPr>
              <w:pStyle w:val="6"/>
              <w:spacing w:before="103" w:line="232" w:lineRule="auto"/>
              <w:ind w:left="817"/>
              <w:rPr>
                <w:sz w:val="20"/>
                <w:szCs w:val="20"/>
              </w:rPr>
            </w:pPr>
            <w:r>
              <w:rPr>
                <w:sz w:val="20"/>
                <w:szCs w:val="20"/>
              </w:rPr>
              <w:t>废水</w:t>
            </w:r>
          </w:p>
        </w:tc>
        <w:tc>
          <w:tcPr>
            <w:tcW w:w="2512" w:type="dxa"/>
            <w:tcBorders>
              <w:top w:val="single" w:color="000000" w:sz="10" w:space="0"/>
              <w:right w:val="single" w:color="000000" w:sz="10" w:space="0"/>
            </w:tcBorders>
            <w:vAlign w:val="top"/>
          </w:tcPr>
          <w:p w14:paraId="19DAB0E8">
            <w:pPr>
              <w:pStyle w:val="6"/>
              <w:spacing w:before="104" w:line="229" w:lineRule="auto"/>
              <w:ind w:left="871"/>
              <w:rPr>
                <w:sz w:val="20"/>
                <w:szCs w:val="20"/>
              </w:rPr>
            </w:pPr>
            <w:r>
              <w:rPr>
                <w:sz w:val="20"/>
                <w:szCs w:val="20"/>
              </w:rPr>
              <w:t>固体废物</w:t>
            </w:r>
          </w:p>
        </w:tc>
      </w:tr>
      <w:tr w14:paraId="088A00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264" w:type="dxa"/>
            <w:vMerge w:val="continue"/>
            <w:tcBorders>
              <w:top w:val="nil"/>
              <w:left w:val="single" w:color="000000" w:sz="10" w:space="0"/>
            </w:tcBorders>
            <w:vAlign w:val="top"/>
          </w:tcPr>
          <w:p w14:paraId="04B9775B">
            <w:pPr>
              <w:rPr>
                <w:rFonts w:ascii="Arial"/>
                <w:sz w:val="21"/>
              </w:rPr>
            </w:pPr>
          </w:p>
        </w:tc>
        <w:tc>
          <w:tcPr>
            <w:tcW w:w="1170" w:type="dxa"/>
            <w:vMerge w:val="continue"/>
            <w:tcBorders>
              <w:top w:val="nil"/>
            </w:tcBorders>
            <w:vAlign w:val="top"/>
          </w:tcPr>
          <w:p w14:paraId="644D416A">
            <w:pPr>
              <w:rPr>
                <w:rFonts w:ascii="Arial"/>
                <w:sz w:val="21"/>
              </w:rPr>
            </w:pPr>
          </w:p>
        </w:tc>
        <w:tc>
          <w:tcPr>
            <w:tcW w:w="1905" w:type="dxa"/>
            <w:vAlign w:val="top"/>
          </w:tcPr>
          <w:p w14:paraId="190EBA77">
            <w:pPr>
              <w:pStyle w:val="6"/>
              <w:spacing w:before="94" w:line="231" w:lineRule="auto"/>
              <w:ind w:left="327"/>
              <w:rPr>
                <w:sz w:val="20"/>
                <w:szCs w:val="20"/>
              </w:rPr>
            </w:pPr>
            <w:r>
              <w:rPr>
                <w:spacing w:val="6"/>
                <w:sz w:val="20"/>
                <w:szCs w:val="20"/>
              </w:rPr>
              <w:t>排放量（吨）</w:t>
            </w:r>
          </w:p>
        </w:tc>
        <w:tc>
          <w:tcPr>
            <w:tcW w:w="2022" w:type="dxa"/>
            <w:vAlign w:val="top"/>
          </w:tcPr>
          <w:p w14:paraId="28F2E5E6">
            <w:pPr>
              <w:pStyle w:val="6"/>
              <w:spacing w:before="94" w:line="231" w:lineRule="auto"/>
              <w:ind w:left="251"/>
              <w:rPr>
                <w:sz w:val="20"/>
                <w:szCs w:val="20"/>
              </w:rPr>
            </w:pPr>
            <w:r>
              <w:rPr>
                <w:spacing w:val="5"/>
                <w:sz w:val="20"/>
                <w:szCs w:val="20"/>
              </w:rPr>
              <w:t>排放量（万</w:t>
            </w:r>
            <w:r>
              <w:rPr>
                <w:spacing w:val="-40"/>
                <w:sz w:val="20"/>
                <w:szCs w:val="20"/>
              </w:rPr>
              <w:t xml:space="preserve"> </w:t>
            </w:r>
            <w:r>
              <w:rPr>
                <w:rFonts w:ascii="Times New Roman" w:hAnsi="Times New Roman" w:eastAsia="Times New Roman" w:cs="Times New Roman"/>
                <w:spacing w:val="5"/>
                <w:sz w:val="20"/>
                <w:szCs w:val="20"/>
              </w:rPr>
              <w:t>m</w:t>
            </w:r>
            <w:r>
              <w:rPr>
                <w:rFonts w:ascii="Times New Roman" w:hAnsi="Times New Roman" w:eastAsia="Times New Roman" w:cs="Times New Roman"/>
                <w:spacing w:val="5"/>
                <w:position w:val="6"/>
                <w:sz w:val="13"/>
                <w:szCs w:val="13"/>
              </w:rPr>
              <w:t>3</w:t>
            </w:r>
            <w:r>
              <w:rPr>
                <w:spacing w:val="5"/>
                <w:sz w:val="20"/>
                <w:szCs w:val="20"/>
              </w:rPr>
              <w:t>）</w:t>
            </w:r>
          </w:p>
        </w:tc>
        <w:tc>
          <w:tcPr>
            <w:tcW w:w="2512" w:type="dxa"/>
            <w:tcBorders>
              <w:right w:val="single" w:color="000000" w:sz="10" w:space="0"/>
            </w:tcBorders>
            <w:vAlign w:val="top"/>
          </w:tcPr>
          <w:p w14:paraId="6AD9E4A3">
            <w:pPr>
              <w:pStyle w:val="6"/>
              <w:spacing w:before="95" w:line="232" w:lineRule="auto"/>
              <w:ind w:left="585"/>
              <w:rPr>
                <w:sz w:val="20"/>
                <w:szCs w:val="20"/>
              </w:rPr>
            </w:pPr>
            <w:r>
              <w:rPr>
                <w:spacing w:val="4"/>
                <w:sz w:val="20"/>
                <w:szCs w:val="20"/>
              </w:rPr>
              <w:t>产生量（万</w:t>
            </w:r>
            <w:r>
              <w:rPr>
                <w:spacing w:val="-41"/>
                <w:sz w:val="20"/>
                <w:szCs w:val="20"/>
              </w:rPr>
              <w:t xml:space="preserve"> </w:t>
            </w:r>
            <w:r>
              <w:rPr>
                <w:rFonts w:ascii="Times New Roman" w:hAnsi="Times New Roman" w:eastAsia="Times New Roman" w:cs="Times New Roman"/>
                <w:spacing w:val="4"/>
                <w:sz w:val="20"/>
                <w:szCs w:val="20"/>
              </w:rPr>
              <w:t>t</w:t>
            </w:r>
            <w:r>
              <w:rPr>
                <w:spacing w:val="4"/>
                <w:sz w:val="20"/>
                <w:szCs w:val="20"/>
              </w:rPr>
              <w:t>）</w:t>
            </w:r>
          </w:p>
        </w:tc>
      </w:tr>
      <w:tr w14:paraId="499B0D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264" w:type="dxa"/>
            <w:tcBorders>
              <w:left w:val="single" w:color="000000" w:sz="10" w:space="0"/>
            </w:tcBorders>
            <w:vAlign w:val="top"/>
          </w:tcPr>
          <w:p w14:paraId="074A28E9">
            <w:pPr>
              <w:pStyle w:val="6"/>
              <w:spacing w:before="178" w:line="231" w:lineRule="auto"/>
              <w:ind w:left="279"/>
              <w:rPr>
                <w:sz w:val="20"/>
                <w:szCs w:val="20"/>
              </w:rPr>
            </w:pPr>
            <w:r>
              <w:rPr>
                <w:rFonts w:ascii="Times New Roman" w:hAnsi="Times New Roman" w:eastAsia="Times New Roman" w:cs="Times New Roman"/>
                <w:spacing w:val="2"/>
                <w:sz w:val="20"/>
                <w:szCs w:val="20"/>
              </w:rPr>
              <w:t>2020</w:t>
            </w:r>
            <w:r>
              <w:rPr>
                <w:rFonts w:ascii="Times New Roman" w:hAnsi="Times New Roman" w:eastAsia="Times New Roman" w:cs="Times New Roman"/>
                <w:spacing w:val="22"/>
                <w:w w:val="101"/>
                <w:sz w:val="20"/>
                <w:szCs w:val="20"/>
              </w:rPr>
              <w:t xml:space="preserve"> </w:t>
            </w:r>
            <w:r>
              <w:rPr>
                <w:spacing w:val="2"/>
                <w:sz w:val="20"/>
                <w:szCs w:val="20"/>
              </w:rPr>
              <w:t>年</w:t>
            </w:r>
          </w:p>
        </w:tc>
        <w:tc>
          <w:tcPr>
            <w:tcW w:w="1170" w:type="dxa"/>
            <w:vAlign w:val="top"/>
          </w:tcPr>
          <w:p w14:paraId="2E4948EE">
            <w:pPr>
              <w:spacing w:before="214" w:line="195" w:lineRule="auto"/>
              <w:ind w:left="310"/>
              <w:rPr>
                <w:rFonts w:ascii="Times New Roman" w:hAnsi="Times New Roman" w:eastAsia="Times New Roman" w:cs="Times New Roman"/>
                <w:sz w:val="20"/>
                <w:szCs w:val="20"/>
              </w:rPr>
            </w:pPr>
            <w:r>
              <w:rPr>
                <w:rFonts w:ascii="Times New Roman" w:hAnsi="Times New Roman" w:eastAsia="Times New Roman" w:cs="Times New Roman"/>
                <w:sz w:val="20"/>
                <w:szCs w:val="20"/>
              </w:rPr>
              <w:t>141.48</w:t>
            </w:r>
          </w:p>
        </w:tc>
        <w:tc>
          <w:tcPr>
            <w:tcW w:w="1905" w:type="dxa"/>
            <w:vAlign w:val="top"/>
          </w:tcPr>
          <w:p w14:paraId="66CA16B5">
            <w:pPr>
              <w:spacing w:before="214" w:line="195" w:lineRule="auto"/>
              <w:ind w:left="7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25.47</w:t>
            </w:r>
          </w:p>
        </w:tc>
        <w:tc>
          <w:tcPr>
            <w:tcW w:w="2022" w:type="dxa"/>
            <w:vAlign w:val="top"/>
          </w:tcPr>
          <w:p w14:paraId="02F1D154">
            <w:pPr>
              <w:spacing w:before="214" w:line="195" w:lineRule="auto"/>
              <w:ind w:left="7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0.0056</w:t>
            </w:r>
          </w:p>
        </w:tc>
        <w:tc>
          <w:tcPr>
            <w:tcW w:w="2512" w:type="dxa"/>
            <w:tcBorders>
              <w:right w:val="single" w:color="000000" w:sz="10" w:space="0"/>
            </w:tcBorders>
            <w:vAlign w:val="top"/>
          </w:tcPr>
          <w:p w14:paraId="276D1996">
            <w:pPr>
              <w:spacing w:before="214" w:line="195" w:lineRule="auto"/>
              <w:ind w:left="10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5.66</w:t>
            </w:r>
          </w:p>
        </w:tc>
      </w:tr>
      <w:tr w14:paraId="43CDD3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264" w:type="dxa"/>
            <w:tcBorders>
              <w:left w:val="single" w:color="000000" w:sz="10" w:space="0"/>
            </w:tcBorders>
            <w:vAlign w:val="top"/>
          </w:tcPr>
          <w:p w14:paraId="413D0500">
            <w:pPr>
              <w:pStyle w:val="6"/>
              <w:spacing w:before="184" w:line="231" w:lineRule="auto"/>
              <w:ind w:left="279"/>
              <w:rPr>
                <w:sz w:val="20"/>
                <w:szCs w:val="20"/>
              </w:rPr>
            </w:pPr>
            <w:r>
              <w:rPr>
                <w:rFonts w:ascii="Times New Roman" w:hAnsi="Times New Roman" w:eastAsia="Times New Roman" w:cs="Times New Roman"/>
                <w:spacing w:val="2"/>
                <w:sz w:val="20"/>
                <w:szCs w:val="20"/>
              </w:rPr>
              <w:t>2024</w:t>
            </w:r>
            <w:r>
              <w:rPr>
                <w:rFonts w:ascii="Times New Roman" w:hAnsi="Times New Roman" w:eastAsia="Times New Roman" w:cs="Times New Roman"/>
                <w:spacing w:val="22"/>
                <w:w w:val="101"/>
                <w:sz w:val="20"/>
                <w:szCs w:val="20"/>
              </w:rPr>
              <w:t xml:space="preserve"> </w:t>
            </w:r>
            <w:r>
              <w:rPr>
                <w:spacing w:val="2"/>
                <w:sz w:val="20"/>
                <w:szCs w:val="20"/>
              </w:rPr>
              <w:t>年</w:t>
            </w:r>
          </w:p>
        </w:tc>
        <w:tc>
          <w:tcPr>
            <w:tcW w:w="1170" w:type="dxa"/>
            <w:vAlign w:val="top"/>
          </w:tcPr>
          <w:p w14:paraId="0A7B197F">
            <w:pPr>
              <w:spacing w:before="220" w:line="195" w:lineRule="auto"/>
              <w:ind w:left="42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750</w:t>
            </w:r>
          </w:p>
        </w:tc>
        <w:tc>
          <w:tcPr>
            <w:tcW w:w="1905" w:type="dxa"/>
            <w:vAlign w:val="top"/>
          </w:tcPr>
          <w:p w14:paraId="6BF9F35B">
            <w:pPr>
              <w:spacing w:before="220" w:line="195" w:lineRule="auto"/>
              <w:ind w:left="681"/>
              <w:rPr>
                <w:rFonts w:ascii="Times New Roman" w:hAnsi="Times New Roman" w:eastAsia="Times New Roman" w:cs="Times New Roman"/>
                <w:sz w:val="20"/>
                <w:szCs w:val="20"/>
              </w:rPr>
            </w:pPr>
            <w:r>
              <w:rPr>
                <w:rFonts w:ascii="Times New Roman" w:hAnsi="Times New Roman" w:eastAsia="Times New Roman" w:cs="Times New Roman"/>
                <w:sz w:val="20"/>
                <w:szCs w:val="20"/>
              </w:rPr>
              <w:t>124.54</w:t>
            </w:r>
          </w:p>
        </w:tc>
        <w:tc>
          <w:tcPr>
            <w:tcW w:w="2022" w:type="dxa"/>
            <w:vAlign w:val="top"/>
          </w:tcPr>
          <w:p w14:paraId="62207A47">
            <w:pPr>
              <w:spacing w:before="220" w:line="195" w:lineRule="auto"/>
              <w:ind w:left="78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0.028</w:t>
            </w:r>
          </w:p>
        </w:tc>
        <w:tc>
          <w:tcPr>
            <w:tcW w:w="2512" w:type="dxa"/>
            <w:tcBorders>
              <w:right w:val="single" w:color="000000" w:sz="10" w:space="0"/>
            </w:tcBorders>
            <w:vAlign w:val="top"/>
          </w:tcPr>
          <w:p w14:paraId="23DDD06D">
            <w:pPr>
              <w:spacing w:before="220" w:line="195" w:lineRule="auto"/>
              <w:ind w:left="102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37.38</w:t>
            </w:r>
          </w:p>
        </w:tc>
      </w:tr>
      <w:tr w14:paraId="286EB4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1" w:hRule="atLeast"/>
        </w:trPr>
        <w:tc>
          <w:tcPr>
            <w:tcW w:w="8873" w:type="dxa"/>
            <w:gridSpan w:val="5"/>
            <w:tcBorders>
              <w:left w:val="single" w:color="000000" w:sz="10" w:space="0"/>
              <w:bottom w:val="single" w:color="000000" w:sz="10" w:space="0"/>
              <w:right w:val="single" w:color="000000" w:sz="10" w:space="0"/>
            </w:tcBorders>
            <w:vAlign w:val="top"/>
          </w:tcPr>
          <w:p w14:paraId="13DA38F7">
            <w:pPr>
              <w:pStyle w:val="6"/>
              <w:spacing w:before="141" w:line="286" w:lineRule="auto"/>
              <w:ind w:left="16" w:right="4" w:firstLine="2"/>
              <w:rPr>
                <w:sz w:val="20"/>
                <w:szCs w:val="20"/>
              </w:rPr>
            </w:pPr>
            <w:r>
              <w:rPr>
                <w:spacing w:val="6"/>
                <w:sz w:val="20"/>
                <w:szCs w:val="20"/>
              </w:rPr>
              <w:t>备注：</w:t>
            </w:r>
            <w:r>
              <w:rPr>
                <w:rFonts w:ascii="Times New Roman" w:hAnsi="Times New Roman" w:eastAsia="Times New Roman" w:cs="Times New Roman"/>
                <w:spacing w:val="6"/>
                <w:sz w:val="20"/>
                <w:szCs w:val="20"/>
              </w:rPr>
              <w:t>2020</w:t>
            </w:r>
            <w:r>
              <w:rPr>
                <w:rFonts w:ascii="Times New Roman" w:hAnsi="Times New Roman" w:eastAsia="Times New Roman" w:cs="Times New Roman"/>
                <w:spacing w:val="25"/>
                <w:sz w:val="20"/>
                <w:szCs w:val="20"/>
              </w:rPr>
              <w:t xml:space="preserve"> </w:t>
            </w:r>
            <w:r>
              <w:rPr>
                <w:spacing w:val="6"/>
                <w:sz w:val="20"/>
                <w:szCs w:val="20"/>
              </w:rPr>
              <w:t>年数据引用原矿规环评计算数据，</w:t>
            </w:r>
            <w:r>
              <w:rPr>
                <w:rFonts w:ascii="Times New Roman" w:hAnsi="Times New Roman" w:eastAsia="Times New Roman" w:cs="Times New Roman"/>
                <w:spacing w:val="6"/>
                <w:sz w:val="20"/>
                <w:szCs w:val="20"/>
              </w:rPr>
              <w:t>2024</w:t>
            </w:r>
            <w:r>
              <w:rPr>
                <w:rFonts w:ascii="Times New Roman" w:hAnsi="Times New Roman" w:eastAsia="Times New Roman" w:cs="Times New Roman"/>
                <w:spacing w:val="21"/>
                <w:w w:val="101"/>
                <w:sz w:val="20"/>
                <w:szCs w:val="20"/>
              </w:rPr>
              <w:t xml:space="preserve"> </w:t>
            </w:r>
            <w:r>
              <w:rPr>
                <w:spacing w:val="6"/>
                <w:sz w:val="20"/>
                <w:szCs w:val="20"/>
              </w:rPr>
              <w:t>年根据当年矿产品实际开采量计算（其建筑石</w:t>
            </w:r>
            <w:r>
              <w:rPr>
                <w:sz w:val="20"/>
                <w:szCs w:val="20"/>
              </w:rPr>
              <w:t xml:space="preserve"> </w:t>
            </w:r>
            <w:r>
              <w:rPr>
                <w:spacing w:val="9"/>
                <w:sz w:val="20"/>
                <w:szCs w:val="20"/>
              </w:rPr>
              <w:t>料用灰岩系数引用原规划环评所取参数，水泥用石灰岩和萤石类比项目环评相关系数）</w:t>
            </w:r>
          </w:p>
        </w:tc>
      </w:tr>
    </w:tbl>
    <w:p w14:paraId="22189254">
      <w:pPr>
        <w:pStyle w:val="2"/>
        <w:spacing w:line="187" w:lineRule="exact"/>
        <w:rPr>
          <w:sz w:val="16"/>
        </w:rPr>
      </w:pPr>
    </w:p>
    <w:p w14:paraId="63C6338E">
      <w:pPr>
        <w:spacing w:line="187" w:lineRule="exact"/>
        <w:rPr>
          <w:sz w:val="16"/>
          <w:szCs w:val="16"/>
        </w:rPr>
        <w:sectPr>
          <w:headerReference r:id="rId155" w:type="default"/>
          <w:footerReference r:id="rId156" w:type="default"/>
          <w:pgSz w:w="11906" w:h="16839"/>
          <w:pgMar w:top="1116" w:right="1385" w:bottom="1480" w:left="1557" w:header="683" w:footer="1318" w:gutter="0"/>
          <w:cols w:space="720" w:num="1"/>
        </w:sectPr>
      </w:pPr>
    </w:p>
    <w:p w14:paraId="4286CBCA">
      <w:pPr>
        <w:pStyle w:val="2"/>
        <w:spacing w:line="281" w:lineRule="auto"/>
      </w:pPr>
    </w:p>
    <w:p w14:paraId="00F69FD6">
      <w:pPr>
        <w:spacing w:before="81" w:line="228" w:lineRule="auto"/>
        <w:ind w:left="104"/>
        <w:outlineLvl w:val="1"/>
        <w:rPr>
          <w:rFonts w:ascii="仿宋" w:hAnsi="仿宋" w:eastAsia="仿宋" w:cs="仿宋"/>
          <w:sz w:val="25"/>
          <w:szCs w:val="25"/>
        </w:rPr>
      </w:pPr>
      <w:bookmarkStart w:id="19" w:name="bookmark17"/>
      <w:bookmarkEnd w:id="19"/>
      <w:r>
        <w:rPr>
          <w:rFonts w:ascii="Times New Roman" w:hAnsi="Times New Roman" w:eastAsia="Times New Roman" w:cs="Times New Roman"/>
          <w:b/>
          <w:bCs/>
          <w:spacing w:val="5"/>
          <w:sz w:val="25"/>
          <w:szCs w:val="25"/>
        </w:rPr>
        <w:t xml:space="preserve">3.3 </w:t>
      </w:r>
      <w:r>
        <w:rPr>
          <w:rFonts w:ascii="仿宋" w:hAnsi="仿宋" w:eastAsia="仿宋" w:cs="仿宋"/>
          <w:b/>
          <w:bCs/>
          <w:spacing w:val="5"/>
          <w:sz w:val="25"/>
          <w:szCs w:val="25"/>
        </w:rPr>
        <w:t>规划调整制约因素分析</w:t>
      </w:r>
    </w:p>
    <w:p w14:paraId="2C5A55D2">
      <w:pPr>
        <w:spacing w:before="252" w:line="340" w:lineRule="auto"/>
        <w:ind w:left="133" w:right="175" w:firstLine="472"/>
        <w:rPr>
          <w:rFonts w:ascii="仿宋" w:hAnsi="仿宋" w:eastAsia="仿宋" w:cs="仿宋"/>
          <w:sz w:val="25"/>
          <w:szCs w:val="25"/>
        </w:rPr>
      </w:pPr>
      <w:r>
        <w:rPr>
          <w:rFonts w:ascii="仿宋" w:hAnsi="仿宋" w:eastAsia="仿宋" w:cs="仿宋"/>
          <w:spacing w:val="8"/>
          <w:sz w:val="25"/>
          <w:szCs w:val="25"/>
        </w:rPr>
        <w:t>通过前文综合分析，制约《规划调整》实施的资源环境因素主要依法设立</w:t>
      </w:r>
      <w:r>
        <w:rPr>
          <w:rFonts w:ascii="仿宋" w:hAnsi="仿宋" w:eastAsia="仿宋" w:cs="仿宋"/>
          <w:spacing w:val="9"/>
          <w:sz w:val="25"/>
          <w:szCs w:val="25"/>
        </w:rPr>
        <w:t xml:space="preserve"> </w:t>
      </w:r>
      <w:r>
        <w:rPr>
          <w:rFonts w:ascii="仿宋" w:hAnsi="仿宋" w:eastAsia="仿宋" w:cs="仿宋"/>
          <w:spacing w:val="6"/>
          <w:sz w:val="25"/>
          <w:szCs w:val="25"/>
        </w:rPr>
        <w:t>的各类环境敏感区、环境空气质量、水环境等，详见表</w:t>
      </w:r>
      <w:r>
        <w:rPr>
          <w:rFonts w:ascii="仿宋" w:hAnsi="仿宋" w:eastAsia="仿宋" w:cs="仿宋"/>
          <w:spacing w:val="-38"/>
          <w:sz w:val="25"/>
          <w:szCs w:val="25"/>
        </w:rPr>
        <w:t xml:space="preserve"> </w:t>
      </w:r>
      <w:r>
        <w:rPr>
          <w:rFonts w:ascii="Times New Roman" w:hAnsi="Times New Roman" w:eastAsia="Times New Roman" w:cs="Times New Roman"/>
          <w:spacing w:val="6"/>
          <w:sz w:val="25"/>
          <w:szCs w:val="25"/>
        </w:rPr>
        <w:t>3.3-1</w:t>
      </w:r>
      <w:r>
        <w:rPr>
          <w:rFonts w:ascii="仿宋" w:hAnsi="仿宋" w:eastAsia="仿宋" w:cs="仿宋"/>
          <w:spacing w:val="6"/>
          <w:sz w:val="25"/>
          <w:szCs w:val="25"/>
        </w:rPr>
        <w:t>。</w:t>
      </w:r>
    </w:p>
    <w:p w14:paraId="70B4DAD5">
      <w:pPr>
        <w:spacing w:before="49" w:line="230" w:lineRule="auto"/>
        <w:ind w:left="3091"/>
        <w:rPr>
          <w:rFonts w:ascii="仿宋" w:hAnsi="仿宋" w:eastAsia="仿宋" w:cs="仿宋"/>
          <w:sz w:val="20"/>
          <w:szCs w:val="20"/>
        </w:rPr>
      </w:pPr>
      <w:r>
        <w:rPr>
          <w:rFonts w:ascii="仿宋" w:hAnsi="仿宋" w:eastAsia="仿宋" w:cs="仿宋"/>
          <w:b/>
          <w:bCs/>
          <w:spacing w:val="3"/>
          <w:sz w:val="20"/>
          <w:szCs w:val="20"/>
        </w:rPr>
        <w:t>表</w:t>
      </w:r>
      <w:r>
        <w:rPr>
          <w:rFonts w:ascii="仿宋" w:hAnsi="仿宋" w:eastAsia="仿宋" w:cs="仿宋"/>
          <w:spacing w:val="-39"/>
          <w:sz w:val="20"/>
          <w:szCs w:val="20"/>
        </w:rPr>
        <w:t xml:space="preserve"> </w:t>
      </w:r>
      <w:r>
        <w:rPr>
          <w:rFonts w:ascii="Times New Roman" w:hAnsi="Times New Roman" w:eastAsia="Times New Roman" w:cs="Times New Roman"/>
          <w:b/>
          <w:bCs/>
          <w:spacing w:val="3"/>
          <w:sz w:val="20"/>
          <w:szCs w:val="20"/>
        </w:rPr>
        <w:t>3.3-1</w:t>
      </w:r>
      <w:r>
        <w:rPr>
          <w:rFonts w:ascii="Times New Roman" w:hAnsi="Times New Roman" w:eastAsia="Times New Roman" w:cs="Times New Roman"/>
          <w:b/>
          <w:bCs/>
          <w:spacing w:val="14"/>
          <w:sz w:val="20"/>
          <w:szCs w:val="20"/>
        </w:rPr>
        <w:t xml:space="preserve">  </w:t>
      </w:r>
      <w:r>
        <w:rPr>
          <w:rFonts w:ascii="仿宋" w:hAnsi="仿宋" w:eastAsia="仿宋" w:cs="仿宋"/>
          <w:b/>
          <w:bCs/>
          <w:spacing w:val="3"/>
          <w:sz w:val="20"/>
          <w:szCs w:val="20"/>
        </w:rPr>
        <w:t>资源环境制约因素分析</w:t>
      </w:r>
    </w:p>
    <w:p w14:paraId="2BEF7982">
      <w:pPr>
        <w:spacing w:line="16" w:lineRule="exact"/>
      </w:pPr>
    </w:p>
    <w:tbl>
      <w:tblPr>
        <w:tblStyle w:val="5"/>
        <w:tblW w:w="9022"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5"/>
        <w:gridCol w:w="865"/>
        <w:gridCol w:w="6898"/>
        <w:gridCol w:w="764"/>
      </w:tblGrid>
      <w:tr w14:paraId="5D1DA0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1360" w:type="dxa"/>
            <w:gridSpan w:val="2"/>
            <w:tcBorders>
              <w:top w:val="single" w:color="000000" w:sz="10" w:space="0"/>
              <w:left w:val="single" w:color="000000" w:sz="10" w:space="0"/>
            </w:tcBorders>
            <w:vAlign w:val="top"/>
          </w:tcPr>
          <w:p w14:paraId="19AE9952">
            <w:pPr>
              <w:pStyle w:val="6"/>
              <w:spacing w:before="172" w:line="230" w:lineRule="auto"/>
              <w:ind w:left="270"/>
              <w:rPr>
                <w:sz w:val="20"/>
                <w:szCs w:val="20"/>
              </w:rPr>
            </w:pPr>
            <w:r>
              <w:rPr>
                <w:spacing w:val="2"/>
                <w:sz w:val="20"/>
                <w:szCs w:val="20"/>
              </w:rPr>
              <w:t>限制因素</w:t>
            </w:r>
          </w:p>
        </w:tc>
        <w:tc>
          <w:tcPr>
            <w:tcW w:w="6898" w:type="dxa"/>
            <w:tcBorders>
              <w:top w:val="single" w:color="000000" w:sz="10" w:space="0"/>
            </w:tcBorders>
            <w:vAlign w:val="top"/>
          </w:tcPr>
          <w:p w14:paraId="0DE9CB97">
            <w:pPr>
              <w:pStyle w:val="6"/>
              <w:spacing w:before="171" w:line="229" w:lineRule="auto"/>
              <w:ind w:left="2950"/>
              <w:rPr>
                <w:sz w:val="20"/>
                <w:szCs w:val="20"/>
              </w:rPr>
            </w:pPr>
            <w:r>
              <w:rPr>
                <w:spacing w:val="4"/>
                <w:sz w:val="20"/>
                <w:szCs w:val="20"/>
              </w:rPr>
              <w:t>限制性分析</w:t>
            </w:r>
          </w:p>
        </w:tc>
        <w:tc>
          <w:tcPr>
            <w:tcW w:w="764" w:type="dxa"/>
            <w:tcBorders>
              <w:top w:val="single" w:color="000000" w:sz="10" w:space="0"/>
              <w:right w:val="single" w:color="000000" w:sz="10" w:space="0"/>
            </w:tcBorders>
            <w:vAlign w:val="top"/>
          </w:tcPr>
          <w:p w14:paraId="0F0C340F">
            <w:pPr>
              <w:pStyle w:val="6"/>
              <w:spacing w:before="35" w:line="230" w:lineRule="auto"/>
              <w:ind w:left="191"/>
              <w:rPr>
                <w:sz w:val="20"/>
                <w:szCs w:val="20"/>
              </w:rPr>
            </w:pPr>
            <w:r>
              <w:rPr>
                <w:sz w:val="20"/>
                <w:szCs w:val="20"/>
              </w:rPr>
              <w:t>分析</w:t>
            </w:r>
          </w:p>
          <w:p w14:paraId="4025C833">
            <w:pPr>
              <w:pStyle w:val="6"/>
              <w:spacing w:before="24" w:line="216" w:lineRule="auto"/>
              <w:ind w:left="192"/>
              <w:rPr>
                <w:sz w:val="20"/>
                <w:szCs w:val="20"/>
              </w:rPr>
            </w:pPr>
            <w:r>
              <w:rPr>
                <w:spacing w:val="-1"/>
                <w:sz w:val="20"/>
                <w:szCs w:val="20"/>
              </w:rPr>
              <w:t>结论</w:t>
            </w:r>
          </w:p>
        </w:tc>
      </w:tr>
      <w:tr w14:paraId="05F479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6" w:hRule="atLeast"/>
        </w:trPr>
        <w:tc>
          <w:tcPr>
            <w:tcW w:w="495" w:type="dxa"/>
            <w:vMerge w:val="restart"/>
            <w:tcBorders>
              <w:left w:val="single" w:color="000000" w:sz="10" w:space="0"/>
              <w:bottom w:val="nil"/>
            </w:tcBorders>
            <w:textDirection w:val="tbRlV"/>
            <w:vAlign w:val="top"/>
          </w:tcPr>
          <w:p w14:paraId="5B0B632C">
            <w:pPr>
              <w:pStyle w:val="6"/>
              <w:spacing w:before="144" w:line="209" w:lineRule="auto"/>
              <w:ind w:left="1263"/>
              <w:rPr>
                <w:sz w:val="20"/>
                <w:szCs w:val="20"/>
              </w:rPr>
            </w:pPr>
            <w:r>
              <w:rPr>
                <w:spacing w:val="13"/>
                <w:sz w:val="20"/>
                <w:szCs w:val="20"/>
              </w:rPr>
              <w:t>生</w:t>
            </w:r>
            <w:r>
              <w:rPr>
                <w:spacing w:val="-41"/>
                <w:sz w:val="20"/>
                <w:szCs w:val="20"/>
              </w:rPr>
              <w:t xml:space="preserve"> </w:t>
            </w:r>
            <w:r>
              <w:rPr>
                <w:spacing w:val="13"/>
                <w:sz w:val="20"/>
                <w:szCs w:val="20"/>
              </w:rPr>
              <w:t>态</w:t>
            </w:r>
            <w:r>
              <w:rPr>
                <w:spacing w:val="-42"/>
                <w:sz w:val="20"/>
                <w:szCs w:val="20"/>
              </w:rPr>
              <w:t xml:space="preserve"> </w:t>
            </w:r>
            <w:r>
              <w:rPr>
                <w:spacing w:val="13"/>
                <w:sz w:val="20"/>
                <w:szCs w:val="20"/>
              </w:rPr>
              <w:t>环</w:t>
            </w:r>
            <w:r>
              <w:rPr>
                <w:spacing w:val="-41"/>
                <w:sz w:val="20"/>
                <w:szCs w:val="20"/>
              </w:rPr>
              <w:t xml:space="preserve"> </w:t>
            </w:r>
            <w:r>
              <w:rPr>
                <w:spacing w:val="13"/>
                <w:sz w:val="20"/>
                <w:szCs w:val="20"/>
              </w:rPr>
              <w:t>境</w:t>
            </w:r>
          </w:p>
        </w:tc>
        <w:tc>
          <w:tcPr>
            <w:tcW w:w="865" w:type="dxa"/>
            <w:vAlign w:val="top"/>
          </w:tcPr>
          <w:p w14:paraId="72360AC2">
            <w:pPr>
              <w:spacing w:line="322" w:lineRule="auto"/>
              <w:rPr>
                <w:rFonts w:ascii="Arial"/>
                <w:sz w:val="21"/>
              </w:rPr>
            </w:pPr>
          </w:p>
          <w:p w14:paraId="377DA1AF">
            <w:pPr>
              <w:spacing w:line="322" w:lineRule="auto"/>
              <w:rPr>
                <w:rFonts w:ascii="Arial"/>
                <w:sz w:val="21"/>
              </w:rPr>
            </w:pPr>
          </w:p>
          <w:p w14:paraId="0ABCF466">
            <w:pPr>
              <w:pStyle w:val="6"/>
              <w:spacing w:before="65" w:line="231" w:lineRule="auto"/>
              <w:ind w:left="120"/>
              <w:rPr>
                <w:sz w:val="20"/>
                <w:szCs w:val="20"/>
              </w:rPr>
            </w:pPr>
            <w:r>
              <w:rPr>
                <w:sz w:val="20"/>
                <w:szCs w:val="20"/>
              </w:rPr>
              <w:t>生态环</w:t>
            </w:r>
          </w:p>
          <w:p w14:paraId="3E345B20">
            <w:pPr>
              <w:pStyle w:val="6"/>
              <w:spacing w:before="21" w:line="229" w:lineRule="auto"/>
              <w:ind w:left="109"/>
              <w:rPr>
                <w:sz w:val="20"/>
                <w:szCs w:val="20"/>
              </w:rPr>
            </w:pPr>
            <w:r>
              <w:rPr>
                <w:spacing w:val="4"/>
                <w:sz w:val="20"/>
                <w:szCs w:val="20"/>
              </w:rPr>
              <w:t>保红线</w:t>
            </w:r>
          </w:p>
        </w:tc>
        <w:tc>
          <w:tcPr>
            <w:tcW w:w="6898" w:type="dxa"/>
            <w:vAlign w:val="top"/>
          </w:tcPr>
          <w:p w14:paraId="66E312F5">
            <w:pPr>
              <w:pStyle w:val="6"/>
              <w:spacing w:before="30" w:line="246" w:lineRule="auto"/>
              <w:ind w:left="107" w:right="95" w:firstLine="14"/>
              <w:jc w:val="both"/>
              <w:rPr>
                <w:sz w:val="20"/>
                <w:szCs w:val="20"/>
              </w:rPr>
            </w:pPr>
            <w:r>
              <w:rPr>
                <w:spacing w:val="8"/>
                <w:sz w:val="20"/>
                <w:szCs w:val="20"/>
              </w:rPr>
              <w:t>生态保护红线是指在生态空间范围内具有特殊重要生态功能、必须强制性</w:t>
            </w:r>
            <w:r>
              <w:rPr>
                <w:spacing w:val="17"/>
                <w:sz w:val="20"/>
                <w:szCs w:val="20"/>
              </w:rPr>
              <w:t xml:space="preserve"> </w:t>
            </w:r>
            <w:r>
              <w:rPr>
                <w:spacing w:val="9"/>
                <w:sz w:val="20"/>
                <w:szCs w:val="20"/>
              </w:rPr>
              <w:t>严格保护的区域，是保障和维护国家生态安全的底线和生命线。按照“只</w:t>
            </w:r>
            <w:r>
              <w:rPr>
                <w:sz w:val="20"/>
                <w:szCs w:val="20"/>
              </w:rPr>
              <w:t xml:space="preserve"> </w:t>
            </w:r>
            <w:r>
              <w:rPr>
                <w:spacing w:val="8"/>
                <w:sz w:val="20"/>
                <w:szCs w:val="20"/>
              </w:rPr>
              <w:t>能增加、不能减少</w:t>
            </w:r>
            <w:r>
              <w:rPr>
                <w:spacing w:val="-68"/>
                <w:sz w:val="20"/>
                <w:szCs w:val="20"/>
              </w:rPr>
              <w:t xml:space="preserve"> </w:t>
            </w:r>
            <w:r>
              <w:rPr>
                <w:spacing w:val="8"/>
                <w:sz w:val="20"/>
                <w:szCs w:val="20"/>
              </w:rPr>
              <w:t>”的基本要求，实施严格管控。因此在规划布局时，应</w:t>
            </w:r>
            <w:r>
              <w:rPr>
                <w:sz w:val="20"/>
                <w:szCs w:val="20"/>
              </w:rPr>
              <w:t xml:space="preserve"> </w:t>
            </w:r>
            <w:r>
              <w:rPr>
                <w:spacing w:val="9"/>
                <w:sz w:val="20"/>
                <w:szCs w:val="20"/>
              </w:rPr>
              <w:t>充分与黔江区生态保护红线充分衔接，严守生态保护红线；严守划定的生</w:t>
            </w:r>
            <w:r>
              <w:rPr>
                <w:sz w:val="20"/>
                <w:szCs w:val="20"/>
              </w:rPr>
              <w:t xml:space="preserve"> </w:t>
            </w:r>
            <w:r>
              <w:rPr>
                <w:spacing w:val="7"/>
                <w:sz w:val="20"/>
                <w:szCs w:val="20"/>
              </w:rPr>
              <w:t>态保护红线，严格落实《自然资源部</w:t>
            </w:r>
            <w:r>
              <w:rPr>
                <w:spacing w:val="31"/>
                <w:sz w:val="20"/>
                <w:szCs w:val="20"/>
              </w:rPr>
              <w:t xml:space="preserve"> </w:t>
            </w:r>
            <w:r>
              <w:rPr>
                <w:spacing w:val="7"/>
                <w:sz w:val="20"/>
                <w:szCs w:val="20"/>
              </w:rPr>
              <w:t>生态环境部</w:t>
            </w:r>
            <w:r>
              <w:rPr>
                <w:spacing w:val="46"/>
                <w:sz w:val="20"/>
                <w:szCs w:val="20"/>
              </w:rPr>
              <w:t xml:space="preserve"> </w:t>
            </w:r>
            <w:r>
              <w:rPr>
                <w:spacing w:val="7"/>
                <w:sz w:val="20"/>
                <w:szCs w:val="20"/>
              </w:rPr>
              <w:t>国家林业</w:t>
            </w:r>
            <w:r>
              <w:rPr>
                <w:spacing w:val="6"/>
                <w:sz w:val="20"/>
                <w:szCs w:val="20"/>
              </w:rPr>
              <w:t>和草原局关于</w:t>
            </w:r>
            <w:r>
              <w:rPr>
                <w:sz w:val="20"/>
                <w:szCs w:val="20"/>
              </w:rPr>
              <w:t xml:space="preserve"> </w:t>
            </w:r>
            <w:r>
              <w:rPr>
                <w:spacing w:val="8"/>
                <w:sz w:val="20"/>
                <w:szCs w:val="20"/>
              </w:rPr>
              <w:t>加强生态保护红线管理的通知（试行）》（自然资发〔</w:t>
            </w:r>
            <w:r>
              <w:rPr>
                <w:rFonts w:ascii="Times New Roman" w:hAnsi="Times New Roman" w:eastAsia="Times New Roman" w:cs="Times New Roman"/>
                <w:spacing w:val="8"/>
                <w:sz w:val="20"/>
                <w:szCs w:val="20"/>
              </w:rPr>
              <w:t>2022</w:t>
            </w:r>
            <w:r>
              <w:rPr>
                <w:spacing w:val="8"/>
                <w:sz w:val="20"/>
                <w:szCs w:val="20"/>
              </w:rPr>
              <w:t>〕</w:t>
            </w:r>
            <w:r>
              <w:rPr>
                <w:rFonts w:ascii="Times New Roman" w:hAnsi="Times New Roman" w:eastAsia="Times New Roman" w:cs="Times New Roman"/>
                <w:spacing w:val="8"/>
                <w:sz w:val="20"/>
                <w:szCs w:val="20"/>
              </w:rPr>
              <w:t>142</w:t>
            </w:r>
            <w:r>
              <w:rPr>
                <w:rFonts w:ascii="Times New Roman" w:hAnsi="Times New Roman" w:eastAsia="Times New Roman" w:cs="Times New Roman"/>
                <w:spacing w:val="24"/>
                <w:w w:val="101"/>
                <w:sz w:val="20"/>
                <w:szCs w:val="20"/>
              </w:rPr>
              <w:t xml:space="preserve"> </w:t>
            </w:r>
            <w:r>
              <w:rPr>
                <w:spacing w:val="8"/>
                <w:sz w:val="20"/>
                <w:szCs w:val="20"/>
              </w:rPr>
              <w:t>号）等</w:t>
            </w:r>
            <w:r>
              <w:rPr>
                <w:sz w:val="20"/>
                <w:szCs w:val="20"/>
              </w:rPr>
              <w:t xml:space="preserve"> </w:t>
            </w:r>
            <w:r>
              <w:rPr>
                <w:spacing w:val="7"/>
                <w:sz w:val="20"/>
                <w:szCs w:val="20"/>
              </w:rPr>
              <w:t>有关规定和要求。</w:t>
            </w:r>
          </w:p>
        </w:tc>
        <w:tc>
          <w:tcPr>
            <w:tcW w:w="764" w:type="dxa"/>
            <w:tcBorders>
              <w:right w:val="single" w:color="000000" w:sz="10" w:space="0"/>
            </w:tcBorders>
            <w:vAlign w:val="top"/>
          </w:tcPr>
          <w:p w14:paraId="583597C7">
            <w:pPr>
              <w:spacing w:line="254" w:lineRule="auto"/>
              <w:rPr>
                <w:rFonts w:ascii="Arial"/>
                <w:sz w:val="21"/>
              </w:rPr>
            </w:pPr>
          </w:p>
          <w:p w14:paraId="5FE21D1E">
            <w:pPr>
              <w:spacing w:line="254" w:lineRule="auto"/>
              <w:rPr>
                <w:rFonts w:ascii="Arial"/>
                <w:sz w:val="21"/>
              </w:rPr>
            </w:pPr>
          </w:p>
          <w:p w14:paraId="6FE4E60E">
            <w:pPr>
              <w:pStyle w:val="6"/>
              <w:spacing w:before="65" w:line="232" w:lineRule="auto"/>
              <w:ind w:left="188"/>
              <w:rPr>
                <w:sz w:val="20"/>
                <w:szCs w:val="20"/>
              </w:rPr>
            </w:pPr>
            <w:r>
              <w:rPr>
                <w:spacing w:val="2"/>
                <w:sz w:val="20"/>
                <w:szCs w:val="20"/>
              </w:rPr>
              <w:t>次要</w:t>
            </w:r>
          </w:p>
          <w:p w14:paraId="4C562BF8">
            <w:pPr>
              <w:pStyle w:val="6"/>
              <w:spacing w:before="20" w:line="230" w:lineRule="auto"/>
              <w:ind w:left="189"/>
              <w:rPr>
                <w:sz w:val="20"/>
                <w:szCs w:val="20"/>
              </w:rPr>
            </w:pPr>
            <w:r>
              <w:rPr>
                <w:spacing w:val="1"/>
                <w:sz w:val="20"/>
                <w:szCs w:val="20"/>
              </w:rPr>
              <w:t>制约</w:t>
            </w:r>
          </w:p>
          <w:p w14:paraId="02C54C6E">
            <w:pPr>
              <w:pStyle w:val="6"/>
              <w:spacing w:before="24" w:line="234" w:lineRule="auto"/>
              <w:ind w:left="210"/>
              <w:rPr>
                <w:sz w:val="20"/>
                <w:szCs w:val="20"/>
              </w:rPr>
            </w:pPr>
            <w:r>
              <w:rPr>
                <w:spacing w:val="-9"/>
                <w:sz w:val="20"/>
                <w:szCs w:val="20"/>
              </w:rPr>
              <w:t>因素</w:t>
            </w:r>
          </w:p>
        </w:tc>
      </w:tr>
      <w:tr w14:paraId="24D359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4" w:hRule="atLeast"/>
        </w:trPr>
        <w:tc>
          <w:tcPr>
            <w:tcW w:w="495" w:type="dxa"/>
            <w:vMerge w:val="continue"/>
            <w:tcBorders>
              <w:top w:val="nil"/>
              <w:left w:val="single" w:color="000000" w:sz="10" w:space="0"/>
            </w:tcBorders>
            <w:textDirection w:val="tbRlV"/>
            <w:vAlign w:val="top"/>
          </w:tcPr>
          <w:p w14:paraId="1275033F">
            <w:pPr>
              <w:rPr>
                <w:rFonts w:ascii="Arial"/>
                <w:sz w:val="21"/>
              </w:rPr>
            </w:pPr>
          </w:p>
        </w:tc>
        <w:tc>
          <w:tcPr>
            <w:tcW w:w="865" w:type="dxa"/>
            <w:vAlign w:val="top"/>
          </w:tcPr>
          <w:p w14:paraId="371FE461">
            <w:pPr>
              <w:spacing w:line="378" w:lineRule="auto"/>
              <w:rPr>
                <w:rFonts w:ascii="Arial"/>
                <w:sz w:val="21"/>
              </w:rPr>
            </w:pPr>
          </w:p>
          <w:p w14:paraId="0A3CC960">
            <w:pPr>
              <w:pStyle w:val="6"/>
              <w:spacing w:before="65" w:line="232" w:lineRule="auto"/>
              <w:ind w:left="117"/>
              <w:rPr>
                <w:sz w:val="20"/>
                <w:szCs w:val="20"/>
              </w:rPr>
            </w:pPr>
            <w:r>
              <w:rPr>
                <w:spacing w:val="5"/>
                <w:sz w:val="20"/>
                <w:szCs w:val="20"/>
              </w:rPr>
              <w:t>水土流</w:t>
            </w:r>
          </w:p>
          <w:p w14:paraId="706D2A5D">
            <w:pPr>
              <w:pStyle w:val="6"/>
              <w:spacing w:before="19" w:line="232" w:lineRule="auto"/>
              <w:ind w:left="121"/>
              <w:rPr>
                <w:sz w:val="20"/>
                <w:szCs w:val="20"/>
              </w:rPr>
            </w:pPr>
            <w:r>
              <w:rPr>
                <w:spacing w:val="3"/>
                <w:sz w:val="20"/>
                <w:szCs w:val="20"/>
              </w:rPr>
              <w:t>失和地</w:t>
            </w:r>
          </w:p>
          <w:p w14:paraId="1EF9E8CD">
            <w:pPr>
              <w:pStyle w:val="6"/>
              <w:spacing w:before="22" w:line="232" w:lineRule="auto"/>
              <w:ind w:left="123"/>
              <w:rPr>
                <w:sz w:val="20"/>
                <w:szCs w:val="20"/>
              </w:rPr>
            </w:pPr>
            <w:r>
              <w:rPr>
                <w:spacing w:val="3"/>
                <w:sz w:val="20"/>
                <w:szCs w:val="20"/>
              </w:rPr>
              <w:t>质灾害</w:t>
            </w:r>
          </w:p>
        </w:tc>
        <w:tc>
          <w:tcPr>
            <w:tcW w:w="6898" w:type="dxa"/>
            <w:vAlign w:val="top"/>
          </w:tcPr>
          <w:p w14:paraId="1CD65C36">
            <w:pPr>
              <w:pStyle w:val="6"/>
              <w:spacing w:before="38" w:line="251" w:lineRule="auto"/>
              <w:ind w:left="109" w:right="95" w:firstLine="4"/>
              <w:jc w:val="both"/>
              <w:rPr>
                <w:sz w:val="20"/>
                <w:szCs w:val="20"/>
              </w:rPr>
            </w:pPr>
            <w:r>
              <w:rPr>
                <w:spacing w:val="4"/>
                <w:sz w:val="20"/>
                <w:szCs w:val="20"/>
              </w:rPr>
              <w:t>黔江区属于属“Ⅲ</w:t>
            </w:r>
            <w:r>
              <w:rPr>
                <w:rFonts w:ascii="Times New Roman" w:hAnsi="Times New Roman" w:eastAsia="Times New Roman" w:cs="Times New Roman"/>
                <w:spacing w:val="4"/>
                <w:sz w:val="20"/>
                <w:szCs w:val="20"/>
              </w:rPr>
              <w:t>2</w:t>
            </w:r>
            <w:r>
              <w:rPr>
                <w:rFonts w:ascii="Times New Roman" w:hAnsi="Times New Roman" w:eastAsia="Times New Roman" w:cs="Times New Roman"/>
                <w:spacing w:val="25"/>
                <w:sz w:val="20"/>
                <w:szCs w:val="20"/>
              </w:rPr>
              <w:t xml:space="preserve"> </w:t>
            </w:r>
            <w:r>
              <w:rPr>
                <w:spacing w:val="4"/>
                <w:sz w:val="20"/>
                <w:szCs w:val="20"/>
              </w:rPr>
              <w:t>渝东南岩溶石山林草生态亚区</w:t>
            </w:r>
            <w:r>
              <w:rPr>
                <w:spacing w:val="-70"/>
                <w:sz w:val="20"/>
                <w:szCs w:val="20"/>
              </w:rPr>
              <w:t xml:space="preserve"> </w:t>
            </w:r>
            <w:r>
              <w:rPr>
                <w:spacing w:val="4"/>
                <w:sz w:val="20"/>
                <w:szCs w:val="20"/>
              </w:rPr>
              <w:t>”中“Ⅲ</w:t>
            </w:r>
            <w:r>
              <w:rPr>
                <w:rFonts w:ascii="Times New Roman" w:hAnsi="Times New Roman" w:eastAsia="Times New Roman" w:cs="Times New Roman"/>
                <w:spacing w:val="4"/>
                <w:sz w:val="20"/>
                <w:szCs w:val="20"/>
              </w:rPr>
              <w:t>2-1</w:t>
            </w:r>
            <w:r>
              <w:rPr>
                <w:rFonts w:ascii="Times New Roman" w:hAnsi="Times New Roman" w:eastAsia="Times New Roman" w:cs="Times New Roman"/>
                <w:spacing w:val="24"/>
                <w:sz w:val="20"/>
                <w:szCs w:val="20"/>
              </w:rPr>
              <w:t xml:space="preserve"> </w:t>
            </w:r>
            <w:r>
              <w:rPr>
                <w:spacing w:val="4"/>
                <w:sz w:val="20"/>
                <w:szCs w:val="20"/>
              </w:rPr>
              <w:t>黔江－彭水</w:t>
            </w:r>
            <w:r>
              <w:rPr>
                <w:sz w:val="20"/>
                <w:szCs w:val="20"/>
              </w:rPr>
              <w:t xml:space="preserve"> </w:t>
            </w:r>
            <w:r>
              <w:rPr>
                <w:spacing w:val="8"/>
                <w:sz w:val="20"/>
                <w:szCs w:val="20"/>
              </w:rPr>
              <w:t>石漠化敏感区</w:t>
            </w:r>
            <w:r>
              <w:rPr>
                <w:spacing w:val="-70"/>
                <w:sz w:val="20"/>
                <w:szCs w:val="20"/>
              </w:rPr>
              <w:t xml:space="preserve"> </w:t>
            </w:r>
            <w:r>
              <w:rPr>
                <w:spacing w:val="8"/>
                <w:sz w:val="20"/>
                <w:szCs w:val="20"/>
              </w:rPr>
              <w:t>”，调整区块涉及重庆市水土流失重点治理区，水土流失仍</w:t>
            </w:r>
            <w:r>
              <w:rPr>
                <w:sz w:val="20"/>
                <w:szCs w:val="20"/>
              </w:rPr>
              <w:t xml:space="preserve"> </w:t>
            </w:r>
            <w:r>
              <w:rPr>
                <w:spacing w:val="8"/>
                <w:sz w:val="20"/>
                <w:szCs w:val="20"/>
              </w:rPr>
              <w:t>是矿山开采过程中不可忽视的生态隐患。</w:t>
            </w:r>
          </w:p>
          <w:p w14:paraId="2B1D6B73">
            <w:pPr>
              <w:pStyle w:val="6"/>
              <w:spacing w:before="2" w:line="236" w:lineRule="auto"/>
              <w:ind w:left="109" w:right="95" w:firstLine="4"/>
              <w:jc w:val="both"/>
              <w:rPr>
                <w:sz w:val="20"/>
                <w:szCs w:val="20"/>
              </w:rPr>
            </w:pPr>
            <w:r>
              <w:rPr>
                <w:spacing w:val="9"/>
                <w:sz w:val="20"/>
                <w:szCs w:val="20"/>
              </w:rPr>
              <w:t>黔江区地质灾害高易发区内无调整区块，地质灾害中易发</w:t>
            </w:r>
            <w:r>
              <w:rPr>
                <w:spacing w:val="8"/>
                <w:sz w:val="20"/>
                <w:szCs w:val="20"/>
              </w:rPr>
              <w:t>区和低易发区有</w:t>
            </w:r>
            <w:r>
              <w:rPr>
                <w:sz w:val="20"/>
                <w:szCs w:val="20"/>
              </w:rPr>
              <w:t xml:space="preserve"> </w:t>
            </w:r>
            <w:r>
              <w:rPr>
                <w:spacing w:val="9"/>
                <w:sz w:val="20"/>
                <w:szCs w:val="20"/>
              </w:rPr>
              <w:t>区块。为此，应加强规划，不在地质灾害危险区设置矿权区块。规划</w:t>
            </w:r>
            <w:r>
              <w:rPr>
                <w:spacing w:val="8"/>
                <w:sz w:val="20"/>
                <w:szCs w:val="20"/>
              </w:rPr>
              <w:t>实施</w:t>
            </w:r>
            <w:r>
              <w:rPr>
                <w:sz w:val="20"/>
                <w:szCs w:val="20"/>
              </w:rPr>
              <w:t xml:space="preserve"> </w:t>
            </w:r>
            <w:r>
              <w:rPr>
                <w:spacing w:val="8"/>
                <w:sz w:val="20"/>
                <w:szCs w:val="20"/>
              </w:rPr>
              <w:t>应加强地质灾害监测与防治、水土流失防治。</w:t>
            </w:r>
          </w:p>
        </w:tc>
        <w:tc>
          <w:tcPr>
            <w:tcW w:w="764" w:type="dxa"/>
            <w:tcBorders>
              <w:right w:val="single" w:color="000000" w:sz="10" w:space="0"/>
            </w:tcBorders>
            <w:vAlign w:val="top"/>
          </w:tcPr>
          <w:p w14:paraId="57D2521B">
            <w:pPr>
              <w:spacing w:line="378" w:lineRule="auto"/>
              <w:rPr>
                <w:rFonts w:ascii="Arial"/>
                <w:sz w:val="21"/>
              </w:rPr>
            </w:pPr>
          </w:p>
          <w:p w14:paraId="63A95EB2">
            <w:pPr>
              <w:pStyle w:val="6"/>
              <w:spacing w:before="65" w:line="234" w:lineRule="auto"/>
              <w:ind w:left="194"/>
              <w:rPr>
                <w:sz w:val="20"/>
                <w:szCs w:val="20"/>
              </w:rPr>
            </w:pPr>
            <w:r>
              <w:rPr>
                <w:spacing w:val="-1"/>
                <w:sz w:val="20"/>
                <w:szCs w:val="20"/>
              </w:rPr>
              <w:t>主要</w:t>
            </w:r>
          </w:p>
          <w:p w14:paraId="556AB2F8">
            <w:pPr>
              <w:pStyle w:val="6"/>
              <w:spacing w:before="18" w:line="230" w:lineRule="auto"/>
              <w:ind w:left="189"/>
              <w:rPr>
                <w:sz w:val="20"/>
                <w:szCs w:val="20"/>
              </w:rPr>
            </w:pPr>
            <w:r>
              <w:rPr>
                <w:spacing w:val="1"/>
                <w:sz w:val="20"/>
                <w:szCs w:val="20"/>
              </w:rPr>
              <w:t>制约</w:t>
            </w:r>
          </w:p>
          <w:p w14:paraId="24978B45">
            <w:pPr>
              <w:pStyle w:val="6"/>
              <w:spacing w:before="24" w:line="234" w:lineRule="auto"/>
              <w:ind w:left="210"/>
              <w:rPr>
                <w:sz w:val="20"/>
                <w:szCs w:val="20"/>
              </w:rPr>
            </w:pPr>
            <w:r>
              <w:rPr>
                <w:spacing w:val="-9"/>
                <w:sz w:val="20"/>
                <w:szCs w:val="20"/>
              </w:rPr>
              <w:t>因素</w:t>
            </w:r>
          </w:p>
        </w:tc>
      </w:tr>
      <w:tr w14:paraId="4DF960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495" w:type="dxa"/>
            <w:tcBorders>
              <w:left w:val="single" w:color="000000" w:sz="10" w:space="0"/>
            </w:tcBorders>
            <w:textDirection w:val="tbRlV"/>
            <w:vAlign w:val="top"/>
          </w:tcPr>
          <w:p w14:paraId="21C208AD">
            <w:pPr>
              <w:pStyle w:val="6"/>
              <w:spacing w:before="144" w:line="210" w:lineRule="auto"/>
              <w:ind w:left="177"/>
              <w:rPr>
                <w:sz w:val="20"/>
                <w:szCs w:val="20"/>
              </w:rPr>
            </w:pPr>
            <w:r>
              <w:rPr>
                <w:spacing w:val="13"/>
                <w:sz w:val="20"/>
                <w:szCs w:val="20"/>
              </w:rPr>
              <w:t>土</w:t>
            </w:r>
            <w:r>
              <w:rPr>
                <w:spacing w:val="-38"/>
                <w:sz w:val="20"/>
                <w:szCs w:val="20"/>
              </w:rPr>
              <w:t xml:space="preserve"> </w:t>
            </w:r>
            <w:r>
              <w:rPr>
                <w:spacing w:val="13"/>
                <w:sz w:val="20"/>
                <w:szCs w:val="20"/>
              </w:rPr>
              <w:t>地</w:t>
            </w:r>
            <w:r>
              <w:rPr>
                <w:spacing w:val="-43"/>
                <w:sz w:val="20"/>
                <w:szCs w:val="20"/>
              </w:rPr>
              <w:t xml:space="preserve"> </w:t>
            </w:r>
            <w:r>
              <w:rPr>
                <w:spacing w:val="13"/>
                <w:sz w:val="20"/>
                <w:szCs w:val="20"/>
              </w:rPr>
              <w:t>资</w:t>
            </w:r>
            <w:r>
              <w:rPr>
                <w:spacing w:val="-40"/>
                <w:sz w:val="20"/>
                <w:szCs w:val="20"/>
              </w:rPr>
              <w:t xml:space="preserve"> </w:t>
            </w:r>
            <w:r>
              <w:rPr>
                <w:spacing w:val="13"/>
                <w:sz w:val="20"/>
                <w:szCs w:val="20"/>
              </w:rPr>
              <w:t>源</w:t>
            </w:r>
          </w:p>
        </w:tc>
        <w:tc>
          <w:tcPr>
            <w:tcW w:w="865" w:type="dxa"/>
            <w:vAlign w:val="top"/>
          </w:tcPr>
          <w:p w14:paraId="0C73EAD9">
            <w:pPr>
              <w:spacing w:line="383" w:lineRule="auto"/>
              <w:rPr>
                <w:rFonts w:ascii="Arial"/>
                <w:sz w:val="21"/>
              </w:rPr>
            </w:pPr>
          </w:p>
          <w:p w14:paraId="7127F1A3">
            <w:pPr>
              <w:pStyle w:val="6"/>
              <w:spacing w:before="65" w:line="231" w:lineRule="auto"/>
              <w:ind w:left="121"/>
              <w:rPr>
                <w:sz w:val="20"/>
                <w:szCs w:val="20"/>
              </w:rPr>
            </w:pPr>
            <w:r>
              <w:rPr>
                <w:spacing w:val="3"/>
                <w:sz w:val="20"/>
                <w:szCs w:val="20"/>
              </w:rPr>
              <w:t>永久基</w:t>
            </w:r>
          </w:p>
          <w:p w14:paraId="6B29F7EB">
            <w:pPr>
              <w:pStyle w:val="6"/>
              <w:spacing w:before="20" w:line="231" w:lineRule="auto"/>
              <w:ind w:left="119"/>
              <w:rPr>
                <w:sz w:val="20"/>
                <w:szCs w:val="20"/>
              </w:rPr>
            </w:pPr>
            <w:r>
              <w:rPr>
                <w:spacing w:val="4"/>
                <w:sz w:val="20"/>
                <w:szCs w:val="20"/>
              </w:rPr>
              <w:t>本农田</w:t>
            </w:r>
          </w:p>
        </w:tc>
        <w:tc>
          <w:tcPr>
            <w:tcW w:w="6898" w:type="dxa"/>
            <w:vAlign w:val="top"/>
          </w:tcPr>
          <w:p w14:paraId="756C7B9C">
            <w:pPr>
              <w:pStyle w:val="6"/>
              <w:spacing w:before="42" w:line="242" w:lineRule="auto"/>
              <w:ind w:left="109" w:right="28" w:firstLine="3"/>
              <w:jc w:val="both"/>
              <w:rPr>
                <w:sz w:val="20"/>
                <w:szCs w:val="20"/>
              </w:rPr>
            </w:pPr>
            <w:r>
              <w:rPr>
                <w:spacing w:val="4"/>
                <w:sz w:val="20"/>
                <w:szCs w:val="20"/>
              </w:rPr>
              <w:t>永久基本农田范围内禁止任何单位和个人建窑、建房、建坟、挖沙、采石、</w:t>
            </w:r>
            <w:r>
              <w:rPr>
                <w:spacing w:val="18"/>
                <w:sz w:val="20"/>
                <w:szCs w:val="20"/>
              </w:rPr>
              <w:t xml:space="preserve"> </w:t>
            </w:r>
            <w:r>
              <w:rPr>
                <w:spacing w:val="9"/>
                <w:sz w:val="20"/>
                <w:szCs w:val="20"/>
              </w:rPr>
              <w:t>采矿、取土、堆放固体废弃物或者进行其他破坏永久基本农田的活动</w:t>
            </w:r>
            <w:r>
              <w:rPr>
                <w:spacing w:val="8"/>
                <w:sz w:val="20"/>
                <w:szCs w:val="20"/>
              </w:rPr>
              <w:t>。永</w:t>
            </w:r>
            <w:r>
              <w:rPr>
                <w:sz w:val="20"/>
                <w:szCs w:val="20"/>
              </w:rPr>
              <w:t xml:space="preserve"> </w:t>
            </w:r>
            <w:r>
              <w:rPr>
                <w:spacing w:val="9"/>
                <w:sz w:val="20"/>
                <w:szCs w:val="20"/>
              </w:rPr>
              <w:t>久基本农田范围内禁止投资建设除国家重大战略资源勘查项目、生态</w:t>
            </w:r>
            <w:r>
              <w:rPr>
                <w:spacing w:val="8"/>
                <w:sz w:val="20"/>
                <w:szCs w:val="20"/>
              </w:rPr>
              <w:t>保护</w:t>
            </w:r>
            <w:r>
              <w:rPr>
                <w:sz w:val="20"/>
                <w:szCs w:val="20"/>
              </w:rPr>
              <w:t xml:space="preserve"> </w:t>
            </w:r>
            <w:r>
              <w:rPr>
                <w:spacing w:val="9"/>
                <w:sz w:val="20"/>
                <w:szCs w:val="20"/>
              </w:rPr>
              <w:t>修复和环境治理项目等必要的民生项目以外的项目。调整区块占用永</w:t>
            </w:r>
            <w:r>
              <w:rPr>
                <w:spacing w:val="8"/>
                <w:sz w:val="20"/>
                <w:szCs w:val="20"/>
              </w:rPr>
              <w:t>久基</w:t>
            </w:r>
            <w:r>
              <w:rPr>
                <w:sz w:val="20"/>
                <w:szCs w:val="20"/>
              </w:rPr>
              <w:t xml:space="preserve"> </w:t>
            </w:r>
            <w:r>
              <w:rPr>
                <w:spacing w:val="3"/>
                <w:sz w:val="20"/>
                <w:szCs w:val="20"/>
              </w:rPr>
              <w:t>本农田。</w:t>
            </w:r>
          </w:p>
        </w:tc>
        <w:tc>
          <w:tcPr>
            <w:tcW w:w="764" w:type="dxa"/>
            <w:tcBorders>
              <w:right w:val="single" w:color="000000" w:sz="10" w:space="0"/>
            </w:tcBorders>
            <w:vAlign w:val="top"/>
          </w:tcPr>
          <w:p w14:paraId="496BCC4B">
            <w:pPr>
              <w:spacing w:line="247" w:lineRule="auto"/>
              <w:rPr>
                <w:rFonts w:ascii="Arial"/>
                <w:sz w:val="21"/>
              </w:rPr>
            </w:pPr>
          </w:p>
          <w:p w14:paraId="2910366F">
            <w:pPr>
              <w:pStyle w:val="6"/>
              <w:spacing w:before="65" w:line="234" w:lineRule="auto"/>
              <w:ind w:left="194"/>
              <w:rPr>
                <w:sz w:val="20"/>
                <w:szCs w:val="20"/>
              </w:rPr>
            </w:pPr>
            <w:r>
              <w:rPr>
                <w:spacing w:val="-1"/>
                <w:sz w:val="20"/>
                <w:szCs w:val="20"/>
              </w:rPr>
              <w:t>主要</w:t>
            </w:r>
          </w:p>
          <w:p w14:paraId="495EADDB">
            <w:pPr>
              <w:pStyle w:val="6"/>
              <w:spacing w:before="18" w:line="230" w:lineRule="auto"/>
              <w:ind w:left="189"/>
              <w:rPr>
                <w:sz w:val="20"/>
                <w:szCs w:val="20"/>
              </w:rPr>
            </w:pPr>
            <w:r>
              <w:rPr>
                <w:spacing w:val="1"/>
                <w:sz w:val="20"/>
                <w:szCs w:val="20"/>
              </w:rPr>
              <w:t>制约</w:t>
            </w:r>
          </w:p>
          <w:p w14:paraId="3C5CE253">
            <w:pPr>
              <w:pStyle w:val="6"/>
              <w:spacing w:before="24" w:line="234" w:lineRule="auto"/>
              <w:ind w:left="210"/>
              <w:rPr>
                <w:sz w:val="20"/>
                <w:szCs w:val="20"/>
              </w:rPr>
            </w:pPr>
            <w:r>
              <w:rPr>
                <w:spacing w:val="-9"/>
                <w:sz w:val="20"/>
                <w:szCs w:val="20"/>
              </w:rPr>
              <w:t>因素</w:t>
            </w:r>
          </w:p>
        </w:tc>
      </w:tr>
      <w:tr w14:paraId="030299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495" w:type="dxa"/>
            <w:vMerge w:val="restart"/>
            <w:tcBorders>
              <w:left w:val="single" w:color="000000" w:sz="10" w:space="0"/>
              <w:bottom w:val="nil"/>
            </w:tcBorders>
            <w:textDirection w:val="tbRlV"/>
            <w:vAlign w:val="top"/>
          </w:tcPr>
          <w:p w14:paraId="2CC4F8C8">
            <w:pPr>
              <w:pStyle w:val="6"/>
              <w:spacing w:before="144" w:line="209" w:lineRule="auto"/>
              <w:ind w:left="1281"/>
              <w:rPr>
                <w:sz w:val="20"/>
                <w:szCs w:val="20"/>
              </w:rPr>
            </w:pPr>
            <w:r>
              <w:rPr>
                <w:spacing w:val="13"/>
                <w:sz w:val="20"/>
                <w:szCs w:val="20"/>
              </w:rPr>
              <w:t>环</w:t>
            </w:r>
            <w:r>
              <w:rPr>
                <w:spacing w:val="-38"/>
                <w:sz w:val="20"/>
                <w:szCs w:val="20"/>
              </w:rPr>
              <w:t xml:space="preserve"> </w:t>
            </w:r>
            <w:r>
              <w:rPr>
                <w:spacing w:val="13"/>
                <w:sz w:val="20"/>
                <w:szCs w:val="20"/>
              </w:rPr>
              <w:t>境</w:t>
            </w:r>
            <w:r>
              <w:rPr>
                <w:spacing w:val="-43"/>
                <w:sz w:val="20"/>
                <w:szCs w:val="20"/>
              </w:rPr>
              <w:t xml:space="preserve"> </w:t>
            </w:r>
            <w:r>
              <w:rPr>
                <w:spacing w:val="13"/>
                <w:sz w:val="20"/>
                <w:szCs w:val="20"/>
              </w:rPr>
              <w:t>要</w:t>
            </w:r>
            <w:r>
              <w:rPr>
                <w:spacing w:val="-40"/>
                <w:sz w:val="20"/>
                <w:szCs w:val="20"/>
              </w:rPr>
              <w:t xml:space="preserve"> </w:t>
            </w:r>
            <w:r>
              <w:rPr>
                <w:spacing w:val="13"/>
                <w:sz w:val="20"/>
                <w:szCs w:val="20"/>
              </w:rPr>
              <w:t>素</w:t>
            </w:r>
          </w:p>
        </w:tc>
        <w:tc>
          <w:tcPr>
            <w:tcW w:w="865" w:type="dxa"/>
            <w:vAlign w:val="top"/>
          </w:tcPr>
          <w:p w14:paraId="487030C9">
            <w:pPr>
              <w:spacing w:line="388" w:lineRule="auto"/>
              <w:rPr>
                <w:rFonts w:ascii="Arial"/>
                <w:sz w:val="21"/>
              </w:rPr>
            </w:pPr>
          </w:p>
          <w:p w14:paraId="52193170">
            <w:pPr>
              <w:pStyle w:val="6"/>
              <w:spacing w:before="65" w:line="251" w:lineRule="auto"/>
              <w:ind w:left="331" w:right="126" w:hanging="211"/>
              <w:rPr>
                <w:sz w:val="20"/>
                <w:szCs w:val="20"/>
              </w:rPr>
            </w:pPr>
            <w:r>
              <w:rPr>
                <w:spacing w:val="4"/>
                <w:sz w:val="20"/>
                <w:szCs w:val="20"/>
              </w:rPr>
              <w:t>大气环</w:t>
            </w:r>
            <w:r>
              <w:rPr>
                <w:sz w:val="20"/>
                <w:szCs w:val="20"/>
              </w:rPr>
              <w:t xml:space="preserve"> 境</w:t>
            </w:r>
          </w:p>
        </w:tc>
        <w:tc>
          <w:tcPr>
            <w:tcW w:w="6898" w:type="dxa"/>
            <w:vAlign w:val="top"/>
          </w:tcPr>
          <w:p w14:paraId="506ACB45">
            <w:pPr>
              <w:pStyle w:val="6"/>
              <w:spacing w:before="47" w:line="241" w:lineRule="auto"/>
              <w:ind w:left="109" w:right="95" w:hanging="9"/>
              <w:jc w:val="both"/>
              <w:rPr>
                <w:sz w:val="20"/>
                <w:szCs w:val="20"/>
              </w:rPr>
            </w:pPr>
            <w:r>
              <w:rPr>
                <w:rFonts w:ascii="Times New Roman" w:hAnsi="Times New Roman" w:eastAsia="Times New Roman" w:cs="Times New Roman"/>
                <w:spacing w:val="7"/>
                <w:sz w:val="20"/>
                <w:szCs w:val="20"/>
              </w:rPr>
              <w:t>2024</w:t>
            </w:r>
            <w:r>
              <w:rPr>
                <w:rFonts w:ascii="Times New Roman" w:hAnsi="Times New Roman" w:eastAsia="Times New Roman" w:cs="Times New Roman"/>
                <w:spacing w:val="19"/>
                <w:w w:val="101"/>
                <w:sz w:val="20"/>
                <w:szCs w:val="20"/>
              </w:rPr>
              <w:t xml:space="preserve"> </w:t>
            </w:r>
            <w:r>
              <w:rPr>
                <w:spacing w:val="7"/>
                <w:sz w:val="20"/>
                <w:szCs w:val="20"/>
              </w:rPr>
              <w:t>年黔江区属于环境空气质量达标区。规划</w:t>
            </w:r>
            <w:r>
              <w:rPr>
                <w:spacing w:val="6"/>
                <w:sz w:val="20"/>
                <w:szCs w:val="20"/>
              </w:rPr>
              <w:t>必须结合黔江区空气质量整</w:t>
            </w:r>
            <w:r>
              <w:rPr>
                <w:sz w:val="20"/>
                <w:szCs w:val="20"/>
              </w:rPr>
              <w:t xml:space="preserve"> </w:t>
            </w:r>
            <w:r>
              <w:rPr>
                <w:spacing w:val="9"/>
                <w:sz w:val="20"/>
                <w:szCs w:val="20"/>
              </w:rPr>
              <w:t>治工作，以改善区域环境质量为核心，处理好矿产资源开发与环境保</w:t>
            </w:r>
            <w:r>
              <w:rPr>
                <w:spacing w:val="8"/>
                <w:sz w:val="20"/>
                <w:szCs w:val="20"/>
              </w:rPr>
              <w:t>护的</w:t>
            </w:r>
            <w:r>
              <w:rPr>
                <w:sz w:val="20"/>
                <w:szCs w:val="20"/>
              </w:rPr>
              <w:t xml:space="preserve"> </w:t>
            </w:r>
            <w:r>
              <w:rPr>
                <w:spacing w:val="9"/>
                <w:sz w:val="20"/>
                <w:szCs w:val="20"/>
              </w:rPr>
              <w:t>关系，强化粉尘污染防治，严禁造成区域环境恶化。邻近环境敏感区</w:t>
            </w:r>
            <w:r>
              <w:rPr>
                <w:spacing w:val="8"/>
                <w:sz w:val="20"/>
                <w:szCs w:val="20"/>
              </w:rPr>
              <w:t>的采</w:t>
            </w:r>
            <w:r>
              <w:rPr>
                <w:sz w:val="20"/>
                <w:szCs w:val="20"/>
              </w:rPr>
              <w:t xml:space="preserve"> </w:t>
            </w:r>
            <w:r>
              <w:rPr>
                <w:spacing w:val="9"/>
                <w:sz w:val="20"/>
                <w:szCs w:val="20"/>
              </w:rPr>
              <w:t>矿权更应强化粉尘污染防治，保证采区外环境空气质量达到相应环境</w:t>
            </w:r>
            <w:r>
              <w:rPr>
                <w:spacing w:val="8"/>
                <w:sz w:val="20"/>
                <w:szCs w:val="20"/>
              </w:rPr>
              <w:t>功能</w:t>
            </w:r>
            <w:r>
              <w:rPr>
                <w:sz w:val="20"/>
                <w:szCs w:val="20"/>
              </w:rPr>
              <w:t xml:space="preserve"> </w:t>
            </w:r>
            <w:r>
              <w:rPr>
                <w:spacing w:val="5"/>
                <w:sz w:val="20"/>
                <w:szCs w:val="20"/>
              </w:rPr>
              <w:t>区划的要求。</w:t>
            </w:r>
          </w:p>
        </w:tc>
        <w:tc>
          <w:tcPr>
            <w:tcW w:w="764" w:type="dxa"/>
            <w:tcBorders>
              <w:right w:val="single" w:color="000000" w:sz="10" w:space="0"/>
            </w:tcBorders>
            <w:vAlign w:val="top"/>
          </w:tcPr>
          <w:p w14:paraId="6400C92F">
            <w:pPr>
              <w:spacing w:line="252" w:lineRule="auto"/>
              <w:rPr>
                <w:rFonts w:ascii="Arial"/>
                <w:sz w:val="21"/>
              </w:rPr>
            </w:pPr>
          </w:p>
          <w:p w14:paraId="0803E53F">
            <w:pPr>
              <w:pStyle w:val="6"/>
              <w:spacing w:before="65" w:line="234" w:lineRule="auto"/>
              <w:ind w:left="194"/>
              <w:rPr>
                <w:sz w:val="20"/>
                <w:szCs w:val="20"/>
              </w:rPr>
            </w:pPr>
            <w:r>
              <w:rPr>
                <w:spacing w:val="-1"/>
                <w:sz w:val="20"/>
                <w:szCs w:val="20"/>
              </w:rPr>
              <w:t>主要</w:t>
            </w:r>
          </w:p>
          <w:p w14:paraId="51C56ED6">
            <w:pPr>
              <w:pStyle w:val="6"/>
              <w:spacing w:before="18" w:line="230" w:lineRule="auto"/>
              <w:ind w:left="189"/>
              <w:rPr>
                <w:sz w:val="20"/>
                <w:szCs w:val="20"/>
              </w:rPr>
            </w:pPr>
            <w:r>
              <w:rPr>
                <w:spacing w:val="1"/>
                <w:sz w:val="20"/>
                <w:szCs w:val="20"/>
              </w:rPr>
              <w:t>制约</w:t>
            </w:r>
          </w:p>
          <w:p w14:paraId="65FF2789">
            <w:pPr>
              <w:pStyle w:val="6"/>
              <w:spacing w:before="21" w:line="234" w:lineRule="auto"/>
              <w:ind w:left="210"/>
              <w:rPr>
                <w:sz w:val="20"/>
                <w:szCs w:val="20"/>
              </w:rPr>
            </w:pPr>
            <w:r>
              <w:rPr>
                <w:spacing w:val="-9"/>
                <w:sz w:val="20"/>
                <w:szCs w:val="20"/>
              </w:rPr>
              <w:t>因素</w:t>
            </w:r>
          </w:p>
        </w:tc>
      </w:tr>
      <w:tr w14:paraId="449CC6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1" w:hRule="atLeast"/>
        </w:trPr>
        <w:tc>
          <w:tcPr>
            <w:tcW w:w="495" w:type="dxa"/>
            <w:vMerge w:val="continue"/>
            <w:tcBorders>
              <w:top w:val="nil"/>
              <w:left w:val="single" w:color="000000" w:sz="10" w:space="0"/>
              <w:bottom w:val="nil"/>
            </w:tcBorders>
            <w:textDirection w:val="tbRlV"/>
            <w:vAlign w:val="top"/>
          </w:tcPr>
          <w:p w14:paraId="5583B6EA">
            <w:pPr>
              <w:rPr>
                <w:rFonts w:ascii="Arial"/>
                <w:sz w:val="21"/>
              </w:rPr>
            </w:pPr>
          </w:p>
        </w:tc>
        <w:tc>
          <w:tcPr>
            <w:tcW w:w="865" w:type="dxa"/>
            <w:vAlign w:val="top"/>
          </w:tcPr>
          <w:p w14:paraId="2972EF92">
            <w:pPr>
              <w:spacing w:line="254" w:lineRule="auto"/>
              <w:rPr>
                <w:rFonts w:ascii="Arial"/>
                <w:sz w:val="21"/>
              </w:rPr>
            </w:pPr>
          </w:p>
          <w:p w14:paraId="295B2DD4">
            <w:pPr>
              <w:pStyle w:val="6"/>
              <w:spacing w:before="65" w:line="253" w:lineRule="auto"/>
              <w:ind w:left="223" w:right="126" w:hanging="104"/>
              <w:rPr>
                <w:sz w:val="20"/>
                <w:szCs w:val="20"/>
              </w:rPr>
            </w:pPr>
            <w:r>
              <w:rPr>
                <w:spacing w:val="4"/>
                <w:sz w:val="20"/>
                <w:szCs w:val="20"/>
              </w:rPr>
              <w:t>地表水</w:t>
            </w:r>
            <w:r>
              <w:rPr>
                <w:spacing w:val="1"/>
                <w:sz w:val="20"/>
                <w:szCs w:val="20"/>
              </w:rPr>
              <w:t xml:space="preserve"> </w:t>
            </w:r>
            <w:r>
              <w:rPr>
                <w:spacing w:val="2"/>
                <w:sz w:val="20"/>
                <w:szCs w:val="20"/>
              </w:rPr>
              <w:t>环境</w:t>
            </w:r>
          </w:p>
        </w:tc>
        <w:tc>
          <w:tcPr>
            <w:tcW w:w="6898" w:type="dxa"/>
            <w:vAlign w:val="top"/>
          </w:tcPr>
          <w:p w14:paraId="6239AC3C">
            <w:pPr>
              <w:pStyle w:val="6"/>
              <w:spacing w:before="49" w:line="238" w:lineRule="auto"/>
              <w:ind w:left="109" w:right="95"/>
              <w:jc w:val="both"/>
              <w:rPr>
                <w:sz w:val="20"/>
                <w:szCs w:val="20"/>
              </w:rPr>
            </w:pPr>
            <w:r>
              <w:rPr>
                <w:spacing w:val="9"/>
                <w:sz w:val="20"/>
                <w:szCs w:val="20"/>
              </w:rPr>
              <w:t>矿区涉及的地表水体环境功能为Ⅲ类，水环境功能不会制约规划实施</w:t>
            </w:r>
            <w:r>
              <w:rPr>
                <w:spacing w:val="8"/>
                <w:sz w:val="20"/>
                <w:szCs w:val="20"/>
              </w:rPr>
              <w:t>；规</w:t>
            </w:r>
            <w:r>
              <w:rPr>
                <w:sz w:val="20"/>
                <w:szCs w:val="20"/>
              </w:rPr>
              <w:t xml:space="preserve"> </w:t>
            </w:r>
            <w:r>
              <w:rPr>
                <w:spacing w:val="9"/>
                <w:sz w:val="20"/>
                <w:szCs w:val="20"/>
              </w:rPr>
              <w:t>划涉及地表水体指标均满足相关标准，不会成为制约规划实施的关键</w:t>
            </w:r>
            <w:r>
              <w:rPr>
                <w:spacing w:val="8"/>
                <w:sz w:val="20"/>
                <w:szCs w:val="20"/>
              </w:rPr>
              <w:t>性因</w:t>
            </w:r>
            <w:r>
              <w:rPr>
                <w:sz w:val="20"/>
                <w:szCs w:val="20"/>
              </w:rPr>
              <w:t xml:space="preserve"> </w:t>
            </w:r>
            <w:r>
              <w:rPr>
                <w:spacing w:val="9"/>
                <w:sz w:val="20"/>
                <w:szCs w:val="20"/>
              </w:rPr>
              <w:t>素。但规划实施必须采取先进环保工艺和措施，排放污染物必须满足</w:t>
            </w:r>
            <w:r>
              <w:rPr>
                <w:spacing w:val="8"/>
                <w:sz w:val="20"/>
                <w:szCs w:val="20"/>
              </w:rPr>
              <w:t>相关</w:t>
            </w:r>
            <w:r>
              <w:rPr>
                <w:sz w:val="20"/>
                <w:szCs w:val="20"/>
              </w:rPr>
              <w:t xml:space="preserve"> </w:t>
            </w:r>
            <w:r>
              <w:rPr>
                <w:spacing w:val="7"/>
                <w:sz w:val="20"/>
                <w:szCs w:val="20"/>
              </w:rPr>
              <w:t>环保要求，严禁非法排污。</w:t>
            </w:r>
          </w:p>
        </w:tc>
        <w:tc>
          <w:tcPr>
            <w:tcW w:w="764" w:type="dxa"/>
            <w:tcBorders>
              <w:right w:val="single" w:color="000000" w:sz="10" w:space="0"/>
            </w:tcBorders>
            <w:vAlign w:val="top"/>
          </w:tcPr>
          <w:p w14:paraId="2773B372">
            <w:pPr>
              <w:pStyle w:val="6"/>
              <w:spacing w:before="184" w:line="232" w:lineRule="auto"/>
              <w:ind w:left="188"/>
              <w:rPr>
                <w:sz w:val="20"/>
                <w:szCs w:val="20"/>
              </w:rPr>
            </w:pPr>
            <w:r>
              <w:rPr>
                <w:spacing w:val="2"/>
                <w:sz w:val="20"/>
                <w:szCs w:val="20"/>
              </w:rPr>
              <w:t>次要</w:t>
            </w:r>
          </w:p>
          <w:p w14:paraId="6AEC6E7B">
            <w:pPr>
              <w:pStyle w:val="6"/>
              <w:spacing w:before="20" w:line="230" w:lineRule="auto"/>
              <w:ind w:left="189"/>
              <w:rPr>
                <w:sz w:val="20"/>
                <w:szCs w:val="20"/>
              </w:rPr>
            </w:pPr>
            <w:r>
              <w:rPr>
                <w:spacing w:val="1"/>
                <w:sz w:val="20"/>
                <w:szCs w:val="20"/>
              </w:rPr>
              <w:t>制约</w:t>
            </w:r>
          </w:p>
          <w:p w14:paraId="4A2E7A6F">
            <w:pPr>
              <w:pStyle w:val="6"/>
              <w:spacing w:before="23" w:line="234" w:lineRule="auto"/>
              <w:ind w:left="210"/>
              <w:rPr>
                <w:sz w:val="20"/>
                <w:szCs w:val="20"/>
              </w:rPr>
            </w:pPr>
            <w:r>
              <w:rPr>
                <w:spacing w:val="-9"/>
                <w:sz w:val="20"/>
                <w:szCs w:val="20"/>
              </w:rPr>
              <w:t>因素</w:t>
            </w:r>
          </w:p>
        </w:tc>
      </w:tr>
      <w:tr w14:paraId="168D9B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6" w:hRule="atLeast"/>
        </w:trPr>
        <w:tc>
          <w:tcPr>
            <w:tcW w:w="495" w:type="dxa"/>
            <w:vMerge w:val="continue"/>
            <w:tcBorders>
              <w:top w:val="nil"/>
              <w:left w:val="single" w:color="000000" w:sz="10" w:space="0"/>
              <w:bottom w:val="single" w:color="000000" w:sz="10" w:space="0"/>
            </w:tcBorders>
            <w:textDirection w:val="tbRlV"/>
            <w:vAlign w:val="top"/>
          </w:tcPr>
          <w:p w14:paraId="2883D49A">
            <w:pPr>
              <w:rPr>
                <w:rFonts w:ascii="Arial"/>
                <w:sz w:val="21"/>
              </w:rPr>
            </w:pPr>
          </w:p>
        </w:tc>
        <w:tc>
          <w:tcPr>
            <w:tcW w:w="865" w:type="dxa"/>
            <w:tcBorders>
              <w:bottom w:val="single" w:color="000000" w:sz="10" w:space="0"/>
            </w:tcBorders>
            <w:vAlign w:val="top"/>
          </w:tcPr>
          <w:p w14:paraId="64E8D2D9">
            <w:pPr>
              <w:spacing w:line="260" w:lineRule="auto"/>
              <w:rPr>
                <w:rFonts w:ascii="Arial"/>
                <w:sz w:val="21"/>
              </w:rPr>
            </w:pPr>
          </w:p>
          <w:p w14:paraId="0E1DEA88">
            <w:pPr>
              <w:pStyle w:val="6"/>
              <w:spacing w:before="65" w:line="231" w:lineRule="auto"/>
              <w:ind w:left="140"/>
              <w:rPr>
                <w:sz w:val="20"/>
                <w:szCs w:val="20"/>
              </w:rPr>
            </w:pPr>
            <w:r>
              <w:rPr>
                <w:spacing w:val="-3"/>
                <w:sz w:val="20"/>
                <w:szCs w:val="20"/>
              </w:rPr>
              <w:t>固体废</w:t>
            </w:r>
          </w:p>
          <w:p w14:paraId="1599614C">
            <w:pPr>
              <w:pStyle w:val="6"/>
              <w:spacing w:before="21" w:line="229" w:lineRule="auto"/>
              <w:ind w:left="119"/>
              <w:rPr>
                <w:sz w:val="20"/>
                <w:szCs w:val="20"/>
              </w:rPr>
            </w:pPr>
            <w:r>
              <w:rPr>
                <w:spacing w:val="4"/>
                <w:sz w:val="20"/>
                <w:szCs w:val="20"/>
              </w:rPr>
              <w:t>物处置</w:t>
            </w:r>
          </w:p>
        </w:tc>
        <w:tc>
          <w:tcPr>
            <w:tcW w:w="6898" w:type="dxa"/>
            <w:tcBorders>
              <w:bottom w:val="single" w:color="000000" w:sz="10" w:space="0"/>
            </w:tcBorders>
            <w:vAlign w:val="top"/>
          </w:tcPr>
          <w:p w14:paraId="286F9CDD">
            <w:pPr>
              <w:pStyle w:val="6"/>
              <w:spacing w:before="53" w:line="243" w:lineRule="auto"/>
              <w:ind w:left="109" w:right="95" w:firstLine="22"/>
              <w:rPr>
                <w:sz w:val="20"/>
                <w:szCs w:val="20"/>
              </w:rPr>
            </w:pPr>
            <w:r>
              <w:rPr>
                <w:spacing w:val="8"/>
                <w:sz w:val="20"/>
                <w:szCs w:val="20"/>
              </w:rPr>
              <w:t xml:space="preserve">固体废弃物堆积是矿山地质环境面临的一个主要问题，固体废物若不能得 </w:t>
            </w:r>
            <w:r>
              <w:rPr>
                <w:spacing w:val="9"/>
                <w:sz w:val="20"/>
                <w:szCs w:val="20"/>
              </w:rPr>
              <w:t>到综合利用和安全处置，必然对环境带来一定影响；如何对矿产资源</w:t>
            </w:r>
            <w:r>
              <w:rPr>
                <w:spacing w:val="8"/>
                <w:sz w:val="20"/>
                <w:szCs w:val="20"/>
              </w:rPr>
              <w:t>规划</w:t>
            </w:r>
            <w:r>
              <w:rPr>
                <w:sz w:val="20"/>
                <w:szCs w:val="20"/>
              </w:rPr>
              <w:t xml:space="preserve"> </w:t>
            </w:r>
            <w:r>
              <w:rPr>
                <w:spacing w:val="9"/>
                <w:sz w:val="20"/>
                <w:szCs w:val="20"/>
              </w:rPr>
              <w:t>实施过程中产生的固体废物进行综合利用和安全处置也是制约矿产资源</w:t>
            </w:r>
            <w:r>
              <w:rPr>
                <w:spacing w:val="5"/>
                <w:sz w:val="20"/>
                <w:szCs w:val="20"/>
              </w:rPr>
              <w:t xml:space="preserve">   </w:t>
            </w:r>
            <w:r>
              <w:rPr>
                <w:spacing w:val="7"/>
                <w:sz w:val="20"/>
                <w:szCs w:val="20"/>
              </w:rPr>
              <w:t>规划实施的因素之一。</w:t>
            </w:r>
          </w:p>
        </w:tc>
        <w:tc>
          <w:tcPr>
            <w:tcW w:w="764" w:type="dxa"/>
            <w:tcBorders>
              <w:bottom w:val="single" w:color="000000" w:sz="10" w:space="0"/>
              <w:right w:val="single" w:color="000000" w:sz="10" w:space="0"/>
            </w:tcBorders>
            <w:vAlign w:val="top"/>
          </w:tcPr>
          <w:p w14:paraId="35334E2B">
            <w:pPr>
              <w:pStyle w:val="6"/>
              <w:spacing w:before="187" w:line="232" w:lineRule="auto"/>
              <w:ind w:left="188"/>
              <w:rPr>
                <w:sz w:val="20"/>
                <w:szCs w:val="20"/>
              </w:rPr>
            </w:pPr>
            <w:r>
              <w:rPr>
                <w:spacing w:val="2"/>
                <w:sz w:val="20"/>
                <w:szCs w:val="20"/>
              </w:rPr>
              <w:t>次要</w:t>
            </w:r>
          </w:p>
          <w:p w14:paraId="2C23336C">
            <w:pPr>
              <w:pStyle w:val="6"/>
              <w:spacing w:before="22" w:line="230" w:lineRule="auto"/>
              <w:ind w:left="189"/>
              <w:rPr>
                <w:sz w:val="20"/>
                <w:szCs w:val="20"/>
              </w:rPr>
            </w:pPr>
            <w:r>
              <w:rPr>
                <w:spacing w:val="1"/>
                <w:sz w:val="20"/>
                <w:szCs w:val="20"/>
              </w:rPr>
              <w:t>制约</w:t>
            </w:r>
          </w:p>
          <w:p w14:paraId="354928E8">
            <w:pPr>
              <w:pStyle w:val="6"/>
              <w:spacing w:before="21" w:line="234" w:lineRule="auto"/>
              <w:ind w:left="210"/>
              <w:rPr>
                <w:sz w:val="20"/>
                <w:szCs w:val="20"/>
              </w:rPr>
            </w:pPr>
            <w:r>
              <w:rPr>
                <w:spacing w:val="-9"/>
                <w:sz w:val="20"/>
                <w:szCs w:val="20"/>
              </w:rPr>
              <w:t>因素</w:t>
            </w:r>
          </w:p>
        </w:tc>
      </w:tr>
    </w:tbl>
    <w:p w14:paraId="7F28DA97">
      <w:pPr>
        <w:pStyle w:val="2"/>
      </w:pPr>
    </w:p>
    <w:p w14:paraId="4E85E416">
      <w:pPr>
        <w:sectPr>
          <w:headerReference r:id="rId157" w:type="default"/>
          <w:footerReference r:id="rId158" w:type="default"/>
          <w:pgSz w:w="11906" w:h="16839"/>
          <w:pgMar w:top="1116" w:right="1372" w:bottom="1480" w:left="1485" w:header="683" w:footer="1318" w:gutter="0"/>
          <w:cols w:space="720" w:num="1"/>
        </w:sectPr>
      </w:pPr>
    </w:p>
    <w:p w14:paraId="37C10C60">
      <w:pPr>
        <w:pStyle w:val="2"/>
        <w:spacing w:line="314" w:lineRule="auto"/>
      </w:pPr>
    </w:p>
    <w:p w14:paraId="095BAFC2">
      <w:pPr>
        <w:spacing w:before="101" w:line="228" w:lineRule="auto"/>
        <w:ind w:left="2181"/>
        <w:outlineLvl w:val="0"/>
        <w:rPr>
          <w:rFonts w:ascii="仿宋" w:hAnsi="仿宋" w:eastAsia="仿宋" w:cs="仿宋"/>
          <w:sz w:val="31"/>
          <w:szCs w:val="31"/>
        </w:rPr>
      </w:pPr>
      <w:bookmarkStart w:id="20" w:name="bookmark19"/>
      <w:bookmarkEnd w:id="20"/>
      <w:bookmarkStart w:id="21" w:name="bookmark18"/>
      <w:bookmarkEnd w:id="21"/>
      <w:r>
        <w:rPr>
          <w:rFonts w:ascii="Times New Roman" w:hAnsi="Times New Roman" w:eastAsia="Times New Roman" w:cs="Times New Roman"/>
          <w:b/>
          <w:bCs/>
          <w:spacing w:val="6"/>
          <w:sz w:val="31"/>
          <w:szCs w:val="31"/>
        </w:rPr>
        <w:t xml:space="preserve">4  </w:t>
      </w:r>
      <w:r>
        <w:rPr>
          <w:rFonts w:ascii="仿宋" w:hAnsi="仿宋" w:eastAsia="仿宋" w:cs="仿宋"/>
          <w:b/>
          <w:bCs/>
          <w:spacing w:val="6"/>
          <w:sz w:val="31"/>
          <w:szCs w:val="31"/>
        </w:rPr>
        <w:t>环境影响识别与评价指标体系</w:t>
      </w:r>
    </w:p>
    <w:p w14:paraId="5D4757D0">
      <w:pPr>
        <w:spacing w:before="262" w:line="228" w:lineRule="auto"/>
        <w:ind w:left="5"/>
        <w:outlineLvl w:val="1"/>
        <w:rPr>
          <w:rFonts w:ascii="仿宋" w:hAnsi="仿宋" w:eastAsia="仿宋" w:cs="仿宋"/>
          <w:sz w:val="25"/>
          <w:szCs w:val="25"/>
        </w:rPr>
      </w:pPr>
      <w:bookmarkStart w:id="22" w:name="bookmark54"/>
      <w:bookmarkEnd w:id="22"/>
      <w:r>
        <w:rPr>
          <w:rFonts w:ascii="Times New Roman" w:hAnsi="Times New Roman" w:eastAsia="Times New Roman" w:cs="Times New Roman"/>
          <w:b/>
          <w:bCs/>
          <w:spacing w:val="6"/>
          <w:sz w:val="25"/>
          <w:szCs w:val="25"/>
        </w:rPr>
        <w:t xml:space="preserve">4.1  </w:t>
      </w:r>
      <w:r>
        <w:rPr>
          <w:rFonts w:ascii="仿宋" w:hAnsi="仿宋" w:eastAsia="仿宋" w:cs="仿宋"/>
          <w:b/>
          <w:bCs/>
          <w:spacing w:val="6"/>
          <w:sz w:val="25"/>
          <w:szCs w:val="25"/>
        </w:rPr>
        <w:t>规划活动的环境影响特征分析</w:t>
      </w:r>
    </w:p>
    <w:p w14:paraId="2A329BA8">
      <w:pPr>
        <w:spacing w:before="254" w:line="231" w:lineRule="auto"/>
        <w:ind w:left="5"/>
        <w:outlineLvl w:val="2"/>
        <w:rPr>
          <w:rFonts w:ascii="仿宋" w:hAnsi="仿宋" w:eastAsia="仿宋" w:cs="仿宋"/>
          <w:sz w:val="25"/>
          <w:szCs w:val="25"/>
        </w:rPr>
      </w:pPr>
      <w:r>
        <w:rPr>
          <w:rFonts w:ascii="Times New Roman" w:hAnsi="Times New Roman" w:eastAsia="Times New Roman" w:cs="Times New Roman"/>
          <w:b/>
          <w:bCs/>
          <w:spacing w:val="3"/>
          <w:sz w:val="25"/>
          <w:szCs w:val="25"/>
        </w:rPr>
        <w:t>4.1.1</w:t>
      </w:r>
      <w:r>
        <w:rPr>
          <w:rFonts w:ascii="Times New Roman" w:hAnsi="Times New Roman" w:eastAsia="Times New Roman" w:cs="Times New Roman"/>
          <w:b/>
          <w:bCs/>
          <w:spacing w:val="16"/>
          <w:w w:val="101"/>
          <w:sz w:val="25"/>
          <w:szCs w:val="25"/>
        </w:rPr>
        <w:t xml:space="preserve">  </w:t>
      </w:r>
      <w:r>
        <w:rPr>
          <w:rFonts w:ascii="仿宋" w:hAnsi="仿宋" w:eastAsia="仿宋" w:cs="仿宋"/>
          <w:b/>
          <w:bCs/>
          <w:spacing w:val="3"/>
          <w:sz w:val="25"/>
          <w:szCs w:val="25"/>
        </w:rPr>
        <w:t>矿产资源勘查</w:t>
      </w:r>
    </w:p>
    <w:p w14:paraId="41FDFAB5">
      <w:pPr>
        <w:spacing w:before="268" w:line="228" w:lineRule="auto"/>
        <w:ind w:right="16"/>
        <w:jc w:val="right"/>
        <w:rPr>
          <w:rFonts w:ascii="仿宋" w:hAnsi="仿宋" w:eastAsia="仿宋" w:cs="仿宋"/>
          <w:sz w:val="25"/>
          <w:szCs w:val="25"/>
        </w:rPr>
      </w:pPr>
      <w:r>
        <w:rPr>
          <w:rFonts w:ascii="仿宋" w:hAnsi="仿宋" w:eastAsia="仿宋" w:cs="仿宋"/>
          <w:spacing w:val="8"/>
          <w:sz w:val="25"/>
          <w:szCs w:val="25"/>
        </w:rPr>
        <w:t>本次评价的</w:t>
      </w:r>
      <w:r>
        <w:rPr>
          <w:rFonts w:ascii="仿宋" w:hAnsi="仿宋" w:eastAsia="仿宋" w:cs="仿宋"/>
          <w:spacing w:val="-47"/>
          <w:sz w:val="25"/>
          <w:szCs w:val="25"/>
        </w:rPr>
        <w:t xml:space="preserve"> </w:t>
      </w:r>
      <w:r>
        <w:rPr>
          <w:rFonts w:ascii="Times New Roman" w:hAnsi="Times New Roman" w:eastAsia="Times New Roman" w:cs="Times New Roman"/>
          <w:spacing w:val="8"/>
          <w:sz w:val="25"/>
          <w:szCs w:val="25"/>
        </w:rPr>
        <w:t>3</w:t>
      </w:r>
      <w:r>
        <w:rPr>
          <w:rFonts w:ascii="Times New Roman" w:hAnsi="Times New Roman" w:eastAsia="Times New Roman" w:cs="Times New Roman"/>
          <w:spacing w:val="21"/>
          <w:sz w:val="25"/>
          <w:szCs w:val="25"/>
        </w:rPr>
        <w:t xml:space="preserve"> </w:t>
      </w:r>
      <w:r>
        <w:rPr>
          <w:rFonts w:ascii="仿宋" w:hAnsi="仿宋" w:eastAsia="仿宋" w:cs="仿宋"/>
          <w:spacing w:val="8"/>
          <w:sz w:val="25"/>
          <w:szCs w:val="25"/>
        </w:rPr>
        <w:t>个勘查区块涉及矿种为铸型用砂岩、铝土矿和饰面用</w:t>
      </w:r>
      <w:r>
        <w:rPr>
          <w:rFonts w:ascii="仿宋" w:hAnsi="仿宋" w:eastAsia="仿宋" w:cs="仿宋"/>
          <w:spacing w:val="7"/>
          <w:sz w:val="25"/>
          <w:szCs w:val="25"/>
        </w:rPr>
        <w:t>灰岩。</w:t>
      </w:r>
    </w:p>
    <w:p w14:paraId="2807B781">
      <w:pPr>
        <w:spacing w:before="149" w:line="340" w:lineRule="auto"/>
        <w:ind w:left="15" w:right="2" w:firstLine="521"/>
        <w:rPr>
          <w:rFonts w:ascii="仿宋" w:hAnsi="仿宋" w:eastAsia="仿宋" w:cs="仿宋"/>
          <w:sz w:val="25"/>
          <w:szCs w:val="25"/>
        </w:rPr>
      </w:pPr>
      <w:r>
        <w:rPr>
          <w:rFonts w:ascii="仿宋" w:hAnsi="仿宋" w:eastAsia="仿宋" w:cs="仿宋"/>
          <w:spacing w:val="9"/>
          <w:sz w:val="25"/>
          <w:szCs w:val="25"/>
        </w:rPr>
        <w:t>矿产资源勘查：主要通过钻探、槽探、坑探等活动采集（或收集）矿产品</w:t>
      </w:r>
      <w:r>
        <w:rPr>
          <w:rFonts w:ascii="仿宋" w:hAnsi="仿宋" w:eastAsia="仿宋" w:cs="仿宋"/>
          <w:spacing w:val="16"/>
          <w:sz w:val="25"/>
          <w:szCs w:val="25"/>
        </w:rPr>
        <w:t xml:space="preserve"> </w:t>
      </w:r>
      <w:r>
        <w:rPr>
          <w:rFonts w:ascii="仿宋" w:hAnsi="仿宋" w:eastAsia="仿宋" w:cs="仿宋"/>
          <w:spacing w:val="10"/>
          <w:sz w:val="25"/>
          <w:szCs w:val="25"/>
        </w:rPr>
        <w:t>（如矿石等）进行化验分析，确定固体矿产的</w:t>
      </w:r>
      <w:r>
        <w:rPr>
          <w:rFonts w:ascii="仿宋" w:hAnsi="仿宋" w:eastAsia="仿宋" w:cs="仿宋"/>
          <w:spacing w:val="9"/>
          <w:sz w:val="25"/>
          <w:szCs w:val="25"/>
        </w:rPr>
        <w:t>品级和储量及矿产品分布等。本</w:t>
      </w:r>
      <w:r>
        <w:rPr>
          <w:rFonts w:ascii="仿宋" w:hAnsi="仿宋" w:eastAsia="仿宋" w:cs="仿宋"/>
          <w:sz w:val="25"/>
          <w:szCs w:val="25"/>
        </w:rPr>
        <w:t xml:space="preserve"> </w:t>
      </w:r>
      <w:r>
        <w:rPr>
          <w:rFonts w:ascii="仿宋" w:hAnsi="仿宋" w:eastAsia="仿宋" w:cs="仿宋"/>
          <w:spacing w:val="10"/>
          <w:sz w:val="25"/>
          <w:szCs w:val="25"/>
        </w:rPr>
        <w:t>次调整勘查区块采用钻探和槽探相结合的勘查</w:t>
      </w:r>
      <w:r>
        <w:rPr>
          <w:rFonts w:ascii="仿宋" w:hAnsi="仿宋" w:eastAsia="仿宋" w:cs="仿宋"/>
          <w:spacing w:val="9"/>
          <w:sz w:val="25"/>
          <w:szCs w:val="25"/>
        </w:rPr>
        <w:t>工艺，钻探选取清水进行循环钻</w:t>
      </w:r>
      <w:r>
        <w:rPr>
          <w:rFonts w:ascii="仿宋" w:hAnsi="仿宋" w:eastAsia="仿宋" w:cs="仿宋"/>
          <w:sz w:val="25"/>
          <w:szCs w:val="25"/>
        </w:rPr>
        <w:t xml:space="preserve"> </w:t>
      </w:r>
      <w:r>
        <w:rPr>
          <w:rFonts w:ascii="仿宋" w:hAnsi="仿宋" w:eastAsia="仿宋" w:cs="仿宋"/>
          <w:spacing w:val="10"/>
          <w:sz w:val="25"/>
          <w:szCs w:val="25"/>
        </w:rPr>
        <w:t>进。环境影响主要来自勘查过程中产生的扬尘</w:t>
      </w:r>
      <w:r>
        <w:rPr>
          <w:rFonts w:ascii="仿宋" w:hAnsi="仿宋" w:eastAsia="仿宋" w:cs="仿宋"/>
          <w:spacing w:val="9"/>
          <w:sz w:val="25"/>
          <w:szCs w:val="25"/>
        </w:rPr>
        <w:t>、噪声、钻井废水、钻井岩屑及</w:t>
      </w:r>
      <w:r>
        <w:rPr>
          <w:rFonts w:ascii="仿宋" w:hAnsi="仿宋" w:eastAsia="仿宋" w:cs="仿宋"/>
          <w:sz w:val="25"/>
          <w:szCs w:val="25"/>
        </w:rPr>
        <w:t xml:space="preserve"> </w:t>
      </w:r>
      <w:r>
        <w:rPr>
          <w:rFonts w:ascii="仿宋" w:hAnsi="仿宋" w:eastAsia="仿宋" w:cs="仿宋"/>
          <w:spacing w:val="7"/>
          <w:sz w:val="25"/>
          <w:szCs w:val="25"/>
        </w:rPr>
        <w:t>勘查范围的植被损失。</w:t>
      </w:r>
    </w:p>
    <w:p w14:paraId="5561630F">
      <w:pPr>
        <w:spacing w:before="3" w:line="339" w:lineRule="auto"/>
        <w:ind w:left="15" w:right="2" w:firstLine="554"/>
        <w:rPr>
          <w:rFonts w:ascii="仿宋" w:hAnsi="仿宋" w:eastAsia="仿宋" w:cs="仿宋"/>
          <w:sz w:val="25"/>
          <w:szCs w:val="25"/>
        </w:rPr>
      </w:pPr>
      <w:r>
        <w:rPr>
          <w:rFonts w:ascii="仿宋" w:hAnsi="仿宋" w:eastAsia="仿宋" w:cs="仿宋"/>
          <w:spacing w:val="8"/>
          <w:sz w:val="25"/>
          <w:szCs w:val="25"/>
        </w:rPr>
        <w:t>由于勘查破坏的土地面积小，勘查区块内探点分散，只要做好钻探选点，</w:t>
      </w:r>
      <w:r>
        <w:rPr>
          <w:rFonts w:ascii="仿宋" w:hAnsi="仿宋" w:eastAsia="仿宋" w:cs="仿宋"/>
          <w:spacing w:val="15"/>
          <w:sz w:val="25"/>
          <w:szCs w:val="25"/>
        </w:rPr>
        <w:t xml:space="preserve"> </w:t>
      </w:r>
      <w:r>
        <w:rPr>
          <w:rFonts w:ascii="仿宋" w:hAnsi="仿宋" w:eastAsia="仿宋" w:cs="仿宋"/>
          <w:spacing w:val="10"/>
          <w:sz w:val="25"/>
          <w:szCs w:val="25"/>
        </w:rPr>
        <w:t>避开生态保护红线和自然保护区等法定敏感区</w:t>
      </w:r>
      <w:r>
        <w:rPr>
          <w:rFonts w:ascii="仿宋" w:hAnsi="仿宋" w:eastAsia="仿宋" w:cs="仿宋"/>
          <w:spacing w:val="9"/>
          <w:sz w:val="25"/>
          <w:szCs w:val="25"/>
        </w:rPr>
        <w:t>，做好勘查前的表土剥离堆存、</w:t>
      </w:r>
      <w:r>
        <w:rPr>
          <w:rFonts w:ascii="仿宋" w:hAnsi="仿宋" w:eastAsia="仿宋" w:cs="仿宋"/>
          <w:sz w:val="25"/>
          <w:szCs w:val="25"/>
        </w:rPr>
        <w:t xml:space="preserve"> </w:t>
      </w:r>
      <w:r>
        <w:rPr>
          <w:rFonts w:ascii="仿宋" w:hAnsi="仿宋" w:eastAsia="仿宋" w:cs="仿宋"/>
          <w:spacing w:val="10"/>
          <w:sz w:val="25"/>
          <w:szCs w:val="25"/>
        </w:rPr>
        <w:t>水土保持及勘查后影响范围内的生态恢复措施</w:t>
      </w:r>
      <w:r>
        <w:rPr>
          <w:rFonts w:ascii="仿宋" w:hAnsi="仿宋" w:eastAsia="仿宋" w:cs="仿宋"/>
          <w:spacing w:val="9"/>
          <w:sz w:val="25"/>
          <w:szCs w:val="25"/>
        </w:rPr>
        <w:t>和废物处理处置，对环境的综合</w:t>
      </w:r>
      <w:r>
        <w:rPr>
          <w:rFonts w:ascii="仿宋" w:hAnsi="仿宋" w:eastAsia="仿宋" w:cs="仿宋"/>
          <w:sz w:val="25"/>
          <w:szCs w:val="25"/>
        </w:rPr>
        <w:t xml:space="preserve"> </w:t>
      </w:r>
      <w:r>
        <w:rPr>
          <w:rFonts w:ascii="仿宋" w:hAnsi="仿宋" w:eastAsia="仿宋" w:cs="仿宋"/>
          <w:spacing w:val="4"/>
          <w:sz w:val="25"/>
          <w:szCs w:val="25"/>
        </w:rPr>
        <w:t>影响较小。</w:t>
      </w:r>
    </w:p>
    <w:p w14:paraId="72BEE278">
      <w:pPr>
        <w:spacing w:before="119" w:line="229" w:lineRule="auto"/>
        <w:ind w:left="5"/>
        <w:outlineLvl w:val="2"/>
        <w:rPr>
          <w:rFonts w:ascii="仿宋" w:hAnsi="仿宋" w:eastAsia="仿宋" w:cs="仿宋"/>
          <w:sz w:val="25"/>
          <w:szCs w:val="25"/>
        </w:rPr>
      </w:pPr>
      <w:r>
        <w:rPr>
          <w:rFonts w:ascii="Times New Roman" w:hAnsi="Times New Roman" w:eastAsia="Times New Roman" w:cs="Times New Roman"/>
          <w:b/>
          <w:bCs/>
          <w:spacing w:val="3"/>
          <w:sz w:val="25"/>
          <w:szCs w:val="25"/>
        </w:rPr>
        <w:t>4.1.2</w:t>
      </w:r>
      <w:r>
        <w:rPr>
          <w:rFonts w:ascii="Times New Roman" w:hAnsi="Times New Roman" w:eastAsia="Times New Roman" w:cs="Times New Roman"/>
          <w:b/>
          <w:bCs/>
          <w:spacing w:val="31"/>
          <w:sz w:val="25"/>
          <w:szCs w:val="25"/>
        </w:rPr>
        <w:t xml:space="preserve"> </w:t>
      </w:r>
      <w:r>
        <w:rPr>
          <w:rFonts w:ascii="仿宋" w:hAnsi="仿宋" w:eastAsia="仿宋" w:cs="仿宋"/>
          <w:b/>
          <w:bCs/>
          <w:spacing w:val="3"/>
          <w:sz w:val="25"/>
          <w:szCs w:val="25"/>
        </w:rPr>
        <w:t>矿产资源开发</w:t>
      </w:r>
    </w:p>
    <w:p w14:paraId="63A813D9">
      <w:pPr>
        <w:spacing w:before="271" w:line="306" w:lineRule="auto"/>
        <w:ind w:left="16" w:firstLine="521"/>
        <w:jc w:val="both"/>
        <w:rPr>
          <w:rFonts w:ascii="仿宋" w:hAnsi="仿宋" w:eastAsia="仿宋" w:cs="仿宋"/>
          <w:sz w:val="25"/>
          <w:szCs w:val="25"/>
        </w:rPr>
      </w:pPr>
      <w:r>
        <w:rPr>
          <w:rFonts w:ascii="仿宋" w:hAnsi="仿宋" w:eastAsia="仿宋" w:cs="仿宋"/>
          <w:spacing w:val="9"/>
          <w:sz w:val="25"/>
          <w:szCs w:val="25"/>
        </w:rPr>
        <w:t>本次规划调整的</w:t>
      </w:r>
      <w:r>
        <w:rPr>
          <w:rFonts w:ascii="Times New Roman" w:hAnsi="Times New Roman" w:eastAsia="Times New Roman" w:cs="Times New Roman"/>
          <w:spacing w:val="9"/>
          <w:sz w:val="25"/>
          <w:szCs w:val="25"/>
        </w:rPr>
        <w:t>2</w:t>
      </w:r>
      <w:r>
        <w:rPr>
          <w:rFonts w:ascii="Times New Roman" w:hAnsi="Times New Roman" w:eastAsia="Times New Roman" w:cs="Times New Roman"/>
          <w:spacing w:val="24"/>
          <w:w w:val="101"/>
          <w:sz w:val="25"/>
          <w:szCs w:val="25"/>
        </w:rPr>
        <w:t xml:space="preserve"> </w:t>
      </w:r>
      <w:r>
        <w:rPr>
          <w:rFonts w:ascii="仿宋" w:hAnsi="仿宋" w:eastAsia="仿宋" w:cs="仿宋"/>
          <w:spacing w:val="9"/>
          <w:sz w:val="25"/>
          <w:szCs w:val="25"/>
        </w:rPr>
        <w:t>个勘查规划区块为地下开采，补充评价的</w:t>
      </w:r>
      <w:r>
        <w:rPr>
          <w:rFonts w:ascii="仿宋" w:hAnsi="仿宋" w:eastAsia="仿宋" w:cs="仿宋"/>
          <w:spacing w:val="-30"/>
          <w:sz w:val="25"/>
          <w:szCs w:val="25"/>
        </w:rPr>
        <w:t xml:space="preserve"> </w:t>
      </w:r>
      <w:r>
        <w:rPr>
          <w:rFonts w:ascii="Times New Roman" w:hAnsi="Times New Roman" w:eastAsia="Times New Roman" w:cs="Times New Roman"/>
          <w:spacing w:val="9"/>
          <w:sz w:val="25"/>
          <w:szCs w:val="25"/>
        </w:rPr>
        <w:t>1</w:t>
      </w:r>
      <w:r>
        <w:rPr>
          <w:rFonts w:ascii="Times New Roman" w:hAnsi="Times New Roman" w:eastAsia="Times New Roman" w:cs="Times New Roman"/>
          <w:spacing w:val="23"/>
          <w:w w:val="101"/>
          <w:sz w:val="25"/>
          <w:szCs w:val="25"/>
        </w:rPr>
        <w:t xml:space="preserve"> </w:t>
      </w:r>
      <w:r>
        <w:rPr>
          <w:rFonts w:ascii="仿宋" w:hAnsi="仿宋" w:eastAsia="仿宋" w:cs="仿宋"/>
          <w:spacing w:val="9"/>
          <w:sz w:val="25"/>
          <w:szCs w:val="25"/>
        </w:rPr>
        <w:t>个开采区块</w:t>
      </w:r>
      <w:r>
        <w:rPr>
          <w:rFonts w:ascii="仿宋" w:hAnsi="仿宋" w:eastAsia="仿宋" w:cs="仿宋"/>
          <w:sz w:val="25"/>
          <w:szCs w:val="25"/>
        </w:rPr>
        <w:t xml:space="preserve"> </w:t>
      </w:r>
      <w:r>
        <w:rPr>
          <w:rFonts w:ascii="仿宋" w:hAnsi="仿宋" w:eastAsia="仿宋" w:cs="仿宋"/>
          <w:spacing w:val="8"/>
          <w:sz w:val="25"/>
          <w:szCs w:val="25"/>
        </w:rPr>
        <w:t>和</w:t>
      </w:r>
      <w:r>
        <w:rPr>
          <w:rFonts w:ascii="仿宋" w:hAnsi="仿宋" w:eastAsia="仿宋" w:cs="仿宋"/>
          <w:spacing w:val="-27"/>
          <w:sz w:val="25"/>
          <w:szCs w:val="25"/>
        </w:rPr>
        <w:t xml:space="preserve"> </w:t>
      </w:r>
      <w:r>
        <w:rPr>
          <w:rFonts w:ascii="Times New Roman" w:hAnsi="Times New Roman" w:eastAsia="Times New Roman" w:cs="Times New Roman"/>
          <w:spacing w:val="8"/>
          <w:sz w:val="25"/>
          <w:szCs w:val="25"/>
        </w:rPr>
        <w:t>1</w:t>
      </w:r>
      <w:r>
        <w:rPr>
          <w:rFonts w:ascii="Times New Roman" w:hAnsi="Times New Roman" w:eastAsia="Times New Roman" w:cs="Times New Roman"/>
          <w:spacing w:val="21"/>
          <w:sz w:val="25"/>
          <w:szCs w:val="25"/>
        </w:rPr>
        <w:t xml:space="preserve"> </w:t>
      </w:r>
      <w:r>
        <w:rPr>
          <w:rFonts w:ascii="仿宋" w:hAnsi="仿宋" w:eastAsia="仿宋" w:cs="仿宋"/>
          <w:spacing w:val="8"/>
          <w:sz w:val="25"/>
          <w:szCs w:val="25"/>
        </w:rPr>
        <w:t>个勘查区块为露天开采，主要涉及的矿种有铸型用砂岩、铝土矿和</w:t>
      </w:r>
      <w:r>
        <w:rPr>
          <w:rFonts w:ascii="仿宋" w:hAnsi="仿宋" w:eastAsia="仿宋" w:cs="仿宋"/>
          <w:spacing w:val="7"/>
          <w:sz w:val="25"/>
          <w:szCs w:val="25"/>
        </w:rPr>
        <w:t>饰面用</w:t>
      </w:r>
      <w:r>
        <w:rPr>
          <w:rFonts w:ascii="仿宋" w:hAnsi="仿宋" w:eastAsia="仿宋" w:cs="仿宋"/>
          <w:sz w:val="25"/>
          <w:szCs w:val="25"/>
        </w:rPr>
        <w:t xml:space="preserve"> </w:t>
      </w:r>
      <w:r>
        <w:rPr>
          <w:rFonts w:ascii="仿宋" w:hAnsi="仿宋" w:eastAsia="仿宋" w:cs="仿宋"/>
          <w:spacing w:val="4"/>
          <w:sz w:val="25"/>
          <w:szCs w:val="25"/>
        </w:rPr>
        <w:t>灰岩。其典型生产工艺流程和产排污节点见图</w:t>
      </w:r>
      <w:r>
        <w:rPr>
          <w:rFonts w:ascii="仿宋" w:hAnsi="仿宋" w:eastAsia="仿宋" w:cs="仿宋"/>
          <w:spacing w:val="-52"/>
          <w:sz w:val="25"/>
          <w:szCs w:val="25"/>
        </w:rPr>
        <w:t xml:space="preserve"> </w:t>
      </w:r>
      <w:r>
        <w:rPr>
          <w:rFonts w:ascii="Times New Roman" w:hAnsi="Times New Roman" w:eastAsia="Times New Roman" w:cs="Times New Roman"/>
          <w:spacing w:val="4"/>
          <w:sz w:val="25"/>
          <w:szCs w:val="25"/>
        </w:rPr>
        <w:t>4.1-1</w:t>
      </w:r>
      <w:r>
        <w:rPr>
          <w:rFonts w:ascii="Times New Roman" w:hAnsi="Times New Roman" w:eastAsia="Times New Roman" w:cs="Times New Roman"/>
          <w:spacing w:val="-26"/>
          <w:sz w:val="25"/>
          <w:szCs w:val="25"/>
        </w:rPr>
        <w:t xml:space="preserve"> </w:t>
      </w:r>
      <w:r>
        <w:rPr>
          <w:rFonts w:ascii="仿宋" w:hAnsi="仿宋" w:eastAsia="仿宋" w:cs="仿宋"/>
          <w:spacing w:val="4"/>
          <w:sz w:val="25"/>
          <w:szCs w:val="25"/>
        </w:rPr>
        <w:t>、</w:t>
      </w:r>
      <w:r>
        <w:rPr>
          <w:rFonts w:ascii="仿宋" w:hAnsi="仿宋" w:eastAsia="仿宋" w:cs="仿宋"/>
          <w:spacing w:val="-74"/>
          <w:sz w:val="25"/>
          <w:szCs w:val="25"/>
        </w:rPr>
        <w:t xml:space="preserve"> </w:t>
      </w:r>
      <w:r>
        <w:rPr>
          <w:rFonts w:ascii="仿宋" w:hAnsi="仿宋" w:eastAsia="仿宋" w:cs="仿宋"/>
          <w:spacing w:val="4"/>
          <w:sz w:val="25"/>
          <w:szCs w:val="25"/>
        </w:rPr>
        <w:t>图</w:t>
      </w:r>
      <w:r>
        <w:rPr>
          <w:rFonts w:ascii="仿宋" w:hAnsi="仿宋" w:eastAsia="仿宋" w:cs="仿宋"/>
          <w:spacing w:val="-56"/>
          <w:sz w:val="25"/>
          <w:szCs w:val="25"/>
        </w:rPr>
        <w:t xml:space="preserve"> </w:t>
      </w:r>
      <w:r>
        <w:rPr>
          <w:rFonts w:ascii="Times New Roman" w:hAnsi="Times New Roman" w:eastAsia="Times New Roman" w:cs="Times New Roman"/>
          <w:spacing w:val="4"/>
          <w:sz w:val="25"/>
          <w:szCs w:val="25"/>
        </w:rPr>
        <w:t>4.1-2</w:t>
      </w:r>
      <w:r>
        <w:rPr>
          <w:rFonts w:ascii="Times New Roman" w:hAnsi="Times New Roman" w:eastAsia="Times New Roman" w:cs="Times New Roman"/>
          <w:spacing w:val="19"/>
          <w:w w:val="101"/>
          <w:sz w:val="25"/>
          <w:szCs w:val="25"/>
        </w:rPr>
        <w:t xml:space="preserve"> </w:t>
      </w:r>
      <w:r>
        <w:rPr>
          <w:rFonts w:ascii="仿宋" w:hAnsi="仿宋" w:eastAsia="仿宋" w:cs="仿宋"/>
          <w:spacing w:val="4"/>
          <w:sz w:val="25"/>
          <w:szCs w:val="25"/>
        </w:rPr>
        <w:t>和图</w:t>
      </w:r>
      <w:r>
        <w:rPr>
          <w:rFonts w:ascii="仿宋" w:hAnsi="仿宋" w:eastAsia="仿宋" w:cs="仿宋"/>
          <w:spacing w:val="-54"/>
          <w:sz w:val="25"/>
          <w:szCs w:val="25"/>
        </w:rPr>
        <w:t xml:space="preserve"> </w:t>
      </w:r>
      <w:r>
        <w:rPr>
          <w:rFonts w:ascii="Times New Roman" w:hAnsi="Times New Roman" w:eastAsia="Times New Roman" w:cs="Times New Roman"/>
          <w:spacing w:val="4"/>
          <w:sz w:val="25"/>
          <w:szCs w:val="25"/>
        </w:rPr>
        <w:t>4.1-3</w:t>
      </w:r>
      <w:r>
        <w:rPr>
          <w:rFonts w:ascii="仿宋" w:hAnsi="仿宋" w:eastAsia="仿宋" w:cs="仿宋"/>
          <w:spacing w:val="4"/>
          <w:sz w:val="25"/>
          <w:szCs w:val="25"/>
        </w:rPr>
        <w:t>。</w:t>
      </w:r>
    </w:p>
    <w:p w14:paraId="7A72B176">
      <w:pPr>
        <w:spacing w:line="3571" w:lineRule="exact"/>
        <w:ind w:firstLine="311"/>
      </w:pPr>
      <w:r>
        <w:rPr>
          <w:position w:val="-71"/>
        </w:rPr>
        <w:drawing>
          <wp:inline distT="0" distB="0" distL="0" distR="0">
            <wp:extent cx="5220970" cy="226758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288"/>
                    <a:stretch>
                      <a:fillRect/>
                    </a:stretch>
                  </pic:blipFill>
                  <pic:spPr>
                    <a:xfrm>
                      <a:off x="0" y="0"/>
                      <a:ext cx="5221223" cy="2267711"/>
                    </a:xfrm>
                    <a:prstGeom prst="rect">
                      <a:avLst/>
                    </a:prstGeom>
                  </pic:spPr>
                </pic:pic>
              </a:graphicData>
            </a:graphic>
          </wp:inline>
        </w:drawing>
      </w:r>
    </w:p>
    <w:p w14:paraId="4523433D">
      <w:pPr>
        <w:pStyle w:val="2"/>
        <w:spacing w:line="320" w:lineRule="auto"/>
      </w:pPr>
    </w:p>
    <w:p w14:paraId="10C40C84">
      <w:pPr>
        <w:spacing w:before="66" w:line="230" w:lineRule="auto"/>
        <w:ind w:left="1682"/>
        <w:rPr>
          <w:rFonts w:ascii="仿宋" w:hAnsi="仿宋" w:eastAsia="仿宋" w:cs="仿宋"/>
          <w:sz w:val="20"/>
          <w:szCs w:val="20"/>
        </w:rPr>
      </w:pPr>
      <w:r>
        <w:rPr>
          <w:rFonts w:ascii="仿宋" w:hAnsi="仿宋" w:eastAsia="仿宋" w:cs="仿宋"/>
          <w:b/>
          <w:bCs/>
          <w:spacing w:val="6"/>
          <w:sz w:val="20"/>
          <w:szCs w:val="20"/>
        </w:rPr>
        <w:t>图</w:t>
      </w:r>
      <w:r>
        <w:rPr>
          <w:rFonts w:ascii="仿宋" w:hAnsi="仿宋" w:eastAsia="仿宋" w:cs="仿宋"/>
          <w:spacing w:val="-42"/>
          <w:sz w:val="20"/>
          <w:szCs w:val="20"/>
        </w:rPr>
        <w:t xml:space="preserve"> </w:t>
      </w:r>
      <w:r>
        <w:rPr>
          <w:rFonts w:ascii="Times New Roman" w:hAnsi="Times New Roman" w:eastAsia="Times New Roman" w:cs="Times New Roman"/>
          <w:b/>
          <w:bCs/>
          <w:spacing w:val="6"/>
          <w:sz w:val="20"/>
          <w:szCs w:val="20"/>
        </w:rPr>
        <w:t xml:space="preserve">4.1-1    </w:t>
      </w:r>
      <w:r>
        <w:rPr>
          <w:rFonts w:ascii="仿宋" w:hAnsi="仿宋" w:eastAsia="仿宋" w:cs="仿宋"/>
          <w:b/>
          <w:bCs/>
          <w:spacing w:val="6"/>
          <w:sz w:val="20"/>
          <w:szCs w:val="20"/>
        </w:rPr>
        <w:t>铸型用砂岩典型生产工艺流程和产排污节</w:t>
      </w:r>
      <w:r>
        <w:rPr>
          <w:rFonts w:ascii="仿宋" w:hAnsi="仿宋" w:eastAsia="仿宋" w:cs="仿宋"/>
          <w:b/>
          <w:bCs/>
          <w:spacing w:val="5"/>
          <w:sz w:val="20"/>
          <w:szCs w:val="20"/>
        </w:rPr>
        <w:t>点示意图</w:t>
      </w:r>
    </w:p>
    <w:p w14:paraId="459F9972">
      <w:pPr>
        <w:spacing w:line="230" w:lineRule="auto"/>
        <w:rPr>
          <w:rFonts w:ascii="仿宋" w:hAnsi="仿宋" w:eastAsia="仿宋" w:cs="仿宋"/>
          <w:sz w:val="20"/>
          <w:szCs w:val="20"/>
        </w:rPr>
        <w:sectPr>
          <w:headerReference r:id="rId159" w:type="default"/>
          <w:footerReference r:id="rId160" w:type="default"/>
          <w:pgSz w:w="11906" w:h="16839"/>
          <w:pgMar w:top="1116" w:right="1473" w:bottom="1480" w:left="1587" w:header="683" w:footer="1318" w:gutter="0"/>
          <w:cols w:space="720" w:num="1"/>
        </w:sectPr>
      </w:pPr>
    </w:p>
    <w:p w14:paraId="322B02A1">
      <w:pPr>
        <w:pStyle w:val="2"/>
        <w:spacing w:line="460" w:lineRule="auto"/>
      </w:pPr>
    </w:p>
    <w:p w14:paraId="7F99EB9D">
      <w:pPr>
        <w:spacing w:line="2669" w:lineRule="exact"/>
        <w:ind w:firstLine="321"/>
      </w:pPr>
      <w:r>
        <w:rPr>
          <w:position w:val="-53"/>
        </w:rPr>
        <w:drawing>
          <wp:inline distT="0" distB="0" distL="0" distR="0">
            <wp:extent cx="4761865" cy="169481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289"/>
                    <a:stretch>
                      <a:fillRect/>
                    </a:stretch>
                  </pic:blipFill>
                  <pic:spPr>
                    <a:xfrm>
                      <a:off x="0" y="0"/>
                      <a:ext cx="4762370" cy="1694993"/>
                    </a:xfrm>
                    <a:prstGeom prst="rect">
                      <a:avLst/>
                    </a:prstGeom>
                  </pic:spPr>
                </pic:pic>
              </a:graphicData>
            </a:graphic>
          </wp:inline>
        </w:drawing>
      </w:r>
    </w:p>
    <w:p w14:paraId="0E3BAFF9">
      <w:pPr>
        <w:pStyle w:val="2"/>
        <w:spacing w:line="298" w:lineRule="auto"/>
      </w:pPr>
    </w:p>
    <w:p w14:paraId="457DBC91">
      <w:pPr>
        <w:spacing w:before="65" w:line="230" w:lineRule="auto"/>
        <w:ind w:left="2064"/>
        <w:rPr>
          <w:rFonts w:ascii="仿宋" w:hAnsi="仿宋" w:eastAsia="仿宋" w:cs="仿宋"/>
          <w:sz w:val="20"/>
          <w:szCs w:val="20"/>
        </w:rPr>
      </w:pPr>
      <w:r>
        <w:rPr>
          <w:rFonts w:ascii="仿宋" w:hAnsi="仿宋" w:eastAsia="仿宋" w:cs="仿宋"/>
          <w:b/>
          <w:bCs/>
          <w:spacing w:val="6"/>
          <w:sz w:val="20"/>
          <w:szCs w:val="20"/>
        </w:rPr>
        <w:t>图</w:t>
      </w:r>
      <w:r>
        <w:rPr>
          <w:rFonts w:ascii="仿宋" w:hAnsi="仿宋" w:eastAsia="仿宋" w:cs="仿宋"/>
          <w:spacing w:val="-40"/>
          <w:sz w:val="20"/>
          <w:szCs w:val="20"/>
        </w:rPr>
        <w:t xml:space="preserve"> </w:t>
      </w:r>
      <w:r>
        <w:rPr>
          <w:rFonts w:ascii="Times New Roman" w:hAnsi="Times New Roman" w:eastAsia="Times New Roman" w:cs="Times New Roman"/>
          <w:b/>
          <w:bCs/>
          <w:spacing w:val="6"/>
          <w:sz w:val="20"/>
          <w:szCs w:val="20"/>
        </w:rPr>
        <w:t xml:space="preserve">4.1-2    </w:t>
      </w:r>
      <w:r>
        <w:rPr>
          <w:rFonts w:ascii="仿宋" w:hAnsi="仿宋" w:eastAsia="仿宋" w:cs="仿宋"/>
          <w:b/>
          <w:bCs/>
          <w:spacing w:val="6"/>
          <w:sz w:val="20"/>
          <w:szCs w:val="20"/>
        </w:rPr>
        <w:t>饰面用灰岩典型生产工艺流程和产排</w:t>
      </w:r>
      <w:r>
        <w:rPr>
          <w:rFonts w:ascii="仿宋" w:hAnsi="仿宋" w:eastAsia="仿宋" w:cs="仿宋"/>
          <w:b/>
          <w:bCs/>
          <w:spacing w:val="5"/>
          <w:sz w:val="20"/>
          <w:szCs w:val="20"/>
        </w:rPr>
        <w:t>污节点示意图</w:t>
      </w:r>
    </w:p>
    <w:p w14:paraId="6CC5F91E">
      <w:pPr>
        <w:spacing w:before="22" w:line="4649" w:lineRule="exact"/>
        <w:ind w:firstLine="1984"/>
      </w:pPr>
      <w:r>
        <w:rPr>
          <w:position w:val="-92"/>
        </w:rPr>
        <w:drawing>
          <wp:inline distT="0" distB="0" distL="0" distR="0">
            <wp:extent cx="3582670" cy="295148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290"/>
                    <a:stretch>
                      <a:fillRect/>
                    </a:stretch>
                  </pic:blipFill>
                  <pic:spPr>
                    <a:xfrm>
                      <a:off x="0" y="0"/>
                      <a:ext cx="3582923" cy="2951988"/>
                    </a:xfrm>
                    <a:prstGeom prst="rect">
                      <a:avLst/>
                    </a:prstGeom>
                  </pic:spPr>
                </pic:pic>
              </a:graphicData>
            </a:graphic>
          </wp:inline>
        </w:drawing>
      </w:r>
    </w:p>
    <w:p w14:paraId="2A3387C6">
      <w:pPr>
        <w:spacing w:before="188" w:line="230" w:lineRule="auto"/>
        <w:ind w:left="2169"/>
        <w:rPr>
          <w:rFonts w:ascii="仿宋" w:hAnsi="仿宋" w:eastAsia="仿宋" w:cs="仿宋"/>
          <w:sz w:val="20"/>
          <w:szCs w:val="20"/>
        </w:rPr>
      </w:pPr>
      <w:r>
        <w:rPr>
          <w:rFonts w:ascii="仿宋" w:hAnsi="仿宋" w:eastAsia="仿宋" w:cs="仿宋"/>
          <w:b/>
          <w:bCs/>
          <w:spacing w:val="6"/>
          <w:sz w:val="20"/>
          <w:szCs w:val="20"/>
        </w:rPr>
        <w:t>图</w:t>
      </w:r>
      <w:r>
        <w:rPr>
          <w:rFonts w:ascii="仿宋" w:hAnsi="仿宋" w:eastAsia="仿宋" w:cs="仿宋"/>
          <w:spacing w:val="-40"/>
          <w:sz w:val="20"/>
          <w:szCs w:val="20"/>
        </w:rPr>
        <w:t xml:space="preserve"> </w:t>
      </w:r>
      <w:r>
        <w:rPr>
          <w:rFonts w:ascii="Times New Roman" w:hAnsi="Times New Roman" w:eastAsia="Times New Roman" w:cs="Times New Roman"/>
          <w:b/>
          <w:bCs/>
          <w:spacing w:val="6"/>
          <w:sz w:val="20"/>
          <w:szCs w:val="20"/>
        </w:rPr>
        <w:t xml:space="preserve">4.1-3    </w:t>
      </w:r>
      <w:r>
        <w:rPr>
          <w:rFonts w:ascii="仿宋" w:hAnsi="仿宋" w:eastAsia="仿宋" w:cs="仿宋"/>
          <w:b/>
          <w:bCs/>
          <w:spacing w:val="6"/>
          <w:sz w:val="20"/>
          <w:szCs w:val="20"/>
        </w:rPr>
        <w:t>铝土矿地下矿山开采工艺流</w:t>
      </w:r>
      <w:r>
        <w:rPr>
          <w:rFonts w:ascii="仿宋" w:hAnsi="仿宋" w:eastAsia="仿宋" w:cs="仿宋"/>
          <w:b/>
          <w:bCs/>
          <w:spacing w:val="5"/>
          <w:sz w:val="20"/>
          <w:szCs w:val="20"/>
        </w:rPr>
        <w:t>程及产污节点示意图</w:t>
      </w:r>
    </w:p>
    <w:p w14:paraId="041EE0A5">
      <w:pPr>
        <w:spacing w:before="169" w:line="226" w:lineRule="auto"/>
        <w:ind w:left="665"/>
        <w:rPr>
          <w:rFonts w:ascii="仿宋" w:hAnsi="仿宋" w:eastAsia="仿宋" w:cs="仿宋"/>
          <w:sz w:val="25"/>
          <w:szCs w:val="25"/>
        </w:rPr>
      </w:pPr>
      <w:r>
        <w:rPr>
          <w:rFonts w:ascii="仿宋" w:hAnsi="仿宋" w:eastAsia="仿宋" w:cs="仿宋"/>
          <w:spacing w:val="7"/>
          <w:sz w:val="25"/>
          <w:szCs w:val="25"/>
        </w:rPr>
        <w:t>不同矿种在不同开采方式下的主要产排污分析见表</w:t>
      </w:r>
      <w:r>
        <w:rPr>
          <w:rFonts w:ascii="仿宋" w:hAnsi="仿宋" w:eastAsia="仿宋" w:cs="仿宋"/>
          <w:spacing w:val="-43"/>
          <w:sz w:val="25"/>
          <w:szCs w:val="25"/>
        </w:rPr>
        <w:t xml:space="preserve"> </w:t>
      </w:r>
      <w:r>
        <w:rPr>
          <w:rFonts w:ascii="Times New Roman" w:hAnsi="Times New Roman" w:eastAsia="Times New Roman" w:cs="Times New Roman"/>
          <w:spacing w:val="7"/>
          <w:sz w:val="25"/>
          <w:szCs w:val="25"/>
        </w:rPr>
        <w:t>4.1-1</w:t>
      </w:r>
      <w:r>
        <w:rPr>
          <w:rFonts w:ascii="仿宋" w:hAnsi="仿宋" w:eastAsia="仿宋" w:cs="仿宋"/>
          <w:spacing w:val="7"/>
          <w:sz w:val="25"/>
          <w:szCs w:val="25"/>
        </w:rPr>
        <w:t>。</w:t>
      </w:r>
    </w:p>
    <w:p w14:paraId="102DFB23">
      <w:pPr>
        <w:spacing w:before="198" w:line="229" w:lineRule="auto"/>
        <w:ind w:left="2786"/>
        <w:rPr>
          <w:rFonts w:ascii="仿宋" w:hAnsi="仿宋" w:eastAsia="仿宋" w:cs="仿宋"/>
          <w:sz w:val="20"/>
          <w:szCs w:val="20"/>
        </w:rPr>
      </w:pPr>
      <w:r>
        <w:rPr>
          <w:rFonts w:ascii="仿宋" w:hAnsi="仿宋" w:eastAsia="仿宋" w:cs="仿宋"/>
          <w:b/>
          <w:bCs/>
          <w:spacing w:val="5"/>
          <w:sz w:val="20"/>
          <w:szCs w:val="20"/>
        </w:rPr>
        <w:t>表</w:t>
      </w:r>
      <w:r>
        <w:rPr>
          <w:rFonts w:ascii="仿宋" w:hAnsi="仿宋" w:eastAsia="仿宋" w:cs="仿宋"/>
          <w:spacing w:val="-25"/>
          <w:sz w:val="20"/>
          <w:szCs w:val="20"/>
        </w:rPr>
        <w:t xml:space="preserve"> </w:t>
      </w:r>
      <w:r>
        <w:rPr>
          <w:rFonts w:ascii="Times New Roman" w:hAnsi="Times New Roman" w:eastAsia="Times New Roman" w:cs="Times New Roman"/>
          <w:b/>
          <w:bCs/>
          <w:spacing w:val="5"/>
          <w:sz w:val="20"/>
          <w:szCs w:val="20"/>
        </w:rPr>
        <w:t xml:space="preserve">4.1-1  </w:t>
      </w:r>
      <w:r>
        <w:rPr>
          <w:rFonts w:ascii="仿宋" w:hAnsi="仿宋" w:eastAsia="仿宋" w:cs="仿宋"/>
          <w:b/>
          <w:bCs/>
          <w:spacing w:val="5"/>
          <w:sz w:val="20"/>
          <w:szCs w:val="20"/>
        </w:rPr>
        <w:t>不同类型开采矿种产排污分析</w:t>
      </w:r>
    </w:p>
    <w:p w14:paraId="0F45F508">
      <w:pPr>
        <w:spacing w:line="22" w:lineRule="exact"/>
      </w:pPr>
    </w:p>
    <w:tbl>
      <w:tblPr>
        <w:tblStyle w:val="5"/>
        <w:tblW w:w="905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6"/>
        <w:gridCol w:w="1799"/>
        <w:gridCol w:w="1575"/>
        <w:gridCol w:w="1765"/>
        <w:gridCol w:w="1879"/>
        <w:gridCol w:w="1535"/>
      </w:tblGrid>
      <w:tr w14:paraId="292D73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2305" w:type="dxa"/>
            <w:gridSpan w:val="2"/>
            <w:vMerge w:val="restart"/>
            <w:tcBorders>
              <w:top w:val="single" w:color="000000" w:sz="10" w:space="0"/>
              <w:left w:val="single" w:color="000000" w:sz="10" w:space="0"/>
              <w:bottom w:val="nil"/>
            </w:tcBorders>
            <w:vAlign w:val="top"/>
          </w:tcPr>
          <w:p w14:paraId="27A5E1E4">
            <w:pPr>
              <w:pStyle w:val="6"/>
              <w:spacing w:before="177" w:line="231" w:lineRule="auto"/>
              <w:ind w:left="732"/>
              <w:rPr>
                <w:sz w:val="20"/>
                <w:szCs w:val="20"/>
              </w:rPr>
            </w:pPr>
            <w:r>
              <w:rPr>
                <w:spacing w:val="5"/>
                <w:sz w:val="20"/>
                <w:szCs w:val="20"/>
              </w:rPr>
              <w:t>开采类别</w:t>
            </w:r>
          </w:p>
        </w:tc>
        <w:tc>
          <w:tcPr>
            <w:tcW w:w="6754" w:type="dxa"/>
            <w:gridSpan w:val="4"/>
            <w:tcBorders>
              <w:top w:val="single" w:color="000000" w:sz="10" w:space="0"/>
              <w:right w:val="single" w:color="000000" w:sz="10" w:space="0"/>
            </w:tcBorders>
            <w:vAlign w:val="top"/>
          </w:tcPr>
          <w:p w14:paraId="0BDD0547">
            <w:pPr>
              <w:pStyle w:val="6"/>
              <w:spacing w:before="36" w:line="215" w:lineRule="auto"/>
              <w:ind w:left="2754"/>
              <w:rPr>
                <w:sz w:val="20"/>
                <w:szCs w:val="20"/>
              </w:rPr>
            </w:pPr>
            <w:r>
              <w:rPr>
                <w:spacing w:val="7"/>
                <w:sz w:val="20"/>
                <w:szCs w:val="20"/>
              </w:rPr>
              <w:t>环境影响因子</w:t>
            </w:r>
          </w:p>
        </w:tc>
      </w:tr>
      <w:tr w14:paraId="7D0539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2305" w:type="dxa"/>
            <w:gridSpan w:val="2"/>
            <w:vMerge w:val="continue"/>
            <w:tcBorders>
              <w:top w:val="nil"/>
              <w:left w:val="single" w:color="000000" w:sz="10" w:space="0"/>
            </w:tcBorders>
            <w:vAlign w:val="top"/>
          </w:tcPr>
          <w:p w14:paraId="56980910">
            <w:pPr>
              <w:rPr>
                <w:rFonts w:ascii="Arial"/>
                <w:sz w:val="21"/>
              </w:rPr>
            </w:pPr>
          </w:p>
        </w:tc>
        <w:tc>
          <w:tcPr>
            <w:tcW w:w="1575" w:type="dxa"/>
            <w:vAlign w:val="top"/>
          </w:tcPr>
          <w:p w14:paraId="00F3217F">
            <w:pPr>
              <w:pStyle w:val="6"/>
              <w:spacing w:before="35" w:line="212" w:lineRule="auto"/>
              <w:ind w:left="587"/>
              <w:rPr>
                <w:sz w:val="20"/>
                <w:szCs w:val="20"/>
              </w:rPr>
            </w:pPr>
            <w:r>
              <w:rPr>
                <w:sz w:val="20"/>
                <w:szCs w:val="20"/>
              </w:rPr>
              <w:t>废气</w:t>
            </w:r>
          </w:p>
        </w:tc>
        <w:tc>
          <w:tcPr>
            <w:tcW w:w="1765" w:type="dxa"/>
            <w:vAlign w:val="top"/>
          </w:tcPr>
          <w:p w14:paraId="079DB0CD">
            <w:pPr>
              <w:pStyle w:val="6"/>
              <w:spacing w:before="35" w:line="212" w:lineRule="auto"/>
              <w:ind w:left="486"/>
              <w:rPr>
                <w:sz w:val="20"/>
                <w:szCs w:val="20"/>
              </w:rPr>
            </w:pPr>
            <w:r>
              <w:rPr>
                <w:spacing w:val="2"/>
                <w:sz w:val="20"/>
                <w:szCs w:val="20"/>
              </w:rPr>
              <w:t>生产废水</w:t>
            </w:r>
          </w:p>
        </w:tc>
        <w:tc>
          <w:tcPr>
            <w:tcW w:w="1879" w:type="dxa"/>
            <w:vAlign w:val="top"/>
          </w:tcPr>
          <w:p w14:paraId="1C7A3FD0">
            <w:pPr>
              <w:pStyle w:val="6"/>
              <w:spacing w:before="35" w:line="212" w:lineRule="auto"/>
              <w:ind w:left="768"/>
              <w:rPr>
                <w:sz w:val="20"/>
                <w:szCs w:val="20"/>
              </w:rPr>
            </w:pPr>
            <w:r>
              <w:rPr>
                <w:spacing w:val="-10"/>
                <w:sz w:val="20"/>
                <w:szCs w:val="20"/>
              </w:rPr>
              <w:t>固废</w:t>
            </w:r>
          </w:p>
        </w:tc>
        <w:tc>
          <w:tcPr>
            <w:tcW w:w="1535" w:type="dxa"/>
            <w:tcBorders>
              <w:right w:val="single" w:color="000000" w:sz="10" w:space="0"/>
            </w:tcBorders>
            <w:vAlign w:val="top"/>
          </w:tcPr>
          <w:p w14:paraId="734FC238">
            <w:pPr>
              <w:pStyle w:val="6"/>
              <w:spacing w:before="35" w:line="212" w:lineRule="auto"/>
              <w:ind w:left="375"/>
              <w:rPr>
                <w:sz w:val="20"/>
                <w:szCs w:val="20"/>
              </w:rPr>
            </w:pPr>
            <w:r>
              <w:rPr>
                <w:spacing w:val="2"/>
                <w:sz w:val="20"/>
                <w:szCs w:val="20"/>
              </w:rPr>
              <w:t>生态环境</w:t>
            </w:r>
          </w:p>
        </w:tc>
      </w:tr>
      <w:tr w14:paraId="7503A5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506" w:type="dxa"/>
            <w:vMerge w:val="restart"/>
            <w:tcBorders>
              <w:left w:val="single" w:color="000000" w:sz="10" w:space="0"/>
              <w:bottom w:val="nil"/>
            </w:tcBorders>
            <w:textDirection w:val="tbRlV"/>
            <w:vAlign w:val="top"/>
          </w:tcPr>
          <w:p w14:paraId="133DD631">
            <w:pPr>
              <w:pStyle w:val="6"/>
              <w:spacing w:before="151" w:line="209" w:lineRule="auto"/>
              <w:ind w:left="40"/>
              <w:rPr>
                <w:sz w:val="20"/>
                <w:szCs w:val="20"/>
              </w:rPr>
            </w:pPr>
            <w:r>
              <w:rPr>
                <w:spacing w:val="13"/>
                <w:sz w:val="20"/>
                <w:szCs w:val="20"/>
              </w:rPr>
              <w:t>地</w:t>
            </w:r>
            <w:r>
              <w:rPr>
                <w:spacing w:val="-41"/>
                <w:sz w:val="20"/>
                <w:szCs w:val="20"/>
              </w:rPr>
              <w:t xml:space="preserve"> </w:t>
            </w:r>
            <w:r>
              <w:rPr>
                <w:spacing w:val="13"/>
                <w:sz w:val="20"/>
                <w:szCs w:val="20"/>
              </w:rPr>
              <w:t>下</w:t>
            </w:r>
            <w:r>
              <w:rPr>
                <w:spacing w:val="-42"/>
                <w:sz w:val="20"/>
                <w:szCs w:val="20"/>
              </w:rPr>
              <w:t xml:space="preserve"> </w:t>
            </w:r>
            <w:r>
              <w:rPr>
                <w:spacing w:val="13"/>
                <w:sz w:val="20"/>
                <w:szCs w:val="20"/>
              </w:rPr>
              <w:t>开</w:t>
            </w:r>
            <w:r>
              <w:rPr>
                <w:spacing w:val="-41"/>
                <w:sz w:val="20"/>
                <w:szCs w:val="20"/>
              </w:rPr>
              <w:t xml:space="preserve"> </w:t>
            </w:r>
            <w:r>
              <w:rPr>
                <w:spacing w:val="13"/>
                <w:sz w:val="20"/>
                <w:szCs w:val="20"/>
              </w:rPr>
              <w:t>采</w:t>
            </w:r>
          </w:p>
        </w:tc>
        <w:tc>
          <w:tcPr>
            <w:tcW w:w="1799" w:type="dxa"/>
            <w:vAlign w:val="top"/>
          </w:tcPr>
          <w:p w14:paraId="45F85502">
            <w:pPr>
              <w:pStyle w:val="6"/>
              <w:spacing w:before="169" w:line="232" w:lineRule="auto"/>
              <w:ind w:left="377"/>
              <w:rPr>
                <w:sz w:val="20"/>
                <w:szCs w:val="20"/>
              </w:rPr>
            </w:pPr>
            <w:r>
              <w:rPr>
                <w:spacing w:val="7"/>
                <w:sz w:val="20"/>
                <w:szCs w:val="20"/>
              </w:rPr>
              <w:t>铸型用砂岩</w:t>
            </w:r>
          </w:p>
        </w:tc>
        <w:tc>
          <w:tcPr>
            <w:tcW w:w="1575" w:type="dxa"/>
            <w:vAlign w:val="top"/>
          </w:tcPr>
          <w:p w14:paraId="4A3D6779">
            <w:pPr>
              <w:pStyle w:val="6"/>
              <w:spacing w:before="49" w:line="232" w:lineRule="auto"/>
              <w:ind w:left="194"/>
              <w:rPr>
                <w:sz w:val="20"/>
                <w:szCs w:val="20"/>
              </w:rPr>
            </w:pPr>
            <w:r>
              <w:rPr>
                <w:spacing w:val="7"/>
                <w:sz w:val="20"/>
                <w:szCs w:val="20"/>
              </w:rPr>
              <w:t>粉尘、</w:t>
            </w:r>
            <w:r>
              <w:rPr>
                <w:rFonts w:ascii="Times New Roman" w:hAnsi="Times New Roman" w:eastAsia="Times New Roman" w:cs="Times New Roman"/>
                <w:sz w:val="20"/>
                <w:szCs w:val="20"/>
              </w:rPr>
              <w:t>TSP</w:t>
            </w:r>
            <w:r>
              <w:rPr>
                <w:spacing w:val="7"/>
                <w:sz w:val="20"/>
                <w:szCs w:val="20"/>
              </w:rPr>
              <w:t>、</w:t>
            </w:r>
          </w:p>
          <w:p w14:paraId="26B2A81A">
            <w:pPr>
              <w:spacing w:before="45" w:line="194" w:lineRule="auto"/>
              <w:ind w:left="565"/>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pacing w:val="8"/>
                <w:position w:val="-1"/>
                <w:sz w:val="13"/>
                <w:szCs w:val="13"/>
              </w:rPr>
              <w:t>10</w:t>
            </w:r>
          </w:p>
        </w:tc>
        <w:tc>
          <w:tcPr>
            <w:tcW w:w="1765" w:type="dxa"/>
            <w:vAlign w:val="top"/>
          </w:tcPr>
          <w:p w14:paraId="20710A35">
            <w:pPr>
              <w:spacing w:before="208" w:line="195" w:lineRule="auto"/>
              <w:ind w:left="7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1879" w:type="dxa"/>
            <w:vAlign w:val="top"/>
          </w:tcPr>
          <w:p w14:paraId="7F55A1D3">
            <w:pPr>
              <w:pStyle w:val="6"/>
              <w:spacing w:before="169" w:line="231" w:lineRule="auto"/>
              <w:ind w:left="434"/>
              <w:rPr>
                <w:sz w:val="20"/>
                <w:szCs w:val="20"/>
              </w:rPr>
            </w:pPr>
            <w:r>
              <w:rPr>
                <w:spacing w:val="6"/>
                <w:sz w:val="20"/>
                <w:szCs w:val="20"/>
              </w:rPr>
              <w:t>废石；废油</w:t>
            </w:r>
          </w:p>
        </w:tc>
        <w:tc>
          <w:tcPr>
            <w:tcW w:w="1535" w:type="dxa"/>
            <w:vMerge w:val="restart"/>
            <w:tcBorders>
              <w:bottom w:val="nil"/>
              <w:right w:val="single" w:color="000000" w:sz="10" w:space="0"/>
            </w:tcBorders>
            <w:vAlign w:val="top"/>
          </w:tcPr>
          <w:p w14:paraId="584F7BDD">
            <w:pPr>
              <w:spacing w:line="245" w:lineRule="auto"/>
              <w:rPr>
                <w:rFonts w:ascii="Arial"/>
                <w:sz w:val="21"/>
              </w:rPr>
            </w:pPr>
          </w:p>
          <w:p w14:paraId="3BB63219">
            <w:pPr>
              <w:pStyle w:val="6"/>
              <w:spacing w:before="65" w:line="230" w:lineRule="auto"/>
              <w:ind w:left="152"/>
              <w:rPr>
                <w:sz w:val="20"/>
                <w:szCs w:val="20"/>
              </w:rPr>
            </w:pPr>
            <w:r>
              <w:rPr>
                <w:spacing w:val="8"/>
                <w:sz w:val="20"/>
                <w:szCs w:val="20"/>
              </w:rPr>
              <w:t>地表沉陷、地</w:t>
            </w:r>
          </w:p>
          <w:p w14:paraId="749BE36D">
            <w:pPr>
              <w:pStyle w:val="6"/>
              <w:spacing w:before="21" w:line="231" w:lineRule="auto"/>
              <w:ind w:left="367"/>
              <w:rPr>
                <w:sz w:val="20"/>
                <w:szCs w:val="20"/>
              </w:rPr>
            </w:pPr>
            <w:r>
              <w:rPr>
                <w:spacing w:val="4"/>
                <w:sz w:val="20"/>
                <w:szCs w:val="20"/>
              </w:rPr>
              <w:t>下水漏失</w:t>
            </w:r>
          </w:p>
        </w:tc>
      </w:tr>
      <w:tr w14:paraId="3B2C3B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506" w:type="dxa"/>
            <w:vMerge w:val="continue"/>
            <w:tcBorders>
              <w:top w:val="nil"/>
              <w:left w:val="single" w:color="000000" w:sz="10" w:space="0"/>
            </w:tcBorders>
            <w:textDirection w:val="tbRlV"/>
            <w:vAlign w:val="top"/>
          </w:tcPr>
          <w:p w14:paraId="308D6A47">
            <w:pPr>
              <w:rPr>
                <w:rFonts w:ascii="Arial"/>
                <w:sz w:val="21"/>
              </w:rPr>
            </w:pPr>
          </w:p>
        </w:tc>
        <w:tc>
          <w:tcPr>
            <w:tcW w:w="1799" w:type="dxa"/>
            <w:vAlign w:val="top"/>
          </w:tcPr>
          <w:p w14:paraId="1EF25551">
            <w:pPr>
              <w:pStyle w:val="6"/>
              <w:spacing w:before="177" w:line="232" w:lineRule="auto"/>
              <w:ind w:left="587"/>
              <w:rPr>
                <w:sz w:val="20"/>
                <w:szCs w:val="20"/>
              </w:rPr>
            </w:pPr>
            <w:r>
              <w:rPr>
                <w:spacing w:val="4"/>
                <w:sz w:val="20"/>
                <w:szCs w:val="20"/>
              </w:rPr>
              <w:t>铝土矿</w:t>
            </w:r>
          </w:p>
        </w:tc>
        <w:tc>
          <w:tcPr>
            <w:tcW w:w="1575" w:type="dxa"/>
            <w:vAlign w:val="top"/>
          </w:tcPr>
          <w:p w14:paraId="5C81C30D">
            <w:pPr>
              <w:pStyle w:val="6"/>
              <w:spacing w:before="176" w:line="232" w:lineRule="auto"/>
              <w:ind w:left="300"/>
              <w:rPr>
                <w:rFonts w:ascii="Times New Roman" w:hAnsi="Times New Roman" w:eastAsia="Times New Roman" w:cs="Times New Roman"/>
                <w:sz w:val="20"/>
                <w:szCs w:val="20"/>
              </w:rPr>
            </w:pPr>
            <w:r>
              <w:rPr>
                <w:spacing w:val="10"/>
                <w:sz w:val="20"/>
                <w:szCs w:val="20"/>
              </w:rPr>
              <w:t>粉尘、</w:t>
            </w:r>
            <w:r>
              <w:rPr>
                <w:rFonts w:ascii="Times New Roman" w:hAnsi="Times New Roman" w:eastAsia="Times New Roman" w:cs="Times New Roman"/>
                <w:sz w:val="20"/>
                <w:szCs w:val="20"/>
              </w:rPr>
              <w:t>TSP</w:t>
            </w:r>
          </w:p>
        </w:tc>
        <w:tc>
          <w:tcPr>
            <w:tcW w:w="1765" w:type="dxa"/>
            <w:vAlign w:val="top"/>
          </w:tcPr>
          <w:p w14:paraId="2B58B506">
            <w:pPr>
              <w:pStyle w:val="6"/>
              <w:spacing w:before="39" w:line="228" w:lineRule="auto"/>
              <w:ind w:left="693" w:right="36" w:hanging="581"/>
              <w:rPr>
                <w:sz w:val="20"/>
                <w:szCs w:val="20"/>
              </w:rPr>
            </w:pPr>
            <w:r>
              <w:rPr>
                <w:rFonts w:ascii="Times New Roman" w:hAnsi="Times New Roman" w:eastAsia="Times New Roman" w:cs="Times New Roman"/>
                <w:spacing w:val="-4"/>
                <w:sz w:val="20"/>
                <w:szCs w:val="20"/>
              </w:rPr>
              <w:t>COD</w:t>
            </w:r>
            <w:r>
              <w:rPr>
                <w:spacing w:val="-4"/>
                <w:sz w:val="20"/>
                <w:szCs w:val="20"/>
              </w:rPr>
              <w:t>、</w:t>
            </w:r>
            <w:r>
              <w:rPr>
                <w:rFonts w:ascii="Times New Roman" w:hAnsi="Times New Roman" w:eastAsia="Times New Roman" w:cs="Times New Roman"/>
                <w:spacing w:val="-4"/>
                <w:sz w:val="20"/>
                <w:szCs w:val="20"/>
              </w:rPr>
              <w:t>SS</w:t>
            </w:r>
            <w:r>
              <w:rPr>
                <w:spacing w:val="-4"/>
                <w:sz w:val="20"/>
                <w:szCs w:val="20"/>
              </w:rPr>
              <w:t>、总铁、</w:t>
            </w:r>
            <w:r>
              <w:rPr>
                <w:spacing w:val="5"/>
                <w:sz w:val="20"/>
                <w:szCs w:val="20"/>
              </w:rPr>
              <w:t xml:space="preserve"> </w:t>
            </w:r>
            <w:r>
              <w:rPr>
                <w:spacing w:val="-3"/>
                <w:sz w:val="20"/>
                <w:szCs w:val="20"/>
              </w:rPr>
              <w:t>总锰</w:t>
            </w:r>
          </w:p>
        </w:tc>
        <w:tc>
          <w:tcPr>
            <w:tcW w:w="1879" w:type="dxa"/>
            <w:vAlign w:val="top"/>
          </w:tcPr>
          <w:p w14:paraId="1A7D3460">
            <w:pPr>
              <w:pStyle w:val="6"/>
              <w:spacing w:before="177" w:line="231" w:lineRule="auto"/>
              <w:ind w:left="434"/>
              <w:rPr>
                <w:sz w:val="20"/>
                <w:szCs w:val="20"/>
              </w:rPr>
            </w:pPr>
            <w:r>
              <w:rPr>
                <w:spacing w:val="6"/>
                <w:sz w:val="20"/>
                <w:szCs w:val="20"/>
              </w:rPr>
              <w:t>废石；废油</w:t>
            </w:r>
          </w:p>
        </w:tc>
        <w:tc>
          <w:tcPr>
            <w:tcW w:w="1535" w:type="dxa"/>
            <w:vMerge w:val="continue"/>
            <w:tcBorders>
              <w:top w:val="nil"/>
              <w:right w:val="single" w:color="000000" w:sz="10" w:space="0"/>
            </w:tcBorders>
            <w:vAlign w:val="top"/>
          </w:tcPr>
          <w:p w14:paraId="0307F9E0">
            <w:pPr>
              <w:rPr>
                <w:rFonts w:ascii="Arial"/>
                <w:sz w:val="21"/>
              </w:rPr>
            </w:pPr>
          </w:p>
        </w:tc>
      </w:tr>
      <w:tr w14:paraId="7BBA5B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9" w:hRule="atLeast"/>
        </w:trPr>
        <w:tc>
          <w:tcPr>
            <w:tcW w:w="506" w:type="dxa"/>
            <w:tcBorders>
              <w:left w:val="single" w:color="000000" w:sz="10" w:space="0"/>
              <w:bottom w:val="single" w:color="000000" w:sz="10" w:space="0"/>
            </w:tcBorders>
            <w:textDirection w:val="tbRlV"/>
            <w:vAlign w:val="top"/>
          </w:tcPr>
          <w:p w14:paraId="1047B47C">
            <w:pPr>
              <w:pStyle w:val="6"/>
              <w:spacing w:before="151" w:line="209" w:lineRule="auto"/>
              <w:ind w:left="48"/>
              <w:rPr>
                <w:sz w:val="20"/>
                <w:szCs w:val="20"/>
              </w:rPr>
            </w:pPr>
            <w:r>
              <w:rPr>
                <w:spacing w:val="13"/>
                <w:sz w:val="20"/>
                <w:szCs w:val="20"/>
              </w:rPr>
              <w:t>露</w:t>
            </w:r>
            <w:r>
              <w:rPr>
                <w:spacing w:val="-41"/>
                <w:sz w:val="20"/>
                <w:szCs w:val="20"/>
              </w:rPr>
              <w:t xml:space="preserve"> </w:t>
            </w:r>
            <w:r>
              <w:rPr>
                <w:spacing w:val="13"/>
                <w:sz w:val="20"/>
                <w:szCs w:val="20"/>
              </w:rPr>
              <w:t>天</w:t>
            </w:r>
            <w:r>
              <w:rPr>
                <w:spacing w:val="-43"/>
                <w:sz w:val="20"/>
                <w:szCs w:val="20"/>
              </w:rPr>
              <w:t xml:space="preserve"> </w:t>
            </w:r>
            <w:r>
              <w:rPr>
                <w:spacing w:val="13"/>
                <w:sz w:val="20"/>
                <w:szCs w:val="20"/>
              </w:rPr>
              <w:t>开</w:t>
            </w:r>
            <w:r>
              <w:rPr>
                <w:spacing w:val="-40"/>
                <w:sz w:val="20"/>
                <w:szCs w:val="20"/>
              </w:rPr>
              <w:t xml:space="preserve"> </w:t>
            </w:r>
            <w:r>
              <w:rPr>
                <w:spacing w:val="13"/>
                <w:sz w:val="20"/>
                <w:szCs w:val="20"/>
              </w:rPr>
              <w:t>采</w:t>
            </w:r>
          </w:p>
        </w:tc>
        <w:tc>
          <w:tcPr>
            <w:tcW w:w="1799" w:type="dxa"/>
            <w:tcBorders>
              <w:bottom w:val="single" w:color="000000" w:sz="10" w:space="0"/>
            </w:tcBorders>
            <w:vAlign w:val="top"/>
          </w:tcPr>
          <w:p w14:paraId="4DC46CF5">
            <w:pPr>
              <w:spacing w:line="389" w:lineRule="auto"/>
              <w:rPr>
                <w:rFonts w:ascii="Arial"/>
                <w:sz w:val="21"/>
              </w:rPr>
            </w:pPr>
          </w:p>
          <w:p w14:paraId="646EBFAA">
            <w:pPr>
              <w:pStyle w:val="6"/>
              <w:spacing w:before="65" w:line="232" w:lineRule="auto"/>
              <w:ind w:left="378"/>
              <w:rPr>
                <w:sz w:val="20"/>
                <w:szCs w:val="20"/>
              </w:rPr>
            </w:pPr>
            <w:r>
              <w:rPr>
                <w:spacing w:val="6"/>
                <w:sz w:val="20"/>
                <w:szCs w:val="20"/>
              </w:rPr>
              <w:t>饰面用灰岩</w:t>
            </w:r>
          </w:p>
        </w:tc>
        <w:tc>
          <w:tcPr>
            <w:tcW w:w="1575" w:type="dxa"/>
            <w:tcBorders>
              <w:bottom w:val="single" w:color="000000" w:sz="10" w:space="0"/>
            </w:tcBorders>
            <w:vAlign w:val="top"/>
          </w:tcPr>
          <w:p w14:paraId="6C53E419">
            <w:pPr>
              <w:spacing w:line="388" w:lineRule="auto"/>
              <w:rPr>
                <w:rFonts w:ascii="Arial"/>
                <w:sz w:val="21"/>
              </w:rPr>
            </w:pPr>
          </w:p>
          <w:p w14:paraId="3E2F4AFA">
            <w:pPr>
              <w:pStyle w:val="6"/>
              <w:spacing w:before="65" w:line="232" w:lineRule="auto"/>
              <w:ind w:left="300"/>
              <w:rPr>
                <w:rFonts w:ascii="Times New Roman" w:hAnsi="Times New Roman" w:eastAsia="Times New Roman" w:cs="Times New Roman"/>
                <w:sz w:val="20"/>
                <w:szCs w:val="20"/>
              </w:rPr>
            </w:pPr>
            <w:r>
              <w:rPr>
                <w:spacing w:val="10"/>
                <w:sz w:val="20"/>
                <w:szCs w:val="20"/>
              </w:rPr>
              <w:t>粉尘、</w:t>
            </w:r>
            <w:r>
              <w:rPr>
                <w:rFonts w:ascii="Times New Roman" w:hAnsi="Times New Roman" w:eastAsia="Times New Roman" w:cs="Times New Roman"/>
                <w:sz w:val="20"/>
                <w:szCs w:val="20"/>
              </w:rPr>
              <w:t>TSP</w:t>
            </w:r>
          </w:p>
        </w:tc>
        <w:tc>
          <w:tcPr>
            <w:tcW w:w="1765" w:type="dxa"/>
            <w:tcBorders>
              <w:bottom w:val="single" w:color="000000" w:sz="10" w:space="0"/>
            </w:tcBorders>
            <w:vAlign w:val="top"/>
          </w:tcPr>
          <w:p w14:paraId="626DF42C">
            <w:pPr>
              <w:spacing w:line="389" w:lineRule="auto"/>
              <w:rPr>
                <w:rFonts w:ascii="Arial"/>
                <w:sz w:val="21"/>
              </w:rPr>
            </w:pPr>
          </w:p>
          <w:p w14:paraId="50432A59">
            <w:pPr>
              <w:pStyle w:val="6"/>
              <w:spacing w:before="65" w:line="233" w:lineRule="auto"/>
              <w:ind w:left="358"/>
              <w:rPr>
                <w:sz w:val="20"/>
                <w:szCs w:val="20"/>
              </w:rPr>
            </w:pPr>
            <w:r>
              <w:rPr>
                <w:rFonts w:ascii="Times New Roman" w:hAnsi="Times New Roman" w:eastAsia="Times New Roman" w:cs="Times New Roman"/>
                <w:sz w:val="20"/>
                <w:szCs w:val="20"/>
              </w:rPr>
              <w:t>SS</w:t>
            </w:r>
            <w:r>
              <w:rPr>
                <w:rFonts w:ascii="Times New Roman" w:hAnsi="Times New Roman" w:eastAsia="Times New Roman" w:cs="Times New Roman"/>
                <w:spacing w:val="-20"/>
                <w:sz w:val="20"/>
                <w:szCs w:val="20"/>
              </w:rPr>
              <w:t xml:space="preserve"> </w:t>
            </w:r>
            <w:r>
              <w:rPr>
                <w:spacing w:val="1"/>
                <w:sz w:val="20"/>
                <w:szCs w:val="20"/>
              </w:rPr>
              <w:t>、石油类</w:t>
            </w:r>
          </w:p>
        </w:tc>
        <w:tc>
          <w:tcPr>
            <w:tcW w:w="1879" w:type="dxa"/>
            <w:tcBorders>
              <w:bottom w:val="single" w:color="000000" w:sz="10" w:space="0"/>
            </w:tcBorders>
            <w:vAlign w:val="top"/>
          </w:tcPr>
          <w:p w14:paraId="149BD845">
            <w:pPr>
              <w:spacing w:line="252" w:lineRule="auto"/>
              <w:rPr>
                <w:rFonts w:ascii="Arial"/>
                <w:sz w:val="21"/>
              </w:rPr>
            </w:pPr>
          </w:p>
          <w:p w14:paraId="3EC6843F">
            <w:pPr>
              <w:pStyle w:val="6"/>
              <w:spacing w:before="65" w:line="252" w:lineRule="auto"/>
              <w:ind w:left="748" w:right="135" w:hanging="624"/>
              <w:rPr>
                <w:sz w:val="20"/>
                <w:szCs w:val="20"/>
              </w:rPr>
            </w:pPr>
            <w:r>
              <w:rPr>
                <w:spacing w:val="1"/>
                <w:sz w:val="20"/>
                <w:szCs w:val="20"/>
              </w:rPr>
              <w:t>剥离表土、废石；</w:t>
            </w:r>
            <w:r>
              <w:rPr>
                <w:spacing w:val="5"/>
                <w:sz w:val="20"/>
                <w:szCs w:val="20"/>
              </w:rPr>
              <w:t xml:space="preserve"> </w:t>
            </w:r>
            <w:r>
              <w:rPr>
                <w:sz w:val="20"/>
                <w:szCs w:val="20"/>
              </w:rPr>
              <w:t>废油</w:t>
            </w:r>
          </w:p>
        </w:tc>
        <w:tc>
          <w:tcPr>
            <w:tcW w:w="1535" w:type="dxa"/>
            <w:tcBorders>
              <w:bottom w:val="single" w:color="000000" w:sz="10" w:space="0"/>
              <w:right w:val="single" w:color="000000" w:sz="10" w:space="0"/>
            </w:tcBorders>
            <w:vAlign w:val="top"/>
          </w:tcPr>
          <w:p w14:paraId="07C3F4EE">
            <w:pPr>
              <w:pStyle w:val="6"/>
              <w:spacing w:before="182" w:line="231" w:lineRule="auto"/>
              <w:ind w:left="154"/>
              <w:rPr>
                <w:sz w:val="20"/>
                <w:szCs w:val="20"/>
              </w:rPr>
            </w:pPr>
            <w:r>
              <w:rPr>
                <w:spacing w:val="7"/>
                <w:sz w:val="20"/>
                <w:szCs w:val="20"/>
              </w:rPr>
              <w:t>土地占用、植</w:t>
            </w:r>
          </w:p>
          <w:p w14:paraId="1565C9C7">
            <w:pPr>
              <w:pStyle w:val="6"/>
              <w:spacing w:before="20" w:line="251" w:lineRule="auto"/>
              <w:ind w:left="256" w:right="124" w:hanging="105"/>
              <w:rPr>
                <w:sz w:val="20"/>
                <w:szCs w:val="20"/>
              </w:rPr>
            </w:pPr>
            <w:r>
              <w:rPr>
                <w:spacing w:val="7"/>
                <w:sz w:val="20"/>
                <w:szCs w:val="20"/>
              </w:rPr>
              <w:t>被破坏和水土</w:t>
            </w:r>
            <w:r>
              <w:rPr>
                <w:sz w:val="20"/>
                <w:szCs w:val="20"/>
              </w:rPr>
              <w:t xml:space="preserve"> </w:t>
            </w:r>
            <w:r>
              <w:rPr>
                <w:spacing w:val="7"/>
                <w:sz w:val="20"/>
                <w:szCs w:val="20"/>
              </w:rPr>
              <w:t>流失、景观</w:t>
            </w:r>
          </w:p>
        </w:tc>
      </w:tr>
    </w:tbl>
    <w:p w14:paraId="5B3FF747">
      <w:pPr>
        <w:spacing w:before="266" w:line="228" w:lineRule="auto"/>
        <w:ind w:left="128"/>
        <w:outlineLvl w:val="2"/>
        <w:rPr>
          <w:rFonts w:ascii="仿宋" w:hAnsi="仿宋" w:eastAsia="仿宋" w:cs="仿宋"/>
          <w:sz w:val="25"/>
          <w:szCs w:val="25"/>
        </w:rPr>
      </w:pPr>
      <w:r>
        <w:rPr>
          <w:rFonts w:ascii="Times New Roman" w:hAnsi="Times New Roman" w:eastAsia="Times New Roman" w:cs="Times New Roman"/>
          <w:b/>
          <w:bCs/>
          <w:spacing w:val="5"/>
          <w:sz w:val="25"/>
          <w:szCs w:val="25"/>
        </w:rPr>
        <w:t xml:space="preserve">4.1.3  </w:t>
      </w:r>
      <w:r>
        <w:rPr>
          <w:rFonts w:ascii="仿宋" w:hAnsi="仿宋" w:eastAsia="仿宋" w:cs="仿宋"/>
          <w:b/>
          <w:bCs/>
          <w:spacing w:val="5"/>
          <w:sz w:val="25"/>
          <w:szCs w:val="25"/>
        </w:rPr>
        <w:t>环境影响特征分析</w:t>
      </w:r>
    </w:p>
    <w:p w14:paraId="35079AAB">
      <w:pPr>
        <w:spacing w:before="271" w:line="229" w:lineRule="auto"/>
        <w:ind w:left="664"/>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1</w:t>
      </w:r>
      <w:r>
        <w:rPr>
          <w:rFonts w:ascii="仿宋" w:hAnsi="仿宋" w:eastAsia="仿宋" w:cs="仿宋"/>
          <w:spacing w:val="7"/>
          <w:sz w:val="25"/>
          <w:szCs w:val="25"/>
        </w:rPr>
        <w:t>）地下开采固体矿山</w:t>
      </w:r>
    </w:p>
    <w:p w14:paraId="32213EA3">
      <w:pPr>
        <w:spacing w:line="229" w:lineRule="auto"/>
        <w:rPr>
          <w:rFonts w:ascii="仿宋" w:hAnsi="仿宋" w:eastAsia="仿宋" w:cs="仿宋"/>
          <w:sz w:val="25"/>
          <w:szCs w:val="25"/>
        </w:rPr>
        <w:sectPr>
          <w:headerReference r:id="rId161" w:type="default"/>
          <w:footerReference r:id="rId162" w:type="default"/>
          <w:pgSz w:w="11906" w:h="16839"/>
          <w:pgMar w:top="1116" w:right="1356" w:bottom="1480" w:left="1464" w:header="683" w:footer="1318" w:gutter="0"/>
          <w:cols w:space="720" w:num="1"/>
        </w:sectPr>
      </w:pPr>
    </w:p>
    <w:p w14:paraId="5B7BC91C">
      <w:pPr>
        <w:pStyle w:val="2"/>
        <w:spacing w:line="386" w:lineRule="auto"/>
      </w:pPr>
    </w:p>
    <w:p w14:paraId="28ED50B0">
      <w:pPr>
        <w:spacing w:before="82" w:line="339" w:lineRule="auto"/>
        <w:ind w:left="17" w:right="90" w:firstLine="519"/>
        <w:rPr>
          <w:rFonts w:ascii="仿宋" w:hAnsi="仿宋" w:eastAsia="仿宋" w:cs="仿宋"/>
          <w:sz w:val="25"/>
          <w:szCs w:val="25"/>
        </w:rPr>
      </w:pPr>
      <w:r>
        <w:rPr>
          <w:rFonts w:ascii="仿宋" w:hAnsi="仿宋" w:eastAsia="仿宋" w:cs="仿宋"/>
          <w:spacing w:val="18"/>
          <w:sz w:val="25"/>
          <w:szCs w:val="25"/>
        </w:rPr>
        <w:t>铸型用砂岩矿山和铝土矿井下生产系统环境影响因素主要为矿</w:t>
      </w:r>
      <w:r>
        <w:rPr>
          <w:rFonts w:ascii="仿宋" w:hAnsi="仿宋" w:eastAsia="仿宋" w:cs="仿宋"/>
          <w:spacing w:val="17"/>
          <w:sz w:val="25"/>
          <w:szCs w:val="25"/>
        </w:rPr>
        <w:t>井水的排</w:t>
      </w:r>
      <w:r>
        <w:rPr>
          <w:rFonts w:ascii="仿宋" w:hAnsi="仿宋" w:eastAsia="仿宋" w:cs="仿宋"/>
          <w:sz w:val="25"/>
          <w:szCs w:val="25"/>
        </w:rPr>
        <w:t xml:space="preserve"> </w:t>
      </w:r>
      <w:r>
        <w:rPr>
          <w:rFonts w:ascii="仿宋" w:hAnsi="仿宋" w:eastAsia="仿宋" w:cs="仿宋"/>
          <w:spacing w:val="6"/>
          <w:sz w:val="25"/>
          <w:szCs w:val="25"/>
        </w:rPr>
        <w:t>放，以及由于地下矿层采空而引起的地表沉陷。</w:t>
      </w:r>
    </w:p>
    <w:p w14:paraId="4D21EAFA">
      <w:pPr>
        <w:spacing w:line="340" w:lineRule="auto"/>
        <w:ind w:left="31" w:firstLine="506"/>
        <w:rPr>
          <w:rFonts w:ascii="仿宋" w:hAnsi="仿宋" w:eastAsia="仿宋" w:cs="仿宋"/>
          <w:sz w:val="25"/>
          <w:szCs w:val="25"/>
        </w:rPr>
      </w:pPr>
      <w:r>
        <w:rPr>
          <w:rFonts w:ascii="仿宋" w:hAnsi="仿宋" w:eastAsia="仿宋" w:cs="仿宋"/>
          <w:spacing w:val="9"/>
          <w:sz w:val="25"/>
          <w:szCs w:val="25"/>
        </w:rPr>
        <w:t>地面生产系统环境影响因素主要为工业场地生产生活污废水对区域水环境</w:t>
      </w:r>
      <w:r>
        <w:rPr>
          <w:rFonts w:ascii="仿宋" w:hAnsi="仿宋" w:eastAsia="仿宋" w:cs="仿宋"/>
          <w:spacing w:val="15"/>
          <w:sz w:val="25"/>
          <w:szCs w:val="25"/>
        </w:rPr>
        <w:t xml:space="preserve"> </w:t>
      </w:r>
      <w:r>
        <w:rPr>
          <w:rFonts w:ascii="仿宋" w:hAnsi="仿宋" w:eastAsia="仿宋" w:cs="仿宋"/>
          <w:spacing w:val="4"/>
          <w:sz w:val="25"/>
          <w:szCs w:val="25"/>
        </w:rPr>
        <w:t>的影响，以及地面生产系统产生的噪声、扬尘等对周围环境和居民生活的影响。</w:t>
      </w:r>
    </w:p>
    <w:p w14:paraId="38B732DF">
      <w:pPr>
        <w:spacing w:line="228" w:lineRule="auto"/>
        <w:ind w:left="529"/>
        <w:rPr>
          <w:rFonts w:ascii="仿宋" w:hAnsi="仿宋" w:eastAsia="仿宋" w:cs="仿宋"/>
          <w:sz w:val="25"/>
          <w:szCs w:val="25"/>
        </w:rPr>
      </w:pPr>
      <w:r>
        <w:rPr>
          <w:rFonts w:ascii="仿宋" w:hAnsi="仿宋" w:eastAsia="仿宋" w:cs="仿宋"/>
          <w:spacing w:val="7"/>
          <w:sz w:val="25"/>
          <w:szCs w:val="25"/>
        </w:rPr>
        <w:t>①生态影响</w:t>
      </w:r>
    </w:p>
    <w:p w14:paraId="7B1FDCE0">
      <w:pPr>
        <w:spacing w:before="147" w:line="340" w:lineRule="auto"/>
        <w:ind w:left="15" w:right="90" w:firstLine="522"/>
        <w:rPr>
          <w:rFonts w:ascii="仿宋" w:hAnsi="仿宋" w:eastAsia="仿宋" w:cs="仿宋"/>
          <w:sz w:val="25"/>
          <w:szCs w:val="25"/>
        </w:rPr>
      </w:pPr>
      <w:r>
        <w:rPr>
          <w:rFonts w:ascii="仿宋" w:hAnsi="仿宋" w:eastAsia="仿宋" w:cs="仿宋"/>
          <w:spacing w:val="8"/>
          <w:sz w:val="25"/>
          <w:szCs w:val="25"/>
        </w:rPr>
        <w:t>地下开采会破坏地层结构，导致地面塌陷，</w:t>
      </w:r>
      <w:r>
        <w:rPr>
          <w:rFonts w:ascii="仿宋" w:hAnsi="仿宋" w:eastAsia="仿宋" w:cs="仿宋"/>
          <w:spacing w:val="-75"/>
          <w:sz w:val="25"/>
          <w:szCs w:val="25"/>
        </w:rPr>
        <w:t xml:space="preserve"> </w:t>
      </w:r>
      <w:r>
        <w:rPr>
          <w:rFonts w:ascii="仿宋" w:hAnsi="仿宋" w:eastAsia="仿宋" w:cs="仿宋"/>
          <w:spacing w:val="8"/>
          <w:sz w:val="25"/>
          <w:szCs w:val="25"/>
        </w:rPr>
        <w:t>间接引起土地和植被的</w:t>
      </w:r>
      <w:r>
        <w:rPr>
          <w:rFonts w:ascii="仿宋" w:hAnsi="仿宋" w:eastAsia="仿宋" w:cs="仿宋"/>
          <w:spacing w:val="7"/>
          <w:sz w:val="25"/>
          <w:szCs w:val="25"/>
        </w:rPr>
        <w:t>破坏，</w:t>
      </w:r>
      <w:r>
        <w:rPr>
          <w:rFonts w:ascii="仿宋" w:hAnsi="仿宋" w:eastAsia="仿宋" w:cs="仿宋"/>
          <w:sz w:val="25"/>
          <w:szCs w:val="25"/>
        </w:rPr>
        <w:t xml:space="preserve"> </w:t>
      </w:r>
      <w:r>
        <w:rPr>
          <w:rFonts w:ascii="仿宋" w:hAnsi="仿宋" w:eastAsia="仿宋" w:cs="仿宋"/>
          <w:spacing w:val="10"/>
          <w:sz w:val="25"/>
          <w:szCs w:val="25"/>
        </w:rPr>
        <w:t>造成一定范围内植被破坏、水土流失等。开采</w:t>
      </w:r>
      <w:r>
        <w:rPr>
          <w:rFonts w:ascii="仿宋" w:hAnsi="仿宋" w:eastAsia="仿宋" w:cs="仿宋"/>
          <w:spacing w:val="9"/>
          <w:sz w:val="25"/>
          <w:szCs w:val="25"/>
        </w:rPr>
        <w:t>过程中会对周边动植物的生境产</w:t>
      </w:r>
      <w:r>
        <w:rPr>
          <w:rFonts w:ascii="仿宋" w:hAnsi="仿宋" w:eastAsia="仿宋" w:cs="仿宋"/>
          <w:sz w:val="25"/>
          <w:szCs w:val="25"/>
        </w:rPr>
        <w:t xml:space="preserve"> </w:t>
      </w:r>
      <w:r>
        <w:rPr>
          <w:rFonts w:ascii="仿宋" w:hAnsi="仿宋" w:eastAsia="仿宋" w:cs="仿宋"/>
          <w:spacing w:val="10"/>
          <w:sz w:val="25"/>
          <w:szCs w:val="25"/>
        </w:rPr>
        <w:t>生影响。矿井开采影响地层构造，改变水文地</w:t>
      </w:r>
      <w:r>
        <w:rPr>
          <w:rFonts w:ascii="仿宋" w:hAnsi="仿宋" w:eastAsia="仿宋" w:cs="仿宋"/>
          <w:spacing w:val="9"/>
          <w:sz w:val="25"/>
          <w:szCs w:val="25"/>
        </w:rPr>
        <w:t>质条件，可能在采动影响范围内</w:t>
      </w:r>
      <w:r>
        <w:rPr>
          <w:rFonts w:ascii="仿宋" w:hAnsi="仿宋" w:eastAsia="仿宋" w:cs="仿宋"/>
          <w:sz w:val="25"/>
          <w:szCs w:val="25"/>
        </w:rPr>
        <w:t xml:space="preserve"> </w:t>
      </w:r>
      <w:r>
        <w:rPr>
          <w:rFonts w:ascii="仿宋" w:hAnsi="仿宋" w:eastAsia="仿宋" w:cs="仿宋"/>
          <w:spacing w:val="10"/>
          <w:sz w:val="25"/>
          <w:szCs w:val="25"/>
        </w:rPr>
        <w:t>出现地表裂缝、地表沉陷、滑坡、泥石流等不</w:t>
      </w:r>
      <w:r>
        <w:rPr>
          <w:rFonts w:ascii="仿宋" w:hAnsi="仿宋" w:eastAsia="仿宋" w:cs="仿宋"/>
          <w:spacing w:val="9"/>
          <w:sz w:val="25"/>
          <w:szCs w:val="25"/>
        </w:rPr>
        <w:t>良地质现象，进而造成对地貌、</w:t>
      </w:r>
      <w:r>
        <w:rPr>
          <w:rFonts w:ascii="仿宋" w:hAnsi="仿宋" w:eastAsia="仿宋" w:cs="仿宋"/>
          <w:sz w:val="25"/>
          <w:szCs w:val="25"/>
        </w:rPr>
        <w:t xml:space="preserve"> </w:t>
      </w:r>
      <w:r>
        <w:rPr>
          <w:rFonts w:ascii="仿宋" w:hAnsi="仿宋" w:eastAsia="仿宋" w:cs="仿宋"/>
          <w:spacing w:val="9"/>
          <w:sz w:val="25"/>
          <w:szCs w:val="25"/>
        </w:rPr>
        <w:t>地表水、地下水、土壤、动植物、农林业生产、建构筑物、公路等的影响。</w:t>
      </w:r>
    </w:p>
    <w:p w14:paraId="523B8E68">
      <w:pPr>
        <w:spacing w:before="1" w:line="228" w:lineRule="auto"/>
        <w:ind w:left="528"/>
        <w:rPr>
          <w:rFonts w:ascii="仿宋" w:hAnsi="仿宋" w:eastAsia="仿宋" w:cs="仿宋"/>
          <w:sz w:val="25"/>
          <w:szCs w:val="25"/>
        </w:rPr>
      </w:pPr>
      <w:r>
        <w:rPr>
          <w:rFonts w:ascii="仿宋" w:hAnsi="仿宋" w:eastAsia="仿宋" w:cs="仿宋"/>
          <w:spacing w:val="8"/>
          <w:sz w:val="25"/>
          <w:szCs w:val="25"/>
        </w:rPr>
        <w:t>②水环境影响</w:t>
      </w:r>
    </w:p>
    <w:p w14:paraId="26C34CA4">
      <w:pPr>
        <w:spacing w:before="148" w:line="340" w:lineRule="auto"/>
        <w:ind w:left="18" w:right="90" w:firstLine="518"/>
        <w:rPr>
          <w:rFonts w:ascii="仿宋" w:hAnsi="仿宋" w:eastAsia="仿宋" w:cs="仿宋"/>
          <w:sz w:val="25"/>
          <w:szCs w:val="25"/>
        </w:rPr>
      </w:pPr>
      <w:r>
        <w:rPr>
          <w:rFonts w:ascii="仿宋" w:hAnsi="仿宋" w:eastAsia="仿宋" w:cs="仿宋"/>
          <w:spacing w:val="9"/>
          <w:sz w:val="25"/>
          <w:szCs w:val="25"/>
        </w:rPr>
        <w:t>开发过程中主要产生矿坑涌水、废石排土场淋溶水和生活污水，矿山开采</w:t>
      </w:r>
      <w:r>
        <w:rPr>
          <w:rFonts w:ascii="仿宋" w:hAnsi="仿宋" w:eastAsia="仿宋" w:cs="仿宋"/>
          <w:spacing w:val="16"/>
          <w:sz w:val="25"/>
          <w:szCs w:val="25"/>
        </w:rPr>
        <w:t xml:space="preserve"> </w:t>
      </w:r>
      <w:r>
        <w:rPr>
          <w:rFonts w:ascii="仿宋" w:hAnsi="仿宋" w:eastAsia="仿宋" w:cs="仿宋"/>
          <w:spacing w:val="9"/>
          <w:sz w:val="25"/>
          <w:szCs w:val="25"/>
        </w:rPr>
        <w:t>过程中产生的涌水、废石排土场淋溶水和生活污水直接排入环境中会对水环境</w:t>
      </w:r>
      <w:r>
        <w:rPr>
          <w:rFonts w:ascii="仿宋" w:hAnsi="仿宋" w:eastAsia="仿宋" w:cs="仿宋"/>
          <w:spacing w:val="17"/>
          <w:sz w:val="25"/>
          <w:szCs w:val="25"/>
        </w:rPr>
        <w:t xml:space="preserve"> </w:t>
      </w:r>
      <w:r>
        <w:rPr>
          <w:rFonts w:ascii="仿宋" w:hAnsi="仿宋" w:eastAsia="仿宋" w:cs="仿宋"/>
          <w:spacing w:val="9"/>
          <w:sz w:val="25"/>
          <w:szCs w:val="25"/>
        </w:rPr>
        <w:t>产生不利影响，另外，矿山废水也可能对地下水环境造成不利</w:t>
      </w:r>
      <w:r>
        <w:rPr>
          <w:rFonts w:ascii="仿宋" w:hAnsi="仿宋" w:eastAsia="仿宋" w:cs="仿宋"/>
          <w:spacing w:val="8"/>
          <w:sz w:val="25"/>
          <w:szCs w:val="25"/>
        </w:rPr>
        <w:t>影响。</w:t>
      </w:r>
    </w:p>
    <w:p w14:paraId="346D5DE2">
      <w:pPr>
        <w:spacing w:before="1" w:line="228" w:lineRule="auto"/>
        <w:ind w:left="528"/>
        <w:rPr>
          <w:rFonts w:ascii="仿宋" w:hAnsi="仿宋" w:eastAsia="仿宋" w:cs="仿宋"/>
          <w:sz w:val="25"/>
          <w:szCs w:val="25"/>
        </w:rPr>
      </w:pPr>
      <w:r>
        <w:rPr>
          <w:rFonts w:ascii="仿宋" w:hAnsi="仿宋" w:eastAsia="仿宋" w:cs="仿宋"/>
          <w:spacing w:val="8"/>
          <w:sz w:val="25"/>
          <w:szCs w:val="25"/>
        </w:rPr>
        <w:t>③大气环境影响</w:t>
      </w:r>
    </w:p>
    <w:p w14:paraId="51D19B9A">
      <w:pPr>
        <w:spacing w:before="148" w:line="340" w:lineRule="auto"/>
        <w:ind w:left="13" w:right="90" w:firstLine="523"/>
        <w:rPr>
          <w:rFonts w:ascii="仿宋" w:hAnsi="仿宋" w:eastAsia="仿宋" w:cs="仿宋"/>
          <w:sz w:val="25"/>
          <w:szCs w:val="25"/>
        </w:rPr>
      </w:pPr>
      <w:r>
        <w:rPr>
          <w:rFonts w:ascii="仿宋" w:hAnsi="仿宋" w:eastAsia="仿宋" w:cs="仿宋"/>
          <w:spacing w:val="9"/>
          <w:sz w:val="25"/>
          <w:szCs w:val="25"/>
        </w:rPr>
        <w:t>矿产资源开发对大气环境的影响主要表现在开采过程产生的粉尘，废石排</w:t>
      </w:r>
      <w:r>
        <w:rPr>
          <w:rFonts w:ascii="仿宋" w:hAnsi="仿宋" w:eastAsia="仿宋" w:cs="仿宋"/>
          <w:spacing w:val="16"/>
          <w:sz w:val="25"/>
          <w:szCs w:val="25"/>
        </w:rPr>
        <w:t xml:space="preserve"> </w:t>
      </w:r>
      <w:r>
        <w:rPr>
          <w:rFonts w:ascii="仿宋" w:hAnsi="仿宋" w:eastAsia="仿宋" w:cs="仿宋"/>
          <w:spacing w:val="10"/>
          <w:sz w:val="25"/>
          <w:szCs w:val="25"/>
        </w:rPr>
        <w:t>土场产生的扬尘，另外排放少量的工业废气、二氧</w:t>
      </w:r>
      <w:r>
        <w:rPr>
          <w:rFonts w:ascii="仿宋" w:hAnsi="仿宋" w:eastAsia="仿宋" w:cs="仿宋"/>
          <w:spacing w:val="9"/>
          <w:sz w:val="25"/>
          <w:szCs w:val="25"/>
        </w:rPr>
        <w:t>化硫和氮氧化物、道路运输</w:t>
      </w:r>
      <w:r>
        <w:rPr>
          <w:rFonts w:ascii="仿宋" w:hAnsi="仿宋" w:eastAsia="仿宋" w:cs="仿宋"/>
          <w:sz w:val="25"/>
          <w:szCs w:val="25"/>
        </w:rPr>
        <w:t xml:space="preserve"> </w:t>
      </w:r>
      <w:r>
        <w:rPr>
          <w:rFonts w:ascii="仿宋" w:hAnsi="仿宋" w:eastAsia="仿宋" w:cs="仿宋"/>
          <w:spacing w:val="10"/>
          <w:sz w:val="25"/>
          <w:szCs w:val="25"/>
        </w:rPr>
        <w:t>产生少量扬尘。采矿过程中钻孔及爆破过程会产生</w:t>
      </w:r>
      <w:r>
        <w:rPr>
          <w:rFonts w:ascii="仿宋" w:hAnsi="仿宋" w:eastAsia="仿宋" w:cs="仿宋"/>
          <w:spacing w:val="9"/>
          <w:sz w:val="25"/>
          <w:szCs w:val="25"/>
        </w:rPr>
        <w:t>粉尘，需要经过处理达标后</w:t>
      </w:r>
      <w:r>
        <w:rPr>
          <w:rFonts w:ascii="仿宋" w:hAnsi="仿宋" w:eastAsia="仿宋" w:cs="仿宋"/>
          <w:sz w:val="25"/>
          <w:szCs w:val="25"/>
        </w:rPr>
        <w:t xml:space="preserve"> </w:t>
      </w:r>
      <w:r>
        <w:rPr>
          <w:rFonts w:ascii="仿宋" w:hAnsi="仿宋" w:eastAsia="仿宋" w:cs="仿宋"/>
          <w:spacing w:val="10"/>
          <w:sz w:val="25"/>
          <w:szCs w:val="25"/>
        </w:rPr>
        <w:t>排放。采矿产生的一些固体废物（废石）长期堆放</w:t>
      </w:r>
      <w:r>
        <w:rPr>
          <w:rFonts w:ascii="仿宋" w:hAnsi="仿宋" w:eastAsia="仿宋" w:cs="仿宋"/>
          <w:spacing w:val="9"/>
          <w:sz w:val="25"/>
          <w:szCs w:val="25"/>
        </w:rPr>
        <w:t>，大风天气下，产生扬尘，</w:t>
      </w:r>
      <w:r>
        <w:rPr>
          <w:rFonts w:ascii="仿宋" w:hAnsi="仿宋" w:eastAsia="仿宋" w:cs="仿宋"/>
          <w:sz w:val="25"/>
          <w:szCs w:val="25"/>
        </w:rPr>
        <w:t xml:space="preserve"> </w:t>
      </w:r>
      <w:r>
        <w:rPr>
          <w:rFonts w:ascii="仿宋" w:hAnsi="仿宋" w:eastAsia="仿宋" w:cs="仿宋"/>
          <w:spacing w:val="9"/>
          <w:sz w:val="25"/>
          <w:szCs w:val="25"/>
        </w:rPr>
        <w:t>对环境产生不利影响，但多为局部影响，对区域环境空气质量影响较小。</w:t>
      </w:r>
    </w:p>
    <w:p w14:paraId="75CBD72B">
      <w:pPr>
        <w:spacing w:before="1" w:line="227" w:lineRule="auto"/>
        <w:ind w:left="528"/>
        <w:rPr>
          <w:rFonts w:ascii="仿宋" w:hAnsi="仿宋" w:eastAsia="仿宋" w:cs="仿宋"/>
          <w:sz w:val="25"/>
          <w:szCs w:val="25"/>
        </w:rPr>
      </w:pPr>
      <w:r>
        <w:rPr>
          <w:rFonts w:ascii="仿宋" w:hAnsi="仿宋" w:eastAsia="仿宋" w:cs="仿宋"/>
          <w:spacing w:val="8"/>
          <w:sz w:val="25"/>
          <w:szCs w:val="25"/>
        </w:rPr>
        <w:t>④固体废物</w:t>
      </w:r>
    </w:p>
    <w:p w14:paraId="54D7AE6E">
      <w:pPr>
        <w:spacing w:before="147" w:line="337" w:lineRule="auto"/>
        <w:ind w:left="16" w:right="90" w:firstLine="520"/>
        <w:rPr>
          <w:rFonts w:ascii="仿宋" w:hAnsi="仿宋" w:eastAsia="仿宋" w:cs="仿宋"/>
          <w:sz w:val="25"/>
          <w:szCs w:val="25"/>
        </w:rPr>
      </w:pPr>
      <w:r>
        <w:rPr>
          <w:rFonts w:ascii="仿宋" w:hAnsi="仿宋" w:eastAsia="仿宋" w:cs="仿宋"/>
          <w:spacing w:val="9"/>
          <w:sz w:val="25"/>
          <w:szCs w:val="25"/>
        </w:rPr>
        <w:t>矿产资源开发过程中，产生废石及一些其它危险固废。废石作为一种松散</w:t>
      </w:r>
      <w:r>
        <w:rPr>
          <w:rFonts w:ascii="仿宋" w:hAnsi="仿宋" w:eastAsia="仿宋" w:cs="仿宋"/>
          <w:spacing w:val="16"/>
          <w:sz w:val="25"/>
          <w:szCs w:val="25"/>
        </w:rPr>
        <w:t xml:space="preserve"> </w:t>
      </w:r>
      <w:r>
        <w:rPr>
          <w:rFonts w:ascii="仿宋" w:hAnsi="仿宋" w:eastAsia="仿宋" w:cs="仿宋"/>
          <w:spacing w:val="10"/>
          <w:sz w:val="25"/>
          <w:szCs w:val="25"/>
        </w:rPr>
        <w:t>堆积体，在不采取措施的前提下易受到雨水</w:t>
      </w:r>
      <w:r>
        <w:rPr>
          <w:rFonts w:ascii="仿宋" w:hAnsi="仿宋" w:eastAsia="仿宋" w:cs="仿宋"/>
          <w:spacing w:val="9"/>
          <w:sz w:val="25"/>
          <w:szCs w:val="25"/>
        </w:rPr>
        <w:t>冲刷影响，渣体可能发生崩塌，甚</w:t>
      </w:r>
      <w:r>
        <w:rPr>
          <w:rFonts w:ascii="仿宋" w:hAnsi="仿宋" w:eastAsia="仿宋" w:cs="仿宋"/>
          <w:sz w:val="25"/>
          <w:szCs w:val="25"/>
        </w:rPr>
        <w:t xml:space="preserve"> </w:t>
      </w:r>
      <w:r>
        <w:rPr>
          <w:rFonts w:ascii="仿宋" w:hAnsi="仿宋" w:eastAsia="仿宋" w:cs="仿宋"/>
          <w:spacing w:val="10"/>
          <w:sz w:val="25"/>
          <w:szCs w:val="25"/>
        </w:rPr>
        <w:t>至发生泥石流等流失形式；有可能污染地表</w:t>
      </w:r>
      <w:r>
        <w:rPr>
          <w:rFonts w:ascii="仿宋" w:hAnsi="仿宋" w:eastAsia="仿宋" w:cs="仿宋"/>
          <w:spacing w:val="9"/>
          <w:sz w:val="25"/>
          <w:szCs w:val="25"/>
        </w:rPr>
        <w:t>水、地下水、土壤，对生物多样性</w:t>
      </w:r>
      <w:r>
        <w:rPr>
          <w:rFonts w:ascii="仿宋" w:hAnsi="仿宋" w:eastAsia="仿宋" w:cs="仿宋"/>
          <w:sz w:val="25"/>
          <w:szCs w:val="25"/>
        </w:rPr>
        <w:t xml:space="preserve"> </w:t>
      </w:r>
      <w:r>
        <w:rPr>
          <w:rFonts w:ascii="仿宋" w:hAnsi="仿宋" w:eastAsia="仿宋" w:cs="仿宋"/>
          <w:spacing w:val="8"/>
          <w:sz w:val="25"/>
          <w:szCs w:val="25"/>
        </w:rPr>
        <w:t>带来不利影响，甚至危及人类生命财产安全，</w:t>
      </w:r>
      <w:r>
        <w:rPr>
          <w:rFonts w:ascii="仿宋" w:hAnsi="仿宋" w:eastAsia="仿宋" w:cs="仿宋"/>
          <w:spacing w:val="-72"/>
          <w:sz w:val="25"/>
          <w:szCs w:val="25"/>
        </w:rPr>
        <w:t xml:space="preserve"> </w:t>
      </w:r>
      <w:r>
        <w:rPr>
          <w:rFonts w:ascii="仿宋" w:hAnsi="仿宋" w:eastAsia="仿宋" w:cs="仿宋"/>
          <w:spacing w:val="8"/>
          <w:sz w:val="25"/>
          <w:szCs w:val="25"/>
        </w:rPr>
        <w:t>因此必须做好废石弃渣的处置，</w:t>
      </w:r>
      <w:r>
        <w:rPr>
          <w:rFonts w:ascii="仿宋" w:hAnsi="仿宋" w:eastAsia="仿宋" w:cs="仿宋"/>
          <w:sz w:val="25"/>
          <w:szCs w:val="25"/>
        </w:rPr>
        <w:t xml:space="preserve"> </w:t>
      </w:r>
      <w:r>
        <w:rPr>
          <w:rFonts w:ascii="仿宋" w:hAnsi="仿宋" w:eastAsia="仿宋" w:cs="仿宋"/>
          <w:spacing w:val="10"/>
          <w:sz w:val="25"/>
          <w:szCs w:val="25"/>
        </w:rPr>
        <w:t>废石弃渣可用于回填采空区和废弃巷道。矿</w:t>
      </w:r>
      <w:r>
        <w:rPr>
          <w:rFonts w:ascii="仿宋" w:hAnsi="仿宋" w:eastAsia="仿宋" w:cs="仿宋"/>
          <w:spacing w:val="9"/>
          <w:sz w:val="25"/>
          <w:szCs w:val="25"/>
        </w:rPr>
        <w:t>区一般由采区、工业场地、废石场</w:t>
      </w:r>
      <w:r>
        <w:rPr>
          <w:rFonts w:ascii="仿宋" w:hAnsi="仿宋" w:eastAsia="仿宋" w:cs="仿宋"/>
          <w:sz w:val="25"/>
          <w:szCs w:val="25"/>
        </w:rPr>
        <w:t xml:space="preserve"> </w:t>
      </w:r>
      <w:r>
        <w:rPr>
          <w:rFonts w:ascii="仿宋" w:hAnsi="仿宋" w:eastAsia="仿宋" w:cs="仿宋"/>
          <w:spacing w:val="10"/>
          <w:sz w:val="25"/>
          <w:szCs w:val="25"/>
        </w:rPr>
        <w:t>和表土堆放场等几部分组成，各场地之间一</w:t>
      </w:r>
      <w:r>
        <w:rPr>
          <w:rFonts w:ascii="仿宋" w:hAnsi="仿宋" w:eastAsia="仿宋" w:cs="仿宋"/>
          <w:spacing w:val="9"/>
          <w:sz w:val="25"/>
          <w:szCs w:val="25"/>
        </w:rPr>
        <w:t>般通过公路或皮带输送机连接。矿</w:t>
      </w:r>
      <w:r>
        <w:rPr>
          <w:rFonts w:ascii="仿宋" w:hAnsi="仿宋" w:eastAsia="仿宋" w:cs="仿宋"/>
          <w:sz w:val="25"/>
          <w:szCs w:val="25"/>
        </w:rPr>
        <w:t xml:space="preserve"> </w:t>
      </w:r>
      <w:r>
        <w:rPr>
          <w:rFonts w:ascii="仿宋" w:hAnsi="仿宋" w:eastAsia="仿宋" w:cs="仿宋"/>
          <w:spacing w:val="10"/>
          <w:sz w:val="25"/>
          <w:szCs w:val="25"/>
        </w:rPr>
        <w:t>山露天开采对环境的影响主要是开采过程对</w:t>
      </w:r>
      <w:r>
        <w:rPr>
          <w:rFonts w:ascii="仿宋" w:hAnsi="仿宋" w:eastAsia="仿宋" w:cs="仿宋"/>
          <w:spacing w:val="9"/>
          <w:sz w:val="25"/>
          <w:szCs w:val="25"/>
        </w:rPr>
        <w:t>生态环境的影响，工业场地生产生</w:t>
      </w:r>
      <w:r>
        <w:rPr>
          <w:rFonts w:ascii="仿宋" w:hAnsi="仿宋" w:eastAsia="仿宋" w:cs="仿宋"/>
          <w:sz w:val="25"/>
          <w:szCs w:val="25"/>
        </w:rPr>
        <w:t xml:space="preserve"> </w:t>
      </w:r>
      <w:r>
        <w:rPr>
          <w:rFonts w:ascii="仿宋" w:hAnsi="仿宋" w:eastAsia="仿宋" w:cs="仿宋"/>
          <w:spacing w:val="8"/>
          <w:sz w:val="25"/>
          <w:szCs w:val="25"/>
        </w:rPr>
        <w:t>活污废水对区域水环境的影响，弃渣对土壤、地下水的影响，以及地面生产系</w:t>
      </w:r>
      <w:r>
        <w:rPr>
          <w:rFonts w:ascii="仿宋" w:hAnsi="仿宋" w:eastAsia="仿宋" w:cs="仿宋"/>
          <w:sz w:val="25"/>
          <w:szCs w:val="25"/>
        </w:rPr>
        <w:t xml:space="preserve"> </w:t>
      </w:r>
      <w:r>
        <w:rPr>
          <w:rFonts w:ascii="仿宋" w:hAnsi="仿宋" w:eastAsia="仿宋" w:cs="仿宋"/>
          <w:spacing w:val="9"/>
          <w:sz w:val="25"/>
          <w:szCs w:val="25"/>
        </w:rPr>
        <w:t>统和运输车辆产生的噪声、扬尘对周边环境敏感点的</w:t>
      </w:r>
      <w:r>
        <w:rPr>
          <w:rFonts w:ascii="仿宋" w:hAnsi="仿宋" w:eastAsia="仿宋" w:cs="仿宋"/>
          <w:spacing w:val="8"/>
          <w:sz w:val="25"/>
          <w:szCs w:val="25"/>
        </w:rPr>
        <w:t>影响等。</w:t>
      </w:r>
    </w:p>
    <w:p w14:paraId="19CF9635">
      <w:pPr>
        <w:spacing w:line="337" w:lineRule="auto"/>
        <w:rPr>
          <w:rFonts w:ascii="仿宋" w:hAnsi="仿宋" w:eastAsia="仿宋" w:cs="仿宋"/>
          <w:sz w:val="25"/>
          <w:szCs w:val="25"/>
        </w:rPr>
        <w:sectPr>
          <w:headerReference r:id="rId163" w:type="default"/>
          <w:footerReference r:id="rId164" w:type="default"/>
          <w:pgSz w:w="11906" w:h="16839"/>
          <w:pgMar w:top="1116" w:right="1385" w:bottom="1480" w:left="1587" w:header="683" w:footer="1318" w:gutter="0"/>
          <w:cols w:space="720" w:num="1"/>
        </w:sectPr>
      </w:pPr>
    </w:p>
    <w:p w14:paraId="7F0276D6">
      <w:pPr>
        <w:pStyle w:val="2"/>
        <w:spacing w:line="385" w:lineRule="auto"/>
      </w:pPr>
    </w:p>
    <w:p w14:paraId="4E4327F6">
      <w:pPr>
        <w:spacing w:before="82" w:line="229" w:lineRule="auto"/>
        <w:ind w:left="541"/>
        <w:rPr>
          <w:rFonts w:ascii="仿宋" w:hAnsi="仿宋" w:eastAsia="仿宋" w:cs="仿宋"/>
          <w:sz w:val="25"/>
          <w:szCs w:val="25"/>
        </w:rPr>
      </w:pPr>
      <w:r>
        <w:rPr>
          <w:rFonts w:ascii="仿宋" w:hAnsi="仿宋" w:eastAsia="仿宋" w:cs="仿宋"/>
          <w:spacing w:val="6"/>
          <w:sz w:val="25"/>
          <w:szCs w:val="25"/>
        </w:rPr>
        <w:t>（</w:t>
      </w:r>
      <w:r>
        <w:rPr>
          <w:rFonts w:ascii="Times New Roman" w:hAnsi="Times New Roman" w:eastAsia="Times New Roman" w:cs="Times New Roman"/>
          <w:spacing w:val="6"/>
          <w:sz w:val="25"/>
          <w:szCs w:val="25"/>
        </w:rPr>
        <w:t>2</w:t>
      </w:r>
      <w:r>
        <w:rPr>
          <w:rFonts w:ascii="仿宋" w:hAnsi="仿宋" w:eastAsia="仿宋" w:cs="仿宋"/>
          <w:spacing w:val="6"/>
          <w:sz w:val="25"/>
          <w:szCs w:val="25"/>
        </w:rPr>
        <w:t>）露天开采矿山</w:t>
      </w:r>
    </w:p>
    <w:p w14:paraId="69E88110">
      <w:pPr>
        <w:spacing w:before="147" w:line="340" w:lineRule="auto"/>
        <w:ind w:left="18" w:right="2" w:firstLine="518"/>
        <w:rPr>
          <w:rFonts w:ascii="仿宋" w:hAnsi="仿宋" w:eastAsia="仿宋" w:cs="仿宋"/>
          <w:sz w:val="25"/>
          <w:szCs w:val="25"/>
        </w:rPr>
      </w:pPr>
      <w:r>
        <w:rPr>
          <w:rFonts w:ascii="仿宋" w:hAnsi="仿宋" w:eastAsia="仿宋" w:cs="仿宋"/>
          <w:spacing w:val="9"/>
          <w:sz w:val="25"/>
          <w:szCs w:val="25"/>
        </w:rPr>
        <w:t>矿区一般由采区、工业场地、废石场和表土堆放场等几部分组成，各场地</w:t>
      </w:r>
      <w:r>
        <w:rPr>
          <w:rFonts w:ascii="仿宋" w:hAnsi="仿宋" w:eastAsia="仿宋" w:cs="仿宋"/>
          <w:spacing w:val="16"/>
          <w:sz w:val="25"/>
          <w:szCs w:val="25"/>
        </w:rPr>
        <w:t xml:space="preserve"> </w:t>
      </w:r>
      <w:r>
        <w:rPr>
          <w:rFonts w:ascii="仿宋" w:hAnsi="仿宋" w:eastAsia="仿宋" w:cs="仿宋"/>
          <w:spacing w:val="9"/>
          <w:sz w:val="25"/>
          <w:szCs w:val="25"/>
        </w:rPr>
        <w:t>之间一般通过公路或皮带输送机连接。矿山露天开采对环境的影响主要是开采</w:t>
      </w:r>
      <w:r>
        <w:rPr>
          <w:rFonts w:ascii="仿宋" w:hAnsi="仿宋" w:eastAsia="仿宋" w:cs="仿宋"/>
          <w:spacing w:val="17"/>
          <w:sz w:val="25"/>
          <w:szCs w:val="25"/>
        </w:rPr>
        <w:t xml:space="preserve"> </w:t>
      </w:r>
      <w:r>
        <w:rPr>
          <w:rFonts w:ascii="仿宋" w:hAnsi="仿宋" w:eastAsia="仿宋" w:cs="仿宋"/>
          <w:spacing w:val="9"/>
          <w:sz w:val="25"/>
          <w:szCs w:val="25"/>
        </w:rPr>
        <w:t>过程对生态环境的影响，工业场地生产生活污废水对区域水环境的影响，弃渣</w:t>
      </w:r>
      <w:r>
        <w:rPr>
          <w:rFonts w:ascii="仿宋" w:hAnsi="仿宋" w:eastAsia="仿宋" w:cs="仿宋"/>
          <w:spacing w:val="17"/>
          <w:sz w:val="25"/>
          <w:szCs w:val="25"/>
        </w:rPr>
        <w:t xml:space="preserve"> </w:t>
      </w:r>
      <w:r>
        <w:rPr>
          <w:rFonts w:ascii="仿宋" w:hAnsi="仿宋" w:eastAsia="仿宋" w:cs="仿宋"/>
          <w:spacing w:val="8"/>
          <w:sz w:val="25"/>
          <w:szCs w:val="25"/>
        </w:rPr>
        <w:t>对土壤、地下水的影响，以及地面生产系统和运输车辆产生的噪声、扬尘对周</w:t>
      </w:r>
      <w:r>
        <w:rPr>
          <w:rFonts w:ascii="仿宋" w:hAnsi="仿宋" w:eastAsia="仿宋" w:cs="仿宋"/>
          <w:sz w:val="25"/>
          <w:szCs w:val="25"/>
        </w:rPr>
        <w:t xml:space="preserve"> </w:t>
      </w:r>
      <w:r>
        <w:rPr>
          <w:rFonts w:ascii="仿宋" w:hAnsi="仿宋" w:eastAsia="仿宋" w:cs="仿宋"/>
          <w:spacing w:val="7"/>
          <w:sz w:val="25"/>
          <w:szCs w:val="25"/>
        </w:rPr>
        <w:t>边环境敏感点的影响等。</w:t>
      </w:r>
    </w:p>
    <w:p w14:paraId="459CA9D5">
      <w:pPr>
        <w:spacing w:line="228" w:lineRule="auto"/>
        <w:ind w:left="529"/>
        <w:rPr>
          <w:rFonts w:ascii="仿宋" w:hAnsi="仿宋" w:eastAsia="仿宋" w:cs="仿宋"/>
          <w:sz w:val="25"/>
          <w:szCs w:val="25"/>
        </w:rPr>
      </w:pPr>
      <w:r>
        <w:rPr>
          <w:rFonts w:ascii="仿宋" w:hAnsi="仿宋" w:eastAsia="仿宋" w:cs="仿宋"/>
          <w:spacing w:val="7"/>
          <w:sz w:val="25"/>
          <w:szCs w:val="25"/>
        </w:rPr>
        <w:t>①生态影响</w:t>
      </w:r>
    </w:p>
    <w:p w14:paraId="54395D37">
      <w:pPr>
        <w:spacing w:before="147" w:line="340" w:lineRule="auto"/>
        <w:ind w:left="15" w:right="1" w:firstLine="528"/>
        <w:rPr>
          <w:rFonts w:ascii="仿宋" w:hAnsi="仿宋" w:eastAsia="仿宋" w:cs="仿宋"/>
          <w:sz w:val="25"/>
          <w:szCs w:val="25"/>
        </w:rPr>
      </w:pPr>
      <w:r>
        <w:rPr>
          <w:rFonts w:ascii="仿宋" w:hAnsi="仿宋" w:eastAsia="仿宋" w:cs="仿宋"/>
          <w:spacing w:val="9"/>
          <w:sz w:val="25"/>
          <w:szCs w:val="25"/>
        </w:rPr>
        <w:t xml:space="preserve">露天开采矿山对生态的影响主要表现为：一是开采活动对地形地貌的直接 </w:t>
      </w:r>
      <w:r>
        <w:rPr>
          <w:rFonts w:ascii="仿宋" w:hAnsi="仿宋" w:eastAsia="仿宋" w:cs="仿宋"/>
          <w:spacing w:val="10"/>
          <w:sz w:val="25"/>
          <w:szCs w:val="25"/>
        </w:rPr>
        <w:t>破坏，会直接毁坏地表土层和植被系统，将占</w:t>
      </w:r>
      <w:r>
        <w:rPr>
          <w:rFonts w:ascii="仿宋" w:hAnsi="仿宋" w:eastAsia="仿宋" w:cs="仿宋"/>
          <w:spacing w:val="9"/>
          <w:sz w:val="25"/>
          <w:szCs w:val="25"/>
        </w:rPr>
        <w:t>用大量土地资源，改变矿区土地</w:t>
      </w:r>
      <w:r>
        <w:rPr>
          <w:rFonts w:ascii="仿宋" w:hAnsi="仿宋" w:eastAsia="仿宋" w:cs="仿宋"/>
          <w:sz w:val="25"/>
          <w:szCs w:val="25"/>
        </w:rPr>
        <w:t xml:space="preserve"> </w:t>
      </w:r>
      <w:r>
        <w:rPr>
          <w:rFonts w:ascii="仿宋" w:hAnsi="仿宋" w:eastAsia="仿宋" w:cs="仿宋"/>
          <w:spacing w:val="10"/>
          <w:sz w:val="25"/>
          <w:szCs w:val="25"/>
        </w:rPr>
        <w:t>利用类型；破坏矿区植被，新增水土流失；改</w:t>
      </w:r>
      <w:r>
        <w:rPr>
          <w:rFonts w:ascii="仿宋" w:hAnsi="仿宋" w:eastAsia="仿宋" w:cs="仿宋"/>
          <w:spacing w:val="9"/>
          <w:sz w:val="25"/>
          <w:szCs w:val="25"/>
        </w:rPr>
        <w:t>变地形地貌，破坏景观生态，诱</w:t>
      </w:r>
      <w:r>
        <w:rPr>
          <w:rFonts w:ascii="仿宋" w:hAnsi="仿宋" w:eastAsia="仿宋" w:cs="仿宋"/>
          <w:sz w:val="25"/>
          <w:szCs w:val="25"/>
        </w:rPr>
        <w:t xml:space="preserve"> </w:t>
      </w:r>
      <w:r>
        <w:rPr>
          <w:rFonts w:ascii="仿宋" w:hAnsi="仿宋" w:eastAsia="仿宋" w:cs="仿宋"/>
          <w:spacing w:val="10"/>
          <w:sz w:val="25"/>
          <w:szCs w:val="25"/>
        </w:rPr>
        <w:t>发边坡失稳、危岩等地质灾害。二是开采、加</w:t>
      </w:r>
      <w:r>
        <w:rPr>
          <w:rFonts w:ascii="仿宋" w:hAnsi="仿宋" w:eastAsia="仿宋" w:cs="仿宋"/>
          <w:spacing w:val="9"/>
          <w:sz w:val="25"/>
          <w:szCs w:val="25"/>
        </w:rPr>
        <w:t>工及运输过程中产生的废气通过</w:t>
      </w:r>
      <w:r>
        <w:rPr>
          <w:rFonts w:ascii="仿宋" w:hAnsi="仿宋" w:eastAsia="仿宋" w:cs="仿宋"/>
          <w:sz w:val="25"/>
          <w:szCs w:val="25"/>
        </w:rPr>
        <w:t xml:space="preserve"> </w:t>
      </w:r>
      <w:r>
        <w:rPr>
          <w:rFonts w:ascii="仿宋" w:hAnsi="仿宋" w:eastAsia="仿宋" w:cs="仿宋"/>
          <w:spacing w:val="10"/>
          <w:sz w:val="25"/>
          <w:szCs w:val="25"/>
        </w:rPr>
        <w:t>大气扩散，加剧了采矿区及道路周边的环境空</w:t>
      </w:r>
      <w:r>
        <w:rPr>
          <w:rFonts w:ascii="仿宋" w:hAnsi="仿宋" w:eastAsia="仿宋" w:cs="仿宋"/>
          <w:spacing w:val="9"/>
          <w:sz w:val="25"/>
          <w:szCs w:val="25"/>
        </w:rPr>
        <w:t>气的污染影响。三是开采过程中</w:t>
      </w:r>
      <w:r>
        <w:rPr>
          <w:rFonts w:ascii="仿宋" w:hAnsi="仿宋" w:eastAsia="仿宋" w:cs="仿宋"/>
          <w:sz w:val="25"/>
          <w:szCs w:val="25"/>
        </w:rPr>
        <w:t xml:space="preserve"> </w:t>
      </w:r>
      <w:r>
        <w:rPr>
          <w:rFonts w:ascii="仿宋" w:hAnsi="仿宋" w:eastAsia="仿宋" w:cs="仿宋"/>
          <w:spacing w:val="9"/>
          <w:sz w:val="25"/>
          <w:szCs w:val="25"/>
        </w:rPr>
        <w:t>会对周边动植物的生境产生影响。矿山开采</w:t>
      </w:r>
      <w:r>
        <w:rPr>
          <w:rFonts w:ascii="仿宋" w:hAnsi="仿宋" w:eastAsia="仿宋" w:cs="仿宋"/>
          <w:spacing w:val="8"/>
          <w:sz w:val="25"/>
          <w:szCs w:val="25"/>
        </w:rPr>
        <w:t>及选矿过程中产生的“三废</w:t>
      </w:r>
      <w:r>
        <w:rPr>
          <w:rFonts w:ascii="仿宋" w:hAnsi="仿宋" w:eastAsia="仿宋" w:cs="仿宋"/>
          <w:spacing w:val="-90"/>
          <w:sz w:val="25"/>
          <w:szCs w:val="25"/>
        </w:rPr>
        <w:t xml:space="preserve"> </w:t>
      </w:r>
      <w:r>
        <w:rPr>
          <w:rFonts w:ascii="仿宋" w:hAnsi="仿宋" w:eastAsia="仿宋" w:cs="仿宋"/>
          <w:spacing w:val="8"/>
          <w:sz w:val="25"/>
          <w:szCs w:val="25"/>
        </w:rPr>
        <w:t>”会对</w:t>
      </w:r>
      <w:r>
        <w:rPr>
          <w:rFonts w:ascii="仿宋" w:hAnsi="仿宋" w:eastAsia="仿宋" w:cs="仿宋"/>
          <w:sz w:val="25"/>
          <w:szCs w:val="25"/>
        </w:rPr>
        <w:t xml:space="preserve"> </w:t>
      </w:r>
      <w:r>
        <w:rPr>
          <w:rFonts w:ascii="仿宋" w:hAnsi="仿宋" w:eastAsia="仿宋" w:cs="仿宋"/>
          <w:spacing w:val="9"/>
          <w:sz w:val="25"/>
          <w:szCs w:val="25"/>
        </w:rPr>
        <w:t>环境产生不利影响，也会造成生态破坏，有时甚至是不可逆的变化。</w:t>
      </w:r>
    </w:p>
    <w:p w14:paraId="6336AA2A">
      <w:pPr>
        <w:spacing w:line="228" w:lineRule="auto"/>
        <w:ind w:left="528"/>
        <w:rPr>
          <w:rFonts w:ascii="仿宋" w:hAnsi="仿宋" w:eastAsia="仿宋" w:cs="仿宋"/>
          <w:sz w:val="25"/>
          <w:szCs w:val="25"/>
        </w:rPr>
      </w:pPr>
      <w:r>
        <w:rPr>
          <w:rFonts w:ascii="仿宋" w:hAnsi="仿宋" w:eastAsia="仿宋" w:cs="仿宋"/>
          <w:spacing w:val="8"/>
          <w:sz w:val="25"/>
          <w:szCs w:val="25"/>
        </w:rPr>
        <w:t>②水环境影响</w:t>
      </w:r>
    </w:p>
    <w:p w14:paraId="2F16EB1B">
      <w:pPr>
        <w:spacing w:before="153" w:line="339" w:lineRule="auto"/>
        <w:ind w:left="24" w:right="2" w:firstLine="525"/>
        <w:rPr>
          <w:rFonts w:ascii="仿宋" w:hAnsi="仿宋" w:eastAsia="仿宋" w:cs="仿宋"/>
          <w:sz w:val="25"/>
          <w:szCs w:val="25"/>
        </w:rPr>
      </w:pPr>
      <w:r>
        <w:rPr>
          <w:rFonts w:ascii="仿宋" w:hAnsi="仿宋" w:eastAsia="仿宋" w:cs="仿宋"/>
          <w:spacing w:val="9"/>
          <w:sz w:val="25"/>
          <w:szCs w:val="25"/>
        </w:rPr>
        <w:t>资源开发过程中主要产生车辆冲洗废水、降尘废水，矿山开采过程中产生</w:t>
      </w:r>
      <w:r>
        <w:rPr>
          <w:rFonts w:ascii="仿宋" w:hAnsi="仿宋" w:eastAsia="仿宋" w:cs="仿宋"/>
          <w:spacing w:val="3"/>
          <w:sz w:val="25"/>
          <w:szCs w:val="25"/>
        </w:rPr>
        <w:t xml:space="preserve"> </w:t>
      </w:r>
      <w:r>
        <w:rPr>
          <w:rFonts w:ascii="仿宋" w:hAnsi="仿宋" w:eastAsia="仿宋" w:cs="仿宋"/>
          <w:spacing w:val="9"/>
          <w:sz w:val="25"/>
          <w:szCs w:val="25"/>
        </w:rPr>
        <w:t>的废水、生活污水直接排入环境中会对水环境产生不利影响，另外，矿山废水</w:t>
      </w:r>
      <w:r>
        <w:rPr>
          <w:rFonts w:ascii="仿宋" w:hAnsi="仿宋" w:eastAsia="仿宋" w:cs="仿宋"/>
          <w:spacing w:val="11"/>
          <w:sz w:val="25"/>
          <w:szCs w:val="25"/>
        </w:rPr>
        <w:t xml:space="preserve"> </w:t>
      </w:r>
      <w:r>
        <w:rPr>
          <w:rFonts w:ascii="仿宋" w:hAnsi="仿宋" w:eastAsia="仿宋" w:cs="仿宋"/>
          <w:spacing w:val="7"/>
          <w:sz w:val="25"/>
          <w:szCs w:val="25"/>
        </w:rPr>
        <w:t>也可能对地下水环境造成不利影响。</w:t>
      </w:r>
    </w:p>
    <w:p w14:paraId="2515450F">
      <w:pPr>
        <w:spacing w:before="1" w:line="228" w:lineRule="auto"/>
        <w:ind w:left="657"/>
        <w:rPr>
          <w:rFonts w:ascii="仿宋" w:hAnsi="仿宋" w:eastAsia="仿宋" w:cs="仿宋"/>
          <w:sz w:val="25"/>
          <w:szCs w:val="25"/>
        </w:rPr>
      </w:pPr>
      <w:r>
        <w:rPr>
          <w:rFonts w:ascii="仿宋" w:hAnsi="仿宋" w:eastAsia="仿宋" w:cs="仿宋"/>
          <w:spacing w:val="8"/>
          <w:sz w:val="25"/>
          <w:szCs w:val="25"/>
        </w:rPr>
        <w:t>③大气环境影响</w:t>
      </w:r>
    </w:p>
    <w:p w14:paraId="22128885">
      <w:pPr>
        <w:spacing w:before="154" w:line="339" w:lineRule="auto"/>
        <w:ind w:left="16" w:right="1" w:firstLine="522"/>
        <w:rPr>
          <w:rFonts w:ascii="仿宋" w:hAnsi="仿宋" w:eastAsia="仿宋" w:cs="仿宋"/>
          <w:sz w:val="25"/>
          <w:szCs w:val="25"/>
        </w:rPr>
      </w:pPr>
      <w:r>
        <w:rPr>
          <w:rFonts w:ascii="仿宋" w:hAnsi="仿宋" w:eastAsia="仿宋" w:cs="仿宋"/>
          <w:spacing w:val="9"/>
          <w:sz w:val="25"/>
          <w:szCs w:val="25"/>
        </w:rPr>
        <w:t>对大气环境的影响主要表现在开采过程、破碎筛分过程、运输工程等产生</w:t>
      </w:r>
      <w:r>
        <w:rPr>
          <w:rFonts w:ascii="仿宋" w:hAnsi="仿宋" w:eastAsia="仿宋" w:cs="仿宋"/>
          <w:spacing w:val="14"/>
          <w:sz w:val="25"/>
          <w:szCs w:val="25"/>
        </w:rPr>
        <w:t xml:space="preserve"> </w:t>
      </w:r>
      <w:r>
        <w:rPr>
          <w:rFonts w:ascii="仿宋" w:hAnsi="仿宋" w:eastAsia="仿宋" w:cs="仿宋"/>
          <w:spacing w:val="2"/>
          <w:sz w:val="25"/>
          <w:szCs w:val="25"/>
        </w:rPr>
        <w:t>的粉尘，采矿过程中钻孔及爆破过程会产生粉尘。采矿产生的一些固体废物（废</w:t>
      </w:r>
      <w:r>
        <w:rPr>
          <w:rFonts w:ascii="仿宋" w:hAnsi="仿宋" w:eastAsia="仿宋" w:cs="仿宋"/>
          <w:spacing w:val="5"/>
          <w:sz w:val="25"/>
          <w:szCs w:val="25"/>
        </w:rPr>
        <w:t xml:space="preserve"> </w:t>
      </w:r>
      <w:r>
        <w:rPr>
          <w:rFonts w:ascii="仿宋" w:hAnsi="仿宋" w:eastAsia="仿宋" w:cs="仿宋"/>
          <w:spacing w:val="10"/>
          <w:sz w:val="25"/>
          <w:szCs w:val="25"/>
        </w:rPr>
        <w:t>石）长期堆放，大风天气下，产生扬尘，对</w:t>
      </w:r>
      <w:r>
        <w:rPr>
          <w:rFonts w:ascii="仿宋" w:hAnsi="仿宋" w:eastAsia="仿宋" w:cs="仿宋"/>
          <w:spacing w:val="9"/>
          <w:sz w:val="25"/>
          <w:szCs w:val="25"/>
        </w:rPr>
        <w:t>环境产生不利影响，但多为局部影</w:t>
      </w:r>
      <w:r>
        <w:rPr>
          <w:rFonts w:ascii="仿宋" w:hAnsi="仿宋" w:eastAsia="仿宋" w:cs="仿宋"/>
          <w:sz w:val="25"/>
          <w:szCs w:val="25"/>
        </w:rPr>
        <w:t xml:space="preserve"> </w:t>
      </w:r>
      <w:r>
        <w:rPr>
          <w:rFonts w:ascii="仿宋" w:hAnsi="仿宋" w:eastAsia="仿宋" w:cs="仿宋"/>
          <w:spacing w:val="8"/>
          <w:sz w:val="25"/>
          <w:szCs w:val="25"/>
        </w:rPr>
        <w:t>响，对区域环境空气质量影响较小。</w:t>
      </w:r>
    </w:p>
    <w:p w14:paraId="0218356B">
      <w:pPr>
        <w:spacing w:before="1" w:line="227" w:lineRule="auto"/>
        <w:ind w:left="528"/>
        <w:rPr>
          <w:rFonts w:ascii="仿宋" w:hAnsi="仿宋" w:eastAsia="仿宋" w:cs="仿宋"/>
          <w:sz w:val="25"/>
          <w:szCs w:val="25"/>
        </w:rPr>
      </w:pPr>
      <w:r>
        <w:rPr>
          <w:rFonts w:ascii="仿宋" w:hAnsi="仿宋" w:eastAsia="仿宋" w:cs="仿宋"/>
          <w:spacing w:val="8"/>
          <w:sz w:val="25"/>
          <w:szCs w:val="25"/>
        </w:rPr>
        <w:t>④固体废物</w:t>
      </w:r>
    </w:p>
    <w:p w14:paraId="5D0F4C94">
      <w:pPr>
        <w:spacing w:before="150" w:line="340" w:lineRule="auto"/>
        <w:ind w:left="19" w:right="2" w:firstLine="517"/>
        <w:rPr>
          <w:rFonts w:ascii="仿宋" w:hAnsi="仿宋" w:eastAsia="仿宋" w:cs="仿宋"/>
          <w:sz w:val="25"/>
          <w:szCs w:val="25"/>
        </w:rPr>
      </w:pPr>
      <w:r>
        <w:rPr>
          <w:rFonts w:ascii="仿宋" w:hAnsi="仿宋" w:eastAsia="仿宋" w:cs="仿宋"/>
          <w:spacing w:val="9"/>
          <w:sz w:val="25"/>
          <w:szCs w:val="25"/>
        </w:rPr>
        <w:t>矿产资源开发过程中产生弃渣，弃渣作为一种松散堆积体，在不采取措施</w:t>
      </w:r>
      <w:r>
        <w:rPr>
          <w:rFonts w:ascii="仿宋" w:hAnsi="仿宋" w:eastAsia="仿宋" w:cs="仿宋"/>
          <w:spacing w:val="16"/>
          <w:sz w:val="25"/>
          <w:szCs w:val="25"/>
        </w:rPr>
        <w:t xml:space="preserve"> </w:t>
      </w:r>
      <w:r>
        <w:rPr>
          <w:rFonts w:ascii="仿宋" w:hAnsi="仿宋" w:eastAsia="仿宋" w:cs="仿宋"/>
          <w:spacing w:val="9"/>
          <w:sz w:val="25"/>
          <w:szCs w:val="25"/>
        </w:rPr>
        <w:t>的前提下易受到雨水冲刷影响，渣体可能发生崩塌，甚至发生泥石流等流失形</w:t>
      </w:r>
      <w:r>
        <w:rPr>
          <w:rFonts w:ascii="仿宋" w:hAnsi="仿宋" w:eastAsia="仿宋" w:cs="仿宋"/>
          <w:spacing w:val="16"/>
          <w:sz w:val="25"/>
          <w:szCs w:val="25"/>
        </w:rPr>
        <w:t xml:space="preserve"> </w:t>
      </w:r>
      <w:r>
        <w:rPr>
          <w:rFonts w:ascii="仿宋" w:hAnsi="仿宋" w:eastAsia="仿宋" w:cs="仿宋"/>
          <w:spacing w:val="9"/>
          <w:sz w:val="25"/>
          <w:szCs w:val="25"/>
        </w:rPr>
        <w:t>式；有可能污染地表水、地下水、土壤，对生物多样性带来不利影响，甚至危</w:t>
      </w:r>
      <w:r>
        <w:rPr>
          <w:rFonts w:ascii="仿宋" w:hAnsi="仿宋" w:eastAsia="仿宋" w:cs="仿宋"/>
          <w:spacing w:val="16"/>
          <w:sz w:val="25"/>
          <w:szCs w:val="25"/>
        </w:rPr>
        <w:t xml:space="preserve"> </w:t>
      </w:r>
      <w:r>
        <w:rPr>
          <w:rFonts w:ascii="仿宋" w:hAnsi="仿宋" w:eastAsia="仿宋" w:cs="仿宋"/>
          <w:spacing w:val="6"/>
          <w:sz w:val="25"/>
          <w:szCs w:val="25"/>
        </w:rPr>
        <w:t>及人类生命财产安全，</w:t>
      </w:r>
      <w:r>
        <w:rPr>
          <w:rFonts w:ascii="仿宋" w:hAnsi="仿宋" w:eastAsia="仿宋" w:cs="仿宋"/>
          <w:spacing w:val="-59"/>
          <w:sz w:val="25"/>
          <w:szCs w:val="25"/>
        </w:rPr>
        <w:t xml:space="preserve"> </w:t>
      </w:r>
      <w:r>
        <w:rPr>
          <w:rFonts w:ascii="仿宋" w:hAnsi="仿宋" w:eastAsia="仿宋" w:cs="仿宋"/>
          <w:spacing w:val="6"/>
          <w:sz w:val="25"/>
          <w:szCs w:val="25"/>
        </w:rPr>
        <w:t>因此必须做好废石弃渣的处置，</w:t>
      </w:r>
      <w:r>
        <w:rPr>
          <w:rFonts w:ascii="仿宋" w:hAnsi="仿宋" w:eastAsia="仿宋" w:cs="仿宋"/>
          <w:spacing w:val="-73"/>
          <w:sz w:val="25"/>
          <w:szCs w:val="25"/>
        </w:rPr>
        <w:t xml:space="preserve"> </w:t>
      </w:r>
      <w:r>
        <w:rPr>
          <w:rFonts w:ascii="仿宋" w:hAnsi="仿宋" w:eastAsia="仿宋" w:cs="仿宋"/>
          <w:spacing w:val="6"/>
          <w:sz w:val="25"/>
          <w:szCs w:val="25"/>
        </w:rPr>
        <w:t>闭矿后将剥离表土可用</w:t>
      </w:r>
      <w:r>
        <w:rPr>
          <w:rFonts w:ascii="仿宋" w:hAnsi="仿宋" w:eastAsia="仿宋" w:cs="仿宋"/>
          <w:sz w:val="25"/>
          <w:szCs w:val="25"/>
        </w:rPr>
        <w:t xml:space="preserve"> </w:t>
      </w:r>
      <w:r>
        <w:rPr>
          <w:rFonts w:ascii="仿宋" w:hAnsi="仿宋" w:eastAsia="仿宋" w:cs="仿宋"/>
          <w:spacing w:val="8"/>
          <w:sz w:val="25"/>
          <w:szCs w:val="25"/>
        </w:rPr>
        <w:t>作采区内的地表平整和表层土，恢复地表植被使用。</w:t>
      </w:r>
    </w:p>
    <w:p w14:paraId="5AD89669">
      <w:pPr>
        <w:spacing w:line="340" w:lineRule="auto"/>
        <w:rPr>
          <w:rFonts w:ascii="仿宋" w:hAnsi="仿宋" w:eastAsia="仿宋" w:cs="仿宋"/>
          <w:sz w:val="25"/>
          <w:szCs w:val="25"/>
        </w:rPr>
        <w:sectPr>
          <w:headerReference r:id="rId165" w:type="default"/>
          <w:footerReference r:id="rId166" w:type="default"/>
          <w:pgSz w:w="11906" w:h="16839"/>
          <w:pgMar w:top="1116" w:right="1474" w:bottom="1480" w:left="1587" w:header="683" w:footer="1318" w:gutter="0"/>
          <w:cols w:space="720" w:num="1"/>
        </w:sectPr>
      </w:pPr>
    </w:p>
    <w:p w14:paraId="7084AD16">
      <w:pPr>
        <w:pStyle w:val="2"/>
        <w:spacing w:line="385" w:lineRule="auto"/>
      </w:pPr>
    </w:p>
    <w:p w14:paraId="6AA79220">
      <w:pPr>
        <w:spacing w:before="82" w:line="227" w:lineRule="auto"/>
        <w:ind w:left="47"/>
        <w:outlineLvl w:val="2"/>
        <w:rPr>
          <w:rFonts w:ascii="仿宋" w:hAnsi="仿宋" w:eastAsia="仿宋" w:cs="仿宋"/>
          <w:sz w:val="25"/>
          <w:szCs w:val="25"/>
        </w:rPr>
      </w:pPr>
      <w:r>
        <w:rPr>
          <w:rFonts w:ascii="Times New Roman" w:hAnsi="Times New Roman" w:eastAsia="Times New Roman" w:cs="Times New Roman"/>
          <w:b/>
          <w:bCs/>
          <w:spacing w:val="6"/>
          <w:sz w:val="25"/>
          <w:szCs w:val="25"/>
        </w:rPr>
        <w:t xml:space="preserve">4.1.4  </w:t>
      </w:r>
      <w:r>
        <w:rPr>
          <w:rFonts w:ascii="仿宋" w:hAnsi="仿宋" w:eastAsia="仿宋" w:cs="仿宋"/>
          <w:b/>
          <w:bCs/>
          <w:spacing w:val="6"/>
          <w:sz w:val="25"/>
          <w:szCs w:val="25"/>
        </w:rPr>
        <w:t>矿山地质环境保护与恢复治理</w:t>
      </w:r>
    </w:p>
    <w:p w14:paraId="390A6F16">
      <w:pPr>
        <w:spacing w:before="275" w:line="339" w:lineRule="auto"/>
        <w:ind w:left="55" w:right="42" w:firstLine="523"/>
        <w:jc w:val="both"/>
        <w:rPr>
          <w:rFonts w:ascii="仿宋" w:hAnsi="仿宋" w:eastAsia="仿宋" w:cs="仿宋"/>
          <w:sz w:val="25"/>
          <w:szCs w:val="25"/>
        </w:rPr>
      </w:pPr>
      <w:r>
        <w:rPr>
          <w:rFonts w:ascii="仿宋" w:hAnsi="仿宋" w:eastAsia="仿宋" w:cs="仿宋"/>
          <w:spacing w:val="9"/>
          <w:sz w:val="25"/>
          <w:szCs w:val="25"/>
        </w:rPr>
        <w:t>矿区生态环境治理主要针对闭坑矿山进行土地复垦和植被恢复，对新建和</w:t>
      </w:r>
      <w:r>
        <w:rPr>
          <w:rFonts w:ascii="仿宋" w:hAnsi="仿宋" w:eastAsia="仿宋" w:cs="仿宋"/>
          <w:spacing w:val="16"/>
          <w:sz w:val="25"/>
          <w:szCs w:val="25"/>
        </w:rPr>
        <w:t xml:space="preserve"> </w:t>
      </w:r>
      <w:r>
        <w:rPr>
          <w:rFonts w:ascii="仿宋" w:hAnsi="仿宋" w:eastAsia="仿宋" w:cs="仿宋"/>
          <w:spacing w:val="9"/>
          <w:sz w:val="25"/>
          <w:szCs w:val="25"/>
        </w:rPr>
        <w:t>现有矿山进行“三废</w:t>
      </w:r>
      <w:r>
        <w:rPr>
          <w:rFonts w:ascii="仿宋" w:hAnsi="仿宋" w:eastAsia="仿宋" w:cs="仿宋"/>
          <w:spacing w:val="-88"/>
          <w:sz w:val="25"/>
          <w:szCs w:val="25"/>
        </w:rPr>
        <w:t xml:space="preserve"> </w:t>
      </w:r>
      <w:r>
        <w:rPr>
          <w:rFonts w:ascii="仿宋" w:hAnsi="仿宋" w:eastAsia="仿宋" w:cs="仿宋"/>
          <w:spacing w:val="9"/>
          <w:sz w:val="25"/>
          <w:szCs w:val="25"/>
        </w:rPr>
        <w:t>”治理和生态环境保护</w:t>
      </w:r>
      <w:r>
        <w:rPr>
          <w:rFonts w:ascii="仿宋" w:hAnsi="仿宋" w:eastAsia="仿宋" w:cs="仿宋"/>
          <w:spacing w:val="8"/>
          <w:sz w:val="25"/>
          <w:szCs w:val="25"/>
        </w:rPr>
        <w:t>措施完善，对新建和现有及闭坑矿</w:t>
      </w:r>
      <w:r>
        <w:rPr>
          <w:rFonts w:ascii="仿宋" w:hAnsi="仿宋" w:eastAsia="仿宋" w:cs="仿宋"/>
          <w:sz w:val="25"/>
          <w:szCs w:val="25"/>
        </w:rPr>
        <w:t xml:space="preserve"> </w:t>
      </w:r>
      <w:r>
        <w:rPr>
          <w:rFonts w:ascii="仿宋" w:hAnsi="仿宋" w:eastAsia="仿宋" w:cs="仿宋"/>
          <w:spacing w:val="10"/>
          <w:sz w:val="25"/>
          <w:szCs w:val="25"/>
        </w:rPr>
        <w:t>山进行地质灾害防治工程。矿山环境保护与恢复治</w:t>
      </w:r>
      <w:r>
        <w:rPr>
          <w:rFonts w:ascii="仿宋" w:hAnsi="仿宋" w:eastAsia="仿宋" w:cs="仿宋"/>
          <w:spacing w:val="9"/>
          <w:sz w:val="25"/>
          <w:szCs w:val="25"/>
        </w:rPr>
        <w:t>理对于环境会产生正影响，</w:t>
      </w:r>
      <w:r>
        <w:rPr>
          <w:rFonts w:ascii="仿宋" w:hAnsi="仿宋" w:eastAsia="仿宋" w:cs="仿宋"/>
          <w:sz w:val="25"/>
          <w:szCs w:val="25"/>
        </w:rPr>
        <w:t xml:space="preserve"> </w:t>
      </w:r>
      <w:r>
        <w:rPr>
          <w:rFonts w:ascii="仿宋" w:hAnsi="仿宋" w:eastAsia="仿宋" w:cs="仿宋"/>
          <w:spacing w:val="9"/>
          <w:sz w:val="25"/>
          <w:szCs w:val="25"/>
        </w:rPr>
        <w:t>有利于生态环境恢复，减少水土流失，降低扬尘，恢复景观等。</w:t>
      </w:r>
    </w:p>
    <w:p w14:paraId="733AB6E5">
      <w:pPr>
        <w:spacing w:before="14" w:line="229" w:lineRule="auto"/>
        <w:ind w:left="47"/>
        <w:outlineLvl w:val="1"/>
        <w:rPr>
          <w:rFonts w:ascii="仿宋" w:hAnsi="仿宋" w:eastAsia="仿宋" w:cs="仿宋"/>
          <w:sz w:val="25"/>
          <w:szCs w:val="25"/>
        </w:rPr>
      </w:pPr>
      <w:bookmarkStart w:id="23" w:name="bookmark20"/>
      <w:bookmarkEnd w:id="23"/>
      <w:r>
        <w:rPr>
          <w:rFonts w:ascii="Times New Roman" w:hAnsi="Times New Roman" w:eastAsia="Times New Roman" w:cs="Times New Roman"/>
          <w:b/>
          <w:bCs/>
          <w:spacing w:val="4"/>
          <w:sz w:val="25"/>
          <w:szCs w:val="25"/>
        </w:rPr>
        <w:t>4.2</w:t>
      </w:r>
      <w:r>
        <w:rPr>
          <w:rFonts w:ascii="Times New Roman" w:hAnsi="Times New Roman" w:eastAsia="Times New Roman" w:cs="Times New Roman"/>
          <w:b/>
          <w:bCs/>
          <w:spacing w:val="12"/>
          <w:sz w:val="25"/>
          <w:szCs w:val="25"/>
        </w:rPr>
        <w:t xml:space="preserve">  </w:t>
      </w:r>
      <w:r>
        <w:rPr>
          <w:rFonts w:ascii="仿宋" w:hAnsi="仿宋" w:eastAsia="仿宋" w:cs="仿宋"/>
          <w:b/>
          <w:bCs/>
          <w:spacing w:val="4"/>
          <w:sz w:val="25"/>
          <w:szCs w:val="25"/>
        </w:rPr>
        <w:t>环境影响识别</w:t>
      </w:r>
    </w:p>
    <w:p w14:paraId="493F48EC">
      <w:pPr>
        <w:spacing w:before="252" w:line="340" w:lineRule="auto"/>
        <w:ind w:left="61" w:right="42" w:firstLine="518"/>
        <w:jc w:val="both"/>
        <w:rPr>
          <w:rFonts w:ascii="仿宋" w:hAnsi="仿宋" w:eastAsia="仿宋" w:cs="仿宋"/>
          <w:sz w:val="25"/>
          <w:szCs w:val="25"/>
        </w:rPr>
      </w:pPr>
      <w:r>
        <w:rPr>
          <w:rFonts w:ascii="仿宋" w:hAnsi="仿宋" w:eastAsia="仿宋" w:cs="仿宋"/>
          <w:spacing w:val="9"/>
          <w:sz w:val="25"/>
          <w:szCs w:val="25"/>
        </w:rPr>
        <w:t>根据矿产资源勘查、开发对环境的影响，环境影响因子、影响程度、影响</w:t>
      </w:r>
      <w:r>
        <w:rPr>
          <w:rFonts w:ascii="仿宋" w:hAnsi="仿宋" w:eastAsia="仿宋" w:cs="仿宋"/>
          <w:spacing w:val="15"/>
          <w:sz w:val="25"/>
          <w:szCs w:val="25"/>
        </w:rPr>
        <w:t xml:space="preserve"> </w:t>
      </w:r>
      <w:r>
        <w:rPr>
          <w:rFonts w:ascii="仿宋" w:hAnsi="仿宋" w:eastAsia="仿宋" w:cs="仿宋"/>
          <w:spacing w:val="9"/>
          <w:sz w:val="25"/>
          <w:szCs w:val="25"/>
        </w:rPr>
        <w:t>时效和影响类别，运用矩阵法对《规划调整》涉及的调整区块实施主要矿业活</w:t>
      </w:r>
      <w:r>
        <w:rPr>
          <w:rFonts w:ascii="仿宋" w:hAnsi="仿宋" w:eastAsia="仿宋" w:cs="仿宋"/>
          <w:spacing w:val="16"/>
          <w:sz w:val="25"/>
          <w:szCs w:val="25"/>
        </w:rPr>
        <w:t xml:space="preserve"> </w:t>
      </w:r>
      <w:r>
        <w:rPr>
          <w:rFonts w:ascii="仿宋" w:hAnsi="仿宋" w:eastAsia="仿宋" w:cs="仿宋"/>
          <w:spacing w:val="6"/>
          <w:sz w:val="25"/>
          <w:szCs w:val="25"/>
        </w:rPr>
        <w:t>动对环境的影响识别结果见表</w:t>
      </w:r>
      <w:r>
        <w:rPr>
          <w:rFonts w:ascii="仿宋" w:hAnsi="仿宋" w:eastAsia="仿宋" w:cs="仿宋"/>
          <w:spacing w:val="-45"/>
          <w:sz w:val="25"/>
          <w:szCs w:val="25"/>
        </w:rPr>
        <w:t xml:space="preserve"> </w:t>
      </w:r>
      <w:r>
        <w:rPr>
          <w:rFonts w:ascii="Times New Roman" w:hAnsi="Times New Roman" w:eastAsia="Times New Roman" w:cs="Times New Roman"/>
          <w:spacing w:val="6"/>
          <w:sz w:val="25"/>
          <w:szCs w:val="25"/>
        </w:rPr>
        <w:t>4.2-1</w:t>
      </w:r>
      <w:r>
        <w:rPr>
          <w:rFonts w:ascii="仿宋" w:hAnsi="仿宋" w:eastAsia="仿宋" w:cs="仿宋"/>
          <w:spacing w:val="6"/>
          <w:sz w:val="25"/>
          <w:szCs w:val="25"/>
        </w:rPr>
        <w:t>。</w:t>
      </w:r>
    </w:p>
    <w:p w14:paraId="007CA2DC">
      <w:pPr>
        <w:spacing w:before="42" w:line="231" w:lineRule="auto"/>
        <w:ind w:left="2811"/>
        <w:rPr>
          <w:rFonts w:ascii="仿宋" w:hAnsi="仿宋" w:eastAsia="仿宋" w:cs="仿宋"/>
          <w:sz w:val="20"/>
          <w:szCs w:val="20"/>
        </w:rPr>
      </w:pPr>
      <w:r>
        <w:rPr>
          <w:rFonts w:ascii="仿宋" w:hAnsi="仿宋" w:eastAsia="仿宋" w:cs="仿宋"/>
          <w:b/>
          <w:bCs/>
          <w:spacing w:val="5"/>
          <w:sz w:val="20"/>
          <w:szCs w:val="20"/>
        </w:rPr>
        <w:t>表</w:t>
      </w:r>
      <w:r>
        <w:rPr>
          <w:rFonts w:ascii="仿宋" w:hAnsi="仿宋" w:eastAsia="仿宋" w:cs="仿宋"/>
          <w:spacing w:val="-39"/>
          <w:sz w:val="20"/>
          <w:szCs w:val="20"/>
        </w:rPr>
        <w:t xml:space="preserve"> </w:t>
      </w:r>
      <w:r>
        <w:rPr>
          <w:rFonts w:ascii="Times New Roman" w:hAnsi="Times New Roman" w:eastAsia="Times New Roman" w:cs="Times New Roman"/>
          <w:b/>
          <w:bCs/>
          <w:spacing w:val="5"/>
          <w:sz w:val="20"/>
          <w:szCs w:val="20"/>
        </w:rPr>
        <w:t xml:space="preserve">4.2-1      </w:t>
      </w:r>
      <w:r>
        <w:rPr>
          <w:rFonts w:ascii="仿宋" w:hAnsi="仿宋" w:eastAsia="仿宋" w:cs="仿宋"/>
          <w:b/>
          <w:bCs/>
          <w:spacing w:val="5"/>
          <w:sz w:val="20"/>
          <w:szCs w:val="20"/>
        </w:rPr>
        <w:t>规划环境影响因子</w:t>
      </w:r>
      <w:r>
        <w:rPr>
          <w:rFonts w:ascii="仿宋" w:hAnsi="仿宋" w:eastAsia="仿宋" w:cs="仿宋"/>
          <w:b/>
          <w:bCs/>
          <w:spacing w:val="4"/>
          <w:sz w:val="20"/>
          <w:szCs w:val="20"/>
        </w:rPr>
        <w:t>识别表</w:t>
      </w:r>
    </w:p>
    <w:p w14:paraId="5A791C97">
      <w:pPr>
        <w:spacing w:line="21" w:lineRule="exact"/>
      </w:pPr>
    </w:p>
    <w:tbl>
      <w:tblPr>
        <w:tblStyle w:val="5"/>
        <w:tblW w:w="890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5"/>
        <w:gridCol w:w="2462"/>
        <w:gridCol w:w="1701"/>
        <w:gridCol w:w="1722"/>
        <w:gridCol w:w="1471"/>
      </w:tblGrid>
      <w:tr w14:paraId="24E14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545" w:type="dxa"/>
            <w:tcBorders>
              <w:top w:val="single" w:color="000000" w:sz="10" w:space="0"/>
              <w:left w:val="single" w:color="000000" w:sz="10" w:space="0"/>
            </w:tcBorders>
            <w:vAlign w:val="top"/>
          </w:tcPr>
          <w:p w14:paraId="27A94953">
            <w:pPr>
              <w:pStyle w:val="6"/>
              <w:spacing w:before="97" w:line="231" w:lineRule="auto"/>
              <w:ind w:left="351"/>
              <w:rPr>
                <w:sz w:val="20"/>
                <w:szCs w:val="20"/>
              </w:rPr>
            </w:pPr>
            <w:r>
              <w:rPr>
                <w:spacing w:val="5"/>
                <w:sz w:val="20"/>
                <w:szCs w:val="20"/>
              </w:rPr>
              <w:t>环境要素</w:t>
            </w:r>
          </w:p>
        </w:tc>
        <w:tc>
          <w:tcPr>
            <w:tcW w:w="2462" w:type="dxa"/>
            <w:tcBorders>
              <w:top w:val="single" w:color="000000" w:sz="10" w:space="0"/>
            </w:tcBorders>
            <w:vAlign w:val="top"/>
          </w:tcPr>
          <w:p w14:paraId="392133B5">
            <w:pPr>
              <w:pStyle w:val="6"/>
              <w:spacing w:before="97" w:line="232" w:lineRule="auto"/>
              <w:ind w:left="820"/>
              <w:rPr>
                <w:sz w:val="20"/>
                <w:szCs w:val="20"/>
              </w:rPr>
            </w:pPr>
            <w:r>
              <w:rPr>
                <w:spacing w:val="5"/>
                <w:sz w:val="20"/>
                <w:szCs w:val="20"/>
              </w:rPr>
              <w:t>影响因子</w:t>
            </w:r>
          </w:p>
        </w:tc>
        <w:tc>
          <w:tcPr>
            <w:tcW w:w="1701" w:type="dxa"/>
            <w:tcBorders>
              <w:top w:val="single" w:color="000000" w:sz="10" w:space="0"/>
            </w:tcBorders>
            <w:vAlign w:val="top"/>
          </w:tcPr>
          <w:p w14:paraId="7C97335C">
            <w:pPr>
              <w:pStyle w:val="6"/>
              <w:spacing w:before="97" w:line="232" w:lineRule="auto"/>
              <w:ind w:left="446"/>
              <w:rPr>
                <w:sz w:val="20"/>
                <w:szCs w:val="20"/>
              </w:rPr>
            </w:pPr>
            <w:r>
              <w:rPr>
                <w:spacing w:val="5"/>
                <w:sz w:val="20"/>
                <w:szCs w:val="20"/>
              </w:rPr>
              <w:t>影响程度</w:t>
            </w:r>
          </w:p>
        </w:tc>
        <w:tc>
          <w:tcPr>
            <w:tcW w:w="1722" w:type="dxa"/>
            <w:tcBorders>
              <w:top w:val="single" w:color="000000" w:sz="10" w:space="0"/>
            </w:tcBorders>
            <w:vAlign w:val="top"/>
          </w:tcPr>
          <w:p w14:paraId="077EC128">
            <w:pPr>
              <w:pStyle w:val="6"/>
              <w:spacing w:before="97" w:line="232" w:lineRule="auto"/>
              <w:ind w:left="461"/>
              <w:rPr>
                <w:sz w:val="20"/>
                <w:szCs w:val="20"/>
              </w:rPr>
            </w:pPr>
            <w:r>
              <w:rPr>
                <w:spacing w:val="5"/>
                <w:sz w:val="20"/>
                <w:szCs w:val="20"/>
              </w:rPr>
              <w:t>影响时效</w:t>
            </w:r>
          </w:p>
        </w:tc>
        <w:tc>
          <w:tcPr>
            <w:tcW w:w="1471" w:type="dxa"/>
            <w:tcBorders>
              <w:top w:val="single" w:color="000000" w:sz="10" w:space="0"/>
              <w:right w:val="single" w:color="000000" w:sz="10" w:space="0"/>
            </w:tcBorders>
            <w:vAlign w:val="top"/>
          </w:tcPr>
          <w:p w14:paraId="5B1B4E4C">
            <w:pPr>
              <w:pStyle w:val="6"/>
              <w:spacing w:before="97" w:line="232" w:lineRule="auto"/>
              <w:ind w:left="332"/>
              <w:rPr>
                <w:sz w:val="20"/>
                <w:szCs w:val="20"/>
              </w:rPr>
            </w:pPr>
            <w:r>
              <w:rPr>
                <w:spacing w:val="5"/>
                <w:sz w:val="20"/>
                <w:szCs w:val="20"/>
              </w:rPr>
              <w:t>影响类别</w:t>
            </w:r>
          </w:p>
        </w:tc>
      </w:tr>
      <w:tr w14:paraId="0E14E9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545" w:type="dxa"/>
            <w:vMerge w:val="restart"/>
            <w:tcBorders>
              <w:left w:val="single" w:color="000000" w:sz="10" w:space="0"/>
              <w:bottom w:val="nil"/>
            </w:tcBorders>
            <w:vAlign w:val="top"/>
          </w:tcPr>
          <w:p w14:paraId="0A8D4C31">
            <w:pPr>
              <w:spacing w:line="318" w:lineRule="auto"/>
              <w:rPr>
                <w:rFonts w:ascii="Arial"/>
                <w:sz w:val="21"/>
              </w:rPr>
            </w:pPr>
          </w:p>
          <w:p w14:paraId="3DA236D3">
            <w:pPr>
              <w:spacing w:line="318" w:lineRule="auto"/>
              <w:rPr>
                <w:rFonts w:ascii="Arial"/>
                <w:sz w:val="21"/>
              </w:rPr>
            </w:pPr>
          </w:p>
          <w:p w14:paraId="2BC40CDD">
            <w:pPr>
              <w:pStyle w:val="6"/>
              <w:spacing w:before="65" w:line="231" w:lineRule="auto"/>
              <w:ind w:left="363"/>
              <w:rPr>
                <w:sz w:val="20"/>
                <w:szCs w:val="20"/>
              </w:rPr>
            </w:pPr>
            <w:r>
              <w:rPr>
                <w:spacing w:val="2"/>
                <w:sz w:val="20"/>
                <w:szCs w:val="20"/>
              </w:rPr>
              <w:t>生态环境</w:t>
            </w:r>
          </w:p>
        </w:tc>
        <w:tc>
          <w:tcPr>
            <w:tcW w:w="2462" w:type="dxa"/>
            <w:vAlign w:val="top"/>
          </w:tcPr>
          <w:p w14:paraId="303F3D75">
            <w:pPr>
              <w:pStyle w:val="6"/>
              <w:spacing w:before="95" w:line="232" w:lineRule="auto"/>
              <w:ind w:left="818"/>
              <w:rPr>
                <w:sz w:val="20"/>
                <w:szCs w:val="20"/>
              </w:rPr>
            </w:pPr>
            <w:r>
              <w:rPr>
                <w:spacing w:val="5"/>
                <w:sz w:val="20"/>
                <w:szCs w:val="20"/>
              </w:rPr>
              <w:t>地形地貌</w:t>
            </w:r>
          </w:p>
        </w:tc>
        <w:tc>
          <w:tcPr>
            <w:tcW w:w="1701" w:type="dxa"/>
            <w:vAlign w:val="top"/>
          </w:tcPr>
          <w:p w14:paraId="0B6B0FB7">
            <w:pPr>
              <w:pStyle w:val="6"/>
              <w:spacing w:before="95" w:line="232" w:lineRule="auto"/>
              <w:ind w:left="659"/>
              <w:rPr>
                <w:sz w:val="20"/>
                <w:szCs w:val="20"/>
              </w:rPr>
            </w:pPr>
            <w:r>
              <w:rPr>
                <w:spacing w:val="-2"/>
                <w:sz w:val="20"/>
                <w:szCs w:val="20"/>
              </w:rPr>
              <w:t>显著</w:t>
            </w:r>
          </w:p>
        </w:tc>
        <w:tc>
          <w:tcPr>
            <w:tcW w:w="1722" w:type="dxa"/>
            <w:vAlign w:val="top"/>
          </w:tcPr>
          <w:p w14:paraId="53D8E6EA">
            <w:pPr>
              <w:pStyle w:val="6"/>
              <w:spacing w:before="95" w:line="232" w:lineRule="auto"/>
              <w:ind w:left="667"/>
              <w:rPr>
                <w:sz w:val="20"/>
                <w:szCs w:val="20"/>
              </w:rPr>
            </w:pPr>
            <w:r>
              <w:rPr>
                <w:spacing w:val="2"/>
                <w:sz w:val="20"/>
                <w:szCs w:val="20"/>
              </w:rPr>
              <w:t>长期</w:t>
            </w:r>
          </w:p>
        </w:tc>
        <w:tc>
          <w:tcPr>
            <w:tcW w:w="1471" w:type="dxa"/>
            <w:tcBorders>
              <w:right w:val="single" w:color="000000" w:sz="10" w:space="0"/>
            </w:tcBorders>
            <w:vAlign w:val="top"/>
          </w:tcPr>
          <w:p w14:paraId="3C987290">
            <w:pPr>
              <w:pStyle w:val="6"/>
              <w:spacing w:before="95" w:line="232" w:lineRule="auto"/>
              <w:ind w:left="441"/>
              <w:rPr>
                <w:sz w:val="20"/>
                <w:szCs w:val="20"/>
              </w:rPr>
            </w:pPr>
            <w:r>
              <w:rPr>
                <w:spacing w:val="3"/>
                <w:sz w:val="20"/>
                <w:szCs w:val="20"/>
              </w:rPr>
              <w:t>不可逆</w:t>
            </w:r>
          </w:p>
        </w:tc>
      </w:tr>
      <w:tr w14:paraId="545F30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545" w:type="dxa"/>
            <w:vMerge w:val="continue"/>
            <w:tcBorders>
              <w:top w:val="nil"/>
              <w:left w:val="single" w:color="000000" w:sz="10" w:space="0"/>
              <w:bottom w:val="nil"/>
            </w:tcBorders>
            <w:vAlign w:val="top"/>
          </w:tcPr>
          <w:p w14:paraId="758601B3">
            <w:pPr>
              <w:rPr>
                <w:rFonts w:ascii="Arial"/>
                <w:sz w:val="21"/>
              </w:rPr>
            </w:pPr>
          </w:p>
        </w:tc>
        <w:tc>
          <w:tcPr>
            <w:tcW w:w="2462" w:type="dxa"/>
            <w:vAlign w:val="top"/>
          </w:tcPr>
          <w:p w14:paraId="023859A4">
            <w:pPr>
              <w:pStyle w:val="6"/>
              <w:spacing w:before="96" w:line="228" w:lineRule="auto"/>
              <w:ind w:left="724"/>
              <w:rPr>
                <w:sz w:val="20"/>
                <w:szCs w:val="20"/>
              </w:rPr>
            </w:pPr>
            <w:r>
              <w:rPr>
                <w:spacing w:val="4"/>
                <w:sz w:val="20"/>
                <w:szCs w:val="20"/>
              </w:rPr>
              <w:t>生物多样性</w:t>
            </w:r>
          </w:p>
        </w:tc>
        <w:tc>
          <w:tcPr>
            <w:tcW w:w="1701" w:type="dxa"/>
            <w:vAlign w:val="top"/>
          </w:tcPr>
          <w:p w14:paraId="6BBD66A9">
            <w:pPr>
              <w:pStyle w:val="6"/>
              <w:spacing w:before="96" w:line="231" w:lineRule="auto"/>
              <w:ind w:left="651"/>
              <w:rPr>
                <w:sz w:val="20"/>
                <w:szCs w:val="20"/>
              </w:rPr>
            </w:pPr>
            <w:r>
              <w:rPr>
                <w:spacing w:val="2"/>
                <w:sz w:val="20"/>
                <w:szCs w:val="20"/>
              </w:rPr>
              <w:t>轻微</w:t>
            </w:r>
          </w:p>
        </w:tc>
        <w:tc>
          <w:tcPr>
            <w:tcW w:w="1722" w:type="dxa"/>
            <w:vAlign w:val="top"/>
          </w:tcPr>
          <w:p w14:paraId="47165427">
            <w:pPr>
              <w:pStyle w:val="6"/>
              <w:spacing w:before="95" w:line="232" w:lineRule="auto"/>
              <w:ind w:left="670"/>
              <w:rPr>
                <w:sz w:val="20"/>
                <w:szCs w:val="20"/>
              </w:rPr>
            </w:pPr>
            <w:r>
              <w:rPr>
                <w:sz w:val="20"/>
                <w:szCs w:val="20"/>
              </w:rPr>
              <w:t>短期</w:t>
            </w:r>
          </w:p>
        </w:tc>
        <w:tc>
          <w:tcPr>
            <w:tcW w:w="1471" w:type="dxa"/>
            <w:tcBorders>
              <w:right w:val="single" w:color="000000" w:sz="10" w:space="0"/>
            </w:tcBorders>
            <w:vAlign w:val="top"/>
          </w:tcPr>
          <w:p w14:paraId="4C3EFF6F">
            <w:pPr>
              <w:pStyle w:val="6"/>
              <w:spacing w:before="95" w:line="232" w:lineRule="auto"/>
              <w:ind w:left="542"/>
              <w:rPr>
                <w:sz w:val="20"/>
                <w:szCs w:val="20"/>
              </w:rPr>
            </w:pPr>
            <w:r>
              <w:rPr>
                <w:sz w:val="20"/>
                <w:szCs w:val="20"/>
              </w:rPr>
              <w:t>可逆</w:t>
            </w:r>
          </w:p>
        </w:tc>
      </w:tr>
      <w:tr w14:paraId="7DA585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545" w:type="dxa"/>
            <w:vMerge w:val="continue"/>
            <w:tcBorders>
              <w:top w:val="nil"/>
              <w:left w:val="single" w:color="000000" w:sz="10" w:space="0"/>
              <w:bottom w:val="nil"/>
            </w:tcBorders>
            <w:vAlign w:val="top"/>
          </w:tcPr>
          <w:p w14:paraId="441EDE07">
            <w:pPr>
              <w:rPr>
                <w:rFonts w:ascii="Arial"/>
                <w:sz w:val="21"/>
              </w:rPr>
            </w:pPr>
          </w:p>
        </w:tc>
        <w:tc>
          <w:tcPr>
            <w:tcW w:w="2462" w:type="dxa"/>
            <w:vAlign w:val="top"/>
          </w:tcPr>
          <w:p w14:paraId="502AA8AB">
            <w:pPr>
              <w:pStyle w:val="6"/>
              <w:spacing w:before="99" w:line="231" w:lineRule="auto"/>
              <w:ind w:left="1026"/>
              <w:rPr>
                <w:sz w:val="20"/>
                <w:szCs w:val="20"/>
              </w:rPr>
            </w:pPr>
            <w:r>
              <w:rPr>
                <w:spacing w:val="2"/>
                <w:sz w:val="20"/>
                <w:szCs w:val="20"/>
              </w:rPr>
              <w:t>景观</w:t>
            </w:r>
          </w:p>
        </w:tc>
        <w:tc>
          <w:tcPr>
            <w:tcW w:w="1701" w:type="dxa"/>
            <w:vAlign w:val="top"/>
          </w:tcPr>
          <w:p w14:paraId="3BACEB47">
            <w:pPr>
              <w:pStyle w:val="6"/>
              <w:spacing w:before="98" w:line="232" w:lineRule="auto"/>
              <w:ind w:left="659"/>
              <w:rPr>
                <w:sz w:val="20"/>
                <w:szCs w:val="20"/>
              </w:rPr>
            </w:pPr>
            <w:r>
              <w:rPr>
                <w:spacing w:val="-2"/>
                <w:sz w:val="20"/>
                <w:szCs w:val="20"/>
              </w:rPr>
              <w:t>显著</w:t>
            </w:r>
          </w:p>
        </w:tc>
        <w:tc>
          <w:tcPr>
            <w:tcW w:w="1722" w:type="dxa"/>
            <w:vAlign w:val="top"/>
          </w:tcPr>
          <w:p w14:paraId="5C55C2DF">
            <w:pPr>
              <w:pStyle w:val="6"/>
              <w:spacing w:before="98" w:line="232" w:lineRule="auto"/>
              <w:ind w:left="667"/>
              <w:rPr>
                <w:sz w:val="20"/>
                <w:szCs w:val="20"/>
              </w:rPr>
            </w:pPr>
            <w:r>
              <w:rPr>
                <w:spacing w:val="2"/>
                <w:sz w:val="20"/>
                <w:szCs w:val="20"/>
              </w:rPr>
              <w:t>长期</w:t>
            </w:r>
          </w:p>
        </w:tc>
        <w:tc>
          <w:tcPr>
            <w:tcW w:w="1471" w:type="dxa"/>
            <w:tcBorders>
              <w:right w:val="single" w:color="000000" w:sz="10" w:space="0"/>
            </w:tcBorders>
            <w:vAlign w:val="top"/>
          </w:tcPr>
          <w:p w14:paraId="4B6B8537">
            <w:pPr>
              <w:pStyle w:val="6"/>
              <w:spacing w:before="98" w:line="232" w:lineRule="auto"/>
              <w:ind w:left="542"/>
              <w:rPr>
                <w:sz w:val="20"/>
                <w:szCs w:val="20"/>
              </w:rPr>
            </w:pPr>
            <w:r>
              <w:rPr>
                <w:sz w:val="20"/>
                <w:szCs w:val="20"/>
              </w:rPr>
              <w:t>可逆</w:t>
            </w:r>
          </w:p>
        </w:tc>
      </w:tr>
      <w:tr w14:paraId="1EF15B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545" w:type="dxa"/>
            <w:vMerge w:val="continue"/>
            <w:tcBorders>
              <w:top w:val="nil"/>
              <w:left w:val="single" w:color="000000" w:sz="10" w:space="0"/>
            </w:tcBorders>
            <w:vAlign w:val="top"/>
          </w:tcPr>
          <w:p w14:paraId="090B013A">
            <w:pPr>
              <w:rPr>
                <w:rFonts w:ascii="Arial"/>
                <w:sz w:val="21"/>
              </w:rPr>
            </w:pPr>
          </w:p>
        </w:tc>
        <w:tc>
          <w:tcPr>
            <w:tcW w:w="2462" w:type="dxa"/>
            <w:vAlign w:val="top"/>
          </w:tcPr>
          <w:p w14:paraId="78F345C6">
            <w:pPr>
              <w:pStyle w:val="6"/>
              <w:spacing w:before="102" w:line="231" w:lineRule="auto"/>
              <w:ind w:left="503"/>
              <w:rPr>
                <w:sz w:val="20"/>
                <w:szCs w:val="20"/>
              </w:rPr>
            </w:pPr>
            <w:r>
              <w:rPr>
                <w:spacing w:val="7"/>
                <w:sz w:val="20"/>
                <w:szCs w:val="20"/>
              </w:rPr>
              <w:t>森林、植被覆盖</w:t>
            </w:r>
          </w:p>
        </w:tc>
        <w:tc>
          <w:tcPr>
            <w:tcW w:w="1701" w:type="dxa"/>
            <w:vAlign w:val="top"/>
          </w:tcPr>
          <w:p w14:paraId="2E102E65">
            <w:pPr>
              <w:pStyle w:val="6"/>
              <w:spacing w:before="101" w:line="232" w:lineRule="auto"/>
              <w:ind w:left="659"/>
              <w:rPr>
                <w:sz w:val="20"/>
                <w:szCs w:val="20"/>
              </w:rPr>
            </w:pPr>
            <w:r>
              <w:rPr>
                <w:spacing w:val="-2"/>
                <w:sz w:val="20"/>
                <w:szCs w:val="20"/>
              </w:rPr>
              <w:t>显著</w:t>
            </w:r>
          </w:p>
        </w:tc>
        <w:tc>
          <w:tcPr>
            <w:tcW w:w="1722" w:type="dxa"/>
            <w:vAlign w:val="top"/>
          </w:tcPr>
          <w:p w14:paraId="77F405D5">
            <w:pPr>
              <w:pStyle w:val="6"/>
              <w:spacing w:before="101" w:line="232" w:lineRule="auto"/>
              <w:ind w:left="667"/>
              <w:rPr>
                <w:sz w:val="20"/>
                <w:szCs w:val="20"/>
              </w:rPr>
            </w:pPr>
            <w:r>
              <w:rPr>
                <w:spacing w:val="2"/>
                <w:sz w:val="20"/>
                <w:szCs w:val="20"/>
              </w:rPr>
              <w:t>长期</w:t>
            </w:r>
          </w:p>
        </w:tc>
        <w:tc>
          <w:tcPr>
            <w:tcW w:w="1471" w:type="dxa"/>
            <w:tcBorders>
              <w:right w:val="single" w:color="000000" w:sz="10" w:space="0"/>
            </w:tcBorders>
            <w:vAlign w:val="top"/>
          </w:tcPr>
          <w:p w14:paraId="5CAEC307">
            <w:pPr>
              <w:pStyle w:val="6"/>
              <w:spacing w:before="101" w:line="232" w:lineRule="auto"/>
              <w:ind w:left="542"/>
              <w:rPr>
                <w:sz w:val="20"/>
                <w:szCs w:val="20"/>
              </w:rPr>
            </w:pPr>
            <w:r>
              <w:rPr>
                <w:sz w:val="20"/>
                <w:szCs w:val="20"/>
              </w:rPr>
              <w:t>可逆</w:t>
            </w:r>
          </w:p>
        </w:tc>
      </w:tr>
      <w:tr w14:paraId="6F8ECD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545" w:type="dxa"/>
            <w:vMerge w:val="restart"/>
            <w:tcBorders>
              <w:left w:val="single" w:color="000000" w:sz="10" w:space="0"/>
              <w:bottom w:val="nil"/>
            </w:tcBorders>
            <w:vAlign w:val="top"/>
          </w:tcPr>
          <w:p w14:paraId="769CF236">
            <w:pPr>
              <w:spacing w:line="442" w:lineRule="auto"/>
              <w:rPr>
                <w:rFonts w:ascii="Arial"/>
                <w:sz w:val="21"/>
              </w:rPr>
            </w:pPr>
          </w:p>
          <w:p w14:paraId="471FB87F">
            <w:pPr>
              <w:pStyle w:val="6"/>
              <w:spacing w:before="65" w:line="231" w:lineRule="auto"/>
              <w:ind w:left="352"/>
              <w:rPr>
                <w:sz w:val="20"/>
                <w:szCs w:val="20"/>
              </w:rPr>
            </w:pPr>
            <w:r>
              <w:rPr>
                <w:spacing w:val="5"/>
                <w:sz w:val="20"/>
                <w:szCs w:val="20"/>
              </w:rPr>
              <w:t>地质环境</w:t>
            </w:r>
          </w:p>
        </w:tc>
        <w:tc>
          <w:tcPr>
            <w:tcW w:w="2462" w:type="dxa"/>
            <w:vAlign w:val="top"/>
          </w:tcPr>
          <w:p w14:paraId="37630F53">
            <w:pPr>
              <w:pStyle w:val="6"/>
              <w:spacing w:before="101" w:line="232" w:lineRule="auto"/>
              <w:ind w:left="818"/>
              <w:rPr>
                <w:sz w:val="20"/>
                <w:szCs w:val="20"/>
              </w:rPr>
            </w:pPr>
            <w:r>
              <w:rPr>
                <w:spacing w:val="5"/>
                <w:sz w:val="20"/>
                <w:szCs w:val="20"/>
              </w:rPr>
              <w:t>地面沉降</w:t>
            </w:r>
          </w:p>
        </w:tc>
        <w:tc>
          <w:tcPr>
            <w:tcW w:w="1701" w:type="dxa"/>
            <w:vAlign w:val="top"/>
          </w:tcPr>
          <w:p w14:paraId="7B57899A">
            <w:pPr>
              <w:pStyle w:val="6"/>
              <w:spacing w:before="101" w:line="231" w:lineRule="auto"/>
              <w:ind w:left="651"/>
              <w:rPr>
                <w:sz w:val="20"/>
                <w:szCs w:val="20"/>
              </w:rPr>
            </w:pPr>
            <w:r>
              <w:rPr>
                <w:spacing w:val="2"/>
                <w:sz w:val="20"/>
                <w:szCs w:val="20"/>
              </w:rPr>
              <w:t>轻微</w:t>
            </w:r>
          </w:p>
        </w:tc>
        <w:tc>
          <w:tcPr>
            <w:tcW w:w="1722" w:type="dxa"/>
            <w:vAlign w:val="top"/>
          </w:tcPr>
          <w:p w14:paraId="2BD75337">
            <w:pPr>
              <w:pStyle w:val="6"/>
              <w:spacing w:before="101" w:line="232" w:lineRule="auto"/>
              <w:ind w:left="667"/>
              <w:rPr>
                <w:sz w:val="20"/>
                <w:szCs w:val="20"/>
              </w:rPr>
            </w:pPr>
            <w:r>
              <w:rPr>
                <w:spacing w:val="2"/>
                <w:sz w:val="20"/>
                <w:szCs w:val="20"/>
              </w:rPr>
              <w:t>长期</w:t>
            </w:r>
          </w:p>
        </w:tc>
        <w:tc>
          <w:tcPr>
            <w:tcW w:w="1471" w:type="dxa"/>
            <w:tcBorders>
              <w:right w:val="single" w:color="000000" w:sz="10" w:space="0"/>
            </w:tcBorders>
            <w:vAlign w:val="top"/>
          </w:tcPr>
          <w:p w14:paraId="58BECAB6">
            <w:pPr>
              <w:pStyle w:val="6"/>
              <w:spacing w:before="101" w:line="232" w:lineRule="auto"/>
              <w:ind w:left="441"/>
              <w:rPr>
                <w:sz w:val="20"/>
                <w:szCs w:val="20"/>
              </w:rPr>
            </w:pPr>
            <w:r>
              <w:rPr>
                <w:spacing w:val="3"/>
                <w:sz w:val="20"/>
                <w:szCs w:val="20"/>
              </w:rPr>
              <w:t>不可逆</w:t>
            </w:r>
          </w:p>
        </w:tc>
      </w:tr>
      <w:tr w14:paraId="178479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545" w:type="dxa"/>
            <w:vMerge w:val="continue"/>
            <w:tcBorders>
              <w:top w:val="nil"/>
              <w:left w:val="single" w:color="000000" w:sz="10" w:space="0"/>
              <w:bottom w:val="nil"/>
            </w:tcBorders>
            <w:vAlign w:val="top"/>
          </w:tcPr>
          <w:p w14:paraId="472C72D7">
            <w:pPr>
              <w:rPr>
                <w:rFonts w:ascii="Arial"/>
                <w:sz w:val="21"/>
              </w:rPr>
            </w:pPr>
          </w:p>
        </w:tc>
        <w:tc>
          <w:tcPr>
            <w:tcW w:w="2462" w:type="dxa"/>
            <w:vAlign w:val="top"/>
          </w:tcPr>
          <w:p w14:paraId="3E2F2E73">
            <w:pPr>
              <w:pStyle w:val="6"/>
              <w:spacing w:before="104" w:line="230" w:lineRule="auto"/>
              <w:ind w:left="818"/>
              <w:rPr>
                <w:sz w:val="20"/>
                <w:szCs w:val="20"/>
              </w:rPr>
            </w:pPr>
            <w:r>
              <w:rPr>
                <w:spacing w:val="5"/>
                <w:sz w:val="20"/>
                <w:szCs w:val="20"/>
              </w:rPr>
              <w:t>地面塌陷</w:t>
            </w:r>
          </w:p>
        </w:tc>
        <w:tc>
          <w:tcPr>
            <w:tcW w:w="1701" w:type="dxa"/>
            <w:vAlign w:val="top"/>
          </w:tcPr>
          <w:p w14:paraId="6C055A9E">
            <w:pPr>
              <w:pStyle w:val="6"/>
              <w:spacing w:before="103" w:line="231" w:lineRule="auto"/>
              <w:ind w:left="651"/>
              <w:rPr>
                <w:sz w:val="20"/>
                <w:szCs w:val="20"/>
              </w:rPr>
            </w:pPr>
            <w:r>
              <w:rPr>
                <w:spacing w:val="2"/>
                <w:sz w:val="20"/>
                <w:szCs w:val="20"/>
              </w:rPr>
              <w:t>轻微</w:t>
            </w:r>
          </w:p>
        </w:tc>
        <w:tc>
          <w:tcPr>
            <w:tcW w:w="1722" w:type="dxa"/>
            <w:vAlign w:val="top"/>
          </w:tcPr>
          <w:p w14:paraId="58B52F8E">
            <w:pPr>
              <w:pStyle w:val="6"/>
              <w:spacing w:before="103" w:line="232" w:lineRule="auto"/>
              <w:ind w:left="667"/>
              <w:rPr>
                <w:sz w:val="20"/>
                <w:szCs w:val="20"/>
              </w:rPr>
            </w:pPr>
            <w:r>
              <w:rPr>
                <w:spacing w:val="2"/>
                <w:sz w:val="20"/>
                <w:szCs w:val="20"/>
              </w:rPr>
              <w:t>长期</w:t>
            </w:r>
          </w:p>
        </w:tc>
        <w:tc>
          <w:tcPr>
            <w:tcW w:w="1471" w:type="dxa"/>
            <w:tcBorders>
              <w:right w:val="single" w:color="000000" w:sz="10" w:space="0"/>
            </w:tcBorders>
            <w:vAlign w:val="top"/>
          </w:tcPr>
          <w:p w14:paraId="08668946">
            <w:pPr>
              <w:pStyle w:val="6"/>
              <w:spacing w:before="103" w:line="232" w:lineRule="auto"/>
              <w:ind w:left="441"/>
              <w:rPr>
                <w:sz w:val="20"/>
                <w:szCs w:val="20"/>
              </w:rPr>
            </w:pPr>
            <w:r>
              <w:rPr>
                <w:spacing w:val="3"/>
                <w:sz w:val="20"/>
                <w:szCs w:val="20"/>
              </w:rPr>
              <w:t>不可逆</w:t>
            </w:r>
          </w:p>
        </w:tc>
      </w:tr>
      <w:tr w14:paraId="032306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545" w:type="dxa"/>
            <w:vMerge w:val="continue"/>
            <w:tcBorders>
              <w:top w:val="nil"/>
              <w:left w:val="single" w:color="000000" w:sz="10" w:space="0"/>
            </w:tcBorders>
            <w:vAlign w:val="top"/>
          </w:tcPr>
          <w:p w14:paraId="729DD8A8">
            <w:pPr>
              <w:rPr>
                <w:rFonts w:ascii="Arial"/>
                <w:sz w:val="21"/>
              </w:rPr>
            </w:pPr>
          </w:p>
        </w:tc>
        <w:tc>
          <w:tcPr>
            <w:tcW w:w="2462" w:type="dxa"/>
            <w:vAlign w:val="top"/>
          </w:tcPr>
          <w:p w14:paraId="7D11DD19">
            <w:pPr>
              <w:pStyle w:val="6"/>
              <w:spacing w:before="103" w:line="231" w:lineRule="auto"/>
              <w:ind w:left="716"/>
              <w:rPr>
                <w:sz w:val="20"/>
                <w:szCs w:val="20"/>
              </w:rPr>
            </w:pPr>
            <w:r>
              <w:rPr>
                <w:spacing w:val="6"/>
                <w:sz w:val="20"/>
                <w:szCs w:val="20"/>
              </w:rPr>
              <w:t>滑坡、崩塌</w:t>
            </w:r>
          </w:p>
        </w:tc>
        <w:tc>
          <w:tcPr>
            <w:tcW w:w="1701" w:type="dxa"/>
            <w:vAlign w:val="top"/>
          </w:tcPr>
          <w:p w14:paraId="5954B65D">
            <w:pPr>
              <w:pStyle w:val="6"/>
              <w:spacing w:before="103" w:line="231" w:lineRule="auto"/>
              <w:ind w:left="651"/>
              <w:rPr>
                <w:sz w:val="20"/>
                <w:szCs w:val="20"/>
              </w:rPr>
            </w:pPr>
            <w:r>
              <w:rPr>
                <w:spacing w:val="2"/>
                <w:sz w:val="20"/>
                <w:szCs w:val="20"/>
              </w:rPr>
              <w:t>轻微</w:t>
            </w:r>
          </w:p>
        </w:tc>
        <w:tc>
          <w:tcPr>
            <w:tcW w:w="1722" w:type="dxa"/>
            <w:vAlign w:val="top"/>
          </w:tcPr>
          <w:p w14:paraId="019198BF">
            <w:pPr>
              <w:pStyle w:val="6"/>
              <w:spacing w:before="103" w:line="232" w:lineRule="auto"/>
              <w:ind w:left="670"/>
              <w:rPr>
                <w:sz w:val="20"/>
                <w:szCs w:val="20"/>
              </w:rPr>
            </w:pPr>
            <w:r>
              <w:rPr>
                <w:sz w:val="20"/>
                <w:szCs w:val="20"/>
              </w:rPr>
              <w:t>短期</w:t>
            </w:r>
          </w:p>
        </w:tc>
        <w:tc>
          <w:tcPr>
            <w:tcW w:w="1471" w:type="dxa"/>
            <w:tcBorders>
              <w:right w:val="single" w:color="000000" w:sz="10" w:space="0"/>
            </w:tcBorders>
            <w:vAlign w:val="top"/>
          </w:tcPr>
          <w:p w14:paraId="5F074B68">
            <w:pPr>
              <w:pStyle w:val="6"/>
              <w:spacing w:before="103" w:line="232" w:lineRule="auto"/>
              <w:ind w:left="441"/>
              <w:rPr>
                <w:sz w:val="20"/>
                <w:szCs w:val="20"/>
              </w:rPr>
            </w:pPr>
            <w:r>
              <w:rPr>
                <w:spacing w:val="3"/>
                <w:sz w:val="20"/>
                <w:szCs w:val="20"/>
              </w:rPr>
              <w:t>不可逆</w:t>
            </w:r>
          </w:p>
        </w:tc>
      </w:tr>
      <w:tr w14:paraId="059398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545" w:type="dxa"/>
            <w:vMerge w:val="restart"/>
            <w:tcBorders>
              <w:left w:val="single" w:color="000000" w:sz="10" w:space="0"/>
              <w:bottom w:val="nil"/>
            </w:tcBorders>
            <w:vAlign w:val="top"/>
          </w:tcPr>
          <w:p w14:paraId="3337C0B0">
            <w:pPr>
              <w:spacing w:line="241" w:lineRule="auto"/>
              <w:rPr>
                <w:rFonts w:ascii="Arial"/>
                <w:sz w:val="21"/>
              </w:rPr>
            </w:pPr>
          </w:p>
          <w:p w14:paraId="7A27A340">
            <w:pPr>
              <w:pStyle w:val="6"/>
              <w:spacing w:before="65" w:line="231" w:lineRule="auto"/>
              <w:ind w:left="353"/>
              <w:rPr>
                <w:sz w:val="20"/>
                <w:szCs w:val="20"/>
              </w:rPr>
            </w:pPr>
            <w:r>
              <w:rPr>
                <w:spacing w:val="5"/>
                <w:sz w:val="20"/>
                <w:szCs w:val="20"/>
              </w:rPr>
              <w:t>大气环境</w:t>
            </w:r>
          </w:p>
        </w:tc>
        <w:tc>
          <w:tcPr>
            <w:tcW w:w="2462" w:type="dxa"/>
            <w:vAlign w:val="top"/>
          </w:tcPr>
          <w:p w14:paraId="66014225">
            <w:pPr>
              <w:pStyle w:val="6"/>
              <w:spacing w:before="106" w:line="231" w:lineRule="auto"/>
              <w:ind w:left="820"/>
              <w:rPr>
                <w:sz w:val="20"/>
                <w:szCs w:val="20"/>
              </w:rPr>
            </w:pPr>
            <w:r>
              <w:rPr>
                <w:spacing w:val="5"/>
                <w:sz w:val="20"/>
                <w:szCs w:val="20"/>
              </w:rPr>
              <w:t>温室气体</w:t>
            </w:r>
          </w:p>
        </w:tc>
        <w:tc>
          <w:tcPr>
            <w:tcW w:w="1701" w:type="dxa"/>
            <w:vAlign w:val="top"/>
          </w:tcPr>
          <w:p w14:paraId="1CEE6A99">
            <w:pPr>
              <w:pStyle w:val="6"/>
              <w:spacing w:before="106" w:line="231" w:lineRule="auto"/>
              <w:ind w:left="651"/>
              <w:rPr>
                <w:sz w:val="20"/>
                <w:szCs w:val="20"/>
              </w:rPr>
            </w:pPr>
            <w:r>
              <w:rPr>
                <w:spacing w:val="2"/>
                <w:sz w:val="20"/>
                <w:szCs w:val="20"/>
              </w:rPr>
              <w:t>轻微</w:t>
            </w:r>
          </w:p>
        </w:tc>
        <w:tc>
          <w:tcPr>
            <w:tcW w:w="1722" w:type="dxa"/>
            <w:vAlign w:val="top"/>
          </w:tcPr>
          <w:p w14:paraId="2D94A748">
            <w:pPr>
              <w:pStyle w:val="6"/>
              <w:spacing w:before="106" w:line="232" w:lineRule="auto"/>
              <w:ind w:left="670"/>
              <w:rPr>
                <w:sz w:val="20"/>
                <w:szCs w:val="20"/>
              </w:rPr>
            </w:pPr>
            <w:r>
              <w:rPr>
                <w:sz w:val="20"/>
                <w:szCs w:val="20"/>
              </w:rPr>
              <w:t>短期</w:t>
            </w:r>
          </w:p>
        </w:tc>
        <w:tc>
          <w:tcPr>
            <w:tcW w:w="1471" w:type="dxa"/>
            <w:tcBorders>
              <w:right w:val="single" w:color="000000" w:sz="10" w:space="0"/>
            </w:tcBorders>
            <w:vAlign w:val="top"/>
          </w:tcPr>
          <w:p w14:paraId="5AD985E2">
            <w:pPr>
              <w:pStyle w:val="6"/>
              <w:spacing w:before="106" w:line="232" w:lineRule="auto"/>
              <w:ind w:left="542"/>
              <w:rPr>
                <w:sz w:val="20"/>
                <w:szCs w:val="20"/>
              </w:rPr>
            </w:pPr>
            <w:r>
              <w:rPr>
                <w:sz w:val="20"/>
                <w:szCs w:val="20"/>
              </w:rPr>
              <w:t>可逆</w:t>
            </w:r>
          </w:p>
        </w:tc>
      </w:tr>
      <w:tr w14:paraId="2C4A9E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545" w:type="dxa"/>
            <w:vMerge w:val="continue"/>
            <w:tcBorders>
              <w:top w:val="nil"/>
              <w:left w:val="single" w:color="000000" w:sz="10" w:space="0"/>
            </w:tcBorders>
            <w:vAlign w:val="top"/>
          </w:tcPr>
          <w:p w14:paraId="1CEC1086">
            <w:pPr>
              <w:rPr>
                <w:rFonts w:ascii="Arial"/>
                <w:sz w:val="21"/>
              </w:rPr>
            </w:pPr>
          </w:p>
        </w:tc>
        <w:tc>
          <w:tcPr>
            <w:tcW w:w="2462" w:type="dxa"/>
            <w:vAlign w:val="top"/>
          </w:tcPr>
          <w:p w14:paraId="301A2C9D">
            <w:pPr>
              <w:pStyle w:val="6"/>
              <w:spacing w:before="106" w:line="231" w:lineRule="auto"/>
              <w:ind w:left="818"/>
              <w:rPr>
                <w:sz w:val="20"/>
                <w:szCs w:val="20"/>
              </w:rPr>
            </w:pPr>
            <w:r>
              <w:rPr>
                <w:spacing w:val="5"/>
                <w:sz w:val="20"/>
                <w:szCs w:val="20"/>
              </w:rPr>
              <w:t>粉尘污染</w:t>
            </w:r>
          </w:p>
        </w:tc>
        <w:tc>
          <w:tcPr>
            <w:tcW w:w="1701" w:type="dxa"/>
            <w:vAlign w:val="top"/>
          </w:tcPr>
          <w:p w14:paraId="380EF5E2">
            <w:pPr>
              <w:pStyle w:val="6"/>
              <w:spacing w:before="105" w:line="232" w:lineRule="auto"/>
              <w:ind w:left="659"/>
              <w:rPr>
                <w:sz w:val="20"/>
                <w:szCs w:val="20"/>
              </w:rPr>
            </w:pPr>
            <w:r>
              <w:rPr>
                <w:spacing w:val="-2"/>
                <w:sz w:val="20"/>
                <w:szCs w:val="20"/>
              </w:rPr>
              <w:t>显著</w:t>
            </w:r>
          </w:p>
        </w:tc>
        <w:tc>
          <w:tcPr>
            <w:tcW w:w="1722" w:type="dxa"/>
            <w:vAlign w:val="top"/>
          </w:tcPr>
          <w:p w14:paraId="58E9AC00">
            <w:pPr>
              <w:pStyle w:val="6"/>
              <w:spacing w:before="105" w:line="232" w:lineRule="auto"/>
              <w:ind w:left="670"/>
              <w:rPr>
                <w:sz w:val="20"/>
                <w:szCs w:val="20"/>
              </w:rPr>
            </w:pPr>
            <w:r>
              <w:rPr>
                <w:sz w:val="20"/>
                <w:szCs w:val="20"/>
              </w:rPr>
              <w:t>短期</w:t>
            </w:r>
          </w:p>
        </w:tc>
        <w:tc>
          <w:tcPr>
            <w:tcW w:w="1471" w:type="dxa"/>
            <w:tcBorders>
              <w:right w:val="single" w:color="000000" w:sz="10" w:space="0"/>
            </w:tcBorders>
            <w:vAlign w:val="top"/>
          </w:tcPr>
          <w:p w14:paraId="13AA34E2">
            <w:pPr>
              <w:pStyle w:val="6"/>
              <w:spacing w:before="105" w:line="232" w:lineRule="auto"/>
              <w:ind w:left="542"/>
              <w:rPr>
                <w:sz w:val="20"/>
                <w:szCs w:val="20"/>
              </w:rPr>
            </w:pPr>
            <w:r>
              <w:rPr>
                <w:sz w:val="20"/>
                <w:szCs w:val="20"/>
              </w:rPr>
              <w:t>可逆</w:t>
            </w:r>
          </w:p>
        </w:tc>
      </w:tr>
      <w:tr w14:paraId="12856D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545" w:type="dxa"/>
            <w:vMerge w:val="restart"/>
            <w:tcBorders>
              <w:left w:val="single" w:color="000000" w:sz="10" w:space="0"/>
              <w:bottom w:val="nil"/>
            </w:tcBorders>
            <w:vAlign w:val="top"/>
          </w:tcPr>
          <w:p w14:paraId="058057CB">
            <w:pPr>
              <w:pStyle w:val="6"/>
              <w:spacing w:before="175" w:line="231" w:lineRule="auto"/>
              <w:ind w:left="139"/>
              <w:rPr>
                <w:sz w:val="20"/>
                <w:szCs w:val="20"/>
              </w:rPr>
            </w:pPr>
            <w:r>
              <w:rPr>
                <w:spacing w:val="7"/>
                <w:sz w:val="20"/>
                <w:szCs w:val="20"/>
              </w:rPr>
              <w:t>水资源及水环</w:t>
            </w:r>
          </w:p>
          <w:p w14:paraId="180A500F">
            <w:pPr>
              <w:pStyle w:val="6"/>
              <w:spacing w:before="20" w:line="232" w:lineRule="auto"/>
              <w:ind w:left="668"/>
              <w:rPr>
                <w:sz w:val="20"/>
                <w:szCs w:val="20"/>
              </w:rPr>
            </w:pPr>
            <w:r>
              <w:rPr>
                <w:sz w:val="20"/>
                <w:szCs w:val="20"/>
              </w:rPr>
              <w:t>境</w:t>
            </w:r>
          </w:p>
        </w:tc>
        <w:tc>
          <w:tcPr>
            <w:tcW w:w="2462" w:type="dxa"/>
            <w:vAlign w:val="top"/>
          </w:tcPr>
          <w:p w14:paraId="707CAA0E">
            <w:pPr>
              <w:pStyle w:val="6"/>
              <w:spacing w:before="108" w:line="231" w:lineRule="auto"/>
              <w:ind w:left="713"/>
              <w:rPr>
                <w:sz w:val="20"/>
                <w:szCs w:val="20"/>
              </w:rPr>
            </w:pPr>
            <w:r>
              <w:rPr>
                <w:spacing w:val="6"/>
                <w:sz w:val="20"/>
                <w:szCs w:val="20"/>
              </w:rPr>
              <w:t>地表水污染</w:t>
            </w:r>
          </w:p>
        </w:tc>
        <w:tc>
          <w:tcPr>
            <w:tcW w:w="1701" w:type="dxa"/>
            <w:vAlign w:val="top"/>
          </w:tcPr>
          <w:p w14:paraId="42C43345">
            <w:pPr>
              <w:pStyle w:val="6"/>
              <w:spacing w:before="108" w:line="231" w:lineRule="auto"/>
              <w:ind w:left="651"/>
              <w:rPr>
                <w:sz w:val="20"/>
                <w:szCs w:val="20"/>
              </w:rPr>
            </w:pPr>
            <w:r>
              <w:rPr>
                <w:spacing w:val="2"/>
                <w:sz w:val="20"/>
                <w:szCs w:val="20"/>
              </w:rPr>
              <w:t>轻微</w:t>
            </w:r>
          </w:p>
        </w:tc>
        <w:tc>
          <w:tcPr>
            <w:tcW w:w="1722" w:type="dxa"/>
            <w:vAlign w:val="top"/>
          </w:tcPr>
          <w:p w14:paraId="20FCFCAC">
            <w:pPr>
              <w:pStyle w:val="6"/>
              <w:spacing w:before="107" w:line="232" w:lineRule="auto"/>
              <w:ind w:left="670"/>
              <w:rPr>
                <w:sz w:val="20"/>
                <w:szCs w:val="20"/>
              </w:rPr>
            </w:pPr>
            <w:r>
              <w:rPr>
                <w:sz w:val="20"/>
                <w:szCs w:val="20"/>
              </w:rPr>
              <w:t>短期</w:t>
            </w:r>
          </w:p>
        </w:tc>
        <w:tc>
          <w:tcPr>
            <w:tcW w:w="1471" w:type="dxa"/>
            <w:tcBorders>
              <w:right w:val="single" w:color="000000" w:sz="10" w:space="0"/>
            </w:tcBorders>
            <w:vAlign w:val="top"/>
          </w:tcPr>
          <w:p w14:paraId="554D2EE9">
            <w:pPr>
              <w:pStyle w:val="6"/>
              <w:spacing w:before="107" w:line="232" w:lineRule="auto"/>
              <w:ind w:left="542"/>
              <w:rPr>
                <w:sz w:val="20"/>
                <w:szCs w:val="20"/>
              </w:rPr>
            </w:pPr>
            <w:r>
              <w:rPr>
                <w:sz w:val="20"/>
                <w:szCs w:val="20"/>
              </w:rPr>
              <w:t>可逆</w:t>
            </w:r>
          </w:p>
        </w:tc>
      </w:tr>
      <w:tr w14:paraId="7E5F75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545" w:type="dxa"/>
            <w:vMerge w:val="continue"/>
            <w:tcBorders>
              <w:top w:val="nil"/>
              <w:left w:val="single" w:color="000000" w:sz="10" w:space="0"/>
            </w:tcBorders>
            <w:vAlign w:val="top"/>
          </w:tcPr>
          <w:p w14:paraId="398183BE">
            <w:pPr>
              <w:rPr>
                <w:rFonts w:ascii="Arial"/>
                <w:sz w:val="21"/>
              </w:rPr>
            </w:pPr>
          </w:p>
        </w:tc>
        <w:tc>
          <w:tcPr>
            <w:tcW w:w="2462" w:type="dxa"/>
            <w:vAlign w:val="top"/>
          </w:tcPr>
          <w:p w14:paraId="6E992337">
            <w:pPr>
              <w:pStyle w:val="6"/>
              <w:spacing w:before="111" w:line="231" w:lineRule="auto"/>
              <w:ind w:left="713"/>
              <w:rPr>
                <w:sz w:val="20"/>
                <w:szCs w:val="20"/>
              </w:rPr>
            </w:pPr>
            <w:r>
              <w:rPr>
                <w:spacing w:val="6"/>
                <w:sz w:val="20"/>
                <w:szCs w:val="20"/>
              </w:rPr>
              <w:t>地下水污染</w:t>
            </w:r>
          </w:p>
        </w:tc>
        <w:tc>
          <w:tcPr>
            <w:tcW w:w="1701" w:type="dxa"/>
            <w:vAlign w:val="top"/>
          </w:tcPr>
          <w:p w14:paraId="1DD3008D">
            <w:pPr>
              <w:pStyle w:val="6"/>
              <w:spacing w:before="111" w:line="231" w:lineRule="auto"/>
              <w:ind w:left="651"/>
              <w:rPr>
                <w:sz w:val="20"/>
                <w:szCs w:val="20"/>
              </w:rPr>
            </w:pPr>
            <w:r>
              <w:rPr>
                <w:spacing w:val="2"/>
                <w:sz w:val="20"/>
                <w:szCs w:val="20"/>
              </w:rPr>
              <w:t>轻微</w:t>
            </w:r>
          </w:p>
        </w:tc>
        <w:tc>
          <w:tcPr>
            <w:tcW w:w="1722" w:type="dxa"/>
            <w:vAlign w:val="top"/>
          </w:tcPr>
          <w:p w14:paraId="3EDCB0B5">
            <w:pPr>
              <w:pStyle w:val="6"/>
              <w:spacing w:before="110" w:line="232" w:lineRule="auto"/>
              <w:ind w:left="670"/>
              <w:rPr>
                <w:sz w:val="20"/>
                <w:szCs w:val="20"/>
              </w:rPr>
            </w:pPr>
            <w:r>
              <w:rPr>
                <w:sz w:val="20"/>
                <w:szCs w:val="20"/>
              </w:rPr>
              <w:t>短期</w:t>
            </w:r>
          </w:p>
        </w:tc>
        <w:tc>
          <w:tcPr>
            <w:tcW w:w="1471" w:type="dxa"/>
            <w:tcBorders>
              <w:right w:val="single" w:color="000000" w:sz="10" w:space="0"/>
            </w:tcBorders>
            <w:vAlign w:val="top"/>
          </w:tcPr>
          <w:p w14:paraId="3B7C9730">
            <w:pPr>
              <w:pStyle w:val="6"/>
              <w:spacing w:before="110" w:line="232" w:lineRule="auto"/>
              <w:ind w:left="542"/>
              <w:rPr>
                <w:sz w:val="20"/>
                <w:szCs w:val="20"/>
              </w:rPr>
            </w:pPr>
            <w:r>
              <w:rPr>
                <w:sz w:val="20"/>
                <w:szCs w:val="20"/>
              </w:rPr>
              <w:t>可逆</w:t>
            </w:r>
          </w:p>
        </w:tc>
      </w:tr>
      <w:tr w14:paraId="59400C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545" w:type="dxa"/>
            <w:vMerge w:val="restart"/>
            <w:tcBorders>
              <w:left w:val="single" w:color="000000" w:sz="10" w:space="0"/>
              <w:bottom w:val="nil"/>
            </w:tcBorders>
            <w:vAlign w:val="top"/>
          </w:tcPr>
          <w:p w14:paraId="08B0E2C2">
            <w:pPr>
              <w:spacing w:line="248" w:lineRule="auto"/>
              <w:rPr>
                <w:rFonts w:ascii="Arial"/>
                <w:sz w:val="21"/>
              </w:rPr>
            </w:pPr>
          </w:p>
          <w:p w14:paraId="643F06F3">
            <w:pPr>
              <w:pStyle w:val="6"/>
              <w:spacing w:before="65" w:line="229" w:lineRule="auto"/>
              <w:ind w:left="373"/>
              <w:rPr>
                <w:sz w:val="20"/>
                <w:szCs w:val="20"/>
              </w:rPr>
            </w:pPr>
            <w:r>
              <w:rPr>
                <w:sz w:val="20"/>
                <w:szCs w:val="20"/>
              </w:rPr>
              <w:t>固体废物</w:t>
            </w:r>
          </w:p>
        </w:tc>
        <w:tc>
          <w:tcPr>
            <w:tcW w:w="2462" w:type="dxa"/>
            <w:vAlign w:val="top"/>
          </w:tcPr>
          <w:p w14:paraId="3520492D">
            <w:pPr>
              <w:pStyle w:val="6"/>
              <w:spacing w:before="110" w:line="233" w:lineRule="auto"/>
              <w:ind w:left="609"/>
              <w:rPr>
                <w:sz w:val="20"/>
                <w:szCs w:val="20"/>
              </w:rPr>
            </w:pPr>
            <w:r>
              <w:rPr>
                <w:spacing w:val="6"/>
                <w:sz w:val="20"/>
                <w:szCs w:val="20"/>
              </w:rPr>
              <w:t>一般工业固废</w:t>
            </w:r>
          </w:p>
        </w:tc>
        <w:tc>
          <w:tcPr>
            <w:tcW w:w="1701" w:type="dxa"/>
            <w:vAlign w:val="top"/>
          </w:tcPr>
          <w:p w14:paraId="51F5F4C4">
            <w:pPr>
              <w:pStyle w:val="6"/>
              <w:spacing w:before="110" w:line="232" w:lineRule="auto"/>
              <w:ind w:left="659"/>
              <w:rPr>
                <w:sz w:val="20"/>
                <w:szCs w:val="20"/>
              </w:rPr>
            </w:pPr>
            <w:r>
              <w:rPr>
                <w:spacing w:val="-2"/>
                <w:sz w:val="20"/>
                <w:szCs w:val="20"/>
              </w:rPr>
              <w:t>显著</w:t>
            </w:r>
          </w:p>
        </w:tc>
        <w:tc>
          <w:tcPr>
            <w:tcW w:w="1722" w:type="dxa"/>
            <w:vAlign w:val="top"/>
          </w:tcPr>
          <w:p w14:paraId="27EC6A39">
            <w:pPr>
              <w:pStyle w:val="6"/>
              <w:spacing w:before="110" w:line="232" w:lineRule="auto"/>
              <w:ind w:left="667"/>
              <w:rPr>
                <w:sz w:val="20"/>
                <w:szCs w:val="20"/>
              </w:rPr>
            </w:pPr>
            <w:r>
              <w:rPr>
                <w:spacing w:val="2"/>
                <w:sz w:val="20"/>
                <w:szCs w:val="20"/>
              </w:rPr>
              <w:t>长期</w:t>
            </w:r>
          </w:p>
        </w:tc>
        <w:tc>
          <w:tcPr>
            <w:tcW w:w="1471" w:type="dxa"/>
            <w:tcBorders>
              <w:right w:val="single" w:color="000000" w:sz="10" w:space="0"/>
            </w:tcBorders>
            <w:vAlign w:val="top"/>
          </w:tcPr>
          <w:p w14:paraId="2F332766">
            <w:pPr>
              <w:pStyle w:val="6"/>
              <w:spacing w:before="110" w:line="232" w:lineRule="auto"/>
              <w:ind w:left="542"/>
              <w:rPr>
                <w:sz w:val="20"/>
                <w:szCs w:val="20"/>
              </w:rPr>
            </w:pPr>
            <w:r>
              <w:rPr>
                <w:sz w:val="20"/>
                <w:szCs w:val="20"/>
              </w:rPr>
              <w:t>可逆</w:t>
            </w:r>
          </w:p>
        </w:tc>
      </w:tr>
      <w:tr w14:paraId="636376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545" w:type="dxa"/>
            <w:vMerge w:val="continue"/>
            <w:tcBorders>
              <w:top w:val="nil"/>
              <w:left w:val="single" w:color="000000" w:sz="10" w:space="0"/>
            </w:tcBorders>
            <w:vAlign w:val="top"/>
          </w:tcPr>
          <w:p w14:paraId="39F5BD52">
            <w:pPr>
              <w:rPr>
                <w:rFonts w:ascii="Arial"/>
                <w:sz w:val="21"/>
              </w:rPr>
            </w:pPr>
          </w:p>
        </w:tc>
        <w:tc>
          <w:tcPr>
            <w:tcW w:w="2462" w:type="dxa"/>
            <w:vAlign w:val="top"/>
          </w:tcPr>
          <w:p w14:paraId="3E2A745C">
            <w:pPr>
              <w:pStyle w:val="6"/>
              <w:spacing w:before="114" w:line="229" w:lineRule="auto"/>
              <w:ind w:left="822"/>
              <w:rPr>
                <w:sz w:val="20"/>
                <w:szCs w:val="20"/>
              </w:rPr>
            </w:pPr>
            <w:r>
              <w:rPr>
                <w:spacing w:val="4"/>
                <w:sz w:val="20"/>
                <w:szCs w:val="20"/>
              </w:rPr>
              <w:t>危险废物</w:t>
            </w:r>
          </w:p>
        </w:tc>
        <w:tc>
          <w:tcPr>
            <w:tcW w:w="1701" w:type="dxa"/>
            <w:vAlign w:val="top"/>
          </w:tcPr>
          <w:p w14:paraId="4532CA1B">
            <w:pPr>
              <w:pStyle w:val="6"/>
              <w:spacing w:before="113" w:line="231" w:lineRule="auto"/>
              <w:ind w:left="651"/>
              <w:rPr>
                <w:sz w:val="20"/>
                <w:szCs w:val="20"/>
              </w:rPr>
            </w:pPr>
            <w:r>
              <w:rPr>
                <w:spacing w:val="2"/>
                <w:sz w:val="20"/>
                <w:szCs w:val="20"/>
              </w:rPr>
              <w:t>轻微</w:t>
            </w:r>
          </w:p>
        </w:tc>
        <w:tc>
          <w:tcPr>
            <w:tcW w:w="1722" w:type="dxa"/>
            <w:vAlign w:val="top"/>
          </w:tcPr>
          <w:p w14:paraId="744300B0">
            <w:pPr>
              <w:pStyle w:val="6"/>
              <w:spacing w:before="113" w:line="232" w:lineRule="auto"/>
              <w:ind w:left="667"/>
              <w:rPr>
                <w:sz w:val="20"/>
                <w:szCs w:val="20"/>
              </w:rPr>
            </w:pPr>
            <w:r>
              <w:rPr>
                <w:spacing w:val="2"/>
                <w:sz w:val="20"/>
                <w:szCs w:val="20"/>
              </w:rPr>
              <w:t>长期</w:t>
            </w:r>
          </w:p>
        </w:tc>
        <w:tc>
          <w:tcPr>
            <w:tcW w:w="1471" w:type="dxa"/>
            <w:tcBorders>
              <w:right w:val="single" w:color="000000" w:sz="10" w:space="0"/>
            </w:tcBorders>
            <w:vAlign w:val="top"/>
          </w:tcPr>
          <w:p w14:paraId="3FF1ABD1">
            <w:pPr>
              <w:pStyle w:val="6"/>
              <w:spacing w:before="113" w:line="232" w:lineRule="auto"/>
              <w:ind w:left="441"/>
              <w:rPr>
                <w:sz w:val="20"/>
                <w:szCs w:val="20"/>
              </w:rPr>
            </w:pPr>
            <w:r>
              <w:rPr>
                <w:spacing w:val="3"/>
                <w:sz w:val="20"/>
                <w:szCs w:val="20"/>
              </w:rPr>
              <w:t>不可逆</w:t>
            </w:r>
          </w:p>
        </w:tc>
      </w:tr>
      <w:tr w14:paraId="7E910E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545" w:type="dxa"/>
            <w:vMerge w:val="restart"/>
            <w:tcBorders>
              <w:left w:val="single" w:color="000000" w:sz="10" w:space="0"/>
              <w:bottom w:val="nil"/>
            </w:tcBorders>
            <w:vAlign w:val="top"/>
          </w:tcPr>
          <w:p w14:paraId="20B9D54B">
            <w:pPr>
              <w:spacing w:line="250" w:lineRule="auto"/>
              <w:rPr>
                <w:rFonts w:ascii="Arial"/>
                <w:sz w:val="21"/>
              </w:rPr>
            </w:pPr>
          </w:p>
          <w:p w14:paraId="3042A216">
            <w:pPr>
              <w:pStyle w:val="6"/>
              <w:spacing w:before="65" w:line="231" w:lineRule="auto"/>
              <w:ind w:left="353"/>
              <w:rPr>
                <w:sz w:val="20"/>
                <w:szCs w:val="20"/>
              </w:rPr>
            </w:pPr>
            <w:r>
              <w:rPr>
                <w:spacing w:val="5"/>
                <w:sz w:val="20"/>
                <w:szCs w:val="20"/>
              </w:rPr>
              <w:t>土壤环境</w:t>
            </w:r>
          </w:p>
        </w:tc>
        <w:tc>
          <w:tcPr>
            <w:tcW w:w="2462" w:type="dxa"/>
            <w:vAlign w:val="top"/>
          </w:tcPr>
          <w:p w14:paraId="05CF9B55">
            <w:pPr>
              <w:pStyle w:val="6"/>
              <w:spacing w:before="113" w:line="231" w:lineRule="auto"/>
              <w:ind w:left="820"/>
              <w:rPr>
                <w:sz w:val="20"/>
                <w:szCs w:val="20"/>
              </w:rPr>
            </w:pPr>
            <w:r>
              <w:rPr>
                <w:spacing w:val="5"/>
                <w:sz w:val="20"/>
                <w:szCs w:val="20"/>
              </w:rPr>
              <w:t>土壤污染</w:t>
            </w:r>
          </w:p>
        </w:tc>
        <w:tc>
          <w:tcPr>
            <w:tcW w:w="1701" w:type="dxa"/>
            <w:vAlign w:val="top"/>
          </w:tcPr>
          <w:p w14:paraId="50E9B4A9">
            <w:pPr>
              <w:pStyle w:val="6"/>
              <w:spacing w:before="113" w:line="231" w:lineRule="auto"/>
              <w:ind w:left="651"/>
              <w:rPr>
                <w:sz w:val="20"/>
                <w:szCs w:val="20"/>
              </w:rPr>
            </w:pPr>
            <w:r>
              <w:rPr>
                <w:spacing w:val="2"/>
                <w:sz w:val="20"/>
                <w:szCs w:val="20"/>
              </w:rPr>
              <w:t>轻微</w:t>
            </w:r>
          </w:p>
        </w:tc>
        <w:tc>
          <w:tcPr>
            <w:tcW w:w="1722" w:type="dxa"/>
            <w:vAlign w:val="top"/>
          </w:tcPr>
          <w:p w14:paraId="35ACC8C4">
            <w:pPr>
              <w:pStyle w:val="6"/>
              <w:spacing w:before="112" w:line="232" w:lineRule="auto"/>
              <w:ind w:left="667"/>
              <w:rPr>
                <w:sz w:val="20"/>
                <w:szCs w:val="20"/>
              </w:rPr>
            </w:pPr>
            <w:r>
              <w:rPr>
                <w:spacing w:val="2"/>
                <w:sz w:val="20"/>
                <w:szCs w:val="20"/>
              </w:rPr>
              <w:t>长期</w:t>
            </w:r>
          </w:p>
        </w:tc>
        <w:tc>
          <w:tcPr>
            <w:tcW w:w="1471" w:type="dxa"/>
            <w:tcBorders>
              <w:right w:val="single" w:color="000000" w:sz="10" w:space="0"/>
            </w:tcBorders>
            <w:vAlign w:val="top"/>
          </w:tcPr>
          <w:p w14:paraId="266C1002">
            <w:pPr>
              <w:pStyle w:val="6"/>
              <w:spacing w:before="112" w:line="232" w:lineRule="auto"/>
              <w:ind w:left="441"/>
              <w:rPr>
                <w:sz w:val="20"/>
                <w:szCs w:val="20"/>
              </w:rPr>
            </w:pPr>
            <w:r>
              <w:rPr>
                <w:spacing w:val="3"/>
                <w:sz w:val="20"/>
                <w:szCs w:val="20"/>
              </w:rPr>
              <w:t>不可逆</w:t>
            </w:r>
          </w:p>
        </w:tc>
      </w:tr>
      <w:tr w14:paraId="084F1B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545" w:type="dxa"/>
            <w:vMerge w:val="continue"/>
            <w:tcBorders>
              <w:top w:val="nil"/>
              <w:left w:val="single" w:color="000000" w:sz="10" w:space="0"/>
            </w:tcBorders>
            <w:vAlign w:val="top"/>
          </w:tcPr>
          <w:p w14:paraId="234881F3">
            <w:pPr>
              <w:rPr>
                <w:rFonts w:ascii="Arial"/>
                <w:sz w:val="21"/>
              </w:rPr>
            </w:pPr>
          </w:p>
        </w:tc>
        <w:tc>
          <w:tcPr>
            <w:tcW w:w="2462" w:type="dxa"/>
            <w:vAlign w:val="top"/>
          </w:tcPr>
          <w:p w14:paraId="63BA7779">
            <w:pPr>
              <w:pStyle w:val="6"/>
              <w:spacing w:before="115" w:line="232" w:lineRule="auto"/>
              <w:ind w:left="817"/>
              <w:rPr>
                <w:sz w:val="20"/>
                <w:szCs w:val="20"/>
              </w:rPr>
            </w:pPr>
            <w:r>
              <w:rPr>
                <w:spacing w:val="6"/>
                <w:sz w:val="20"/>
                <w:szCs w:val="20"/>
              </w:rPr>
              <w:t>水土流失</w:t>
            </w:r>
          </w:p>
        </w:tc>
        <w:tc>
          <w:tcPr>
            <w:tcW w:w="1701" w:type="dxa"/>
            <w:vAlign w:val="top"/>
          </w:tcPr>
          <w:p w14:paraId="6C826A00">
            <w:pPr>
              <w:pStyle w:val="6"/>
              <w:spacing w:before="115" w:line="232" w:lineRule="auto"/>
              <w:ind w:left="659"/>
              <w:rPr>
                <w:sz w:val="20"/>
                <w:szCs w:val="20"/>
              </w:rPr>
            </w:pPr>
            <w:r>
              <w:rPr>
                <w:spacing w:val="-2"/>
                <w:sz w:val="20"/>
                <w:szCs w:val="20"/>
              </w:rPr>
              <w:t>显著</w:t>
            </w:r>
          </w:p>
        </w:tc>
        <w:tc>
          <w:tcPr>
            <w:tcW w:w="1722" w:type="dxa"/>
            <w:vAlign w:val="top"/>
          </w:tcPr>
          <w:p w14:paraId="7A8B13BE">
            <w:pPr>
              <w:pStyle w:val="6"/>
              <w:spacing w:before="115" w:line="232" w:lineRule="auto"/>
              <w:ind w:left="667"/>
              <w:rPr>
                <w:sz w:val="20"/>
                <w:szCs w:val="20"/>
              </w:rPr>
            </w:pPr>
            <w:r>
              <w:rPr>
                <w:spacing w:val="2"/>
                <w:sz w:val="20"/>
                <w:szCs w:val="20"/>
              </w:rPr>
              <w:t>长期</w:t>
            </w:r>
          </w:p>
        </w:tc>
        <w:tc>
          <w:tcPr>
            <w:tcW w:w="1471" w:type="dxa"/>
            <w:tcBorders>
              <w:right w:val="single" w:color="000000" w:sz="10" w:space="0"/>
            </w:tcBorders>
            <w:vAlign w:val="top"/>
          </w:tcPr>
          <w:p w14:paraId="4606F88E">
            <w:pPr>
              <w:pStyle w:val="6"/>
              <w:spacing w:before="115" w:line="232" w:lineRule="auto"/>
              <w:ind w:left="542"/>
              <w:rPr>
                <w:sz w:val="20"/>
                <w:szCs w:val="20"/>
              </w:rPr>
            </w:pPr>
            <w:r>
              <w:rPr>
                <w:sz w:val="20"/>
                <w:szCs w:val="20"/>
              </w:rPr>
              <w:t>可逆</w:t>
            </w:r>
          </w:p>
        </w:tc>
      </w:tr>
      <w:tr w14:paraId="53333D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545" w:type="dxa"/>
            <w:tcBorders>
              <w:left w:val="single" w:color="000000" w:sz="10" w:space="0"/>
              <w:bottom w:val="single" w:color="000000" w:sz="10" w:space="0"/>
            </w:tcBorders>
            <w:vAlign w:val="top"/>
          </w:tcPr>
          <w:p w14:paraId="5000D2AF">
            <w:pPr>
              <w:pStyle w:val="6"/>
              <w:spacing w:before="118" w:line="232" w:lineRule="auto"/>
              <w:ind w:left="353"/>
              <w:rPr>
                <w:sz w:val="20"/>
                <w:szCs w:val="20"/>
              </w:rPr>
            </w:pPr>
            <w:r>
              <w:rPr>
                <w:spacing w:val="5"/>
                <w:sz w:val="20"/>
                <w:szCs w:val="20"/>
              </w:rPr>
              <w:t>土地资源</w:t>
            </w:r>
          </w:p>
        </w:tc>
        <w:tc>
          <w:tcPr>
            <w:tcW w:w="2462" w:type="dxa"/>
            <w:tcBorders>
              <w:bottom w:val="single" w:color="000000" w:sz="10" w:space="0"/>
            </w:tcBorders>
            <w:vAlign w:val="top"/>
          </w:tcPr>
          <w:p w14:paraId="74899329">
            <w:pPr>
              <w:pStyle w:val="6"/>
              <w:spacing w:before="118" w:line="232" w:lineRule="auto"/>
              <w:ind w:left="820"/>
              <w:rPr>
                <w:sz w:val="20"/>
                <w:szCs w:val="20"/>
              </w:rPr>
            </w:pPr>
            <w:r>
              <w:rPr>
                <w:spacing w:val="5"/>
                <w:sz w:val="20"/>
                <w:szCs w:val="20"/>
              </w:rPr>
              <w:t>土地占用</w:t>
            </w:r>
          </w:p>
        </w:tc>
        <w:tc>
          <w:tcPr>
            <w:tcW w:w="1701" w:type="dxa"/>
            <w:tcBorders>
              <w:bottom w:val="single" w:color="000000" w:sz="10" w:space="0"/>
            </w:tcBorders>
            <w:vAlign w:val="top"/>
          </w:tcPr>
          <w:p w14:paraId="00CF85A6">
            <w:pPr>
              <w:pStyle w:val="6"/>
              <w:spacing w:before="117" w:line="232" w:lineRule="auto"/>
              <w:ind w:left="659"/>
              <w:rPr>
                <w:sz w:val="20"/>
                <w:szCs w:val="20"/>
              </w:rPr>
            </w:pPr>
            <w:r>
              <w:rPr>
                <w:spacing w:val="-2"/>
                <w:sz w:val="20"/>
                <w:szCs w:val="20"/>
              </w:rPr>
              <w:t>显著</w:t>
            </w:r>
          </w:p>
        </w:tc>
        <w:tc>
          <w:tcPr>
            <w:tcW w:w="1722" w:type="dxa"/>
            <w:tcBorders>
              <w:bottom w:val="single" w:color="000000" w:sz="10" w:space="0"/>
            </w:tcBorders>
            <w:vAlign w:val="top"/>
          </w:tcPr>
          <w:p w14:paraId="590B07F3">
            <w:pPr>
              <w:pStyle w:val="6"/>
              <w:spacing w:before="117" w:line="232" w:lineRule="auto"/>
              <w:ind w:left="667"/>
              <w:rPr>
                <w:sz w:val="20"/>
                <w:szCs w:val="20"/>
              </w:rPr>
            </w:pPr>
            <w:r>
              <w:rPr>
                <w:spacing w:val="2"/>
                <w:sz w:val="20"/>
                <w:szCs w:val="20"/>
              </w:rPr>
              <w:t>长期</w:t>
            </w:r>
          </w:p>
        </w:tc>
        <w:tc>
          <w:tcPr>
            <w:tcW w:w="1471" w:type="dxa"/>
            <w:tcBorders>
              <w:bottom w:val="single" w:color="000000" w:sz="10" w:space="0"/>
              <w:right w:val="single" w:color="000000" w:sz="10" w:space="0"/>
            </w:tcBorders>
            <w:vAlign w:val="top"/>
          </w:tcPr>
          <w:p w14:paraId="38B27BD8">
            <w:pPr>
              <w:pStyle w:val="6"/>
              <w:spacing w:before="117" w:line="232" w:lineRule="auto"/>
              <w:ind w:left="542"/>
              <w:rPr>
                <w:sz w:val="20"/>
                <w:szCs w:val="20"/>
              </w:rPr>
            </w:pPr>
            <w:r>
              <w:rPr>
                <w:sz w:val="20"/>
                <w:szCs w:val="20"/>
              </w:rPr>
              <w:t>可逆</w:t>
            </w:r>
          </w:p>
        </w:tc>
      </w:tr>
    </w:tbl>
    <w:p w14:paraId="00506479">
      <w:pPr>
        <w:spacing w:before="41" w:line="229" w:lineRule="auto"/>
        <w:ind w:left="47"/>
        <w:outlineLvl w:val="1"/>
        <w:rPr>
          <w:rFonts w:ascii="仿宋" w:hAnsi="仿宋" w:eastAsia="仿宋" w:cs="仿宋"/>
          <w:sz w:val="25"/>
          <w:szCs w:val="25"/>
        </w:rPr>
      </w:pPr>
      <w:bookmarkStart w:id="24" w:name="bookmark21"/>
      <w:bookmarkEnd w:id="24"/>
      <w:r>
        <w:rPr>
          <w:rFonts w:ascii="Times New Roman" w:hAnsi="Times New Roman" w:eastAsia="Times New Roman" w:cs="Times New Roman"/>
          <w:b/>
          <w:bCs/>
          <w:spacing w:val="5"/>
          <w:sz w:val="25"/>
          <w:szCs w:val="25"/>
        </w:rPr>
        <w:t>4.3</w:t>
      </w:r>
      <w:r>
        <w:rPr>
          <w:rFonts w:ascii="Times New Roman" w:hAnsi="Times New Roman" w:eastAsia="Times New Roman" w:cs="Times New Roman"/>
          <w:b/>
          <w:bCs/>
          <w:spacing w:val="26"/>
          <w:sz w:val="25"/>
          <w:szCs w:val="25"/>
        </w:rPr>
        <w:t xml:space="preserve"> </w:t>
      </w:r>
      <w:r>
        <w:rPr>
          <w:rFonts w:ascii="仿宋" w:hAnsi="仿宋" w:eastAsia="仿宋" w:cs="仿宋"/>
          <w:b/>
          <w:bCs/>
          <w:spacing w:val="5"/>
          <w:sz w:val="25"/>
          <w:szCs w:val="25"/>
        </w:rPr>
        <w:t>环境影响评价指标体系</w:t>
      </w:r>
    </w:p>
    <w:p w14:paraId="308E9EE5">
      <w:pPr>
        <w:spacing w:before="130" w:line="312" w:lineRule="auto"/>
        <w:ind w:left="57" w:right="47" w:firstLine="521"/>
        <w:jc w:val="both"/>
        <w:rPr>
          <w:rFonts w:ascii="仿宋" w:hAnsi="仿宋" w:eastAsia="仿宋" w:cs="仿宋"/>
          <w:sz w:val="25"/>
          <w:szCs w:val="25"/>
        </w:rPr>
      </w:pPr>
      <w:r>
        <w:rPr>
          <w:rFonts w:ascii="仿宋" w:hAnsi="仿宋" w:eastAsia="仿宋" w:cs="仿宋"/>
          <w:spacing w:val="9"/>
          <w:sz w:val="25"/>
          <w:szCs w:val="25"/>
        </w:rPr>
        <w:t>本次规划调整环境影响评价在环境影响识别的基础上，选择评价因子，采</w:t>
      </w:r>
      <w:r>
        <w:rPr>
          <w:rFonts w:ascii="仿宋" w:hAnsi="仿宋" w:eastAsia="仿宋" w:cs="仿宋"/>
          <w:spacing w:val="10"/>
          <w:sz w:val="25"/>
          <w:szCs w:val="25"/>
        </w:rPr>
        <w:t xml:space="preserve"> </w:t>
      </w:r>
      <w:r>
        <w:rPr>
          <w:rFonts w:ascii="仿宋" w:hAnsi="仿宋" w:eastAsia="仿宋" w:cs="仿宋"/>
          <w:spacing w:val="9"/>
          <w:sz w:val="25"/>
          <w:szCs w:val="25"/>
        </w:rPr>
        <w:t>用基本指标体系的方法构建本次评价的评价指标体系。评价指标体系详见指标</w:t>
      </w:r>
      <w:r>
        <w:rPr>
          <w:rFonts w:ascii="仿宋" w:hAnsi="仿宋" w:eastAsia="仿宋" w:cs="仿宋"/>
          <w:spacing w:val="14"/>
          <w:sz w:val="25"/>
          <w:szCs w:val="25"/>
        </w:rPr>
        <w:t xml:space="preserve"> </w:t>
      </w:r>
      <w:r>
        <w:rPr>
          <w:rFonts w:ascii="仿宋" w:hAnsi="仿宋" w:eastAsia="仿宋" w:cs="仿宋"/>
          <w:spacing w:val="4"/>
          <w:sz w:val="25"/>
          <w:szCs w:val="25"/>
        </w:rPr>
        <w:t>体系详见表</w:t>
      </w:r>
      <w:r>
        <w:rPr>
          <w:rFonts w:ascii="仿宋" w:hAnsi="仿宋" w:eastAsia="仿宋" w:cs="仿宋"/>
          <w:spacing w:val="-53"/>
          <w:sz w:val="25"/>
          <w:szCs w:val="25"/>
        </w:rPr>
        <w:t xml:space="preserve"> </w:t>
      </w:r>
      <w:r>
        <w:rPr>
          <w:rFonts w:ascii="Times New Roman" w:hAnsi="Times New Roman" w:eastAsia="Times New Roman" w:cs="Times New Roman"/>
          <w:spacing w:val="4"/>
          <w:sz w:val="25"/>
          <w:szCs w:val="25"/>
        </w:rPr>
        <w:t>4.2-2</w:t>
      </w:r>
      <w:r>
        <w:rPr>
          <w:rFonts w:ascii="仿宋" w:hAnsi="仿宋" w:eastAsia="仿宋" w:cs="仿宋"/>
          <w:spacing w:val="4"/>
          <w:sz w:val="25"/>
          <w:szCs w:val="25"/>
        </w:rPr>
        <w:t>。</w:t>
      </w:r>
    </w:p>
    <w:p w14:paraId="3C03547A">
      <w:pPr>
        <w:spacing w:before="1" w:line="230" w:lineRule="auto"/>
        <w:ind w:left="2969"/>
        <w:rPr>
          <w:rFonts w:ascii="仿宋" w:hAnsi="仿宋" w:eastAsia="仿宋" w:cs="仿宋"/>
          <w:sz w:val="20"/>
          <w:szCs w:val="20"/>
        </w:rPr>
      </w:pPr>
      <w:r>
        <w:rPr>
          <w:rFonts w:ascii="仿宋" w:hAnsi="仿宋" w:eastAsia="仿宋" w:cs="仿宋"/>
          <w:b/>
          <w:bCs/>
          <w:spacing w:val="5"/>
          <w:sz w:val="20"/>
          <w:szCs w:val="20"/>
        </w:rPr>
        <w:t>表</w:t>
      </w:r>
      <w:r>
        <w:rPr>
          <w:rFonts w:ascii="仿宋" w:hAnsi="仿宋" w:eastAsia="仿宋" w:cs="仿宋"/>
          <w:spacing w:val="-40"/>
          <w:sz w:val="20"/>
          <w:szCs w:val="20"/>
        </w:rPr>
        <w:t xml:space="preserve"> </w:t>
      </w:r>
      <w:r>
        <w:rPr>
          <w:rFonts w:ascii="Times New Roman" w:hAnsi="Times New Roman" w:eastAsia="Times New Roman" w:cs="Times New Roman"/>
          <w:b/>
          <w:bCs/>
          <w:spacing w:val="5"/>
          <w:sz w:val="20"/>
          <w:szCs w:val="20"/>
        </w:rPr>
        <w:t xml:space="preserve">4.2-2    </w:t>
      </w:r>
      <w:r>
        <w:rPr>
          <w:rFonts w:ascii="仿宋" w:hAnsi="仿宋" w:eastAsia="仿宋" w:cs="仿宋"/>
          <w:b/>
          <w:bCs/>
          <w:spacing w:val="5"/>
          <w:sz w:val="20"/>
          <w:szCs w:val="20"/>
        </w:rPr>
        <w:t>环境影响评价指标体系</w:t>
      </w:r>
    </w:p>
    <w:p w14:paraId="1D0BCDAA">
      <w:pPr>
        <w:spacing w:line="230" w:lineRule="auto"/>
        <w:rPr>
          <w:rFonts w:ascii="仿宋" w:hAnsi="仿宋" w:eastAsia="仿宋" w:cs="仿宋"/>
          <w:sz w:val="20"/>
          <w:szCs w:val="20"/>
        </w:rPr>
        <w:sectPr>
          <w:headerReference r:id="rId167" w:type="default"/>
          <w:footerReference r:id="rId168" w:type="default"/>
          <w:pgSz w:w="11906" w:h="16839"/>
          <w:pgMar w:top="1116" w:right="1433" w:bottom="1480" w:left="1545" w:header="683" w:footer="1318" w:gutter="0"/>
          <w:cols w:space="720" w:num="1"/>
        </w:sectPr>
      </w:pPr>
    </w:p>
    <w:p w14:paraId="63FE9D9D">
      <w:pPr>
        <w:spacing w:before="82"/>
      </w:pPr>
    </w:p>
    <w:tbl>
      <w:tblPr>
        <w:tblStyle w:val="5"/>
        <w:tblW w:w="950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6"/>
        <w:gridCol w:w="664"/>
        <w:gridCol w:w="2024"/>
        <w:gridCol w:w="2463"/>
        <w:gridCol w:w="2120"/>
        <w:gridCol w:w="1528"/>
      </w:tblGrid>
      <w:tr w14:paraId="3B5482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706" w:type="dxa"/>
            <w:tcBorders>
              <w:top w:val="single" w:color="000000" w:sz="10" w:space="0"/>
              <w:left w:val="single" w:color="000000" w:sz="10" w:space="0"/>
            </w:tcBorders>
            <w:vAlign w:val="top"/>
          </w:tcPr>
          <w:p w14:paraId="3DBA136D">
            <w:pPr>
              <w:pStyle w:val="6"/>
              <w:spacing w:before="36" w:line="216" w:lineRule="auto"/>
              <w:ind w:left="145"/>
              <w:rPr>
                <w:sz w:val="20"/>
                <w:szCs w:val="20"/>
              </w:rPr>
            </w:pPr>
            <w:r>
              <w:rPr>
                <w:spacing w:val="-1"/>
                <w:sz w:val="20"/>
                <w:szCs w:val="20"/>
              </w:rPr>
              <w:t>主题</w:t>
            </w:r>
          </w:p>
        </w:tc>
        <w:tc>
          <w:tcPr>
            <w:tcW w:w="2688" w:type="dxa"/>
            <w:gridSpan w:val="2"/>
            <w:tcBorders>
              <w:top w:val="single" w:color="000000" w:sz="10" w:space="0"/>
            </w:tcBorders>
            <w:vAlign w:val="top"/>
          </w:tcPr>
          <w:p w14:paraId="067E4D0F">
            <w:pPr>
              <w:pStyle w:val="6"/>
              <w:spacing w:before="36" w:line="216" w:lineRule="auto"/>
              <w:ind w:left="506"/>
              <w:rPr>
                <w:sz w:val="20"/>
                <w:szCs w:val="20"/>
              </w:rPr>
            </w:pPr>
            <w:r>
              <w:rPr>
                <w:spacing w:val="-4"/>
                <w:sz w:val="20"/>
                <w:szCs w:val="20"/>
              </w:rPr>
              <w:t>环境要素（</w:t>
            </w:r>
            <w:r>
              <w:rPr>
                <w:spacing w:val="-14"/>
                <w:sz w:val="20"/>
                <w:szCs w:val="20"/>
              </w:rPr>
              <w:t xml:space="preserve"> </w:t>
            </w:r>
            <w:r>
              <w:rPr>
                <w:spacing w:val="-4"/>
                <w:sz w:val="20"/>
                <w:szCs w:val="20"/>
              </w:rPr>
              <w:t>目标）</w:t>
            </w:r>
          </w:p>
        </w:tc>
        <w:tc>
          <w:tcPr>
            <w:tcW w:w="2463" w:type="dxa"/>
            <w:tcBorders>
              <w:top w:val="single" w:color="000000" w:sz="10" w:space="0"/>
            </w:tcBorders>
            <w:vAlign w:val="top"/>
          </w:tcPr>
          <w:p w14:paraId="655B22D1">
            <w:pPr>
              <w:pStyle w:val="6"/>
              <w:spacing w:before="36" w:line="216" w:lineRule="auto"/>
              <w:ind w:left="822"/>
              <w:rPr>
                <w:sz w:val="20"/>
                <w:szCs w:val="20"/>
              </w:rPr>
            </w:pPr>
            <w:r>
              <w:rPr>
                <w:spacing w:val="5"/>
                <w:sz w:val="20"/>
                <w:szCs w:val="20"/>
              </w:rPr>
              <w:t>评价指标</w:t>
            </w:r>
          </w:p>
        </w:tc>
        <w:tc>
          <w:tcPr>
            <w:tcW w:w="2120" w:type="dxa"/>
            <w:tcBorders>
              <w:top w:val="single" w:color="000000" w:sz="10" w:space="0"/>
            </w:tcBorders>
            <w:vAlign w:val="top"/>
          </w:tcPr>
          <w:p w14:paraId="0426ADF5">
            <w:pPr>
              <w:pStyle w:val="6"/>
              <w:spacing w:before="36" w:line="216" w:lineRule="auto"/>
              <w:ind w:left="247"/>
              <w:rPr>
                <w:sz w:val="20"/>
                <w:szCs w:val="20"/>
              </w:rPr>
            </w:pPr>
            <w:r>
              <w:rPr>
                <w:spacing w:val="-1"/>
                <w:sz w:val="20"/>
                <w:szCs w:val="20"/>
              </w:rPr>
              <w:t>目标值（</w:t>
            </w:r>
            <w:r>
              <w:rPr>
                <w:rFonts w:ascii="Times New Roman" w:hAnsi="Times New Roman" w:eastAsia="Times New Roman" w:cs="Times New Roman"/>
                <w:spacing w:val="-1"/>
                <w:sz w:val="20"/>
                <w:szCs w:val="20"/>
              </w:rPr>
              <w:t>2025</w:t>
            </w:r>
            <w:r>
              <w:rPr>
                <w:rFonts w:ascii="Times New Roman" w:hAnsi="Times New Roman" w:eastAsia="Times New Roman" w:cs="Times New Roman"/>
                <w:spacing w:val="27"/>
                <w:w w:val="101"/>
                <w:sz w:val="20"/>
                <w:szCs w:val="20"/>
              </w:rPr>
              <w:t xml:space="preserve"> </w:t>
            </w:r>
            <w:r>
              <w:rPr>
                <w:spacing w:val="-1"/>
                <w:sz w:val="20"/>
                <w:szCs w:val="20"/>
              </w:rPr>
              <w:t>年）</w:t>
            </w:r>
          </w:p>
        </w:tc>
        <w:tc>
          <w:tcPr>
            <w:tcW w:w="1528" w:type="dxa"/>
            <w:tcBorders>
              <w:top w:val="single" w:color="000000" w:sz="10" w:space="0"/>
              <w:right w:val="single" w:color="000000" w:sz="10" w:space="0"/>
            </w:tcBorders>
            <w:vAlign w:val="top"/>
          </w:tcPr>
          <w:p w14:paraId="63B64D9D">
            <w:pPr>
              <w:pStyle w:val="6"/>
              <w:spacing w:before="36" w:line="216" w:lineRule="auto"/>
              <w:ind w:left="254"/>
              <w:rPr>
                <w:sz w:val="20"/>
                <w:szCs w:val="20"/>
              </w:rPr>
            </w:pPr>
            <w:r>
              <w:rPr>
                <w:spacing w:val="6"/>
                <w:sz w:val="20"/>
                <w:szCs w:val="20"/>
              </w:rPr>
              <w:t>依据或来源</w:t>
            </w:r>
          </w:p>
        </w:tc>
      </w:tr>
      <w:tr w14:paraId="18A56B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706" w:type="dxa"/>
            <w:vMerge w:val="restart"/>
            <w:tcBorders>
              <w:left w:val="single" w:color="000000" w:sz="10" w:space="0"/>
              <w:bottom w:val="nil"/>
            </w:tcBorders>
            <w:vAlign w:val="top"/>
          </w:tcPr>
          <w:p w14:paraId="4423AB78">
            <w:pPr>
              <w:spacing w:line="245" w:lineRule="auto"/>
              <w:rPr>
                <w:rFonts w:ascii="Arial"/>
                <w:sz w:val="21"/>
              </w:rPr>
            </w:pPr>
          </w:p>
          <w:p w14:paraId="462469A9">
            <w:pPr>
              <w:spacing w:line="245" w:lineRule="auto"/>
              <w:rPr>
                <w:rFonts w:ascii="Arial"/>
                <w:sz w:val="21"/>
              </w:rPr>
            </w:pPr>
          </w:p>
          <w:p w14:paraId="41D00BA4">
            <w:pPr>
              <w:spacing w:line="246" w:lineRule="auto"/>
              <w:rPr>
                <w:rFonts w:ascii="Arial"/>
                <w:sz w:val="21"/>
              </w:rPr>
            </w:pPr>
          </w:p>
          <w:p w14:paraId="3D1F15FA">
            <w:pPr>
              <w:spacing w:line="246" w:lineRule="auto"/>
              <w:rPr>
                <w:rFonts w:ascii="Arial"/>
                <w:sz w:val="21"/>
              </w:rPr>
            </w:pPr>
          </w:p>
          <w:p w14:paraId="231F1BCC">
            <w:pPr>
              <w:spacing w:line="246" w:lineRule="auto"/>
              <w:rPr>
                <w:rFonts w:ascii="Arial"/>
                <w:sz w:val="21"/>
              </w:rPr>
            </w:pPr>
          </w:p>
          <w:p w14:paraId="3BAD7D57">
            <w:pPr>
              <w:spacing w:line="246" w:lineRule="auto"/>
              <w:rPr>
                <w:rFonts w:ascii="Arial"/>
                <w:sz w:val="21"/>
              </w:rPr>
            </w:pPr>
          </w:p>
          <w:p w14:paraId="5A30F457">
            <w:pPr>
              <w:spacing w:line="246" w:lineRule="auto"/>
              <w:rPr>
                <w:rFonts w:ascii="Arial"/>
                <w:sz w:val="21"/>
              </w:rPr>
            </w:pPr>
          </w:p>
          <w:p w14:paraId="551CAEE8">
            <w:pPr>
              <w:spacing w:line="246" w:lineRule="auto"/>
              <w:rPr>
                <w:rFonts w:ascii="Arial"/>
                <w:sz w:val="21"/>
              </w:rPr>
            </w:pPr>
          </w:p>
          <w:p w14:paraId="5C5BABEB">
            <w:pPr>
              <w:spacing w:line="246" w:lineRule="auto"/>
              <w:rPr>
                <w:rFonts w:ascii="Arial"/>
                <w:sz w:val="21"/>
              </w:rPr>
            </w:pPr>
          </w:p>
          <w:p w14:paraId="24B0C957">
            <w:pPr>
              <w:spacing w:line="246" w:lineRule="auto"/>
              <w:rPr>
                <w:rFonts w:ascii="Arial"/>
                <w:sz w:val="21"/>
              </w:rPr>
            </w:pPr>
          </w:p>
          <w:p w14:paraId="1CF68F82">
            <w:pPr>
              <w:spacing w:line="246" w:lineRule="auto"/>
              <w:rPr>
                <w:rFonts w:ascii="Arial"/>
                <w:sz w:val="21"/>
              </w:rPr>
            </w:pPr>
          </w:p>
          <w:p w14:paraId="55DF1C5F">
            <w:pPr>
              <w:spacing w:line="246" w:lineRule="auto"/>
              <w:rPr>
                <w:rFonts w:ascii="Arial"/>
                <w:sz w:val="21"/>
              </w:rPr>
            </w:pPr>
          </w:p>
          <w:p w14:paraId="538F6632">
            <w:pPr>
              <w:spacing w:line="246" w:lineRule="auto"/>
              <w:rPr>
                <w:rFonts w:ascii="Arial"/>
                <w:sz w:val="21"/>
              </w:rPr>
            </w:pPr>
          </w:p>
          <w:p w14:paraId="480B5FBC">
            <w:pPr>
              <w:pStyle w:val="6"/>
              <w:spacing w:before="65" w:line="234" w:lineRule="auto"/>
              <w:ind w:left="151"/>
              <w:rPr>
                <w:sz w:val="20"/>
                <w:szCs w:val="20"/>
              </w:rPr>
            </w:pPr>
            <w:r>
              <w:rPr>
                <w:spacing w:val="-5"/>
                <w:sz w:val="20"/>
                <w:szCs w:val="20"/>
              </w:rPr>
              <w:t>生态</w:t>
            </w:r>
          </w:p>
          <w:p w14:paraId="1124699A">
            <w:pPr>
              <w:pStyle w:val="6"/>
              <w:spacing w:before="20" w:line="229" w:lineRule="auto"/>
              <w:ind w:left="140"/>
              <w:rPr>
                <w:sz w:val="20"/>
                <w:szCs w:val="20"/>
              </w:rPr>
            </w:pPr>
            <w:r>
              <w:rPr>
                <w:spacing w:val="1"/>
                <w:sz w:val="20"/>
                <w:szCs w:val="20"/>
              </w:rPr>
              <w:t>保护</w:t>
            </w:r>
          </w:p>
        </w:tc>
        <w:tc>
          <w:tcPr>
            <w:tcW w:w="664" w:type="dxa"/>
            <w:vAlign w:val="top"/>
          </w:tcPr>
          <w:p w14:paraId="0AD73AE0">
            <w:pPr>
              <w:pStyle w:val="6"/>
              <w:spacing w:before="31" w:line="234" w:lineRule="auto"/>
              <w:ind w:left="135"/>
              <w:rPr>
                <w:sz w:val="20"/>
                <w:szCs w:val="20"/>
              </w:rPr>
            </w:pPr>
            <w:r>
              <w:rPr>
                <w:spacing w:val="-5"/>
                <w:sz w:val="20"/>
                <w:szCs w:val="20"/>
              </w:rPr>
              <w:t>生态</w:t>
            </w:r>
          </w:p>
          <w:p w14:paraId="0E9FC0A7">
            <w:pPr>
              <w:pStyle w:val="6"/>
              <w:spacing w:before="20" w:line="229" w:lineRule="auto"/>
              <w:ind w:left="123"/>
              <w:rPr>
                <w:sz w:val="20"/>
                <w:szCs w:val="20"/>
              </w:rPr>
            </w:pPr>
            <w:r>
              <w:rPr>
                <w:spacing w:val="1"/>
                <w:sz w:val="20"/>
                <w:szCs w:val="20"/>
              </w:rPr>
              <w:t>保护</w:t>
            </w:r>
          </w:p>
          <w:p w14:paraId="283DA535">
            <w:pPr>
              <w:pStyle w:val="6"/>
              <w:spacing w:before="22" w:line="217" w:lineRule="auto"/>
              <w:ind w:left="123"/>
              <w:rPr>
                <w:sz w:val="20"/>
                <w:szCs w:val="20"/>
              </w:rPr>
            </w:pPr>
            <w:r>
              <w:rPr>
                <w:spacing w:val="1"/>
                <w:sz w:val="20"/>
                <w:szCs w:val="20"/>
              </w:rPr>
              <w:t>红线</w:t>
            </w:r>
          </w:p>
        </w:tc>
        <w:tc>
          <w:tcPr>
            <w:tcW w:w="2024" w:type="dxa"/>
            <w:vAlign w:val="top"/>
          </w:tcPr>
          <w:p w14:paraId="11B4E0F0">
            <w:pPr>
              <w:pStyle w:val="6"/>
              <w:spacing w:before="167" w:line="252" w:lineRule="auto"/>
              <w:ind w:left="805" w:right="73" w:hanging="733"/>
              <w:rPr>
                <w:sz w:val="20"/>
                <w:szCs w:val="20"/>
              </w:rPr>
            </w:pPr>
            <w:r>
              <w:rPr>
                <w:spacing w:val="8"/>
                <w:sz w:val="20"/>
                <w:szCs w:val="20"/>
              </w:rPr>
              <w:t>严守划定的生态保护</w:t>
            </w:r>
            <w:r>
              <w:rPr>
                <w:sz w:val="20"/>
                <w:szCs w:val="20"/>
              </w:rPr>
              <w:t xml:space="preserve"> </w:t>
            </w:r>
            <w:r>
              <w:rPr>
                <w:spacing w:val="1"/>
                <w:sz w:val="20"/>
                <w:szCs w:val="20"/>
              </w:rPr>
              <w:t>红线</w:t>
            </w:r>
          </w:p>
        </w:tc>
        <w:tc>
          <w:tcPr>
            <w:tcW w:w="2463" w:type="dxa"/>
            <w:vAlign w:val="top"/>
          </w:tcPr>
          <w:p w14:paraId="011DE92F">
            <w:pPr>
              <w:pStyle w:val="6"/>
              <w:spacing w:before="167" w:line="251" w:lineRule="auto"/>
              <w:ind w:left="93" w:right="76" w:hanging="7"/>
              <w:rPr>
                <w:sz w:val="20"/>
                <w:szCs w:val="20"/>
              </w:rPr>
            </w:pPr>
            <w:r>
              <w:rPr>
                <w:spacing w:val="8"/>
                <w:sz w:val="20"/>
                <w:szCs w:val="20"/>
              </w:rPr>
              <w:t>规划区块与生态保护红线</w:t>
            </w:r>
            <w:r>
              <w:rPr>
                <w:spacing w:val="6"/>
                <w:sz w:val="20"/>
                <w:szCs w:val="20"/>
              </w:rPr>
              <w:t xml:space="preserve"> </w:t>
            </w:r>
            <w:r>
              <w:rPr>
                <w:spacing w:val="8"/>
                <w:sz w:val="20"/>
                <w:szCs w:val="20"/>
              </w:rPr>
              <w:t>重叠面积、所占红线比例</w:t>
            </w:r>
          </w:p>
        </w:tc>
        <w:tc>
          <w:tcPr>
            <w:tcW w:w="2120" w:type="dxa"/>
            <w:vAlign w:val="top"/>
          </w:tcPr>
          <w:p w14:paraId="342DCD01">
            <w:pPr>
              <w:pStyle w:val="6"/>
              <w:spacing w:before="305" w:line="232" w:lineRule="auto"/>
              <w:ind w:left="768"/>
              <w:rPr>
                <w:sz w:val="20"/>
                <w:szCs w:val="20"/>
              </w:rPr>
            </w:pPr>
            <w:r>
              <w:rPr>
                <w:spacing w:val="3"/>
                <w:sz w:val="20"/>
                <w:szCs w:val="20"/>
              </w:rPr>
              <w:t>不占用</w:t>
            </w:r>
          </w:p>
        </w:tc>
        <w:tc>
          <w:tcPr>
            <w:tcW w:w="1528" w:type="dxa"/>
            <w:vMerge w:val="restart"/>
            <w:tcBorders>
              <w:bottom w:val="nil"/>
              <w:right w:val="single" w:color="000000" w:sz="10" w:space="0"/>
            </w:tcBorders>
            <w:vAlign w:val="top"/>
          </w:tcPr>
          <w:p w14:paraId="0D1DB85C">
            <w:pPr>
              <w:spacing w:line="478" w:lineRule="auto"/>
              <w:rPr>
                <w:rFonts w:ascii="Arial"/>
                <w:sz w:val="21"/>
              </w:rPr>
            </w:pPr>
          </w:p>
          <w:p w14:paraId="2B188DBA">
            <w:pPr>
              <w:pStyle w:val="6"/>
              <w:spacing w:before="65" w:line="251" w:lineRule="auto"/>
              <w:ind w:left="77" w:right="44" w:firstLine="72"/>
              <w:jc w:val="both"/>
              <w:rPr>
                <w:sz w:val="20"/>
                <w:szCs w:val="20"/>
              </w:rPr>
            </w:pPr>
            <w:r>
              <w:rPr>
                <w:spacing w:val="7"/>
                <w:sz w:val="20"/>
                <w:szCs w:val="20"/>
              </w:rPr>
              <w:t>《中共中央办</w:t>
            </w:r>
            <w:r>
              <w:rPr>
                <w:spacing w:val="1"/>
                <w:sz w:val="20"/>
                <w:szCs w:val="20"/>
              </w:rPr>
              <w:t xml:space="preserve"> </w:t>
            </w:r>
            <w:r>
              <w:rPr>
                <w:spacing w:val="-2"/>
                <w:sz w:val="20"/>
                <w:szCs w:val="20"/>
              </w:rPr>
              <w:t>公厅、国务院办</w:t>
            </w:r>
            <w:r>
              <w:rPr>
                <w:spacing w:val="4"/>
                <w:sz w:val="20"/>
                <w:szCs w:val="20"/>
              </w:rPr>
              <w:t xml:space="preserve"> </w:t>
            </w:r>
            <w:r>
              <w:rPr>
                <w:spacing w:val="19"/>
                <w:sz w:val="20"/>
                <w:szCs w:val="20"/>
              </w:rPr>
              <w:t>公厅关于在国</w:t>
            </w:r>
          </w:p>
          <w:p w14:paraId="0F617C22">
            <w:pPr>
              <w:pStyle w:val="6"/>
              <w:spacing w:before="1" w:line="231" w:lineRule="auto"/>
              <w:ind w:left="152"/>
              <w:rPr>
                <w:sz w:val="20"/>
                <w:szCs w:val="20"/>
              </w:rPr>
            </w:pPr>
            <w:r>
              <w:rPr>
                <w:spacing w:val="6"/>
                <w:sz w:val="20"/>
                <w:szCs w:val="20"/>
              </w:rPr>
              <w:t>土空间规划中</w:t>
            </w:r>
          </w:p>
          <w:p w14:paraId="1EB6C1D5">
            <w:pPr>
              <w:pStyle w:val="6"/>
              <w:spacing w:before="23" w:line="231" w:lineRule="auto"/>
              <w:ind w:left="154"/>
              <w:rPr>
                <w:sz w:val="20"/>
                <w:szCs w:val="20"/>
              </w:rPr>
            </w:pPr>
            <w:r>
              <w:rPr>
                <w:spacing w:val="6"/>
                <w:sz w:val="20"/>
                <w:szCs w:val="20"/>
              </w:rPr>
              <w:t>统筹划定落实</w:t>
            </w:r>
          </w:p>
          <w:p w14:paraId="22BCD00C">
            <w:pPr>
              <w:pStyle w:val="6"/>
              <w:spacing w:before="21" w:line="230" w:lineRule="auto"/>
              <w:ind w:left="156"/>
              <w:rPr>
                <w:sz w:val="20"/>
                <w:szCs w:val="20"/>
              </w:rPr>
            </w:pPr>
            <w:r>
              <w:rPr>
                <w:spacing w:val="6"/>
                <w:sz w:val="20"/>
                <w:szCs w:val="20"/>
              </w:rPr>
              <w:t>三条控制线的</w:t>
            </w:r>
          </w:p>
          <w:p w14:paraId="61C15BA1">
            <w:pPr>
              <w:pStyle w:val="6"/>
              <w:spacing w:before="23" w:line="232" w:lineRule="auto"/>
              <w:ind w:left="73"/>
              <w:rPr>
                <w:sz w:val="20"/>
                <w:szCs w:val="20"/>
              </w:rPr>
            </w:pPr>
            <w:r>
              <w:rPr>
                <w:spacing w:val="-26"/>
                <w:sz w:val="20"/>
                <w:szCs w:val="20"/>
              </w:rPr>
              <w:t>指导意见》、《重</w:t>
            </w:r>
          </w:p>
          <w:p w14:paraId="65989167">
            <w:pPr>
              <w:pStyle w:val="6"/>
              <w:spacing w:before="20" w:line="231" w:lineRule="auto"/>
              <w:ind w:left="208"/>
              <w:rPr>
                <w:sz w:val="20"/>
                <w:szCs w:val="20"/>
              </w:rPr>
            </w:pPr>
            <w:r>
              <w:rPr>
                <w:spacing w:val="7"/>
                <w:sz w:val="20"/>
                <w:szCs w:val="20"/>
              </w:rPr>
              <w:t>庆市</w:t>
            </w:r>
            <w:r>
              <w:rPr>
                <w:rFonts w:ascii="Times New Roman" w:hAnsi="Times New Roman" w:eastAsia="Times New Roman" w:cs="Times New Roman"/>
                <w:spacing w:val="7"/>
                <w:sz w:val="20"/>
                <w:szCs w:val="20"/>
              </w:rPr>
              <w:t>“</w:t>
            </w:r>
            <w:r>
              <w:rPr>
                <w:spacing w:val="7"/>
                <w:sz w:val="20"/>
                <w:szCs w:val="20"/>
              </w:rPr>
              <w:t>三线一</w:t>
            </w:r>
          </w:p>
          <w:p w14:paraId="00A8752C">
            <w:pPr>
              <w:pStyle w:val="6"/>
              <w:spacing w:before="23" w:line="229" w:lineRule="auto"/>
              <w:ind w:left="106"/>
              <w:rPr>
                <w:sz w:val="20"/>
                <w:szCs w:val="20"/>
              </w:rPr>
            </w:pPr>
            <w:r>
              <w:rPr>
                <w:spacing w:val="6"/>
                <w:sz w:val="20"/>
                <w:szCs w:val="20"/>
              </w:rPr>
              <w:t>单</w:t>
            </w:r>
            <w:r>
              <w:rPr>
                <w:rFonts w:ascii="Times New Roman" w:hAnsi="Times New Roman" w:eastAsia="Times New Roman" w:cs="Times New Roman"/>
                <w:spacing w:val="6"/>
                <w:sz w:val="20"/>
                <w:szCs w:val="20"/>
              </w:rPr>
              <w:t>”</w:t>
            </w:r>
            <w:r>
              <w:rPr>
                <w:spacing w:val="6"/>
                <w:sz w:val="20"/>
                <w:szCs w:val="20"/>
              </w:rPr>
              <w:t>生态环境分</w:t>
            </w:r>
          </w:p>
          <w:p w14:paraId="0F19087B">
            <w:pPr>
              <w:pStyle w:val="6"/>
              <w:spacing w:before="23" w:line="232" w:lineRule="auto"/>
              <w:ind w:left="168"/>
              <w:rPr>
                <w:sz w:val="20"/>
                <w:szCs w:val="20"/>
              </w:rPr>
            </w:pPr>
            <w:r>
              <w:rPr>
                <w:spacing w:val="4"/>
                <w:sz w:val="20"/>
                <w:szCs w:val="20"/>
              </w:rPr>
              <w:t>区管控调整方</w:t>
            </w:r>
          </w:p>
          <w:p w14:paraId="38865925">
            <w:pPr>
              <w:pStyle w:val="6"/>
              <w:spacing w:before="22" w:line="231" w:lineRule="auto"/>
              <w:jc w:val="right"/>
              <w:rPr>
                <w:sz w:val="20"/>
                <w:szCs w:val="20"/>
              </w:rPr>
            </w:pPr>
            <w:r>
              <w:rPr>
                <w:spacing w:val="-4"/>
                <w:sz w:val="20"/>
                <w:szCs w:val="20"/>
              </w:rPr>
              <w:t>案（</w:t>
            </w:r>
            <w:r>
              <w:rPr>
                <w:rFonts w:ascii="Times New Roman" w:hAnsi="Times New Roman" w:eastAsia="Times New Roman" w:cs="Times New Roman"/>
                <w:spacing w:val="-4"/>
                <w:sz w:val="20"/>
                <w:szCs w:val="20"/>
              </w:rPr>
              <w:t>2023</w:t>
            </w:r>
            <w:r>
              <w:rPr>
                <w:rFonts w:ascii="Times New Roman" w:hAnsi="Times New Roman" w:eastAsia="Times New Roman" w:cs="Times New Roman"/>
                <w:spacing w:val="23"/>
                <w:w w:val="101"/>
                <w:sz w:val="20"/>
                <w:szCs w:val="20"/>
              </w:rPr>
              <w:t xml:space="preserve"> </w:t>
            </w:r>
            <w:r>
              <w:rPr>
                <w:spacing w:val="-4"/>
                <w:sz w:val="20"/>
                <w:szCs w:val="20"/>
              </w:rPr>
              <w:t>年）》</w:t>
            </w:r>
          </w:p>
        </w:tc>
      </w:tr>
      <w:tr w14:paraId="4DB2BD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9" w:hRule="atLeast"/>
        </w:trPr>
        <w:tc>
          <w:tcPr>
            <w:tcW w:w="706" w:type="dxa"/>
            <w:vMerge w:val="continue"/>
            <w:tcBorders>
              <w:top w:val="nil"/>
              <w:left w:val="single" w:color="000000" w:sz="10" w:space="0"/>
              <w:bottom w:val="nil"/>
            </w:tcBorders>
            <w:vAlign w:val="top"/>
          </w:tcPr>
          <w:p w14:paraId="43800B3E">
            <w:pPr>
              <w:rPr>
                <w:rFonts w:ascii="Arial"/>
                <w:sz w:val="21"/>
              </w:rPr>
            </w:pPr>
          </w:p>
        </w:tc>
        <w:tc>
          <w:tcPr>
            <w:tcW w:w="664" w:type="dxa"/>
            <w:vAlign w:val="top"/>
          </w:tcPr>
          <w:p w14:paraId="69317808">
            <w:pPr>
              <w:spacing w:line="335" w:lineRule="auto"/>
              <w:rPr>
                <w:rFonts w:ascii="Arial"/>
                <w:sz w:val="21"/>
              </w:rPr>
            </w:pPr>
          </w:p>
          <w:p w14:paraId="4C78B991">
            <w:pPr>
              <w:pStyle w:val="6"/>
              <w:spacing w:before="65" w:line="233" w:lineRule="auto"/>
              <w:ind w:left="126"/>
              <w:rPr>
                <w:sz w:val="20"/>
                <w:szCs w:val="20"/>
              </w:rPr>
            </w:pPr>
            <w:r>
              <w:rPr>
                <w:sz w:val="20"/>
                <w:szCs w:val="20"/>
              </w:rPr>
              <w:t>一般</w:t>
            </w:r>
          </w:p>
          <w:p w14:paraId="3DCF9572">
            <w:pPr>
              <w:pStyle w:val="6"/>
              <w:spacing w:before="19" w:line="234" w:lineRule="auto"/>
              <w:ind w:left="135"/>
              <w:rPr>
                <w:sz w:val="20"/>
                <w:szCs w:val="20"/>
              </w:rPr>
            </w:pPr>
            <w:r>
              <w:rPr>
                <w:spacing w:val="-5"/>
                <w:sz w:val="20"/>
                <w:szCs w:val="20"/>
              </w:rPr>
              <w:t>生态</w:t>
            </w:r>
          </w:p>
          <w:p w14:paraId="3D135B36">
            <w:pPr>
              <w:pStyle w:val="6"/>
              <w:spacing w:before="16" w:line="232" w:lineRule="auto"/>
              <w:ind w:left="134"/>
              <w:rPr>
                <w:sz w:val="20"/>
                <w:szCs w:val="20"/>
              </w:rPr>
            </w:pPr>
            <w:r>
              <w:rPr>
                <w:spacing w:val="-4"/>
                <w:sz w:val="20"/>
                <w:szCs w:val="20"/>
              </w:rPr>
              <w:t>空间</w:t>
            </w:r>
          </w:p>
        </w:tc>
        <w:tc>
          <w:tcPr>
            <w:tcW w:w="2024" w:type="dxa"/>
            <w:vAlign w:val="top"/>
          </w:tcPr>
          <w:p w14:paraId="5834ECB1">
            <w:pPr>
              <w:spacing w:line="335" w:lineRule="auto"/>
              <w:rPr>
                <w:rFonts w:ascii="Arial"/>
                <w:sz w:val="21"/>
              </w:rPr>
            </w:pPr>
          </w:p>
          <w:p w14:paraId="7E70A2CF">
            <w:pPr>
              <w:pStyle w:val="6"/>
              <w:spacing w:before="65" w:line="230" w:lineRule="auto"/>
              <w:ind w:left="72"/>
              <w:rPr>
                <w:sz w:val="20"/>
                <w:szCs w:val="20"/>
              </w:rPr>
            </w:pPr>
            <w:r>
              <w:rPr>
                <w:spacing w:val="8"/>
                <w:sz w:val="20"/>
                <w:szCs w:val="20"/>
              </w:rPr>
              <w:t>严格控制新增建设占</w:t>
            </w:r>
          </w:p>
          <w:p w14:paraId="1650D6D2">
            <w:pPr>
              <w:pStyle w:val="6"/>
              <w:spacing w:before="22" w:line="229" w:lineRule="auto"/>
              <w:ind w:left="70"/>
              <w:rPr>
                <w:sz w:val="20"/>
                <w:szCs w:val="20"/>
              </w:rPr>
            </w:pPr>
            <w:r>
              <w:rPr>
                <w:spacing w:val="8"/>
                <w:sz w:val="20"/>
                <w:szCs w:val="20"/>
              </w:rPr>
              <w:t>用生态保护红线外的</w:t>
            </w:r>
          </w:p>
          <w:p w14:paraId="7FBFACD8">
            <w:pPr>
              <w:pStyle w:val="6"/>
              <w:spacing w:before="22" w:line="232" w:lineRule="auto"/>
              <w:ind w:left="608"/>
              <w:rPr>
                <w:sz w:val="20"/>
                <w:szCs w:val="20"/>
              </w:rPr>
            </w:pPr>
            <w:r>
              <w:rPr>
                <w:spacing w:val="2"/>
                <w:sz w:val="20"/>
                <w:szCs w:val="20"/>
              </w:rPr>
              <w:t>生态空间</w:t>
            </w:r>
          </w:p>
        </w:tc>
        <w:tc>
          <w:tcPr>
            <w:tcW w:w="2463" w:type="dxa"/>
            <w:vAlign w:val="top"/>
          </w:tcPr>
          <w:p w14:paraId="5ED00AD5">
            <w:pPr>
              <w:spacing w:line="468" w:lineRule="auto"/>
              <w:rPr>
                <w:rFonts w:ascii="Arial"/>
                <w:sz w:val="21"/>
              </w:rPr>
            </w:pPr>
          </w:p>
          <w:p w14:paraId="1943F5D9">
            <w:pPr>
              <w:pStyle w:val="6"/>
              <w:spacing w:before="65" w:line="232" w:lineRule="auto"/>
              <w:ind w:left="122"/>
              <w:rPr>
                <w:sz w:val="20"/>
                <w:szCs w:val="20"/>
              </w:rPr>
            </w:pPr>
            <w:r>
              <w:rPr>
                <w:spacing w:val="4"/>
                <w:sz w:val="20"/>
                <w:szCs w:val="20"/>
              </w:rPr>
              <w:t>占用一般生态空间类型、</w:t>
            </w:r>
          </w:p>
          <w:p w14:paraId="5E447AFE">
            <w:pPr>
              <w:pStyle w:val="6"/>
              <w:spacing w:before="22" w:line="232" w:lineRule="auto"/>
              <w:ind w:left="1036"/>
              <w:rPr>
                <w:sz w:val="20"/>
                <w:szCs w:val="20"/>
              </w:rPr>
            </w:pPr>
            <w:r>
              <w:rPr>
                <w:spacing w:val="-1"/>
                <w:sz w:val="20"/>
                <w:szCs w:val="20"/>
              </w:rPr>
              <w:t>面积</w:t>
            </w:r>
          </w:p>
        </w:tc>
        <w:tc>
          <w:tcPr>
            <w:tcW w:w="2120" w:type="dxa"/>
            <w:vAlign w:val="top"/>
          </w:tcPr>
          <w:p w14:paraId="09170DF5">
            <w:pPr>
              <w:pStyle w:val="6"/>
              <w:spacing w:before="29" w:line="246" w:lineRule="auto"/>
              <w:ind w:left="66" w:right="43" w:firstLine="1"/>
              <w:jc w:val="both"/>
              <w:rPr>
                <w:sz w:val="19"/>
                <w:szCs w:val="19"/>
              </w:rPr>
            </w:pPr>
            <w:r>
              <w:rPr>
                <w:spacing w:val="10"/>
                <w:sz w:val="19"/>
                <w:szCs w:val="19"/>
              </w:rPr>
              <w:t>严格控制各类开发利用</w:t>
            </w:r>
            <w:r>
              <w:rPr>
                <w:spacing w:val="2"/>
                <w:sz w:val="19"/>
                <w:szCs w:val="19"/>
              </w:rPr>
              <w:t xml:space="preserve"> </w:t>
            </w:r>
            <w:r>
              <w:rPr>
                <w:spacing w:val="10"/>
                <w:sz w:val="19"/>
                <w:szCs w:val="19"/>
              </w:rPr>
              <w:t>活动对生态空间的占用</w:t>
            </w:r>
            <w:r>
              <w:rPr>
                <w:spacing w:val="4"/>
                <w:sz w:val="19"/>
                <w:szCs w:val="19"/>
              </w:rPr>
              <w:t xml:space="preserve"> </w:t>
            </w:r>
            <w:r>
              <w:rPr>
                <w:spacing w:val="10"/>
                <w:sz w:val="19"/>
                <w:szCs w:val="19"/>
              </w:rPr>
              <w:t>和扰动，避免资源勘探</w:t>
            </w:r>
            <w:r>
              <w:rPr>
                <w:spacing w:val="4"/>
                <w:sz w:val="19"/>
                <w:szCs w:val="19"/>
              </w:rPr>
              <w:t xml:space="preserve"> </w:t>
            </w:r>
            <w:r>
              <w:rPr>
                <w:spacing w:val="10"/>
                <w:sz w:val="19"/>
                <w:szCs w:val="19"/>
              </w:rPr>
              <w:t>开发活动损害一般生态</w:t>
            </w:r>
            <w:r>
              <w:rPr>
                <w:spacing w:val="4"/>
                <w:sz w:val="19"/>
                <w:szCs w:val="19"/>
              </w:rPr>
              <w:t xml:space="preserve"> </w:t>
            </w:r>
            <w:r>
              <w:rPr>
                <w:spacing w:val="10"/>
                <w:sz w:val="19"/>
                <w:szCs w:val="19"/>
              </w:rPr>
              <w:t>空间的主导生态服务功</w:t>
            </w:r>
            <w:r>
              <w:rPr>
                <w:spacing w:val="4"/>
                <w:sz w:val="19"/>
                <w:szCs w:val="19"/>
              </w:rPr>
              <w:t xml:space="preserve"> </w:t>
            </w:r>
            <w:r>
              <w:rPr>
                <w:spacing w:val="-3"/>
                <w:sz w:val="19"/>
                <w:szCs w:val="19"/>
              </w:rPr>
              <w:t>能。</w:t>
            </w:r>
          </w:p>
        </w:tc>
        <w:tc>
          <w:tcPr>
            <w:tcW w:w="1528" w:type="dxa"/>
            <w:vMerge w:val="continue"/>
            <w:tcBorders>
              <w:top w:val="nil"/>
              <w:bottom w:val="nil"/>
              <w:right w:val="single" w:color="000000" w:sz="10" w:space="0"/>
            </w:tcBorders>
            <w:vAlign w:val="top"/>
          </w:tcPr>
          <w:p w14:paraId="6448FF09">
            <w:pPr>
              <w:rPr>
                <w:rFonts w:ascii="Arial"/>
                <w:sz w:val="21"/>
              </w:rPr>
            </w:pPr>
          </w:p>
        </w:tc>
      </w:tr>
      <w:tr w14:paraId="4C9D90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6" w:hRule="atLeast"/>
        </w:trPr>
        <w:tc>
          <w:tcPr>
            <w:tcW w:w="706" w:type="dxa"/>
            <w:vMerge w:val="continue"/>
            <w:tcBorders>
              <w:top w:val="nil"/>
              <w:left w:val="single" w:color="000000" w:sz="10" w:space="0"/>
              <w:bottom w:val="nil"/>
            </w:tcBorders>
            <w:vAlign w:val="top"/>
          </w:tcPr>
          <w:p w14:paraId="5CB754B3">
            <w:pPr>
              <w:rPr>
                <w:rFonts w:ascii="Arial"/>
                <w:sz w:val="21"/>
              </w:rPr>
            </w:pPr>
          </w:p>
        </w:tc>
        <w:tc>
          <w:tcPr>
            <w:tcW w:w="664" w:type="dxa"/>
            <w:vAlign w:val="top"/>
          </w:tcPr>
          <w:p w14:paraId="76F39C99">
            <w:pPr>
              <w:spacing w:line="376" w:lineRule="auto"/>
              <w:rPr>
                <w:rFonts w:ascii="Arial"/>
                <w:sz w:val="21"/>
              </w:rPr>
            </w:pPr>
          </w:p>
          <w:p w14:paraId="4FDA2712">
            <w:pPr>
              <w:pStyle w:val="6"/>
              <w:spacing w:before="65" w:line="232" w:lineRule="auto"/>
              <w:ind w:left="162"/>
              <w:rPr>
                <w:sz w:val="20"/>
                <w:szCs w:val="20"/>
              </w:rPr>
            </w:pPr>
            <w:r>
              <w:rPr>
                <w:spacing w:val="-18"/>
                <w:sz w:val="20"/>
                <w:szCs w:val="20"/>
              </w:rPr>
              <w:t>自然</w:t>
            </w:r>
          </w:p>
          <w:p w14:paraId="2B47B3B7">
            <w:pPr>
              <w:pStyle w:val="6"/>
              <w:spacing w:before="21" w:line="255" w:lineRule="auto"/>
              <w:ind w:left="228" w:right="132" w:hanging="105"/>
              <w:rPr>
                <w:sz w:val="20"/>
                <w:szCs w:val="20"/>
              </w:rPr>
            </w:pPr>
            <w:r>
              <w:rPr>
                <w:spacing w:val="1"/>
                <w:sz w:val="20"/>
                <w:szCs w:val="20"/>
              </w:rPr>
              <w:t>保护</w:t>
            </w:r>
            <w:r>
              <w:rPr>
                <w:sz w:val="20"/>
                <w:szCs w:val="20"/>
              </w:rPr>
              <w:t xml:space="preserve"> 地</w:t>
            </w:r>
          </w:p>
        </w:tc>
        <w:tc>
          <w:tcPr>
            <w:tcW w:w="2024" w:type="dxa"/>
            <w:vAlign w:val="top"/>
          </w:tcPr>
          <w:p w14:paraId="679F7983">
            <w:pPr>
              <w:pStyle w:val="6"/>
              <w:spacing w:before="36" w:line="228" w:lineRule="auto"/>
              <w:ind w:left="76"/>
              <w:rPr>
                <w:sz w:val="20"/>
                <w:szCs w:val="20"/>
              </w:rPr>
            </w:pPr>
            <w:r>
              <w:rPr>
                <w:spacing w:val="6"/>
                <w:sz w:val="20"/>
                <w:szCs w:val="20"/>
              </w:rPr>
              <w:t>禁止在自然保护区、</w:t>
            </w:r>
          </w:p>
          <w:p w14:paraId="45E47FCA">
            <w:pPr>
              <w:pStyle w:val="6"/>
              <w:spacing w:before="24" w:line="231" w:lineRule="auto"/>
              <w:ind w:left="72"/>
              <w:rPr>
                <w:sz w:val="20"/>
                <w:szCs w:val="20"/>
              </w:rPr>
            </w:pPr>
            <w:r>
              <w:rPr>
                <w:spacing w:val="3"/>
                <w:sz w:val="20"/>
                <w:szCs w:val="20"/>
              </w:rPr>
              <w:t>风景名胜区、</w:t>
            </w:r>
            <w:r>
              <w:rPr>
                <w:spacing w:val="-55"/>
                <w:sz w:val="20"/>
                <w:szCs w:val="20"/>
              </w:rPr>
              <w:t xml:space="preserve"> </w:t>
            </w:r>
            <w:r>
              <w:rPr>
                <w:spacing w:val="3"/>
                <w:sz w:val="20"/>
                <w:szCs w:val="20"/>
              </w:rPr>
              <w:t>国家公</w:t>
            </w:r>
          </w:p>
          <w:p w14:paraId="1F824E52">
            <w:pPr>
              <w:pStyle w:val="6"/>
              <w:spacing w:before="20" w:line="231" w:lineRule="auto"/>
              <w:ind w:left="91"/>
              <w:rPr>
                <w:sz w:val="20"/>
                <w:szCs w:val="20"/>
              </w:rPr>
            </w:pPr>
            <w:r>
              <w:rPr>
                <w:spacing w:val="6"/>
                <w:sz w:val="20"/>
                <w:szCs w:val="20"/>
              </w:rPr>
              <w:t>园（森林公园、地质</w:t>
            </w:r>
          </w:p>
          <w:p w14:paraId="7D77D703">
            <w:pPr>
              <w:pStyle w:val="6"/>
              <w:spacing w:before="23" w:line="232" w:lineRule="auto"/>
              <w:ind w:left="74"/>
              <w:rPr>
                <w:sz w:val="20"/>
                <w:szCs w:val="20"/>
              </w:rPr>
            </w:pPr>
            <w:r>
              <w:rPr>
                <w:spacing w:val="9"/>
                <w:sz w:val="20"/>
                <w:szCs w:val="20"/>
              </w:rPr>
              <w:t>公园、湿地公园）等</w:t>
            </w:r>
          </w:p>
          <w:p w14:paraId="47E9FE8F">
            <w:pPr>
              <w:pStyle w:val="6"/>
              <w:spacing w:before="20" w:line="231" w:lineRule="auto"/>
              <w:ind w:left="88"/>
              <w:rPr>
                <w:sz w:val="20"/>
                <w:szCs w:val="20"/>
              </w:rPr>
            </w:pPr>
            <w:r>
              <w:rPr>
                <w:spacing w:val="6"/>
                <w:sz w:val="20"/>
                <w:szCs w:val="20"/>
              </w:rPr>
              <w:t>区域内设置探矿权和</w:t>
            </w:r>
          </w:p>
          <w:p w14:paraId="085FC4DF">
            <w:pPr>
              <w:pStyle w:val="6"/>
              <w:spacing w:before="23" w:line="211" w:lineRule="auto"/>
              <w:ind w:left="703"/>
              <w:rPr>
                <w:sz w:val="20"/>
                <w:szCs w:val="20"/>
              </w:rPr>
            </w:pPr>
            <w:r>
              <w:rPr>
                <w:spacing w:val="4"/>
                <w:sz w:val="20"/>
                <w:szCs w:val="20"/>
              </w:rPr>
              <w:t>采矿权</w:t>
            </w:r>
          </w:p>
        </w:tc>
        <w:tc>
          <w:tcPr>
            <w:tcW w:w="2463" w:type="dxa"/>
            <w:vAlign w:val="top"/>
          </w:tcPr>
          <w:p w14:paraId="6EED9EFA">
            <w:pPr>
              <w:spacing w:line="376" w:lineRule="auto"/>
              <w:rPr>
                <w:rFonts w:ascii="Arial"/>
                <w:sz w:val="21"/>
              </w:rPr>
            </w:pPr>
          </w:p>
          <w:p w14:paraId="65AE2A87">
            <w:pPr>
              <w:pStyle w:val="6"/>
              <w:spacing w:before="65" w:line="231" w:lineRule="auto"/>
              <w:ind w:left="86"/>
              <w:rPr>
                <w:sz w:val="20"/>
                <w:szCs w:val="20"/>
              </w:rPr>
            </w:pPr>
            <w:r>
              <w:rPr>
                <w:spacing w:val="7"/>
                <w:sz w:val="20"/>
                <w:szCs w:val="20"/>
              </w:rPr>
              <w:t>规划区块与风景名胜区、</w:t>
            </w:r>
          </w:p>
          <w:p w14:paraId="4EA6C630">
            <w:pPr>
              <w:pStyle w:val="6"/>
              <w:spacing w:before="20" w:line="251" w:lineRule="auto"/>
              <w:ind w:left="407" w:right="76" w:hanging="318"/>
              <w:rPr>
                <w:sz w:val="20"/>
                <w:szCs w:val="20"/>
              </w:rPr>
            </w:pPr>
            <w:r>
              <w:rPr>
                <w:spacing w:val="8"/>
                <w:sz w:val="20"/>
                <w:szCs w:val="20"/>
              </w:rPr>
              <w:t>森林公园、地质公园等重</w:t>
            </w:r>
            <w:r>
              <w:rPr>
                <w:spacing w:val="3"/>
                <w:sz w:val="20"/>
                <w:szCs w:val="20"/>
              </w:rPr>
              <w:t xml:space="preserve"> </w:t>
            </w:r>
            <w:r>
              <w:rPr>
                <w:spacing w:val="7"/>
                <w:sz w:val="20"/>
                <w:szCs w:val="20"/>
              </w:rPr>
              <w:t>叠面积、所占比例</w:t>
            </w:r>
          </w:p>
        </w:tc>
        <w:tc>
          <w:tcPr>
            <w:tcW w:w="2120" w:type="dxa"/>
            <w:vAlign w:val="top"/>
          </w:tcPr>
          <w:p w14:paraId="6E2F240A">
            <w:pPr>
              <w:spacing w:line="420" w:lineRule="auto"/>
              <w:rPr>
                <w:rFonts w:ascii="Arial"/>
                <w:sz w:val="21"/>
              </w:rPr>
            </w:pPr>
          </w:p>
          <w:p w14:paraId="5B31E408">
            <w:pPr>
              <w:spacing w:before="57" w:line="195" w:lineRule="auto"/>
              <w:ind w:left="101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p w14:paraId="38575C46">
            <w:pPr>
              <w:pStyle w:val="6"/>
              <w:spacing w:before="32" w:line="229" w:lineRule="auto"/>
              <w:ind w:left="136"/>
              <w:rPr>
                <w:sz w:val="20"/>
                <w:szCs w:val="20"/>
              </w:rPr>
            </w:pPr>
            <w:r>
              <w:rPr>
                <w:spacing w:val="7"/>
                <w:sz w:val="20"/>
                <w:szCs w:val="20"/>
              </w:rPr>
              <w:t>（规划区块与自然保</w:t>
            </w:r>
          </w:p>
          <w:p w14:paraId="0DD63C13">
            <w:pPr>
              <w:pStyle w:val="6"/>
              <w:spacing w:before="24" w:line="231" w:lineRule="auto"/>
              <w:jc w:val="right"/>
              <w:rPr>
                <w:sz w:val="20"/>
                <w:szCs w:val="20"/>
              </w:rPr>
            </w:pPr>
            <w:r>
              <w:rPr>
                <w:spacing w:val="4"/>
                <w:sz w:val="20"/>
                <w:szCs w:val="20"/>
              </w:rPr>
              <w:t>护地不重叠，无冲突）</w:t>
            </w:r>
          </w:p>
        </w:tc>
        <w:tc>
          <w:tcPr>
            <w:tcW w:w="1528" w:type="dxa"/>
            <w:vMerge w:val="continue"/>
            <w:tcBorders>
              <w:top w:val="nil"/>
              <w:right w:val="single" w:color="000000" w:sz="10" w:space="0"/>
            </w:tcBorders>
            <w:vAlign w:val="top"/>
          </w:tcPr>
          <w:p w14:paraId="405EB6DD">
            <w:pPr>
              <w:rPr>
                <w:rFonts w:ascii="Arial"/>
                <w:sz w:val="21"/>
              </w:rPr>
            </w:pPr>
          </w:p>
        </w:tc>
      </w:tr>
      <w:tr w14:paraId="0FB706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8" w:hRule="atLeast"/>
        </w:trPr>
        <w:tc>
          <w:tcPr>
            <w:tcW w:w="706" w:type="dxa"/>
            <w:vMerge w:val="continue"/>
            <w:tcBorders>
              <w:top w:val="nil"/>
              <w:left w:val="single" w:color="000000" w:sz="10" w:space="0"/>
              <w:bottom w:val="nil"/>
            </w:tcBorders>
            <w:vAlign w:val="top"/>
          </w:tcPr>
          <w:p w14:paraId="57C95D2E">
            <w:pPr>
              <w:rPr>
                <w:rFonts w:ascii="Arial"/>
                <w:sz w:val="21"/>
              </w:rPr>
            </w:pPr>
          </w:p>
        </w:tc>
        <w:tc>
          <w:tcPr>
            <w:tcW w:w="664" w:type="dxa"/>
            <w:vMerge w:val="restart"/>
            <w:tcBorders>
              <w:bottom w:val="nil"/>
            </w:tcBorders>
            <w:vAlign w:val="top"/>
          </w:tcPr>
          <w:p w14:paraId="0201845D">
            <w:pPr>
              <w:spacing w:line="263" w:lineRule="auto"/>
              <w:rPr>
                <w:rFonts w:ascii="Arial"/>
                <w:sz w:val="21"/>
              </w:rPr>
            </w:pPr>
          </w:p>
          <w:p w14:paraId="7205A650">
            <w:pPr>
              <w:spacing w:line="263" w:lineRule="auto"/>
              <w:rPr>
                <w:rFonts w:ascii="Arial"/>
                <w:sz w:val="21"/>
              </w:rPr>
            </w:pPr>
          </w:p>
          <w:p w14:paraId="2A8D6599">
            <w:pPr>
              <w:spacing w:line="264" w:lineRule="auto"/>
              <w:rPr>
                <w:rFonts w:ascii="Arial"/>
                <w:sz w:val="21"/>
              </w:rPr>
            </w:pPr>
          </w:p>
          <w:p w14:paraId="7D676B1D">
            <w:pPr>
              <w:pStyle w:val="6"/>
              <w:spacing w:before="65" w:line="234" w:lineRule="auto"/>
              <w:ind w:left="135"/>
              <w:rPr>
                <w:sz w:val="20"/>
                <w:szCs w:val="20"/>
              </w:rPr>
            </w:pPr>
            <w:r>
              <w:rPr>
                <w:spacing w:val="-5"/>
                <w:sz w:val="20"/>
                <w:szCs w:val="20"/>
              </w:rPr>
              <w:t>生态</w:t>
            </w:r>
          </w:p>
          <w:p w14:paraId="372EBAB7">
            <w:pPr>
              <w:pStyle w:val="6"/>
              <w:spacing w:before="16" w:line="229" w:lineRule="auto"/>
              <w:ind w:left="124"/>
              <w:rPr>
                <w:sz w:val="20"/>
                <w:szCs w:val="20"/>
              </w:rPr>
            </w:pPr>
            <w:r>
              <w:rPr>
                <w:spacing w:val="1"/>
                <w:sz w:val="20"/>
                <w:szCs w:val="20"/>
              </w:rPr>
              <w:t>恢复</w:t>
            </w:r>
          </w:p>
          <w:p w14:paraId="58880829">
            <w:pPr>
              <w:pStyle w:val="6"/>
              <w:spacing w:before="22" w:line="232" w:lineRule="auto"/>
              <w:ind w:left="122"/>
              <w:rPr>
                <w:sz w:val="20"/>
                <w:szCs w:val="20"/>
              </w:rPr>
            </w:pPr>
            <w:r>
              <w:rPr>
                <w:spacing w:val="2"/>
                <w:sz w:val="20"/>
                <w:szCs w:val="20"/>
              </w:rPr>
              <w:t>和土</w:t>
            </w:r>
          </w:p>
          <w:p w14:paraId="565BD747">
            <w:pPr>
              <w:pStyle w:val="6"/>
              <w:spacing w:before="23" w:line="254" w:lineRule="auto"/>
              <w:ind w:left="232" w:right="132" w:hanging="109"/>
              <w:rPr>
                <w:sz w:val="20"/>
                <w:szCs w:val="20"/>
              </w:rPr>
            </w:pPr>
            <w:r>
              <w:rPr>
                <w:spacing w:val="1"/>
                <w:sz w:val="20"/>
                <w:szCs w:val="20"/>
              </w:rPr>
              <w:t>地复</w:t>
            </w:r>
            <w:r>
              <w:rPr>
                <w:sz w:val="20"/>
                <w:szCs w:val="20"/>
              </w:rPr>
              <w:t xml:space="preserve"> 垦</w:t>
            </w:r>
          </w:p>
        </w:tc>
        <w:tc>
          <w:tcPr>
            <w:tcW w:w="2024" w:type="dxa"/>
            <w:vMerge w:val="restart"/>
            <w:tcBorders>
              <w:bottom w:val="nil"/>
            </w:tcBorders>
            <w:vAlign w:val="top"/>
          </w:tcPr>
          <w:p w14:paraId="47F82859">
            <w:pPr>
              <w:spacing w:line="308" w:lineRule="auto"/>
              <w:rPr>
                <w:rFonts w:ascii="Arial"/>
                <w:sz w:val="21"/>
              </w:rPr>
            </w:pPr>
          </w:p>
          <w:p w14:paraId="5B65C285">
            <w:pPr>
              <w:spacing w:line="308" w:lineRule="auto"/>
              <w:rPr>
                <w:rFonts w:ascii="Arial"/>
                <w:sz w:val="21"/>
              </w:rPr>
            </w:pPr>
          </w:p>
          <w:p w14:paraId="37468CB2">
            <w:pPr>
              <w:spacing w:line="308" w:lineRule="auto"/>
              <w:rPr>
                <w:rFonts w:ascii="Arial"/>
                <w:sz w:val="21"/>
              </w:rPr>
            </w:pPr>
          </w:p>
          <w:p w14:paraId="08411A81">
            <w:pPr>
              <w:pStyle w:val="6"/>
              <w:spacing w:before="65" w:line="230" w:lineRule="auto"/>
              <w:ind w:left="70"/>
              <w:rPr>
                <w:sz w:val="20"/>
                <w:szCs w:val="20"/>
              </w:rPr>
            </w:pPr>
            <w:r>
              <w:rPr>
                <w:spacing w:val="8"/>
                <w:sz w:val="20"/>
                <w:szCs w:val="20"/>
              </w:rPr>
              <w:t>新建和生产矿山闭坑</w:t>
            </w:r>
          </w:p>
          <w:p w14:paraId="06E843E8">
            <w:pPr>
              <w:pStyle w:val="6"/>
              <w:spacing w:before="24" w:line="230" w:lineRule="auto"/>
              <w:ind w:left="72"/>
              <w:rPr>
                <w:sz w:val="20"/>
                <w:szCs w:val="20"/>
              </w:rPr>
            </w:pPr>
            <w:r>
              <w:rPr>
                <w:spacing w:val="8"/>
                <w:sz w:val="20"/>
                <w:szCs w:val="20"/>
              </w:rPr>
              <w:t>后全面治理，关闭矿</w:t>
            </w:r>
          </w:p>
          <w:p w14:paraId="239A9CB5">
            <w:pPr>
              <w:pStyle w:val="6"/>
              <w:spacing w:before="21" w:line="231" w:lineRule="auto"/>
              <w:ind w:left="89"/>
              <w:rPr>
                <w:sz w:val="20"/>
                <w:szCs w:val="20"/>
              </w:rPr>
            </w:pPr>
            <w:r>
              <w:rPr>
                <w:spacing w:val="6"/>
                <w:sz w:val="20"/>
                <w:szCs w:val="20"/>
              </w:rPr>
              <w:t>山和历史遗留矿山按</w:t>
            </w:r>
          </w:p>
          <w:p w14:paraId="7883AF87">
            <w:pPr>
              <w:pStyle w:val="6"/>
              <w:spacing w:before="23" w:line="231" w:lineRule="auto"/>
              <w:ind w:left="386"/>
              <w:rPr>
                <w:sz w:val="20"/>
                <w:szCs w:val="20"/>
              </w:rPr>
            </w:pPr>
            <w:r>
              <w:rPr>
                <w:spacing w:val="7"/>
                <w:sz w:val="20"/>
                <w:szCs w:val="20"/>
              </w:rPr>
              <w:t>地方要求实施</w:t>
            </w:r>
          </w:p>
        </w:tc>
        <w:tc>
          <w:tcPr>
            <w:tcW w:w="2463" w:type="dxa"/>
            <w:vAlign w:val="top"/>
          </w:tcPr>
          <w:p w14:paraId="1F4B4353">
            <w:pPr>
              <w:spacing w:line="261" w:lineRule="auto"/>
              <w:rPr>
                <w:rFonts w:ascii="Arial"/>
                <w:sz w:val="21"/>
              </w:rPr>
            </w:pPr>
          </w:p>
          <w:p w14:paraId="40CB7C46">
            <w:pPr>
              <w:spacing w:line="262" w:lineRule="auto"/>
              <w:rPr>
                <w:rFonts w:ascii="Arial"/>
                <w:sz w:val="21"/>
              </w:rPr>
            </w:pPr>
          </w:p>
          <w:p w14:paraId="3576D17F">
            <w:pPr>
              <w:spacing w:line="262" w:lineRule="auto"/>
              <w:rPr>
                <w:rFonts w:ascii="Arial"/>
                <w:sz w:val="21"/>
              </w:rPr>
            </w:pPr>
          </w:p>
          <w:p w14:paraId="20D8CC56">
            <w:pPr>
              <w:pStyle w:val="6"/>
              <w:spacing w:before="65" w:line="231" w:lineRule="auto"/>
              <w:ind w:left="506"/>
              <w:rPr>
                <w:sz w:val="20"/>
                <w:szCs w:val="20"/>
              </w:rPr>
            </w:pPr>
            <w:r>
              <w:rPr>
                <w:spacing w:val="7"/>
                <w:sz w:val="20"/>
                <w:szCs w:val="20"/>
              </w:rPr>
              <w:t>新建和生产矿山</w:t>
            </w:r>
          </w:p>
        </w:tc>
        <w:tc>
          <w:tcPr>
            <w:tcW w:w="2120" w:type="dxa"/>
            <w:vAlign w:val="top"/>
          </w:tcPr>
          <w:p w14:paraId="2CC50511">
            <w:pPr>
              <w:spacing w:line="325" w:lineRule="auto"/>
              <w:rPr>
                <w:rFonts w:ascii="Arial"/>
                <w:sz w:val="21"/>
              </w:rPr>
            </w:pPr>
          </w:p>
          <w:p w14:paraId="57AECAFA">
            <w:pPr>
              <w:spacing w:line="325" w:lineRule="auto"/>
              <w:rPr>
                <w:rFonts w:ascii="Arial"/>
                <w:sz w:val="21"/>
              </w:rPr>
            </w:pPr>
          </w:p>
          <w:p w14:paraId="74CF8C21">
            <w:pPr>
              <w:pStyle w:val="6"/>
              <w:spacing w:before="65" w:line="250" w:lineRule="auto"/>
              <w:ind w:left="133" w:right="108" w:firstLine="4"/>
              <w:rPr>
                <w:sz w:val="20"/>
                <w:szCs w:val="20"/>
              </w:rPr>
            </w:pPr>
            <w:r>
              <w:rPr>
                <w:spacing w:val="7"/>
                <w:sz w:val="20"/>
                <w:szCs w:val="20"/>
              </w:rPr>
              <w:t>露天矿山边开采边治</w:t>
            </w:r>
            <w:r>
              <w:rPr>
                <w:spacing w:val="5"/>
                <w:sz w:val="20"/>
                <w:szCs w:val="20"/>
              </w:rPr>
              <w:t xml:space="preserve"> </w:t>
            </w:r>
            <w:r>
              <w:rPr>
                <w:spacing w:val="3"/>
                <w:sz w:val="20"/>
                <w:szCs w:val="20"/>
              </w:rPr>
              <w:t>理，</w:t>
            </w:r>
            <w:r>
              <w:rPr>
                <w:spacing w:val="-55"/>
                <w:sz w:val="20"/>
                <w:szCs w:val="20"/>
              </w:rPr>
              <w:t xml:space="preserve"> </w:t>
            </w:r>
            <w:r>
              <w:rPr>
                <w:spacing w:val="3"/>
                <w:sz w:val="20"/>
                <w:szCs w:val="20"/>
              </w:rPr>
              <w:t>闭坑后全面治理</w:t>
            </w:r>
          </w:p>
        </w:tc>
        <w:tc>
          <w:tcPr>
            <w:tcW w:w="1528" w:type="dxa"/>
            <w:tcBorders>
              <w:right w:val="single" w:color="000000" w:sz="10" w:space="0"/>
            </w:tcBorders>
            <w:vAlign w:val="top"/>
          </w:tcPr>
          <w:p w14:paraId="53D78DE6">
            <w:pPr>
              <w:pStyle w:val="6"/>
              <w:spacing w:before="39" w:line="231" w:lineRule="auto"/>
              <w:ind w:left="149"/>
              <w:rPr>
                <w:sz w:val="20"/>
                <w:szCs w:val="20"/>
              </w:rPr>
            </w:pPr>
            <w:r>
              <w:rPr>
                <w:spacing w:val="7"/>
                <w:sz w:val="20"/>
                <w:szCs w:val="20"/>
              </w:rPr>
              <w:t>《矿山地质环</w:t>
            </w:r>
          </w:p>
          <w:p w14:paraId="4EB8956B">
            <w:pPr>
              <w:pStyle w:val="6"/>
              <w:spacing w:before="21" w:line="229" w:lineRule="auto"/>
              <w:ind w:left="152"/>
              <w:rPr>
                <w:sz w:val="20"/>
                <w:szCs w:val="20"/>
              </w:rPr>
            </w:pPr>
            <w:r>
              <w:rPr>
                <w:spacing w:val="5"/>
                <w:sz w:val="20"/>
                <w:szCs w:val="20"/>
              </w:rPr>
              <w:t>境保护规定》</w:t>
            </w:r>
          </w:p>
          <w:p w14:paraId="7FD72FBE">
            <w:pPr>
              <w:pStyle w:val="6"/>
              <w:spacing w:before="22" w:line="252" w:lineRule="auto"/>
              <w:ind w:left="84" w:firstLine="65"/>
              <w:jc w:val="both"/>
              <w:rPr>
                <w:sz w:val="20"/>
                <w:szCs w:val="20"/>
              </w:rPr>
            </w:pPr>
            <w:r>
              <w:rPr>
                <w:spacing w:val="6"/>
                <w:sz w:val="20"/>
                <w:szCs w:val="20"/>
              </w:rPr>
              <w:t>《重庆市矿产</w:t>
            </w:r>
            <w:r>
              <w:rPr>
                <w:spacing w:val="2"/>
                <w:sz w:val="20"/>
                <w:szCs w:val="20"/>
              </w:rPr>
              <w:t xml:space="preserve">  </w:t>
            </w:r>
            <w:r>
              <w:rPr>
                <w:spacing w:val="4"/>
                <w:sz w:val="20"/>
                <w:szCs w:val="20"/>
              </w:rPr>
              <w:t>资源管理条例》</w:t>
            </w:r>
            <w:r>
              <w:rPr>
                <w:sz w:val="20"/>
                <w:szCs w:val="20"/>
              </w:rPr>
              <w:t xml:space="preserve"> </w:t>
            </w:r>
            <w:r>
              <w:rPr>
                <w:spacing w:val="17"/>
                <w:sz w:val="20"/>
                <w:szCs w:val="20"/>
              </w:rPr>
              <w:t>及绿色矿山建</w:t>
            </w:r>
          </w:p>
          <w:p w14:paraId="0ED932BC">
            <w:pPr>
              <w:pStyle w:val="6"/>
              <w:spacing w:line="230" w:lineRule="auto"/>
              <w:ind w:left="149"/>
              <w:rPr>
                <w:sz w:val="20"/>
                <w:szCs w:val="20"/>
              </w:rPr>
            </w:pPr>
            <w:r>
              <w:rPr>
                <w:spacing w:val="7"/>
                <w:sz w:val="20"/>
                <w:szCs w:val="20"/>
              </w:rPr>
              <w:t>设相关规定和</w:t>
            </w:r>
          </w:p>
          <w:p w14:paraId="682A4733">
            <w:pPr>
              <w:pStyle w:val="6"/>
              <w:spacing w:before="22" w:line="209" w:lineRule="auto"/>
              <w:ind w:left="468"/>
              <w:rPr>
                <w:sz w:val="20"/>
                <w:szCs w:val="20"/>
              </w:rPr>
            </w:pPr>
            <w:r>
              <w:rPr>
                <w:spacing w:val="3"/>
                <w:sz w:val="20"/>
                <w:szCs w:val="20"/>
              </w:rPr>
              <w:t>要求等</w:t>
            </w:r>
          </w:p>
        </w:tc>
      </w:tr>
      <w:tr w14:paraId="625261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2" w:hRule="atLeast"/>
        </w:trPr>
        <w:tc>
          <w:tcPr>
            <w:tcW w:w="706" w:type="dxa"/>
            <w:vMerge w:val="continue"/>
            <w:tcBorders>
              <w:top w:val="nil"/>
              <w:left w:val="single" w:color="000000" w:sz="10" w:space="0"/>
            </w:tcBorders>
            <w:vAlign w:val="top"/>
          </w:tcPr>
          <w:p w14:paraId="03A89008">
            <w:pPr>
              <w:rPr>
                <w:rFonts w:ascii="Arial"/>
                <w:sz w:val="21"/>
              </w:rPr>
            </w:pPr>
          </w:p>
        </w:tc>
        <w:tc>
          <w:tcPr>
            <w:tcW w:w="664" w:type="dxa"/>
            <w:vMerge w:val="continue"/>
            <w:tcBorders>
              <w:top w:val="nil"/>
            </w:tcBorders>
            <w:vAlign w:val="top"/>
          </w:tcPr>
          <w:p w14:paraId="2604A105">
            <w:pPr>
              <w:rPr>
                <w:rFonts w:ascii="Arial"/>
                <w:sz w:val="21"/>
              </w:rPr>
            </w:pPr>
          </w:p>
        </w:tc>
        <w:tc>
          <w:tcPr>
            <w:tcW w:w="2024" w:type="dxa"/>
            <w:vMerge w:val="continue"/>
            <w:tcBorders>
              <w:top w:val="nil"/>
            </w:tcBorders>
            <w:vAlign w:val="top"/>
          </w:tcPr>
          <w:p w14:paraId="29AFEBD6">
            <w:pPr>
              <w:rPr>
                <w:rFonts w:ascii="Arial"/>
                <w:sz w:val="21"/>
              </w:rPr>
            </w:pPr>
          </w:p>
        </w:tc>
        <w:tc>
          <w:tcPr>
            <w:tcW w:w="2463" w:type="dxa"/>
            <w:vAlign w:val="top"/>
          </w:tcPr>
          <w:p w14:paraId="7D2C2870">
            <w:pPr>
              <w:spacing w:line="382" w:lineRule="auto"/>
              <w:rPr>
                <w:rFonts w:ascii="Arial"/>
                <w:sz w:val="21"/>
              </w:rPr>
            </w:pPr>
          </w:p>
          <w:p w14:paraId="340BEEBD">
            <w:pPr>
              <w:pStyle w:val="6"/>
              <w:spacing w:before="65" w:line="230" w:lineRule="auto"/>
              <w:ind w:left="92"/>
              <w:rPr>
                <w:sz w:val="20"/>
                <w:szCs w:val="20"/>
              </w:rPr>
            </w:pPr>
            <w:r>
              <w:rPr>
                <w:spacing w:val="8"/>
                <w:sz w:val="20"/>
                <w:szCs w:val="20"/>
              </w:rPr>
              <w:t>关闭矿山和历史遗留矿山</w:t>
            </w:r>
          </w:p>
        </w:tc>
        <w:tc>
          <w:tcPr>
            <w:tcW w:w="2120" w:type="dxa"/>
            <w:vAlign w:val="top"/>
          </w:tcPr>
          <w:p w14:paraId="14E88AC1">
            <w:pPr>
              <w:pStyle w:val="6"/>
              <w:spacing w:before="42"/>
              <w:ind w:left="135" w:right="107"/>
              <w:jc w:val="both"/>
              <w:rPr>
                <w:sz w:val="20"/>
                <w:szCs w:val="20"/>
              </w:rPr>
            </w:pPr>
            <w:r>
              <w:rPr>
                <w:spacing w:val="7"/>
                <w:sz w:val="20"/>
                <w:szCs w:val="20"/>
              </w:rPr>
              <w:t>完成市级每年下达的</w:t>
            </w:r>
            <w:r>
              <w:rPr>
                <w:spacing w:val="6"/>
                <w:sz w:val="20"/>
                <w:szCs w:val="20"/>
              </w:rPr>
              <w:t xml:space="preserve"> </w:t>
            </w:r>
            <w:r>
              <w:rPr>
                <w:spacing w:val="7"/>
                <w:sz w:val="20"/>
                <w:szCs w:val="20"/>
              </w:rPr>
              <w:t>年度生态恢复和土地</w:t>
            </w:r>
            <w:r>
              <w:rPr>
                <w:spacing w:val="6"/>
                <w:sz w:val="20"/>
                <w:szCs w:val="20"/>
              </w:rPr>
              <w:t xml:space="preserve"> </w:t>
            </w:r>
            <w:r>
              <w:rPr>
                <w:spacing w:val="7"/>
                <w:sz w:val="20"/>
                <w:szCs w:val="20"/>
              </w:rPr>
              <w:t xml:space="preserve">复垦计划和任务，在 </w:t>
            </w:r>
            <w:r>
              <w:rPr>
                <w:rFonts w:ascii="Times New Roman" w:hAnsi="Times New Roman" w:eastAsia="Times New Roman" w:cs="Times New Roman"/>
                <w:spacing w:val="11"/>
                <w:sz w:val="20"/>
                <w:szCs w:val="20"/>
              </w:rPr>
              <w:t>2030</w:t>
            </w:r>
            <w:r>
              <w:rPr>
                <w:rFonts w:ascii="Times New Roman" w:hAnsi="Times New Roman" w:eastAsia="Times New Roman" w:cs="Times New Roman"/>
                <w:spacing w:val="28"/>
                <w:sz w:val="20"/>
                <w:szCs w:val="20"/>
              </w:rPr>
              <w:t xml:space="preserve"> </w:t>
            </w:r>
            <w:r>
              <w:rPr>
                <w:spacing w:val="11"/>
                <w:sz w:val="20"/>
                <w:szCs w:val="20"/>
              </w:rPr>
              <w:t>年前全部完成</w:t>
            </w:r>
          </w:p>
        </w:tc>
        <w:tc>
          <w:tcPr>
            <w:tcW w:w="1528" w:type="dxa"/>
            <w:tcBorders>
              <w:right w:val="single" w:color="000000" w:sz="10" w:space="0"/>
            </w:tcBorders>
            <w:vAlign w:val="top"/>
          </w:tcPr>
          <w:p w14:paraId="20F08865">
            <w:pPr>
              <w:spacing w:line="248" w:lineRule="auto"/>
              <w:rPr>
                <w:rFonts w:ascii="Arial"/>
                <w:sz w:val="21"/>
              </w:rPr>
            </w:pPr>
          </w:p>
          <w:p w14:paraId="33E79798">
            <w:pPr>
              <w:pStyle w:val="6"/>
              <w:spacing w:before="65" w:line="230" w:lineRule="auto"/>
              <w:ind w:left="360"/>
              <w:rPr>
                <w:sz w:val="20"/>
                <w:szCs w:val="20"/>
              </w:rPr>
            </w:pPr>
            <w:r>
              <w:rPr>
                <w:spacing w:val="5"/>
                <w:sz w:val="20"/>
                <w:szCs w:val="20"/>
              </w:rPr>
              <w:t>渝府办发</w:t>
            </w:r>
          </w:p>
          <w:p w14:paraId="6462C692">
            <w:pPr>
              <w:pStyle w:val="6"/>
              <w:spacing w:before="22" w:line="232" w:lineRule="auto"/>
              <w:ind w:left="143"/>
              <w:rPr>
                <w:sz w:val="20"/>
                <w:szCs w:val="20"/>
              </w:rPr>
            </w:pPr>
            <w:r>
              <w:rPr>
                <w:spacing w:val="1"/>
                <w:sz w:val="20"/>
                <w:szCs w:val="20"/>
              </w:rPr>
              <w:t>〔</w:t>
            </w:r>
            <w:r>
              <w:rPr>
                <w:rFonts w:ascii="Times New Roman" w:hAnsi="Times New Roman" w:eastAsia="Times New Roman" w:cs="Times New Roman"/>
                <w:spacing w:val="1"/>
                <w:sz w:val="20"/>
                <w:szCs w:val="20"/>
              </w:rPr>
              <w:t>2018</w:t>
            </w:r>
            <w:r>
              <w:rPr>
                <w:spacing w:val="1"/>
                <w:sz w:val="20"/>
                <w:szCs w:val="20"/>
              </w:rPr>
              <w:t>〕</w:t>
            </w:r>
            <w:r>
              <w:rPr>
                <w:rFonts w:ascii="Times New Roman" w:hAnsi="Times New Roman" w:eastAsia="Times New Roman" w:cs="Times New Roman"/>
                <w:spacing w:val="1"/>
                <w:sz w:val="20"/>
                <w:szCs w:val="20"/>
              </w:rPr>
              <w:t>55</w:t>
            </w:r>
            <w:r>
              <w:rPr>
                <w:rFonts w:ascii="Times New Roman" w:hAnsi="Times New Roman" w:eastAsia="Times New Roman" w:cs="Times New Roman"/>
                <w:spacing w:val="24"/>
                <w:sz w:val="20"/>
                <w:szCs w:val="20"/>
              </w:rPr>
              <w:t xml:space="preserve"> </w:t>
            </w:r>
            <w:r>
              <w:rPr>
                <w:spacing w:val="1"/>
                <w:sz w:val="20"/>
                <w:szCs w:val="20"/>
              </w:rPr>
              <w:t>号</w:t>
            </w:r>
          </w:p>
        </w:tc>
      </w:tr>
      <w:tr w14:paraId="6DB822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706" w:type="dxa"/>
            <w:vMerge w:val="restart"/>
            <w:tcBorders>
              <w:left w:val="single" w:color="000000" w:sz="10" w:space="0"/>
              <w:bottom w:val="nil"/>
            </w:tcBorders>
            <w:vAlign w:val="top"/>
          </w:tcPr>
          <w:p w14:paraId="77A132C4">
            <w:pPr>
              <w:spacing w:line="258" w:lineRule="auto"/>
              <w:rPr>
                <w:rFonts w:ascii="Arial"/>
                <w:sz w:val="21"/>
              </w:rPr>
            </w:pPr>
          </w:p>
          <w:p w14:paraId="7EC69D25">
            <w:pPr>
              <w:spacing w:line="258" w:lineRule="auto"/>
              <w:rPr>
                <w:rFonts w:ascii="Arial"/>
                <w:sz w:val="21"/>
              </w:rPr>
            </w:pPr>
          </w:p>
          <w:p w14:paraId="563E9EBB">
            <w:pPr>
              <w:spacing w:line="259" w:lineRule="auto"/>
              <w:rPr>
                <w:rFonts w:ascii="Arial"/>
                <w:sz w:val="21"/>
              </w:rPr>
            </w:pPr>
          </w:p>
          <w:p w14:paraId="5E009E43">
            <w:pPr>
              <w:spacing w:line="259" w:lineRule="auto"/>
              <w:rPr>
                <w:rFonts w:ascii="Arial"/>
                <w:sz w:val="21"/>
              </w:rPr>
            </w:pPr>
          </w:p>
          <w:p w14:paraId="518099EC">
            <w:pPr>
              <w:spacing w:line="259" w:lineRule="auto"/>
              <w:rPr>
                <w:rFonts w:ascii="Arial"/>
                <w:sz w:val="21"/>
              </w:rPr>
            </w:pPr>
          </w:p>
          <w:p w14:paraId="343A8D32">
            <w:pPr>
              <w:spacing w:line="259" w:lineRule="auto"/>
              <w:rPr>
                <w:rFonts w:ascii="Arial"/>
                <w:sz w:val="21"/>
              </w:rPr>
            </w:pPr>
          </w:p>
          <w:p w14:paraId="2015190F">
            <w:pPr>
              <w:spacing w:line="259" w:lineRule="auto"/>
              <w:rPr>
                <w:rFonts w:ascii="Arial"/>
                <w:sz w:val="21"/>
              </w:rPr>
            </w:pPr>
          </w:p>
          <w:p w14:paraId="644A0BD4">
            <w:pPr>
              <w:spacing w:line="259" w:lineRule="auto"/>
              <w:rPr>
                <w:rFonts w:ascii="Arial"/>
                <w:sz w:val="21"/>
              </w:rPr>
            </w:pPr>
          </w:p>
          <w:p w14:paraId="7C9331F5">
            <w:pPr>
              <w:spacing w:line="259" w:lineRule="auto"/>
              <w:rPr>
                <w:rFonts w:ascii="Arial"/>
                <w:sz w:val="21"/>
              </w:rPr>
            </w:pPr>
          </w:p>
          <w:p w14:paraId="5CBA9AF8">
            <w:pPr>
              <w:spacing w:line="259" w:lineRule="auto"/>
              <w:rPr>
                <w:rFonts w:ascii="Arial"/>
                <w:sz w:val="21"/>
              </w:rPr>
            </w:pPr>
          </w:p>
          <w:p w14:paraId="27025E91">
            <w:pPr>
              <w:pStyle w:val="6"/>
              <w:spacing w:before="65" w:line="231" w:lineRule="auto"/>
              <w:ind w:left="139"/>
              <w:rPr>
                <w:sz w:val="20"/>
                <w:szCs w:val="20"/>
              </w:rPr>
            </w:pPr>
            <w:r>
              <w:rPr>
                <w:spacing w:val="2"/>
                <w:sz w:val="20"/>
                <w:szCs w:val="20"/>
              </w:rPr>
              <w:t>环境</w:t>
            </w:r>
          </w:p>
          <w:p w14:paraId="1BD7A303">
            <w:pPr>
              <w:pStyle w:val="6"/>
              <w:spacing w:before="23" w:line="234" w:lineRule="auto"/>
              <w:ind w:left="144"/>
              <w:rPr>
                <w:sz w:val="20"/>
                <w:szCs w:val="20"/>
              </w:rPr>
            </w:pPr>
            <w:r>
              <w:rPr>
                <w:spacing w:val="-1"/>
                <w:sz w:val="20"/>
                <w:szCs w:val="20"/>
              </w:rPr>
              <w:t>质量</w:t>
            </w:r>
          </w:p>
        </w:tc>
        <w:tc>
          <w:tcPr>
            <w:tcW w:w="664" w:type="dxa"/>
            <w:vMerge w:val="restart"/>
            <w:tcBorders>
              <w:bottom w:val="nil"/>
            </w:tcBorders>
            <w:vAlign w:val="top"/>
          </w:tcPr>
          <w:p w14:paraId="6CAD9915">
            <w:pPr>
              <w:spacing w:line="393" w:lineRule="auto"/>
              <w:rPr>
                <w:rFonts w:ascii="Arial"/>
                <w:sz w:val="21"/>
              </w:rPr>
            </w:pPr>
          </w:p>
          <w:p w14:paraId="26FA8F82">
            <w:pPr>
              <w:pStyle w:val="6"/>
              <w:spacing w:before="65" w:line="231" w:lineRule="auto"/>
              <w:ind w:left="122"/>
              <w:rPr>
                <w:sz w:val="20"/>
                <w:szCs w:val="20"/>
              </w:rPr>
            </w:pPr>
            <w:r>
              <w:rPr>
                <w:spacing w:val="2"/>
                <w:sz w:val="20"/>
                <w:szCs w:val="20"/>
              </w:rPr>
              <w:t>环境</w:t>
            </w:r>
          </w:p>
          <w:p w14:paraId="07203982">
            <w:pPr>
              <w:pStyle w:val="6"/>
              <w:spacing w:before="23" w:line="233" w:lineRule="auto"/>
              <w:ind w:left="134"/>
              <w:rPr>
                <w:sz w:val="20"/>
                <w:szCs w:val="20"/>
              </w:rPr>
            </w:pPr>
            <w:r>
              <w:rPr>
                <w:spacing w:val="-4"/>
                <w:sz w:val="20"/>
                <w:szCs w:val="20"/>
              </w:rPr>
              <w:t>空气</w:t>
            </w:r>
          </w:p>
        </w:tc>
        <w:tc>
          <w:tcPr>
            <w:tcW w:w="2024" w:type="dxa"/>
            <w:vMerge w:val="restart"/>
            <w:tcBorders>
              <w:bottom w:val="nil"/>
            </w:tcBorders>
            <w:vAlign w:val="top"/>
          </w:tcPr>
          <w:p w14:paraId="6FD53799">
            <w:pPr>
              <w:spacing w:line="394" w:lineRule="auto"/>
              <w:rPr>
                <w:rFonts w:ascii="Arial"/>
                <w:sz w:val="21"/>
              </w:rPr>
            </w:pPr>
          </w:p>
          <w:p w14:paraId="1592BDCA">
            <w:pPr>
              <w:pStyle w:val="6"/>
              <w:spacing w:before="65" w:line="252" w:lineRule="auto"/>
              <w:ind w:left="71" w:right="73"/>
              <w:rPr>
                <w:sz w:val="20"/>
                <w:szCs w:val="20"/>
              </w:rPr>
            </w:pPr>
            <w:r>
              <w:rPr>
                <w:spacing w:val="8"/>
                <w:sz w:val="20"/>
                <w:szCs w:val="20"/>
              </w:rPr>
              <w:t>控制污染物排放，确</w:t>
            </w:r>
            <w:r>
              <w:rPr>
                <w:spacing w:val="1"/>
                <w:sz w:val="20"/>
                <w:szCs w:val="20"/>
              </w:rPr>
              <w:t xml:space="preserve"> </w:t>
            </w:r>
            <w:r>
              <w:rPr>
                <w:spacing w:val="8"/>
                <w:sz w:val="20"/>
                <w:szCs w:val="20"/>
              </w:rPr>
              <w:t>保大气环境质量达标</w:t>
            </w:r>
          </w:p>
        </w:tc>
        <w:tc>
          <w:tcPr>
            <w:tcW w:w="2463" w:type="dxa"/>
            <w:vAlign w:val="top"/>
          </w:tcPr>
          <w:p w14:paraId="121C20A4">
            <w:pPr>
              <w:spacing w:line="384" w:lineRule="auto"/>
              <w:rPr>
                <w:rFonts w:ascii="Arial"/>
                <w:sz w:val="21"/>
              </w:rPr>
            </w:pPr>
          </w:p>
          <w:p w14:paraId="067B1E1B">
            <w:pPr>
              <w:pStyle w:val="6"/>
              <w:spacing w:before="65" w:line="231" w:lineRule="auto"/>
              <w:ind w:left="86"/>
              <w:rPr>
                <w:sz w:val="20"/>
                <w:szCs w:val="20"/>
              </w:rPr>
            </w:pPr>
            <w:r>
              <w:rPr>
                <w:spacing w:val="8"/>
                <w:sz w:val="20"/>
                <w:szCs w:val="20"/>
              </w:rPr>
              <w:t>矿区及周边环境空气质量</w:t>
            </w:r>
          </w:p>
        </w:tc>
        <w:tc>
          <w:tcPr>
            <w:tcW w:w="2120" w:type="dxa"/>
            <w:vAlign w:val="top"/>
          </w:tcPr>
          <w:p w14:paraId="21EDD205">
            <w:pPr>
              <w:pStyle w:val="6"/>
              <w:spacing w:before="43" w:line="230" w:lineRule="auto"/>
              <w:ind w:left="70"/>
              <w:rPr>
                <w:rFonts w:ascii="Times New Roman" w:hAnsi="Times New Roman" w:eastAsia="Times New Roman" w:cs="Times New Roman"/>
                <w:sz w:val="20"/>
                <w:szCs w:val="20"/>
              </w:rPr>
            </w:pPr>
            <w:r>
              <w:rPr>
                <w:spacing w:val="5"/>
                <w:sz w:val="20"/>
                <w:szCs w:val="20"/>
              </w:rPr>
              <w:t>一类功能区及其</w:t>
            </w:r>
            <w:r>
              <w:rPr>
                <w:spacing w:val="-31"/>
                <w:sz w:val="20"/>
                <w:szCs w:val="20"/>
              </w:rPr>
              <w:t xml:space="preserve"> </w:t>
            </w:r>
            <w:r>
              <w:rPr>
                <w:rFonts w:ascii="Times New Roman" w:hAnsi="Times New Roman" w:eastAsia="Times New Roman" w:cs="Times New Roman"/>
                <w:spacing w:val="5"/>
                <w:sz w:val="20"/>
                <w:szCs w:val="20"/>
              </w:rPr>
              <w:t>300m</w:t>
            </w:r>
          </w:p>
          <w:p w14:paraId="7BA51014">
            <w:pPr>
              <w:pStyle w:val="6"/>
              <w:spacing w:before="23" w:line="229" w:lineRule="auto"/>
              <w:ind w:left="134"/>
              <w:rPr>
                <w:sz w:val="20"/>
                <w:szCs w:val="20"/>
              </w:rPr>
            </w:pPr>
            <w:r>
              <w:rPr>
                <w:spacing w:val="8"/>
                <w:sz w:val="20"/>
                <w:szCs w:val="20"/>
              </w:rPr>
              <w:t>缓冲带内空气质量满</w:t>
            </w:r>
          </w:p>
          <w:p w14:paraId="073CEDD5">
            <w:pPr>
              <w:pStyle w:val="6"/>
              <w:spacing w:before="23" w:line="230" w:lineRule="auto"/>
              <w:ind w:left="66"/>
              <w:rPr>
                <w:sz w:val="20"/>
                <w:szCs w:val="20"/>
              </w:rPr>
            </w:pPr>
            <w:r>
              <w:rPr>
                <w:sz w:val="20"/>
                <w:szCs w:val="20"/>
              </w:rPr>
              <w:t>足一类区标准；其他区</w:t>
            </w:r>
          </w:p>
          <w:p w14:paraId="26B0B33A">
            <w:pPr>
              <w:pStyle w:val="6"/>
              <w:spacing w:before="24" w:line="204" w:lineRule="auto"/>
              <w:ind w:left="445"/>
              <w:rPr>
                <w:sz w:val="20"/>
                <w:szCs w:val="20"/>
              </w:rPr>
            </w:pPr>
            <w:r>
              <w:rPr>
                <w:spacing w:val="7"/>
                <w:sz w:val="20"/>
                <w:szCs w:val="20"/>
              </w:rPr>
              <w:t>域二类区标准</w:t>
            </w:r>
          </w:p>
        </w:tc>
        <w:tc>
          <w:tcPr>
            <w:tcW w:w="1528" w:type="dxa"/>
            <w:vMerge w:val="restart"/>
            <w:tcBorders>
              <w:bottom w:val="nil"/>
              <w:right w:val="single" w:color="000000" w:sz="10" w:space="0"/>
            </w:tcBorders>
            <w:vAlign w:val="top"/>
          </w:tcPr>
          <w:p w14:paraId="4582E62B">
            <w:pPr>
              <w:spacing w:line="340" w:lineRule="auto"/>
              <w:rPr>
                <w:rFonts w:ascii="Arial"/>
                <w:sz w:val="21"/>
              </w:rPr>
            </w:pPr>
          </w:p>
          <w:p w14:paraId="4C07F73A">
            <w:pPr>
              <w:spacing w:line="340" w:lineRule="auto"/>
              <w:rPr>
                <w:rFonts w:ascii="Arial"/>
                <w:sz w:val="21"/>
              </w:rPr>
            </w:pPr>
          </w:p>
          <w:p w14:paraId="5FA139E0">
            <w:pPr>
              <w:pStyle w:val="6"/>
              <w:spacing w:before="65" w:line="231" w:lineRule="auto"/>
              <w:ind w:left="101"/>
              <w:rPr>
                <w:sz w:val="20"/>
                <w:szCs w:val="20"/>
              </w:rPr>
            </w:pPr>
            <w:r>
              <w:rPr>
                <w:spacing w:val="7"/>
                <w:sz w:val="20"/>
                <w:szCs w:val="20"/>
              </w:rPr>
              <w:t>《重庆市</w:t>
            </w:r>
            <w:r>
              <w:rPr>
                <w:rFonts w:ascii="Times New Roman" w:hAnsi="Times New Roman" w:eastAsia="Times New Roman" w:cs="Times New Roman"/>
                <w:spacing w:val="7"/>
                <w:sz w:val="20"/>
                <w:szCs w:val="20"/>
              </w:rPr>
              <w:t>“</w:t>
            </w:r>
            <w:r>
              <w:rPr>
                <w:spacing w:val="7"/>
                <w:sz w:val="20"/>
                <w:szCs w:val="20"/>
              </w:rPr>
              <w:t>三线</w:t>
            </w:r>
          </w:p>
          <w:p w14:paraId="4D3CB65D">
            <w:pPr>
              <w:pStyle w:val="6"/>
              <w:spacing w:before="23" w:line="251" w:lineRule="auto"/>
              <w:ind w:left="78" w:firstLine="26"/>
              <w:jc w:val="both"/>
              <w:rPr>
                <w:sz w:val="20"/>
                <w:szCs w:val="20"/>
              </w:rPr>
            </w:pPr>
            <w:r>
              <w:rPr>
                <w:sz w:val="20"/>
                <w:szCs w:val="20"/>
              </w:rPr>
              <w:t>一单</w:t>
            </w:r>
            <w:r>
              <w:rPr>
                <w:rFonts w:ascii="Times New Roman" w:hAnsi="Times New Roman" w:eastAsia="Times New Roman" w:cs="Times New Roman"/>
                <w:sz w:val="20"/>
                <w:szCs w:val="20"/>
              </w:rPr>
              <w:t>”</w:t>
            </w:r>
            <w:r>
              <w:rPr>
                <w:sz w:val="20"/>
                <w:szCs w:val="20"/>
              </w:rPr>
              <w:t xml:space="preserve">生态环境  </w:t>
            </w:r>
            <w:r>
              <w:rPr>
                <w:spacing w:val="12"/>
                <w:sz w:val="20"/>
                <w:szCs w:val="20"/>
              </w:rPr>
              <w:t>分区管控调整</w:t>
            </w:r>
            <w:r>
              <w:rPr>
                <w:sz w:val="20"/>
                <w:szCs w:val="20"/>
              </w:rPr>
              <w:t xml:space="preserve">  </w:t>
            </w:r>
            <w:r>
              <w:rPr>
                <w:spacing w:val="-23"/>
                <w:sz w:val="20"/>
                <w:szCs w:val="20"/>
              </w:rPr>
              <w:t>方案（</w:t>
            </w:r>
            <w:r>
              <w:rPr>
                <w:rFonts w:ascii="Times New Roman" w:hAnsi="Times New Roman" w:eastAsia="Times New Roman" w:cs="Times New Roman"/>
                <w:spacing w:val="-23"/>
                <w:sz w:val="20"/>
                <w:szCs w:val="20"/>
              </w:rPr>
              <w:t>2023</w:t>
            </w:r>
            <w:r>
              <w:rPr>
                <w:rFonts w:ascii="Times New Roman" w:hAnsi="Times New Roman" w:eastAsia="Times New Roman" w:cs="Times New Roman"/>
                <w:spacing w:val="13"/>
                <w:w w:val="101"/>
                <w:sz w:val="20"/>
                <w:szCs w:val="20"/>
              </w:rPr>
              <w:t xml:space="preserve"> </w:t>
            </w:r>
            <w:r>
              <w:rPr>
                <w:spacing w:val="-23"/>
                <w:sz w:val="20"/>
                <w:szCs w:val="20"/>
              </w:rPr>
              <w:t>年）》</w:t>
            </w:r>
            <w:r>
              <w:rPr>
                <w:sz w:val="20"/>
                <w:szCs w:val="20"/>
              </w:rPr>
              <w:t xml:space="preserve"> </w:t>
            </w:r>
            <w:r>
              <w:rPr>
                <w:spacing w:val="12"/>
                <w:sz w:val="20"/>
                <w:szCs w:val="20"/>
              </w:rPr>
              <w:t>《水污染防治</w:t>
            </w:r>
          </w:p>
          <w:p w14:paraId="111F526A">
            <w:pPr>
              <w:pStyle w:val="6"/>
              <w:spacing w:line="235" w:lineRule="auto"/>
              <w:ind w:left="576"/>
              <w:rPr>
                <w:sz w:val="20"/>
                <w:szCs w:val="20"/>
              </w:rPr>
            </w:pPr>
            <w:r>
              <w:rPr>
                <w:spacing w:val="-6"/>
                <w:sz w:val="20"/>
                <w:szCs w:val="20"/>
              </w:rPr>
              <w:t>法》</w:t>
            </w:r>
          </w:p>
        </w:tc>
      </w:tr>
      <w:tr w14:paraId="2E6313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706" w:type="dxa"/>
            <w:vMerge w:val="continue"/>
            <w:tcBorders>
              <w:top w:val="nil"/>
              <w:left w:val="single" w:color="000000" w:sz="10" w:space="0"/>
              <w:bottom w:val="nil"/>
            </w:tcBorders>
            <w:vAlign w:val="top"/>
          </w:tcPr>
          <w:p w14:paraId="08B1C88B">
            <w:pPr>
              <w:rPr>
                <w:rFonts w:ascii="Arial"/>
                <w:sz w:val="21"/>
              </w:rPr>
            </w:pPr>
          </w:p>
        </w:tc>
        <w:tc>
          <w:tcPr>
            <w:tcW w:w="664" w:type="dxa"/>
            <w:vMerge w:val="continue"/>
            <w:tcBorders>
              <w:top w:val="nil"/>
            </w:tcBorders>
            <w:vAlign w:val="top"/>
          </w:tcPr>
          <w:p w14:paraId="6621E9B9">
            <w:pPr>
              <w:rPr>
                <w:rFonts w:ascii="Arial"/>
                <w:sz w:val="21"/>
              </w:rPr>
            </w:pPr>
          </w:p>
        </w:tc>
        <w:tc>
          <w:tcPr>
            <w:tcW w:w="2024" w:type="dxa"/>
            <w:vMerge w:val="continue"/>
            <w:tcBorders>
              <w:top w:val="nil"/>
            </w:tcBorders>
            <w:vAlign w:val="top"/>
          </w:tcPr>
          <w:p w14:paraId="22822BC2">
            <w:pPr>
              <w:rPr>
                <w:rFonts w:ascii="Arial"/>
                <w:sz w:val="21"/>
              </w:rPr>
            </w:pPr>
          </w:p>
        </w:tc>
        <w:tc>
          <w:tcPr>
            <w:tcW w:w="2463" w:type="dxa"/>
            <w:vAlign w:val="top"/>
          </w:tcPr>
          <w:p w14:paraId="5BDB3CDE">
            <w:pPr>
              <w:pStyle w:val="6"/>
              <w:spacing w:before="49" w:line="209" w:lineRule="auto"/>
              <w:ind w:left="297"/>
              <w:rPr>
                <w:sz w:val="20"/>
                <w:szCs w:val="20"/>
              </w:rPr>
            </w:pPr>
            <w:r>
              <w:rPr>
                <w:spacing w:val="8"/>
                <w:sz w:val="20"/>
                <w:szCs w:val="20"/>
              </w:rPr>
              <w:t>矿山废气排放达标率</w:t>
            </w:r>
          </w:p>
        </w:tc>
        <w:tc>
          <w:tcPr>
            <w:tcW w:w="2120" w:type="dxa"/>
            <w:vAlign w:val="top"/>
          </w:tcPr>
          <w:p w14:paraId="366FA844">
            <w:pPr>
              <w:spacing w:before="85" w:line="195" w:lineRule="auto"/>
              <w:ind w:left="84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w:t>
            </w:r>
          </w:p>
        </w:tc>
        <w:tc>
          <w:tcPr>
            <w:tcW w:w="1528" w:type="dxa"/>
            <w:vMerge w:val="continue"/>
            <w:tcBorders>
              <w:top w:val="nil"/>
              <w:bottom w:val="nil"/>
              <w:right w:val="single" w:color="000000" w:sz="10" w:space="0"/>
            </w:tcBorders>
            <w:vAlign w:val="top"/>
          </w:tcPr>
          <w:p w14:paraId="15F290FA">
            <w:pPr>
              <w:rPr>
                <w:rFonts w:ascii="Arial"/>
                <w:sz w:val="21"/>
              </w:rPr>
            </w:pPr>
          </w:p>
        </w:tc>
      </w:tr>
      <w:tr w14:paraId="035828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06" w:type="dxa"/>
            <w:vMerge w:val="continue"/>
            <w:tcBorders>
              <w:top w:val="nil"/>
              <w:left w:val="single" w:color="000000" w:sz="10" w:space="0"/>
              <w:bottom w:val="nil"/>
            </w:tcBorders>
            <w:vAlign w:val="top"/>
          </w:tcPr>
          <w:p w14:paraId="16A17E87">
            <w:pPr>
              <w:rPr>
                <w:rFonts w:ascii="Arial"/>
                <w:sz w:val="21"/>
              </w:rPr>
            </w:pPr>
          </w:p>
        </w:tc>
        <w:tc>
          <w:tcPr>
            <w:tcW w:w="664" w:type="dxa"/>
            <w:vMerge w:val="restart"/>
            <w:tcBorders>
              <w:bottom w:val="nil"/>
            </w:tcBorders>
            <w:vAlign w:val="top"/>
          </w:tcPr>
          <w:p w14:paraId="03EC49C5">
            <w:pPr>
              <w:spacing w:line="266" w:lineRule="auto"/>
              <w:rPr>
                <w:rFonts w:ascii="Arial"/>
                <w:sz w:val="21"/>
              </w:rPr>
            </w:pPr>
          </w:p>
          <w:p w14:paraId="5B4D1BC0">
            <w:pPr>
              <w:spacing w:line="266" w:lineRule="auto"/>
              <w:rPr>
                <w:rFonts w:ascii="Arial"/>
                <w:sz w:val="21"/>
              </w:rPr>
            </w:pPr>
          </w:p>
          <w:p w14:paraId="1086AC78">
            <w:pPr>
              <w:pStyle w:val="6"/>
              <w:spacing w:before="65" w:line="251" w:lineRule="auto"/>
              <w:ind w:left="230" w:right="132" w:hanging="108"/>
              <w:rPr>
                <w:sz w:val="20"/>
                <w:szCs w:val="20"/>
              </w:rPr>
            </w:pPr>
            <w:r>
              <w:rPr>
                <w:spacing w:val="2"/>
                <w:sz w:val="20"/>
                <w:szCs w:val="20"/>
              </w:rPr>
              <w:t>水环</w:t>
            </w:r>
            <w:r>
              <w:rPr>
                <w:sz w:val="20"/>
                <w:szCs w:val="20"/>
              </w:rPr>
              <w:t xml:space="preserve"> 境</w:t>
            </w:r>
          </w:p>
        </w:tc>
        <w:tc>
          <w:tcPr>
            <w:tcW w:w="2024" w:type="dxa"/>
            <w:vMerge w:val="restart"/>
            <w:tcBorders>
              <w:bottom w:val="nil"/>
            </w:tcBorders>
            <w:vAlign w:val="top"/>
          </w:tcPr>
          <w:p w14:paraId="637F6407">
            <w:pPr>
              <w:pStyle w:val="6"/>
              <w:spacing w:before="185" w:line="231" w:lineRule="auto"/>
              <w:ind w:left="70"/>
              <w:rPr>
                <w:sz w:val="20"/>
                <w:szCs w:val="20"/>
              </w:rPr>
            </w:pPr>
            <w:r>
              <w:rPr>
                <w:spacing w:val="7"/>
                <w:sz w:val="20"/>
                <w:szCs w:val="20"/>
              </w:rPr>
              <w:t>加强废水综合利用，</w:t>
            </w:r>
          </w:p>
          <w:p w14:paraId="16E88962">
            <w:pPr>
              <w:pStyle w:val="6"/>
              <w:spacing w:before="22" w:line="252" w:lineRule="auto"/>
              <w:ind w:left="385" w:right="120" w:hanging="313"/>
              <w:rPr>
                <w:sz w:val="20"/>
                <w:szCs w:val="20"/>
              </w:rPr>
            </w:pPr>
            <w:r>
              <w:rPr>
                <w:spacing w:val="2"/>
                <w:sz w:val="20"/>
                <w:szCs w:val="20"/>
              </w:rPr>
              <w:t>减少水污染物排放，</w:t>
            </w:r>
            <w:r>
              <w:rPr>
                <w:spacing w:val="6"/>
                <w:sz w:val="20"/>
                <w:szCs w:val="20"/>
              </w:rPr>
              <w:t xml:space="preserve"> </w:t>
            </w:r>
            <w:r>
              <w:rPr>
                <w:spacing w:val="7"/>
                <w:sz w:val="20"/>
                <w:szCs w:val="20"/>
              </w:rPr>
              <w:t>控制水体污染</w:t>
            </w:r>
          </w:p>
        </w:tc>
        <w:tc>
          <w:tcPr>
            <w:tcW w:w="2463" w:type="dxa"/>
            <w:vAlign w:val="top"/>
          </w:tcPr>
          <w:p w14:paraId="3FE41BB5">
            <w:pPr>
              <w:pStyle w:val="6"/>
              <w:spacing w:before="46" w:line="228" w:lineRule="auto"/>
              <w:ind w:left="86"/>
              <w:rPr>
                <w:sz w:val="20"/>
                <w:szCs w:val="20"/>
              </w:rPr>
            </w:pPr>
            <w:r>
              <w:rPr>
                <w:spacing w:val="8"/>
                <w:sz w:val="20"/>
                <w:szCs w:val="20"/>
              </w:rPr>
              <w:t>矿权所在地地表水环境质</w:t>
            </w:r>
          </w:p>
          <w:p w14:paraId="191A3034">
            <w:pPr>
              <w:pStyle w:val="6"/>
              <w:spacing w:before="24" w:line="204" w:lineRule="auto"/>
              <w:ind w:left="1141"/>
              <w:rPr>
                <w:sz w:val="20"/>
                <w:szCs w:val="20"/>
              </w:rPr>
            </w:pPr>
            <w:r>
              <w:rPr>
                <w:sz w:val="20"/>
                <w:szCs w:val="20"/>
              </w:rPr>
              <w:t>量</w:t>
            </w:r>
          </w:p>
        </w:tc>
        <w:tc>
          <w:tcPr>
            <w:tcW w:w="2120" w:type="dxa"/>
            <w:vAlign w:val="top"/>
          </w:tcPr>
          <w:p w14:paraId="41DCA126">
            <w:pPr>
              <w:pStyle w:val="6"/>
              <w:spacing w:before="181" w:line="229" w:lineRule="auto"/>
              <w:ind w:left="242"/>
              <w:rPr>
                <w:sz w:val="20"/>
                <w:szCs w:val="20"/>
              </w:rPr>
            </w:pPr>
            <w:r>
              <w:rPr>
                <w:spacing w:val="7"/>
                <w:sz w:val="20"/>
                <w:szCs w:val="20"/>
              </w:rPr>
              <w:t>符合环境功能要求</w:t>
            </w:r>
          </w:p>
        </w:tc>
        <w:tc>
          <w:tcPr>
            <w:tcW w:w="1528" w:type="dxa"/>
            <w:vMerge w:val="continue"/>
            <w:tcBorders>
              <w:top w:val="nil"/>
              <w:bottom w:val="nil"/>
              <w:right w:val="single" w:color="000000" w:sz="10" w:space="0"/>
            </w:tcBorders>
            <w:vAlign w:val="top"/>
          </w:tcPr>
          <w:p w14:paraId="54C6A49F">
            <w:pPr>
              <w:rPr>
                <w:rFonts w:ascii="Arial"/>
                <w:sz w:val="21"/>
              </w:rPr>
            </w:pPr>
          </w:p>
        </w:tc>
      </w:tr>
      <w:tr w14:paraId="027D72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706" w:type="dxa"/>
            <w:vMerge w:val="continue"/>
            <w:tcBorders>
              <w:top w:val="nil"/>
              <w:left w:val="single" w:color="000000" w:sz="10" w:space="0"/>
              <w:bottom w:val="nil"/>
            </w:tcBorders>
            <w:vAlign w:val="top"/>
          </w:tcPr>
          <w:p w14:paraId="1E053FAA">
            <w:pPr>
              <w:rPr>
                <w:rFonts w:ascii="Arial"/>
                <w:sz w:val="21"/>
              </w:rPr>
            </w:pPr>
          </w:p>
        </w:tc>
        <w:tc>
          <w:tcPr>
            <w:tcW w:w="664" w:type="dxa"/>
            <w:vMerge w:val="continue"/>
            <w:tcBorders>
              <w:top w:val="nil"/>
              <w:bottom w:val="nil"/>
            </w:tcBorders>
            <w:vAlign w:val="top"/>
          </w:tcPr>
          <w:p w14:paraId="56BE99FE">
            <w:pPr>
              <w:rPr>
                <w:rFonts w:ascii="Arial"/>
                <w:sz w:val="21"/>
              </w:rPr>
            </w:pPr>
          </w:p>
        </w:tc>
        <w:tc>
          <w:tcPr>
            <w:tcW w:w="2024" w:type="dxa"/>
            <w:vMerge w:val="continue"/>
            <w:tcBorders>
              <w:top w:val="nil"/>
            </w:tcBorders>
            <w:vAlign w:val="top"/>
          </w:tcPr>
          <w:p w14:paraId="35CD1B08">
            <w:pPr>
              <w:rPr>
                <w:rFonts w:ascii="Arial"/>
                <w:sz w:val="21"/>
              </w:rPr>
            </w:pPr>
          </w:p>
        </w:tc>
        <w:tc>
          <w:tcPr>
            <w:tcW w:w="2463" w:type="dxa"/>
            <w:vAlign w:val="top"/>
          </w:tcPr>
          <w:p w14:paraId="53082AC6">
            <w:pPr>
              <w:pStyle w:val="6"/>
              <w:spacing w:before="47" w:line="231" w:lineRule="auto"/>
              <w:ind w:left="86"/>
              <w:rPr>
                <w:sz w:val="20"/>
                <w:szCs w:val="20"/>
              </w:rPr>
            </w:pPr>
            <w:r>
              <w:rPr>
                <w:spacing w:val="8"/>
                <w:sz w:val="20"/>
                <w:szCs w:val="20"/>
              </w:rPr>
              <w:t>矿山污废水处理率和达标</w:t>
            </w:r>
          </w:p>
          <w:p w14:paraId="32E35257">
            <w:pPr>
              <w:pStyle w:val="6"/>
              <w:spacing w:before="20" w:line="203" w:lineRule="auto"/>
              <w:ind w:left="1144"/>
              <w:rPr>
                <w:sz w:val="20"/>
                <w:szCs w:val="20"/>
              </w:rPr>
            </w:pPr>
            <w:r>
              <w:rPr>
                <w:sz w:val="20"/>
                <w:szCs w:val="20"/>
              </w:rPr>
              <w:t>率</w:t>
            </w:r>
          </w:p>
        </w:tc>
        <w:tc>
          <w:tcPr>
            <w:tcW w:w="2120" w:type="dxa"/>
            <w:vAlign w:val="top"/>
          </w:tcPr>
          <w:p w14:paraId="316F3B9E">
            <w:pPr>
              <w:spacing w:before="219" w:line="195" w:lineRule="auto"/>
              <w:ind w:left="84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w:t>
            </w:r>
          </w:p>
        </w:tc>
        <w:tc>
          <w:tcPr>
            <w:tcW w:w="1528" w:type="dxa"/>
            <w:vMerge w:val="continue"/>
            <w:tcBorders>
              <w:top w:val="nil"/>
              <w:bottom w:val="nil"/>
              <w:right w:val="single" w:color="000000" w:sz="10" w:space="0"/>
            </w:tcBorders>
            <w:vAlign w:val="top"/>
          </w:tcPr>
          <w:p w14:paraId="46FABD79">
            <w:pPr>
              <w:rPr>
                <w:rFonts w:ascii="Arial"/>
                <w:sz w:val="21"/>
              </w:rPr>
            </w:pPr>
          </w:p>
        </w:tc>
      </w:tr>
      <w:tr w14:paraId="5403CE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06" w:type="dxa"/>
            <w:vMerge w:val="continue"/>
            <w:tcBorders>
              <w:top w:val="nil"/>
              <w:left w:val="single" w:color="000000" w:sz="10" w:space="0"/>
              <w:bottom w:val="nil"/>
            </w:tcBorders>
            <w:vAlign w:val="top"/>
          </w:tcPr>
          <w:p w14:paraId="2DD1BDC6">
            <w:pPr>
              <w:rPr>
                <w:rFonts w:ascii="Arial"/>
                <w:sz w:val="21"/>
              </w:rPr>
            </w:pPr>
          </w:p>
        </w:tc>
        <w:tc>
          <w:tcPr>
            <w:tcW w:w="664" w:type="dxa"/>
            <w:vMerge w:val="continue"/>
            <w:tcBorders>
              <w:top w:val="nil"/>
            </w:tcBorders>
            <w:vAlign w:val="top"/>
          </w:tcPr>
          <w:p w14:paraId="70C8EC28">
            <w:pPr>
              <w:rPr>
                <w:rFonts w:ascii="Arial"/>
                <w:sz w:val="21"/>
              </w:rPr>
            </w:pPr>
          </w:p>
        </w:tc>
        <w:tc>
          <w:tcPr>
            <w:tcW w:w="2024" w:type="dxa"/>
            <w:vAlign w:val="top"/>
          </w:tcPr>
          <w:p w14:paraId="15D38CA4">
            <w:pPr>
              <w:pStyle w:val="6"/>
              <w:spacing w:before="49" w:line="226" w:lineRule="auto"/>
              <w:ind w:left="807" w:right="73" w:hanging="736"/>
              <w:rPr>
                <w:sz w:val="20"/>
                <w:szCs w:val="20"/>
              </w:rPr>
            </w:pPr>
            <w:r>
              <w:rPr>
                <w:spacing w:val="8"/>
                <w:sz w:val="20"/>
                <w:szCs w:val="20"/>
              </w:rPr>
              <w:t>保护饮用水水源环境</w:t>
            </w:r>
            <w:r>
              <w:rPr>
                <w:spacing w:val="1"/>
                <w:sz w:val="20"/>
                <w:szCs w:val="20"/>
              </w:rPr>
              <w:t xml:space="preserve"> </w:t>
            </w:r>
            <w:r>
              <w:rPr>
                <w:sz w:val="20"/>
                <w:szCs w:val="20"/>
              </w:rPr>
              <w:t>安全</w:t>
            </w:r>
          </w:p>
        </w:tc>
        <w:tc>
          <w:tcPr>
            <w:tcW w:w="2463" w:type="dxa"/>
            <w:vAlign w:val="top"/>
          </w:tcPr>
          <w:p w14:paraId="57596181">
            <w:pPr>
              <w:pStyle w:val="6"/>
              <w:spacing w:before="185" w:line="229" w:lineRule="auto"/>
              <w:ind w:left="506"/>
              <w:rPr>
                <w:sz w:val="20"/>
                <w:szCs w:val="20"/>
              </w:rPr>
            </w:pPr>
            <w:r>
              <w:rPr>
                <w:spacing w:val="7"/>
                <w:sz w:val="20"/>
                <w:szCs w:val="20"/>
              </w:rPr>
              <w:t>饮用水源保护区</w:t>
            </w:r>
          </w:p>
        </w:tc>
        <w:tc>
          <w:tcPr>
            <w:tcW w:w="2120" w:type="dxa"/>
            <w:vAlign w:val="top"/>
          </w:tcPr>
          <w:p w14:paraId="62A7AD98">
            <w:pPr>
              <w:pStyle w:val="6"/>
              <w:spacing w:before="185" w:line="232" w:lineRule="auto"/>
              <w:ind w:left="768"/>
              <w:rPr>
                <w:sz w:val="20"/>
                <w:szCs w:val="20"/>
              </w:rPr>
            </w:pPr>
            <w:r>
              <w:rPr>
                <w:spacing w:val="3"/>
                <w:sz w:val="20"/>
                <w:szCs w:val="20"/>
              </w:rPr>
              <w:t>不占用</w:t>
            </w:r>
          </w:p>
        </w:tc>
        <w:tc>
          <w:tcPr>
            <w:tcW w:w="1528" w:type="dxa"/>
            <w:vMerge w:val="continue"/>
            <w:tcBorders>
              <w:top w:val="nil"/>
              <w:right w:val="single" w:color="000000" w:sz="10" w:space="0"/>
            </w:tcBorders>
            <w:vAlign w:val="top"/>
          </w:tcPr>
          <w:p w14:paraId="06A31759">
            <w:pPr>
              <w:rPr>
                <w:rFonts w:ascii="Arial"/>
                <w:sz w:val="21"/>
              </w:rPr>
            </w:pPr>
          </w:p>
        </w:tc>
      </w:tr>
      <w:tr w14:paraId="021DE7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06" w:type="dxa"/>
            <w:vMerge w:val="continue"/>
            <w:tcBorders>
              <w:top w:val="nil"/>
              <w:left w:val="single" w:color="000000" w:sz="10" w:space="0"/>
              <w:bottom w:val="nil"/>
            </w:tcBorders>
            <w:vAlign w:val="top"/>
          </w:tcPr>
          <w:p w14:paraId="528D711A">
            <w:pPr>
              <w:rPr>
                <w:rFonts w:ascii="Arial"/>
                <w:sz w:val="21"/>
              </w:rPr>
            </w:pPr>
          </w:p>
        </w:tc>
        <w:tc>
          <w:tcPr>
            <w:tcW w:w="664" w:type="dxa"/>
            <w:vAlign w:val="top"/>
          </w:tcPr>
          <w:p w14:paraId="3D09F059">
            <w:pPr>
              <w:pStyle w:val="6"/>
              <w:spacing w:before="49" w:line="226" w:lineRule="auto"/>
              <w:ind w:left="230" w:right="132" w:hanging="108"/>
              <w:rPr>
                <w:sz w:val="20"/>
                <w:szCs w:val="20"/>
              </w:rPr>
            </w:pPr>
            <w:r>
              <w:rPr>
                <w:spacing w:val="2"/>
                <w:sz w:val="20"/>
                <w:szCs w:val="20"/>
              </w:rPr>
              <w:t>声环</w:t>
            </w:r>
            <w:r>
              <w:rPr>
                <w:sz w:val="20"/>
                <w:szCs w:val="20"/>
              </w:rPr>
              <w:t xml:space="preserve"> 境</w:t>
            </w:r>
          </w:p>
        </w:tc>
        <w:tc>
          <w:tcPr>
            <w:tcW w:w="2024" w:type="dxa"/>
            <w:vAlign w:val="top"/>
          </w:tcPr>
          <w:p w14:paraId="599CC029">
            <w:pPr>
              <w:pStyle w:val="6"/>
              <w:spacing w:before="49" w:line="226" w:lineRule="auto"/>
              <w:ind w:left="600" w:right="73" w:hanging="530"/>
              <w:rPr>
                <w:sz w:val="20"/>
                <w:szCs w:val="20"/>
              </w:rPr>
            </w:pPr>
            <w:r>
              <w:rPr>
                <w:spacing w:val="8"/>
                <w:sz w:val="20"/>
                <w:szCs w:val="20"/>
              </w:rPr>
              <w:t>声环境满足区域环境</w:t>
            </w:r>
            <w:r>
              <w:rPr>
                <w:spacing w:val="2"/>
                <w:sz w:val="20"/>
                <w:szCs w:val="20"/>
              </w:rPr>
              <w:t xml:space="preserve"> </w:t>
            </w:r>
            <w:r>
              <w:rPr>
                <w:spacing w:val="4"/>
                <w:sz w:val="20"/>
                <w:szCs w:val="20"/>
              </w:rPr>
              <w:t>功能区划</w:t>
            </w:r>
          </w:p>
        </w:tc>
        <w:tc>
          <w:tcPr>
            <w:tcW w:w="2463" w:type="dxa"/>
            <w:vAlign w:val="top"/>
          </w:tcPr>
          <w:p w14:paraId="59E12866">
            <w:pPr>
              <w:pStyle w:val="6"/>
              <w:spacing w:before="49" w:line="226" w:lineRule="auto"/>
              <w:ind w:left="928" w:right="181" w:hanging="737"/>
              <w:rPr>
                <w:sz w:val="20"/>
                <w:szCs w:val="20"/>
              </w:rPr>
            </w:pPr>
            <w:r>
              <w:rPr>
                <w:spacing w:val="8"/>
                <w:sz w:val="20"/>
                <w:szCs w:val="20"/>
              </w:rPr>
              <w:t>厂界及周边居民点噪声</w:t>
            </w:r>
            <w:r>
              <w:rPr>
                <w:spacing w:val="3"/>
                <w:sz w:val="20"/>
                <w:szCs w:val="20"/>
              </w:rPr>
              <w:t xml:space="preserve"> </w:t>
            </w:r>
            <w:r>
              <w:rPr>
                <w:spacing w:val="4"/>
                <w:sz w:val="20"/>
                <w:szCs w:val="20"/>
              </w:rPr>
              <w:t>达标率</w:t>
            </w:r>
          </w:p>
        </w:tc>
        <w:tc>
          <w:tcPr>
            <w:tcW w:w="2120" w:type="dxa"/>
            <w:vAlign w:val="top"/>
          </w:tcPr>
          <w:p w14:paraId="3ACE2B71">
            <w:pPr>
              <w:spacing w:before="221" w:line="195" w:lineRule="auto"/>
              <w:ind w:left="84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w:t>
            </w:r>
          </w:p>
        </w:tc>
        <w:tc>
          <w:tcPr>
            <w:tcW w:w="1528" w:type="dxa"/>
            <w:tcBorders>
              <w:right w:val="single" w:color="000000" w:sz="10" w:space="0"/>
            </w:tcBorders>
            <w:vAlign w:val="top"/>
          </w:tcPr>
          <w:p w14:paraId="7061DDF3">
            <w:pPr>
              <w:pStyle w:val="6"/>
              <w:spacing w:before="48" w:line="231" w:lineRule="auto"/>
              <w:ind w:left="159"/>
              <w:rPr>
                <w:sz w:val="20"/>
                <w:szCs w:val="20"/>
              </w:rPr>
            </w:pPr>
            <w:r>
              <w:rPr>
                <w:spacing w:val="5"/>
                <w:sz w:val="20"/>
                <w:szCs w:val="20"/>
              </w:rPr>
              <w:t>噪声污染防治</w:t>
            </w:r>
          </w:p>
          <w:p w14:paraId="0D1EA74C">
            <w:pPr>
              <w:pStyle w:val="6"/>
              <w:spacing w:before="21" w:line="202" w:lineRule="auto"/>
              <w:ind w:left="680"/>
              <w:rPr>
                <w:sz w:val="20"/>
                <w:szCs w:val="20"/>
              </w:rPr>
            </w:pPr>
            <w:r>
              <w:rPr>
                <w:sz w:val="20"/>
                <w:szCs w:val="20"/>
              </w:rPr>
              <w:t>法</w:t>
            </w:r>
          </w:p>
        </w:tc>
      </w:tr>
      <w:tr w14:paraId="22908A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706" w:type="dxa"/>
            <w:vMerge w:val="continue"/>
            <w:tcBorders>
              <w:top w:val="nil"/>
              <w:left w:val="single" w:color="000000" w:sz="10" w:space="0"/>
              <w:bottom w:val="nil"/>
            </w:tcBorders>
            <w:vAlign w:val="top"/>
          </w:tcPr>
          <w:p w14:paraId="376F55DA">
            <w:pPr>
              <w:rPr>
                <w:rFonts w:ascii="Arial"/>
                <w:sz w:val="21"/>
              </w:rPr>
            </w:pPr>
          </w:p>
        </w:tc>
        <w:tc>
          <w:tcPr>
            <w:tcW w:w="664" w:type="dxa"/>
            <w:vMerge w:val="restart"/>
            <w:tcBorders>
              <w:bottom w:val="nil"/>
            </w:tcBorders>
            <w:vAlign w:val="top"/>
          </w:tcPr>
          <w:p w14:paraId="35A4492B">
            <w:pPr>
              <w:spacing w:line="389" w:lineRule="auto"/>
              <w:rPr>
                <w:rFonts w:ascii="Arial"/>
                <w:sz w:val="21"/>
              </w:rPr>
            </w:pPr>
          </w:p>
          <w:p w14:paraId="2ABBCFF5">
            <w:pPr>
              <w:pStyle w:val="6"/>
              <w:spacing w:before="65" w:line="231" w:lineRule="auto"/>
              <w:ind w:left="144"/>
              <w:rPr>
                <w:sz w:val="20"/>
                <w:szCs w:val="20"/>
              </w:rPr>
            </w:pPr>
            <w:r>
              <w:rPr>
                <w:spacing w:val="-10"/>
                <w:sz w:val="20"/>
                <w:szCs w:val="20"/>
              </w:rPr>
              <w:t>固体</w:t>
            </w:r>
          </w:p>
          <w:p w14:paraId="52CA5E9A">
            <w:pPr>
              <w:pStyle w:val="6"/>
              <w:spacing w:before="23" w:line="229" w:lineRule="auto"/>
              <w:ind w:left="125"/>
              <w:rPr>
                <w:sz w:val="20"/>
                <w:szCs w:val="20"/>
              </w:rPr>
            </w:pPr>
            <w:r>
              <w:rPr>
                <w:sz w:val="20"/>
                <w:szCs w:val="20"/>
              </w:rPr>
              <w:t>废物</w:t>
            </w:r>
          </w:p>
        </w:tc>
        <w:tc>
          <w:tcPr>
            <w:tcW w:w="2024" w:type="dxa"/>
            <w:vMerge w:val="restart"/>
            <w:tcBorders>
              <w:bottom w:val="nil"/>
            </w:tcBorders>
            <w:vAlign w:val="top"/>
          </w:tcPr>
          <w:p w14:paraId="3AFBC243">
            <w:pPr>
              <w:spacing w:line="389" w:lineRule="auto"/>
              <w:rPr>
                <w:rFonts w:ascii="Arial"/>
                <w:sz w:val="21"/>
              </w:rPr>
            </w:pPr>
          </w:p>
          <w:p w14:paraId="5E1E9A1D">
            <w:pPr>
              <w:pStyle w:val="6"/>
              <w:spacing w:before="65" w:line="256" w:lineRule="auto"/>
              <w:ind w:left="702" w:right="73" w:hanging="627"/>
              <w:rPr>
                <w:sz w:val="20"/>
                <w:szCs w:val="20"/>
              </w:rPr>
            </w:pPr>
            <w:r>
              <w:rPr>
                <w:spacing w:val="7"/>
                <w:sz w:val="20"/>
                <w:szCs w:val="20"/>
              </w:rPr>
              <w:t>工业固体废物得到合</w:t>
            </w:r>
            <w:r>
              <w:rPr>
                <w:spacing w:val="6"/>
                <w:sz w:val="20"/>
                <w:szCs w:val="20"/>
              </w:rPr>
              <w:t xml:space="preserve"> </w:t>
            </w:r>
            <w:r>
              <w:rPr>
                <w:spacing w:val="4"/>
                <w:sz w:val="20"/>
                <w:szCs w:val="20"/>
              </w:rPr>
              <w:t>理处置</w:t>
            </w:r>
          </w:p>
        </w:tc>
        <w:tc>
          <w:tcPr>
            <w:tcW w:w="2463" w:type="dxa"/>
            <w:vAlign w:val="top"/>
          </w:tcPr>
          <w:p w14:paraId="6C208E48">
            <w:pPr>
              <w:pStyle w:val="6"/>
              <w:spacing w:before="50" w:line="225" w:lineRule="auto"/>
              <w:ind w:left="612" w:right="76" w:hanging="522"/>
              <w:rPr>
                <w:sz w:val="20"/>
                <w:szCs w:val="20"/>
              </w:rPr>
            </w:pPr>
            <w:r>
              <w:rPr>
                <w:spacing w:val="8"/>
                <w:sz w:val="20"/>
                <w:szCs w:val="20"/>
              </w:rPr>
              <w:t>一般固体废物综合利用率</w:t>
            </w:r>
            <w:r>
              <w:rPr>
                <w:spacing w:val="2"/>
                <w:sz w:val="20"/>
                <w:szCs w:val="20"/>
              </w:rPr>
              <w:t xml:space="preserve"> </w:t>
            </w:r>
            <w:r>
              <w:rPr>
                <w:spacing w:val="7"/>
                <w:sz w:val="20"/>
                <w:szCs w:val="20"/>
              </w:rPr>
              <w:t>和安全处置率</w:t>
            </w:r>
          </w:p>
        </w:tc>
        <w:tc>
          <w:tcPr>
            <w:tcW w:w="2120" w:type="dxa"/>
            <w:vAlign w:val="top"/>
          </w:tcPr>
          <w:p w14:paraId="74078FFE">
            <w:pPr>
              <w:spacing w:before="222" w:line="195" w:lineRule="auto"/>
              <w:ind w:left="84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w:t>
            </w:r>
          </w:p>
        </w:tc>
        <w:tc>
          <w:tcPr>
            <w:tcW w:w="1528" w:type="dxa"/>
            <w:vMerge w:val="restart"/>
            <w:tcBorders>
              <w:bottom w:val="nil"/>
              <w:right w:val="single" w:color="000000" w:sz="10" w:space="0"/>
            </w:tcBorders>
            <w:vAlign w:val="top"/>
          </w:tcPr>
          <w:p w14:paraId="41A0024A">
            <w:pPr>
              <w:pStyle w:val="6"/>
              <w:spacing w:before="48" w:line="232" w:lineRule="auto"/>
              <w:ind w:left="149"/>
              <w:rPr>
                <w:sz w:val="20"/>
                <w:szCs w:val="20"/>
              </w:rPr>
            </w:pPr>
            <w:r>
              <w:rPr>
                <w:spacing w:val="7"/>
                <w:sz w:val="20"/>
                <w:szCs w:val="20"/>
              </w:rPr>
              <w:t>《关于加快建</w:t>
            </w:r>
          </w:p>
          <w:p w14:paraId="259E854A">
            <w:pPr>
              <w:pStyle w:val="6"/>
              <w:spacing w:before="23" w:line="251" w:lineRule="auto"/>
              <w:ind w:left="75" w:right="23" w:firstLine="73"/>
              <w:jc w:val="both"/>
              <w:rPr>
                <w:sz w:val="20"/>
                <w:szCs w:val="20"/>
              </w:rPr>
            </w:pPr>
            <w:r>
              <w:rPr>
                <w:spacing w:val="7"/>
                <w:sz w:val="20"/>
                <w:szCs w:val="20"/>
              </w:rPr>
              <w:t>设绿色矿山的</w:t>
            </w:r>
            <w:r>
              <w:rPr>
                <w:sz w:val="20"/>
                <w:szCs w:val="20"/>
              </w:rPr>
              <w:t xml:space="preserve">  </w:t>
            </w:r>
            <w:r>
              <w:rPr>
                <w:spacing w:val="-1"/>
                <w:sz w:val="20"/>
                <w:szCs w:val="20"/>
              </w:rPr>
              <w:t>实施意见》（国</w:t>
            </w:r>
            <w:r>
              <w:rPr>
                <w:spacing w:val="1"/>
                <w:sz w:val="20"/>
                <w:szCs w:val="20"/>
              </w:rPr>
              <w:t xml:space="preserve"> 土资规〔</w:t>
            </w:r>
            <w:r>
              <w:rPr>
                <w:rFonts w:ascii="Times New Roman" w:hAnsi="Times New Roman" w:eastAsia="Times New Roman" w:cs="Times New Roman"/>
                <w:spacing w:val="1"/>
                <w:sz w:val="20"/>
                <w:szCs w:val="20"/>
              </w:rPr>
              <w:t>2017</w:t>
            </w:r>
            <w:r>
              <w:rPr>
                <w:spacing w:val="1"/>
                <w:sz w:val="20"/>
                <w:szCs w:val="20"/>
              </w:rPr>
              <w:t>〕</w:t>
            </w:r>
          </w:p>
          <w:p w14:paraId="2EB4BDE5">
            <w:pPr>
              <w:pStyle w:val="6"/>
              <w:spacing w:line="198" w:lineRule="auto"/>
              <w:ind w:left="374"/>
              <w:rPr>
                <w:sz w:val="20"/>
                <w:szCs w:val="20"/>
              </w:rPr>
            </w:pPr>
            <w:r>
              <w:rPr>
                <w:rFonts w:ascii="Times New Roman" w:hAnsi="Times New Roman" w:eastAsia="Times New Roman" w:cs="Times New Roman"/>
                <w:spacing w:val="-3"/>
                <w:sz w:val="20"/>
                <w:szCs w:val="20"/>
              </w:rPr>
              <w:t>4</w:t>
            </w:r>
            <w:r>
              <w:rPr>
                <w:rFonts w:ascii="Times New Roman" w:hAnsi="Times New Roman" w:eastAsia="Times New Roman" w:cs="Times New Roman"/>
                <w:spacing w:val="22"/>
                <w:w w:val="101"/>
                <w:sz w:val="20"/>
                <w:szCs w:val="20"/>
              </w:rPr>
              <w:t xml:space="preserve"> </w:t>
            </w:r>
            <w:r>
              <w:rPr>
                <w:spacing w:val="-3"/>
                <w:sz w:val="20"/>
                <w:szCs w:val="20"/>
              </w:rPr>
              <w:t>号）</w:t>
            </w:r>
            <w:r>
              <w:rPr>
                <w:spacing w:val="-68"/>
                <w:sz w:val="20"/>
                <w:szCs w:val="20"/>
              </w:rPr>
              <w:t xml:space="preserve"> </w:t>
            </w:r>
            <w:r>
              <w:rPr>
                <w:spacing w:val="-3"/>
                <w:sz w:val="20"/>
                <w:szCs w:val="20"/>
              </w:rPr>
              <w:t>等</w:t>
            </w:r>
          </w:p>
        </w:tc>
      </w:tr>
      <w:tr w14:paraId="3FB91F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706" w:type="dxa"/>
            <w:vMerge w:val="continue"/>
            <w:tcBorders>
              <w:top w:val="nil"/>
              <w:left w:val="single" w:color="000000" w:sz="10" w:space="0"/>
              <w:bottom w:val="nil"/>
            </w:tcBorders>
            <w:vAlign w:val="top"/>
          </w:tcPr>
          <w:p w14:paraId="12AA8B17">
            <w:pPr>
              <w:rPr>
                <w:rFonts w:ascii="Arial"/>
                <w:sz w:val="21"/>
              </w:rPr>
            </w:pPr>
          </w:p>
        </w:tc>
        <w:tc>
          <w:tcPr>
            <w:tcW w:w="664" w:type="dxa"/>
            <w:vMerge w:val="continue"/>
            <w:tcBorders>
              <w:top w:val="nil"/>
            </w:tcBorders>
            <w:vAlign w:val="top"/>
          </w:tcPr>
          <w:p w14:paraId="12BCD38A">
            <w:pPr>
              <w:rPr>
                <w:rFonts w:ascii="Arial"/>
                <w:sz w:val="21"/>
              </w:rPr>
            </w:pPr>
          </w:p>
        </w:tc>
        <w:tc>
          <w:tcPr>
            <w:tcW w:w="2024" w:type="dxa"/>
            <w:vMerge w:val="continue"/>
            <w:tcBorders>
              <w:top w:val="nil"/>
            </w:tcBorders>
            <w:vAlign w:val="top"/>
          </w:tcPr>
          <w:p w14:paraId="28F962F7">
            <w:pPr>
              <w:rPr>
                <w:rFonts w:ascii="Arial"/>
                <w:sz w:val="21"/>
              </w:rPr>
            </w:pPr>
          </w:p>
        </w:tc>
        <w:tc>
          <w:tcPr>
            <w:tcW w:w="2463" w:type="dxa"/>
            <w:vAlign w:val="top"/>
          </w:tcPr>
          <w:p w14:paraId="7FFB797C">
            <w:pPr>
              <w:spacing w:line="253" w:lineRule="auto"/>
              <w:rPr>
                <w:rFonts w:ascii="Arial"/>
                <w:sz w:val="21"/>
              </w:rPr>
            </w:pPr>
          </w:p>
          <w:p w14:paraId="305859A4">
            <w:pPr>
              <w:pStyle w:val="6"/>
              <w:spacing w:before="65" w:line="229" w:lineRule="auto"/>
              <w:ind w:left="91"/>
              <w:rPr>
                <w:sz w:val="20"/>
                <w:szCs w:val="20"/>
              </w:rPr>
            </w:pPr>
            <w:r>
              <w:rPr>
                <w:spacing w:val="8"/>
                <w:sz w:val="20"/>
                <w:szCs w:val="20"/>
              </w:rPr>
              <w:t>危险废物安全处理处置率</w:t>
            </w:r>
          </w:p>
        </w:tc>
        <w:tc>
          <w:tcPr>
            <w:tcW w:w="2120" w:type="dxa"/>
            <w:vAlign w:val="top"/>
          </w:tcPr>
          <w:p w14:paraId="5F7058CB">
            <w:pPr>
              <w:spacing w:line="296" w:lineRule="auto"/>
              <w:rPr>
                <w:rFonts w:ascii="Arial"/>
                <w:sz w:val="21"/>
              </w:rPr>
            </w:pPr>
          </w:p>
          <w:p w14:paraId="6D90DF28">
            <w:pPr>
              <w:spacing w:before="57" w:line="195" w:lineRule="auto"/>
              <w:ind w:left="84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w:t>
            </w:r>
          </w:p>
        </w:tc>
        <w:tc>
          <w:tcPr>
            <w:tcW w:w="1528" w:type="dxa"/>
            <w:vMerge w:val="continue"/>
            <w:tcBorders>
              <w:top w:val="nil"/>
              <w:right w:val="single" w:color="000000" w:sz="10" w:space="0"/>
            </w:tcBorders>
            <w:vAlign w:val="top"/>
          </w:tcPr>
          <w:p w14:paraId="5F5DCC68">
            <w:pPr>
              <w:rPr>
                <w:rFonts w:ascii="Arial"/>
                <w:sz w:val="21"/>
              </w:rPr>
            </w:pPr>
          </w:p>
        </w:tc>
      </w:tr>
      <w:tr w14:paraId="20DC54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706" w:type="dxa"/>
            <w:vMerge w:val="continue"/>
            <w:tcBorders>
              <w:top w:val="nil"/>
              <w:left w:val="single" w:color="000000" w:sz="10" w:space="0"/>
            </w:tcBorders>
            <w:vAlign w:val="top"/>
          </w:tcPr>
          <w:p w14:paraId="77C01F10">
            <w:pPr>
              <w:rPr>
                <w:rFonts w:ascii="Arial"/>
                <w:sz w:val="21"/>
              </w:rPr>
            </w:pPr>
          </w:p>
        </w:tc>
        <w:tc>
          <w:tcPr>
            <w:tcW w:w="664" w:type="dxa"/>
            <w:vAlign w:val="top"/>
          </w:tcPr>
          <w:p w14:paraId="36586A00">
            <w:pPr>
              <w:pStyle w:val="6"/>
              <w:spacing w:before="190" w:line="232" w:lineRule="auto"/>
              <w:ind w:left="125"/>
              <w:rPr>
                <w:sz w:val="20"/>
                <w:szCs w:val="20"/>
              </w:rPr>
            </w:pPr>
            <w:r>
              <w:rPr>
                <w:sz w:val="20"/>
                <w:szCs w:val="20"/>
              </w:rPr>
              <w:t>土壤</w:t>
            </w:r>
          </w:p>
          <w:p w14:paraId="0828A398">
            <w:pPr>
              <w:pStyle w:val="6"/>
              <w:spacing w:before="19" w:line="231" w:lineRule="auto"/>
              <w:ind w:left="122"/>
              <w:rPr>
                <w:sz w:val="20"/>
                <w:szCs w:val="20"/>
              </w:rPr>
            </w:pPr>
            <w:r>
              <w:rPr>
                <w:spacing w:val="2"/>
                <w:sz w:val="20"/>
                <w:szCs w:val="20"/>
              </w:rPr>
              <w:t>环境</w:t>
            </w:r>
          </w:p>
        </w:tc>
        <w:tc>
          <w:tcPr>
            <w:tcW w:w="2024" w:type="dxa"/>
            <w:vAlign w:val="top"/>
          </w:tcPr>
          <w:p w14:paraId="7C17D116">
            <w:pPr>
              <w:pStyle w:val="6"/>
              <w:spacing w:before="53" w:line="229" w:lineRule="auto"/>
              <w:ind w:left="177"/>
              <w:rPr>
                <w:sz w:val="20"/>
                <w:szCs w:val="20"/>
              </w:rPr>
            </w:pPr>
            <w:r>
              <w:rPr>
                <w:spacing w:val="7"/>
                <w:sz w:val="20"/>
                <w:szCs w:val="20"/>
              </w:rPr>
              <w:t>保护农用地土壤环</w:t>
            </w:r>
          </w:p>
          <w:p w14:paraId="52FD1EAE">
            <w:pPr>
              <w:pStyle w:val="6"/>
              <w:spacing w:before="22" w:line="232" w:lineRule="auto"/>
              <w:ind w:left="73"/>
              <w:rPr>
                <w:sz w:val="20"/>
                <w:szCs w:val="20"/>
              </w:rPr>
            </w:pPr>
            <w:r>
              <w:rPr>
                <w:spacing w:val="8"/>
                <w:sz w:val="20"/>
                <w:szCs w:val="20"/>
              </w:rPr>
              <w:t>境，管控农用地土壤</w:t>
            </w:r>
          </w:p>
          <w:p w14:paraId="6D347D03">
            <w:pPr>
              <w:pStyle w:val="6"/>
              <w:spacing w:before="22" w:line="196" w:lineRule="auto"/>
              <w:ind w:left="596"/>
              <w:rPr>
                <w:sz w:val="20"/>
                <w:szCs w:val="20"/>
              </w:rPr>
            </w:pPr>
            <w:r>
              <w:rPr>
                <w:spacing w:val="5"/>
                <w:sz w:val="20"/>
                <w:szCs w:val="20"/>
              </w:rPr>
              <w:t>环境风险</w:t>
            </w:r>
          </w:p>
        </w:tc>
        <w:tc>
          <w:tcPr>
            <w:tcW w:w="2463" w:type="dxa"/>
            <w:vAlign w:val="top"/>
          </w:tcPr>
          <w:p w14:paraId="1151483C">
            <w:pPr>
              <w:pStyle w:val="6"/>
              <w:spacing w:before="189" w:line="231" w:lineRule="auto"/>
              <w:ind w:left="86"/>
              <w:rPr>
                <w:sz w:val="20"/>
                <w:szCs w:val="20"/>
              </w:rPr>
            </w:pPr>
            <w:r>
              <w:rPr>
                <w:spacing w:val="8"/>
                <w:sz w:val="20"/>
                <w:szCs w:val="20"/>
              </w:rPr>
              <w:t>矿区及周边农用地土壤环</w:t>
            </w:r>
          </w:p>
          <w:p w14:paraId="322FE118">
            <w:pPr>
              <w:pStyle w:val="6"/>
              <w:spacing w:before="20" w:line="232" w:lineRule="auto"/>
              <w:ind w:left="929"/>
              <w:rPr>
                <w:sz w:val="20"/>
                <w:szCs w:val="20"/>
              </w:rPr>
            </w:pPr>
            <w:r>
              <w:rPr>
                <w:spacing w:val="4"/>
                <w:sz w:val="20"/>
                <w:szCs w:val="20"/>
              </w:rPr>
              <w:t>境质量</w:t>
            </w:r>
          </w:p>
        </w:tc>
        <w:tc>
          <w:tcPr>
            <w:tcW w:w="2120" w:type="dxa"/>
            <w:vAlign w:val="top"/>
          </w:tcPr>
          <w:p w14:paraId="38485C38">
            <w:pPr>
              <w:pStyle w:val="6"/>
              <w:spacing w:before="189" w:line="251" w:lineRule="auto"/>
              <w:ind w:left="669" w:right="43" w:hanging="597"/>
              <w:rPr>
                <w:sz w:val="20"/>
                <w:szCs w:val="20"/>
              </w:rPr>
            </w:pPr>
            <w:r>
              <w:rPr>
                <w:spacing w:val="-1"/>
                <w:sz w:val="20"/>
                <w:szCs w:val="20"/>
              </w:rPr>
              <w:t>不低于现状，保障土壤</w:t>
            </w:r>
            <w:r>
              <w:rPr>
                <w:spacing w:val="8"/>
                <w:sz w:val="20"/>
                <w:szCs w:val="20"/>
              </w:rPr>
              <w:t xml:space="preserve"> </w:t>
            </w:r>
            <w:r>
              <w:rPr>
                <w:spacing w:val="2"/>
                <w:sz w:val="20"/>
                <w:szCs w:val="20"/>
              </w:rPr>
              <w:t>生态环境</w:t>
            </w:r>
          </w:p>
        </w:tc>
        <w:tc>
          <w:tcPr>
            <w:tcW w:w="1528" w:type="dxa"/>
            <w:tcBorders>
              <w:right w:val="single" w:color="000000" w:sz="10" w:space="0"/>
            </w:tcBorders>
            <w:vAlign w:val="top"/>
          </w:tcPr>
          <w:p w14:paraId="055830E0">
            <w:pPr>
              <w:pStyle w:val="6"/>
              <w:spacing w:before="53" w:line="232" w:lineRule="auto"/>
              <w:ind w:left="149"/>
              <w:rPr>
                <w:sz w:val="20"/>
                <w:szCs w:val="20"/>
              </w:rPr>
            </w:pPr>
            <w:r>
              <w:rPr>
                <w:spacing w:val="7"/>
                <w:sz w:val="20"/>
                <w:szCs w:val="20"/>
              </w:rPr>
              <w:t>《工矿用地土</w:t>
            </w:r>
          </w:p>
          <w:p w14:paraId="1B899AB3">
            <w:pPr>
              <w:pStyle w:val="6"/>
              <w:spacing w:before="19" w:line="231" w:lineRule="auto"/>
              <w:ind w:left="149"/>
              <w:rPr>
                <w:sz w:val="20"/>
                <w:szCs w:val="20"/>
              </w:rPr>
            </w:pPr>
            <w:r>
              <w:rPr>
                <w:spacing w:val="7"/>
                <w:sz w:val="20"/>
                <w:szCs w:val="20"/>
              </w:rPr>
              <w:t>壤环境管理办</w:t>
            </w:r>
          </w:p>
          <w:p w14:paraId="764F565C">
            <w:pPr>
              <w:pStyle w:val="6"/>
              <w:spacing w:before="23" w:line="196" w:lineRule="auto"/>
              <w:ind w:left="156"/>
              <w:rPr>
                <w:sz w:val="20"/>
                <w:szCs w:val="20"/>
              </w:rPr>
            </w:pPr>
            <w:r>
              <w:rPr>
                <w:spacing w:val="7"/>
                <w:sz w:val="20"/>
                <w:szCs w:val="20"/>
              </w:rPr>
              <w:t>法（试行）》</w:t>
            </w:r>
          </w:p>
        </w:tc>
      </w:tr>
      <w:tr w14:paraId="7E34FA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06" w:type="dxa"/>
            <w:vMerge w:val="restart"/>
            <w:tcBorders>
              <w:left w:val="single" w:color="000000" w:sz="10" w:space="0"/>
              <w:bottom w:val="nil"/>
            </w:tcBorders>
            <w:vAlign w:val="top"/>
          </w:tcPr>
          <w:p w14:paraId="05A130BC">
            <w:pPr>
              <w:pStyle w:val="6"/>
              <w:spacing w:before="58" w:line="232" w:lineRule="auto"/>
              <w:ind w:left="150"/>
              <w:rPr>
                <w:sz w:val="20"/>
                <w:szCs w:val="20"/>
              </w:rPr>
            </w:pPr>
            <w:r>
              <w:rPr>
                <w:spacing w:val="-4"/>
                <w:sz w:val="20"/>
                <w:szCs w:val="20"/>
              </w:rPr>
              <w:t>资源</w:t>
            </w:r>
          </w:p>
          <w:p w14:paraId="13AE7C4A">
            <w:pPr>
              <w:pStyle w:val="6"/>
              <w:spacing w:before="22" w:line="219" w:lineRule="auto"/>
              <w:ind w:left="138"/>
              <w:rPr>
                <w:sz w:val="20"/>
                <w:szCs w:val="20"/>
              </w:rPr>
            </w:pPr>
            <w:r>
              <w:rPr>
                <w:spacing w:val="2"/>
                <w:sz w:val="20"/>
                <w:szCs w:val="20"/>
              </w:rPr>
              <w:t>利用</w:t>
            </w:r>
          </w:p>
        </w:tc>
        <w:tc>
          <w:tcPr>
            <w:tcW w:w="664" w:type="dxa"/>
            <w:vMerge w:val="restart"/>
            <w:tcBorders>
              <w:bottom w:val="nil"/>
            </w:tcBorders>
            <w:vAlign w:val="top"/>
          </w:tcPr>
          <w:p w14:paraId="6E5F0FD8">
            <w:pPr>
              <w:pStyle w:val="6"/>
              <w:spacing w:before="58" w:line="232" w:lineRule="auto"/>
              <w:ind w:left="122"/>
              <w:rPr>
                <w:sz w:val="20"/>
                <w:szCs w:val="20"/>
              </w:rPr>
            </w:pPr>
            <w:r>
              <w:rPr>
                <w:spacing w:val="2"/>
                <w:sz w:val="20"/>
                <w:szCs w:val="20"/>
              </w:rPr>
              <w:t>矿产</w:t>
            </w:r>
          </w:p>
          <w:p w14:paraId="1AA62261">
            <w:pPr>
              <w:pStyle w:val="6"/>
              <w:spacing w:before="22" w:line="219" w:lineRule="auto"/>
              <w:ind w:left="133"/>
              <w:rPr>
                <w:sz w:val="20"/>
                <w:szCs w:val="20"/>
              </w:rPr>
            </w:pPr>
            <w:r>
              <w:rPr>
                <w:spacing w:val="-4"/>
                <w:sz w:val="20"/>
                <w:szCs w:val="20"/>
              </w:rPr>
              <w:t>资源</w:t>
            </w:r>
          </w:p>
        </w:tc>
        <w:tc>
          <w:tcPr>
            <w:tcW w:w="2024" w:type="dxa"/>
            <w:vMerge w:val="restart"/>
            <w:tcBorders>
              <w:bottom w:val="nil"/>
            </w:tcBorders>
            <w:vAlign w:val="top"/>
          </w:tcPr>
          <w:p w14:paraId="6AF737A4">
            <w:pPr>
              <w:pStyle w:val="6"/>
              <w:spacing w:before="58" w:line="236" w:lineRule="auto"/>
              <w:ind w:left="72" w:right="73" w:firstLine="8"/>
              <w:rPr>
                <w:sz w:val="20"/>
                <w:szCs w:val="20"/>
              </w:rPr>
            </w:pPr>
            <w:r>
              <w:rPr>
                <w:spacing w:val="7"/>
                <w:sz w:val="20"/>
                <w:szCs w:val="20"/>
              </w:rPr>
              <w:t>资源有保障、布局合</w:t>
            </w:r>
            <w:r>
              <w:rPr>
                <w:sz w:val="20"/>
                <w:szCs w:val="20"/>
              </w:rPr>
              <w:t xml:space="preserve"> </w:t>
            </w:r>
            <w:r>
              <w:rPr>
                <w:spacing w:val="8"/>
                <w:sz w:val="20"/>
                <w:szCs w:val="20"/>
              </w:rPr>
              <w:t>理、结构优化、规模</w:t>
            </w:r>
          </w:p>
        </w:tc>
        <w:tc>
          <w:tcPr>
            <w:tcW w:w="2463" w:type="dxa"/>
            <w:vAlign w:val="top"/>
          </w:tcPr>
          <w:p w14:paraId="1761AFD0">
            <w:pPr>
              <w:pStyle w:val="6"/>
              <w:spacing w:before="55" w:line="195" w:lineRule="auto"/>
              <w:ind w:left="509"/>
              <w:rPr>
                <w:sz w:val="20"/>
                <w:szCs w:val="20"/>
              </w:rPr>
            </w:pPr>
            <w:r>
              <w:rPr>
                <w:spacing w:val="7"/>
                <w:sz w:val="20"/>
                <w:szCs w:val="20"/>
              </w:rPr>
              <w:t>大中型矿山比例</w:t>
            </w:r>
          </w:p>
        </w:tc>
        <w:tc>
          <w:tcPr>
            <w:tcW w:w="2120" w:type="dxa"/>
            <w:vAlign w:val="top"/>
          </w:tcPr>
          <w:p w14:paraId="5F0645DF">
            <w:pPr>
              <w:spacing w:before="92" w:line="182" w:lineRule="auto"/>
              <w:ind w:left="81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≥60%</w:t>
            </w:r>
          </w:p>
        </w:tc>
        <w:tc>
          <w:tcPr>
            <w:tcW w:w="1528" w:type="dxa"/>
            <w:vMerge w:val="restart"/>
            <w:tcBorders>
              <w:bottom w:val="nil"/>
              <w:right w:val="single" w:color="000000" w:sz="10" w:space="0"/>
            </w:tcBorders>
            <w:vAlign w:val="top"/>
          </w:tcPr>
          <w:p w14:paraId="6AA57B59">
            <w:pPr>
              <w:pStyle w:val="6"/>
              <w:spacing w:before="58" w:line="231" w:lineRule="auto"/>
              <w:ind w:left="149"/>
              <w:rPr>
                <w:sz w:val="20"/>
                <w:szCs w:val="20"/>
              </w:rPr>
            </w:pPr>
            <w:r>
              <w:rPr>
                <w:spacing w:val="7"/>
                <w:sz w:val="20"/>
                <w:szCs w:val="20"/>
              </w:rPr>
              <w:t>《重庆市矿产</w:t>
            </w:r>
          </w:p>
          <w:p w14:paraId="284AEE66">
            <w:pPr>
              <w:pStyle w:val="6"/>
              <w:spacing w:before="24" w:line="219" w:lineRule="auto"/>
              <w:ind w:left="160"/>
              <w:rPr>
                <w:sz w:val="20"/>
                <w:szCs w:val="20"/>
              </w:rPr>
            </w:pPr>
            <w:r>
              <w:rPr>
                <w:spacing w:val="5"/>
                <w:sz w:val="20"/>
                <w:szCs w:val="20"/>
              </w:rPr>
              <w:t>资源总体规划</w:t>
            </w:r>
          </w:p>
        </w:tc>
      </w:tr>
      <w:tr w14:paraId="1848E1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706" w:type="dxa"/>
            <w:vMerge w:val="continue"/>
            <w:tcBorders>
              <w:top w:val="nil"/>
              <w:left w:val="single" w:color="000000" w:sz="10" w:space="0"/>
              <w:bottom w:val="single" w:color="000000" w:sz="10" w:space="0"/>
            </w:tcBorders>
            <w:vAlign w:val="top"/>
          </w:tcPr>
          <w:p w14:paraId="06BE0B4B">
            <w:pPr>
              <w:rPr>
                <w:rFonts w:ascii="Arial"/>
                <w:sz w:val="21"/>
              </w:rPr>
            </w:pPr>
          </w:p>
        </w:tc>
        <w:tc>
          <w:tcPr>
            <w:tcW w:w="664" w:type="dxa"/>
            <w:vMerge w:val="continue"/>
            <w:tcBorders>
              <w:top w:val="nil"/>
              <w:bottom w:val="single" w:color="000000" w:sz="10" w:space="0"/>
            </w:tcBorders>
            <w:vAlign w:val="top"/>
          </w:tcPr>
          <w:p w14:paraId="7D9A7511">
            <w:pPr>
              <w:rPr>
                <w:rFonts w:ascii="Arial"/>
                <w:sz w:val="21"/>
              </w:rPr>
            </w:pPr>
          </w:p>
        </w:tc>
        <w:tc>
          <w:tcPr>
            <w:tcW w:w="2024" w:type="dxa"/>
            <w:vMerge w:val="continue"/>
            <w:tcBorders>
              <w:top w:val="nil"/>
              <w:bottom w:val="single" w:color="000000" w:sz="10" w:space="0"/>
            </w:tcBorders>
            <w:vAlign w:val="top"/>
          </w:tcPr>
          <w:p w14:paraId="108E1013">
            <w:pPr>
              <w:rPr>
                <w:rFonts w:ascii="Arial"/>
                <w:sz w:val="21"/>
              </w:rPr>
            </w:pPr>
          </w:p>
        </w:tc>
        <w:tc>
          <w:tcPr>
            <w:tcW w:w="2463" w:type="dxa"/>
            <w:tcBorders>
              <w:bottom w:val="single" w:color="000000" w:sz="10" w:space="0"/>
            </w:tcBorders>
            <w:vAlign w:val="top"/>
          </w:tcPr>
          <w:p w14:paraId="45ABAF42">
            <w:pPr>
              <w:pStyle w:val="6"/>
              <w:spacing w:before="55" w:line="215" w:lineRule="auto"/>
              <w:ind w:left="821"/>
              <w:rPr>
                <w:sz w:val="20"/>
                <w:szCs w:val="20"/>
              </w:rPr>
            </w:pPr>
            <w:r>
              <w:rPr>
                <w:spacing w:val="5"/>
                <w:sz w:val="20"/>
                <w:szCs w:val="20"/>
              </w:rPr>
              <w:t>矿山数量</w:t>
            </w:r>
          </w:p>
        </w:tc>
        <w:tc>
          <w:tcPr>
            <w:tcW w:w="2120" w:type="dxa"/>
            <w:tcBorders>
              <w:bottom w:val="single" w:color="000000" w:sz="10" w:space="0"/>
            </w:tcBorders>
            <w:vAlign w:val="top"/>
          </w:tcPr>
          <w:p w14:paraId="6E091EC8">
            <w:pPr>
              <w:pStyle w:val="6"/>
              <w:spacing w:before="55" w:line="215" w:lineRule="auto"/>
              <w:ind w:left="770"/>
              <w:rPr>
                <w:sz w:val="20"/>
                <w:szCs w:val="20"/>
              </w:rPr>
            </w:pPr>
            <w:r>
              <w:rPr>
                <w:rFonts w:ascii="Times New Roman" w:hAnsi="Times New Roman" w:eastAsia="Times New Roman" w:cs="Times New Roman"/>
                <w:spacing w:val="3"/>
                <w:sz w:val="20"/>
                <w:szCs w:val="20"/>
              </w:rPr>
              <w:t>≤28</w:t>
            </w:r>
            <w:r>
              <w:rPr>
                <w:rFonts w:ascii="Times New Roman" w:hAnsi="Times New Roman" w:eastAsia="Times New Roman" w:cs="Times New Roman"/>
                <w:spacing w:val="16"/>
                <w:sz w:val="20"/>
                <w:szCs w:val="20"/>
              </w:rPr>
              <w:t xml:space="preserve"> </w:t>
            </w:r>
            <w:r>
              <w:rPr>
                <w:spacing w:val="3"/>
                <w:sz w:val="20"/>
                <w:szCs w:val="20"/>
              </w:rPr>
              <w:t>个</w:t>
            </w:r>
          </w:p>
        </w:tc>
        <w:tc>
          <w:tcPr>
            <w:tcW w:w="1528" w:type="dxa"/>
            <w:vMerge w:val="continue"/>
            <w:tcBorders>
              <w:top w:val="nil"/>
              <w:bottom w:val="single" w:color="000000" w:sz="10" w:space="0"/>
              <w:right w:val="single" w:color="000000" w:sz="10" w:space="0"/>
            </w:tcBorders>
            <w:vAlign w:val="top"/>
          </w:tcPr>
          <w:p w14:paraId="6AA1C72C">
            <w:pPr>
              <w:rPr>
                <w:rFonts w:ascii="Arial"/>
                <w:sz w:val="21"/>
              </w:rPr>
            </w:pPr>
          </w:p>
        </w:tc>
      </w:tr>
    </w:tbl>
    <w:p w14:paraId="1BA91D4B">
      <w:pPr>
        <w:pStyle w:val="2"/>
        <w:spacing w:line="151" w:lineRule="exact"/>
        <w:rPr>
          <w:sz w:val="13"/>
        </w:rPr>
      </w:pPr>
    </w:p>
    <w:p w14:paraId="6071205C">
      <w:pPr>
        <w:spacing w:line="151" w:lineRule="exact"/>
        <w:rPr>
          <w:sz w:val="13"/>
          <w:szCs w:val="13"/>
        </w:rPr>
        <w:sectPr>
          <w:headerReference r:id="rId169" w:type="default"/>
          <w:footerReference r:id="rId170" w:type="default"/>
          <w:pgSz w:w="11906" w:h="16839"/>
          <w:pgMar w:top="1116" w:right="1131" w:bottom="1480" w:left="1243" w:header="683" w:footer="1318" w:gutter="0"/>
          <w:cols w:space="720" w:num="1"/>
        </w:sectPr>
      </w:pPr>
    </w:p>
    <w:p w14:paraId="015A8777">
      <w:pPr>
        <w:spacing w:before="82"/>
      </w:pPr>
    </w:p>
    <w:tbl>
      <w:tblPr>
        <w:tblStyle w:val="5"/>
        <w:tblW w:w="950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6"/>
        <w:gridCol w:w="664"/>
        <w:gridCol w:w="2024"/>
        <w:gridCol w:w="2463"/>
        <w:gridCol w:w="2120"/>
        <w:gridCol w:w="1528"/>
      </w:tblGrid>
      <w:tr w14:paraId="06DBB0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706" w:type="dxa"/>
            <w:tcBorders>
              <w:top w:val="single" w:color="000000" w:sz="10" w:space="0"/>
              <w:left w:val="single" w:color="000000" w:sz="10" w:space="0"/>
            </w:tcBorders>
            <w:vAlign w:val="top"/>
          </w:tcPr>
          <w:p w14:paraId="517C36CA">
            <w:pPr>
              <w:pStyle w:val="6"/>
              <w:spacing w:before="36" w:line="216" w:lineRule="auto"/>
              <w:ind w:left="145"/>
              <w:rPr>
                <w:sz w:val="20"/>
                <w:szCs w:val="20"/>
              </w:rPr>
            </w:pPr>
            <w:r>
              <w:rPr>
                <w:spacing w:val="-1"/>
                <w:sz w:val="20"/>
                <w:szCs w:val="20"/>
              </w:rPr>
              <w:t>主题</w:t>
            </w:r>
          </w:p>
        </w:tc>
        <w:tc>
          <w:tcPr>
            <w:tcW w:w="2688" w:type="dxa"/>
            <w:gridSpan w:val="2"/>
            <w:tcBorders>
              <w:top w:val="single" w:color="000000" w:sz="10" w:space="0"/>
            </w:tcBorders>
            <w:vAlign w:val="top"/>
          </w:tcPr>
          <w:p w14:paraId="6FC13E45">
            <w:pPr>
              <w:pStyle w:val="6"/>
              <w:spacing w:before="36" w:line="216" w:lineRule="auto"/>
              <w:ind w:left="506"/>
              <w:rPr>
                <w:sz w:val="20"/>
                <w:szCs w:val="20"/>
              </w:rPr>
            </w:pPr>
            <w:r>
              <w:rPr>
                <w:spacing w:val="-4"/>
                <w:sz w:val="20"/>
                <w:szCs w:val="20"/>
              </w:rPr>
              <w:t>环境要素（</w:t>
            </w:r>
            <w:r>
              <w:rPr>
                <w:spacing w:val="-14"/>
                <w:sz w:val="20"/>
                <w:szCs w:val="20"/>
              </w:rPr>
              <w:t xml:space="preserve"> </w:t>
            </w:r>
            <w:r>
              <w:rPr>
                <w:spacing w:val="-4"/>
                <w:sz w:val="20"/>
                <w:szCs w:val="20"/>
              </w:rPr>
              <w:t>目标）</w:t>
            </w:r>
          </w:p>
        </w:tc>
        <w:tc>
          <w:tcPr>
            <w:tcW w:w="2463" w:type="dxa"/>
            <w:tcBorders>
              <w:top w:val="single" w:color="000000" w:sz="10" w:space="0"/>
            </w:tcBorders>
            <w:vAlign w:val="top"/>
          </w:tcPr>
          <w:p w14:paraId="3D94257A">
            <w:pPr>
              <w:pStyle w:val="6"/>
              <w:spacing w:before="36" w:line="216" w:lineRule="auto"/>
              <w:ind w:left="822"/>
              <w:rPr>
                <w:sz w:val="20"/>
                <w:szCs w:val="20"/>
              </w:rPr>
            </w:pPr>
            <w:r>
              <w:rPr>
                <w:spacing w:val="5"/>
                <w:sz w:val="20"/>
                <w:szCs w:val="20"/>
              </w:rPr>
              <w:t>评价指标</w:t>
            </w:r>
          </w:p>
        </w:tc>
        <w:tc>
          <w:tcPr>
            <w:tcW w:w="2120" w:type="dxa"/>
            <w:tcBorders>
              <w:top w:val="single" w:color="000000" w:sz="10" w:space="0"/>
            </w:tcBorders>
            <w:vAlign w:val="top"/>
          </w:tcPr>
          <w:p w14:paraId="7869ECC7">
            <w:pPr>
              <w:pStyle w:val="6"/>
              <w:spacing w:before="36" w:line="216" w:lineRule="auto"/>
              <w:ind w:left="247"/>
              <w:rPr>
                <w:sz w:val="20"/>
                <w:szCs w:val="20"/>
              </w:rPr>
            </w:pPr>
            <w:r>
              <w:rPr>
                <w:spacing w:val="-1"/>
                <w:sz w:val="20"/>
                <w:szCs w:val="20"/>
              </w:rPr>
              <w:t>目标值（</w:t>
            </w:r>
            <w:r>
              <w:rPr>
                <w:rFonts w:ascii="Times New Roman" w:hAnsi="Times New Roman" w:eastAsia="Times New Roman" w:cs="Times New Roman"/>
                <w:spacing w:val="-1"/>
                <w:sz w:val="20"/>
                <w:szCs w:val="20"/>
              </w:rPr>
              <w:t>2025</w:t>
            </w:r>
            <w:r>
              <w:rPr>
                <w:rFonts w:ascii="Times New Roman" w:hAnsi="Times New Roman" w:eastAsia="Times New Roman" w:cs="Times New Roman"/>
                <w:spacing w:val="27"/>
                <w:w w:val="101"/>
                <w:sz w:val="20"/>
                <w:szCs w:val="20"/>
              </w:rPr>
              <w:t xml:space="preserve"> </w:t>
            </w:r>
            <w:r>
              <w:rPr>
                <w:spacing w:val="-1"/>
                <w:sz w:val="20"/>
                <w:szCs w:val="20"/>
              </w:rPr>
              <w:t>年）</w:t>
            </w:r>
          </w:p>
        </w:tc>
        <w:tc>
          <w:tcPr>
            <w:tcW w:w="1528" w:type="dxa"/>
            <w:tcBorders>
              <w:top w:val="single" w:color="000000" w:sz="10" w:space="0"/>
              <w:right w:val="single" w:color="000000" w:sz="10" w:space="0"/>
            </w:tcBorders>
            <w:vAlign w:val="top"/>
          </w:tcPr>
          <w:p w14:paraId="7C272D69">
            <w:pPr>
              <w:pStyle w:val="6"/>
              <w:spacing w:before="36" w:line="216" w:lineRule="auto"/>
              <w:ind w:left="254"/>
              <w:rPr>
                <w:sz w:val="20"/>
                <w:szCs w:val="20"/>
              </w:rPr>
            </w:pPr>
            <w:r>
              <w:rPr>
                <w:spacing w:val="6"/>
                <w:sz w:val="20"/>
                <w:szCs w:val="20"/>
              </w:rPr>
              <w:t>依据或来源</w:t>
            </w:r>
          </w:p>
        </w:tc>
      </w:tr>
      <w:tr w14:paraId="15B1AE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706" w:type="dxa"/>
            <w:vMerge w:val="restart"/>
            <w:tcBorders>
              <w:left w:val="single" w:color="000000" w:sz="10" w:space="0"/>
              <w:bottom w:val="nil"/>
            </w:tcBorders>
            <w:vAlign w:val="top"/>
          </w:tcPr>
          <w:p w14:paraId="2B47F846">
            <w:pPr>
              <w:rPr>
                <w:rFonts w:ascii="Arial"/>
                <w:sz w:val="21"/>
              </w:rPr>
            </w:pPr>
          </w:p>
        </w:tc>
        <w:tc>
          <w:tcPr>
            <w:tcW w:w="664" w:type="dxa"/>
            <w:vMerge w:val="restart"/>
            <w:tcBorders>
              <w:bottom w:val="nil"/>
            </w:tcBorders>
            <w:vAlign w:val="top"/>
          </w:tcPr>
          <w:p w14:paraId="3F968B5E">
            <w:pPr>
              <w:rPr>
                <w:rFonts w:ascii="Arial"/>
                <w:sz w:val="21"/>
              </w:rPr>
            </w:pPr>
          </w:p>
        </w:tc>
        <w:tc>
          <w:tcPr>
            <w:tcW w:w="2024" w:type="dxa"/>
            <w:vMerge w:val="restart"/>
            <w:tcBorders>
              <w:bottom w:val="nil"/>
            </w:tcBorders>
            <w:vAlign w:val="top"/>
          </w:tcPr>
          <w:p w14:paraId="6F0CED25">
            <w:pPr>
              <w:pStyle w:val="6"/>
              <w:spacing w:before="30" w:line="232" w:lineRule="auto"/>
              <w:ind w:left="805"/>
              <w:rPr>
                <w:sz w:val="20"/>
                <w:szCs w:val="20"/>
              </w:rPr>
            </w:pPr>
            <w:r>
              <w:rPr>
                <w:spacing w:val="2"/>
                <w:sz w:val="20"/>
                <w:szCs w:val="20"/>
              </w:rPr>
              <w:t>调控</w:t>
            </w:r>
          </w:p>
        </w:tc>
        <w:tc>
          <w:tcPr>
            <w:tcW w:w="2463" w:type="dxa"/>
            <w:vAlign w:val="top"/>
          </w:tcPr>
          <w:p w14:paraId="70E6D892">
            <w:pPr>
              <w:pStyle w:val="6"/>
              <w:spacing w:before="167" w:line="231" w:lineRule="auto"/>
              <w:ind w:left="401"/>
              <w:rPr>
                <w:sz w:val="20"/>
                <w:szCs w:val="20"/>
              </w:rPr>
            </w:pPr>
            <w:r>
              <w:rPr>
                <w:spacing w:val="7"/>
                <w:sz w:val="20"/>
                <w:szCs w:val="20"/>
              </w:rPr>
              <w:t>矿山最低开采规模</w:t>
            </w:r>
          </w:p>
        </w:tc>
        <w:tc>
          <w:tcPr>
            <w:tcW w:w="2120" w:type="dxa"/>
            <w:vAlign w:val="top"/>
          </w:tcPr>
          <w:p w14:paraId="029A6067">
            <w:pPr>
              <w:pStyle w:val="6"/>
              <w:spacing w:before="31" w:line="234" w:lineRule="auto"/>
              <w:ind w:left="869" w:right="108" w:hanging="733"/>
              <w:rPr>
                <w:sz w:val="20"/>
                <w:szCs w:val="20"/>
              </w:rPr>
            </w:pPr>
            <w:r>
              <w:rPr>
                <w:spacing w:val="7"/>
                <w:sz w:val="20"/>
                <w:szCs w:val="20"/>
              </w:rPr>
              <w:t>符合国家及地方规划</w:t>
            </w:r>
            <w:r>
              <w:rPr>
                <w:spacing w:val="6"/>
                <w:sz w:val="20"/>
                <w:szCs w:val="20"/>
              </w:rPr>
              <w:t xml:space="preserve"> </w:t>
            </w:r>
            <w:r>
              <w:rPr>
                <w:spacing w:val="-1"/>
                <w:sz w:val="20"/>
                <w:szCs w:val="20"/>
              </w:rPr>
              <w:t>要求</w:t>
            </w:r>
          </w:p>
        </w:tc>
        <w:tc>
          <w:tcPr>
            <w:tcW w:w="1528" w:type="dxa"/>
            <w:vMerge w:val="restart"/>
            <w:tcBorders>
              <w:bottom w:val="nil"/>
              <w:right w:val="single" w:color="000000" w:sz="10" w:space="0"/>
            </w:tcBorders>
            <w:vAlign w:val="top"/>
          </w:tcPr>
          <w:p w14:paraId="020C4D05">
            <w:pPr>
              <w:pStyle w:val="6"/>
              <w:spacing w:before="31" w:line="265" w:lineRule="exact"/>
              <w:ind w:left="224"/>
              <w:rPr>
                <w:rFonts w:ascii="Times New Roman" w:hAnsi="Times New Roman" w:eastAsia="Times New Roman" w:cs="Times New Roman"/>
                <w:sz w:val="20"/>
                <w:szCs w:val="20"/>
              </w:rPr>
            </w:pPr>
            <w:r>
              <w:rPr>
                <w:spacing w:val="3"/>
                <w:position w:val="1"/>
                <w:sz w:val="20"/>
                <w:szCs w:val="20"/>
              </w:rPr>
              <w:t>（</w:t>
            </w:r>
            <w:r>
              <w:rPr>
                <w:rFonts w:ascii="Times New Roman" w:hAnsi="Times New Roman" w:eastAsia="Times New Roman" w:cs="Times New Roman"/>
                <w:spacing w:val="3"/>
                <w:position w:val="1"/>
                <w:sz w:val="20"/>
                <w:szCs w:val="20"/>
              </w:rPr>
              <w:t>2021-2025</w:t>
            </w:r>
          </w:p>
          <w:p w14:paraId="6ABFE0C4">
            <w:pPr>
              <w:pStyle w:val="6"/>
              <w:spacing w:before="7" w:line="231" w:lineRule="auto"/>
              <w:ind w:left="77"/>
              <w:rPr>
                <w:sz w:val="20"/>
                <w:szCs w:val="20"/>
              </w:rPr>
            </w:pPr>
            <w:r>
              <w:rPr>
                <w:spacing w:val="-1"/>
                <w:sz w:val="20"/>
                <w:szCs w:val="20"/>
              </w:rPr>
              <w:t>年）》《重庆市</w:t>
            </w:r>
          </w:p>
          <w:p w14:paraId="492FAFFC">
            <w:pPr>
              <w:pStyle w:val="6"/>
              <w:spacing w:before="21" w:line="232" w:lineRule="auto"/>
              <w:ind w:left="154"/>
              <w:rPr>
                <w:sz w:val="20"/>
                <w:szCs w:val="20"/>
              </w:rPr>
            </w:pPr>
            <w:r>
              <w:rPr>
                <w:spacing w:val="6"/>
                <w:sz w:val="20"/>
                <w:szCs w:val="20"/>
              </w:rPr>
              <w:t>黔江区矿产资</w:t>
            </w:r>
          </w:p>
          <w:p w14:paraId="1B827C0A">
            <w:pPr>
              <w:pStyle w:val="6"/>
              <w:spacing w:before="21" w:line="231" w:lineRule="auto"/>
              <w:ind w:left="257"/>
              <w:rPr>
                <w:sz w:val="20"/>
                <w:szCs w:val="20"/>
              </w:rPr>
            </w:pPr>
            <w:r>
              <w:rPr>
                <w:spacing w:val="6"/>
                <w:sz w:val="20"/>
                <w:szCs w:val="20"/>
              </w:rPr>
              <w:t>源规总体划</w:t>
            </w:r>
          </w:p>
          <w:p w14:paraId="6B93458F">
            <w:pPr>
              <w:pStyle w:val="6"/>
              <w:spacing w:before="22" w:line="265" w:lineRule="exact"/>
              <w:ind w:left="224"/>
              <w:rPr>
                <w:rFonts w:ascii="Times New Roman" w:hAnsi="Times New Roman" w:eastAsia="Times New Roman" w:cs="Times New Roman"/>
                <w:sz w:val="20"/>
                <w:szCs w:val="20"/>
              </w:rPr>
            </w:pPr>
            <w:r>
              <w:rPr>
                <w:spacing w:val="3"/>
                <w:position w:val="1"/>
                <w:sz w:val="20"/>
                <w:szCs w:val="20"/>
              </w:rPr>
              <w:t>（</w:t>
            </w:r>
            <w:r>
              <w:rPr>
                <w:rFonts w:ascii="Times New Roman" w:hAnsi="Times New Roman" w:eastAsia="Times New Roman" w:cs="Times New Roman"/>
                <w:spacing w:val="3"/>
                <w:position w:val="1"/>
                <w:sz w:val="20"/>
                <w:szCs w:val="20"/>
              </w:rPr>
              <w:t>2021-2025</w:t>
            </w:r>
          </w:p>
          <w:p w14:paraId="1BBF7554">
            <w:pPr>
              <w:pStyle w:val="6"/>
              <w:spacing w:before="8" w:line="231" w:lineRule="auto"/>
              <w:ind w:left="77"/>
              <w:rPr>
                <w:sz w:val="20"/>
                <w:szCs w:val="20"/>
              </w:rPr>
            </w:pPr>
            <w:r>
              <w:rPr>
                <w:spacing w:val="-1"/>
                <w:sz w:val="20"/>
                <w:szCs w:val="20"/>
              </w:rPr>
              <w:t>年）》《重庆市</w:t>
            </w:r>
          </w:p>
          <w:p w14:paraId="03E5438F">
            <w:pPr>
              <w:pStyle w:val="6"/>
              <w:spacing w:before="21" w:line="232" w:lineRule="auto"/>
              <w:ind w:left="153"/>
              <w:rPr>
                <w:sz w:val="20"/>
                <w:szCs w:val="20"/>
              </w:rPr>
            </w:pPr>
            <w:r>
              <w:rPr>
                <w:spacing w:val="6"/>
                <w:sz w:val="20"/>
                <w:szCs w:val="20"/>
              </w:rPr>
              <w:t>绿色矿山管理</w:t>
            </w:r>
          </w:p>
          <w:p w14:paraId="54AB67CB">
            <w:pPr>
              <w:pStyle w:val="6"/>
              <w:spacing w:before="22" w:line="232" w:lineRule="auto"/>
              <w:ind w:left="80"/>
              <w:rPr>
                <w:sz w:val="20"/>
                <w:szCs w:val="20"/>
              </w:rPr>
            </w:pPr>
            <w:r>
              <w:rPr>
                <w:spacing w:val="-2"/>
                <w:sz w:val="20"/>
                <w:szCs w:val="20"/>
              </w:rPr>
              <w:t>办法》《粉石英</w:t>
            </w:r>
          </w:p>
          <w:p w14:paraId="12750EAA">
            <w:pPr>
              <w:pStyle w:val="6"/>
              <w:spacing w:before="21" w:line="232" w:lineRule="auto"/>
              <w:ind w:left="157"/>
              <w:rPr>
                <w:sz w:val="20"/>
                <w:szCs w:val="20"/>
              </w:rPr>
            </w:pPr>
            <w:r>
              <w:rPr>
                <w:spacing w:val="6"/>
                <w:sz w:val="20"/>
                <w:szCs w:val="20"/>
              </w:rPr>
              <w:t>等矿产资源合</w:t>
            </w:r>
          </w:p>
          <w:p w14:paraId="31D415E3">
            <w:pPr>
              <w:pStyle w:val="6"/>
              <w:spacing w:before="21" w:line="231" w:lineRule="auto"/>
              <w:ind w:left="103"/>
              <w:rPr>
                <w:sz w:val="20"/>
                <w:szCs w:val="20"/>
              </w:rPr>
            </w:pPr>
            <w:r>
              <w:rPr>
                <w:spacing w:val="6"/>
                <w:sz w:val="20"/>
                <w:szCs w:val="20"/>
              </w:rPr>
              <w:t>理开发利用</w:t>
            </w:r>
            <w:r>
              <w:rPr>
                <w:rFonts w:ascii="Times New Roman" w:hAnsi="Times New Roman" w:eastAsia="Times New Roman" w:cs="Times New Roman"/>
                <w:spacing w:val="6"/>
                <w:sz w:val="20"/>
                <w:szCs w:val="20"/>
              </w:rPr>
              <w:t>“</w:t>
            </w:r>
            <w:r>
              <w:rPr>
                <w:spacing w:val="6"/>
                <w:sz w:val="20"/>
                <w:szCs w:val="20"/>
              </w:rPr>
              <w:t>三</w:t>
            </w:r>
          </w:p>
          <w:p w14:paraId="08072273">
            <w:pPr>
              <w:pStyle w:val="6"/>
              <w:spacing w:before="21" w:line="231" w:lineRule="auto"/>
              <w:ind w:left="108"/>
              <w:rPr>
                <w:sz w:val="20"/>
                <w:szCs w:val="20"/>
              </w:rPr>
            </w:pPr>
            <w:r>
              <w:rPr>
                <w:spacing w:val="6"/>
                <w:sz w:val="20"/>
                <w:szCs w:val="20"/>
              </w:rPr>
              <w:t>率</w:t>
            </w:r>
            <w:r>
              <w:rPr>
                <w:rFonts w:ascii="Times New Roman" w:hAnsi="Times New Roman" w:eastAsia="Times New Roman" w:cs="Times New Roman"/>
                <w:spacing w:val="6"/>
                <w:sz w:val="20"/>
                <w:szCs w:val="20"/>
              </w:rPr>
              <w:t>”</w:t>
            </w:r>
            <w:r>
              <w:rPr>
                <w:spacing w:val="6"/>
                <w:sz w:val="20"/>
                <w:szCs w:val="20"/>
              </w:rPr>
              <w:t>最低指标要</w:t>
            </w:r>
          </w:p>
          <w:p w14:paraId="51BB1DBE">
            <w:pPr>
              <w:pStyle w:val="6"/>
              <w:spacing w:before="22" w:line="207" w:lineRule="auto"/>
              <w:ind w:left="79"/>
              <w:rPr>
                <w:sz w:val="20"/>
                <w:szCs w:val="20"/>
              </w:rPr>
            </w:pPr>
            <w:r>
              <w:rPr>
                <w:sz w:val="20"/>
                <w:szCs w:val="20"/>
              </w:rPr>
              <w:t>求（试行）》等</w:t>
            </w:r>
          </w:p>
        </w:tc>
      </w:tr>
      <w:tr w14:paraId="38D2DF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706" w:type="dxa"/>
            <w:vMerge w:val="continue"/>
            <w:tcBorders>
              <w:top w:val="nil"/>
              <w:left w:val="single" w:color="000000" w:sz="10" w:space="0"/>
              <w:bottom w:val="nil"/>
            </w:tcBorders>
            <w:vAlign w:val="top"/>
          </w:tcPr>
          <w:p w14:paraId="6B9B4107">
            <w:pPr>
              <w:rPr>
                <w:rFonts w:ascii="Arial"/>
                <w:sz w:val="21"/>
              </w:rPr>
            </w:pPr>
          </w:p>
        </w:tc>
        <w:tc>
          <w:tcPr>
            <w:tcW w:w="664" w:type="dxa"/>
            <w:vMerge w:val="continue"/>
            <w:tcBorders>
              <w:top w:val="nil"/>
              <w:bottom w:val="nil"/>
            </w:tcBorders>
            <w:vAlign w:val="top"/>
          </w:tcPr>
          <w:p w14:paraId="4731C3BE">
            <w:pPr>
              <w:rPr>
                <w:rFonts w:ascii="Arial"/>
                <w:sz w:val="21"/>
              </w:rPr>
            </w:pPr>
          </w:p>
        </w:tc>
        <w:tc>
          <w:tcPr>
            <w:tcW w:w="2024" w:type="dxa"/>
            <w:vMerge w:val="continue"/>
            <w:tcBorders>
              <w:top w:val="nil"/>
              <w:bottom w:val="nil"/>
            </w:tcBorders>
            <w:vAlign w:val="top"/>
          </w:tcPr>
          <w:p w14:paraId="75D4BCBE">
            <w:pPr>
              <w:rPr>
                <w:rFonts w:ascii="Arial"/>
                <w:sz w:val="21"/>
              </w:rPr>
            </w:pPr>
          </w:p>
        </w:tc>
        <w:tc>
          <w:tcPr>
            <w:tcW w:w="2463" w:type="dxa"/>
            <w:vAlign w:val="top"/>
          </w:tcPr>
          <w:p w14:paraId="19CC1668">
            <w:pPr>
              <w:pStyle w:val="6"/>
              <w:spacing w:before="168" w:line="232" w:lineRule="auto"/>
              <w:ind w:left="615"/>
              <w:rPr>
                <w:sz w:val="20"/>
                <w:szCs w:val="20"/>
              </w:rPr>
            </w:pPr>
            <w:r>
              <w:rPr>
                <w:spacing w:val="6"/>
                <w:sz w:val="20"/>
                <w:szCs w:val="20"/>
              </w:rPr>
              <w:t>绿色矿山建设</w:t>
            </w:r>
          </w:p>
        </w:tc>
        <w:tc>
          <w:tcPr>
            <w:tcW w:w="2120" w:type="dxa"/>
            <w:vAlign w:val="top"/>
          </w:tcPr>
          <w:p w14:paraId="3C2C663F">
            <w:pPr>
              <w:pStyle w:val="6"/>
              <w:spacing w:before="34" w:line="231" w:lineRule="auto"/>
              <w:ind w:left="132"/>
              <w:rPr>
                <w:sz w:val="20"/>
                <w:szCs w:val="20"/>
              </w:rPr>
            </w:pPr>
            <w:r>
              <w:rPr>
                <w:spacing w:val="8"/>
                <w:sz w:val="20"/>
                <w:szCs w:val="20"/>
              </w:rPr>
              <w:t>满足绿色矿山建设和</w:t>
            </w:r>
          </w:p>
          <w:p w14:paraId="420A8835">
            <w:pPr>
              <w:pStyle w:val="6"/>
              <w:spacing w:before="21" w:line="214" w:lineRule="auto"/>
              <w:ind w:left="668"/>
              <w:rPr>
                <w:sz w:val="20"/>
                <w:szCs w:val="20"/>
              </w:rPr>
            </w:pPr>
            <w:r>
              <w:rPr>
                <w:spacing w:val="3"/>
                <w:sz w:val="20"/>
                <w:szCs w:val="20"/>
              </w:rPr>
              <w:t>管理要求</w:t>
            </w:r>
          </w:p>
        </w:tc>
        <w:tc>
          <w:tcPr>
            <w:tcW w:w="1528" w:type="dxa"/>
            <w:vMerge w:val="continue"/>
            <w:tcBorders>
              <w:top w:val="nil"/>
              <w:bottom w:val="nil"/>
              <w:right w:val="single" w:color="000000" w:sz="10" w:space="0"/>
            </w:tcBorders>
            <w:vAlign w:val="top"/>
          </w:tcPr>
          <w:p w14:paraId="02055AE5">
            <w:pPr>
              <w:rPr>
                <w:rFonts w:ascii="Arial"/>
                <w:sz w:val="21"/>
              </w:rPr>
            </w:pPr>
          </w:p>
        </w:tc>
      </w:tr>
      <w:tr w14:paraId="39DB44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5" w:hRule="atLeast"/>
        </w:trPr>
        <w:tc>
          <w:tcPr>
            <w:tcW w:w="706" w:type="dxa"/>
            <w:vMerge w:val="continue"/>
            <w:tcBorders>
              <w:top w:val="nil"/>
              <w:left w:val="single" w:color="000000" w:sz="10" w:space="0"/>
              <w:bottom w:val="nil"/>
            </w:tcBorders>
            <w:vAlign w:val="top"/>
          </w:tcPr>
          <w:p w14:paraId="038AEE7B">
            <w:pPr>
              <w:rPr>
                <w:rFonts w:ascii="Arial"/>
                <w:sz w:val="21"/>
              </w:rPr>
            </w:pPr>
          </w:p>
        </w:tc>
        <w:tc>
          <w:tcPr>
            <w:tcW w:w="664" w:type="dxa"/>
            <w:vMerge w:val="continue"/>
            <w:tcBorders>
              <w:top w:val="nil"/>
            </w:tcBorders>
            <w:vAlign w:val="top"/>
          </w:tcPr>
          <w:p w14:paraId="1AA38FCC">
            <w:pPr>
              <w:rPr>
                <w:rFonts w:ascii="Arial"/>
                <w:sz w:val="21"/>
              </w:rPr>
            </w:pPr>
          </w:p>
        </w:tc>
        <w:tc>
          <w:tcPr>
            <w:tcW w:w="2024" w:type="dxa"/>
            <w:vMerge w:val="continue"/>
            <w:tcBorders>
              <w:top w:val="nil"/>
            </w:tcBorders>
            <w:vAlign w:val="top"/>
          </w:tcPr>
          <w:p w14:paraId="54EB19BC">
            <w:pPr>
              <w:rPr>
                <w:rFonts w:ascii="Arial"/>
                <w:sz w:val="21"/>
              </w:rPr>
            </w:pPr>
          </w:p>
        </w:tc>
        <w:tc>
          <w:tcPr>
            <w:tcW w:w="2463" w:type="dxa"/>
            <w:vAlign w:val="top"/>
          </w:tcPr>
          <w:p w14:paraId="282B9258">
            <w:pPr>
              <w:spacing w:line="302" w:lineRule="auto"/>
              <w:rPr>
                <w:rFonts w:ascii="Arial"/>
                <w:sz w:val="21"/>
              </w:rPr>
            </w:pPr>
          </w:p>
          <w:p w14:paraId="223B62E0">
            <w:pPr>
              <w:spacing w:line="302" w:lineRule="auto"/>
              <w:rPr>
                <w:rFonts w:ascii="Arial"/>
                <w:sz w:val="21"/>
              </w:rPr>
            </w:pPr>
          </w:p>
          <w:p w14:paraId="2449595F">
            <w:pPr>
              <w:spacing w:line="302" w:lineRule="auto"/>
              <w:rPr>
                <w:rFonts w:ascii="Arial"/>
                <w:sz w:val="21"/>
              </w:rPr>
            </w:pPr>
          </w:p>
          <w:p w14:paraId="1531DDEE">
            <w:pPr>
              <w:pStyle w:val="6"/>
              <w:spacing w:before="65" w:line="231" w:lineRule="auto"/>
              <w:ind w:left="361"/>
              <w:rPr>
                <w:sz w:val="20"/>
                <w:szCs w:val="20"/>
              </w:rPr>
            </w:pPr>
            <w:r>
              <w:rPr>
                <w:rFonts w:ascii="Times New Roman" w:hAnsi="Times New Roman" w:eastAsia="Times New Roman" w:cs="Times New Roman"/>
                <w:spacing w:val="10"/>
                <w:sz w:val="20"/>
                <w:szCs w:val="20"/>
              </w:rPr>
              <w:t>“</w:t>
            </w:r>
            <w:r>
              <w:rPr>
                <w:rFonts w:ascii="Times New Roman" w:hAnsi="Times New Roman" w:eastAsia="Times New Roman" w:cs="Times New Roman"/>
                <w:spacing w:val="-25"/>
                <w:sz w:val="20"/>
                <w:szCs w:val="20"/>
              </w:rPr>
              <w:t xml:space="preserve"> </w:t>
            </w:r>
            <w:r>
              <w:rPr>
                <w:spacing w:val="10"/>
                <w:sz w:val="20"/>
                <w:szCs w:val="20"/>
              </w:rPr>
              <w:t>三率</w:t>
            </w:r>
            <w:r>
              <w:rPr>
                <w:rFonts w:ascii="Times New Roman" w:hAnsi="Times New Roman" w:eastAsia="Times New Roman" w:cs="Times New Roman"/>
                <w:spacing w:val="10"/>
                <w:sz w:val="20"/>
                <w:szCs w:val="20"/>
              </w:rPr>
              <w:t>”</w:t>
            </w:r>
            <w:r>
              <w:rPr>
                <w:spacing w:val="10"/>
                <w:sz w:val="20"/>
                <w:szCs w:val="20"/>
              </w:rPr>
              <w:t>水平达标率</w:t>
            </w:r>
          </w:p>
        </w:tc>
        <w:tc>
          <w:tcPr>
            <w:tcW w:w="2120" w:type="dxa"/>
            <w:vAlign w:val="top"/>
          </w:tcPr>
          <w:p w14:paraId="5A3157CB">
            <w:pPr>
              <w:spacing w:line="256" w:lineRule="auto"/>
              <w:rPr>
                <w:rFonts w:ascii="Arial"/>
                <w:sz w:val="21"/>
              </w:rPr>
            </w:pPr>
          </w:p>
          <w:p w14:paraId="7986A1D4">
            <w:pPr>
              <w:spacing w:line="257" w:lineRule="auto"/>
              <w:rPr>
                <w:rFonts w:ascii="Arial"/>
                <w:sz w:val="21"/>
              </w:rPr>
            </w:pPr>
          </w:p>
          <w:p w14:paraId="539B3570">
            <w:pPr>
              <w:spacing w:line="257" w:lineRule="auto"/>
              <w:rPr>
                <w:rFonts w:ascii="Arial"/>
                <w:sz w:val="21"/>
              </w:rPr>
            </w:pPr>
          </w:p>
          <w:p w14:paraId="097D538A">
            <w:pPr>
              <w:pStyle w:val="6"/>
              <w:spacing w:before="65" w:line="253" w:lineRule="auto"/>
              <w:ind w:left="761" w:right="108" w:hanging="629"/>
              <w:rPr>
                <w:sz w:val="20"/>
                <w:szCs w:val="20"/>
              </w:rPr>
            </w:pPr>
            <w:r>
              <w:rPr>
                <w:spacing w:val="8"/>
                <w:sz w:val="20"/>
                <w:szCs w:val="20"/>
              </w:rPr>
              <w:t>满足国家和重庆市指</w:t>
            </w:r>
            <w:r>
              <w:rPr>
                <w:spacing w:val="1"/>
                <w:sz w:val="20"/>
                <w:szCs w:val="20"/>
              </w:rPr>
              <w:t xml:space="preserve"> </w:t>
            </w:r>
            <w:r>
              <w:rPr>
                <w:spacing w:val="5"/>
                <w:sz w:val="20"/>
                <w:szCs w:val="20"/>
              </w:rPr>
              <w:t>标要求</w:t>
            </w:r>
          </w:p>
        </w:tc>
        <w:tc>
          <w:tcPr>
            <w:tcW w:w="1528" w:type="dxa"/>
            <w:vMerge w:val="continue"/>
            <w:tcBorders>
              <w:top w:val="nil"/>
              <w:right w:val="single" w:color="000000" w:sz="10" w:space="0"/>
            </w:tcBorders>
            <w:vAlign w:val="top"/>
          </w:tcPr>
          <w:p w14:paraId="34A25F0B">
            <w:pPr>
              <w:rPr>
                <w:rFonts w:ascii="Arial"/>
                <w:sz w:val="21"/>
              </w:rPr>
            </w:pPr>
          </w:p>
        </w:tc>
      </w:tr>
      <w:tr w14:paraId="279521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4" w:hRule="atLeast"/>
        </w:trPr>
        <w:tc>
          <w:tcPr>
            <w:tcW w:w="706" w:type="dxa"/>
            <w:vMerge w:val="continue"/>
            <w:tcBorders>
              <w:top w:val="nil"/>
              <w:left w:val="single" w:color="000000" w:sz="10" w:space="0"/>
              <w:bottom w:val="nil"/>
            </w:tcBorders>
            <w:vAlign w:val="top"/>
          </w:tcPr>
          <w:p w14:paraId="4E07E264">
            <w:pPr>
              <w:rPr>
                <w:rFonts w:ascii="Arial"/>
                <w:sz w:val="21"/>
              </w:rPr>
            </w:pPr>
          </w:p>
        </w:tc>
        <w:tc>
          <w:tcPr>
            <w:tcW w:w="664" w:type="dxa"/>
            <w:vAlign w:val="top"/>
          </w:tcPr>
          <w:p w14:paraId="2230F970">
            <w:pPr>
              <w:spacing w:line="260" w:lineRule="auto"/>
              <w:rPr>
                <w:rFonts w:ascii="Arial"/>
                <w:sz w:val="21"/>
              </w:rPr>
            </w:pPr>
          </w:p>
          <w:p w14:paraId="0CEB79CA">
            <w:pPr>
              <w:spacing w:line="260" w:lineRule="auto"/>
              <w:rPr>
                <w:rFonts w:ascii="Arial"/>
                <w:sz w:val="21"/>
              </w:rPr>
            </w:pPr>
          </w:p>
          <w:p w14:paraId="4E5ED7BB">
            <w:pPr>
              <w:pStyle w:val="6"/>
              <w:spacing w:before="65"/>
              <w:ind w:left="125"/>
              <w:rPr>
                <w:sz w:val="20"/>
                <w:szCs w:val="20"/>
              </w:rPr>
            </w:pPr>
            <w:r>
              <w:rPr>
                <w:sz w:val="20"/>
                <w:szCs w:val="20"/>
              </w:rPr>
              <w:t>土地</w:t>
            </w:r>
          </w:p>
          <w:p w14:paraId="334D4D34">
            <w:pPr>
              <w:pStyle w:val="6"/>
              <w:spacing w:before="11" w:line="232" w:lineRule="auto"/>
              <w:ind w:left="133"/>
              <w:rPr>
                <w:sz w:val="20"/>
                <w:szCs w:val="20"/>
              </w:rPr>
            </w:pPr>
            <w:r>
              <w:rPr>
                <w:spacing w:val="-4"/>
                <w:sz w:val="20"/>
                <w:szCs w:val="20"/>
              </w:rPr>
              <w:t>资源</w:t>
            </w:r>
          </w:p>
        </w:tc>
        <w:tc>
          <w:tcPr>
            <w:tcW w:w="2024" w:type="dxa"/>
            <w:vAlign w:val="top"/>
          </w:tcPr>
          <w:p w14:paraId="05A541BC">
            <w:pPr>
              <w:pStyle w:val="6"/>
              <w:spacing w:before="44" w:line="229" w:lineRule="auto"/>
              <w:ind w:left="71"/>
              <w:rPr>
                <w:sz w:val="20"/>
                <w:szCs w:val="20"/>
              </w:rPr>
            </w:pPr>
            <w:r>
              <w:rPr>
                <w:spacing w:val="8"/>
                <w:sz w:val="20"/>
                <w:szCs w:val="20"/>
              </w:rPr>
              <w:t>确保土地资源有效利</w:t>
            </w:r>
          </w:p>
          <w:p w14:paraId="4EE3F3CA">
            <w:pPr>
              <w:pStyle w:val="6"/>
              <w:spacing w:before="24" w:line="231" w:lineRule="auto"/>
              <w:ind w:left="70"/>
              <w:rPr>
                <w:sz w:val="20"/>
                <w:szCs w:val="20"/>
              </w:rPr>
            </w:pPr>
            <w:r>
              <w:rPr>
                <w:spacing w:val="8"/>
                <w:sz w:val="20"/>
                <w:szCs w:val="20"/>
              </w:rPr>
              <w:t>用与管理；最大限度</w:t>
            </w:r>
          </w:p>
          <w:p w14:paraId="0CFA0544">
            <w:pPr>
              <w:pStyle w:val="6"/>
              <w:spacing w:before="20" w:line="232" w:lineRule="auto"/>
              <w:ind w:left="72"/>
              <w:rPr>
                <w:sz w:val="20"/>
                <w:szCs w:val="20"/>
              </w:rPr>
            </w:pPr>
            <w:r>
              <w:rPr>
                <w:spacing w:val="8"/>
                <w:sz w:val="20"/>
                <w:szCs w:val="20"/>
              </w:rPr>
              <w:t>减少矿产资源规划对</w:t>
            </w:r>
          </w:p>
          <w:p w14:paraId="6A09C5CF">
            <w:pPr>
              <w:pStyle w:val="6"/>
              <w:spacing w:before="22" w:line="231" w:lineRule="auto"/>
              <w:ind w:left="70"/>
              <w:rPr>
                <w:sz w:val="20"/>
                <w:szCs w:val="20"/>
              </w:rPr>
            </w:pPr>
            <w:r>
              <w:rPr>
                <w:spacing w:val="8"/>
                <w:sz w:val="20"/>
                <w:szCs w:val="20"/>
              </w:rPr>
              <w:t>耕地、林地及草地的</w:t>
            </w:r>
          </w:p>
          <w:p w14:paraId="5EC9B240">
            <w:pPr>
              <w:pStyle w:val="6"/>
              <w:spacing w:before="21" w:line="231" w:lineRule="auto"/>
              <w:ind w:left="106"/>
              <w:rPr>
                <w:sz w:val="20"/>
                <w:szCs w:val="20"/>
              </w:rPr>
            </w:pPr>
            <w:r>
              <w:rPr>
                <w:spacing w:val="4"/>
                <w:sz w:val="20"/>
                <w:szCs w:val="20"/>
              </w:rPr>
              <w:t>占用，满足可持续发</w:t>
            </w:r>
          </w:p>
          <w:p w14:paraId="3A8CB282">
            <w:pPr>
              <w:pStyle w:val="6"/>
              <w:spacing w:before="20" w:line="203" w:lineRule="auto"/>
              <w:ind w:left="597"/>
              <w:rPr>
                <w:sz w:val="20"/>
                <w:szCs w:val="20"/>
              </w:rPr>
            </w:pPr>
            <w:r>
              <w:rPr>
                <w:spacing w:val="5"/>
                <w:sz w:val="20"/>
                <w:szCs w:val="20"/>
              </w:rPr>
              <w:t>展的要求</w:t>
            </w:r>
          </w:p>
        </w:tc>
        <w:tc>
          <w:tcPr>
            <w:tcW w:w="2463" w:type="dxa"/>
            <w:vAlign w:val="top"/>
          </w:tcPr>
          <w:p w14:paraId="5182116C">
            <w:pPr>
              <w:spacing w:line="259" w:lineRule="auto"/>
              <w:rPr>
                <w:rFonts w:ascii="Arial"/>
                <w:sz w:val="21"/>
              </w:rPr>
            </w:pPr>
          </w:p>
          <w:p w14:paraId="6AA168F8">
            <w:pPr>
              <w:spacing w:line="260" w:lineRule="auto"/>
              <w:rPr>
                <w:rFonts w:ascii="Arial"/>
                <w:sz w:val="21"/>
              </w:rPr>
            </w:pPr>
          </w:p>
          <w:p w14:paraId="020FD097">
            <w:pPr>
              <w:pStyle w:val="6"/>
              <w:spacing w:before="65" w:line="251" w:lineRule="auto"/>
              <w:ind w:left="403" w:right="181" w:hanging="175"/>
              <w:rPr>
                <w:sz w:val="20"/>
                <w:szCs w:val="20"/>
              </w:rPr>
            </w:pPr>
            <w:r>
              <w:rPr>
                <w:spacing w:val="4"/>
                <w:sz w:val="20"/>
                <w:szCs w:val="20"/>
              </w:rPr>
              <w:t>占用永久基本农田（地</w:t>
            </w:r>
            <w:r>
              <w:rPr>
                <w:spacing w:val="6"/>
                <w:sz w:val="20"/>
                <w:szCs w:val="20"/>
              </w:rPr>
              <w:t xml:space="preserve"> 热、矿泉水除外）</w:t>
            </w:r>
          </w:p>
        </w:tc>
        <w:tc>
          <w:tcPr>
            <w:tcW w:w="2120" w:type="dxa"/>
            <w:vAlign w:val="top"/>
          </w:tcPr>
          <w:p w14:paraId="6139E641">
            <w:pPr>
              <w:spacing w:line="328" w:lineRule="auto"/>
              <w:rPr>
                <w:rFonts w:ascii="Arial"/>
                <w:sz w:val="21"/>
              </w:rPr>
            </w:pPr>
          </w:p>
          <w:p w14:paraId="1E2369B5">
            <w:pPr>
              <w:spacing w:line="328" w:lineRule="auto"/>
              <w:rPr>
                <w:rFonts w:ascii="Arial"/>
                <w:sz w:val="21"/>
              </w:rPr>
            </w:pPr>
          </w:p>
          <w:p w14:paraId="667374CF">
            <w:pPr>
              <w:pStyle w:val="6"/>
              <w:spacing w:before="65" w:line="232" w:lineRule="auto"/>
              <w:ind w:left="768"/>
              <w:rPr>
                <w:sz w:val="20"/>
                <w:szCs w:val="20"/>
              </w:rPr>
            </w:pPr>
            <w:r>
              <w:rPr>
                <w:spacing w:val="3"/>
                <w:sz w:val="20"/>
                <w:szCs w:val="20"/>
              </w:rPr>
              <w:t>不占用</w:t>
            </w:r>
          </w:p>
        </w:tc>
        <w:tc>
          <w:tcPr>
            <w:tcW w:w="1528" w:type="dxa"/>
            <w:tcBorders>
              <w:right w:val="single" w:color="000000" w:sz="10" w:space="0"/>
            </w:tcBorders>
            <w:vAlign w:val="top"/>
          </w:tcPr>
          <w:p w14:paraId="4ED4F9AB">
            <w:pPr>
              <w:spacing w:line="259" w:lineRule="auto"/>
              <w:rPr>
                <w:rFonts w:ascii="Arial"/>
                <w:sz w:val="21"/>
              </w:rPr>
            </w:pPr>
          </w:p>
          <w:p w14:paraId="57761F0D">
            <w:pPr>
              <w:spacing w:line="260" w:lineRule="auto"/>
              <w:rPr>
                <w:rFonts w:ascii="Arial"/>
                <w:sz w:val="21"/>
              </w:rPr>
            </w:pPr>
          </w:p>
          <w:p w14:paraId="33C0781A">
            <w:pPr>
              <w:pStyle w:val="6"/>
              <w:spacing w:before="65" w:line="251" w:lineRule="auto"/>
              <w:ind w:left="357" w:right="118" w:hanging="208"/>
              <w:rPr>
                <w:sz w:val="20"/>
                <w:szCs w:val="20"/>
              </w:rPr>
            </w:pPr>
            <w:r>
              <w:rPr>
                <w:spacing w:val="7"/>
                <w:sz w:val="20"/>
                <w:szCs w:val="20"/>
              </w:rPr>
              <w:t>《基本农田保</w:t>
            </w:r>
            <w:r>
              <w:rPr>
                <w:spacing w:val="1"/>
                <w:sz w:val="20"/>
                <w:szCs w:val="20"/>
              </w:rPr>
              <w:t xml:space="preserve"> </w:t>
            </w:r>
            <w:r>
              <w:rPr>
                <w:spacing w:val="3"/>
                <w:sz w:val="20"/>
                <w:szCs w:val="20"/>
              </w:rPr>
              <w:t>护条例》</w:t>
            </w:r>
          </w:p>
        </w:tc>
      </w:tr>
      <w:tr w14:paraId="190299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706" w:type="dxa"/>
            <w:vMerge w:val="continue"/>
            <w:tcBorders>
              <w:top w:val="nil"/>
              <w:left w:val="single" w:color="000000" w:sz="10" w:space="0"/>
              <w:bottom w:val="nil"/>
            </w:tcBorders>
            <w:vAlign w:val="top"/>
          </w:tcPr>
          <w:p w14:paraId="41B119F5">
            <w:pPr>
              <w:rPr>
                <w:rFonts w:ascii="Arial"/>
                <w:sz w:val="21"/>
              </w:rPr>
            </w:pPr>
          </w:p>
        </w:tc>
        <w:tc>
          <w:tcPr>
            <w:tcW w:w="664" w:type="dxa"/>
            <w:vMerge w:val="restart"/>
            <w:tcBorders>
              <w:bottom w:val="nil"/>
            </w:tcBorders>
            <w:vAlign w:val="top"/>
          </w:tcPr>
          <w:p w14:paraId="1DC507C8">
            <w:pPr>
              <w:spacing w:line="389" w:lineRule="auto"/>
              <w:rPr>
                <w:rFonts w:ascii="Arial"/>
                <w:sz w:val="21"/>
              </w:rPr>
            </w:pPr>
          </w:p>
          <w:p w14:paraId="57869674">
            <w:pPr>
              <w:pStyle w:val="6"/>
              <w:spacing w:before="65" w:line="255" w:lineRule="auto"/>
              <w:ind w:left="232" w:right="132" w:hanging="110"/>
              <w:rPr>
                <w:sz w:val="20"/>
                <w:szCs w:val="20"/>
              </w:rPr>
            </w:pPr>
            <w:r>
              <w:rPr>
                <w:spacing w:val="2"/>
                <w:sz w:val="20"/>
                <w:szCs w:val="20"/>
              </w:rPr>
              <w:t>水资</w:t>
            </w:r>
            <w:r>
              <w:rPr>
                <w:sz w:val="20"/>
                <w:szCs w:val="20"/>
              </w:rPr>
              <w:t xml:space="preserve"> 源</w:t>
            </w:r>
          </w:p>
        </w:tc>
        <w:tc>
          <w:tcPr>
            <w:tcW w:w="2024" w:type="dxa"/>
            <w:vMerge w:val="restart"/>
            <w:tcBorders>
              <w:bottom w:val="nil"/>
            </w:tcBorders>
            <w:vAlign w:val="top"/>
          </w:tcPr>
          <w:p w14:paraId="0A3AC50A">
            <w:pPr>
              <w:pStyle w:val="6"/>
              <w:spacing w:before="185" w:line="230" w:lineRule="auto"/>
              <w:ind w:left="75"/>
              <w:rPr>
                <w:sz w:val="20"/>
                <w:szCs w:val="20"/>
              </w:rPr>
            </w:pPr>
            <w:r>
              <w:rPr>
                <w:spacing w:val="7"/>
                <w:sz w:val="20"/>
                <w:szCs w:val="20"/>
              </w:rPr>
              <w:t>节约用水，有效利用</w:t>
            </w:r>
          </w:p>
          <w:p w14:paraId="1A2A368E">
            <w:pPr>
              <w:pStyle w:val="6"/>
              <w:spacing w:before="21" w:line="232" w:lineRule="auto"/>
              <w:ind w:left="70"/>
              <w:rPr>
                <w:sz w:val="20"/>
                <w:szCs w:val="20"/>
              </w:rPr>
            </w:pPr>
            <w:r>
              <w:rPr>
                <w:spacing w:val="8"/>
                <w:sz w:val="20"/>
                <w:szCs w:val="20"/>
              </w:rPr>
              <w:t>水资源，矿产资源勘</w:t>
            </w:r>
          </w:p>
          <w:p w14:paraId="6B0A8592">
            <w:pPr>
              <w:pStyle w:val="6"/>
              <w:spacing w:before="20" w:line="231" w:lineRule="auto"/>
              <w:ind w:left="72"/>
              <w:rPr>
                <w:sz w:val="20"/>
                <w:szCs w:val="20"/>
              </w:rPr>
            </w:pPr>
            <w:r>
              <w:rPr>
                <w:spacing w:val="8"/>
                <w:sz w:val="20"/>
                <w:szCs w:val="20"/>
              </w:rPr>
              <w:t>查开发不影响区域流</w:t>
            </w:r>
          </w:p>
          <w:p w14:paraId="2A65FBCD">
            <w:pPr>
              <w:pStyle w:val="6"/>
              <w:spacing w:before="23" w:line="231" w:lineRule="auto"/>
              <w:ind w:left="490"/>
              <w:rPr>
                <w:sz w:val="20"/>
                <w:szCs w:val="20"/>
              </w:rPr>
            </w:pPr>
            <w:r>
              <w:rPr>
                <w:spacing w:val="7"/>
                <w:sz w:val="20"/>
                <w:szCs w:val="20"/>
              </w:rPr>
              <w:t>域用水要求</w:t>
            </w:r>
          </w:p>
        </w:tc>
        <w:tc>
          <w:tcPr>
            <w:tcW w:w="2463" w:type="dxa"/>
            <w:vAlign w:val="top"/>
          </w:tcPr>
          <w:p w14:paraId="6C651CA6">
            <w:pPr>
              <w:pStyle w:val="6"/>
              <w:spacing w:before="48" w:line="201" w:lineRule="auto"/>
              <w:ind w:left="470"/>
              <w:rPr>
                <w:sz w:val="20"/>
                <w:szCs w:val="20"/>
              </w:rPr>
            </w:pPr>
            <w:r>
              <w:rPr>
                <w:spacing w:val="5"/>
                <w:sz w:val="20"/>
                <w:szCs w:val="20"/>
              </w:rPr>
              <w:t>用水量（万</w:t>
            </w:r>
            <w:r>
              <w:rPr>
                <w:spacing w:val="-43"/>
                <w:sz w:val="20"/>
                <w:szCs w:val="20"/>
              </w:rPr>
              <w:t xml:space="preserve"> </w:t>
            </w:r>
            <w:r>
              <w:rPr>
                <w:rFonts w:ascii="Times New Roman" w:hAnsi="Times New Roman" w:eastAsia="Times New Roman" w:cs="Times New Roman"/>
                <w:spacing w:val="5"/>
                <w:sz w:val="20"/>
                <w:szCs w:val="20"/>
              </w:rPr>
              <w:t>m</w:t>
            </w:r>
            <w:r>
              <w:rPr>
                <w:rFonts w:ascii="Times New Roman" w:hAnsi="Times New Roman" w:eastAsia="Times New Roman" w:cs="Times New Roman"/>
                <w:spacing w:val="5"/>
                <w:position w:val="6"/>
                <w:sz w:val="13"/>
                <w:szCs w:val="13"/>
              </w:rPr>
              <w:t>3</w:t>
            </w:r>
            <w:r>
              <w:rPr>
                <w:spacing w:val="5"/>
                <w:sz w:val="20"/>
                <w:szCs w:val="20"/>
              </w:rPr>
              <w:t>）</w:t>
            </w:r>
          </w:p>
        </w:tc>
        <w:tc>
          <w:tcPr>
            <w:tcW w:w="2120" w:type="dxa"/>
            <w:vAlign w:val="top"/>
          </w:tcPr>
          <w:p w14:paraId="4FBEA206">
            <w:pPr>
              <w:spacing w:before="84" w:line="189" w:lineRule="auto"/>
              <w:ind w:left="71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≤47.055</w:t>
            </w:r>
          </w:p>
        </w:tc>
        <w:tc>
          <w:tcPr>
            <w:tcW w:w="1528" w:type="dxa"/>
            <w:vMerge w:val="restart"/>
            <w:tcBorders>
              <w:bottom w:val="nil"/>
              <w:right w:val="single" w:color="000000" w:sz="10" w:space="0"/>
            </w:tcBorders>
            <w:vAlign w:val="top"/>
          </w:tcPr>
          <w:p w14:paraId="4BB7410C">
            <w:pPr>
              <w:pStyle w:val="6"/>
              <w:spacing w:before="48" w:line="231" w:lineRule="auto"/>
              <w:ind w:left="101"/>
              <w:rPr>
                <w:sz w:val="20"/>
                <w:szCs w:val="20"/>
              </w:rPr>
            </w:pPr>
            <w:r>
              <w:rPr>
                <w:spacing w:val="7"/>
                <w:sz w:val="20"/>
                <w:szCs w:val="20"/>
              </w:rPr>
              <w:t>《重庆市</w:t>
            </w:r>
            <w:r>
              <w:rPr>
                <w:rFonts w:ascii="Times New Roman" w:hAnsi="Times New Roman" w:eastAsia="Times New Roman" w:cs="Times New Roman"/>
                <w:spacing w:val="7"/>
                <w:sz w:val="20"/>
                <w:szCs w:val="20"/>
              </w:rPr>
              <w:t>“</w:t>
            </w:r>
            <w:r>
              <w:rPr>
                <w:spacing w:val="7"/>
                <w:sz w:val="20"/>
                <w:szCs w:val="20"/>
              </w:rPr>
              <w:t>十四</w:t>
            </w:r>
          </w:p>
          <w:p w14:paraId="1ABF091D">
            <w:pPr>
              <w:pStyle w:val="6"/>
              <w:spacing w:before="23" w:line="232" w:lineRule="auto"/>
              <w:ind w:left="105"/>
              <w:rPr>
                <w:sz w:val="20"/>
                <w:szCs w:val="20"/>
              </w:rPr>
            </w:pPr>
            <w:r>
              <w:rPr>
                <w:spacing w:val="6"/>
                <w:sz w:val="20"/>
                <w:szCs w:val="20"/>
              </w:rPr>
              <w:t>五</w:t>
            </w:r>
            <w:r>
              <w:rPr>
                <w:rFonts w:ascii="Times New Roman" w:hAnsi="Times New Roman" w:eastAsia="Times New Roman" w:cs="Times New Roman"/>
                <w:spacing w:val="6"/>
                <w:sz w:val="20"/>
                <w:szCs w:val="20"/>
              </w:rPr>
              <w:t>”</w:t>
            </w:r>
            <w:r>
              <w:rPr>
                <w:spacing w:val="6"/>
                <w:sz w:val="20"/>
                <w:szCs w:val="20"/>
              </w:rPr>
              <w:t>用水总量和</w:t>
            </w:r>
          </w:p>
          <w:p w14:paraId="34823392">
            <w:pPr>
              <w:pStyle w:val="6"/>
              <w:spacing w:before="20" w:line="231" w:lineRule="auto"/>
              <w:jc w:val="right"/>
              <w:rPr>
                <w:sz w:val="20"/>
                <w:szCs w:val="20"/>
              </w:rPr>
            </w:pPr>
            <w:r>
              <w:rPr>
                <w:spacing w:val="4"/>
                <w:sz w:val="20"/>
                <w:szCs w:val="20"/>
              </w:rPr>
              <w:t>强度双控目标》</w:t>
            </w:r>
          </w:p>
          <w:p w14:paraId="6AAD3093">
            <w:pPr>
              <w:pStyle w:val="6"/>
              <w:spacing w:before="23" w:line="230" w:lineRule="auto"/>
              <w:jc w:val="right"/>
              <w:rPr>
                <w:sz w:val="20"/>
                <w:szCs w:val="20"/>
              </w:rPr>
            </w:pPr>
            <w:r>
              <w:rPr>
                <w:spacing w:val="1"/>
                <w:sz w:val="20"/>
                <w:szCs w:val="20"/>
              </w:rPr>
              <w:t>（渝水〔</w:t>
            </w:r>
            <w:r>
              <w:rPr>
                <w:rFonts w:ascii="Times New Roman" w:hAnsi="Times New Roman" w:eastAsia="Times New Roman" w:cs="Times New Roman"/>
                <w:spacing w:val="1"/>
                <w:sz w:val="20"/>
                <w:szCs w:val="20"/>
              </w:rPr>
              <w:t>2022</w:t>
            </w:r>
            <w:r>
              <w:rPr>
                <w:spacing w:val="1"/>
                <w:sz w:val="20"/>
                <w:szCs w:val="20"/>
              </w:rPr>
              <w:t>〕</w:t>
            </w:r>
          </w:p>
          <w:p w14:paraId="17E21B88">
            <w:pPr>
              <w:pStyle w:val="6"/>
              <w:spacing w:before="22" w:line="196" w:lineRule="auto"/>
              <w:ind w:left="432"/>
              <w:rPr>
                <w:sz w:val="20"/>
                <w:szCs w:val="20"/>
              </w:rPr>
            </w:pPr>
            <w:r>
              <w:rPr>
                <w:rFonts w:ascii="Times New Roman" w:hAnsi="Times New Roman" w:eastAsia="Times New Roman" w:cs="Times New Roman"/>
                <w:spacing w:val="-3"/>
                <w:sz w:val="20"/>
                <w:szCs w:val="20"/>
              </w:rPr>
              <w:t>92</w:t>
            </w:r>
            <w:r>
              <w:rPr>
                <w:rFonts w:ascii="Times New Roman" w:hAnsi="Times New Roman" w:eastAsia="Times New Roman" w:cs="Times New Roman"/>
                <w:spacing w:val="23"/>
                <w:sz w:val="20"/>
                <w:szCs w:val="20"/>
              </w:rPr>
              <w:t xml:space="preserve"> </w:t>
            </w:r>
            <w:r>
              <w:rPr>
                <w:spacing w:val="-3"/>
                <w:sz w:val="20"/>
                <w:szCs w:val="20"/>
              </w:rPr>
              <w:t>号）</w:t>
            </w:r>
          </w:p>
        </w:tc>
      </w:tr>
      <w:tr w14:paraId="267B63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0" w:hRule="atLeast"/>
        </w:trPr>
        <w:tc>
          <w:tcPr>
            <w:tcW w:w="706" w:type="dxa"/>
            <w:vMerge w:val="continue"/>
            <w:tcBorders>
              <w:top w:val="nil"/>
              <w:left w:val="single" w:color="000000" w:sz="10" w:space="0"/>
            </w:tcBorders>
            <w:vAlign w:val="top"/>
          </w:tcPr>
          <w:p w14:paraId="59308A64">
            <w:pPr>
              <w:rPr>
                <w:rFonts w:ascii="Arial"/>
                <w:sz w:val="21"/>
              </w:rPr>
            </w:pPr>
          </w:p>
        </w:tc>
        <w:tc>
          <w:tcPr>
            <w:tcW w:w="664" w:type="dxa"/>
            <w:vMerge w:val="continue"/>
            <w:tcBorders>
              <w:top w:val="nil"/>
            </w:tcBorders>
            <w:vAlign w:val="top"/>
          </w:tcPr>
          <w:p w14:paraId="3833C76B">
            <w:pPr>
              <w:rPr>
                <w:rFonts w:ascii="Arial"/>
                <w:sz w:val="21"/>
              </w:rPr>
            </w:pPr>
          </w:p>
        </w:tc>
        <w:tc>
          <w:tcPr>
            <w:tcW w:w="2024" w:type="dxa"/>
            <w:vMerge w:val="continue"/>
            <w:tcBorders>
              <w:top w:val="nil"/>
            </w:tcBorders>
            <w:vAlign w:val="top"/>
          </w:tcPr>
          <w:p w14:paraId="017A6469">
            <w:pPr>
              <w:rPr>
                <w:rFonts w:ascii="Arial"/>
                <w:sz w:val="21"/>
              </w:rPr>
            </w:pPr>
          </w:p>
        </w:tc>
        <w:tc>
          <w:tcPr>
            <w:tcW w:w="2463" w:type="dxa"/>
            <w:vAlign w:val="top"/>
          </w:tcPr>
          <w:p w14:paraId="128DE92B">
            <w:pPr>
              <w:spacing w:line="250" w:lineRule="auto"/>
              <w:rPr>
                <w:rFonts w:ascii="Arial"/>
                <w:sz w:val="21"/>
              </w:rPr>
            </w:pPr>
          </w:p>
          <w:p w14:paraId="245A8D2C">
            <w:pPr>
              <w:pStyle w:val="6"/>
              <w:spacing w:before="65" w:line="230" w:lineRule="auto"/>
              <w:ind w:left="122"/>
              <w:rPr>
                <w:sz w:val="20"/>
                <w:szCs w:val="20"/>
              </w:rPr>
            </w:pPr>
            <w:r>
              <w:rPr>
                <w:spacing w:val="5"/>
                <w:sz w:val="20"/>
                <w:szCs w:val="20"/>
              </w:rPr>
              <w:t>占用水总量控制指标的比</w:t>
            </w:r>
          </w:p>
          <w:p w14:paraId="14294911">
            <w:pPr>
              <w:pStyle w:val="6"/>
              <w:spacing w:before="21" w:line="232" w:lineRule="auto"/>
              <w:ind w:left="1137"/>
              <w:rPr>
                <w:sz w:val="20"/>
                <w:szCs w:val="20"/>
              </w:rPr>
            </w:pPr>
            <w:r>
              <w:rPr>
                <w:sz w:val="20"/>
                <w:szCs w:val="20"/>
              </w:rPr>
              <w:t>例</w:t>
            </w:r>
          </w:p>
        </w:tc>
        <w:tc>
          <w:tcPr>
            <w:tcW w:w="2120" w:type="dxa"/>
            <w:vAlign w:val="top"/>
          </w:tcPr>
          <w:p w14:paraId="2E60EA88">
            <w:pPr>
              <w:spacing w:line="429" w:lineRule="auto"/>
              <w:rPr>
                <w:rFonts w:ascii="Arial"/>
                <w:sz w:val="21"/>
              </w:rPr>
            </w:pPr>
          </w:p>
          <w:p w14:paraId="574348D0">
            <w:pPr>
              <w:spacing w:before="57" w:line="196" w:lineRule="auto"/>
              <w:ind w:left="73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≤0.46%</w:t>
            </w:r>
          </w:p>
        </w:tc>
        <w:tc>
          <w:tcPr>
            <w:tcW w:w="1528" w:type="dxa"/>
            <w:vMerge w:val="continue"/>
            <w:tcBorders>
              <w:top w:val="nil"/>
              <w:right w:val="single" w:color="000000" w:sz="10" w:space="0"/>
            </w:tcBorders>
            <w:vAlign w:val="top"/>
          </w:tcPr>
          <w:p w14:paraId="294BFDA8">
            <w:pPr>
              <w:rPr>
                <w:rFonts w:ascii="Arial"/>
                <w:sz w:val="21"/>
              </w:rPr>
            </w:pPr>
          </w:p>
        </w:tc>
      </w:tr>
      <w:tr w14:paraId="2C64CE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06" w:type="dxa"/>
            <w:vMerge w:val="restart"/>
            <w:tcBorders>
              <w:left w:val="single" w:color="000000" w:sz="10" w:space="0"/>
              <w:bottom w:val="nil"/>
            </w:tcBorders>
            <w:vAlign w:val="top"/>
          </w:tcPr>
          <w:p w14:paraId="52F2CD6D">
            <w:pPr>
              <w:pStyle w:val="6"/>
              <w:spacing w:before="60" w:line="231" w:lineRule="auto"/>
              <w:ind w:left="139"/>
              <w:rPr>
                <w:sz w:val="20"/>
                <w:szCs w:val="20"/>
              </w:rPr>
            </w:pPr>
            <w:r>
              <w:rPr>
                <w:spacing w:val="2"/>
                <w:sz w:val="20"/>
                <w:szCs w:val="20"/>
              </w:rPr>
              <w:t>环境</w:t>
            </w:r>
          </w:p>
          <w:p w14:paraId="73CD0932">
            <w:pPr>
              <w:pStyle w:val="6"/>
              <w:spacing w:before="21" w:line="222" w:lineRule="auto"/>
              <w:ind w:left="151"/>
              <w:rPr>
                <w:sz w:val="20"/>
                <w:szCs w:val="20"/>
              </w:rPr>
            </w:pPr>
            <w:r>
              <w:rPr>
                <w:spacing w:val="-4"/>
                <w:sz w:val="20"/>
                <w:szCs w:val="20"/>
              </w:rPr>
              <w:t>管理</w:t>
            </w:r>
          </w:p>
        </w:tc>
        <w:tc>
          <w:tcPr>
            <w:tcW w:w="5151" w:type="dxa"/>
            <w:gridSpan w:val="3"/>
            <w:vAlign w:val="top"/>
          </w:tcPr>
          <w:p w14:paraId="59E6D0CD">
            <w:pPr>
              <w:pStyle w:val="6"/>
              <w:spacing w:before="55" w:line="195" w:lineRule="auto"/>
              <w:ind w:left="1637"/>
              <w:rPr>
                <w:sz w:val="20"/>
                <w:szCs w:val="20"/>
              </w:rPr>
            </w:pPr>
            <w:r>
              <w:rPr>
                <w:spacing w:val="8"/>
                <w:sz w:val="20"/>
                <w:szCs w:val="20"/>
              </w:rPr>
              <w:t>矿山项目环评执行率</w:t>
            </w:r>
          </w:p>
        </w:tc>
        <w:tc>
          <w:tcPr>
            <w:tcW w:w="2120" w:type="dxa"/>
            <w:vAlign w:val="top"/>
          </w:tcPr>
          <w:p w14:paraId="1B762428">
            <w:pPr>
              <w:spacing w:before="91" w:line="183" w:lineRule="auto"/>
              <w:ind w:left="84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w:t>
            </w:r>
          </w:p>
        </w:tc>
        <w:tc>
          <w:tcPr>
            <w:tcW w:w="1528" w:type="dxa"/>
            <w:vMerge w:val="restart"/>
            <w:tcBorders>
              <w:bottom w:val="nil"/>
              <w:right w:val="single" w:color="000000" w:sz="10" w:space="0"/>
            </w:tcBorders>
            <w:vAlign w:val="top"/>
          </w:tcPr>
          <w:p w14:paraId="477020A7">
            <w:pPr>
              <w:spacing w:before="229" w:line="199" w:lineRule="auto"/>
              <w:ind w:left="7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7AE2DB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706" w:type="dxa"/>
            <w:vMerge w:val="continue"/>
            <w:tcBorders>
              <w:top w:val="nil"/>
              <w:left w:val="single" w:color="000000" w:sz="10" w:space="0"/>
              <w:bottom w:val="single" w:color="000000" w:sz="10" w:space="0"/>
            </w:tcBorders>
            <w:vAlign w:val="top"/>
          </w:tcPr>
          <w:p w14:paraId="0B71EF9C">
            <w:pPr>
              <w:rPr>
                <w:rFonts w:ascii="Arial"/>
                <w:sz w:val="21"/>
              </w:rPr>
            </w:pPr>
          </w:p>
        </w:tc>
        <w:tc>
          <w:tcPr>
            <w:tcW w:w="5151" w:type="dxa"/>
            <w:gridSpan w:val="3"/>
            <w:tcBorders>
              <w:bottom w:val="single" w:color="000000" w:sz="10" w:space="0"/>
            </w:tcBorders>
            <w:vAlign w:val="top"/>
          </w:tcPr>
          <w:p w14:paraId="0DA100FC">
            <w:pPr>
              <w:pStyle w:val="6"/>
              <w:spacing w:before="53" w:line="218" w:lineRule="auto"/>
              <w:ind w:left="2160"/>
              <w:rPr>
                <w:sz w:val="20"/>
                <w:szCs w:val="20"/>
              </w:rPr>
            </w:pPr>
            <w:r>
              <w:rPr>
                <w:spacing w:val="6"/>
                <w:sz w:val="20"/>
                <w:szCs w:val="20"/>
              </w:rPr>
              <w:t>排污许可</w:t>
            </w:r>
          </w:p>
        </w:tc>
        <w:tc>
          <w:tcPr>
            <w:tcW w:w="2120" w:type="dxa"/>
            <w:tcBorders>
              <w:bottom w:val="single" w:color="000000" w:sz="10" w:space="0"/>
            </w:tcBorders>
            <w:vAlign w:val="top"/>
          </w:tcPr>
          <w:p w14:paraId="65BDF32D">
            <w:pPr>
              <w:spacing w:before="90" w:line="195" w:lineRule="auto"/>
              <w:ind w:left="84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w:t>
            </w:r>
          </w:p>
        </w:tc>
        <w:tc>
          <w:tcPr>
            <w:tcW w:w="1528" w:type="dxa"/>
            <w:vMerge w:val="continue"/>
            <w:tcBorders>
              <w:top w:val="nil"/>
              <w:bottom w:val="single" w:color="000000" w:sz="10" w:space="0"/>
              <w:right w:val="single" w:color="000000" w:sz="10" w:space="0"/>
            </w:tcBorders>
            <w:vAlign w:val="top"/>
          </w:tcPr>
          <w:p w14:paraId="27BDCE4C">
            <w:pPr>
              <w:rPr>
                <w:rFonts w:ascii="Arial"/>
                <w:sz w:val="21"/>
              </w:rPr>
            </w:pPr>
          </w:p>
        </w:tc>
      </w:tr>
    </w:tbl>
    <w:p w14:paraId="5E2FB13C">
      <w:pPr>
        <w:pStyle w:val="2"/>
      </w:pPr>
    </w:p>
    <w:p w14:paraId="75CC105F">
      <w:pPr>
        <w:sectPr>
          <w:footerReference r:id="rId171" w:type="default"/>
          <w:pgSz w:w="11906" w:h="16839"/>
          <w:pgMar w:top="1116" w:right="1131" w:bottom="1480" w:left="1243" w:header="683" w:footer="1318" w:gutter="0"/>
          <w:cols w:space="720" w:num="1"/>
        </w:sectPr>
      </w:pPr>
    </w:p>
    <w:p w14:paraId="30B2F1A0">
      <w:pPr>
        <w:pStyle w:val="2"/>
        <w:spacing w:line="314" w:lineRule="auto"/>
      </w:pPr>
    </w:p>
    <w:p w14:paraId="7F962607">
      <w:pPr>
        <w:spacing w:before="101" w:line="228" w:lineRule="auto"/>
        <w:ind w:left="2991"/>
        <w:outlineLvl w:val="0"/>
        <w:rPr>
          <w:rFonts w:ascii="仿宋" w:hAnsi="仿宋" w:eastAsia="仿宋" w:cs="仿宋"/>
          <w:sz w:val="31"/>
          <w:szCs w:val="31"/>
        </w:rPr>
      </w:pPr>
      <w:bookmarkStart w:id="25" w:name="bookmark23"/>
      <w:bookmarkEnd w:id="25"/>
      <w:bookmarkStart w:id="26" w:name="bookmark22"/>
      <w:bookmarkEnd w:id="26"/>
      <w:r>
        <w:rPr>
          <w:rFonts w:ascii="Times New Roman" w:hAnsi="Times New Roman" w:eastAsia="Times New Roman" w:cs="Times New Roman"/>
          <w:b/>
          <w:bCs/>
          <w:spacing w:val="4"/>
          <w:sz w:val="31"/>
          <w:szCs w:val="31"/>
        </w:rPr>
        <w:t>5</w:t>
      </w:r>
      <w:r>
        <w:rPr>
          <w:rFonts w:ascii="Times New Roman" w:hAnsi="Times New Roman" w:eastAsia="Times New Roman" w:cs="Times New Roman"/>
          <w:b/>
          <w:bCs/>
          <w:spacing w:val="25"/>
          <w:sz w:val="31"/>
          <w:szCs w:val="31"/>
        </w:rPr>
        <w:t xml:space="preserve"> </w:t>
      </w:r>
      <w:r>
        <w:rPr>
          <w:rFonts w:ascii="仿宋" w:hAnsi="仿宋" w:eastAsia="仿宋" w:cs="仿宋"/>
          <w:b/>
          <w:bCs/>
          <w:spacing w:val="4"/>
          <w:sz w:val="31"/>
          <w:szCs w:val="31"/>
        </w:rPr>
        <w:t>环境影响预测与评价</w:t>
      </w:r>
    </w:p>
    <w:p w14:paraId="007006BA">
      <w:pPr>
        <w:spacing w:before="261" w:line="227" w:lineRule="auto"/>
        <w:ind w:left="130"/>
        <w:outlineLvl w:val="1"/>
        <w:rPr>
          <w:rFonts w:ascii="仿宋" w:hAnsi="仿宋" w:eastAsia="仿宋" w:cs="仿宋"/>
          <w:sz w:val="25"/>
          <w:szCs w:val="25"/>
        </w:rPr>
      </w:pPr>
      <w:bookmarkStart w:id="27" w:name="bookmark55"/>
      <w:bookmarkEnd w:id="27"/>
      <w:r>
        <w:rPr>
          <w:rFonts w:ascii="Times New Roman" w:hAnsi="Times New Roman" w:eastAsia="Times New Roman" w:cs="Times New Roman"/>
          <w:b/>
          <w:bCs/>
          <w:spacing w:val="4"/>
          <w:sz w:val="25"/>
          <w:szCs w:val="25"/>
        </w:rPr>
        <w:t>5.1</w:t>
      </w:r>
      <w:r>
        <w:rPr>
          <w:rFonts w:ascii="Times New Roman" w:hAnsi="Times New Roman" w:eastAsia="Times New Roman" w:cs="Times New Roman"/>
          <w:b/>
          <w:bCs/>
          <w:spacing w:val="36"/>
          <w:w w:val="101"/>
          <w:sz w:val="25"/>
          <w:szCs w:val="25"/>
        </w:rPr>
        <w:t xml:space="preserve"> </w:t>
      </w:r>
      <w:r>
        <w:rPr>
          <w:rFonts w:ascii="仿宋" w:hAnsi="仿宋" w:eastAsia="仿宋" w:cs="仿宋"/>
          <w:b/>
          <w:bCs/>
          <w:spacing w:val="4"/>
          <w:sz w:val="25"/>
          <w:szCs w:val="25"/>
        </w:rPr>
        <w:t>资源与环境承载力评估</w:t>
      </w:r>
    </w:p>
    <w:p w14:paraId="57CEB7D9">
      <w:pPr>
        <w:spacing w:before="256" w:line="227" w:lineRule="auto"/>
        <w:ind w:left="130"/>
        <w:outlineLvl w:val="2"/>
        <w:rPr>
          <w:rFonts w:ascii="仿宋" w:hAnsi="仿宋" w:eastAsia="仿宋" w:cs="仿宋"/>
          <w:sz w:val="25"/>
          <w:szCs w:val="25"/>
        </w:rPr>
      </w:pPr>
      <w:r>
        <w:rPr>
          <w:rFonts w:ascii="Times New Roman" w:hAnsi="Times New Roman" w:eastAsia="Times New Roman" w:cs="Times New Roman"/>
          <w:b/>
          <w:bCs/>
          <w:spacing w:val="3"/>
          <w:sz w:val="25"/>
          <w:szCs w:val="25"/>
        </w:rPr>
        <w:t>5.1.1</w:t>
      </w:r>
      <w:r>
        <w:rPr>
          <w:rFonts w:ascii="Times New Roman" w:hAnsi="Times New Roman" w:eastAsia="Times New Roman" w:cs="Times New Roman"/>
          <w:b/>
          <w:bCs/>
          <w:spacing w:val="35"/>
          <w:sz w:val="25"/>
          <w:szCs w:val="25"/>
        </w:rPr>
        <w:t xml:space="preserve"> </w:t>
      </w:r>
      <w:r>
        <w:rPr>
          <w:rFonts w:ascii="仿宋" w:hAnsi="仿宋" w:eastAsia="仿宋" w:cs="仿宋"/>
          <w:b/>
          <w:bCs/>
          <w:spacing w:val="3"/>
          <w:sz w:val="25"/>
          <w:szCs w:val="25"/>
        </w:rPr>
        <w:t>资源承载力评估</w:t>
      </w:r>
    </w:p>
    <w:p w14:paraId="51FC1A2D">
      <w:pPr>
        <w:spacing w:before="274" w:line="228" w:lineRule="auto"/>
        <w:ind w:left="130"/>
        <w:outlineLvl w:val="3"/>
        <w:rPr>
          <w:rFonts w:ascii="仿宋" w:hAnsi="仿宋" w:eastAsia="仿宋" w:cs="仿宋"/>
          <w:sz w:val="25"/>
          <w:szCs w:val="25"/>
        </w:rPr>
      </w:pPr>
      <w:r>
        <w:rPr>
          <w:rFonts w:ascii="Times New Roman" w:hAnsi="Times New Roman" w:eastAsia="Times New Roman" w:cs="Times New Roman"/>
          <w:b/>
          <w:bCs/>
          <w:spacing w:val="4"/>
          <w:sz w:val="25"/>
          <w:szCs w:val="25"/>
        </w:rPr>
        <w:t>5.1.1.1</w:t>
      </w:r>
      <w:r>
        <w:rPr>
          <w:rFonts w:ascii="Times New Roman" w:hAnsi="Times New Roman" w:eastAsia="Times New Roman" w:cs="Times New Roman"/>
          <w:b/>
          <w:bCs/>
          <w:spacing w:val="29"/>
          <w:sz w:val="25"/>
          <w:szCs w:val="25"/>
        </w:rPr>
        <w:t xml:space="preserve"> </w:t>
      </w:r>
      <w:r>
        <w:rPr>
          <w:rFonts w:ascii="仿宋" w:hAnsi="仿宋" w:eastAsia="仿宋" w:cs="仿宋"/>
          <w:b/>
          <w:bCs/>
          <w:spacing w:val="4"/>
          <w:sz w:val="25"/>
          <w:szCs w:val="25"/>
        </w:rPr>
        <w:t>土地资源承载力分析</w:t>
      </w:r>
    </w:p>
    <w:p w14:paraId="7F3B1983">
      <w:pPr>
        <w:spacing w:before="269" w:line="340" w:lineRule="auto"/>
        <w:ind w:left="139" w:right="71" w:firstLine="480"/>
        <w:rPr>
          <w:rFonts w:ascii="仿宋" w:hAnsi="仿宋" w:eastAsia="仿宋" w:cs="仿宋"/>
          <w:sz w:val="25"/>
          <w:szCs w:val="25"/>
        </w:rPr>
      </w:pPr>
      <w:r>
        <w:rPr>
          <w:rFonts w:ascii="仿宋" w:hAnsi="仿宋" w:eastAsia="仿宋" w:cs="仿宋"/>
          <w:spacing w:val="11"/>
          <w:sz w:val="25"/>
          <w:szCs w:val="25"/>
        </w:rPr>
        <w:t>规划实施对评价区土地资源的影响主要为露天矿山开</w:t>
      </w:r>
      <w:r>
        <w:rPr>
          <w:rFonts w:ascii="仿宋" w:hAnsi="仿宋" w:eastAsia="仿宋" w:cs="仿宋"/>
          <w:spacing w:val="10"/>
          <w:sz w:val="25"/>
          <w:szCs w:val="25"/>
        </w:rPr>
        <w:t>采占地、工程建设占</w:t>
      </w:r>
      <w:r>
        <w:rPr>
          <w:rFonts w:ascii="仿宋" w:hAnsi="仿宋" w:eastAsia="仿宋" w:cs="仿宋"/>
          <w:sz w:val="25"/>
          <w:szCs w:val="25"/>
        </w:rPr>
        <w:t xml:space="preserve"> </w:t>
      </w:r>
      <w:r>
        <w:rPr>
          <w:rFonts w:ascii="仿宋" w:hAnsi="仿宋" w:eastAsia="仿宋" w:cs="仿宋"/>
          <w:spacing w:val="7"/>
          <w:sz w:val="25"/>
          <w:szCs w:val="25"/>
        </w:rPr>
        <w:t>地等引起的土地利用变化。</w:t>
      </w:r>
    </w:p>
    <w:p w14:paraId="160DEE3B">
      <w:pPr>
        <w:spacing w:before="1" w:line="229" w:lineRule="auto"/>
        <w:ind w:left="625"/>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1</w:t>
      </w:r>
      <w:r>
        <w:rPr>
          <w:rFonts w:ascii="仿宋" w:hAnsi="仿宋" w:eastAsia="仿宋" w:cs="仿宋"/>
          <w:spacing w:val="7"/>
          <w:sz w:val="25"/>
          <w:szCs w:val="25"/>
        </w:rPr>
        <w:t>）土地利用类型</w:t>
      </w:r>
    </w:p>
    <w:p w14:paraId="5FDE08E5">
      <w:pPr>
        <w:spacing w:before="147" w:line="340" w:lineRule="auto"/>
        <w:ind w:left="134" w:firstLine="483"/>
        <w:rPr>
          <w:rFonts w:ascii="仿宋" w:hAnsi="仿宋" w:eastAsia="仿宋" w:cs="仿宋"/>
          <w:sz w:val="25"/>
          <w:szCs w:val="25"/>
        </w:rPr>
      </w:pPr>
      <w:r>
        <w:rPr>
          <w:rFonts w:ascii="仿宋" w:hAnsi="仿宋" w:eastAsia="仿宋" w:cs="仿宋"/>
          <w:spacing w:val="6"/>
          <w:sz w:val="25"/>
          <w:szCs w:val="25"/>
        </w:rPr>
        <w:t>《规划》共</w:t>
      </w:r>
      <w:r>
        <w:rPr>
          <w:rFonts w:ascii="仿宋" w:hAnsi="仿宋" w:eastAsia="仿宋" w:cs="仿宋"/>
          <w:spacing w:val="-47"/>
          <w:sz w:val="25"/>
          <w:szCs w:val="25"/>
        </w:rPr>
        <w:t xml:space="preserve"> </w:t>
      </w:r>
      <w:r>
        <w:rPr>
          <w:rFonts w:ascii="Times New Roman" w:hAnsi="Times New Roman" w:eastAsia="Times New Roman" w:cs="Times New Roman"/>
          <w:spacing w:val="6"/>
          <w:sz w:val="25"/>
          <w:szCs w:val="25"/>
        </w:rPr>
        <w:t>32</w:t>
      </w:r>
      <w:r>
        <w:rPr>
          <w:rFonts w:ascii="Times New Roman" w:hAnsi="Times New Roman" w:eastAsia="Times New Roman" w:cs="Times New Roman"/>
          <w:spacing w:val="20"/>
          <w:w w:val="101"/>
          <w:sz w:val="25"/>
          <w:szCs w:val="25"/>
        </w:rPr>
        <w:t xml:space="preserve"> </w:t>
      </w:r>
      <w:r>
        <w:rPr>
          <w:rFonts w:ascii="仿宋" w:hAnsi="仿宋" w:eastAsia="仿宋" w:cs="仿宋"/>
          <w:spacing w:val="6"/>
          <w:sz w:val="25"/>
          <w:szCs w:val="25"/>
        </w:rPr>
        <w:t>个开采区块，其中，露天开采的</w:t>
      </w:r>
      <w:r>
        <w:rPr>
          <w:rFonts w:ascii="仿宋" w:hAnsi="仿宋" w:eastAsia="仿宋" w:cs="仿宋"/>
          <w:spacing w:val="5"/>
          <w:sz w:val="25"/>
          <w:szCs w:val="25"/>
        </w:rPr>
        <w:t>建筑石料用灰岩、萤石（普</w:t>
      </w:r>
      <w:r>
        <w:rPr>
          <w:rFonts w:ascii="仿宋" w:hAnsi="仿宋" w:eastAsia="仿宋" w:cs="仿宋"/>
          <w:sz w:val="25"/>
          <w:szCs w:val="25"/>
        </w:rPr>
        <w:t xml:space="preserve"> </w:t>
      </w:r>
      <w:r>
        <w:rPr>
          <w:rFonts w:ascii="仿宋" w:hAnsi="仿宋" w:eastAsia="仿宋" w:cs="仿宋"/>
          <w:spacing w:val="13"/>
          <w:sz w:val="25"/>
          <w:szCs w:val="25"/>
        </w:rPr>
        <w:t>通）</w:t>
      </w:r>
      <w:r>
        <w:rPr>
          <w:rFonts w:ascii="仿宋" w:hAnsi="仿宋" w:eastAsia="仿宋" w:cs="仿宋"/>
          <w:spacing w:val="-53"/>
          <w:sz w:val="25"/>
          <w:szCs w:val="25"/>
        </w:rPr>
        <w:t xml:space="preserve"> </w:t>
      </w:r>
      <w:r>
        <w:rPr>
          <w:rFonts w:ascii="仿宋" w:hAnsi="仿宋" w:eastAsia="仿宋" w:cs="仿宋"/>
          <w:spacing w:val="13"/>
          <w:sz w:val="25"/>
          <w:szCs w:val="25"/>
        </w:rPr>
        <w:t>、水泥用灰岩矿</w:t>
      </w:r>
      <w:r>
        <w:rPr>
          <w:rFonts w:ascii="仿宋" w:hAnsi="仿宋" w:eastAsia="仿宋" w:cs="仿宋"/>
          <w:spacing w:val="-74"/>
          <w:sz w:val="25"/>
          <w:szCs w:val="25"/>
        </w:rPr>
        <w:t xml:space="preserve"> </w:t>
      </w:r>
      <w:r>
        <w:rPr>
          <w:rFonts w:ascii="仿宋" w:hAnsi="仿宋" w:eastAsia="仿宋" w:cs="仿宋"/>
          <w:spacing w:val="13"/>
          <w:sz w:val="25"/>
          <w:szCs w:val="25"/>
        </w:rPr>
        <w:t>、饰面用灰岩</w:t>
      </w:r>
      <w:r>
        <w:rPr>
          <w:rFonts w:ascii="仿宋" w:hAnsi="仿宋" w:eastAsia="仿宋" w:cs="仿宋"/>
          <w:spacing w:val="-74"/>
          <w:sz w:val="25"/>
          <w:szCs w:val="25"/>
        </w:rPr>
        <w:t xml:space="preserve"> </w:t>
      </w:r>
      <w:r>
        <w:rPr>
          <w:rFonts w:ascii="仿宋" w:hAnsi="仿宋" w:eastAsia="仿宋" w:cs="仿宋"/>
          <w:spacing w:val="13"/>
          <w:sz w:val="25"/>
          <w:szCs w:val="25"/>
        </w:rPr>
        <w:t>、建筑用砂岩矿区块有</w:t>
      </w:r>
      <w:r>
        <w:rPr>
          <w:rFonts w:ascii="仿宋" w:hAnsi="仿宋" w:eastAsia="仿宋" w:cs="仿宋"/>
          <w:spacing w:val="-40"/>
          <w:sz w:val="25"/>
          <w:szCs w:val="25"/>
        </w:rPr>
        <w:t xml:space="preserve"> </w:t>
      </w:r>
      <w:r>
        <w:rPr>
          <w:rFonts w:ascii="Times New Roman" w:hAnsi="Times New Roman" w:eastAsia="Times New Roman" w:cs="Times New Roman"/>
          <w:spacing w:val="13"/>
          <w:sz w:val="25"/>
          <w:szCs w:val="25"/>
        </w:rPr>
        <w:t>20</w:t>
      </w:r>
      <w:r>
        <w:rPr>
          <w:rFonts w:ascii="Times New Roman" w:hAnsi="Times New Roman" w:eastAsia="Times New Roman" w:cs="Times New Roman"/>
          <w:spacing w:val="35"/>
          <w:w w:val="101"/>
          <w:sz w:val="25"/>
          <w:szCs w:val="25"/>
        </w:rPr>
        <w:t xml:space="preserve"> </w:t>
      </w:r>
      <w:r>
        <w:rPr>
          <w:rFonts w:ascii="仿宋" w:hAnsi="仿宋" w:eastAsia="仿宋" w:cs="仿宋"/>
          <w:spacing w:val="12"/>
          <w:sz w:val="25"/>
          <w:szCs w:val="25"/>
        </w:rPr>
        <w:t>个</w:t>
      </w:r>
      <w:r>
        <w:rPr>
          <w:rFonts w:ascii="仿宋" w:hAnsi="仿宋" w:eastAsia="仿宋" w:cs="仿宋"/>
          <w:spacing w:val="-75"/>
          <w:sz w:val="25"/>
          <w:szCs w:val="25"/>
        </w:rPr>
        <w:t xml:space="preserve"> </w:t>
      </w:r>
      <w:r>
        <w:rPr>
          <w:rFonts w:ascii="仿宋" w:hAnsi="仿宋" w:eastAsia="仿宋" w:cs="仿宋"/>
          <w:spacing w:val="12"/>
          <w:sz w:val="25"/>
          <w:szCs w:val="25"/>
        </w:rPr>
        <w:t>，总面积为</w:t>
      </w:r>
      <w:r>
        <w:rPr>
          <w:rFonts w:ascii="仿宋" w:hAnsi="仿宋" w:eastAsia="仿宋" w:cs="仿宋"/>
          <w:sz w:val="25"/>
          <w:szCs w:val="25"/>
        </w:rPr>
        <w:t xml:space="preserve"> </w:t>
      </w:r>
      <w:r>
        <w:rPr>
          <w:rFonts w:ascii="Times New Roman" w:hAnsi="Times New Roman" w:eastAsia="Times New Roman" w:cs="Times New Roman"/>
          <w:spacing w:val="4"/>
          <w:sz w:val="25"/>
          <w:szCs w:val="25"/>
        </w:rPr>
        <w:t>5.884</w:t>
      </w:r>
      <w:r>
        <w:rPr>
          <w:rFonts w:ascii="Times New Roman" w:hAnsi="Times New Roman" w:eastAsia="Times New Roman" w:cs="Times New Roman"/>
          <w:sz w:val="25"/>
          <w:szCs w:val="25"/>
        </w:rPr>
        <w:t>km</w:t>
      </w:r>
      <w:r>
        <w:rPr>
          <w:rFonts w:ascii="Times New Roman" w:hAnsi="Times New Roman" w:eastAsia="Times New Roman" w:cs="Times New Roman"/>
          <w:spacing w:val="4"/>
          <w:position w:val="8"/>
          <w:sz w:val="16"/>
          <w:szCs w:val="16"/>
        </w:rPr>
        <w:t xml:space="preserve">2 </w:t>
      </w:r>
      <w:r>
        <w:rPr>
          <w:rFonts w:ascii="仿宋" w:hAnsi="仿宋" w:eastAsia="仿宋" w:cs="仿宋"/>
          <w:spacing w:val="4"/>
          <w:sz w:val="25"/>
          <w:szCs w:val="25"/>
        </w:rPr>
        <w:t>，</w:t>
      </w:r>
      <w:r>
        <w:rPr>
          <w:rFonts w:ascii="仿宋" w:hAnsi="仿宋" w:eastAsia="仿宋" w:cs="仿宋"/>
          <w:spacing w:val="-55"/>
          <w:sz w:val="25"/>
          <w:szCs w:val="25"/>
        </w:rPr>
        <w:t xml:space="preserve"> </w:t>
      </w:r>
      <w:r>
        <w:rPr>
          <w:rFonts w:ascii="仿宋" w:hAnsi="仿宋" w:eastAsia="仿宋" w:cs="仿宋"/>
          <w:spacing w:val="4"/>
          <w:sz w:val="25"/>
          <w:szCs w:val="25"/>
        </w:rPr>
        <w:t>占黔江区国土面积比例为</w:t>
      </w:r>
      <w:r>
        <w:rPr>
          <w:rFonts w:ascii="仿宋" w:hAnsi="仿宋" w:eastAsia="仿宋" w:cs="仿宋"/>
          <w:spacing w:val="-48"/>
          <w:sz w:val="25"/>
          <w:szCs w:val="25"/>
        </w:rPr>
        <w:t xml:space="preserve"> </w:t>
      </w:r>
      <w:r>
        <w:rPr>
          <w:rFonts w:ascii="Times New Roman" w:hAnsi="Times New Roman" w:eastAsia="Times New Roman" w:cs="Times New Roman"/>
          <w:spacing w:val="4"/>
          <w:sz w:val="25"/>
          <w:szCs w:val="25"/>
        </w:rPr>
        <w:t>0.246%</w:t>
      </w:r>
      <w:r>
        <w:rPr>
          <w:rFonts w:ascii="仿宋" w:hAnsi="仿宋" w:eastAsia="仿宋" w:cs="仿宋"/>
          <w:spacing w:val="4"/>
          <w:sz w:val="25"/>
          <w:szCs w:val="25"/>
        </w:rPr>
        <w:t>；地下开采的建筑石料用灰岩、萤</w:t>
      </w:r>
      <w:r>
        <w:rPr>
          <w:rFonts w:ascii="仿宋" w:hAnsi="仿宋" w:eastAsia="仿宋" w:cs="仿宋"/>
          <w:sz w:val="25"/>
          <w:szCs w:val="25"/>
        </w:rPr>
        <w:t xml:space="preserve"> </w:t>
      </w:r>
      <w:r>
        <w:rPr>
          <w:rFonts w:ascii="仿宋" w:hAnsi="仿宋" w:eastAsia="仿宋" w:cs="仿宋"/>
          <w:spacing w:val="-2"/>
          <w:sz w:val="25"/>
          <w:szCs w:val="25"/>
        </w:rPr>
        <w:t>石（普通）、重晶石、铝土矿、铸型用砂岩区块有</w:t>
      </w:r>
      <w:r>
        <w:rPr>
          <w:rFonts w:ascii="仿宋" w:hAnsi="仿宋" w:eastAsia="仿宋" w:cs="仿宋"/>
          <w:spacing w:val="-30"/>
          <w:sz w:val="25"/>
          <w:szCs w:val="25"/>
        </w:rPr>
        <w:t xml:space="preserve"> </w:t>
      </w:r>
      <w:r>
        <w:rPr>
          <w:rFonts w:ascii="Times New Roman" w:hAnsi="Times New Roman" w:eastAsia="Times New Roman" w:cs="Times New Roman"/>
          <w:spacing w:val="-2"/>
          <w:sz w:val="25"/>
          <w:szCs w:val="25"/>
        </w:rPr>
        <w:t>12</w:t>
      </w:r>
      <w:r>
        <w:rPr>
          <w:rFonts w:ascii="Times New Roman" w:hAnsi="Times New Roman" w:eastAsia="Times New Roman" w:cs="Times New Roman"/>
          <w:spacing w:val="21"/>
          <w:sz w:val="25"/>
          <w:szCs w:val="25"/>
        </w:rPr>
        <w:t xml:space="preserve"> </w:t>
      </w:r>
      <w:r>
        <w:rPr>
          <w:rFonts w:ascii="仿宋" w:hAnsi="仿宋" w:eastAsia="仿宋" w:cs="仿宋"/>
          <w:spacing w:val="-2"/>
          <w:sz w:val="25"/>
          <w:szCs w:val="25"/>
        </w:rPr>
        <w:t>个，总面积为</w:t>
      </w:r>
      <w:r>
        <w:rPr>
          <w:rFonts w:ascii="仿宋" w:hAnsi="仿宋" w:eastAsia="仿宋" w:cs="仿宋"/>
          <w:spacing w:val="-52"/>
          <w:sz w:val="25"/>
          <w:szCs w:val="25"/>
        </w:rPr>
        <w:t xml:space="preserve"> </w:t>
      </w:r>
      <w:r>
        <w:rPr>
          <w:rFonts w:ascii="Times New Roman" w:hAnsi="Times New Roman" w:eastAsia="Times New Roman" w:cs="Times New Roman"/>
          <w:spacing w:val="-2"/>
          <w:sz w:val="25"/>
          <w:szCs w:val="25"/>
        </w:rPr>
        <w:t>2</w:t>
      </w:r>
      <w:r>
        <w:rPr>
          <w:rFonts w:ascii="Times New Roman" w:hAnsi="Times New Roman" w:eastAsia="Times New Roman" w:cs="Times New Roman"/>
          <w:spacing w:val="-3"/>
          <w:sz w:val="25"/>
          <w:szCs w:val="25"/>
        </w:rPr>
        <w:t>7.</w:t>
      </w:r>
      <w:r>
        <w:rPr>
          <w:rFonts w:ascii="Times New Roman" w:hAnsi="Times New Roman" w:eastAsia="Times New Roman" w:cs="Times New Roman"/>
          <w:spacing w:val="-33"/>
          <w:sz w:val="25"/>
          <w:szCs w:val="25"/>
        </w:rPr>
        <w:t xml:space="preserve"> </w:t>
      </w:r>
      <w:r>
        <w:rPr>
          <w:rFonts w:ascii="Times New Roman" w:hAnsi="Times New Roman" w:eastAsia="Times New Roman" w:cs="Times New Roman"/>
          <w:spacing w:val="-3"/>
          <w:sz w:val="25"/>
          <w:szCs w:val="25"/>
        </w:rPr>
        <w:t>1117km</w:t>
      </w:r>
      <w:r>
        <w:rPr>
          <w:rFonts w:ascii="Times New Roman" w:hAnsi="Times New Roman" w:eastAsia="Times New Roman" w:cs="Times New Roman"/>
          <w:spacing w:val="-3"/>
          <w:position w:val="8"/>
          <w:sz w:val="16"/>
          <w:szCs w:val="16"/>
        </w:rPr>
        <w:t>2</w:t>
      </w:r>
      <w:r>
        <w:rPr>
          <w:rFonts w:ascii="仿宋" w:hAnsi="仿宋" w:eastAsia="仿宋" w:cs="仿宋"/>
          <w:spacing w:val="-3"/>
          <w:sz w:val="25"/>
          <w:szCs w:val="25"/>
        </w:rPr>
        <w:t>，</w:t>
      </w:r>
      <w:r>
        <w:rPr>
          <w:rFonts w:ascii="仿宋" w:hAnsi="仿宋" w:eastAsia="仿宋" w:cs="仿宋"/>
          <w:sz w:val="25"/>
          <w:szCs w:val="25"/>
        </w:rPr>
        <w:t xml:space="preserve"> </w:t>
      </w:r>
      <w:r>
        <w:rPr>
          <w:rFonts w:ascii="仿宋" w:hAnsi="仿宋" w:eastAsia="仿宋" w:cs="仿宋"/>
          <w:spacing w:val="5"/>
          <w:sz w:val="25"/>
          <w:szCs w:val="25"/>
        </w:rPr>
        <w:t>占黔江区国土面积比例为</w:t>
      </w:r>
      <w:r>
        <w:rPr>
          <w:rFonts w:ascii="仿宋" w:hAnsi="仿宋" w:eastAsia="仿宋" w:cs="仿宋"/>
          <w:spacing w:val="-9"/>
          <w:sz w:val="25"/>
          <w:szCs w:val="25"/>
        </w:rPr>
        <w:t xml:space="preserve"> </w:t>
      </w:r>
      <w:r>
        <w:rPr>
          <w:rFonts w:ascii="Times New Roman" w:hAnsi="Times New Roman" w:eastAsia="Times New Roman" w:cs="Times New Roman"/>
          <w:spacing w:val="5"/>
          <w:sz w:val="25"/>
          <w:szCs w:val="25"/>
        </w:rPr>
        <w:t>1.</w:t>
      </w:r>
      <w:r>
        <w:rPr>
          <w:rFonts w:ascii="Times New Roman" w:hAnsi="Times New Roman" w:eastAsia="Times New Roman" w:cs="Times New Roman"/>
          <w:spacing w:val="-32"/>
          <w:sz w:val="25"/>
          <w:szCs w:val="25"/>
        </w:rPr>
        <w:t xml:space="preserve"> </w:t>
      </w:r>
      <w:r>
        <w:rPr>
          <w:rFonts w:ascii="Times New Roman" w:hAnsi="Times New Roman" w:eastAsia="Times New Roman" w:cs="Times New Roman"/>
          <w:spacing w:val="5"/>
          <w:sz w:val="25"/>
          <w:szCs w:val="25"/>
        </w:rPr>
        <w:t>13%</w:t>
      </w:r>
      <w:r>
        <w:rPr>
          <w:rFonts w:ascii="Times New Roman" w:hAnsi="Times New Roman" w:eastAsia="Times New Roman" w:cs="Times New Roman"/>
          <w:spacing w:val="-27"/>
          <w:sz w:val="25"/>
          <w:szCs w:val="25"/>
        </w:rPr>
        <w:t xml:space="preserve"> </w:t>
      </w:r>
      <w:r>
        <w:rPr>
          <w:rFonts w:ascii="仿宋" w:hAnsi="仿宋" w:eastAsia="仿宋" w:cs="仿宋"/>
          <w:spacing w:val="5"/>
          <w:sz w:val="25"/>
          <w:szCs w:val="25"/>
        </w:rPr>
        <w:t>，地下开采，地面工程占地面积较小。</w:t>
      </w:r>
    </w:p>
    <w:p w14:paraId="7E726345">
      <w:pPr>
        <w:spacing w:before="2" w:line="339" w:lineRule="auto"/>
        <w:ind w:left="138" w:right="71" w:firstLine="479"/>
        <w:jc w:val="both"/>
        <w:rPr>
          <w:rFonts w:ascii="仿宋" w:hAnsi="仿宋" w:eastAsia="仿宋" w:cs="仿宋"/>
          <w:sz w:val="25"/>
          <w:szCs w:val="25"/>
        </w:rPr>
      </w:pPr>
      <w:r>
        <w:rPr>
          <w:rFonts w:ascii="仿宋" w:hAnsi="仿宋" w:eastAsia="仿宋" w:cs="仿宋"/>
          <w:spacing w:val="5"/>
          <w:sz w:val="25"/>
          <w:szCs w:val="25"/>
        </w:rPr>
        <w:t>《规划调整》增加</w:t>
      </w:r>
      <w:r>
        <w:rPr>
          <w:rFonts w:ascii="仿宋" w:hAnsi="仿宋" w:eastAsia="仿宋" w:cs="仿宋"/>
          <w:spacing w:val="-10"/>
          <w:sz w:val="25"/>
          <w:szCs w:val="25"/>
        </w:rPr>
        <w:t xml:space="preserve"> </w:t>
      </w:r>
      <w:r>
        <w:rPr>
          <w:rFonts w:ascii="Times New Roman" w:hAnsi="Times New Roman" w:eastAsia="Times New Roman" w:cs="Times New Roman"/>
          <w:spacing w:val="5"/>
          <w:sz w:val="25"/>
          <w:szCs w:val="25"/>
        </w:rPr>
        <w:t>1</w:t>
      </w:r>
      <w:r>
        <w:rPr>
          <w:rFonts w:ascii="Times New Roman" w:hAnsi="Times New Roman" w:eastAsia="Times New Roman" w:cs="Times New Roman"/>
          <w:spacing w:val="23"/>
          <w:sz w:val="25"/>
          <w:szCs w:val="25"/>
        </w:rPr>
        <w:t xml:space="preserve"> </w:t>
      </w:r>
      <w:r>
        <w:rPr>
          <w:rFonts w:ascii="仿宋" w:hAnsi="仿宋" w:eastAsia="仿宋" w:cs="仿宋"/>
          <w:spacing w:val="5"/>
          <w:sz w:val="25"/>
          <w:szCs w:val="25"/>
        </w:rPr>
        <w:t>个勘查区块，调整</w:t>
      </w:r>
      <w:r>
        <w:rPr>
          <w:rFonts w:ascii="仿宋" w:hAnsi="仿宋" w:eastAsia="仿宋" w:cs="仿宋"/>
          <w:spacing w:val="-30"/>
          <w:sz w:val="25"/>
          <w:szCs w:val="25"/>
        </w:rPr>
        <w:t xml:space="preserve"> </w:t>
      </w:r>
      <w:r>
        <w:rPr>
          <w:rFonts w:ascii="Times New Roman" w:hAnsi="Times New Roman" w:eastAsia="Times New Roman" w:cs="Times New Roman"/>
          <w:spacing w:val="5"/>
          <w:sz w:val="25"/>
          <w:szCs w:val="25"/>
        </w:rPr>
        <w:t>1</w:t>
      </w:r>
      <w:r>
        <w:rPr>
          <w:rFonts w:ascii="Times New Roman" w:hAnsi="Times New Roman" w:eastAsia="Times New Roman" w:cs="Times New Roman"/>
          <w:spacing w:val="23"/>
          <w:sz w:val="25"/>
          <w:szCs w:val="25"/>
        </w:rPr>
        <w:t xml:space="preserve"> </w:t>
      </w:r>
      <w:r>
        <w:rPr>
          <w:rFonts w:ascii="仿宋" w:hAnsi="仿宋" w:eastAsia="仿宋" w:cs="仿宋"/>
          <w:spacing w:val="5"/>
          <w:sz w:val="25"/>
          <w:szCs w:val="25"/>
        </w:rPr>
        <w:t>个勘查区块，取消</w:t>
      </w:r>
      <w:r>
        <w:rPr>
          <w:rFonts w:ascii="仿宋" w:hAnsi="仿宋" w:eastAsia="仿宋" w:cs="仿宋"/>
          <w:spacing w:val="-30"/>
          <w:sz w:val="25"/>
          <w:szCs w:val="25"/>
        </w:rPr>
        <w:t xml:space="preserve"> </w:t>
      </w:r>
      <w:r>
        <w:rPr>
          <w:rFonts w:ascii="Times New Roman" w:hAnsi="Times New Roman" w:eastAsia="Times New Roman" w:cs="Times New Roman"/>
          <w:spacing w:val="5"/>
          <w:sz w:val="25"/>
          <w:szCs w:val="25"/>
        </w:rPr>
        <w:t>1</w:t>
      </w:r>
      <w:r>
        <w:rPr>
          <w:rFonts w:ascii="Times New Roman" w:hAnsi="Times New Roman" w:eastAsia="Times New Roman" w:cs="Times New Roman"/>
          <w:spacing w:val="23"/>
          <w:w w:val="101"/>
          <w:sz w:val="25"/>
          <w:szCs w:val="25"/>
        </w:rPr>
        <w:t xml:space="preserve"> </w:t>
      </w:r>
      <w:r>
        <w:rPr>
          <w:rFonts w:ascii="仿宋" w:hAnsi="仿宋" w:eastAsia="仿宋" w:cs="仿宋"/>
          <w:spacing w:val="5"/>
          <w:sz w:val="25"/>
          <w:szCs w:val="25"/>
        </w:rPr>
        <w:t>个地下开采</w:t>
      </w:r>
      <w:r>
        <w:rPr>
          <w:rFonts w:ascii="仿宋" w:hAnsi="仿宋" w:eastAsia="仿宋" w:cs="仿宋"/>
          <w:sz w:val="25"/>
          <w:szCs w:val="25"/>
        </w:rPr>
        <w:t xml:space="preserve"> </w:t>
      </w:r>
      <w:r>
        <w:rPr>
          <w:rFonts w:ascii="仿宋" w:hAnsi="仿宋" w:eastAsia="仿宋" w:cs="仿宋"/>
          <w:spacing w:val="6"/>
          <w:sz w:val="25"/>
          <w:szCs w:val="25"/>
        </w:rPr>
        <w:t>区块，开采区块数量为</w:t>
      </w:r>
      <w:r>
        <w:rPr>
          <w:rFonts w:ascii="仿宋" w:hAnsi="仿宋" w:eastAsia="仿宋" w:cs="仿宋"/>
          <w:spacing w:val="-48"/>
          <w:sz w:val="25"/>
          <w:szCs w:val="25"/>
        </w:rPr>
        <w:t xml:space="preserve"> </w:t>
      </w:r>
      <w:r>
        <w:rPr>
          <w:rFonts w:ascii="Times New Roman" w:hAnsi="Times New Roman" w:eastAsia="Times New Roman" w:cs="Times New Roman"/>
          <w:spacing w:val="6"/>
          <w:sz w:val="25"/>
          <w:szCs w:val="25"/>
        </w:rPr>
        <w:t>31</w:t>
      </w:r>
      <w:r>
        <w:rPr>
          <w:rFonts w:ascii="Times New Roman" w:hAnsi="Times New Roman" w:eastAsia="Times New Roman" w:cs="Times New Roman"/>
          <w:spacing w:val="20"/>
          <w:w w:val="101"/>
          <w:sz w:val="25"/>
          <w:szCs w:val="25"/>
        </w:rPr>
        <w:t xml:space="preserve"> </w:t>
      </w:r>
      <w:r>
        <w:rPr>
          <w:rFonts w:ascii="仿宋" w:hAnsi="仿宋" w:eastAsia="仿宋" w:cs="仿宋"/>
          <w:spacing w:val="6"/>
          <w:sz w:val="25"/>
          <w:szCs w:val="25"/>
        </w:rPr>
        <w:t>个，露天开采区块保持</w:t>
      </w:r>
      <w:r>
        <w:rPr>
          <w:rFonts w:ascii="仿宋" w:hAnsi="仿宋" w:eastAsia="仿宋" w:cs="仿宋"/>
          <w:spacing w:val="-55"/>
          <w:sz w:val="25"/>
          <w:szCs w:val="25"/>
        </w:rPr>
        <w:t xml:space="preserve"> </w:t>
      </w:r>
      <w:r>
        <w:rPr>
          <w:rFonts w:ascii="Times New Roman" w:hAnsi="Times New Roman" w:eastAsia="Times New Roman" w:cs="Times New Roman"/>
          <w:spacing w:val="6"/>
          <w:sz w:val="25"/>
          <w:szCs w:val="25"/>
        </w:rPr>
        <w:t>20</w:t>
      </w:r>
      <w:r>
        <w:rPr>
          <w:rFonts w:ascii="Times New Roman" w:hAnsi="Times New Roman" w:eastAsia="Times New Roman" w:cs="Times New Roman"/>
          <w:spacing w:val="21"/>
          <w:sz w:val="25"/>
          <w:szCs w:val="25"/>
        </w:rPr>
        <w:t xml:space="preserve"> </w:t>
      </w:r>
      <w:r>
        <w:rPr>
          <w:rFonts w:ascii="仿宋" w:hAnsi="仿宋" w:eastAsia="仿宋" w:cs="仿宋"/>
          <w:spacing w:val="6"/>
          <w:sz w:val="25"/>
          <w:szCs w:val="25"/>
        </w:rPr>
        <w:t>个不变，</w:t>
      </w:r>
      <w:r>
        <w:rPr>
          <w:rFonts w:ascii="仿宋" w:hAnsi="仿宋" w:eastAsia="仿宋" w:cs="仿宋"/>
          <w:spacing w:val="-73"/>
          <w:sz w:val="25"/>
          <w:szCs w:val="25"/>
        </w:rPr>
        <w:t xml:space="preserve"> </w:t>
      </w:r>
      <w:r>
        <w:rPr>
          <w:rFonts w:ascii="仿宋" w:hAnsi="仿宋" w:eastAsia="仿宋" w:cs="仿宋"/>
          <w:spacing w:val="6"/>
          <w:sz w:val="25"/>
          <w:szCs w:val="25"/>
        </w:rPr>
        <w:t>因此露天开采区</w:t>
      </w:r>
      <w:r>
        <w:rPr>
          <w:rFonts w:ascii="仿宋" w:hAnsi="仿宋" w:eastAsia="仿宋" w:cs="仿宋"/>
          <w:sz w:val="25"/>
          <w:szCs w:val="25"/>
        </w:rPr>
        <w:t xml:space="preserve"> </w:t>
      </w:r>
      <w:r>
        <w:rPr>
          <w:rFonts w:ascii="仿宋" w:hAnsi="仿宋" w:eastAsia="仿宋" w:cs="仿宋"/>
          <w:spacing w:val="4"/>
          <w:sz w:val="25"/>
          <w:szCs w:val="25"/>
        </w:rPr>
        <w:t>块总占地面积不变为</w:t>
      </w:r>
      <w:r>
        <w:rPr>
          <w:rFonts w:ascii="仿宋" w:hAnsi="仿宋" w:eastAsia="仿宋" w:cs="仿宋"/>
          <w:spacing w:val="-48"/>
          <w:sz w:val="25"/>
          <w:szCs w:val="25"/>
        </w:rPr>
        <w:t xml:space="preserve"> </w:t>
      </w:r>
      <w:r>
        <w:rPr>
          <w:rFonts w:ascii="Times New Roman" w:hAnsi="Times New Roman" w:eastAsia="Times New Roman" w:cs="Times New Roman"/>
          <w:spacing w:val="4"/>
          <w:sz w:val="25"/>
          <w:szCs w:val="25"/>
        </w:rPr>
        <w:t>5.884</w:t>
      </w:r>
      <w:r>
        <w:rPr>
          <w:rFonts w:ascii="Times New Roman" w:hAnsi="Times New Roman" w:eastAsia="Times New Roman" w:cs="Times New Roman"/>
          <w:sz w:val="25"/>
          <w:szCs w:val="25"/>
        </w:rPr>
        <w:t>km</w:t>
      </w:r>
      <w:r>
        <w:rPr>
          <w:rFonts w:ascii="Times New Roman" w:hAnsi="Times New Roman" w:eastAsia="Times New Roman" w:cs="Times New Roman"/>
          <w:spacing w:val="4"/>
          <w:position w:val="8"/>
          <w:sz w:val="16"/>
          <w:szCs w:val="16"/>
        </w:rPr>
        <w:t xml:space="preserve">2 </w:t>
      </w:r>
      <w:r>
        <w:rPr>
          <w:rFonts w:ascii="仿宋" w:hAnsi="仿宋" w:eastAsia="仿宋" w:cs="仿宋"/>
          <w:spacing w:val="4"/>
          <w:sz w:val="25"/>
          <w:szCs w:val="25"/>
        </w:rPr>
        <w:t>，占黔江区国土面积比例为</w:t>
      </w:r>
      <w:r>
        <w:rPr>
          <w:rFonts w:ascii="仿宋" w:hAnsi="仿宋" w:eastAsia="仿宋" w:cs="仿宋"/>
          <w:spacing w:val="-48"/>
          <w:sz w:val="25"/>
          <w:szCs w:val="25"/>
        </w:rPr>
        <w:t xml:space="preserve"> </w:t>
      </w:r>
      <w:r>
        <w:rPr>
          <w:rFonts w:ascii="Times New Roman" w:hAnsi="Times New Roman" w:eastAsia="Times New Roman" w:cs="Times New Roman"/>
          <w:spacing w:val="4"/>
          <w:sz w:val="25"/>
          <w:szCs w:val="25"/>
        </w:rPr>
        <w:t>0</w:t>
      </w:r>
      <w:r>
        <w:rPr>
          <w:rFonts w:ascii="Times New Roman" w:hAnsi="Times New Roman" w:eastAsia="Times New Roman" w:cs="Times New Roman"/>
          <w:spacing w:val="3"/>
          <w:sz w:val="25"/>
          <w:szCs w:val="25"/>
        </w:rPr>
        <w:t>.246%</w:t>
      </w:r>
      <w:r>
        <w:rPr>
          <w:rFonts w:ascii="仿宋" w:hAnsi="仿宋" w:eastAsia="仿宋" w:cs="仿宋"/>
          <w:spacing w:val="3"/>
          <w:sz w:val="25"/>
          <w:szCs w:val="25"/>
        </w:rPr>
        <w:t>，地下开采区</w:t>
      </w:r>
      <w:r>
        <w:rPr>
          <w:rFonts w:ascii="仿宋" w:hAnsi="仿宋" w:eastAsia="仿宋" w:cs="仿宋"/>
          <w:sz w:val="25"/>
          <w:szCs w:val="25"/>
        </w:rPr>
        <w:t xml:space="preserve"> </w:t>
      </w:r>
      <w:r>
        <w:rPr>
          <w:rFonts w:ascii="仿宋" w:hAnsi="仿宋" w:eastAsia="仿宋" w:cs="仿宋"/>
          <w:spacing w:val="4"/>
          <w:sz w:val="25"/>
          <w:szCs w:val="25"/>
        </w:rPr>
        <w:t>块数量为</w:t>
      </w:r>
      <w:r>
        <w:rPr>
          <w:rFonts w:ascii="仿宋" w:hAnsi="仿宋" w:eastAsia="仿宋" w:cs="仿宋"/>
          <w:spacing w:val="-20"/>
          <w:sz w:val="25"/>
          <w:szCs w:val="25"/>
        </w:rPr>
        <w:t xml:space="preserve"> </w:t>
      </w:r>
      <w:r>
        <w:rPr>
          <w:rFonts w:ascii="Times New Roman" w:hAnsi="Times New Roman" w:eastAsia="Times New Roman" w:cs="Times New Roman"/>
          <w:spacing w:val="4"/>
          <w:sz w:val="25"/>
          <w:szCs w:val="25"/>
        </w:rPr>
        <w:t>11</w:t>
      </w:r>
      <w:r>
        <w:rPr>
          <w:rFonts w:ascii="Times New Roman" w:hAnsi="Times New Roman" w:eastAsia="Times New Roman" w:cs="Times New Roman"/>
          <w:spacing w:val="21"/>
          <w:sz w:val="25"/>
          <w:szCs w:val="25"/>
        </w:rPr>
        <w:t xml:space="preserve"> </w:t>
      </w:r>
      <w:r>
        <w:rPr>
          <w:rFonts w:ascii="仿宋" w:hAnsi="仿宋" w:eastAsia="仿宋" w:cs="仿宋"/>
          <w:spacing w:val="4"/>
          <w:sz w:val="25"/>
          <w:szCs w:val="25"/>
        </w:rPr>
        <w:t>个，面积减少为</w:t>
      </w:r>
      <w:r>
        <w:rPr>
          <w:rFonts w:ascii="仿宋" w:hAnsi="仿宋" w:eastAsia="仿宋" w:cs="仿宋"/>
          <w:spacing w:val="-54"/>
          <w:sz w:val="25"/>
          <w:szCs w:val="25"/>
        </w:rPr>
        <w:t xml:space="preserve"> </w:t>
      </w:r>
      <w:r>
        <w:rPr>
          <w:rFonts w:ascii="Times New Roman" w:hAnsi="Times New Roman" w:eastAsia="Times New Roman" w:cs="Times New Roman"/>
          <w:spacing w:val="4"/>
          <w:sz w:val="25"/>
          <w:szCs w:val="25"/>
        </w:rPr>
        <w:t>23.6597</w:t>
      </w:r>
      <w:r>
        <w:rPr>
          <w:rFonts w:ascii="Times New Roman" w:hAnsi="Times New Roman" w:eastAsia="Times New Roman" w:cs="Times New Roman"/>
          <w:sz w:val="25"/>
          <w:szCs w:val="25"/>
        </w:rPr>
        <w:t>km</w:t>
      </w:r>
      <w:r>
        <w:rPr>
          <w:rFonts w:ascii="Times New Roman" w:hAnsi="Times New Roman" w:eastAsia="Times New Roman" w:cs="Times New Roman"/>
          <w:spacing w:val="4"/>
          <w:position w:val="8"/>
          <w:sz w:val="16"/>
          <w:szCs w:val="16"/>
        </w:rPr>
        <w:t>2</w:t>
      </w:r>
      <w:r>
        <w:rPr>
          <w:rFonts w:ascii="仿宋" w:hAnsi="仿宋" w:eastAsia="仿宋" w:cs="仿宋"/>
          <w:spacing w:val="4"/>
          <w:sz w:val="25"/>
          <w:szCs w:val="25"/>
        </w:rPr>
        <w:t>。</w:t>
      </w:r>
    </w:p>
    <w:p w14:paraId="0CEAD2D2">
      <w:pPr>
        <w:spacing w:before="3" w:line="340" w:lineRule="auto"/>
        <w:ind w:left="132" w:right="71" w:firstLine="487"/>
        <w:jc w:val="both"/>
        <w:rPr>
          <w:rFonts w:ascii="仿宋" w:hAnsi="仿宋" w:eastAsia="仿宋" w:cs="仿宋"/>
          <w:sz w:val="25"/>
          <w:szCs w:val="25"/>
        </w:rPr>
      </w:pPr>
      <w:r>
        <w:rPr>
          <w:rFonts w:ascii="仿宋" w:hAnsi="仿宋" w:eastAsia="仿宋" w:cs="仿宋"/>
          <w:spacing w:val="11"/>
          <w:sz w:val="25"/>
          <w:szCs w:val="25"/>
        </w:rPr>
        <w:t>根据露天矿山规划及黔江区土地利用现状图叠图分析，</w:t>
      </w:r>
      <w:r>
        <w:rPr>
          <w:rFonts w:ascii="仿宋" w:hAnsi="仿宋" w:eastAsia="仿宋" w:cs="仿宋"/>
          <w:spacing w:val="10"/>
          <w:sz w:val="25"/>
          <w:szCs w:val="25"/>
        </w:rPr>
        <w:t>规划调整后露天矿</w:t>
      </w:r>
      <w:r>
        <w:rPr>
          <w:rFonts w:ascii="仿宋" w:hAnsi="仿宋" w:eastAsia="仿宋" w:cs="仿宋"/>
          <w:sz w:val="25"/>
          <w:szCs w:val="25"/>
        </w:rPr>
        <w:t xml:space="preserve"> </w:t>
      </w:r>
      <w:r>
        <w:rPr>
          <w:rFonts w:ascii="仿宋" w:hAnsi="仿宋" w:eastAsia="仿宋" w:cs="仿宋"/>
          <w:spacing w:val="8"/>
          <w:sz w:val="25"/>
          <w:szCs w:val="25"/>
        </w:rPr>
        <w:t>山</w:t>
      </w:r>
      <w:r>
        <w:rPr>
          <w:rFonts w:ascii="仿宋" w:hAnsi="仿宋" w:eastAsia="仿宋" w:cs="仿宋"/>
          <w:spacing w:val="-63"/>
          <w:sz w:val="25"/>
          <w:szCs w:val="25"/>
        </w:rPr>
        <w:t xml:space="preserve"> </w:t>
      </w:r>
      <w:r>
        <w:rPr>
          <w:rFonts w:ascii="仿宋" w:hAnsi="仿宋" w:eastAsia="仿宋" w:cs="仿宋"/>
          <w:spacing w:val="8"/>
          <w:sz w:val="25"/>
          <w:szCs w:val="25"/>
        </w:rPr>
        <w:t>占地类型中占比最高的为林地。土地利用现状与开采规划区</w:t>
      </w:r>
      <w:r>
        <w:rPr>
          <w:rFonts w:ascii="仿宋" w:hAnsi="仿宋" w:eastAsia="仿宋" w:cs="仿宋"/>
          <w:spacing w:val="7"/>
          <w:sz w:val="25"/>
          <w:szCs w:val="25"/>
        </w:rPr>
        <w:t>块叠加图见附图</w:t>
      </w:r>
      <w:r>
        <w:rPr>
          <w:rFonts w:ascii="仿宋" w:hAnsi="仿宋" w:eastAsia="仿宋" w:cs="仿宋"/>
          <w:sz w:val="25"/>
          <w:szCs w:val="25"/>
        </w:rPr>
        <w:t xml:space="preserve"> </w:t>
      </w:r>
      <w:r>
        <w:rPr>
          <w:rFonts w:ascii="Times New Roman" w:hAnsi="Times New Roman" w:eastAsia="Times New Roman" w:cs="Times New Roman"/>
          <w:spacing w:val="6"/>
          <w:sz w:val="25"/>
          <w:szCs w:val="25"/>
        </w:rPr>
        <w:t>3-6</w:t>
      </w:r>
      <w:r>
        <w:rPr>
          <w:rFonts w:ascii="Times New Roman" w:hAnsi="Times New Roman" w:eastAsia="Times New Roman" w:cs="Times New Roman"/>
          <w:spacing w:val="-27"/>
          <w:sz w:val="25"/>
          <w:szCs w:val="25"/>
        </w:rPr>
        <w:t xml:space="preserve"> </w:t>
      </w:r>
      <w:r>
        <w:rPr>
          <w:rFonts w:ascii="仿宋" w:hAnsi="仿宋" w:eastAsia="仿宋" w:cs="仿宋"/>
          <w:spacing w:val="6"/>
          <w:sz w:val="25"/>
          <w:szCs w:val="25"/>
        </w:rPr>
        <w:t>，露天开采规划区块占地类型及面积统计见表</w:t>
      </w:r>
      <w:r>
        <w:rPr>
          <w:rFonts w:ascii="仿宋" w:hAnsi="仿宋" w:eastAsia="仿宋" w:cs="仿宋"/>
          <w:spacing w:val="-45"/>
          <w:sz w:val="25"/>
          <w:szCs w:val="25"/>
        </w:rPr>
        <w:t xml:space="preserve"> </w:t>
      </w:r>
      <w:r>
        <w:rPr>
          <w:rFonts w:ascii="Times New Roman" w:hAnsi="Times New Roman" w:eastAsia="Times New Roman" w:cs="Times New Roman"/>
          <w:spacing w:val="6"/>
          <w:sz w:val="25"/>
          <w:szCs w:val="25"/>
        </w:rPr>
        <w:t>5</w:t>
      </w:r>
      <w:r>
        <w:rPr>
          <w:rFonts w:ascii="Times New Roman" w:hAnsi="Times New Roman" w:eastAsia="Times New Roman" w:cs="Times New Roman"/>
          <w:spacing w:val="5"/>
          <w:sz w:val="25"/>
          <w:szCs w:val="25"/>
        </w:rPr>
        <w:t>.1-1</w:t>
      </w:r>
      <w:r>
        <w:rPr>
          <w:rFonts w:ascii="仿宋" w:hAnsi="仿宋" w:eastAsia="仿宋" w:cs="仿宋"/>
          <w:spacing w:val="5"/>
          <w:sz w:val="25"/>
          <w:szCs w:val="25"/>
        </w:rPr>
        <w:t>。</w:t>
      </w:r>
    </w:p>
    <w:p w14:paraId="2DA6C385">
      <w:pPr>
        <w:spacing w:before="39" w:line="229" w:lineRule="auto"/>
        <w:ind w:left="1634"/>
        <w:rPr>
          <w:rFonts w:ascii="Times New Roman" w:hAnsi="Times New Roman" w:eastAsia="Times New Roman" w:cs="Times New Roman"/>
          <w:sz w:val="13"/>
          <w:szCs w:val="13"/>
        </w:rPr>
      </w:pPr>
      <w:r>
        <w:rPr>
          <w:rFonts w:ascii="仿宋" w:hAnsi="仿宋" w:eastAsia="仿宋" w:cs="仿宋"/>
          <w:b/>
          <w:bCs/>
          <w:spacing w:val="6"/>
          <w:sz w:val="20"/>
          <w:szCs w:val="20"/>
        </w:rPr>
        <w:t>表</w:t>
      </w:r>
      <w:r>
        <w:rPr>
          <w:rFonts w:ascii="仿宋" w:hAnsi="仿宋" w:eastAsia="仿宋" w:cs="仿宋"/>
          <w:spacing w:val="-35"/>
          <w:sz w:val="20"/>
          <w:szCs w:val="20"/>
        </w:rPr>
        <w:t xml:space="preserve"> </w:t>
      </w:r>
      <w:r>
        <w:rPr>
          <w:rFonts w:ascii="Times New Roman" w:hAnsi="Times New Roman" w:eastAsia="Times New Roman" w:cs="Times New Roman"/>
          <w:b/>
          <w:bCs/>
          <w:spacing w:val="6"/>
          <w:sz w:val="20"/>
          <w:szCs w:val="20"/>
        </w:rPr>
        <w:t xml:space="preserve">5.1-1        </w:t>
      </w:r>
      <w:r>
        <w:rPr>
          <w:rFonts w:ascii="仿宋" w:hAnsi="仿宋" w:eastAsia="仿宋" w:cs="仿宋"/>
          <w:b/>
          <w:bCs/>
          <w:spacing w:val="6"/>
          <w:sz w:val="20"/>
          <w:szCs w:val="20"/>
        </w:rPr>
        <w:t>黔江区露天矿山占地类型变化情况一览表</w:t>
      </w:r>
      <w:r>
        <w:rPr>
          <w:rFonts w:ascii="仿宋" w:hAnsi="仿宋" w:eastAsia="仿宋" w:cs="仿宋"/>
          <w:spacing w:val="6"/>
          <w:sz w:val="20"/>
          <w:szCs w:val="20"/>
        </w:rPr>
        <w:t xml:space="preserve">    </w:t>
      </w:r>
      <w:r>
        <w:rPr>
          <w:rFonts w:ascii="仿宋" w:hAnsi="仿宋" w:eastAsia="仿宋" w:cs="仿宋"/>
          <w:b/>
          <w:bCs/>
          <w:spacing w:val="6"/>
          <w:sz w:val="20"/>
          <w:szCs w:val="20"/>
        </w:rPr>
        <w:t>单位：</w:t>
      </w:r>
      <w:r>
        <w:rPr>
          <w:rFonts w:ascii="Times New Roman" w:hAnsi="Times New Roman" w:eastAsia="Times New Roman" w:cs="Times New Roman"/>
          <w:b/>
          <w:bCs/>
          <w:sz w:val="20"/>
          <w:szCs w:val="20"/>
        </w:rPr>
        <w:t>km</w:t>
      </w:r>
      <w:r>
        <w:rPr>
          <w:rFonts w:ascii="Times New Roman" w:hAnsi="Times New Roman" w:eastAsia="Times New Roman" w:cs="Times New Roman"/>
          <w:b/>
          <w:bCs/>
          <w:spacing w:val="6"/>
          <w:position w:val="6"/>
          <w:sz w:val="13"/>
          <w:szCs w:val="13"/>
        </w:rPr>
        <w:t>2</w:t>
      </w:r>
    </w:p>
    <w:p w14:paraId="1FB526F9">
      <w:pPr>
        <w:spacing w:line="24" w:lineRule="exact"/>
      </w:pPr>
    </w:p>
    <w:tbl>
      <w:tblPr>
        <w:tblStyle w:val="5"/>
        <w:tblW w:w="890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7"/>
        <w:gridCol w:w="847"/>
        <w:gridCol w:w="1503"/>
        <w:gridCol w:w="1044"/>
        <w:gridCol w:w="1212"/>
        <w:gridCol w:w="1330"/>
        <w:gridCol w:w="1108"/>
        <w:gridCol w:w="1124"/>
      </w:tblGrid>
      <w:tr w14:paraId="791B11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737" w:type="dxa"/>
            <w:vMerge w:val="restart"/>
            <w:tcBorders>
              <w:top w:val="single" w:color="000000" w:sz="10" w:space="0"/>
              <w:left w:val="single" w:color="000000" w:sz="10" w:space="0"/>
              <w:bottom w:val="nil"/>
            </w:tcBorders>
            <w:vAlign w:val="top"/>
          </w:tcPr>
          <w:p w14:paraId="780DD747">
            <w:pPr>
              <w:spacing w:line="273" w:lineRule="auto"/>
              <w:rPr>
                <w:rFonts w:ascii="Arial"/>
                <w:sz w:val="21"/>
              </w:rPr>
            </w:pPr>
          </w:p>
          <w:p w14:paraId="576EBAF9">
            <w:pPr>
              <w:spacing w:line="273" w:lineRule="auto"/>
              <w:rPr>
                <w:rFonts w:ascii="Arial"/>
                <w:sz w:val="21"/>
              </w:rPr>
            </w:pPr>
          </w:p>
          <w:p w14:paraId="3B685275">
            <w:pPr>
              <w:pStyle w:val="6"/>
              <w:spacing w:before="72" w:line="223" w:lineRule="auto"/>
              <w:ind w:left="144"/>
            </w:pPr>
            <w:r>
              <w:rPr>
                <w:spacing w:val="-7"/>
              </w:rPr>
              <w:t>序号</w:t>
            </w:r>
          </w:p>
        </w:tc>
        <w:tc>
          <w:tcPr>
            <w:tcW w:w="847" w:type="dxa"/>
            <w:vMerge w:val="restart"/>
            <w:tcBorders>
              <w:top w:val="single" w:color="000000" w:sz="10" w:space="0"/>
              <w:bottom w:val="nil"/>
            </w:tcBorders>
            <w:vAlign w:val="top"/>
          </w:tcPr>
          <w:p w14:paraId="465C64DB">
            <w:pPr>
              <w:spacing w:line="366" w:lineRule="auto"/>
              <w:rPr>
                <w:rFonts w:ascii="Arial"/>
                <w:sz w:val="21"/>
              </w:rPr>
            </w:pPr>
          </w:p>
          <w:p w14:paraId="0F5F7D71">
            <w:pPr>
              <w:pStyle w:val="6"/>
              <w:spacing w:before="72" w:line="233" w:lineRule="auto"/>
              <w:ind w:left="207"/>
            </w:pPr>
            <w:r>
              <w:rPr>
                <w:spacing w:val="-8"/>
              </w:rPr>
              <w:t>土地</w:t>
            </w:r>
          </w:p>
          <w:p w14:paraId="4E7AF7B6">
            <w:pPr>
              <w:pStyle w:val="6"/>
              <w:spacing w:before="83" w:line="225" w:lineRule="auto"/>
              <w:ind w:left="207"/>
            </w:pPr>
            <w:r>
              <w:rPr>
                <w:spacing w:val="-8"/>
              </w:rPr>
              <w:t>类型</w:t>
            </w:r>
          </w:p>
        </w:tc>
        <w:tc>
          <w:tcPr>
            <w:tcW w:w="1503" w:type="dxa"/>
            <w:vMerge w:val="restart"/>
            <w:tcBorders>
              <w:top w:val="single" w:color="000000" w:sz="10" w:space="0"/>
              <w:bottom w:val="nil"/>
            </w:tcBorders>
            <w:vAlign w:val="top"/>
          </w:tcPr>
          <w:p w14:paraId="51FA354E">
            <w:pPr>
              <w:spacing w:line="368" w:lineRule="auto"/>
              <w:rPr>
                <w:rFonts w:ascii="Arial"/>
                <w:sz w:val="21"/>
              </w:rPr>
            </w:pPr>
          </w:p>
          <w:p w14:paraId="197F1FC5">
            <w:pPr>
              <w:pStyle w:val="6"/>
              <w:spacing w:before="71" w:line="303" w:lineRule="auto"/>
              <w:ind w:left="252" w:right="203" w:hanging="39"/>
            </w:pPr>
            <w:r>
              <w:rPr>
                <w:spacing w:val="-4"/>
              </w:rPr>
              <w:t>全区现状面</w:t>
            </w:r>
            <w:r>
              <w:t xml:space="preserve"> </w:t>
            </w:r>
            <w:r>
              <w:rPr>
                <w:spacing w:val="-3"/>
              </w:rPr>
              <w:t>积（</w:t>
            </w:r>
            <w:r>
              <w:rPr>
                <w:rFonts w:ascii="Times New Roman" w:hAnsi="Times New Roman" w:eastAsia="Times New Roman" w:cs="Times New Roman"/>
                <w:spacing w:val="-3"/>
              </w:rPr>
              <w:t>km</w:t>
            </w:r>
            <w:r>
              <w:rPr>
                <w:rFonts w:ascii="Times New Roman" w:hAnsi="Times New Roman" w:eastAsia="Times New Roman" w:cs="Times New Roman"/>
                <w:spacing w:val="-3"/>
                <w:position w:val="7"/>
                <w:sz w:val="14"/>
                <w:szCs w:val="14"/>
              </w:rPr>
              <w:t>2</w:t>
            </w:r>
            <w:r>
              <w:rPr>
                <w:spacing w:val="-3"/>
              </w:rPr>
              <w:t>）</w:t>
            </w:r>
          </w:p>
        </w:tc>
        <w:tc>
          <w:tcPr>
            <w:tcW w:w="2256" w:type="dxa"/>
            <w:gridSpan w:val="2"/>
            <w:tcBorders>
              <w:top w:val="single" w:color="000000" w:sz="10" w:space="0"/>
            </w:tcBorders>
            <w:vAlign w:val="top"/>
          </w:tcPr>
          <w:p w14:paraId="6611C07A">
            <w:pPr>
              <w:pStyle w:val="6"/>
              <w:spacing w:before="74" w:line="223" w:lineRule="auto"/>
              <w:ind w:left="154"/>
            </w:pPr>
            <w:r>
              <w:rPr>
                <w:spacing w:val="-2"/>
              </w:rPr>
              <w:t>原《规划》开采区块</w:t>
            </w:r>
          </w:p>
        </w:tc>
        <w:tc>
          <w:tcPr>
            <w:tcW w:w="2438" w:type="dxa"/>
            <w:gridSpan w:val="2"/>
            <w:tcBorders>
              <w:top w:val="single" w:color="000000" w:sz="10" w:space="0"/>
            </w:tcBorders>
            <w:vAlign w:val="top"/>
          </w:tcPr>
          <w:p w14:paraId="04F6B887">
            <w:pPr>
              <w:pStyle w:val="6"/>
              <w:spacing w:before="74" w:line="223" w:lineRule="auto"/>
              <w:ind w:left="355"/>
            </w:pPr>
            <w:r>
              <w:rPr>
                <w:spacing w:val="-2"/>
              </w:rPr>
              <w:t>调整后的开采区块</w:t>
            </w:r>
          </w:p>
        </w:tc>
        <w:tc>
          <w:tcPr>
            <w:tcW w:w="1124" w:type="dxa"/>
            <w:vMerge w:val="restart"/>
            <w:tcBorders>
              <w:top w:val="single" w:color="000000" w:sz="10" w:space="0"/>
              <w:bottom w:val="nil"/>
              <w:right w:val="single" w:color="000000" w:sz="10" w:space="0"/>
            </w:tcBorders>
            <w:vAlign w:val="top"/>
          </w:tcPr>
          <w:p w14:paraId="5DD578DD">
            <w:pPr>
              <w:pStyle w:val="6"/>
              <w:spacing w:before="81" w:line="223" w:lineRule="auto"/>
              <w:ind w:left="137"/>
            </w:pPr>
            <w:r>
              <w:rPr>
                <w:spacing w:val="-4"/>
              </w:rPr>
              <w:t>调整后开</w:t>
            </w:r>
          </w:p>
          <w:p w14:paraId="70BAECFB">
            <w:pPr>
              <w:pStyle w:val="6"/>
              <w:spacing w:before="94" w:line="223" w:lineRule="auto"/>
              <w:ind w:left="139"/>
            </w:pPr>
            <w:r>
              <w:rPr>
                <w:spacing w:val="-4"/>
              </w:rPr>
              <w:t>采区块占</w:t>
            </w:r>
          </w:p>
          <w:p w14:paraId="7A3E6D37">
            <w:pPr>
              <w:pStyle w:val="6"/>
              <w:spacing w:before="94" w:line="265" w:lineRule="auto"/>
              <w:ind w:left="131" w:firstLine="7"/>
            </w:pPr>
            <w:r>
              <w:rPr>
                <w:spacing w:val="-4"/>
              </w:rPr>
              <w:t>地变化情</w:t>
            </w:r>
            <w:r>
              <w:t xml:space="preserve">  </w:t>
            </w:r>
            <w:r>
              <w:rPr>
                <w:spacing w:val="-6"/>
              </w:rPr>
              <w:t>况（</w:t>
            </w:r>
            <w:r>
              <w:rPr>
                <w:rFonts w:ascii="Times New Roman" w:hAnsi="Times New Roman" w:eastAsia="Times New Roman" w:cs="Times New Roman"/>
                <w:spacing w:val="-6"/>
              </w:rPr>
              <w:t>km</w:t>
            </w:r>
            <w:r>
              <w:rPr>
                <w:rFonts w:ascii="Times New Roman" w:hAnsi="Times New Roman" w:eastAsia="Times New Roman" w:cs="Times New Roman"/>
                <w:spacing w:val="-6"/>
                <w:position w:val="7"/>
                <w:sz w:val="14"/>
                <w:szCs w:val="14"/>
              </w:rPr>
              <w:t>2</w:t>
            </w:r>
            <w:r>
              <w:rPr>
                <w:spacing w:val="-6"/>
              </w:rPr>
              <w:t>）</w:t>
            </w:r>
          </w:p>
        </w:tc>
      </w:tr>
      <w:tr w14:paraId="238D78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3" w:hRule="atLeast"/>
        </w:trPr>
        <w:tc>
          <w:tcPr>
            <w:tcW w:w="737" w:type="dxa"/>
            <w:vMerge w:val="continue"/>
            <w:tcBorders>
              <w:top w:val="nil"/>
              <w:left w:val="single" w:color="000000" w:sz="10" w:space="0"/>
            </w:tcBorders>
            <w:vAlign w:val="top"/>
          </w:tcPr>
          <w:p w14:paraId="482D6FA0">
            <w:pPr>
              <w:rPr>
                <w:rFonts w:ascii="Arial"/>
                <w:sz w:val="21"/>
              </w:rPr>
            </w:pPr>
          </w:p>
        </w:tc>
        <w:tc>
          <w:tcPr>
            <w:tcW w:w="847" w:type="dxa"/>
            <w:vMerge w:val="continue"/>
            <w:tcBorders>
              <w:top w:val="nil"/>
            </w:tcBorders>
            <w:vAlign w:val="top"/>
          </w:tcPr>
          <w:p w14:paraId="0405E8F5">
            <w:pPr>
              <w:rPr>
                <w:rFonts w:ascii="Arial"/>
                <w:sz w:val="21"/>
              </w:rPr>
            </w:pPr>
          </w:p>
        </w:tc>
        <w:tc>
          <w:tcPr>
            <w:tcW w:w="1503" w:type="dxa"/>
            <w:vMerge w:val="continue"/>
            <w:tcBorders>
              <w:top w:val="nil"/>
            </w:tcBorders>
            <w:vAlign w:val="top"/>
          </w:tcPr>
          <w:p w14:paraId="214B8EE6">
            <w:pPr>
              <w:rPr>
                <w:rFonts w:ascii="Arial"/>
                <w:sz w:val="21"/>
              </w:rPr>
            </w:pPr>
          </w:p>
        </w:tc>
        <w:tc>
          <w:tcPr>
            <w:tcW w:w="1044" w:type="dxa"/>
            <w:vAlign w:val="top"/>
          </w:tcPr>
          <w:p w14:paraId="108B3FAA">
            <w:pPr>
              <w:pStyle w:val="6"/>
              <w:spacing w:before="75" w:line="224" w:lineRule="auto"/>
              <w:ind w:left="218"/>
            </w:pPr>
            <w:r>
              <w:rPr>
                <w:spacing w:val="-11"/>
              </w:rPr>
              <w:t>区块占</w:t>
            </w:r>
          </w:p>
          <w:p w14:paraId="2DF32E93">
            <w:pPr>
              <w:pStyle w:val="6"/>
              <w:spacing w:before="93" w:line="224" w:lineRule="auto"/>
              <w:ind w:left="200"/>
            </w:pPr>
            <w:r>
              <w:rPr>
                <w:spacing w:val="-5"/>
              </w:rPr>
              <w:t>地面积</w:t>
            </w:r>
          </w:p>
          <w:p w14:paraId="56E741E1">
            <w:pPr>
              <w:pStyle w:val="6"/>
              <w:spacing w:before="93" w:line="224" w:lineRule="auto"/>
              <w:ind w:left="135"/>
            </w:pPr>
            <w:r>
              <w:rPr>
                <w:spacing w:val="-3"/>
              </w:rPr>
              <w:t>（</w:t>
            </w:r>
            <w:r>
              <w:rPr>
                <w:rFonts w:ascii="Times New Roman" w:hAnsi="Times New Roman" w:eastAsia="Times New Roman" w:cs="Times New Roman"/>
                <w:spacing w:val="-3"/>
              </w:rPr>
              <w:t>km</w:t>
            </w:r>
            <w:r>
              <w:rPr>
                <w:rFonts w:ascii="Times New Roman" w:hAnsi="Times New Roman" w:eastAsia="Times New Roman" w:cs="Times New Roman"/>
                <w:spacing w:val="-3"/>
                <w:position w:val="6"/>
                <w:sz w:val="14"/>
                <w:szCs w:val="14"/>
              </w:rPr>
              <w:t>2</w:t>
            </w:r>
            <w:r>
              <w:rPr>
                <w:spacing w:val="-3"/>
              </w:rPr>
              <w:t>）</w:t>
            </w:r>
          </w:p>
        </w:tc>
        <w:tc>
          <w:tcPr>
            <w:tcW w:w="1212" w:type="dxa"/>
            <w:vAlign w:val="top"/>
          </w:tcPr>
          <w:p w14:paraId="697EC1C0">
            <w:pPr>
              <w:pStyle w:val="6"/>
              <w:spacing w:before="76" w:line="226" w:lineRule="auto"/>
              <w:ind w:left="216"/>
            </w:pPr>
            <w:r>
              <w:rPr>
                <w:spacing w:val="-13"/>
              </w:rPr>
              <w:t>占全区现</w:t>
            </w:r>
          </w:p>
          <w:p w14:paraId="00854480">
            <w:pPr>
              <w:pStyle w:val="6"/>
              <w:spacing w:before="90" w:line="224" w:lineRule="auto"/>
              <w:ind w:left="178"/>
            </w:pPr>
            <w:r>
              <w:rPr>
                <w:spacing w:val="-4"/>
              </w:rPr>
              <w:t>状面积比</w:t>
            </w:r>
          </w:p>
          <w:p w14:paraId="1B344DAC">
            <w:pPr>
              <w:pStyle w:val="6"/>
              <w:spacing w:before="93" w:line="224" w:lineRule="auto"/>
              <w:ind w:left="508"/>
            </w:pPr>
            <w:r>
              <w:t>例</w:t>
            </w:r>
          </w:p>
        </w:tc>
        <w:tc>
          <w:tcPr>
            <w:tcW w:w="1330" w:type="dxa"/>
            <w:vAlign w:val="top"/>
          </w:tcPr>
          <w:p w14:paraId="40ACE20B">
            <w:pPr>
              <w:pStyle w:val="6"/>
              <w:spacing w:before="256" w:line="303" w:lineRule="auto"/>
              <w:ind w:left="176" w:right="105" w:hanging="25"/>
            </w:pPr>
            <w:r>
              <w:rPr>
                <w:spacing w:val="-7"/>
              </w:rPr>
              <w:t>区块占地面</w:t>
            </w:r>
            <w:r>
              <w:rPr>
                <w:spacing w:val="2"/>
              </w:rPr>
              <w:t xml:space="preserve"> </w:t>
            </w:r>
            <w:r>
              <w:rPr>
                <w:spacing w:val="-3"/>
              </w:rPr>
              <w:t>积（</w:t>
            </w:r>
            <w:r>
              <w:rPr>
                <w:rFonts w:ascii="Times New Roman" w:hAnsi="Times New Roman" w:eastAsia="Times New Roman" w:cs="Times New Roman"/>
                <w:spacing w:val="-3"/>
              </w:rPr>
              <w:t>km</w:t>
            </w:r>
            <w:r>
              <w:rPr>
                <w:rFonts w:ascii="Times New Roman" w:hAnsi="Times New Roman" w:eastAsia="Times New Roman" w:cs="Times New Roman"/>
                <w:spacing w:val="-3"/>
                <w:position w:val="7"/>
                <w:sz w:val="14"/>
                <w:szCs w:val="14"/>
              </w:rPr>
              <w:t>2</w:t>
            </w:r>
            <w:r>
              <w:rPr>
                <w:spacing w:val="-3"/>
              </w:rPr>
              <w:t>）</w:t>
            </w:r>
          </w:p>
        </w:tc>
        <w:tc>
          <w:tcPr>
            <w:tcW w:w="1108" w:type="dxa"/>
            <w:vAlign w:val="top"/>
          </w:tcPr>
          <w:p w14:paraId="673AFDCD">
            <w:pPr>
              <w:pStyle w:val="6"/>
              <w:spacing w:before="76" w:line="226" w:lineRule="auto"/>
              <w:ind w:left="172"/>
            </w:pPr>
            <w:r>
              <w:rPr>
                <w:spacing w:val="-13"/>
              </w:rPr>
              <w:t>占全区现</w:t>
            </w:r>
          </w:p>
          <w:p w14:paraId="41B67558">
            <w:pPr>
              <w:pStyle w:val="6"/>
              <w:spacing w:before="90" w:line="224" w:lineRule="auto"/>
              <w:ind w:left="134"/>
            </w:pPr>
            <w:r>
              <w:rPr>
                <w:spacing w:val="-4"/>
              </w:rPr>
              <w:t>状面积比</w:t>
            </w:r>
          </w:p>
          <w:p w14:paraId="374EDC7C">
            <w:pPr>
              <w:pStyle w:val="6"/>
              <w:spacing w:before="93" w:line="224" w:lineRule="auto"/>
              <w:ind w:left="462"/>
            </w:pPr>
            <w:r>
              <w:t>例</w:t>
            </w:r>
          </w:p>
        </w:tc>
        <w:tc>
          <w:tcPr>
            <w:tcW w:w="1124" w:type="dxa"/>
            <w:vMerge w:val="continue"/>
            <w:tcBorders>
              <w:top w:val="nil"/>
              <w:right w:val="single" w:color="000000" w:sz="10" w:space="0"/>
            </w:tcBorders>
            <w:vAlign w:val="top"/>
          </w:tcPr>
          <w:p w14:paraId="76BF08CB">
            <w:pPr>
              <w:rPr>
                <w:rFonts w:ascii="Arial"/>
                <w:sz w:val="21"/>
              </w:rPr>
            </w:pPr>
          </w:p>
        </w:tc>
      </w:tr>
      <w:tr w14:paraId="09A354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737" w:type="dxa"/>
            <w:tcBorders>
              <w:left w:val="single" w:color="000000" w:sz="10" w:space="0"/>
            </w:tcBorders>
            <w:vAlign w:val="top"/>
          </w:tcPr>
          <w:p w14:paraId="515AE467">
            <w:pPr>
              <w:spacing w:before="123" w:line="189" w:lineRule="auto"/>
              <w:ind w:left="321"/>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847" w:type="dxa"/>
            <w:vAlign w:val="top"/>
          </w:tcPr>
          <w:p w14:paraId="42B2E317">
            <w:pPr>
              <w:pStyle w:val="6"/>
              <w:spacing w:before="87" w:line="221" w:lineRule="auto"/>
              <w:ind w:left="205"/>
            </w:pPr>
            <w:r>
              <w:rPr>
                <w:spacing w:val="-7"/>
              </w:rPr>
              <w:t>耕地</w:t>
            </w:r>
          </w:p>
        </w:tc>
        <w:tc>
          <w:tcPr>
            <w:tcW w:w="1503" w:type="dxa"/>
            <w:vAlign w:val="top"/>
          </w:tcPr>
          <w:p w14:paraId="4995D02A">
            <w:pPr>
              <w:spacing w:before="123" w:line="189" w:lineRule="auto"/>
              <w:ind w:left="340"/>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533.1964</w:t>
            </w:r>
          </w:p>
        </w:tc>
        <w:tc>
          <w:tcPr>
            <w:tcW w:w="1044" w:type="dxa"/>
            <w:vAlign w:val="top"/>
          </w:tcPr>
          <w:p w14:paraId="55D98661">
            <w:pPr>
              <w:spacing w:before="123" w:line="189" w:lineRule="auto"/>
              <w:ind w:left="222"/>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0.8237</w:t>
            </w:r>
          </w:p>
        </w:tc>
        <w:tc>
          <w:tcPr>
            <w:tcW w:w="1212" w:type="dxa"/>
            <w:vAlign w:val="top"/>
          </w:tcPr>
          <w:p w14:paraId="029DECCE">
            <w:pPr>
              <w:spacing w:before="123" w:line="189" w:lineRule="auto"/>
              <w:ind w:left="217"/>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0.</w:t>
            </w:r>
            <w:r>
              <w:rPr>
                <w:rFonts w:ascii="Times New Roman" w:hAnsi="Times New Roman" w:eastAsia="Times New Roman" w:cs="Times New Roman"/>
                <w:spacing w:val="-27"/>
                <w:sz w:val="22"/>
                <w:szCs w:val="22"/>
              </w:rPr>
              <w:t xml:space="preserve"> </w:t>
            </w:r>
            <w:r>
              <w:rPr>
                <w:rFonts w:ascii="Times New Roman" w:hAnsi="Times New Roman" w:eastAsia="Times New Roman" w:cs="Times New Roman"/>
                <w:spacing w:val="-5"/>
                <w:sz w:val="22"/>
                <w:szCs w:val="22"/>
              </w:rPr>
              <w:t>1545%</w:t>
            </w:r>
          </w:p>
        </w:tc>
        <w:tc>
          <w:tcPr>
            <w:tcW w:w="1330" w:type="dxa"/>
            <w:vAlign w:val="top"/>
          </w:tcPr>
          <w:p w14:paraId="13BFDDA1">
            <w:pPr>
              <w:spacing w:before="123" w:line="189" w:lineRule="auto"/>
              <w:ind w:left="37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0.8237</w:t>
            </w:r>
          </w:p>
        </w:tc>
        <w:tc>
          <w:tcPr>
            <w:tcW w:w="1108" w:type="dxa"/>
            <w:vAlign w:val="top"/>
          </w:tcPr>
          <w:p w14:paraId="2711BFFD">
            <w:pPr>
              <w:spacing w:before="123" w:line="189" w:lineRule="auto"/>
              <w:ind w:left="173"/>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0.</w:t>
            </w:r>
            <w:r>
              <w:rPr>
                <w:rFonts w:ascii="Times New Roman" w:hAnsi="Times New Roman" w:eastAsia="Times New Roman" w:cs="Times New Roman"/>
                <w:spacing w:val="-29"/>
                <w:sz w:val="22"/>
                <w:szCs w:val="22"/>
              </w:rPr>
              <w:t xml:space="preserve"> </w:t>
            </w:r>
            <w:r>
              <w:rPr>
                <w:rFonts w:ascii="Times New Roman" w:hAnsi="Times New Roman" w:eastAsia="Times New Roman" w:cs="Times New Roman"/>
                <w:spacing w:val="-5"/>
                <w:sz w:val="22"/>
                <w:szCs w:val="22"/>
              </w:rPr>
              <w:t>1545%</w:t>
            </w:r>
          </w:p>
        </w:tc>
        <w:tc>
          <w:tcPr>
            <w:tcW w:w="1124" w:type="dxa"/>
            <w:tcBorders>
              <w:right w:val="single" w:color="000000" w:sz="10" w:space="0"/>
            </w:tcBorders>
            <w:vAlign w:val="top"/>
          </w:tcPr>
          <w:p w14:paraId="30070ED9">
            <w:pPr>
              <w:spacing w:before="123" w:line="189" w:lineRule="auto"/>
              <w:ind w:left="515"/>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r>
      <w:tr w14:paraId="20AB77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737" w:type="dxa"/>
            <w:tcBorders>
              <w:left w:val="single" w:color="000000" w:sz="10" w:space="0"/>
              <w:bottom w:val="single" w:color="000000" w:sz="10" w:space="0"/>
            </w:tcBorders>
            <w:vAlign w:val="top"/>
          </w:tcPr>
          <w:p w14:paraId="00D9D39A">
            <w:pPr>
              <w:spacing w:before="129" w:line="189" w:lineRule="auto"/>
              <w:ind w:left="300"/>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847" w:type="dxa"/>
            <w:tcBorders>
              <w:bottom w:val="single" w:color="000000" w:sz="10" w:space="0"/>
            </w:tcBorders>
            <w:vAlign w:val="top"/>
          </w:tcPr>
          <w:p w14:paraId="4DDE04A3">
            <w:pPr>
              <w:pStyle w:val="6"/>
              <w:spacing w:before="91" w:line="223" w:lineRule="auto"/>
              <w:ind w:left="205"/>
            </w:pPr>
            <w:r>
              <w:rPr>
                <w:spacing w:val="-7"/>
              </w:rPr>
              <w:t>林地</w:t>
            </w:r>
          </w:p>
        </w:tc>
        <w:tc>
          <w:tcPr>
            <w:tcW w:w="1503" w:type="dxa"/>
            <w:tcBorders>
              <w:bottom w:val="single" w:color="000000" w:sz="10" w:space="0"/>
            </w:tcBorders>
            <w:vAlign w:val="top"/>
          </w:tcPr>
          <w:p w14:paraId="6B01A9BE">
            <w:pPr>
              <w:spacing w:before="129" w:line="189" w:lineRule="auto"/>
              <w:ind w:left="300"/>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1651.5732</w:t>
            </w:r>
          </w:p>
        </w:tc>
        <w:tc>
          <w:tcPr>
            <w:tcW w:w="1044" w:type="dxa"/>
            <w:tcBorders>
              <w:bottom w:val="single" w:color="000000" w:sz="10" w:space="0"/>
            </w:tcBorders>
            <w:vAlign w:val="top"/>
          </w:tcPr>
          <w:p w14:paraId="3CF41517">
            <w:pPr>
              <w:spacing w:before="129" w:line="189" w:lineRule="auto"/>
              <w:ind w:left="272"/>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4.499</w:t>
            </w:r>
          </w:p>
        </w:tc>
        <w:tc>
          <w:tcPr>
            <w:tcW w:w="1212" w:type="dxa"/>
            <w:tcBorders>
              <w:bottom w:val="single" w:color="000000" w:sz="10" w:space="0"/>
            </w:tcBorders>
            <w:vAlign w:val="top"/>
          </w:tcPr>
          <w:p w14:paraId="6FD56647">
            <w:pPr>
              <w:spacing w:before="126" w:line="189" w:lineRule="auto"/>
              <w:ind w:left="217"/>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0.2724%</w:t>
            </w:r>
          </w:p>
        </w:tc>
        <w:tc>
          <w:tcPr>
            <w:tcW w:w="1330" w:type="dxa"/>
            <w:tcBorders>
              <w:bottom w:val="single" w:color="000000" w:sz="10" w:space="0"/>
            </w:tcBorders>
            <w:vAlign w:val="top"/>
          </w:tcPr>
          <w:p w14:paraId="3833BB6C">
            <w:pPr>
              <w:spacing w:before="129" w:line="189" w:lineRule="auto"/>
              <w:ind w:left="42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4.499</w:t>
            </w:r>
          </w:p>
        </w:tc>
        <w:tc>
          <w:tcPr>
            <w:tcW w:w="1108" w:type="dxa"/>
            <w:tcBorders>
              <w:bottom w:val="single" w:color="000000" w:sz="10" w:space="0"/>
            </w:tcBorders>
            <w:vAlign w:val="top"/>
          </w:tcPr>
          <w:p w14:paraId="68BBD8B1">
            <w:pPr>
              <w:spacing w:before="126" w:line="189" w:lineRule="auto"/>
              <w:ind w:left="17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0.2724%</w:t>
            </w:r>
          </w:p>
        </w:tc>
        <w:tc>
          <w:tcPr>
            <w:tcW w:w="1124" w:type="dxa"/>
            <w:tcBorders>
              <w:bottom w:val="single" w:color="000000" w:sz="10" w:space="0"/>
              <w:right w:val="single" w:color="000000" w:sz="10" w:space="0"/>
            </w:tcBorders>
            <w:vAlign w:val="top"/>
          </w:tcPr>
          <w:p w14:paraId="6FEE05A2">
            <w:pPr>
              <w:spacing w:before="129" w:line="189" w:lineRule="auto"/>
              <w:ind w:left="515"/>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r>
    </w:tbl>
    <w:p w14:paraId="7FDB2AF9">
      <w:pPr>
        <w:spacing w:before="147" w:line="340" w:lineRule="auto"/>
        <w:ind w:left="131" w:right="114" w:firstLine="490"/>
        <w:rPr>
          <w:rFonts w:ascii="仿宋" w:hAnsi="仿宋" w:eastAsia="仿宋" w:cs="仿宋"/>
          <w:sz w:val="25"/>
          <w:szCs w:val="25"/>
        </w:rPr>
      </w:pPr>
      <w:r>
        <w:rPr>
          <w:rFonts w:ascii="仿宋" w:hAnsi="仿宋" w:eastAsia="仿宋" w:cs="仿宋"/>
          <w:spacing w:val="9"/>
          <w:sz w:val="25"/>
          <w:szCs w:val="25"/>
        </w:rPr>
        <w:t>分析可知，调整开采区块后，露天开采区块占用耕地和林地不变，分别为</w:t>
      </w:r>
      <w:r>
        <w:rPr>
          <w:rFonts w:ascii="仿宋" w:hAnsi="仿宋" w:eastAsia="仿宋" w:cs="仿宋"/>
          <w:spacing w:val="11"/>
          <w:sz w:val="25"/>
          <w:szCs w:val="25"/>
        </w:rPr>
        <w:t xml:space="preserve"> </w:t>
      </w:r>
      <w:r>
        <w:rPr>
          <w:rFonts w:ascii="Times New Roman" w:hAnsi="Times New Roman" w:eastAsia="Times New Roman" w:cs="Times New Roman"/>
          <w:spacing w:val="4"/>
          <w:sz w:val="25"/>
          <w:szCs w:val="25"/>
        </w:rPr>
        <w:t>0.8237</w:t>
      </w:r>
      <w:r>
        <w:rPr>
          <w:rFonts w:ascii="Times New Roman" w:hAnsi="Times New Roman" w:eastAsia="Times New Roman" w:cs="Times New Roman"/>
          <w:sz w:val="25"/>
          <w:szCs w:val="25"/>
        </w:rPr>
        <w:t>km</w:t>
      </w:r>
      <w:r>
        <w:rPr>
          <w:rFonts w:ascii="Times New Roman" w:hAnsi="Times New Roman" w:eastAsia="Times New Roman" w:cs="Times New Roman"/>
          <w:spacing w:val="4"/>
          <w:position w:val="8"/>
          <w:sz w:val="16"/>
          <w:szCs w:val="16"/>
        </w:rPr>
        <w:t>2</w:t>
      </w:r>
      <w:r>
        <w:rPr>
          <w:rFonts w:ascii="Times New Roman" w:hAnsi="Times New Roman" w:eastAsia="Times New Roman" w:cs="Times New Roman"/>
          <w:spacing w:val="20"/>
          <w:position w:val="8"/>
          <w:sz w:val="16"/>
          <w:szCs w:val="16"/>
        </w:rPr>
        <w:t xml:space="preserve"> </w:t>
      </w:r>
      <w:r>
        <w:rPr>
          <w:rFonts w:ascii="仿宋" w:hAnsi="仿宋" w:eastAsia="仿宋" w:cs="仿宋"/>
          <w:spacing w:val="4"/>
          <w:sz w:val="25"/>
          <w:szCs w:val="25"/>
        </w:rPr>
        <w:t>和</w:t>
      </w:r>
      <w:r>
        <w:rPr>
          <w:rFonts w:ascii="仿宋" w:hAnsi="仿宋" w:eastAsia="仿宋" w:cs="仿宋"/>
          <w:spacing w:val="-56"/>
          <w:sz w:val="25"/>
          <w:szCs w:val="25"/>
        </w:rPr>
        <w:t xml:space="preserve"> </w:t>
      </w:r>
      <w:r>
        <w:rPr>
          <w:rFonts w:ascii="Times New Roman" w:hAnsi="Times New Roman" w:eastAsia="Times New Roman" w:cs="Times New Roman"/>
          <w:spacing w:val="4"/>
          <w:sz w:val="25"/>
          <w:szCs w:val="25"/>
        </w:rPr>
        <w:t>4.499</w:t>
      </w:r>
      <w:r>
        <w:rPr>
          <w:rFonts w:ascii="Times New Roman" w:hAnsi="Times New Roman" w:eastAsia="Times New Roman" w:cs="Times New Roman"/>
          <w:sz w:val="25"/>
          <w:szCs w:val="25"/>
        </w:rPr>
        <w:t>km</w:t>
      </w:r>
      <w:r>
        <w:rPr>
          <w:rFonts w:ascii="Times New Roman" w:hAnsi="Times New Roman" w:eastAsia="Times New Roman" w:cs="Times New Roman"/>
          <w:spacing w:val="4"/>
          <w:position w:val="8"/>
          <w:sz w:val="16"/>
          <w:szCs w:val="16"/>
        </w:rPr>
        <w:t>2</w:t>
      </w:r>
      <w:r>
        <w:rPr>
          <w:rFonts w:ascii="仿宋" w:hAnsi="仿宋" w:eastAsia="仿宋" w:cs="仿宋"/>
          <w:spacing w:val="4"/>
          <w:sz w:val="25"/>
          <w:szCs w:val="25"/>
        </w:rPr>
        <w:t>。</w:t>
      </w:r>
    </w:p>
    <w:p w14:paraId="130DE839">
      <w:pPr>
        <w:spacing w:line="338" w:lineRule="auto"/>
        <w:ind w:left="139" w:right="71" w:firstLine="480"/>
        <w:rPr>
          <w:rFonts w:ascii="仿宋" w:hAnsi="仿宋" w:eastAsia="仿宋" w:cs="仿宋"/>
          <w:sz w:val="25"/>
          <w:szCs w:val="25"/>
        </w:rPr>
      </w:pPr>
      <w:r>
        <w:rPr>
          <w:rFonts w:ascii="仿宋" w:hAnsi="仿宋" w:eastAsia="仿宋" w:cs="仿宋"/>
          <w:spacing w:val="5"/>
          <w:sz w:val="25"/>
          <w:szCs w:val="25"/>
        </w:rPr>
        <w:t>根据《重庆市黔江区国土空间分区规划（</w:t>
      </w:r>
      <w:r>
        <w:rPr>
          <w:rFonts w:ascii="Times New Roman" w:hAnsi="Times New Roman" w:eastAsia="Times New Roman" w:cs="Times New Roman"/>
          <w:spacing w:val="5"/>
          <w:sz w:val="25"/>
          <w:szCs w:val="25"/>
        </w:rPr>
        <w:t>2021-</w:t>
      </w:r>
      <w:r>
        <w:rPr>
          <w:rFonts w:ascii="Times New Roman" w:hAnsi="Times New Roman" w:eastAsia="Times New Roman" w:cs="Times New Roman"/>
          <w:spacing w:val="4"/>
          <w:sz w:val="25"/>
          <w:szCs w:val="25"/>
        </w:rPr>
        <w:t>2035</w:t>
      </w:r>
      <w:r>
        <w:rPr>
          <w:rFonts w:ascii="Times New Roman" w:hAnsi="Times New Roman" w:eastAsia="Times New Roman" w:cs="Times New Roman"/>
          <w:spacing w:val="27"/>
          <w:w w:val="101"/>
          <w:sz w:val="25"/>
          <w:szCs w:val="25"/>
        </w:rPr>
        <w:t xml:space="preserve"> </w:t>
      </w:r>
      <w:r>
        <w:rPr>
          <w:rFonts w:ascii="仿宋" w:hAnsi="仿宋" w:eastAsia="仿宋" w:cs="仿宋"/>
          <w:spacing w:val="4"/>
          <w:sz w:val="25"/>
          <w:szCs w:val="25"/>
        </w:rPr>
        <w:t>年）》，黔江区现状耕</w:t>
      </w:r>
      <w:r>
        <w:rPr>
          <w:rFonts w:ascii="仿宋" w:hAnsi="仿宋" w:eastAsia="仿宋" w:cs="仿宋"/>
          <w:sz w:val="25"/>
          <w:szCs w:val="25"/>
        </w:rPr>
        <w:t xml:space="preserve"> </w:t>
      </w:r>
      <w:r>
        <w:rPr>
          <w:rFonts w:ascii="仿宋" w:hAnsi="仿宋" w:eastAsia="仿宋" w:cs="仿宋"/>
          <w:spacing w:val="4"/>
          <w:sz w:val="25"/>
          <w:szCs w:val="25"/>
        </w:rPr>
        <w:t>地保有量为</w:t>
      </w:r>
      <w:r>
        <w:rPr>
          <w:rFonts w:ascii="仿宋" w:hAnsi="仿宋" w:eastAsia="仿宋" w:cs="仿宋"/>
          <w:spacing w:val="-55"/>
          <w:sz w:val="25"/>
          <w:szCs w:val="25"/>
        </w:rPr>
        <w:t xml:space="preserve"> </w:t>
      </w:r>
      <w:r>
        <w:rPr>
          <w:rFonts w:ascii="Times New Roman" w:hAnsi="Times New Roman" w:eastAsia="Times New Roman" w:cs="Times New Roman"/>
          <w:spacing w:val="4"/>
          <w:sz w:val="25"/>
          <w:szCs w:val="25"/>
        </w:rPr>
        <w:t>456.6</w:t>
      </w:r>
      <w:r>
        <w:rPr>
          <w:rFonts w:ascii="Times New Roman" w:hAnsi="Times New Roman" w:eastAsia="Times New Roman" w:cs="Times New Roman"/>
          <w:sz w:val="25"/>
          <w:szCs w:val="25"/>
        </w:rPr>
        <w:t>km</w:t>
      </w:r>
      <w:r>
        <w:rPr>
          <w:rFonts w:ascii="Times New Roman" w:hAnsi="Times New Roman" w:eastAsia="Times New Roman" w:cs="Times New Roman"/>
          <w:spacing w:val="4"/>
          <w:position w:val="8"/>
          <w:sz w:val="16"/>
          <w:szCs w:val="16"/>
        </w:rPr>
        <w:t xml:space="preserve">2 </w:t>
      </w:r>
      <w:r>
        <w:rPr>
          <w:rFonts w:ascii="仿宋" w:hAnsi="仿宋" w:eastAsia="仿宋" w:cs="仿宋"/>
          <w:spacing w:val="4"/>
          <w:sz w:val="25"/>
          <w:szCs w:val="25"/>
        </w:rPr>
        <w:t>，到</w:t>
      </w:r>
      <w:r>
        <w:rPr>
          <w:rFonts w:ascii="仿宋" w:hAnsi="仿宋" w:eastAsia="仿宋" w:cs="仿宋"/>
          <w:spacing w:val="-55"/>
          <w:sz w:val="25"/>
          <w:szCs w:val="25"/>
        </w:rPr>
        <w:t xml:space="preserve"> </w:t>
      </w:r>
      <w:r>
        <w:rPr>
          <w:rFonts w:ascii="Times New Roman" w:hAnsi="Times New Roman" w:eastAsia="Times New Roman" w:cs="Times New Roman"/>
          <w:spacing w:val="4"/>
          <w:sz w:val="25"/>
          <w:szCs w:val="25"/>
        </w:rPr>
        <w:t>2027</w:t>
      </w:r>
      <w:r>
        <w:rPr>
          <w:rFonts w:ascii="Times New Roman" w:hAnsi="Times New Roman" w:eastAsia="Times New Roman" w:cs="Times New Roman"/>
          <w:spacing w:val="27"/>
          <w:sz w:val="25"/>
          <w:szCs w:val="25"/>
        </w:rPr>
        <w:t xml:space="preserve"> </w:t>
      </w:r>
      <w:r>
        <w:rPr>
          <w:rFonts w:ascii="仿宋" w:hAnsi="仿宋" w:eastAsia="仿宋" w:cs="仿宋"/>
          <w:spacing w:val="4"/>
          <w:sz w:val="25"/>
          <w:szCs w:val="25"/>
        </w:rPr>
        <w:t>年和</w:t>
      </w:r>
      <w:r>
        <w:rPr>
          <w:rFonts w:ascii="仿宋" w:hAnsi="仿宋" w:eastAsia="仿宋" w:cs="仿宋"/>
          <w:spacing w:val="-52"/>
          <w:sz w:val="25"/>
          <w:szCs w:val="25"/>
        </w:rPr>
        <w:t xml:space="preserve"> </w:t>
      </w:r>
      <w:r>
        <w:rPr>
          <w:rFonts w:ascii="Times New Roman" w:hAnsi="Times New Roman" w:eastAsia="Times New Roman" w:cs="Times New Roman"/>
          <w:spacing w:val="4"/>
          <w:sz w:val="25"/>
          <w:szCs w:val="25"/>
        </w:rPr>
        <w:t>2035</w:t>
      </w:r>
      <w:r>
        <w:rPr>
          <w:rFonts w:ascii="Times New Roman" w:hAnsi="Times New Roman" w:eastAsia="Times New Roman" w:cs="Times New Roman"/>
          <w:spacing w:val="27"/>
          <w:sz w:val="25"/>
          <w:szCs w:val="25"/>
        </w:rPr>
        <w:t xml:space="preserve"> </w:t>
      </w:r>
      <w:r>
        <w:rPr>
          <w:rFonts w:ascii="仿宋" w:hAnsi="仿宋" w:eastAsia="仿宋" w:cs="仿宋"/>
          <w:spacing w:val="4"/>
          <w:sz w:val="25"/>
          <w:szCs w:val="25"/>
        </w:rPr>
        <w:t>年均</w:t>
      </w:r>
      <w:r>
        <w:rPr>
          <w:rFonts w:ascii="Times New Roman" w:hAnsi="Times New Roman" w:eastAsia="Times New Roman" w:cs="Times New Roman"/>
          <w:spacing w:val="4"/>
          <w:sz w:val="25"/>
          <w:szCs w:val="25"/>
        </w:rPr>
        <w:t>≥430.67</w:t>
      </w:r>
      <w:r>
        <w:rPr>
          <w:rFonts w:ascii="Times New Roman" w:hAnsi="Times New Roman" w:eastAsia="Times New Roman" w:cs="Times New Roman"/>
          <w:sz w:val="25"/>
          <w:szCs w:val="25"/>
        </w:rPr>
        <w:t>km</w:t>
      </w:r>
      <w:r>
        <w:rPr>
          <w:rFonts w:ascii="Times New Roman" w:hAnsi="Times New Roman" w:eastAsia="Times New Roman" w:cs="Times New Roman"/>
          <w:spacing w:val="4"/>
          <w:position w:val="8"/>
          <w:sz w:val="16"/>
          <w:szCs w:val="16"/>
        </w:rPr>
        <w:t>2</w:t>
      </w:r>
      <w:r>
        <w:rPr>
          <w:rFonts w:ascii="Times New Roman" w:hAnsi="Times New Roman" w:eastAsia="Times New Roman" w:cs="Times New Roman"/>
          <w:spacing w:val="3"/>
          <w:position w:val="8"/>
          <w:sz w:val="16"/>
          <w:szCs w:val="16"/>
        </w:rPr>
        <w:t xml:space="preserve"> </w:t>
      </w:r>
      <w:r>
        <w:rPr>
          <w:rFonts w:ascii="仿宋" w:hAnsi="仿宋" w:eastAsia="仿宋" w:cs="仿宋"/>
          <w:spacing w:val="3"/>
          <w:sz w:val="25"/>
          <w:szCs w:val="25"/>
        </w:rPr>
        <w:t>，规划实施后，黔江</w:t>
      </w:r>
    </w:p>
    <w:p w14:paraId="1B537CF0">
      <w:pPr>
        <w:spacing w:line="338" w:lineRule="auto"/>
        <w:rPr>
          <w:rFonts w:ascii="仿宋" w:hAnsi="仿宋" w:eastAsia="仿宋" w:cs="仿宋"/>
          <w:sz w:val="25"/>
          <w:szCs w:val="25"/>
        </w:rPr>
        <w:sectPr>
          <w:headerReference r:id="rId172" w:type="default"/>
          <w:footerReference r:id="rId173" w:type="default"/>
          <w:pgSz w:w="11906" w:h="16839"/>
          <w:pgMar w:top="1116" w:right="1404" w:bottom="866" w:left="1464" w:header="683" w:footer="703" w:gutter="0"/>
          <w:cols w:space="720" w:num="1"/>
        </w:sectPr>
      </w:pPr>
    </w:p>
    <w:p w14:paraId="7DB8AF77">
      <w:pPr>
        <w:pStyle w:val="2"/>
        <w:spacing w:line="387" w:lineRule="auto"/>
      </w:pPr>
    </w:p>
    <w:p w14:paraId="5F4C5E89">
      <w:pPr>
        <w:spacing w:before="81" w:line="340" w:lineRule="auto"/>
        <w:ind w:left="139" w:right="83" w:firstLine="21"/>
        <w:jc w:val="both"/>
        <w:rPr>
          <w:rFonts w:ascii="仿宋" w:hAnsi="仿宋" w:eastAsia="仿宋" w:cs="仿宋"/>
          <w:sz w:val="25"/>
          <w:szCs w:val="25"/>
        </w:rPr>
      </w:pPr>
      <w:r>
        <w:rPr>
          <w:rFonts w:ascii="仿宋" w:hAnsi="仿宋" w:eastAsia="仿宋" w:cs="仿宋"/>
          <w:spacing w:val="4"/>
          <w:sz w:val="25"/>
          <w:szCs w:val="25"/>
        </w:rPr>
        <w:t>区耕地量仅减少</w:t>
      </w:r>
      <w:r>
        <w:rPr>
          <w:rFonts w:ascii="仿宋" w:hAnsi="仿宋" w:eastAsia="仿宋" w:cs="仿宋"/>
          <w:spacing w:val="-47"/>
          <w:sz w:val="25"/>
          <w:szCs w:val="25"/>
        </w:rPr>
        <w:t xml:space="preserve"> </w:t>
      </w:r>
      <w:r>
        <w:rPr>
          <w:rFonts w:ascii="Times New Roman" w:hAnsi="Times New Roman" w:eastAsia="Times New Roman" w:cs="Times New Roman"/>
          <w:spacing w:val="4"/>
          <w:sz w:val="25"/>
          <w:szCs w:val="25"/>
        </w:rPr>
        <w:t>0.8237</w:t>
      </w:r>
      <w:r>
        <w:rPr>
          <w:rFonts w:ascii="Times New Roman" w:hAnsi="Times New Roman" w:eastAsia="Times New Roman" w:cs="Times New Roman"/>
          <w:sz w:val="25"/>
          <w:szCs w:val="25"/>
        </w:rPr>
        <w:t>km</w:t>
      </w:r>
      <w:r>
        <w:rPr>
          <w:rFonts w:ascii="Times New Roman" w:hAnsi="Times New Roman" w:eastAsia="Times New Roman" w:cs="Times New Roman"/>
          <w:spacing w:val="4"/>
          <w:position w:val="8"/>
          <w:sz w:val="16"/>
          <w:szCs w:val="16"/>
        </w:rPr>
        <w:t>2</w:t>
      </w:r>
      <w:r>
        <w:rPr>
          <w:rFonts w:ascii="仿宋" w:hAnsi="仿宋" w:eastAsia="仿宋" w:cs="仿宋"/>
          <w:spacing w:val="4"/>
          <w:sz w:val="25"/>
          <w:szCs w:val="25"/>
        </w:rPr>
        <w:t>（</w:t>
      </w:r>
      <w:r>
        <w:rPr>
          <w:rFonts w:ascii="Times New Roman" w:hAnsi="Times New Roman" w:eastAsia="Times New Roman" w:cs="Times New Roman"/>
          <w:spacing w:val="4"/>
          <w:sz w:val="25"/>
          <w:szCs w:val="25"/>
        </w:rPr>
        <w:t>0.</w:t>
      </w:r>
      <w:r>
        <w:rPr>
          <w:rFonts w:ascii="Times New Roman" w:hAnsi="Times New Roman" w:eastAsia="Times New Roman" w:cs="Times New Roman"/>
          <w:spacing w:val="-33"/>
          <w:sz w:val="25"/>
          <w:szCs w:val="25"/>
        </w:rPr>
        <w:t xml:space="preserve"> </w:t>
      </w:r>
      <w:r>
        <w:rPr>
          <w:rFonts w:ascii="Times New Roman" w:hAnsi="Times New Roman" w:eastAsia="Times New Roman" w:cs="Times New Roman"/>
          <w:spacing w:val="4"/>
          <w:sz w:val="25"/>
          <w:szCs w:val="25"/>
        </w:rPr>
        <w:t>1545%</w:t>
      </w:r>
      <w:r>
        <w:rPr>
          <w:rFonts w:ascii="仿宋" w:hAnsi="仿宋" w:eastAsia="仿宋" w:cs="仿宋"/>
          <w:spacing w:val="2"/>
          <w:sz w:val="25"/>
          <w:szCs w:val="25"/>
        </w:rPr>
        <w:t>），</w:t>
      </w:r>
      <w:r>
        <w:rPr>
          <w:rFonts w:ascii="仿宋" w:hAnsi="仿宋" w:eastAsia="仿宋" w:cs="仿宋"/>
          <w:spacing w:val="-68"/>
          <w:sz w:val="25"/>
          <w:szCs w:val="25"/>
        </w:rPr>
        <w:t xml:space="preserve"> </w:t>
      </w:r>
      <w:r>
        <w:rPr>
          <w:rFonts w:ascii="仿宋" w:hAnsi="仿宋" w:eastAsia="仿宋" w:cs="仿宋"/>
          <w:spacing w:val="4"/>
          <w:sz w:val="25"/>
          <w:szCs w:val="25"/>
        </w:rPr>
        <w:t>占比很小，耕地量能满足耕地保留量</w:t>
      </w:r>
      <w:r>
        <w:rPr>
          <w:rFonts w:ascii="仿宋" w:hAnsi="仿宋" w:eastAsia="仿宋" w:cs="仿宋"/>
          <w:sz w:val="25"/>
          <w:szCs w:val="25"/>
        </w:rPr>
        <w:t xml:space="preserve"> </w:t>
      </w:r>
      <w:r>
        <w:rPr>
          <w:rFonts w:ascii="仿宋" w:hAnsi="仿宋" w:eastAsia="仿宋" w:cs="仿宋"/>
          <w:spacing w:val="7"/>
          <w:sz w:val="25"/>
          <w:szCs w:val="25"/>
        </w:rPr>
        <w:t>控制目标；且规划实施期将大力推进绿色矿山建设和矿区生态保护修复，</w:t>
      </w:r>
      <w:r>
        <w:rPr>
          <w:rFonts w:ascii="仿宋" w:hAnsi="仿宋" w:eastAsia="仿宋" w:cs="仿宋"/>
          <w:spacing w:val="-39"/>
          <w:sz w:val="25"/>
          <w:szCs w:val="25"/>
        </w:rPr>
        <w:t xml:space="preserve"> </w:t>
      </w:r>
      <w:r>
        <w:rPr>
          <w:rFonts w:ascii="仿宋" w:hAnsi="仿宋" w:eastAsia="仿宋" w:cs="仿宋"/>
          <w:spacing w:val="7"/>
          <w:sz w:val="25"/>
          <w:szCs w:val="25"/>
        </w:rPr>
        <w:t>占用</w:t>
      </w:r>
      <w:r>
        <w:rPr>
          <w:rFonts w:ascii="仿宋" w:hAnsi="仿宋" w:eastAsia="仿宋" w:cs="仿宋"/>
          <w:sz w:val="25"/>
          <w:szCs w:val="25"/>
        </w:rPr>
        <w:t xml:space="preserve"> </w:t>
      </w:r>
      <w:r>
        <w:rPr>
          <w:rFonts w:ascii="仿宋" w:hAnsi="仿宋" w:eastAsia="仿宋" w:cs="仿宋"/>
          <w:spacing w:val="8"/>
          <w:sz w:val="25"/>
          <w:szCs w:val="25"/>
        </w:rPr>
        <w:t>土地将按照“边开采边修复</w:t>
      </w:r>
      <w:r>
        <w:rPr>
          <w:rFonts w:ascii="仿宋" w:hAnsi="仿宋" w:eastAsia="仿宋" w:cs="仿宋"/>
          <w:spacing w:val="-73"/>
          <w:sz w:val="25"/>
          <w:szCs w:val="25"/>
        </w:rPr>
        <w:t xml:space="preserve"> </w:t>
      </w:r>
      <w:r>
        <w:rPr>
          <w:rFonts w:ascii="仿宋" w:hAnsi="仿宋" w:eastAsia="仿宋" w:cs="仿宋"/>
          <w:spacing w:val="8"/>
          <w:sz w:val="25"/>
          <w:szCs w:val="25"/>
        </w:rPr>
        <w:t>”的原则实施矿山地质环境恢复治理和土地复垦工</w:t>
      </w:r>
      <w:r>
        <w:rPr>
          <w:rFonts w:ascii="仿宋" w:hAnsi="仿宋" w:eastAsia="仿宋" w:cs="仿宋"/>
          <w:sz w:val="25"/>
          <w:szCs w:val="25"/>
        </w:rPr>
        <w:t xml:space="preserve"> </w:t>
      </w:r>
      <w:r>
        <w:rPr>
          <w:rFonts w:ascii="仿宋" w:hAnsi="仿宋" w:eastAsia="仿宋" w:cs="仿宋"/>
          <w:spacing w:val="8"/>
          <w:sz w:val="25"/>
          <w:szCs w:val="25"/>
        </w:rPr>
        <w:t>作，</w:t>
      </w:r>
      <w:r>
        <w:rPr>
          <w:rFonts w:ascii="仿宋" w:hAnsi="仿宋" w:eastAsia="仿宋" w:cs="仿宋"/>
          <w:spacing w:val="-68"/>
          <w:sz w:val="25"/>
          <w:szCs w:val="25"/>
        </w:rPr>
        <w:t xml:space="preserve"> </w:t>
      </w:r>
      <w:r>
        <w:rPr>
          <w:rFonts w:ascii="仿宋" w:hAnsi="仿宋" w:eastAsia="仿宋" w:cs="仿宋"/>
          <w:spacing w:val="8"/>
          <w:sz w:val="25"/>
          <w:szCs w:val="25"/>
        </w:rPr>
        <w:t>同时，区域内的关闭及历史遗留矿山将继续按照《关闭矿山地</w:t>
      </w:r>
      <w:r>
        <w:rPr>
          <w:rFonts w:ascii="仿宋" w:hAnsi="仿宋" w:eastAsia="仿宋" w:cs="仿宋"/>
          <w:spacing w:val="7"/>
          <w:sz w:val="25"/>
          <w:szCs w:val="25"/>
        </w:rPr>
        <w:t>质环境治理</w:t>
      </w:r>
      <w:r>
        <w:rPr>
          <w:rFonts w:ascii="仿宋" w:hAnsi="仿宋" w:eastAsia="仿宋" w:cs="仿宋"/>
          <w:sz w:val="25"/>
          <w:szCs w:val="25"/>
        </w:rPr>
        <w:t xml:space="preserve"> </w:t>
      </w:r>
      <w:r>
        <w:rPr>
          <w:rFonts w:ascii="仿宋" w:hAnsi="仿宋" w:eastAsia="仿宋" w:cs="仿宋"/>
          <w:spacing w:val="6"/>
          <w:sz w:val="25"/>
          <w:szCs w:val="25"/>
        </w:rPr>
        <w:t>恢复与土地复垦工作方案》（渝府办发〔</w:t>
      </w:r>
      <w:r>
        <w:rPr>
          <w:rFonts w:ascii="Times New Roman" w:hAnsi="Times New Roman" w:eastAsia="Times New Roman" w:cs="Times New Roman"/>
          <w:spacing w:val="6"/>
          <w:sz w:val="25"/>
          <w:szCs w:val="25"/>
        </w:rPr>
        <w:t>2018</w:t>
      </w:r>
      <w:r>
        <w:rPr>
          <w:rFonts w:ascii="仿宋" w:hAnsi="仿宋" w:eastAsia="仿宋" w:cs="仿宋"/>
          <w:spacing w:val="6"/>
          <w:sz w:val="25"/>
          <w:szCs w:val="25"/>
        </w:rPr>
        <w:t>〕</w:t>
      </w:r>
      <w:r>
        <w:rPr>
          <w:rFonts w:ascii="Times New Roman" w:hAnsi="Times New Roman" w:eastAsia="Times New Roman" w:cs="Times New Roman"/>
          <w:spacing w:val="6"/>
          <w:sz w:val="25"/>
          <w:szCs w:val="25"/>
        </w:rPr>
        <w:t>55</w:t>
      </w:r>
      <w:r>
        <w:rPr>
          <w:rFonts w:ascii="Times New Roman" w:hAnsi="Times New Roman" w:eastAsia="Times New Roman" w:cs="Times New Roman"/>
          <w:spacing w:val="40"/>
          <w:sz w:val="25"/>
          <w:szCs w:val="25"/>
        </w:rPr>
        <w:t xml:space="preserve"> </w:t>
      </w:r>
      <w:r>
        <w:rPr>
          <w:rFonts w:ascii="仿宋" w:hAnsi="仿宋" w:eastAsia="仿宋" w:cs="仿宋"/>
          <w:spacing w:val="6"/>
          <w:sz w:val="25"/>
          <w:szCs w:val="25"/>
        </w:rPr>
        <w:t>号）等要求有序推进矿山地</w:t>
      </w:r>
      <w:r>
        <w:rPr>
          <w:rFonts w:ascii="仿宋" w:hAnsi="仿宋" w:eastAsia="仿宋" w:cs="仿宋"/>
          <w:sz w:val="25"/>
          <w:szCs w:val="25"/>
        </w:rPr>
        <w:t xml:space="preserve"> </w:t>
      </w:r>
      <w:r>
        <w:rPr>
          <w:rFonts w:ascii="仿宋" w:hAnsi="仿宋" w:eastAsia="仿宋" w:cs="仿宋"/>
          <w:spacing w:val="9"/>
          <w:sz w:val="25"/>
          <w:szCs w:val="25"/>
        </w:rPr>
        <w:t>质环境恢复治理和土地复垦，土地资源将得到有效补充。评价认为，土地资源</w:t>
      </w:r>
      <w:r>
        <w:rPr>
          <w:rFonts w:ascii="仿宋" w:hAnsi="仿宋" w:eastAsia="仿宋" w:cs="仿宋"/>
          <w:spacing w:val="18"/>
          <w:sz w:val="25"/>
          <w:szCs w:val="25"/>
        </w:rPr>
        <w:t xml:space="preserve"> </w:t>
      </w:r>
      <w:r>
        <w:rPr>
          <w:rFonts w:ascii="仿宋" w:hAnsi="仿宋" w:eastAsia="仿宋" w:cs="仿宋"/>
          <w:spacing w:val="9"/>
          <w:sz w:val="25"/>
          <w:szCs w:val="25"/>
        </w:rPr>
        <w:t>可承载规划实施，《规划调整》不会从总体上对全区土地利用现状造成明显改</w:t>
      </w:r>
      <w:r>
        <w:rPr>
          <w:rFonts w:ascii="仿宋" w:hAnsi="仿宋" w:eastAsia="仿宋" w:cs="仿宋"/>
          <w:spacing w:val="18"/>
          <w:sz w:val="25"/>
          <w:szCs w:val="25"/>
        </w:rPr>
        <w:t xml:space="preserve"> </w:t>
      </w:r>
      <w:r>
        <w:rPr>
          <w:rFonts w:ascii="仿宋" w:hAnsi="仿宋" w:eastAsia="仿宋" w:cs="仿宋"/>
          <w:spacing w:val="-5"/>
          <w:sz w:val="25"/>
          <w:szCs w:val="25"/>
        </w:rPr>
        <w:t>变。</w:t>
      </w:r>
    </w:p>
    <w:p w14:paraId="4AE8AAAF">
      <w:pPr>
        <w:spacing w:before="114" w:line="228" w:lineRule="auto"/>
        <w:ind w:left="130"/>
        <w:outlineLvl w:val="3"/>
        <w:rPr>
          <w:rFonts w:ascii="仿宋" w:hAnsi="仿宋" w:eastAsia="仿宋" w:cs="仿宋"/>
          <w:sz w:val="25"/>
          <w:szCs w:val="25"/>
        </w:rPr>
      </w:pPr>
      <w:r>
        <w:rPr>
          <w:rFonts w:ascii="Times New Roman" w:hAnsi="Times New Roman" w:eastAsia="Times New Roman" w:cs="Times New Roman"/>
          <w:b/>
          <w:bCs/>
          <w:spacing w:val="4"/>
          <w:sz w:val="25"/>
          <w:szCs w:val="25"/>
        </w:rPr>
        <w:t>5.1.1.2</w:t>
      </w:r>
      <w:r>
        <w:rPr>
          <w:rFonts w:ascii="Times New Roman" w:hAnsi="Times New Roman" w:eastAsia="Times New Roman" w:cs="Times New Roman"/>
          <w:b/>
          <w:bCs/>
          <w:spacing w:val="24"/>
          <w:sz w:val="25"/>
          <w:szCs w:val="25"/>
        </w:rPr>
        <w:t xml:space="preserve"> </w:t>
      </w:r>
      <w:r>
        <w:rPr>
          <w:rFonts w:ascii="仿宋" w:hAnsi="仿宋" w:eastAsia="仿宋" w:cs="仿宋"/>
          <w:b/>
          <w:bCs/>
          <w:spacing w:val="4"/>
          <w:sz w:val="25"/>
          <w:szCs w:val="25"/>
        </w:rPr>
        <w:t>水资源承载力分析</w:t>
      </w:r>
    </w:p>
    <w:p w14:paraId="27180273">
      <w:pPr>
        <w:spacing w:before="270" w:line="340" w:lineRule="auto"/>
        <w:ind w:left="136" w:right="81" w:firstLine="524"/>
        <w:jc w:val="both"/>
        <w:rPr>
          <w:rFonts w:ascii="仿宋" w:hAnsi="仿宋" w:eastAsia="仿宋" w:cs="仿宋"/>
          <w:sz w:val="25"/>
          <w:szCs w:val="25"/>
        </w:rPr>
      </w:pPr>
      <w:r>
        <w:rPr>
          <w:rFonts w:ascii="仿宋" w:hAnsi="仿宋" w:eastAsia="仿宋" w:cs="仿宋"/>
          <w:spacing w:val="6"/>
          <w:sz w:val="25"/>
          <w:szCs w:val="25"/>
        </w:rPr>
        <w:t>本次规划调整后，</w:t>
      </w:r>
      <w:r>
        <w:rPr>
          <w:rFonts w:ascii="Times New Roman" w:hAnsi="Times New Roman" w:eastAsia="Times New Roman" w:cs="Times New Roman"/>
          <w:spacing w:val="6"/>
          <w:sz w:val="25"/>
          <w:szCs w:val="25"/>
        </w:rPr>
        <w:t>2025</w:t>
      </w:r>
      <w:r>
        <w:rPr>
          <w:rFonts w:ascii="Times New Roman" w:hAnsi="Times New Roman" w:eastAsia="Times New Roman" w:cs="Times New Roman"/>
          <w:spacing w:val="37"/>
          <w:sz w:val="25"/>
          <w:szCs w:val="25"/>
        </w:rPr>
        <w:t xml:space="preserve"> </w:t>
      </w:r>
      <w:r>
        <w:rPr>
          <w:rFonts w:ascii="仿宋" w:hAnsi="仿宋" w:eastAsia="仿宋" w:cs="仿宋"/>
          <w:spacing w:val="6"/>
          <w:sz w:val="25"/>
          <w:szCs w:val="25"/>
        </w:rPr>
        <w:t>年非金属矿（建筑石料用灰岩、萤石（普通）、饰</w:t>
      </w:r>
      <w:r>
        <w:rPr>
          <w:rFonts w:ascii="仿宋" w:hAnsi="仿宋" w:eastAsia="仿宋" w:cs="仿宋"/>
          <w:sz w:val="25"/>
          <w:szCs w:val="25"/>
        </w:rPr>
        <w:t xml:space="preserve"> </w:t>
      </w:r>
      <w:r>
        <w:rPr>
          <w:rFonts w:ascii="仿宋" w:hAnsi="仿宋" w:eastAsia="仿宋" w:cs="仿宋"/>
          <w:spacing w:val="6"/>
          <w:sz w:val="25"/>
          <w:szCs w:val="25"/>
        </w:rPr>
        <w:t>面用灰岩、铸型用砂岩、建筑用砂岩、水泥用灰岩）开采总</w:t>
      </w:r>
      <w:r>
        <w:rPr>
          <w:rFonts w:ascii="仿宋" w:hAnsi="仿宋" w:eastAsia="仿宋" w:cs="仿宋"/>
          <w:spacing w:val="5"/>
          <w:sz w:val="25"/>
          <w:szCs w:val="25"/>
        </w:rPr>
        <w:t>量为</w:t>
      </w:r>
      <w:r>
        <w:rPr>
          <w:rFonts w:ascii="仿宋" w:hAnsi="仿宋" w:eastAsia="仿宋" w:cs="仿宋"/>
          <w:spacing w:val="-30"/>
          <w:sz w:val="25"/>
          <w:szCs w:val="25"/>
        </w:rPr>
        <w:t xml:space="preserve"> </w:t>
      </w:r>
      <w:r>
        <w:rPr>
          <w:rFonts w:ascii="Times New Roman" w:hAnsi="Times New Roman" w:eastAsia="Times New Roman" w:cs="Times New Roman"/>
          <w:spacing w:val="5"/>
          <w:sz w:val="25"/>
          <w:szCs w:val="25"/>
        </w:rPr>
        <w:t>1098.5</w:t>
      </w:r>
      <w:r>
        <w:rPr>
          <w:rFonts w:ascii="Times New Roman" w:hAnsi="Times New Roman" w:eastAsia="Times New Roman" w:cs="Times New Roman"/>
          <w:spacing w:val="24"/>
          <w:sz w:val="25"/>
          <w:szCs w:val="25"/>
        </w:rPr>
        <w:t xml:space="preserve"> </w:t>
      </w:r>
      <w:r>
        <w:rPr>
          <w:rFonts w:ascii="仿宋" w:hAnsi="仿宋" w:eastAsia="仿宋" w:cs="仿宋"/>
          <w:spacing w:val="5"/>
          <w:sz w:val="25"/>
          <w:szCs w:val="25"/>
        </w:rPr>
        <w:t>万吨，</w:t>
      </w:r>
      <w:r>
        <w:rPr>
          <w:rFonts w:ascii="仿宋" w:hAnsi="仿宋" w:eastAsia="仿宋" w:cs="仿宋"/>
          <w:sz w:val="25"/>
          <w:szCs w:val="25"/>
        </w:rPr>
        <w:t xml:space="preserve"> </w:t>
      </w:r>
      <w:r>
        <w:rPr>
          <w:rFonts w:ascii="仿宋" w:hAnsi="仿宋" w:eastAsia="仿宋" w:cs="仿宋"/>
          <w:spacing w:val="7"/>
          <w:sz w:val="25"/>
          <w:szCs w:val="25"/>
        </w:rPr>
        <w:t>有色金属矿（铝土矿）开采总量为</w:t>
      </w:r>
      <w:r>
        <w:rPr>
          <w:rFonts w:ascii="Times New Roman" w:hAnsi="Times New Roman" w:eastAsia="Times New Roman" w:cs="Times New Roman"/>
          <w:spacing w:val="7"/>
          <w:sz w:val="25"/>
          <w:szCs w:val="25"/>
        </w:rPr>
        <w:t>30</w:t>
      </w:r>
      <w:r>
        <w:rPr>
          <w:rFonts w:ascii="Times New Roman" w:hAnsi="Times New Roman" w:eastAsia="Times New Roman" w:cs="Times New Roman"/>
          <w:spacing w:val="21"/>
          <w:sz w:val="25"/>
          <w:szCs w:val="25"/>
        </w:rPr>
        <w:t xml:space="preserve"> </w:t>
      </w:r>
      <w:r>
        <w:rPr>
          <w:rFonts w:ascii="仿宋" w:hAnsi="仿宋" w:eastAsia="仿宋" w:cs="仿宋"/>
          <w:spacing w:val="7"/>
          <w:sz w:val="25"/>
          <w:szCs w:val="25"/>
        </w:rPr>
        <w:t>万吨，开采总量与《规划》相同，因此本</w:t>
      </w:r>
      <w:r>
        <w:rPr>
          <w:rFonts w:ascii="仿宋" w:hAnsi="仿宋" w:eastAsia="仿宋" w:cs="仿宋"/>
          <w:sz w:val="25"/>
          <w:szCs w:val="25"/>
        </w:rPr>
        <w:t xml:space="preserve"> </w:t>
      </w:r>
      <w:r>
        <w:rPr>
          <w:rFonts w:ascii="仿宋" w:hAnsi="仿宋" w:eastAsia="仿宋" w:cs="仿宋"/>
          <w:spacing w:val="6"/>
          <w:sz w:val="25"/>
          <w:szCs w:val="25"/>
        </w:rPr>
        <w:t>次规划调整后，</w:t>
      </w:r>
      <w:r>
        <w:rPr>
          <w:rFonts w:ascii="Times New Roman" w:hAnsi="Times New Roman" w:eastAsia="Times New Roman" w:cs="Times New Roman"/>
          <w:spacing w:val="6"/>
          <w:sz w:val="25"/>
          <w:szCs w:val="25"/>
        </w:rPr>
        <w:t>2025</w:t>
      </w:r>
      <w:r>
        <w:rPr>
          <w:rFonts w:ascii="Times New Roman" w:hAnsi="Times New Roman" w:eastAsia="Times New Roman" w:cs="Times New Roman"/>
          <w:spacing w:val="24"/>
          <w:w w:val="101"/>
          <w:sz w:val="25"/>
          <w:szCs w:val="25"/>
        </w:rPr>
        <w:t xml:space="preserve"> </w:t>
      </w:r>
      <w:r>
        <w:rPr>
          <w:rFonts w:ascii="仿宋" w:hAnsi="仿宋" w:eastAsia="仿宋" w:cs="仿宋"/>
          <w:spacing w:val="6"/>
          <w:sz w:val="25"/>
          <w:szCs w:val="25"/>
        </w:rPr>
        <w:t>年采矿业用水量不变，为</w:t>
      </w:r>
      <w:r>
        <w:rPr>
          <w:rFonts w:ascii="仿宋" w:hAnsi="仿宋" w:eastAsia="仿宋" w:cs="仿宋"/>
          <w:spacing w:val="-56"/>
          <w:sz w:val="25"/>
          <w:szCs w:val="25"/>
        </w:rPr>
        <w:t xml:space="preserve"> </w:t>
      </w:r>
      <w:r>
        <w:rPr>
          <w:rFonts w:ascii="Times New Roman" w:hAnsi="Times New Roman" w:eastAsia="Times New Roman" w:cs="Times New Roman"/>
          <w:spacing w:val="6"/>
          <w:sz w:val="25"/>
          <w:szCs w:val="25"/>
        </w:rPr>
        <w:t>47.</w:t>
      </w:r>
      <w:r>
        <w:rPr>
          <w:rFonts w:ascii="Times New Roman" w:hAnsi="Times New Roman" w:eastAsia="Times New Roman" w:cs="Times New Roman"/>
          <w:spacing w:val="5"/>
          <w:sz w:val="25"/>
          <w:szCs w:val="25"/>
        </w:rPr>
        <w:t>055</w:t>
      </w:r>
      <w:r>
        <w:rPr>
          <w:rFonts w:ascii="Times New Roman" w:hAnsi="Times New Roman" w:eastAsia="Times New Roman" w:cs="Times New Roman"/>
          <w:spacing w:val="24"/>
          <w:sz w:val="25"/>
          <w:szCs w:val="25"/>
        </w:rPr>
        <w:t xml:space="preserve"> </w:t>
      </w:r>
      <w:r>
        <w:rPr>
          <w:rFonts w:ascii="仿宋" w:hAnsi="仿宋" w:eastAsia="仿宋" w:cs="仿宋"/>
          <w:spacing w:val="5"/>
          <w:sz w:val="25"/>
          <w:szCs w:val="25"/>
        </w:rPr>
        <w:t>万</w:t>
      </w:r>
      <w:r>
        <w:rPr>
          <w:rFonts w:ascii="仿宋" w:hAnsi="仿宋" w:eastAsia="仿宋" w:cs="仿宋"/>
          <w:spacing w:val="-58"/>
          <w:sz w:val="25"/>
          <w:szCs w:val="25"/>
        </w:rPr>
        <w:t xml:space="preserve"> </w:t>
      </w:r>
      <w:r>
        <w:rPr>
          <w:rFonts w:ascii="Times New Roman" w:hAnsi="Times New Roman" w:eastAsia="Times New Roman" w:cs="Times New Roman"/>
          <w:spacing w:val="5"/>
          <w:sz w:val="25"/>
          <w:szCs w:val="25"/>
        </w:rPr>
        <w:t>m</w:t>
      </w:r>
      <w:r>
        <w:rPr>
          <w:rFonts w:ascii="Times New Roman" w:hAnsi="Times New Roman" w:eastAsia="Times New Roman" w:cs="Times New Roman"/>
          <w:spacing w:val="5"/>
          <w:position w:val="8"/>
          <w:sz w:val="16"/>
          <w:szCs w:val="16"/>
        </w:rPr>
        <w:t>3</w:t>
      </w:r>
      <w:r>
        <w:rPr>
          <w:rFonts w:ascii="仿宋" w:hAnsi="仿宋" w:eastAsia="仿宋" w:cs="仿宋"/>
          <w:spacing w:val="5"/>
          <w:sz w:val="25"/>
          <w:szCs w:val="25"/>
        </w:rPr>
        <w:t>。</w:t>
      </w:r>
    </w:p>
    <w:p w14:paraId="2A237EF7">
      <w:pPr>
        <w:spacing w:before="6" w:line="339" w:lineRule="auto"/>
        <w:ind w:left="123" w:firstLine="536"/>
        <w:jc w:val="both"/>
        <w:rPr>
          <w:rFonts w:ascii="仿宋" w:hAnsi="仿宋" w:eastAsia="仿宋" w:cs="仿宋"/>
          <w:sz w:val="25"/>
          <w:szCs w:val="25"/>
        </w:rPr>
      </w:pPr>
      <w:r>
        <w:rPr>
          <w:rFonts w:ascii="仿宋" w:hAnsi="仿宋" w:eastAsia="仿宋" w:cs="仿宋"/>
          <w:spacing w:val="2"/>
          <w:sz w:val="25"/>
          <w:szCs w:val="25"/>
        </w:rPr>
        <w:t>根据《重庆市</w:t>
      </w:r>
      <w:r>
        <w:rPr>
          <w:rFonts w:ascii="Times New Roman" w:hAnsi="Times New Roman" w:eastAsia="Times New Roman" w:cs="Times New Roman"/>
          <w:spacing w:val="2"/>
          <w:sz w:val="25"/>
          <w:szCs w:val="25"/>
        </w:rPr>
        <w:t>“</w:t>
      </w:r>
      <w:r>
        <w:rPr>
          <w:rFonts w:ascii="仿宋" w:hAnsi="仿宋" w:eastAsia="仿宋" w:cs="仿宋"/>
          <w:spacing w:val="2"/>
          <w:sz w:val="25"/>
          <w:szCs w:val="25"/>
        </w:rPr>
        <w:t>十四五</w:t>
      </w:r>
      <w:r>
        <w:rPr>
          <w:rFonts w:ascii="Times New Roman" w:hAnsi="Times New Roman" w:eastAsia="Times New Roman" w:cs="Times New Roman"/>
          <w:spacing w:val="2"/>
          <w:sz w:val="25"/>
          <w:szCs w:val="25"/>
        </w:rPr>
        <w:t>”</w:t>
      </w:r>
      <w:r>
        <w:rPr>
          <w:rFonts w:ascii="仿宋" w:hAnsi="仿宋" w:eastAsia="仿宋" w:cs="仿宋"/>
          <w:spacing w:val="2"/>
          <w:sz w:val="25"/>
          <w:szCs w:val="25"/>
        </w:rPr>
        <w:t>用水总量和强度双控目标》（渝水〔</w:t>
      </w:r>
      <w:r>
        <w:rPr>
          <w:rFonts w:ascii="Times New Roman" w:hAnsi="Times New Roman" w:eastAsia="Times New Roman" w:cs="Times New Roman"/>
          <w:spacing w:val="2"/>
          <w:sz w:val="25"/>
          <w:szCs w:val="25"/>
        </w:rPr>
        <w:t>2022</w:t>
      </w:r>
      <w:r>
        <w:rPr>
          <w:rFonts w:ascii="仿宋" w:hAnsi="仿宋" w:eastAsia="仿宋" w:cs="仿宋"/>
          <w:spacing w:val="2"/>
          <w:sz w:val="25"/>
          <w:szCs w:val="25"/>
        </w:rPr>
        <w:t>〕</w:t>
      </w:r>
      <w:r>
        <w:rPr>
          <w:rFonts w:ascii="Times New Roman" w:hAnsi="Times New Roman" w:eastAsia="Times New Roman" w:cs="Times New Roman"/>
          <w:spacing w:val="2"/>
          <w:sz w:val="25"/>
          <w:szCs w:val="25"/>
        </w:rPr>
        <w:t>92</w:t>
      </w:r>
      <w:r>
        <w:rPr>
          <w:rFonts w:ascii="Times New Roman" w:hAnsi="Times New Roman" w:eastAsia="Times New Roman" w:cs="Times New Roman"/>
          <w:spacing w:val="29"/>
          <w:sz w:val="25"/>
          <w:szCs w:val="25"/>
        </w:rPr>
        <w:t xml:space="preserve"> </w:t>
      </w:r>
      <w:r>
        <w:rPr>
          <w:rFonts w:ascii="仿宋" w:hAnsi="仿宋" w:eastAsia="仿宋" w:cs="仿宋"/>
          <w:spacing w:val="2"/>
          <w:sz w:val="25"/>
          <w:szCs w:val="25"/>
        </w:rPr>
        <w:t>号）、</w:t>
      </w:r>
      <w:r>
        <w:rPr>
          <w:rFonts w:ascii="仿宋" w:hAnsi="仿宋" w:eastAsia="仿宋" w:cs="仿宋"/>
          <w:sz w:val="25"/>
          <w:szCs w:val="25"/>
        </w:rPr>
        <w:t xml:space="preserve"> </w:t>
      </w:r>
      <w:r>
        <w:rPr>
          <w:rFonts w:ascii="仿宋" w:hAnsi="仿宋" w:eastAsia="仿宋" w:cs="仿宋"/>
          <w:spacing w:val="12"/>
          <w:sz w:val="25"/>
          <w:szCs w:val="25"/>
        </w:rPr>
        <w:t>《重庆市人民政府办公厅关于调整各区县</w:t>
      </w:r>
      <w:r>
        <w:rPr>
          <w:rFonts w:ascii="仿宋" w:hAnsi="仿宋" w:eastAsia="仿宋" w:cs="仿宋"/>
          <w:spacing w:val="-49"/>
          <w:sz w:val="25"/>
          <w:szCs w:val="25"/>
        </w:rPr>
        <w:t xml:space="preserve"> </w:t>
      </w:r>
      <w:r>
        <w:rPr>
          <w:rFonts w:ascii="Times New Roman" w:hAnsi="Times New Roman" w:eastAsia="Times New Roman" w:cs="Times New Roman"/>
          <w:spacing w:val="12"/>
          <w:sz w:val="25"/>
          <w:szCs w:val="25"/>
        </w:rPr>
        <w:t>2030</w:t>
      </w:r>
      <w:r>
        <w:rPr>
          <w:rFonts w:ascii="Times New Roman" w:hAnsi="Times New Roman" w:eastAsia="Times New Roman" w:cs="Times New Roman"/>
          <w:spacing w:val="29"/>
          <w:sz w:val="25"/>
          <w:szCs w:val="25"/>
        </w:rPr>
        <w:t xml:space="preserve"> </w:t>
      </w:r>
      <w:r>
        <w:rPr>
          <w:rFonts w:ascii="仿宋" w:hAnsi="仿宋" w:eastAsia="仿宋" w:cs="仿宋"/>
          <w:spacing w:val="12"/>
          <w:sz w:val="25"/>
          <w:szCs w:val="25"/>
        </w:rPr>
        <w:t>年</w:t>
      </w:r>
      <w:r>
        <w:rPr>
          <w:rFonts w:ascii="仿宋" w:hAnsi="仿宋" w:eastAsia="仿宋" w:cs="仿宋"/>
          <w:spacing w:val="11"/>
          <w:sz w:val="25"/>
          <w:szCs w:val="25"/>
        </w:rPr>
        <w:t>用水总量控制目标的通知》</w:t>
      </w:r>
      <w:r>
        <w:rPr>
          <w:rFonts w:ascii="仿宋" w:hAnsi="仿宋" w:eastAsia="仿宋" w:cs="仿宋"/>
          <w:sz w:val="25"/>
          <w:szCs w:val="25"/>
        </w:rPr>
        <w:t xml:space="preserve"> </w:t>
      </w:r>
      <w:r>
        <w:rPr>
          <w:rFonts w:ascii="仿宋" w:hAnsi="仿宋" w:eastAsia="仿宋" w:cs="仿宋"/>
          <w:spacing w:val="7"/>
          <w:sz w:val="25"/>
          <w:szCs w:val="25"/>
        </w:rPr>
        <w:t>（渝府办发〔</w:t>
      </w:r>
      <w:r>
        <w:rPr>
          <w:rFonts w:ascii="Times New Roman" w:hAnsi="Times New Roman" w:eastAsia="Times New Roman" w:cs="Times New Roman"/>
          <w:spacing w:val="7"/>
          <w:sz w:val="25"/>
          <w:szCs w:val="25"/>
        </w:rPr>
        <w:t>2021</w:t>
      </w:r>
      <w:r>
        <w:rPr>
          <w:rFonts w:ascii="仿宋" w:hAnsi="仿宋" w:eastAsia="仿宋" w:cs="仿宋"/>
          <w:spacing w:val="7"/>
          <w:sz w:val="25"/>
          <w:szCs w:val="25"/>
        </w:rPr>
        <w:t>〕</w:t>
      </w:r>
      <w:r>
        <w:rPr>
          <w:rFonts w:ascii="仿宋" w:hAnsi="仿宋" w:eastAsia="仿宋" w:cs="仿宋"/>
          <w:spacing w:val="-69"/>
          <w:sz w:val="25"/>
          <w:szCs w:val="25"/>
        </w:rPr>
        <w:t xml:space="preserve"> </w:t>
      </w:r>
      <w:r>
        <w:rPr>
          <w:rFonts w:ascii="Times New Roman" w:hAnsi="Times New Roman" w:eastAsia="Times New Roman" w:cs="Times New Roman"/>
          <w:spacing w:val="7"/>
          <w:sz w:val="25"/>
          <w:szCs w:val="25"/>
        </w:rPr>
        <w:t>147</w:t>
      </w:r>
      <w:r>
        <w:rPr>
          <w:rFonts w:ascii="Times New Roman" w:hAnsi="Times New Roman" w:eastAsia="Times New Roman" w:cs="Times New Roman"/>
          <w:spacing w:val="33"/>
          <w:sz w:val="25"/>
          <w:szCs w:val="25"/>
        </w:rPr>
        <w:t xml:space="preserve"> </w:t>
      </w:r>
      <w:r>
        <w:rPr>
          <w:rFonts w:ascii="仿宋" w:hAnsi="仿宋" w:eastAsia="仿宋" w:cs="仿宋"/>
          <w:spacing w:val="7"/>
          <w:sz w:val="25"/>
          <w:szCs w:val="25"/>
        </w:rPr>
        <w:t>号</w:t>
      </w:r>
      <w:r>
        <w:rPr>
          <w:rFonts w:ascii="仿宋" w:hAnsi="仿宋" w:eastAsia="仿宋" w:cs="仿宋"/>
          <w:spacing w:val="2"/>
          <w:sz w:val="25"/>
          <w:szCs w:val="25"/>
        </w:rPr>
        <w:t>）</w:t>
      </w:r>
      <w:r>
        <w:rPr>
          <w:rFonts w:ascii="仿宋" w:hAnsi="仿宋" w:eastAsia="仿宋" w:cs="仿宋"/>
          <w:spacing w:val="-63"/>
          <w:sz w:val="25"/>
          <w:szCs w:val="25"/>
        </w:rPr>
        <w:t xml:space="preserve"> </w:t>
      </w:r>
      <w:r>
        <w:rPr>
          <w:rFonts w:ascii="仿宋" w:hAnsi="仿宋" w:eastAsia="仿宋" w:cs="仿宋"/>
          <w:spacing w:val="2"/>
          <w:sz w:val="25"/>
          <w:szCs w:val="25"/>
        </w:rPr>
        <w:t>，</w:t>
      </w:r>
      <w:r>
        <w:rPr>
          <w:rFonts w:ascii="仿宋" w:hAnsi="仿宋" w:eastAsia="仿宋" w:cs="仿宋"/>
          <w:spacing w:val="7"/>
          <w:sz w:val="25"/>
          <w:szCs w:val="25"/>
        </w:rPr>
        <w:t>黔江区</w:t>
      </w:r>
      <w:r>
        <w:rPr>
          <w:rFonts w:ascii="仿宋" w:hAnsi="仿宋" w:eastAsia="仿宋" w:cs="仿宋"/>
          <w:spacing w:val="-45"/>
          <w:sz w:val="25"/>
          <w:szCs w:val="25"/>
        </w:rPr>
        <w:t xml:space="preserve"> </w:t>
      </w:r>
      <w:r>
        <w:rPr>
          <w:rFonts w:ascii="Times New Roman" w:hAnsi="Times New Roman" w:eastAsia="Times New Roman" w:cs="Times New Roman"/>
          <w:spacing w:val="7"/>
          <w:sz w:val="25"/>
          <w:szCs w:val="25"/>
        </w:rPr>
        <w:t>2025</w:t>
      </w:r>
      <w:r>
        <w:rPr>
          <w:rFonts w:ascii="Times New Roman" w:hAnsi="Times New Roman" w:eastAsia="Times New Roman" w:cs="Times New Roman"/>
          <w:spacing w:val="34"/>
          <w:sz w:val="25"/>
          <w:szCs w:val="25"/>
        </w:rPr>
        <w:t xml:space="preserve"> </w:t>
      </w:r>
      <w:r>
        <w:rPr>
          <w:rFonts w:ascii="仿宋" w:hAnsi="仿宋" w:eastAsia="仿宋" w:cs="仿宋"/>
          <w:spacing w:val="6"/>
          <w:sz w:val="25"/>
          <w:szCs w:val="25"/>
        </w:rPr>
        <w:t>年用水总量控制指标为</w:t>
      </w:r>
      <w:r>
        <w:rPr>
          <w:rFonts w:ascii="仿宋" w:hAnsi="仿宋" w:eastAsia="仿宋" w:cs="仿宋"/>
          <w:spacing w:val="-22"/>
          <w:sz w:val="25"/>
          <w:szCs w:val="25"/>
        </w:rPr>
        <w:t xml:space="preserve"> </w:t>
      </w:r>
      <w:r>
        <w:rPr>
          <w:rFonts w:ascii="Times New Roman" w:hAnsi="Times New Roman" w:eastAsia="Times New Roman" w:cs="Times New Roman"/>
          <w:spacing w:val="6"/>
          <w:sz w:val="25"/>
          <w:szCs w:val="25"/>
        </w:rPr>
        <w:t>10200</w:t>
      </w:r>
      <w:r>
        <w:rPr>
          <w:rFonts w:ascii="Times New Roman" w:hAnsi="Times New Roman" w:eastAsia="Times New Roman" w:cs="Times New Roman"/>
          <w:spacing w:val="31"/>
          <w:sz w:val="25"/>
          <w:szCs w:val="25"/>
        </w:rPr>
        <w:t xml:space="preserve"> </w:t>
      </w:r>
      <w:r>
        <w:rPr>
          <w:rFonts w:ascii="仿宋" w:hAnsi="仿宋" w:eastAsia="仿宋" w:cs="仿宋"/>
          <w:spacing w:val="6"/>
          <w:sz w:val="25"/>
          <w:szCs w:val="25"/>
        </w:rPr>
        <w:t>万</w:t>
      </w:r>
      <w:r>
        <w:rPr>
          <w:rFonts w:ascii="仿宋" w:hAnsi="仿宋" w:eastAsia="仿宋" w:cs="仿宋"/>
          <w:sz w:val="25"/>
          <w:szCs w:val="25"/>
        </w:rPr>
        <w:t xml:space="preserve"> </w:t>
      </w:r>
      <w:r>
        <w:rPr>
          <w:rFonts w:ascii="Times New Roman" w:hAnsi="Times New Roman" w:eastAsia="Times New Roman" w:cs="Times New Roman"/>
          <w:spacing w:val="4"/>
          <w:sz w:val="25"/>
          <w:szCs w:val="25"/>
        </w:rPr>
        <w:t>m</w:t>
      </w:r>
      <w:r>
        <w:rPr>
          <w:rFonts w:ascii="Times New Roman" w:hAnsi="Times New Roman" w:eastAsia="Times New Roman" w:cs="Times New Roman"/>
          <w:spacing w:val="4"/>
          <w:position w:val="8"/>
          <w:sz w:val="16"/>
          <w:szCs w:val="16"/>
        </w:rPr>
        <w:t xml:space="preserve">3 </w:t>
      </w:r>
      <w:r>
        <w:rPr>
          <w:rFonts w:ascii="仿宋" w:hAnsi="仿宋" w:eastAsia="仿宋" w:cs="仿宋"/>
          <w:spacing w:val="4"/>
          <w:sz w:val="25"/>
          <w:szCs w:val="25"/>
        </w:rPr>
        <w:t>，采矿用水量占用水总量的</w:t>
      </w:r>
      <w:r>
        <w:rPr>
          <w:rFonts w:ascii="仿宋" w:hAnsi="仿宋" w:eastAsia="仿宋" w:cs="仿宋"/>
          <w:spacing w:val="-50"/>
          <w:sz w:val="25"/>
          <w:szCs w:val="25"/>
        </w:rPr>
        <w:t xml:space="preserve"> </w:t>
      </w:r>
      <w:r>
        <w:rPr>
          <w:rFonts w:ascii="Times New Roman" w:hAnsi="Times New Roman" w:eastAsia="Times New Roman" w:cs="Times New Roman"/>
          <w:spacing w:val="4"/>
          <w:sz w:val="25"/>
          <w:szCs w:val="25"/>
        </w:rPr>
        <w:t>0.46%</w:t>
      </w:r>
      <w:r>
        <w:rPr>
          <w:rFonts w:ascii="Times New Roman" w:hAnsi="Times New Roman" w:eastAsia="Times New Roman" w:cs="Times New Roman"/>
          <w:spacing w:val="-27"/>
          <w:sz w:val="25"/>
          <w:szCs w:val="25"/>
        </w:rPr>
        <w:t xml:space="preserve"> </w:t>
      </w:r>
      <w:r>
        <w:rPr>
          <w:rFonts w:ascii="仿宋" w:hAnsi="仿宋" w:eastAsia="仿宋" w:cs="仿宋"/>
          <w:spacing w:val="4"/>
          <w:sz w:val="25"/>
          <w:szCs w:val="25"/>
        </w:rPr>
        <w:t>，</w:t>
      </w:r>
      <w:r>
        <w:rPr>
          <w:rFonts w:ascii="仿宋" w:hAnsi="仿宋" w:eastAsia="仿宋" w:cs="仿宋"/>
          <w:spacing w:val="-54"/>
          <w:sz w:val="25"/>
          <w:szCs w:val="25"/>
        </w:rPr>
        <w:t xml:space="preserve"> </w:t>
      </w:r>
      <w:r>
        <w:rPr>
          <w:rFonts w:ascii="仿宋" w:hAnsi="仿宋" w:eastAsia="仿宋" w:cs="仿宋"/>
          <w:spacing w:val="4"/>
          <w:sz w:val="25"/>
          <w:szCs w:val="25"/>
        </w:rPr>
        <w:t>占比很小，</w:t>
      </w:r>
      <w:r>
        <w:rPr>
          <w:rFonts w:ascii="仿宋" w:hAnsi="仿宋" w:eastAsia="仿宋" w:cs="仿宋"/>
          <w:spacing w:val="3"/>
          <w:sz w:val="25"/>
          <w:szCs w:val="25"/>
        </w:rPr>
        <w:t>能够满足管控要求。</w:t>
      </w:r>
      <w:r>
        <w:rPr>
          <w:rFonts w:ascii="仿宋" w:hAnsi="仿宋" w:eastAsia="仿宋" w:cs="仿宋"/>
          <w:spacing w:val="-67"/>
          <w:sz w:val="25"/>
          <w:szCs w:val="25"/>
        </w:rPr>
        <w:t xml:space="preserve"> </w:t>
      </w:r>
      <w:r>
        <w:rPr>
          <w:rFonts w:ascii="仿宋" w:hAnsi="仿宋" w:eastAsia="仿宋" w:cs="仿宋"/>
          <w:spacing w:val="3"/>
          <w:sz w:val="25"/>
          <w:szCs w:val="25"/>
        </w:rPr>
        <w:t>由此可</w:t>
      </w:r>
      <w:r>
        <w:rPr>
          <w:rFonts w:ascii="仿宋" w:hAnsi="仿宋" w:eastAsia="仿宋" w:cs="仿宋"/>
          <w:sz w:val="25"/>
          <w:szCs w:val="25"/>
        </w:rPr>
        <w:t xml:space="preserve"> </w:t>
      </w:r>
      <w:r>
        <w:rPr>
          <w:rFonts w:ascii="仿宋" w:hAnsi="仿宋" w:eastAsia="仿宋" w:cs="仿宋"/>
          <w:spacing w:val="10"/>
          <w:sz w:val="25"/>
          <w:szCs w:val="25"/>
        </w:rPr>
        <w:t>知，黔江区水资源完全可以承载《规划调整》对水资源的需求，但规划实施必</w:t>
      </w:r>
      <w:r>
        <w:rPr>
          <w:rFonts w:ascii="仿宋" w:hAnsi="仿宋" w:eastAsia="仿宋" w:cs="仿宋"/>
          <w:sz w:val="25"/>
          <w:szCs w:val="25"/>
        </w:rPr>
        <w:t xml:space="preserve"> </w:t>
      </w:r>
      <w:r>
        <w:rPr>
          <w:rFonts w:ascii="仿宋" w:hAnsi="仿宋" w:eastAsia="仿宋" w:cs="仿宋"/>
          <w:spacing w:val="10"/>
          <w:sz w:val="25"/>
          <w:szCs w:val="25"/>
        </w:rPr>
        <w:t>须严格取水制度，不得影响饮用水水源保护地和区域、流域用水，加强废水无</w:t>
      </w:r>
      <w:r>
        <w:rPr>
          <w:rFonts w:ascii="仿宋" w:hAnsi="仿宋" w:eastAsia="仿宋" w:cs="仿宋"/>
          <w:sz w:val="25"/>
          <w:szCs w:val="25"/>
        </w:rPr>
        <w:t xml:space="preserve"> </w:t>
      </w:r>
      <w:r>
        <w:rPr>
          <w:rFonts w:ascii="仿宋" w:hAnsi="仿宋" w:eastAsia="仿宋" w:cs="仿宋"/>
          <w:spacing w:val="9"/>
          <w:sz w:val="25"/>
          <w:szCs w:val="25"/>
        </w:rPr>
        <w:t>害化处理和资源化再利用，节约用水，严禁污染水体。</w:t>
      </w:r>
    </w:p>
    <w:p w14:paraId="0B3458AA">
      <w:pPr>
        <w:spacing w:before="119" w:line="228" w:lineRule="auto"/>
        <w:ind w:left="130"/>
        <w:outlineLvl w:val="2"/>
        <w:rPr>
          <w:rFonts w:ascii="仿宋" w:hAnsi="仿宋" w:eastAsia="仿宋" w:cs="仿宋"/>
          <w:sz w:val="25"/>
          <w:szCs w:val="25"/>
        </w:rPr>
      </w:pPr>
      <w:r>
        <w:rPr>
          <w:rFonts w:ascii="Times New Roman" w:hAnsi="Times New Roman" w:eastAsia="Times New Roman" w:cs="Times New Roman"/>
          <w:b/>
          <w:bCs/>
          <w:spacing w:val="4"/>
          <w:sz w:val="25"/>
          <w:szCs w:val="25"/>
        </w:rPr>
        <w:t>5.1.2</w:t>
      </w:r>
      <w:r>
        <w:rPr>
          <w:rFonts w:ascii="Times New Roman" w:hAnsi="Times New Roman" w:eastAsia="Times New Roman" w:cs="Times New Roman"/>
          <w:b/>
          <w:bCs/>
          <w:spacing w:val="23"/>
          <w:sz w:val="25"/>
          <w:szCs w:val="25"/>
        </w:rPr>
        <w:t xml:space="preserve"> </w:t>
      </w:r>
      <w:r>
        <w:rPr>
          <w:rFonts w:ascii="仿宋" w:hAnsi="仿宋" w:eastAsia="仿宋" w:cs="仿宋"/>
          <w:b/>
          <w:bCs/>
          <w:spacing w:val="4"/>
          <w:sz w:val="25"/>
          <w:szCs w:val="25"/>
        </w:rPr>
        <w:t>环境承载力分析</w:t>
      </w:r>
    </w:p>
    <w:p w14:paraId="512844BD">
      <w:pPr>
        <w:spacing w:before="272" w:line="228" w:lineRule="auto"/>
        <w:ind w:left="130"/>
        <w:outlineLvl w:val="3"/>
        <w:rPr>
          <w:rFonts w:ascii="仿宋" w:hAnsi="仿宋" w:eastAsia="仿宋" w:cs="仿宋"/>
          <w:sz w:val="25"/>
          <w:szCs w:val="25"/>
        </w:rPr>
      </w:pPr>
      <w:r>
        <w:rPr>
          <w:rFonts w:ascii="Times New Roman" w:hAnsi="Times New Roman" w:eastAsia="Times New Roman" w:cs="Times New Roman"/>
          <w:b/>
          <w:bCs/>
          <w:spacing w:val="4"/>
          <w:sz w:val="25"/>
          <w:szCs w:val="25"/>
        </w:rPr>
        <w:t>5.1.2.1</w:t>
      </w:r>
      <w:r>
        <w:rPr>
          <w:rFonts w:ascii="Times New Roman" w:hAnsi="Times New Roman" w:eastAsia="Times New Roman" w:cs="Times New Roman"/>
          <w:b/>
          <w:bCs/>
          <w:spacing w:val="29"/>
          <w:sz w:val="25"/>
          <w:szCs w:val="25"/>
        </w:rPr>
        <w:t xml:space="preserve"> </w:t>
      </w:r>
      <w:r>
        <w:rPr>
          <w:rFonts w:ascii="仿宋" w:hAnsi="仿宋" w:eastAsia="仿宋" w:cs="仿宋"/>
          <w:b/>
          <w:bCs/>
          <w:spacing w:val="4"/>
          <w:sz w:val="25"/>
          <w:szCs w:val="25"/>
        </w:rPr>
        <w:t>大气环境承载力分析</w:t>
      </w:r>
    </w:p>
    <w:p w14:paraId="4BC5A615">
      <w:pPr>
        <w:spacing w:before="272" w:line="228" w:lineRule="auto"/>
        <w:ind w:left="664"/>
        <w:rPr>
          <w:rFonts w:ascii="仿宋" w:hAnsi="仿宋" w:eastAsia="仿宋" w:cs="仿宋"/>
          <w:sz w:val="25"/>
          <w:szCs w:val="25"/>
        </w:rPr>
      </w:pPr>
      <w:r>
        <w:rPr>
          <w:rFonts w:ascii="仿宋" w:hAnsi="仿宋" w:eastAsia="仿宋" w:cs="仿宋"/>
          <w:spacing w:val="6"/>
          <w:sz w:val="25"/>
          <w:szCs w:val="25"/>
        </w:rPr>
        <w:t>（</w:t>
      </w:r>
      <w:r>
        <w:rPr>
          <w:rFonts w:ascii="Times New Roman" w:hAnsi="Times New Roman" w:eastAsia="Times New Roman" w:cs="Times New Roman"/>
          <w:spacing w:val="6"/>
          <w:sz w:val="25"/>
          <w:szCs w:val="25"/>
        </w:rPr>
        <w:t>1</w:t>
      </w:r>
      <w:r>
        <w:rPr>
          <w:rFonts w:ascii="仿宋" w:hAnsi="仿宋" w:eastAsia="仿宋" w:cs="仿宋"/>
          <w:spacing w:val="6"/>
          <w:sz w:val="25"/>
          <w:szCs w:val="25"/>
        </w:rPr>
        <w:t>）集中开采区</w:t>
      </w:r>
    </w:p>
    <w:p w14:paraId="44B5E373">
      <w:pPr>
        <w:spacing w:before="148" w:line="298" w:lineRule="auto"/>
        <w:ind w:left="142" w:right="83" w:firstLine="518"/>
        <w:rPr>
          <w:rFonts w:ascii="Times New Roman" w:hAnsi="Times New Roman" w:eastAsia="Times New Roman" w:cs="Times New Roman"/>
          <w:sz w:val="25"/>
          <w:szCs w:val="25"/>
        </w:rPr>
      </w:pPr>
      <w:r>
        <w:rPr>
          <w:rFonts w:ascii="仿宋" w:hAnsi="仿宋" w:eastAsia="仿宋" w:cs="仿宋"/>
          <w:spacing w:val="8"/>
          <w:sz w:val="25"/>
          <w:szCs w:val="25"/>
        </w:rPr>
        <w:t>根据“十四五</w:t>
      </w:r>
      <w:r>
        <w:rPr>
          <w:rFonts w:ascii="仿宋" w:hAnsi="仿宋" w:eastAsia="仿宋" w:cs="仿宋"/>
          <w:spacing w:val="-78"/>
          <w:sz w:val="25"/>
          <w:szCs w:val="25"/>
        </w:rPr>
        <w:t xml:space="preserve"> </w:t>
      </w:r>
      <w:r>
        <w:rPr>
          <w:rFonts w:ascii="仿宋" w:hAnsi="仿宋" w:eastAsia="仿宋" w:cs="仿宋"/>
          <w:spacing w:val="8"/>
          <w:sz w:val="25"/>
          <w:szCs w:val="25"/>
        </w:rPr>
        <w:t>”规划环评，对黔江区蓬东乡石灰岩集中开采区的大气环境</w:t>
      </w:r>
      <w:r>
        <w:rPr>
          <w:rFonts w:ascii="仿宋" w:hAnsi="仿宋" w:eastAsia="仿宋" w:cs="仿宋"/>
          <w:sz w:val="25"/>
          <w:szCs w:val="25"/>
        </w:rPr>
        <w:t xml:space="preserve"> </w:t>
      </w:r>
      <w:r>
        <w:rPr>
          <w:rFonts w:ascii="仿宋" w:hAnsi="仿宋" w:eastAsia="仿宋" w:cs="仿宋"/>
          <w:spacing w:val="6"/>
          <w:sz w:val="25"/>
          <w:szCs w:val="25"/>
        </w:rPr>
        <w:t>容量进行了预测分析。具体见表</w:t>
      </w:r>
      <w:r>
        <w:rPr>
          <w:rFonts w:ascii="仿宋" w:hAnsi="仿宋" w:eastAsia="仿宋" w:cs="仿宋"/>
          <w:spacing w:val="-36"/>
          <w:sz w:val="25"/>
          <w:szCs w:val="25"/>
        </w:rPr>
        <w:t xml:space="preserve"> </w:t>
      </w:r>
      <w:r>
        <w:rPr>
          <w:rFonts w:ascii="Times New Roman" w:hAnsi="Times New Roman" w:eastAsia="Times New Roman" w:cs="Times New Roman"/>
          <w:spacing w:val="6"/>
          <w:sz w:val="25"/>
          <w:szCs w:val="25"/>
        </w:rPr>
        <w:t>5.1-2</w:t>
      </w:r>
    </w:p>
    <w:p w14:paraId="4AD9C93C">
      <w:pPr>
        <w:spacing w:before="1" w:line="222" w:lineRule="auto"/>
        <w:ind w:left="2827"/>
        <w:rPr>
          <w:rFonts w:ascii="Times New Roman" w:hAnsi="Times New Roman" w:eastAsia="Times New Roman" w:cs="Times New Roman"/>
          <w:sz w:val="20"/>
          <w:szCs w:val="20"/>
        </w:rPr>
      </w:pPr>
      <w:r>
        <w:rPr>
          <w:rFonts w:ascii="仿宋" w:hAnsi="仿宋" w:eastAsia="仿宋" w:cs="仿宋"/>
          <w:b/>
          <w:bCs/>
          <w:spacing w:val="4"/>
          <w:sz w:val="20"/>
          <w:szCs w:val="20"/>
        </w:rPr>
        <w:t>表</w:t>
      </w:r>
      <w:r>
        <w:rPr>
          <w:rFonts w:ascii="仿宋" w:hAnsi="仿宋" w:eastAsia="仿宋" w:cs="仿宋"/>
          <w:spacing w:val="-29"/>
          <w:sz w:val="20"/>
          <w:szCs w:val="20"/>
        </w:rPr>
        <w:t xml:space="preserve"> </w:t>
      </w:r>
      <w:r>
        <w:rPr>
          <w:rFonts w:ascii="Times New Roman" w:hAnsi="Times New Roman" w:eastAsia="Times New Roman" w:cs="Times New Roman"/>
          <w:b/>
          <w:bCs/>
          <w:spacing w:val="4"/>
          <w:sz w:val="20"/>
          <w:szCs w:val="20"/>
        </w:rPr>
        <w:t xml:space="preserve">5.1-2  </w:t>
      </w:r>
      <w:r>
        <w:rPr>
          <w:rFonts w:ascii="仿宋" w:hAnsi="仿宋" w:eastAsia="仿宋" w:cs="仿宋"/>
          <w:b/>
          <w:bCs/>
          <w:spacing w:val="4"/>
          <w:sz w:val="20"/>
          <w:szCs w:val="20"/>
        </w:rPr>
        <w:t>大气环境容量</w:t>
      </w:r>
      <w:r>
        <w:rPr>
          <w:rFonts w:ascii="仿宋" w:hAnsi="仿宋" w:eastAsia="仿宋" w:cs="仿宋"/>
          <w:spacing w:val="22"/>
          <w:sz w:val="20"/>
          <w:szCs w:val="20"/>
        </w:rPr>
        <w:t xml:space="preserve"> </w:t>
      </w:r>
      <w:r>
        <w:rPr>
          <w:rFonts w:ascii="仿宋" w:hAnsi="仿宋" w:eastAsia="仿宋" w:cs="仿宋"/>
          <w:b/>
          <w:bCs/>
          <w:spacing w:val="4"/>
          <w:sz w:val="20"/>
          <w:szCs w:val="20"/>
        </w:rPr>
        <w:t>计算单位：</w:t>
      </w:r>
      <w:r>
        <w:rPr>
          <w:rFonts w:ascii="Times New Roman" w:hAnsi="Times New Roman" w:eastAsia="Times New Roman" w:cs="Times New Roman"/>
          <w:b/>
          <w:bCs/>
          <w:spacing w:val="4"/>
          <w:sz w:val="20"/>
          <w:szCs w:val="20"/>
        </w:rPr>
        <w:t>t/a</w:t>
      </w:r>
    </w:p>
    <w:tbl>
      <w:tblPr>
        <w:tblStyle w:val="5"/>
        <w:tblW w:w="847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05"/>
        <w:gridCol w:w="3970"/>
      </w:tblGrid>
      <w:tr w14:paraId="40F2E9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505" w:type="dxa"/>
            <w:tcBorders>
              <w:top w:val="single" w:color="000000" w:sz="10" w:space="0"/>
              <w:left w:val="single" w:color="000000" w:sz="10" w:space="0"/>
            </w:tcBorders>
            <w:vAlign w:val="top"/>
          </w:tcPr>
          <w:p w14:paraId="573F5EA6">
            <w:pPr>
              <w:pStyle w:val="6"/>
              <w:spacing w:before="100" w:line="232" w:lineRule="auto"/>
              <w:ind w:left="2066"/>
              <w:rPr>
                <w:sz w:val="20"/>
                <w:szCs w:val="20"/>
              </w:rPr>
            </w:pPr>
            <w:r>
              <w:rPr>
                <w:spacing w:val="-9"/>
                <w:sz w:val="20"/>
                <w:szCs w:val="20"/>
              </w:rPr>
              <w:t>因子</w:t>
            </w:r>
          </w:p>
        </w:tc>
        <w:tc>
          <w:tcPr>
            <w:tcW w:w="3970" w:type="dxa"/>
            <w:tcBorders>
              <w:top w:val="single" w:color="000000" w:sz="10" w:space="0"/>
              <w:right w:val="single" w:color="000000" w:sz="10" w:space="0"/>
            </w:tcBorders>
            <w:vAlign w:val="top"/>
          </w:tcPr>
          <w:p w14:paraId="5B865E46">
            <w:pPr>
              <w:spacing w:before="140" w:line="199" w:lineRule="auto"/>
              <w:ind w:left="1766"/>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pacing w:val="8"/>
                <w:position w:val="-1"/>
                <w:sz w:val="13"/>
                <w:szCs w:val="13"/>
              </w:rPr>
              <w:t>10</w:t>
            </w:r>
          </w:p>
        </w:tc>
      </w:tr>
      <w:tr w14:paraId="0FA353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4505" w:type="dxa"/>
            <w:tcBorders>
              <w:left w:val="single" w:color="000000" w:sz="10" w:space="0"/>
            </w:tcBorders>
            <w:vAlign w:val="top"/>
          </w:tcPr>
          <w:p w14:paraId="6E086247">
            <w:pPr>
              <w:pStyle w:val="6"/>
              <w:spacing w:before="114" w:line="230" w:lineRule="auto"/>
              <w:ind w:left="1100"/>
              <w:rPr>
                <w:sz w:val="20"/>
                <w:szCs w:val="20"/>
              </w:rPr>
            </w:pPr>
            <w:r>
              <w:rPr>
                <w:spacing w:val="8"/>
                <w:sz w:val="20"/>
                <w:szCs w:val="20"/>
              </w:rPr>
              <w:t>蓬东乡石灰岩集中开采区</w:t>
            </w:r>
          </w:p>
        </w:tc>
        <w:tc>
          <w:tcPr>
            <w:tcW w:w="3970" w:type="dxa"/>
            <w:tcBorders>
              <w:right w:val="single" w:color="000000" w:sz="10" w:space="0"/>
            </w:tcBorders>
            <w:vAlign w:val="top"/>
          </w:tcPr>
          <w:p w14:paraId="5F4412F3">
            <w:pPr>
              <w:spacing w:before="150" w:line="195" w:lineRule="auto"/>
              <w:ind w:left="164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4511.19</w:t>
            </w:r>
          </w:p>
        </w:tc>
      </w:tr>
      <w:tr w14:paraId="10D005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4505" w:type="dxa"/>
            <w:tcBorders>
              <w:left w:val="single" w:color="000000" w:sz="10" w:space="0"/>
              <w:bottom w:val="single" w:color="000000" w:sz="10" w:space="0"/>
            </w:tcBorders>
            <w:vAlign w:val="top"/>
          </w:tcPr>
          <w:p w14:paraId="159460C5">
            <w:pPr>
              <w:pStyle w:val="6"/>
              <w:spacing w:before="88" w:line="231" w:lineRule="auto"/>
              <w:ind w:left="1415"/>
              <w:rPr>
                <w:sz w:val="20"/>
                <w:szCs w:val="20"/>
              </w:rPr>
            </w:pPr>
            <w:r>
              <w:rPr>
                <w:spacing w:val="8"/>
                <w:sz w:val="20"/>
                <w:szCs w:val="20"/>
              </w:rPr>
              <w:t>规划实施后排放量</w:t>
            </w:r>
          </w:p>
        </w:tc>
        <w:tc>
          <w:tcPr>
            <w:tcW w:w="3970" w:type="dxa"/>
            <w:tcBorders>
              <w:bottom w:val="single" w:color="000000" w:sz="10" w:space="0"/>
              <w:right w:val="single" w:color="000000" w:sz="10" w:space="0"/>
            </w:tcBorders>
            <w:vAlign w:val="top"/>
          </w:tcPr>
          <w:p w14:paraId="22F8AAF1">
            <w:pPr>
              <w:spacing w:before="124" w:line="195" w:lineRule="auto"/>
              <w:ind w:left="1717"/>
              <w:rPr>
                <w:rFonts w:ascii="Times New Roman" w:hAnsi="Times New Roman" w:eastAsia="Times New Roman" w:cs="Times New Roman"/>
                <w:sz w:val="20"/>
                <w:szCs w:val="20"/>
              </w:rPr>
            </w:pPr>
            <w:r>
              <w:rPr>
                <w:rFonts w:ascii="Times New Roman" w:hAnsi="Times New Roman" w:eastAsia="Times New Roman" w:cs="Times New Roman"/>
                <w:sz w:val="20"/>
                <w:szCs w:val="20"/>
              </w:rPr>
              <w:t>150.95</w:t>
            </w:r>
          </w:p>
        </w:tc>
      </w:tr>
    </w:tbl>
    <w:p w14:paraId="41C1459E">
      <w:pPr>
        <w:pStyle w:val="2"/>
      </w:pPr>
    </w:p>
    <w:p w14:paraId="5B4B6619">
      <w:pPr>
        <w:sectPr>
          <w:headerReference r:id="rId174" w:type="default"/>
          <w:footerReference r:id="rId175" w:type="default"/>
          <w:pgSz w:w="11906" w:h="16839"/>
          <w:pgMar w:top="1116" w:right="1392" w:bottom="866" w:left="1464" w:header="683" w:footer="703" w:gutter="0"/>
          <w:cols w:space="720" w:num="1"/>
        </w:sectPr>
      </w:pPr>
    </w:p>
    <w:p w14:paraId="24F1CF54">
      <w:pPr>
        <w:spacing w:before="82"/>
      </w:pPr>
    </w:p>
    <w:tbl>
      <w:tblPr>
        <w:tblStyle w:val="5"/>
        <w:tblW w:w="8475"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4505"/>
        <w:gridCol w:w="3970"/>
      </w:tblGrid>
      <w:tr w14:paraId="210EFBB5">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423" w:hRule="atLeast"/>
        </w:trPr>
        <w:tc>
          <w:tcPr>
            <w:tcW w:w="4505" w:type="dxa"/>
            <w:tcBorders>
              <w:right w:val="single" w:color="000000" w:sz="2" w:space="0"/>
            </w:tcBorders>
            <w:vAlign w:val="top"/>
          </w:tcPr>
          <w:p w14:paraId="427E52D4">
            <w:pPr>
              <w:pStyle w:val="6"/>
              <w:spacing w:before="108" w:line="231" w:lineRule="auto"/>
              <w:ind w:left="1537"/>
              <w:rPr>
                <w:sz w:val="20"/>
                <w:szCs w:val="20"/>
              </w:rPr>
            </w:pPr>
            <w:r>
              <w:rPr>
                <w:spacing w:val="6"/>
                <w:sz w:val="20"/>
                <w:szCs w:val="20"/>
              </w:rPr>
              <w:t>所占比例（</w:t>
            </w:r>
            <w:r>
              <w:rPr>
                <w:rFonts w:ascii="Times New Roman" w:hAnsi="Times New Roman" w:eastAsia="Times New Roman" w:cs="Times New Roman"/>
                <w:spacing w:val="6"/>
                <w:sz w:val="20"/>
                <w:szCs w:val="20"/>
              </w:rPr>
              <w:t>%</w:t>
            </w:r>
            <w:r>
              <w:rPr>
                <w:spacing w:val="6"/>
                <w:sz w:val="20"/>
                <w:szCs w:val="20"/>
              </w:rPr>
              <w:t>）</w:t>
            </w:r>
          </w:p>
        </w:tc>
        <w:tc>
          <w:tcPr>
            <w:tcW w:w="3970" w:type="dxa"/>
            <w:tcBorders>
              <w:left w:val="single" w:color="000000" w:sz="2" w:space="0"/>
            </w:tcBorders>
            <w:vAlign w:val="top"/>
          </w:tcPr>
          <w:p w14:paraId="1D36F5B4">
            <w:pPr>
              <w:spacing w:before="144" w:line="195" w:lineRule="auto"/>
              <w:ind w:left="180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3.35</w:t>
            </w:r>
          </w:p>
        </w:tc>
      </w:tr>
    </w:tbl>
    <w:p w14:paraId="06007500">
      <w:pPr>
        <w:spacing w:before="145" w:line="340" w:lineRule="auto"/>
        <w:ind w:left="138" w:right="71" w:firstLine="554"/>
        <w:jc w:val="both"/>
        <w:rPr>
          <w:rFonts w:ascii="仿宋" w:hAnsi="仿宋" w:eastAsia="仿宋" w:cs="仿宋"/>
          <w:sz w:val="25"/>
          <w:szCs w:val="25"/>
        </w:rPr>
      </w:pPr>
      <w:r>
        <w:rPr>
          <w:rFonts w:ascii="仿宋" w:hAnsi="仿宋" w:eastAsia="仿宋" w:cs="仿宋"/>
          <w:spacing w:val="5"/>
          <w:sz w:val="25"/>
          <w:szCs w:val="25"/>
        </w:rPr>
        <w:t>由表</w:t>
      </w:r>
      <w:r>
        <w:rPr>
          <w:rFonts w:ascii="仿宋" w:hAnsi="仿宋" w:eastAsia="仿宋" w:cs="仿宋"/>
          <w:spacing w:val="-45"/>
          <w:sz w:val="25"/>
          <w:szCs w:val="25"/>
        </w:rPr>
        <w:t xml:space="preserve"> </w:t>
      </w:r>
      <w:r>
        <w:rPr>
          <w:rFonts w:ascii="Times New Roman" w:hAnsi="Times New Roman" w:eastAsia="Times New Roman" w:cs="Times New Roman"/>
          <w:spacing w:val="5"/>
          <w:sz w:val="25"/>
          <w:szCs w:val="25"/>
        </w:rPr>
        <w:t>5.1-3</w:t>
      </w:r>
      <w:r>
        <w:rPr>
          <w:rFonts w:ascii="Times New Roman" w:hAnsi="Times New Roman" w:eastAsia="Times New Roman" w:cs="Times New Roman"/>
          <w:spacing w:val="24"/>
          <w:sz w:val="25"/>
          <w:szCs w:val="25"/>
        </w:rPr>
        <w:t xml:space="preserve"> </w:t>
      </w:r>
      <w:r>
        <w:rPr>
          <w:rFonts w:ascii="仿宋" w:hAnsi="仿宋" w:eastAsia="仿宋" w:cs="仿宋"/>
          <w:spacing w:val="5"/>
          <w:sz w:val="25"/>
          <w:szCs w:val="25"/>
        </w:rPr>
        <w:t>可知，规划实施后</w:t>
      </w:r>
      <w:r>
        <w:rPr>
          <w:rFonts w:ascii="仿宋" w:hAnsi="仿宋" w:eastAsia="仿宋" w:cs="仿宋"/>
          <w:spacing w:val="-53"/>
          <w:sz w:val="25"/>
          <w:szCs w:val="25"/>
        </w:rPr>
        <w:t xml:space="preserve"> </w:t>
      </w:r>
      <w:r>
        <w:rPr>
          <w:rFonts w:ascii="Times New Roman" w:hAnsi="Times New Roman" w:eastAsia="Times New Roman" w:cs="Times New Roman"/>
          <w:sz w:val="25"/>
          <w:szCs w:val="25"/>
        </w:rPr>
        <w:t>PM</w:t>
      </w:r>
      <w:r>
        <w:rPr>
          <w:rFonts w:ascii="Times New Roman" w:hAnsi="Times New Roman" w:eastAsia="Times New Roman" w:cs="Times New Roman"/>
          <w:spacing w:val="5"/>
          <w:position w:val="-2"/>
          <w:sz w:val="16"/>
          <w:szCs w:val="16"/>
        </w:rPr>
        <w:t>10</w:t>
      </w:r>
      <w:r>
        <w:rPr>
          <w:rFonts w:ascii="Times New Roman" w:hAnsi="Times New Roman" w:eastAsia="Times New Roman" w:cs="Times New Roman"/>
          <w:spacing w:val="35"/>
          <w:w w:val="102"/>
          <w:position w:val="-2"/>
          <w:sz w:val="16"/>
          <w:szCs w:val="16"/>
        </w:rPr>
        <w:t xml:space="preserve"> </w:t>
      </w:r>
      <w:r>
        <w:rPr>
          <w:rFonts w:ascii="仿宋" w:hAnsi="仿宋" w:eastAsia="仿宋" w:cs="仿宋"/>
          <w:spacing w:val="5"/>
          <w:sz w:val="25"/>
          <w:szCs w:val="25"/>
        </w:rPr>
        <w:t>的排放量仅占黔江区蓬东乡</w:t>
      </w:r>
      <w:r>
        <w:rPr>
          <w:rFonts w:ascii="仿宋" w:hAnsi="仿宋" w:eastAsia="仿宋" w:cs="仿宋"/>
          <w:spacing w:val="4"/>
          <w:sz w:val="25"/>
          <w:szCs w:val="25"/>
        </w:rPr>
        <w:t>石灰岩集中</w:t>
      </w:r>
      <w:r>
        <w:rPr>
          <w:rFonts w:ascii="仿宋" w:hAnsi="仿宋" w:eastAsia="仿宋" w:cs="仿宋"/>
          <w:sz w:val="25"/>
          <w:szCs w:val="25"/>
        </w:rPr>
        <w:t xml:space="preserve"> </w:t>
      </w:r>
      <w:r>
        <w:rPr>
          <w:rFonts w:ascii="仿宋" w:hAnsi="仿宋" w:eastAsia="仿宋" w:cs="仿宋"/>
          <w:spacing w:val="7"/>
          <w:sz w:val="25"/>
          <w:szCs w:val="25"/>
        </w:rPr>
        <w:t>开采区范围容量的</w:t>
      </w:r>
      <w:r>
        <w:rPr>
          <w:rFonts w:ascii="仿宋" w:hAnsi="仿宋" w:eastAsia="仿宋" w:cs="仿宋"/>
          <w:spacing w:val="-47"/>
          <w:sz w:val="25"/>
          <w:szCs w:val="25"/>
        </w:rPr>
        <w:t xml:space="preserve"> </w:t>
      </w:r>
      <w:r>
        <w:rPr>
          <w:rFonts w:ascii="Times New Roman" w:hAnsi="Times New Roman" w:eastAsia="Times New Roman" w:cs="Times New Roman"/>
          <w:spacing w:val="7"/>
          <w:sz w:val="25"/>
          <w:szCs w:val="25"/>
        </w:rPr>
        <w:t>3.35%</w:t>
      </w:r>
      <w:r>
        <w:rPr>
          <w:rFonts w:ascii="Times New Roman" w:hAnsi="Times New Roman" w:eastAsia="Times New Roman" w:cs="Times New Roman"/>
          <w:spacing w:val="-27"/>
          <w:sz w:val="25"/>
          <w:szCs w:val="25"/>
        </w:rPr>
        <w:t xml:space="preserve"> </w:t>
      </w:r>
      <w:r>
        <w:rPr>
          <w:rFonts w:ascii="仿宋" w:hAnsi="仿宋" w:eastAsia="仿宋" w:cs="仿宋"/>
          <w:spacing w:val="7"/>
          <w:sz w:val="25"/>
          <w:szCs w:val="25"/>
        </w:rPr>
        <w:t>，</w:t>
      </w:r>
      <w:r>
        <w:rPr>
          <w:rFonts w:ascii="仿宋" w:hAnsi="仿宋" w:eastAsia="仿宋" w:cs="仿宋"/>
          <w:spacing w:val="-54"/>
          <w:sz w:val="25"/>
          <w:szCs w:val="25"/>
        </w:rPr>
        <w:t xml:space="preserve"> </w:t>
      </w:r>
      <w:r>
        <w:rPr>
          <w:rFonts w:ascii="仿宋" w:hAnsi="仿宋" w:eastAsia="仿宋" w:cs="仿宋"/>
          <w:spacing w:val="7"/>
          <w:sz w:val="25"/>
          <w:szCs w:val="25"/>
        </w:rPr>
        <w:t>占比较小，集中开采区大气环境容</w:t>
      </w:r>
      <w:r>
        <w:rPr>
          <w:rFonts w:ascii="仿宋" w:hAnsi="仿宋" w:eastAsia="仿宋" w:cs="仿宋"/>
          <w:spacing w:val="6"/>
          <w:sz w:val="25"/>
          <w:szCs w:val="25"/>
        </w:rPr>
        <w:t>量能满足规划要</w:t>
      </w:r>
      <w:r>
        <w:rPr>
          <w:rFonts w:ascii="仿宋" w:hAnsi="仿宋" w:eastAsia="仿宋" w:cs="仿宋"/>
          <w:sz w:val="25"/>
          <w:szCs w:val="25"/>
        </w:rPr>
        <w:t xml:space="preserve"> </w:t>
      </w:r>
      <w:r>
        <w:rPr>
          <w:rFonts w:ascii="仿宋" w:hAnsi="仿宋" w:eastAsia="仿宋" w:cs="仿宋"/>
          <w:spacing w:val="-5"/>
          <w:sz w:val="25"/>
          <w:szCs w:val="25"/>
        </w:rPr>
        <w:t>求。</w:t>
      </w:r>
    </w:p>
    <w:p w14:paraId="4620B11D">
      <w:pPr>
        <w:spacing w:line="229" w:lineRule="auto"/>
        <w:ind w:left="623"/>
        <w:rPr>
          <w:rFonts w:ascii="仿宋" w:hAnsi="仿宋" w:eastAsia="仿宋" w:cs="仿宋"/>
          <w:sz w:val="25"/>
          <w:szCs w:val="25"/>
        </w:rPr>
      </w:pPr>
      <w:r>
        <w:rPr>
          <w:rFonts w:ascii="仿宋" w:hAnsi="仿宋" w:eastAsia="仿宋" w:cs="仿宋"/>
          <w:spacing w:val="8"/>
          <w:sz w:val="25"/>
          <w:szCs w:val="25"/>
        </w:rPr>
        <w:t>（</w:t>
      </w:r>
      <w:r>
        <w:rPr>
          <w:rFonts w:ascii="Times New Roman" w:hAnsi="Times New Roman" w:eastAsia="Times New Roman" w:cs="Times New Roman"/>
          <w:spacing w:val="8"/>
          <w:sz w:val="25"/>
          <w:szCs w:val="25"/>
        </w:rPr>
        <w:t>2</w:t>
      </w:r>
      <w:r>
        <w:rPr>
          <w:rFonts w:ascii="仿宋" w:hAnsi="仿宋" w:eastAsia="仿宋" w:cs="仿宋"/>
          <w:spacing w:val="8"/>
          <w:sz w:val="25"/>
          <w:szCs w:val="25"/>
        </w:rPr>
        <w:t>）本次规划调整的勘查开采规划区块</w:t>
      </w:r>
    </w:p>
    <w:p w14:paraId="3BCFCC6C">
      <w:pPr>
        <w:spacing w:before="144" w:line="340" w:lineRule="auto"/>
        <w:ind w:left="136" w:right="69" w:firstLine="483"/>
        <w:rPr>
          <w:rFonts w:ascii="仿宋" w:hAnsi="仿宋" w:eastAsia="仿宋" w:cs="仿宋"/>
          <w:sz w:val="25"/>
          <w:szCs w:val="25"/>
        </w:rPr>
      </w:pPr>
      <w:r>
        <w:rPr>
          <w:rFonts w:ascii="仿宋" w:hAnsi="仿宋" w:eastAsia="仿宋" w:cs="仿宋"/>
          <w:spacing w:val="6"/>
          <w:sz w:val="25"/>
          <w:szCs w:val="25"/>
        </w:rPr>
        <w:t>本次补充评价的</w:t>
      </w:r>
      <w:r>
        <w:rPr>
          <w:rFonts w:ascii="仿宋" w:hAnsi="仿宋" w:eastAsia="仿宋" w:cs="仿宋"/>
          <w:spacing w:val="-25"/>
          <w:sz w:val="25"/>
          <w:szCs w:val="25"/>
        </w:rPr>
        <w:t xml:space="preserve"> </w:t>
      </w:r>
      <w:r>
        <w:rPr>
          <w:rFonts w:ascii="Times New Roman" w:hAnsi="Times New Roman" w:eastAsia="Times New Roman" w:cs="Times New Roman"/>
          <w:spacing w:val="6"/>
          <w:sz w:val="25"/>
          <w:szCs w:val="25"/>
        </w:rPr>
        <w:t>1</w:t>
      </w:r>
      <w:r>
        <w:rPr>
          <w:rFonts w:ascii="Times New Roman" w:hAnsi="Times New Roman" w:eastAsia="Times New Roman" w:cs="Times New Roman"/>
          <w:spacing w:val="25"/>
          <w:sz w:val="25"/>
          <w:szCs w:val="25"/>
        </w:rPr>
        <w:t xml:space="preserve"> </w:t>
      </w:r>
      <w:r>
        <w:rPr>
          <w:rFonts w:ascii="仿宋" w:hAnsi="仿宋" w:eastAsia="仿宋" w:cs="仿宋"/>
          <w:spacing w:val="6"/>
          <w:sz w:val="25"/>
          <w:szCs w:val="25"/>
        </w:rPr>
        <w:t>个开采区块</w:t>
      </w:r>
      <w:r>
        <w:rPr>
          <w:rFonts w:ascii="仿宋" w:hAnsi="仿宋" w:eastAsia="仿宋" w:cs="仿宋"/>
          <w:spacing w:val="-46"/>
          <w:sz w:val="25"/>
          <w:szCs w:val="25"/>
        </w:rPr>
        <w:t xml:space="preserve"> </w:t>
      </w:r>
      <w:r>
        <w:rPr>
          <w:rFonts w:ascii="Times New Roman" w:hAnsi="Times New Roman" w:eastAsia="Times New Roman" w:cs="Times New Roman"/>
          <w:sz w:val="25"/>
          <w:szCs w:val="25"/>
        </w:rPr>
        <w:t>CQ</w:t>
      </w:r>
      <w:r>
        <w:rPr>
          <w:rFonts w:ascii="Times New Roman" w:hAnsi="Times New Roman" w:eastAsia="Times New Roman" w:cs="Times New Roman"/>
          <w:spacing w:val="6"/>
          <w:sz w:val="25"/>
          <w:szCs w:val="25"/>
        </w:rPr>
        <w:t>029</w:t>
      </w:r>
      <w:r>
        <w:rPr>
          <w:rFonts w:ascii="Times New Roman" w:hAnsi="Times New Roman" w:eastAsia="Times New Roman" w:cs="Times New Roman"/>
          <w:spacing w:val="24"/>
          <w:w w:val="101"/>
          <w:sz w:val="25"/>
          <w:szCs w:val="25"/>
        </w:rPr>
        <w:t xml:space="preserve"> </w:t>
      </w:r>
      <w:r>
        <w:rPr>
          <w:rFonts w:ascii="仿宋" w:hAnsi="仿宋" w:eastAsia="仿宋" w:cs="仿宋"/>
          <w:spacing w:val="6"/>
          <w:sz w:val="25"/>
          <w:szCs w:val="25"/>
        </w:rPr>
        <w:t>和</w:t>
      </w:r>
      <w:r>
        <w:rPr>
          <w:rFonts w:ascii="仿宋" w:hAnsi="仿宋" w:eastAsia="仿宋" w:cs="仿宋"/>
          <w:spacing w:val="-25"/>
          <w:sz w:val="25"/>
          <w:szCs w:val="25"/>
        </w:rPr>
        <w:t xml:space="preserve"> </w:t>
      </w:r>
      <w:r>
        <w:rPr>
          <w:rFonts w:ascii="Times New Roman" w:hAnsi="Times New Roman" w:eastAsia="Times New Roman" w:cs="Times New Roman"/>
          <w:spacing w:val="6"/>
          <w:sz w:val="25"/>
          <w:szCs w:val="25"/>
        </w:rPr>
        <w:t>1</w:t>
      </w:r>
      <w:r>
        <w:rPr>
          <w:rFonts w:ascii="Times New Roman" w:hAnsi="Times New Roman" w:eastAsia="Times New Roman" w:cs="Times New Roman"/>
          <w:spacing w:val="25"/>
          <w:w w:val="101"/>
          <w:sz w:val="25"/>
          <w:szCs w:val="25"/>
        </w:rPr>
        <w:t xml:space="preserve"> </w:t>
      </w:r>
      <w:r>
        <w:rPr>
          <w:rFonts w:ascii="仿宋" w:hAnsi="仿宋" w:eastAsia="仿宋" w:cs="仿宋"/>
          <w:spacing w:val="6"/>
          <w:sz w:val="25"/>
          <w:szCs w:val="25"/>
        </w:rPr>
        <w:t>个</w:t>
      </w:r>
      <w:r>
        <w:rPr>
          <w:rFonts w:ascii="仿宋" w:hAnsi="仿宋" w:eastAsia="仿宋" w:cs="仿宋"/>
          <w:spacing w:val="5"/>
          <w:sz w:val="25"/>
          <w:szCs w:val="25"/>
        </w:rPr>
        <w:t>勘查区块</w:t>
      </w:r>
      <w:r>
        <w:rPr>
          <w:rFonts w:ascii="仿宋" w:hAnsi="仿宋" w:eastAsia="仿宋" w:cs="仿宋"/>
          <w:spacing w:val="-51"/>
          <w:sz w:val="25"/>
          <w:szCs w:val="25"/>
        </w:rPr>
        <w:t xml:space="preserve"> </w:t>
      </w:r>
      <w:r>
        <w:rPr>
          <w:rFonts w:ascii="Times New Roman" w:hAnsi="Times New Roman" w:eastAsia="Times New Roman" w:cs="Times New Roman"/>
          <w:sz w:val="25"/>
          <w:szCs w:val="25"/>
        </w:rPr>
        <w:t>KQ</w:t>
      </w:r>
      <w:r>
        <w:rPr>
          <w:rFonts w:ascii="Times New Roman" w:hAnsi="Times New Roman" w:eastAsia="Times New Roman" w:cs="Times New Roman"/>
          <w:spacing w:val="5"/>
          <w:sz w:val="25"/>
          <w:szCs w:val="25"/>
        </w:rPr>
        <w:t>003</w:t>
      </w:r>
      <w:r>
        <w:rPr>
          <w:rFonts w:ascii="Times New Roman" w:hAnsi="Times New Roman" w:eastAsia="Times New Roman" w:cs="Times New Roman"/>
          <w:spacing w:val="34"/>
          <w:sz w:val="25"/>
          <w:szCs w:val="25"/>
        </w:rPr>
        <w:t xml:space="preserve"> </w:t>
      </w:r>
      <w:r>
        <w:rPr>
          <w:rFonts w:ascii="仿宋" w:hAnsi="仿宋" w:eastAsia="仿宋" w:cs="仿宋"/>
          <w:spacing w:val="5"/>
          <w:sz w:val="25"/>
          <w:szCs w:val="25"/>
        </w:rPr>
        <w:t>为饰面用灰</w:t>
      </w:r>
      <w:r>
        <w:rPr>
          <w:rFonts w:ascii="仿宋" w:hAnsi="仿宋" w:eastAsia="仿宋" w:cs="仿宋"/>
          <w:sz w:val="25"/>
          <w:szCs w:val="25"/>
        </w:rPr>
        <w:t xml:space="preserve"> </w:t>
      </w:r>
      <w:r>
        <w:rPr>
          <w:rFonts w:ascii="仿宋" w:hAnsi="仿宋" w:eastAsia="仿宋" w:cs="仿宋"/>
          <w:spacing w:val="8"/>
          <w:sz w:val="25"/>
          <w:szCs w:val="25"/>
        </w:rPr>
        <w:t>岩，产生的粉尘较少，本次《规划调整》新增</w:t>
      </w:r>
      <w:r>
        <w:rPr>
          <w:rFonts w:ascii="仿宋" w:hAnsi="仿宋" w:eastAsia="仿宋" w:cs="仿宋"/>
          <w:spacing w:val="-27"/>
          <w:sz w:val="25"/>
          <w:szCs w:val="25"/>
        </w:rPr>
        <w:t xml:space="preserve"> </w:t>
      </w:r>
      <w:r>
        <w:rPr>
          <w:rFonts w:ascii="Times New Roman" w:hAnsi="Times New Roman" w:eastAsia="Times New Roman" w:cs="Times New Roman"/>
          <w:spacing w:val="8"/>
          <w:sz w:val="25"/>
          <w:szCs w:val="25"/>
        </w:rPr>
        <w:t>1</w:t>
      </w:r>
      <w:r>
        <w:rPr>
          <w:rFonts w:ascii="Times New Roman" w:hAnsi="Times New Roman" w:eastAsia="Times New Roman" w:cs="Times New Roman"/>
          <w:spacing w:val="20"/>
          <w:w w:val="101"/>
          <w:sz w:val="25"/>
          <w:szCs w:val="25"/>
        </w:rPr>
        <w:t xml:space="preserve"> </w:t>
      </w:r>
      <w:r>
        <w:rPr>
          <w:rFonts w:ascii="仿宋" w:hAnsi="仿宋" w:eastAsia="仿宋" w:cs="仿宋"/>
          <w:spacing w:val="8"/>
          <w:sz w:val="25"/>
          <w:szCs w:val="25"/>
        </w:rPr>
        <w:t>个勘查规划区块（铸型用砂岩</w:t>
      </w:r>
      <w:r>
        <w:rPr>
          <w:rFonts w:ascii="仿宋" w:hAnsi="仿宋" w:eastAsia="仿宋" w:cs="仿宋"/>
          <w:sz w:val="25"/>
          <w:szCs w:val="25"/>
        </w:rPr>
        <w:t xml:space="preserve"> </w:t>
      </w:r>
      <w:r>
        <w:rPr>
          <w:rFonts w:ascii="仿宋" w:hAnsi="仿宋" w:eastAsia="仿宋" w:cs="仿宋"/>
          <w:spacing w:val="7"/>
          <w:sz w:val="25"/>
          <w:szCs w:val="25"/>
        </w:rPr>
        <w:t>矿）和调整</w:t>
      </w:r>
      <w:r>
        <w:rPr>
          <w:rFonts w:ascii="仿宋" w:hAnsi="仿宋" w:eastAsia="仿宋" w:cs="仿宋"/>
          <w:spacing w:val="-29"/>
          <w:sz w:val="25"/>
          <w:szCs w:val="25"/>
        </w:rPr>
        <w:t xml:space="preserve"> </w:t>
      </w:r>
      <w:r>
        <w:rPr>
          <w:rFonts w:ascii="Times New Roman" w:hAnsi="Times New Roman" w:eastAsia="Times New Roman" w:cs="Times New Roman"/>
          <w:spacing w:val="7"/>
          <w:sz w:val="25"/>
          <w:szCs w:val="25"/>
        </w:rPr>
        <w:t>1</w:t>
      </w:r>
      <w:r>
        <w:rPr>
          <w:rFonts w:ascii="Times New Roman" w:hAnsi="Times New Roman" w:eastAsia="Times New Roman" w:cs="Times New Roman"/>
          <w:spacing w:val="21"/>
          <w:sz w:val="25"/>
          <w:szCs w:val="25"/>
        </w:rPr>
        <w:t xml:space="preserve"> </w:t>
      </w:r>
      <w:r>
        <w:rPr>
          <w:rFonts w:ascii="仿宋" w:hAnsi="仿宋" w:eastAsia="仿宋" w:cs="仿宋"/>
          <w:spacing w:val="7"/>
          <w:sz w:val="25"/>
          <w:szCs w:val="25"/>
        </w:rPr>
        <w:t>个勘查规划区块（铝土矿</w:t>
      </w:r>
      <w:r>
        <w:rPr>
          <w:rFonts w:ascii="仿宋" w:hAnsi="仿宋" w:eastAsia="仿宋" w:cs="仿宋"/>
          <w:spacing w:val="25"/>
          <w:sz w:val="25"/>
          <w:szCs w:val="25"/>
        </w:rPr>
        <w:t>），</w:t>
      </w:r>
      <w:r>
        <w:rPr>
          <w:rFonts w:ascii="仿宋" w:hAnsi="仿宋" w:eastAsia="仿宋" w:cs="仿宋"/>
          <w:spacing w:val="7"/>
          <w:sz w:val="25"/>
          <w:szCs w:val="25"/>
        </w:rPr>
        <w:t>均为地下开采区块，其开采时产生</w:t>
      </w:r>
      <w:r>
        <w:rPr>
          <w:rFonts w:ascii="仿宋" w:hAnsi="仿宋" w:eastAsia="仿宋" w:cs="仿宋"/>
          <w:sz w:val="25"/>
          <w:szCs w:val="25"/>
        </w:rPr>
        <w:t xml:space="preserve"> </w:t>
      </w:r>
      <w:r>
        <w:rPr>
          <w:rFonts w:ascii="仿宋" w:hAnsi="仿宋" w:eastAsia="仿宋" w:cs="仿宋"/>
          <w:spacing w:val="10"/>
          <w:sz w:val="25"/>
          <w:szCs w:val="25"/>
        </w:rPr>
        <w:t>的粉尘量不大，在矿产资源勘查开采中应合理设计勘查</w:t>
      </w:r>
      <w:r>
        <w:rPr>
          <w:rFonts w:ascii="仿宋" w:hAnsi="仿宋" w:eastAsia="仿宋" w:cs="仿宋"/>
          <w:spacing w:val="9"/>
          <w:sz w:val="25"/>
          <w:szCs w:val="25"/>
        </w:rPr>
        <w:t>开采方案，工业广场矿</w:t>
      </w:r>
      <w:r>
        <w:rPr>
          <w:rFonts w:ascii="仿宋" w:hAnsi="仿宋" w:eastAsia="仿宋" w:cs="仿宋"/>
          <w:sz w:val="25"/>
          <w:szCs w:val="25"/>
        </w:rPr>
        <w:t xml:space="preserve"> </w:t>
      </w:r>
      <w:r>
        <w:rPr>
          <w:rFonts w:ascii="仿宋" w:hAnsi="仿宋" w:eastAsia="仿宋" w:cs="仿宋"/>
          <w:spacing w:val="10"/>
          <w:sz w:val="25"/>
          <w:szCs w:val="25"/>
        </w:rPr>
        <w:t>石破碎加工车间应加强粉尘管理，采取有效的废气</w:t>
      </w:r>
      <w:r>
        <w:rPr>
          <w:rFonts w:ascii="仿宋" w:hAnsi="仿宋" w:eastAsia="仿宋" w:cs="仿宋"/>
          <w:spacing w:val="9"/>
          <w:sz w:val="25"/>
          <w:szCs w:val="25"/>
        </w:rPr>
        <w:t>处理及治理措施，可有效控</w:t>
      </w:r>
      <w:r>
        <w:rPr>
          <w:rFonts w:ascii="仿宋" w:hAnsi="仿宋" w:eastAsia="仿宋" w:cs="仿宋"/>
          <w:sz w:val="25"/>
          <w:szCs w:val="25"/>
        </w:rPr>
        <w:t xml:space="preserve"> </w:t>
      </w:r>
      <w:r>
        <w:rPr>
          <w:rFonts w:ascii="仿宋" w:hAnsi="仿宋" w:eastAsia="仿宋" w:cs="仿宋"/>
          <w:spacing w:val="9"/>
          <w:sz w:val="25"/>
          <w:szCs w:val="25"/>
        </w:rPr>
        <w:t>制矿山企业废气产生及排放量，整体上，在</w:t>
      </w:r>
      <w:r>
        <w:rPr>
          <w:rFonts w:ascii="仿宋" w:hAnsi="仿宋" w:eastAsia="仿宋" w:cs="仿宋"/>
          <w:spacing w:val="8"/>
          <w:sz w:val="25"/>
          <w:szCs w:val="25"/>
        </w:rPr>
        <w:t>严格落实“十四五</w:t>
      </w:r>
      <w:r>
        <w:rPr>
          <w:rFonts w:ascii="仿宋" w:hAnsi="仿宋" w:eastAsia="仿宋" w:cs="仿宋"/>
          <w:spacing w:val="-88"/>
          <w:sz w:val="25"/>
          <w:szCs w:val="25"/>
        </w:rPr>
        <w:t xml:space="preserve"> </w:t>
      </w:r>
      <w:r>
        <w:rPr>
          <w:rFonts w:ascii="仿宋" w:hAnsi="仿宋" w:eastAsia="仿宋" w:cs="仿宋"/>
          <w:spacing w:val="8"/>
          <w:sz w:val="25"/>
          <w:szCs w:val="25"/>
        </w:rPr>
        <w:t>”矿规环评和本</w:t>
      </w:r>
      <w:r>
        <w:rPr>
          <w:rFonts w:ascii="仿宋" w:hAnsi="仿宋" w:eastAsia="仿宋" w:cs="仿宋"/>
          <w:sz w:val="25"/>
          <w:szCs w:val="25"/>
        </w:rPr>
        <w:t xml:space="preserve"> </w:t>
      </w:r>
      <w:r>
        <w:rPr>
          <w:rFonts w:ascii="仿宋" w:hAnsi="仿宋" w:eastAsia="仿宋" w:cs="仿宋"/>
          <w:spacing w:val="9"/>
          <w:sz w:val="25"/>
          <w:szCs w:val="25"/>
        </w:rPr>
        <w:t>评价提出的措施后，区域大气环境能承载区域规划发展需要。</w:t>
      </w:r>
    </w:p>
    <w:p w14:paraId="1B8B1B78">
      <w:pPr>
        <w:spacing w:before="122" w:line="228" w:lineRule="auto"/>
        <w:ind w:left="130"/>
        <w:outlineLvl w:val="3"/>
        <w:rPr>
          <w:rFonts w:ascii="仿宋" w:hAnsi="仿宋" w:eastAsia="仿宋" w:cs="仿宋"/>
          <w:sz w:val="25"/>
          <w:szCs w:val="25"/>
        </w:rPr>
      </w:pPr>
      <w:r>
        <w:rPr>
          <w:rFonts w:ascii="Times New Roman" w:hAnsi="Times New Roman" w:eastAsia="Times New Roman" w:cs="Times New Roman"/>
          <w:b/>
          <w:bCs/>
          <w:spacing w:val="4"/>
          <w:sz w:val="25"/>
          <w:szCs w:val="25"/>
        </w:rPr>
        <w:t>5.1.2.2</w:t>
      </w:r>
      <w:r>
        <w:rPr>
          <w:rFonts w:ascii="Times New Roman" w:hAnsi="Times New Roman" w:eastAsia="Times New Roman" w:cs="Times New Roman"/>
          <w:b/>
          <w:bCs/>
          <w:spacing w:val="24"/>
          <w:sz w:val="25"/>
          <w:szCs w:val="25"/>
        </w:rPr>
        <w:t xml:space="preserve"> </w:t>
      </w:r>
      <w:r>
        <w:rPr>
          <w:rFonts w:ascii="仿宋" w:hAnsi="仿宋" w:eastAsia="仿宋" w:cs="仿宋"/>
          <w:b/>
          <w:bCs/>
          <w:spacing w:val="4"/>
          <w:sz w:val="25"/>
          <w:szCs w:val="25"/>
        </w:rPr>
        <w:t>水环境承载力分析</w:t>
      </w:r>
    </w:p>
    <w:p w14:paraId="473BBF47">
      <w:pPr>
        <w:spacing w:before="273" w:line="339" w:lineRule="auto"/>
        <w:ind w:left="139" w:right="71" w:firstLine="520"/>
        <w:jc w:val="both"/>
        <w:rPr>
          <w:rFonts w:ascii="仿宋" w:hAnsi="仿宋" w:eastAsia="仿宋" w:cs="仿宋"/>
          <w:sz w:val="25"/>
          <w:szCs w:val="25"/>
        </w:rPr>
      </w:pPr>
      <w:r>
        <w:rPr>
          <w:rFonts w:ascii="仿宋" w:hAnsi="仿宋" w:eastAsia="仿宋" w:cs="仿宋"/>
          <w:spacing w:val="4"/>
          <w:sz w:val="25"/>
          <w:szCs w:val="25"/>
        </w:rPr>
        <w:t>根据前文</w:t>
      </w:r>
      <w:r>
        <w:rPr>
          <w:rFonts w:ascii="仿宋" w:hAnsi="仿宋" w:eastAsia="仿宋" w:cs="仿宋"/>
          <w:spacing w:val="-49"/>
          <w:sz w:val="25"/>
          <w:szCs w:val="25"/>
        </w:rPr>
        <w:t xml:space="preserve"> </w:t>
      </w:r>
      <w:r>
        <w:rPr>
          <w:rFonts w:ascii="Times New Roman" w:hAnsi="Times New Roman" w:eastAsia="Times New Roman" w:cs="Times New Roman"/>
          <w:spacing w:val="4"/>
          <w:sz w:val="25"/>
          <w:szCs w:val="25"/>
        </w:rPr>
        <w:t>3.1.4</w:t>
      </w:r>
      <w:r>
        <w:rPr>
          <w:rFonts w:ascii="Times New Roman" w:hAnsi="Times New Roman" w:eastAsia="Times New Roman" w:cs="Times New Roman"/>
          <w:spacing w:val="28"/>
          <w:sz w:val="25"/>
          <w:szCs w:val="25"/>
        </w:rPr>
        <w:t xml:space="preserve"> </w:t>
      </w:r>
      <w:r>
        <w:rPr>
          <w:rFonts w:ascii="仿宋" w:hAnsi="仿宋" w:eastAsia="仿宋" w:cs="仿宋"/>
          <w:spacing w:val="4"/>
          <w:sz w:val="25"/>
          <w:szCs w:val="25"/>
        </w:rPr>
        <w:t>节地表水环境质量现状评价可知，黔江区地表水环境</w:t>
      </w:r>
      <w:r>
        <w:rPr>
          <w:rFonts w:ascii="仿宋" w:hAnsi="仿宋" w:eastAsia="仿宋" w:cs="仿宋"/>
          <w:spacing w:val="3"/>
          <w:sz w:val="25"/>
          <w:szCs w:val="25"/>
        </w:rPr>
        <w:t>质量总</w:t>
      </w:r>
      <w:r>
        <w:rPr>
          <w:rFonts w:ascii="仿宋" w:hAnsi="仿宋" w:eastAsia="仿宋" w:cs="仿宋"/>
          <w:sz w:val="25"/>
          <w:szCs w:val="25"/>
        </w:rPr>
        <w:t xml:space="preserve"> </w:t>
      </w:r>
      <w:r>
        <w:rPr>
          <w:rFonts w:ascii="仿宋" w:hAnsi="仿宋" w:eastAsia="仿宋" w:cs="仿宋"/>
          <w:spacing w:val="9"/>
          <w:sz w:val="25"/>
          <w:szCs w:val="25"/>
        </w:rPr>
        <w:t>体良好，《规划调整》所</w:t>
      </w:r>
      <w:r>
        <w:rPr>
          <w:rFonts w:hint="eastAsia" w:ascii="仿宋" w:hAnsi="仿宋" w:eastAsia="仿宋" w:cs="仿宋"/>
          <w:spacing w:val="9"/>
          <w:sz w:val="25"/>
          <w:szCs w:val="25"/>
          <w:lang w:eastAsia="zh-CN"/>
        </w:rPr>
        <w:t>至</w:t>
      </w:r>
      <w:r>
        <w:rPr>
          <w:rFonts w:ascii="仿宋" w:hAnsi="仿宋" w:eastAsia="仿宋" w:cs="仿宋"/>
          <w:spacing w:val="9"/>
          <w:sz w:val="25"/>
          <w:szCs w:val="25"/>
        </w:rPr>
        <w:t>的中井河、段溪河、后灶河等河流均能达到相</w:t>
      </w:r>
      <w:r>
        <w:rPr>
          <w:rFonts w:ascii="仿宋" w:hAnsi="仿宋" w:eastAsia="仿宋" w:cs="仿宋"/>
          <w:spacing w:val="18"/>
          <w:sz w:val="25"/>
          <w:szCs w:val="25"/>
        </w:rPr>
        <w:t xml:space="preserve"> </w:t>
      </w:r>
      <w:r>
        <w:rPr>
          <w:rFonts w:ascii="仿宋" w:hAnsi="仿宋" w:eastAsia="仿宋" w:cs="仿宋"/>
          <w:spacing w:val="7"/>
          <w:sz w:val="25"/>
          <w:szCs w:val="25"/>
        </w:rPr>
        <w:t>关的相应的地表水环境质量标准。</w:t>
      </w:r>
    </w:p>
    <w:p w14:paraId="140A0C39">
      <w:pPr>
        <w:spacing w:before="6" w:line="339" w:lineRule="auto"/>
        <w:ind w:left="138" w:firstLine="522"/>
        <w:jc w:val="both"/>
        <w:rPr>
          <w:rFonts w:ascii="仿宋" w:hAnsi="仿宋" w:eastAsia="仿宋" w:cs="仿宋"/>
          <w:sz w:val="25"/>
          <w:szCs w:val="25"/>
        </w:rPr>
      </w:pPr>
      <w:r>
        <w:rPr>
          <w:rFonts w:ascii="仿宋" w:hAnsi="仿宋" w:eastAsia="仿宋" w:cs="仿宋"/>
          <w:spacing w:val="5"/>
          <w:sz w:val="25"/>
          <w:szCs w:val="25"/>
        </w:rPr>
        <w:t>根据章节</w:t>
      </w:r>
      <w:r>
        <w:rPr>
          <w:rFonts w:ascii="仿宋" w:hAnsi="仿宋" w:eastAsia="仿宋" w:cs="仿宋"/>
          <w:spacing w:val="-35"/>
          <w:sz w:val="25"/>
          <w:szCs w:val="25"/>
        </w:rPr>
        <w:t xml:space="preserve"> </w:t>
      </w:r>
      <w:r>
        <w:rPr>
          <w:rFonts w:ascii="Times New Roman" w:hAnsi="Times New Roman" w:eastAsia="Times New Roman" w:cs="Times New Roman"/>
          <w:spacing w:val="5"/>
          <w:sz w:val="25"/>
          <w:szCs w:val="25"/>
        </w:rPr>
        <w:t>5.4.1</w:t>
      </w:r>
      <w:r>
        <w:rPr>
          <w:rFonts w:ascii="Times New Roman" w:hAnsi="Times New Roman" w:eastAsia="Times New Roman" w:cs="Times New Roman"/>
          <w:spacing w:val="-24"/>
          <w:sz w:val="25"/>
          <w:szCs w:val="25"/>
        </w:rPr>
        <w:t xml:space="preserve"> </w:t>
      </w:r>
      <w:r>
        <w:rPr>
          <w:rFonts w:ascii="仿宋" w:hAnsi="仿宋" w:eastAsia="仿宋" w:cs="仿宋"/>
          <w:spacing w:val="5"/>
          <w:sz w:val="25"/>
          <w:szCs w:val="25"/>
        </w:rPr>
        <w:t>，《规划调整》实施后，采矿业废水排放量不变，矿山勘查</w:t>
      </w:r>
      <w:r>
        <w:rPr>
          <w:rFonts w:ascii="仿宋" w:hAnsi="仿宋" w:eastAsia="仿宋" w:cs="仿宋"/>
          <w:sz w:val="25"/>
          <w:szCs w:val="25"/>
        </w:rPr>
        <w:t xml:space="preserve"> </w:t>
      </w:r>
      <w:r>
        <w:rPr>
          <w:rFonts w:ascii="仿宋" w:hAnsi="仿宋" w:eastAsia="仿宋" w:cs="仿宋"/>
          <w:spacing w:val="4"/>
          <w:sz w:val="25"/>
          <w:szCs w:val="25"/>
        </w:rPr>
        <w:t>开采活动产生的生产废水沉淀处理后回用；生活污水经生化池处理后用作农肥，</w:t>
      </w:r>
      <w:r>
        <w:rPr>
          <w:rFonts w:ascii="仿宋" w:hAnsi="仿宋" w:eastAsia="仿宋" w:cs="仿宋"/>
          <w:spacing w:val="7"/>
          <w:sz w:val="25"/>
          <w:szCs w:val="25"/>
        </w:rPr>
        <w:t xml:space="preserve"> </w:t>
      </w:r>
      <w:r>
        <w:rPr>
          <w:rFonts w:ascii="仿宋" w:hAnsi="仿宋" w:eastAsia="仿宋" w:cs="仿宋"/>
          <w:spacing w:val="10"/>
          <w:sz w:val="25"/>
          <w:szCs w:val="25"/>
        </w:rPr>
        <w:t>无法利用的污水需处理达标后方可排放，对水</w:t>
      </w:r>
      <w:r>
        <w:rPr>
          <w:rFonts w:ascii="仿宋" w:hAnsi="仿宋" w:eastAsia="仿宋" w:cs="仿宋"/>
          <w:spacing w:val="9"/>
          <w:sz w:val="25"/>
          <w:szCs w:val="25"/>
        </w:rPr>
        <w:t>环境影响较小。规划将严格执行</w:t>
      </w:r>
      <w:r>
        <w:rPr>
          <w:rFonts w:ascii="仿宋" w:hAnsi="仿宋" w:eastAsia="仿宋" w:cs="仿宋"/>
          <w:sz w:val="25"/>
          <w:szCs w:val="25"/>
        </w:rPr>
        <w:t xml:space="preserve"> </w:t>
      </w:r>
      <w:r>
        <w:rPr>
          <w:rFonts w:ascii="仿宋" w:hAnsi="仿宋" w:eastAsia="仿宋" w:cs="仿宋"/>
          <w:spacing w:val="10"/>
          <w:sz w:val="25"/>
          <w:szCs w:val="25"/>
        </w:rPr>
        <w:t>相关规划环保要求，污废水处理率和达标率均达</w:t>
      </w:r>
      <w:r>
        <w:rPr>
          <w:rFonts w:ascii="仿宋" w:hAnsi="仿宋" w:eastAsia="仿宋" w:cs="仿宋"/>
          <w:spacing w:val="-24"/>
          <w:sz w:val="25"/>
          <w:szCs w:val="25"/>
        </w:rPr>
        <w:t xml:space="preserve"> </w:t>
      </w:r>
      <w:r>
        <w:rPr>
          <w:rFonts w:ascii="Times New Roman" w:hAnsi="Times New Roman" w:eastAsia="Times New Roman" w:cs="Times New Roman"/>
          <w:spacing w:val="10"/>
          <w:sz w:val="25"/>
          <w:szCs w:val="25"/>
        </w:rPr>
        <w:t>100%</w:t>
      </w:r>
      <w:r>
        <w:rPr>
          <w:rFonts w:ascii="Times New Roman" w:hAnsi="Times New Roman" w:eastAsia="Times New Roman" w:cs="Times New Roman"/>
          <w:spacing w:val="-21"/>
          <w:sz w:val="25"/>
          <w:szCs w:val="25"/>
        </w:rPr>
        <w:t xml:space="preserve"> </w:t>
      </w:r>
      <w:r>
        <w:rPr>
          <w:rFonts w:ascii="仿宋" w:hAnsi="仿宋" w:eastAsia="仿宋" w:cs="仿宋"/>
          <w:spacing w:val="10"/>
          <w:sz w:val="25"/>
          <w:szCs w:val="25"/>
        </w:rPr>
        <w:t>。矿山企业废水尽量实</w:t>
      </w:r>
      <w:r>
        <w:rPr>
          <w:rFonts w:ascii="仿宋" w:hAnsi="仿宋" w:eastAsia="仿宋" w:cs="仿宋"/>
          <w:sz w:val="25"/>
          <w:szCs w:val="25"/>
        </w:rPr>
        <w:t xml:space="preserve"> </w:t>
      </w:r>
      <w:r>
        <w:rPr>
          <w:rFonts w:ascii="仿宋" w:hAnsi="仿宋" w:eastAsia="仿宋" w:cs="仿宋"/>
          <w:spacing w:val="10"/>
          <w:sz w:val="25"/>
          <w:szCs w:val="25"/>
        </w:rPr>
        <w:t>现综合利用，外排废水处理达标后才可排放，</w:t>
      </w:r>
      <w:r>
        <w:rPr>
          <w:rFonts w:ascii="仿宋" w:hAnsi="仿宋" w:eastAsia="仿宋" w:cs="仿宋"/>
          <w:spacing w:val="9"/>
          <w:sz w:val="25"/>
          <w:szCs w:val="25"/>
        </w:rPr>
        <w:t>在废水最大化综合利用后，对地</w:t>
      </w:r>
      <w:r>
        <w:rPr>
          <w:rFonts w:ascii="仿宋" w:hAnsi="仿宋" w:eastAsia="仿宋" w:cs="仿宋"/>
          <w:sz w:val="25"/>
          <w:szCs w:val="25"/>
        </w:rPr>
        <w:t xml:space="preserve"> </w:t>
      </w:r>
      <w:r>
        <w:rPr>
          <w:rFonts w:ascii="仿宋" w:hAnsi="仿宋" w:eastAsia="仿宋" w:cs="仿宋"/>
          <w:spacing w:val="7"/>
          <w:sz w:val="25"/>
          <w:szCs w:val="25"/>
        </w:rPr>
        <w:t>表水环境容量的压力较小。</w:t>
      </w:r>
    </w:p>
    <w:p w14:paraId="1032C2E5">
      <w:pPr>
        <w:spacing w:before="4" w:line="339" w:lineRule="auto"/>
        <w:ind w:left="139" w:right="69" w:firstLine="550"/>
        <w:jc w:val="both"/>
        <w:rPr>
          <w:rFonts w:ascii="仿宋" w:hAnsi="仿宋" w:eastAsia="仿宋" w:cs="仿宋"/>
          <w:sz w:val="25"/>
          <w:szCs w:val="25"/>
        </w:rPr>
      </w:pPr>
      <w:r>
        <w:rPr>
          <w:rFonts w:ascii="仿宋" w:hAnsi="仿宋" w:eastAsia="仿宋" w:cs="仿宋"/>
          <w:spacing w:val="9"/>
          <w:sz w:val="25"/>
          <w:szCs w:val="25"/>
        </w:rPr>
        <w:t>同时矿山企业通过加强管理，按环保要求积极</w:t>
      </w:r>
      <w:r>
        <w:rPr>
          <w:rFonts w:ascii="仿宋" w:hAnsi="仿宋" w:eastAsia="仿宋" w:cs="仿宋"/>
          <w:spacing w:val="8"/>
          <w:sz w:val="25"/>
          <w:szCs w:val="25"/>
        </w:rPr>
        <w:t>采取先进可行的污废水处理</w:t>
      </w:r>
      <w:r>
        <w:rPr>
          <w:rFonts w:ascii="仿宋" w:hAnsi="仿宋" w:eastAsia="仿宋" w:cs="仿宋"/>
          <w:sz w:val="25"/>
          <w:szCs w:val="25"/>
        </w:rPr>
        <w:t xml:space="preserve"> </w:t>
      </w:r>
      <w:r>
        <w:rPr>
          <w:rFonts w:ascii="仿宋" w:hAnsi="仿宋" w:eastAsia="仿宋" w:cs="仿宋"/>
          <w:spacing w:val="9"/>
          <w:sz w:val="25"/>
          <w:szCs w:val="25"/>
        </w:rPr>
        <w:t>工艺技术和装备，避免事故排放废水进入水环境造成污染；提升生产生活污水</w:t>
      </w:r>
      <w:r>
        <w:rPr>
          <w:rFonts w:ascii="仿宋" w:hAnsi="仿宋" w:eastAsia="仿宋" w:cs="仿宋"/>
          <w:spacing w:val="18"/>
          <w:sz w:val="25"/>
          <w:szCs w:val="25"/>
        </w:rPr>
        <w:t xml:space="preserve"> </w:t>
      </w:r>
      <w:r>
        <w:rPr>
          <w:rFonts w:ascii="仿宋" w:hAnsi="仿宋" w:eastAsia="仿宋" w:cs="仿宋"/>
          <w:spacing w:val="9"/>
          <w:sz w:val="25"/>
          <w:szCs w:val="25"/>
        </w:rPr>
        <w:t>资源化综合利用水平，对于无法重复利用确需外排的污废水，必须严格按照环</w:t>
      </w:r>
      <w:r>
        <w:rPr>
          <w:rFonts w:ascii="仿宋" w:hAnsi="仿宋" w:eastAsia="仿宋" w:cs="仿宋"/>
          <w:spacing w:val="18"/>
          <w:sz w:val="25"/>
          <w:szCs w:val="25"/>
        </w:rPr>
        <w:t xml:space="preserve"> </w:t>
      </w:r>
      <w:r>
        <w:rPr>
          <w:rFonts w:ascii="仿宋" w:hAnsi="仿宋" w:eastAsia="仿宋" w:cs="仿宋"/>
          <w:spacing w:val="9"/>
          <w:sz w:val="25"/>
          <w:szCs w:val="25"/>
        </w:rPr>
        <w:t>保要求处理达标后方可排放等有效防治措施的情况下，区域水环境能承载规划</w:t>
      </w:r>
      <w:r>
        <w:rPr>
          <w:rFonts w:ascii="仿宋" w:hAnsi="仿宋" w:eastAsia="仿宋" w:cs="仿宋"/>
          <w:spacing w:val="18"/>
          <w:sz w:val="25"/>
          <w:szCs w:val="25"/>
        </w:rPr>
        <w:t xml:space="preserve"> </w:t>
      </w:r>
      <w:r>
        <w:rPr>
          <w:rFonts w:ascii="仿宋" w:hAnsi="仿宋" w:eastAsia="仿宋" w:cs="仿宋"/>
          <w:sz w:val="25"/>
          <w:szCs w:val="25"/>
        </w:rPr>
        <w:t>实施。</w:t>
      </w:r>
    </w:p>
    <w:p w14:paraId="2990DB9E">
      <w:pPr>
        <w:spacing w:before="121" w:line="228" w:lineRule="auto"/>
        <w:ind w:left="130"/>
        <w:outlineLvl w:val="3"/>
        <w:rPr>
          <w:rFonts w:ascii="仿宋" w:hAnsi="仿宋" w:eastAsia="仿宋" w:cs="仿宋"/>
          <w:sz w:val="25"/>
          <w:szCs w:val="25"/>
        </w:rPr>
      </w:pPr>
      <w:r>
        <w:rPr>
          <w:rFonts w:ascii="Times New Roman" w:hAnsi="Times New Roman" w:eastAsia="Times New Roman" w:cs="Times New Roman"/>
          <w:b/>
          <w:bCs/>
          <w:spacing w:val="4"/>
          <w:sz w:val="25"/>
          <w:szCs w:val="25"/>
        </w:rPr>
        <w:t>5.1.2.3</w:t>
      </w:r>
      <w:r>
        <w:rPr>
          <w:rFonts w:ascii="Times New Roman" w:hAnsi="Times New Roman" w:eastAsia="Times New Roman" w:cs="Times New Roman"/>
          <w:b/>
          <w:bCs/>
          <w:spacing w:val="29"/>
          <w:sz w:val="25"/>
          <w:szCs w:val="25"/>
        </w:rPr>
        <w:t xml:space="preserve"> </w:t>
      </w:r>
      <w:r>
        <w:rPr>
          <w:rFonts w:ascii="仿宋" w:hAnsi="仿宋" w:eastAsia="仿宋" w:cs="仿宋"/>
          <w:b/>
          <w:bCs/>
          <w:spacing w:val="4"/>
          <w:sz w:val="25"/>
          <w:szCs w:val="25"/>
        </w:rPr>
        <w:t>土壤环境承载力分析</w:t>
      </w:r>
    </w:p>
    <w:p w14:paraId="60191CA9">
      <w:pPr>
        <w:spacing w:line="228" w:lineRule="auto"/>
        <w:rPr>
          <w:rFonts w:ascii="仿宋" w:hAnsi="仿宋" w:eastAsia="仿宋" w:cs="仿宋"/>
          <w:sz w:val="25"/>
          <w:szCs w:val="25"/>
        </w:rPr>
        <w:sectPr>
          <w:headerReference r:id="rId176" w:type="default"/>
          <w:footerReference r:id="rId177" w:type="default"/>
          <w:pgSz w:w="11906" w:h="16839"/>
          <w:pgMar w:top="1116" w:right="1404" w:bottom="866" w:left="1464" w:header="683" w:footer="703" w:gutter="0"/>
          <w:cols w:space="720" w:num="1"/>
        </w:sectPr>
      </w:pPr>
    </w:p>
    <w:p w14:paraId="44C0870D">
      <w:pPr>
        <w:pStyle w:val="2"/>
        <w:spacing w:line="382" w:lineRule="auto"/>
      </w:pPr>
    </w:p>
    <w:p w14:paraId="21BA6357">
      <w:pPr>
        <w:spacing w:before="81" w:line="340" w:lineRule="auto"/>
        <w:ind w:left="15" w:firstLine="522"/>
        <w:jc w:val="both"/>
        <w:rPr>
          <w:rFonts w:ascii="仿宋" w:hAnsi="仿宋" w:eastAsia="仿宋" w:cs="仿宋"/>
          <w:sz w:val="25"/>
          <w:szCs w:val="25"/>
        </w:rPr>
      </w:pPr>
      <w:r>
        <w:rPr>
          <w:rFonts w:ascii="仿宋" w:hAnsi="仿宋" w:eastAsia="仿宋" w:cs="仿宋"/>
          <w:spacing w:val="9"/>
          <w:sz w:val="25"/>
          <w:szCs w:val="25"/>
        </w:rPr>
        <w:t>本次补充评价的露天开采矿种为饰面用灰岩。露天开采矿山会侵占大面积</w:t>
      </w:r>
      <w:r>
        <w:rPr>
          <w:rFonts w:ascii="仿宋" w:hAnsi="仿宋" w:eastAsia="仿宋" w:cs="仿宋"/>
          <w:spacing w:val="15"/>
          <w:sz w:val="25"/>
          <w:szCs w:val="25"/>
        </w:rPr>
        <w:t xml:space="preserve"> </w:t>
      </w:r>
      <w:r>
        <w:rPr>
          <w:rFonts w:ascii="仿宋" w:hAnsi="仿宋" w:eastAsia="仿宋" w:cs="仿宋"/>
          <w:spacing w:val="10"/>
          <w:sz w:val="25"/>
          <w:szCs w:val="25"/>
        </w:rPr>
        <w:t>的土地，使地形地貌和地表植被遭到破坏，松</w:t>
      </w:r>
      <w:r>
        <w:rPr>
          <w:rFonts w:ascii="仿宋" w:hAnsi="仿宋" w:eastAsia="仿宋" w:cs="仿宋"/>
          <w:spacing w:val="9"/>
          <w:sz w:val="25"/>
          <w:szCs w:val="25"/>
        </w:rPr>
        <w:t>散的泥土和岩石暴露在地表，大</w:t>
      </w:r>
      <w:r>
        <w:rPr>
          <w:rFonts w:ascii="仿宋" w:hAnsi="仿宋" w:eastAsia="仿宋" w:cs="仿宋"/>
          <w:sz w:val="25"/>
          <w:szCs w:val="25"/>
        </w:rPr>
        <w:t xml:space="preserve"> </w:t>
      </w:r>
      <w:r>
        <w:rPr>
          <w:rFonts w:ascii="仿宋" w:hAnsi="仿宋" w:eastAsia="仿宋" w:cs="仿宋"/>
          <w:spacing w:val="5"/>
          <w:sz w:val="25"/>
          <w:szCs w:val="25"/>
        </w:rPr>
        <w:t>大加剧了土壤的侵蚀和风化。开采矿山的矿渣</w:t>
      </w:r>
      <w:r>
        <w:rPr>
          <w:rFonts w:ascii="仿宋" w:hAnsi="仿宋" w:eastAsia="仿宋" w:cs="仿宋"/>
          <w:spacing w:val="4"/>
          <w:sz w:val="25"/>
          <w:szCs w:val="25"/>
        </w:rPr>
        <w:t>粉尘飞扬进入土壤，经雨水冲刷、</w:t>
      </w:r>
      <w:r>
        <w:rPr>
          <w:rFonts w:ascii="仿宋" w:hAnsi="仿宋" w:eastAsia="仿宋" w:cs="仿宋"/>
          <w:sz w:val="25"/>
          <w:szCs w:val="25"/>
        </w:rPr>
        <w:t xml:space="preserve"> </w:t>
      </w:r>
      <w:r>
        <w:rPr>
          <w:rFonts w:ascii="仿宋" w:hAnsi="仿宋" w:eastAsia="仿宋" w:cs="仿宋"/>
          <w:spacing w:val="10"/>
          <w:sz w:val="25"/>
          <w:szCs w:val="25"/>
        </w:rPr>
        <w:t>淋溶，极易将其中的有害成份渗入土壤中，造</w:t>
      </w:r>
      <w:r>
        <w:rPr>
          <w:rFonts w:ascii="仿宋" w:hAnsi="仿宋" w:eastAsia="仿宋" w:cs="仿宋"/>
          <w:spacing w:val="9"/>
          <w:sz w:val="25"/>
          <w:szCs w:val="25"/>
        </w:rPr>
        <w:t>成土壤污染。另外，矿产品及废</w:t>
      </w:r>
      <w:r>
        <w:rPr>
          <w:rFonts w:ascii="仿宋" w:hAnsi="仿宋" w:eastAsia="仿宋" w:cs="仿宋"/>
          <w:sz w:val="25"/>
          <w:szCs w:val="25"/>
        </w:rPr>
        <w:t xml:space="preserve"> </w:t>
      </w:r>
      <w:r>
        <w:rPr>
          <w:rFonts w:ascii="仿宋" w:hAnsi="仿宋" w:eastAsia="仿宋" w:cs="仿宋"/>
          <w:spacing w:val="10"/>
          <w:sz w:val="25"/>
          <w:szCs w:val="25"/>
        </w:rPr>
        <w:t>石堆存也可能对土壤产生污染，若采取措施不</w:t>
      </w:r>
      <w:r>
        <w:rPr>
          <w:rFonts w:ascii="仿宋" w:hAnsi="仿宋" w:eastAsia="仿宋" w:cs="仿宋"/>
          <w:spacing w:val="9"/>
          <w:sz w:val="25"/>
          <w:szCs w:val="25"/>
        </w:rPr>
        <w:t>当很可能出现废石淋溶液对土壤</w:t>
      </w:r>
      <w:r>
        <w:rPr>
          <w:rFonts w:ascii="仿宋" w:hAnsi="仿宋" w:eastAsia="仿宋" w:cs="仿宋"/>
          <w:sz w:val="25"/>
          <w:szCs w:val="25"/>
        </w:rPr>
        <w:t xml:space="preserve"> </w:t>
      </w:r>
      <w:r>
        <w:rPr>
          <w:rFonts w:ascii="仿宋" w:hAnsi="仿宋" w:eastAsia="仿宋" w:cs="仿宋"/>
          <w:spacing w:val="10"/>
          <w:sz w:val="25"/>
          <w:szCs w:val="25"/>
        </w:rPr>
        <w:t>造成不利影响。本次评价区块中饰面用灰岩、铸型用砂岩有毒有害成分极少，</w:t>
      </w:r>
      <w:r>
        <w:rPr>
          <w:rFonts w:ascii="仿宋" w:hAnsi="仿宋" w:eastAsia="仿宋" w:cs="仿宋"/>
          <w:spacing w:val="12"/>
          <w:sz w:val="25"/>
          <w:szCs w:val="25"/>
        </w:rPr>
        <w:t xml:space="preserve"> </w:t>
      </w:r>
      <w:r>
        <w:rPr>
          <w:rFonts w:ascii="仿宋" w:hAnsi="仿宋" w:eastAsia="仿宋" w:cs="仿宋"/>
          <w:spacing w:val="5"/>
          <w:sz w:val="25"/>
          <w:szCs w:val="25"/>
        </w:rPr>
        <w:t>矿山开采对区域土壤环境质量的影响很小；铝</w:t>
      </w:r>
      <w:r>
        <w:rPr>
          <w:rFonts w:ascii="仿宋" w:hAnsi="仿宋" w:eastAsia="仿宋" w:cs="仿宋"/>
          <w:spacing w:val="4"/>
          <w:sz w:val="25"/>
          <w:szCs w:val="25"/>
        </w:rPr>
        <w:t>土矿含有氧化铝、氧化铁等成分，</w:t>
      </w:r>
      <w:r>
        <w:rPr>
          <w:rFonts w:ascii="仿宋" w:hAnsi="仿宋" w:eastAsia="仿宋" w:cs="仿宋"/>
          <w:sz w:val="25"/>
          <w:szCs w:val="25"/>
        </w:rPr>
        <w:t xml:space="preserve"> </w:t>
      </w:r>
      <w:r>
        <w:rPr>
          <w:rFonts w:ascii="仿宋" w:hAnsi="仿宋" w:eastAsia="仿宋" w:cs="仿宋"/>
          <w:spacing w:val="10"/>
          <w:sz w:val="25"/>
          <w:szCs w:val="25"/>
        </w:rPr>
        <w:t>勘查开采过程中产生的废石应按要求进行分区</w:t>
      </w:r>
      <w:r>
        <w:rPr>
          <w:rFonts w:ascii="仿宋" w:hAnsi="仿宋" w:eastAsia="仿宋" w:cs="仿宋"/>
          <w:spacing w:val="9"/>
          <w:sz w:val="25"/>
          <w:szCs w:val="25"/>
        </w:rPr>
        <w:t>防渗和分类处理，从而减少对土</w:t>
      </w:r>
      <w:r>
        <w:rPr>
          <w:rFonts w:ascii="仿宋" w:hAnsi="仿宋" w:eastAsia="仿宋" w:cs="仿宋"/>
          <w:sz w:val="25"/>
          <w:szCs w:val="25"/>
        </w:rPr>
        <w:t xml:space="preserve"> </w:t>
      </w:r>
      <w:r>
        <w:rPr>
          <w:rFonts w:ascii="仿宋" w:hAnsi="仿宋" w:eastAsia="仿宋" w:cs="仿宋"/>
          <w:spacing w:val="5"/>
          <w:sz w:val="25"/>
          <w:szCs w:val="25"/>
        </w:rPr>
        <w:t>壤环境影响。</w:t>
      </w:r>
    </w:p>
    <w:p w14:paraId="5B2C816B">
      <w:pPr>
        <w:spacing w:before="6" w:line="339" w:lineRule="auto"/>
        <w:ind w:left="15" w:right="83" w:firstLine="520"/>
        <w:jc w:val="both"/>
        <w:rPr>
          <w:rFonts w:ascii="仿宋" w:hAnsi="仿宋" w:eastAsia="仿宋" w:cs="仿宋"/>
          <w:sz w:val="25"/>
          <w:szCs w:val="25"/>
        </w:rPr>
      </w:pPr>
      <w:r>
        <w:rPr>
          <w:rFonts w:ascii="仿宋" w:hAnsi="仿宋" w:eastAsia="仿宋" w:cs="仿宋"/>
          <w:spacing w:val="9"/>
          <w:sz w:val="25"/>
          <w:szCs w:val="25"/>
        </w:rPr>
        <w:t>规划实施过程中，应加强未利用地环境管理，加强对矿山等矿产资源开采</w:t>
      </w:r>
      <w:r>
        <w:rPr>
          <w:rFonts w:ascii="仿宋" w:hAnsi="仿宋" w:eastAsia="仿宋" w:cs="仿宋"/>
          <w:spacing w:val="17"/>
          <w:sz w:val="25"/>
          <w:szCs w:val="25"/>
        </w:rPr>
        <w:t xml:space="preserve"> </w:t>
      </w:r>
      <w:r>
        <w:rPr>
          <w:rFonts w:ascii="仿宋" w:hAnsi="仿宋" w:eastAsia="仿宋" w:cs="仿宋"/>
          <w:spacing w:val="10"/>
          <w:sz w:val="25"/>
          <w:szCs w:val="25"/>
        </w:rPr>
        <w:t>活动影响区域内未利用地的环境监管，发现土</w:t>
      </w:r>
      <w:r>
        <w:rPr>
          <w:rFonts w:ascii="仿宋" w:hAnsi="仿宋" w:eastAsia="仿宋" w:cs="仿宋"/>
          <w:spacing w:val="9"/>
          <w:sz w:val="25"/>
          <w:szCs w:val="25"/>
        </w:rPr>
        <w:t>壤污染问题的，要及时督促有关</w:t>
      </w:r>
      <w:r>
        <w:rPr>
          <w:rFonts w:ascii="仿宋" w:hAnsi="仿宋" w:eastAsia="仿宋" w:cs="仿宋"/>
          <w:sz w:val="25"/>
          <w:szCs w:val="25"/>
        </w:rPr>
        <w:t xml:space="preserve"> </w:t>
      </w:r>
      <w:r>
        <w:rPr>
          <w:rFonts w:ascii="仿宋" w:hAnsi="仿宋" w:eastAsia="仿宋" w:cs="仿宋"/>
          <w:spacing w:val="10"/>
          <w:sz w:val="25"/>
          <w:szCs w:val="25"/>
        </w:rPr>
        <w:t>企业采取防治措施；加强工业废物处理处置，</w:t>
      </w:r>
      <w:r>
        <w:rPr>
          <w:rFonts w:ascii="仿宋" w:hAnsi="仿宋" w:eastAsia="仿宋" w:cs="仿宋"/>
          <w:spacing w:val="9"/>
          <w:sz w:val="25"/>
          <w:szCs w:val="25"/>
        </w:rPr>
        <w:t>全面整治固体废物的堆存场所，</w:t>
      </w:r>
      <w:r>
        <w:rPr>
          <w:rFonts w:ascii="仿宋" w:hAnsi="仿宋" w:eastAsia="仿宋" w:cs="仿宋"/>
          <w:sz w:val="25"/>
          <w:szCs w:val="25"/>
        </w:rPr>
        <w:t xml:space="preserve"> </w:t>
      </w:r>
      <w:r>
        <w:rPr>
          <w:rFonts w:ascii="仿宋" w:hAnsi="仿宋" w:eastAsia="仿宋" w:cs="仿宋"/>
          <w:spacing w:val="10"/>
          <w:sz w:val="25"/>
          <w:szCs w:val="25"/>
        </w:rPr>
        <w:t>完善防扬散、防流失、防渗漏等设施，制定整</w:t>
      </w:r>
      <w:r>
        <w:rPr>
          <w:rFonts w:ascii="仿宋" w:hAnsi="仿宋" w:eastAsia="仿宋" w:cs="仿宋"/>
          <w:spacing w:val="9"/>
          <w:sz w:val="25"/>
          <w:szCs w:val="25"/>
        </w:rPr>
        <w:t>治方案并有序实施；明确治理与</w:t>
      </w:r>
      <w:r>
        <w:rPr>
          <w:rFonts w:ascii="仿宋" w:hAnsi="仿宋" w:eastAsia="仿宋" w:cs="仿宋"/>
          <w:sz w:val="25"/>
          <w:szCs w:val="25"/>
        </w:rPr>
        <w:t xml:space="preserve"> </w:t>
      </w:r>
      <w:r>
        <w:rPr>
          <w:rFonts w:ascii="仿宋" w:hAnsi="仿宋" w:eastAsia="仿宋" w:cs="仿宋"/>
          <w:spacing w:val="10"/>
          <w:sz w:val="25"/>
          <w:szCs w:val="25"/>
        </w:rPr>
        <w:t>修复主体，按照</w:t>
      </w:r>
      <w:r>
        <w:rPr>
          <w:rFonts w:ascii="Times New Roman" w:hAnsi="Times New Roman" w:eastAsia="Times New Roman" w:cs="Times New Roman"/>
          <w:spacing w:val="10"/>
          <w:sz w:val="25"/>
          <w:szCs w:val="25"/>
        </w:rPr>
        <w:t>“</w:t>
      </w:r>
      <w:r>
        <w:rPr>
          <w:rFonts w:ascii="仿宋" w:hAnsi="仿宋" w:eastAsia="仿宋" w:cs="仿宋"/>
          <w:spacing w:val="10"/>
          <w:sz w:val="25"/>
          <w:szCs w:val="25"/>
        </w:rPr>
        <w:t>谁污染，谁治理</w:t>
      </w:r>
      <w:r>
        <w:rPr>
          <w:rFonts w:ascii="Times New Roman" w:hAnsi="Times New Roman" w:eastAsia="Times New Roman" w:cs="Times New Roman"/>
          <w:spacing w:val="10"/>
          <w:sz w:val="25"/>
          <w:szCs w:val="25"/>
        </w:rPr>
        <w:t>”</w:t>
      </w:r>
      <w:r>
        <w:rPr>
          <w:rFonts w:ascii="仿宋" w:hAnsi="仿宋" w:eastAsia="仿宋" w:cs="仿宋"/>
          <w:spacing w:val="10"/>
          <w:sz w:val="25"/>
          <w:szCs w:val="25"/>
        </w:rPr>
        <w:t>原则，造成土壤污染的单位或个人要承担治</w:t>
      </w:r>
      <w:r>
        <w:rPr>
          <w:rFonts w:ascii="仿宋" w:hAnsi="仿宋" w:eastAsia="仿宋" w:cs="仿宋"/>
          <w:spacing w:val="2"/>
          <w:sz w:val="25"/>
          <w:szCs w:val="25"/>
        </w:rPr>
        <w:t xml:space="preserve"> </w:t>
      </w:r>
      <w:r>
        <w:rPr>
          <w:rFonts w:ascii="仿宋" w:hAnsi="仿宋" w:eastAsia="仿宋" w:cs="仿宋"/>
          <w:spacing w:val="10"/>
          <w:sz w:val="25"/>
          <w:szCs w:val="25"/>
        </w:rPr>
        <w:t>理与修复的主体责任。综上所述，在积极采取</w:t>
      </w:r>
      <w:r>
        <w:rPr>
          <w:rFonts w:ascii="仿宋" w:hAnsi="仿宋" w:eastAsia="仿宋" w:cs="仿宋"/>
          <w:spacing w:val="9"/>
          <w:sz w:val="25"/>
          <w:szCs w:val="25"/>
        </w:rPr>
        <w:t>有效措施后，本次规划调整实施</w:t>
      </w:r>
      <w:r>
        <w:rPr>
          <w:rFonts w:ascii="仿宋" w:hAnsi="仿宋" w:eastAsia="仿宋" w:cs="仿宋"/>
          <w:sz w:val="25"/>
          <w:szCs w:val="25"/>
        </w:rPr>
        <w:t xml:space="preserve"> </w:t>
      </w:r>
      <w:r>
        <w:rPr>
          <w:rFonts w:ascii="仿宋" w:hAnsi="仿宋" w:eastAsia="仿宋" w:cs="仿宋"/>
          <w:spacing w:val="8"/>
          <w:sz w:val="25"/>
          <w:szCs w:val="25"/>
        </w:rPr>
        <w:t>对黔江区土壤环境承载力影响较小。</w:t>
      </w:r>
    </w:p>
    <w:p w14:paraId="1EFB0170">
      <w:pPr>
        <w:spacing w:before="121" w:line="228" w:lineRule="auto"/>
        <w:ind w:left="8"/>
        <w:outlineLvl w:val="1"/>
        <w:rPr>
          <w:rFonts w:ascii="仿宋" w:hAnsi="仿宋" w:eastAsia="仿宋" w:cs="仿宋"/>
          <w:sz w:val="25"/>
          <w:szCs w:val="25"/>
        </w:rPr>
      </w:pPr>
      <w:bookmarkStart w:id="28" w:name="bookmark24"/>
      <w:bookmarkEnd w:id="28"/>
      <w:r>
        <w:rPr>
          <w:rFonts w:ascii="Times New Roman" w:hAnsi="Times New Roman" w:eastAsia="Times New Roman" w:cs="Times New Roman"/>
          <w:b/>
          <w:bCs/>
          <w:spacing w:val="3"/>
          <w:sz w:val="25"/>
          <w:szCs w:val="25"/>
        </w:rPr>
        <w:t>5.2</w:t>
      </w:r>
      <w:r>
        <w:rPr>
          <w:rFonts w:ascii="Times New Roman" w:hAnsi="Times New Roman" w:eastAsia="Times New Roman" w:cs="Times New Roman"/>
          <w:b/>
          <w:bCs/>
          <w:spacing w:val="37"/>
          <w:w w:val="101"/>
          <w:sz w:val="25"/>
          <w:szCs w:val="25"/>
        </w:rPr>
        <w:t xml:space="preserve"> </w:t>
      </w:r>
      <w:r>
        <w:rPr>
          <w:rFonts w:ascii="仿宋" w:hAnsi="仿宋" w:eastAsia="仿宋" w:cs="仿宋"/>
          <w:b/>
          <w:bCs/>
          <w:spacing w:val="3"/>
          <w:sz w:val="25"/>
          <w:szCs w:val="25"/>
        </w:rPr>
        <w:t>生态环境影响分析</w:t>
      </w:r>
    </w:p>
    <w:p w14:paraId="0ADDB723">
      <w:pPr>
        <w:spacing w:before="268" w:line="228" w:lineRule="auto"/>
        <w:ind w:left="8"/>
        <w:outlineLvl w:val="2"/>
        <w:rPr>
          <w:rFonts w:ascii="仿宋" w:hAnsi="仿宋" w:eastAsia="仿宋" w:cs="仿宋"/>
          <w:sz w:val="25"/>
          <w:szCs w:val="25"/>
        </w:rPr>
      </w:pPr>
      <w:r>
        <w:rPr>
          <w:rFonts w:ascii="Times New Roman" w:hAnsi="Times New Roman" w:eastAsia="Times New Roman" w:cs="Times New Roman"/>
          <w:b/>
          <w:bCs/>
          <w:spacing w:val="7"/>
          <w:sz w:val="25"/>
          <w:szCs w:val="25"/>
        </w:rPr>
        <w:t>5.2.1</w:t>
      </w:r>
      <w:r>
        <w:rPr>
          <w:rFonts w:ascii="Times New Roman" w:hAnsi="Times New Roman" w:eastAsia="Times New Roman" w:cs="Times New Roman"/>
          <w:b/>
          <w:bCs/>
          <w:spacing w:val="23"/>
          <w:sz w:val="25"/>
          <w:szCs w:val="25"/>
        </w:rPr>
        <w:t xml:space="preserve"> </w:t>
      </w:r>
      <w:r>
        <w:rPr>
          <w:rFonts w:ascii="仿宋" w:hAnsi="仿宋" w:eastAsia="仿宋" w:cs="仿宋"/>
          <w:b/>
          <w:bCs/>
          <w:spacing w:val="7"/>
          <w:sz w:val="25"/>
          <w:szCs w:val="25"/>
        </w:rPr>
        <w:t>评价的规划区块与黔江区生态保护红线和</w:t>
      </w:r>
      <w:r>
        <w:rPr>
          <w:rFonts w:ascii="仿宋" w:hAnsi="仿宋" w:eastAsia="仿宋" w:cs="仿宋"/>
          <w:b/>
          <w:bCs/>
          <w:spacing w:val="6"/>
          <w:sz w:val="25"/>
          <w:szCs w:val="25"/>
        </w:rPr>
        <w:t>一般生态空间的关系</w:t>
      </w:r>
    </w:p>
    <w:p w14:paraId="2C523192">
      <w:pPr>
        <w:spacing w:before="272" w:line="340" w:lineRule="auto"/>
        <w:ind w:left="26" w:right="83" w:firstLine="470"/>
        <w:rPr>
          <w:rFonts w:ascii="仿宋" w:hAnsi="仿宋" w:eastAsia="仿宋" w:cs="仿宋"/>
          <w:sz w:val="25"/>
          <w:szCs w:val="25"/>
        </w:rPr>
      </w:pPr>
      <w:r>
        <w:rPr>
          <w:rFonts w:ascii="仿宋" w:hAnsi="仿宋" w:eastAsia="仿宋" w:cs="仿宋"/>
          <w:spacing w:val="8"/>
          <w:sz w:val="25"/>
          <w:szCs w:val="25"/>
        </w:rPr>
        <w:t>根据叠图分析（附图</w:t>
      </w:r>
      <w:r>
        <w:rPr>
          <w:rFonts w:ascii="Times New Roman" w:hAnsi="Times New Roman" w:eastAsia="Times New Roman" w:cs="Times New Roman"/>
          <w:spacing w:val="8"/>
          <w:sz w:val="25"/>
          <w:szCs w:val="25"/>
        </w:rPr>
        <w:t>3-7</w:t>
      </w:r>
      <w:r>
        <w:rPr>
          <w:rFonts w:ascii="仿宋" w:hAnsi="仿宋" w:eastAsia="仿宋" w:cs="仿宋"/>
          <w:spacing w:val="8"/>
          <w:sz w:val="25"/>
          <w:szCs w:val="25"/>
        </w:rPr>
        <w:t>），本次评价的</w:t>
      </w:r>
      <w:r>
        <w:rPr>
          <w:rFonts w:ascii="仿宋" w:hAnsi="仿宋" w:eastAsia="仿宋" w:cs="仿宋"/>
          <w:spacing w:val="-48"/>
          <w:sz w:val="25"/>
          <w:szCs w:val="25"/>
        </w:rPr>
        <w:t xml:space="preserve"> </w:t>
      </w:r>
      <w:r>
        <w:rPr>
          <w:rFonts w:ascii="Times New Roman" w:hAnsi="Times New Roman" w:eastAsia="Times New Roman" w:cs="Times New Roman"/>
          <w:spacing w:val="8"/>
          <w:sz w:val="25"/>
          <w:szCs w:val="25"/>
        </w:rPr>
        <w:t>3</w:t>
      </w:r>
      <w:r>
        <w:rPr>
          <w:rFonts w:ascii="Times New Roman" w:hAnsi="Times New Roman" w:eastAsia="Times New Roman" w:cs="Times New Roman"/>
          <w:spacing w:val="20"/>
          <w:w w:val="101"/>
          <w:sz w:val="25"/>
          <w:szCs w:val="25"/>
        </w:rPr>
        <w:t xml:space="preserve"> </w:t>
      </w:r>
      <w:r>
        <w:rPr>
          <w:rFonts w:ascii="仿宋" w:hAnsi="仿宋" w:eastAsia="仿宋" w:cs="仿宋"/>
          <w:spacing w:val="8"/>
          <w:sz w:val="25"/>
          <w:szCs w:val="25"/>
        </w:rPr>
        <w:t>个勘查区块、</w:t>
      </w:r>
      <w:r>
        <w:rPr>
          <w:rFonts w:ascii="Times New Roman" w:hAnsi="Times New Roman" w:eastAsia="Times New Roman" w:cs="Times New Roman"/>
          <w:spacing w:val="8"/>
          <w:sz w:val="25"/>
          <w:szCs w:val="25"/>
        </w:rPr>
        <w:t>1</w:t>
      </w:r>
      <w:r>
        <w:rPr>
          <w:rFonts w:ascii="Times New Roman" w:hAnsi="Times New Roman" w:eastAsia="Times New Roman" w:cs="Times New Roman"/>
          <w:spacing w:val="20"/>
          <w:w w:val="101"/>
          <w:sz w:val="25"/>
          <w:szCs w:val="25"/>
        </w:rPr>
        <w:t xml:space="preserve"> </w:t>
      </w:r>
      <w:r>
        <w:rPr>
          <w:rFonts w:ascii="仿宋" w:hAnsi="仿宋" w:eastAsia="仿宋" w:cs="仿宋"/>
          <w:spacing w:val="8"/>
          <w:sz w:val="25"/>
          <w:szCs w:val="25"/>
        </w:rPr>
        <w:t>个开采</w:t>
      </w:r>
      <w:r>
        <w:rPr>
          <w:rFonts w:ascii="仿宋" w:hAnsi="仿宋" w:eastAsia="仿宋" w:cs="仿宋"/>
          <w:spacing w:val="7"/>
          <w:sz w:val="25"/>
          <w:szCs w:val="25"/>
        </w:rPr>
        <w:t>区块与生</w:t>
      </w:r>
      <w:r>
        <w:rPr>
          <w:rFonts w:ascii="仿宋" w:hAnsi="仿宋" w:eastAsia="仿宋" w:cs="仿宋"/>
          <w:sz w:val="25"/>
          <w:szCs w:val="25"/>
        </w:rPr>
        <w:t xml:space="preserve"> </w:t>
      </w:r>
      <w:r>
        <w:rPr>
          <w:rFonts w:ascii="仿宋" w:hAnsi="仿宋" w:eastAsia="仿宋" w:cs="仿宋"/>
          <w:spacing w:val="7"/>
          <w:sz w:val="25"/>
          <w:szCs w:val="25"/>
        </w:rPr>
        <w:t>态保护红线和一般生态空间均无重叠。</w:t>
      </w:r>
    </w:p>
    <w:p w14:paraId="44300CC0">
      <w:pPr>
        <w:spacing w:before="118" w:line="229" w:lineRule="auto"/>
        <w:ind w:left="8"/>
        <w:outlineLvl w:val="2"/>
        <w:rPr>
          <w:rFonts w:ascii="仿宋" w:hAnsi="仿宋" w:eastAsia="仿宋" w:cs="仿宋"/>
          <w:sz w:val="25"/>
          <w:szCs w:val="25"/>
        </w:rPr>
      </w:pPr>
      <w:r>
        <w:rPr>
          <w:rFonts w:ascii="Times New Roman" w:hAnsi="Times New Roman" w:eastAsia="Times New Roman" w:cs="Times New Roman"/>
          <w:b/>
          <w:bCs/>
          <w:spacing w:val="6"/>
          <w:sz w:val="25"/>
          <w:szCs w:val="25"/>
        </w:rPr>
        <w:t>5.2.2</w:t>
      </w:r>
      <w:r>
        <w:rPr>
          <w:rFonts w:ascii="Times New Roman" w:hAnsi="Times New Roman" w:eastAsia="Times New Roman" w:cs="Times New Roman"/>
          <w:b/>
          <w:bCs/>
          <w:spacing w:val="22"/>
          <w:w w:val="101"/>
          <w:sz w:val="25"/>
          <w:szCs w:val="25"/>
        </w:rPr>
        <w:t xml:space="preserve"> </w:t>
      </w:r>
      <w:r>
        <w:rPr>
          <w:rFonts w:ascii="仿宋" w:hAnsi="仿宋" w:eastAsia="仿宋" w:cs="仿宋"/>
          <w:b/>
          <w:bCs/>
          <w:spacing w:val="6"/>
          <w:sz w:val="25"/>
          <w:szCs w:val="25"/>
        </w:rPr>
        <w:t>评价的规划区块与重要环境敏感区的关系</w:t>
      </w:r>
    </w:p>
    <w:p w14:paraId="03131E10">
      <w:pPr>
        <w:spacing w:before="270" w:line="340" w:lineRule="auto"/>
        <w:ind w:left="22" w:right="83" w:firstLine="474"/>
        <w:jc w:val="both"/>
        <w:rPr>
          <w:rFonts w:ascii="仿宋" w:hAnsi="仿宋" w:eastAsia="仿宋" w:cs="仿宋"/>
          <w:sz w:val="25"/>
          <w:szCs w:val="25"/>
        </w:rPr>
      </w:pPr>
      <w:r>
        <w:rPr>
          <w:rFonts w:ascii="仿宋" w:hAnsi="仿宋" w:eastAsia="仿宋" w:cs="仿宋"/>
          <w:spacing w:val="10"/>
          <w:sz w:val="25"/>
          <w:szCs w:val="25"/>
        </w:rPr>
        <w:t>本次评价的</w:t>
      </w:r>
      <w:r>
        <w:rPr>
          <w:rFonts w:ascii="仿宋" w:hAnsi="仿宋" w:eastAsia="仿宋" w:cs="仿宋"/>
          <w:spacing w:val="-27"/>
          <w:sz w:val="25"/>
          <w:szCs w:val="25"/>
        </w:rPr>
        <w:t xml:space="preserve"> </w:t>
      </w:r>
      <w:r>
        <w:rPr>
          <w:rFonts w:ascii="Times New Roman" w:hAnsi="Times New Roman" w:eastAsia="Times New Roman" w:cs="Times New Roman"/>
          <w:spacing w:val="10"/>
          <w:sz w:val="25"/>
          <w:szCs w:val="25"/>
        </w:rPr>
        <w:t>3</w:t>
      </w:r>
      <w:r>
        <w:rPr>
          <w:rFonts w:ascii="Times New Roman" w:hAnsi="Times New Roman" w:eastAsia="Times New Roman" w:cs="Times New Roman"/>
          <w:spacing w:val="26"/>
          <w:sz w:val="25"/>
          <w:szCs w:val="25"/>
        </w:rPr>
        <w:t xml:space="preserve"> </w:t>
      </w:r>
      <w:r>
        <w:rPr>
          <w:rFonts w:ascii="仿宋" w:hAnsi="仿宋" w:eastAsia="仿宋" w:cs="仿宋"/>
          <w:spacing w:val="10"/>
          <w:sz w:val="25"/>
          <w:szCs w:val="25"/>
        </w:rPr>
        <w:t>个勘查区块、</w:t>
      </w:r>
      <w:r>
        <w:rPr>
          <w:rFonts w:ascii="Times New Roman" w:hAnsi="Times New Roman" w:eastAsia="Times New Roman" w:cs="Times New Roman"/>
          <w:spacing w:val="10"/>
          <w:sz w:val="25"/>
          <w:szCs w:val="25"/>
        </w:rPr>
        <w:t>1</w:t>
      </w:r>
      <w:r>
        <w:rPr>
          <w:rFonts w:ascii="Times New Roman" w:hAnsi="Times New Roman" w:eastAsia="Times New Roman" w:cs="Times New Roman"/>
          <w:spacing w:val="25"/>
          <w:w w:val="101"/>
          <w:sz w:val="25"/>
          <w:szCs w:val="25"/>
        </w:rPr>
        <w:t xml:space="preserve"> </w:t>
      </w:r>
      <w:r>
        <w:rPr>
          <w:rFonts w:ascii="仿宋" w:hAnsi="仿宋" w:eastAsia="仿宋" w:cs="仿宋"/>
          <w:spacing w:val="10"/>
          <w:sz w:val="25"/>
          <w:szCs w:val="25"/>
        </w:rPr>
        <w:t>个开采区块与小南海市级自然保护区、武陵</w:t>
      </w:r>
      <w:r>
        <w:rPr>
          <w:rFonts w:ascii="仿宋" w:hAnsi="仿宋" w:eastAsia="仿宋" w:cs="仿宋"/>
          <w:sz w:val="25"/>
          <w:szCs w:val="25"/>
        </w:rPr>
        <w:t xml:space="preserve"> </w:t>
      </w:r>
      <w:r>
        <w:rPr>
          <w:rFonts w:ascii="仿宋" w:hAnsi="仿宋" w:eastAsia="仿宋" w:cs="仿宋"/>
          <w:spacing w:val="9"/>
          <w:sz w:val="25"/>
          <w:szCs w:val="25"/>
        </w:rPr>
        <w:t>山市级自然保护区、小南海湿地县级自然保护区、小南海市级风景名胜区、黔</w:t>
      </w:r>
      <w:r>
        <w:rPr>
          <w:rFonts w:ascii="仿宋" w:hAnsi="仿宋" w:eastAsia="仿宋" w:cs="仿宋"/>
          <w:spacing w:val="13"/>
          <w:sz w:val="25"/>
          <w:szCs w:val="25"/>
        </w:rPr>
        <w:t xml:space="preserve"> </w:t>
      </w:r>
      <w:r>
        <w:rPr>
          <w:rFonts w:ascii="仿宋" w:hAnsi="仿宋" w:eastAsia="仿宋" w:cs="仿宋"/>
          <w:spacing w:val="9"/>
          <w:sz w:val="25"/>
          <w:szCs w:val="25"/>
        </w:rPr>
        <w:t>江国家森林公园、仰头山市级森林公园、阿蓬江国家湿地公园、小南海国家地</w:t>
      </w:r>
      <w:r>
        <w:rPr>
          <w:rFonts w:ascii="仿宋" w:hAnsi="仿宋" w:eastAsia="仿宋" w:cs="仿宋"/>
          <w:spacing w:val="13"/>
          <w:sz w:val="25"/>
          <w:szCs w:val="25"/>
        </w:rPr>
        <w:t xml:space="preserve"> </w:t>
      </w:r>
      <w:r>
        <w:rPr>
          <w:rFonts w:ascii="仿宋" w:hAnsi="仿宋" w:eastAsia="仿宋" w:cs="仿宋"/>
          <w:spacing w:val="7"/>
          <w:sz w:val="25"/>
          <w:szCs w:val="25"/>
        </w:rPr>
        <w:t>质公园均不重叠，与重要环境敏感区的关系见附图</w:t>
      </w:r>
      <w:r>
        <w:rPr>
          <w:rFonts w:ascii="仿宋" w:hAnsi="仿宋" w:eastAsia="仿宋" w:cs="仿宋"/>
          <w:spacing w:val="-36"/>
          <w:sz w:val="25"/>
          <w:szCs w:val="25"/>
        </w:rPr>
        <w:t xml:space="preserve"> </w:t>
      </w:r>
      <w:r>
        <w:rPr>
          <w:rFonts w:ascii="Times New Roman" w:hAnsi="Times New Roman" w:eastAsia="Times New Roman" w:cs="Times New Roman"/>
          <w:spacing w:val="7"/>
          <w:sz w:val="25"/>
          <w:szCs w:val="25"/>
        </w:rPr>
        <w:t>3-10</w:t>
      </w:r>
      <w:r>
        <w:rPr>
          <w:rFonts w:ascii="仿宋" w:hAnsi="仿宋" w:eastAsia="仿宋" w:cs="仿宋"/>
          <w:spacing w:val="7"/>
          <w:sz w:val="25"/>
          <w:szCs w:val="25"/>
        </w:rPr>
        <w:t>。</w:t>
      </w:r>
    </w:p>
    <w:p w14:paraId="39FD5652">
      <w:pPr>
        <w:spacing w:before="120" w:line="226" w:lineRule="auto"/>
        <w:ind w:left="8"/>
        <w:outlineLvl w:val="2"/>
        <w:rPr>
          <w:rFonts w:ascii="仿宋" w:hAnsi="仿宋" w:eastAsia="仿宋" w:cs="仿宋"/>
          <w:sz w:val="25"/>
          <w:szCs w:val="25"/>
        </w:rPr>
      </w:pPr>
      <w:r>
        <w:rPr>
          <w:rFonts w:ascii="Times New Roman" w:hAnsi="Times New Roman" w:eastAsia="Times New Roman" w:cs="Times New Roman"/>
          <w:b/>
          <w:bCs/>
          <w:spacing w:val="5"/>
          <w:sz w:val="25"/>
          <w:szCs w:val="25"/>
        </w:rPr>
        <w:t>5.2.3</w:t>
      </w:r>
      <w:r>
        <w:rPr>
          <w:rFonts w:ascii="Times New Roman" w:hAnsi="Times New Roman" w:eastAsia="Times New Roman" w:cs="Times New Roman"/>
          <w:b/>
          <w:bCs/>
          <w:spacing w:val="24"/>
          <w:sz w:val="25"/>
          <w:szCs w:val="25"/>
        </w:rPr>
        <w:t xml:space="preserve"> </w:t>
      </w:r>
      <w:r>
        <w:rPr>
          <w:rFonts w:ascii="仿宋" w:hAnsi="仿宋" w:eastAsia="仿宋" w:cs="仿宋"/>
          <w:b/>
          <w:bCs/>
          <w:spacing w:val="5"/>
          <w:sz w:val="25"/>
          <w:szCs w:val="25"/>
        </w:rPr>
        <w:t>对生物多样性的影响分析</w:t>
      </w:r>
    </w:p>
    <w:p w14:paraId="4CAC9407">
      <w:pPr>
        <w:spacing w:before="271" w:line="340" w:lineRule="auto"/>
        <w:ind w:left="20" w:right="83" w:firstLine="517"/>
        <w:rPr>
          <w:rFonts w:ascii="仿宋" w:hAnsi="仿宋" w:eastAsia="仿宋" w:cs="仿宋"/>
          <w:sz w:val="25"/>
          <w:szCs w:val="25"/>
        </w:rPr>
      </w:pPr>
      <w:r>
        <w:rPr>
          <w:rFonts w:ascii="仿宋" w:hAnsi="仿宋" w:eastAsia="仿宋" w:cs="仿宋"/>
          <w:spacing w:val="9"/>
          <w:sz w:val="25"/>
          <w:szCs w:val="25"/>
        </w:rPr>
        <w:t>根据《中国生物多样性保护优先区域范围》，黔江区位于武陵山生物多样</w:t>
      </w:r>
      <w:r>
        <w:rPr>
          <w:rFonts w:ascii="仿宋" w:hAnsi="仿宋" w:eastAsia="仿宋" w:cs="仿宋"/>
          <w:spacing w:val="15"/>
          <w:sz w:val="25"/>
          <w:szCs w:val="25"/>
        </w:rPr>
        <w:t xml:space="preserve"> </w:t>
      </w:r>
      <w:r>
        <w:rPr>
          <w:rFonts w:ascii="仿宋" w:hAnsi="仿宋" w:eastAsia="仿宋" w:cs="仿宋"/>
          <w:spacing w:val="7"/>
          <w:sz w:val="25"/>
          <w:szCs w:val="25"/>
        </w:rPr>
        <w:t>性保护优先区域，保护重点为多脉青冈</w:t>
      </w:r>
      <w:r>
        <w:rPr>
          <w:rFonts w:ascii="Times New Roman" w:hAnsi="Times New Roman" w:eastAsia="Times New Roman" w:cs="Times New Roman"/>
          <w:spacing w:val="7"/>
          <w:sz w:val="25"/>
          <w:szCs w:val="25"/>
        </w:rPr>
        <w:t>-</w:t>
      </w:r>
      <w:r>
        <w:rPr>
          <w:rFonts w:ascii="仿宋" w:hAnsi="仿宋" w:eastAsia="仿宋" w:cs="仿宋"/>
          <w:spacing w:val="7"/>
          <w:sz w:val="25"/>
          <w:szCs w:val="25"/>
        </w:rPr>
        <w:t>水青冈林、苦槠林和青</w:t>
      </w:r>
      <w:r>
        <w:rPr>
          <w:rFonts w:ascii="仿宋" w:hAnsi="仿宋" w:eastAsia="仿宋" w:cs="仿宋"/>
          <w:spacing w:val="6"/>
          <w:sz w:val="25"/>
          <w:szCs w:val="25"/>
        </w:rPr>
        <w:t>冈林、水杉林等</w:t>
      </w:r>
    </w:p>
    <w:p w14:paraId="3D93ECFF">
      <w:pPr>
        <w:spacing w:line="340" w:lineRule="auto"/>
        <w:rPr>
          <w:rFonts w:ascii="仿宋" w:hAnsi="仿宋" w:eastAsia="仿宋" w:cs="仿宋"/>
          <w:sz w:val="25"/>
          <w:szCs w:val="25"/>
        </w:rPr>
        <w:sectPr>
          <w:headerReference r:id="rId178" w:type="default"/>
          <w:footerReference r:id="rId179" w:type="default"/>
          <w:pgSz w:w="11906" w:h="16839"/>
          <w:pgMar w:top="1116" w:right="1392" w:bottom="866" w:left="1587" w:header="683" w:footer="703" w:gutter="0"/>
          <w:cols w:space="720" w:num="1"/>
        </w:sectPr>
      </w:pPr>
    </w:p>
    <w:p w14:paraId="33E092C6">
      <w:pPr>
        <w:pStyle w:val="2"/>
        <w:spacing w:line="387" w:lineRule="auto"/>
      </w:pPr>
    </w:p>
    <w:p w14:paraId="751C8770">
      <w:pPr>
        <w:spacing w:before="81" w:line="339" w:lineRule="auto"/>
        <w:ind w:left="17" w:firstLine="14"/>
        <w:jc w:val="both"/>
        <w:rPr>
          <w:rFonts w:ascii="仿宋" w:hAnsi="仿宋" w:eastAsia="仿宋" w:cs="仿宋"/>
          <w:sz w:val="25"/>
          <w:szCs w:val="25"/>
        </w:rPr>
      </w:pPr>
      <w:r>
        <w:rPr>
          <w:rFonts w:ascii="仿宋" w:hAnsi="仿宋" w:eastAsia="仿宋" w:cs="仿宋"/>
          <w:spacing w:val="7"/>
          <w:sz w:val="25"/>
          <w:szCs w:val="25"/>
        </w:rPr>
        <w:t>生态系统以及叉叶苏铁、格木、狭叶坡垒、</w:t>
      </w:r>
      <w:r>
        <w:rPr>
          <w:rFonts w:ascii="仿宋" w:hAnsi="仿宋" w:eastAsia="仿宋" w:cs="仿宋"/>
          <w:spacing w:val="-53"/>
          <w:sz w:val="25"/>
          <w:szCs w:val="25"/>
        </w:rPr>
        <w:t xml:space="preserve"> </w:t>
      </w:r>
      <w:r>
        <w:rPr>
          <w:rFonts w:ascii="仿宋" w:hAnsi="仿宋" w:eastAsia="仿宋" w:cs="仿宋"/>
          <w:spacing w:val="7"/>
          <w:sz w:val="25"/>
          <w:szCs w:val="25"/>
        </w:rPr>
        <w:t>白头叶猴、黔金丝猴等重要物种及</w:t>
      </w:r>
      <w:r>
        <w:rPr>
          <w:rFonts w:ascii="仿宋" w:hAnsi="仿宋" w:eastAsia="仿宋" w:cs="仿宋"/>
          <w:sz w:val="25"/>
          <w:szCs w:val="25"/>
        </w:rPr>
        <w:t xml:space="preserve"> </w:t>
      </w:r>
      <w:r>
        <w:rPr>
          <w:rFonts w:ascii="仿宋" w:hAnsi="仿宋" w:eastAsia="仿宋" w:cs="仿宋"/>
          <w:spacing w:val="3"/>
          <w:sz w:val="25"/>
          <w:szCs w:val="25"/>
        </w:rPr>
        <w:t>其栖息地。区域内生物多样性最丰富的区域已划为自然保护区，根据附图</w:t>
      </w:r>
      <w:r>
        <w:rPr>
          <w:rFonts w:ascii="仿宋" w:hAnsi="仿宋" w:eastAsia="仿宋" w:cs="仿宋"/>
          <w:spacing w:val="-47"/>
          <w:sz w:val="25"/>
          <w:szCs w:val="25"/>
        </w:rPr>
        <w:t xml:space="preserve"> </w:t>
      </w:r>
      <w:r>
        <w:rPr>
          <w:rFonts w:ascii="Times New Roman" w:hAnsi="Times New Roman" w:eastAsia="Times New Roman" w:cs="Times New Roman"/>
          <w:spacing w:val="3"/>
          <w:sz w:val="25"/>
          <w:szCs w:val="25"/>
        </w:rPr>
        <w:t>3-1</w:t>
      </w:r>
      <w:r>
        <w:rPr>
          <w:rFonts w:ascii="Times New Roman" w:hAnsi="Times New Roman" w:eastAsia="Times New Roman" w:cs="Times New Roman"/>
          <w:spacing w:val="2"/>
          <w:sz w:val="25"/>
          <w:szCs w:val="25"/>
        </w:rPr>
        <w:t>0</w:t>
      </w:r>
      <w:r>
        <w:rPr>
          <w:rFonts w:ascii="仿宋" w:hAnsi="仿宋" w:eastAsia="仿宋" w:cs="仿宋"/>
          <w:spacing w:val="2"/>
          <w:sz w:val="25"/>
          <w:szCs w:val="25"/>
        </w:rPr>
        <w:t>，</w:t>
      </w:r>
      <w:r>
        <w:rPr>
          <w:rFonts w:ascii="仿宋" w:hAnsi="仿宋" w:eastAsia="仿宋" w:cs="仿宋"/>
          <w:sz w:val="25"/>
          <w:szCs w:val="25"/>
        </w:rPr>
        <w:t xml:space="preserve"> </w:t>
      </w:r>
      <w:r>
        <w:rPr>
          <w:rFonts w:ascii="仿宋" w:hAnsi="仿宋" w:eastAsia="仿宋" w:cs="仿宋"/>
          <w:spacing w:val="8"/>
          <w:sz w:val="25"/>
          <w:szCs w:val="25"/>
        </w:rPr>
        <w:t>本次评价的勘查开采区块均不涉及自然保护区，其中地下勘查开</w:t>
      </w:r>
      <w:r>
        <w:rPr>
          <w:rFonts w:ascii="仿宋" w:hAnsi="仿宋" w:eastAsia="仿宋" w:cs="仿宋"/>
          <w:spacing w:val="7"/>
          <w:sz w:val="25"/>
          <w:szCs w:val="25"/>
        </w:rPr>
        <w:t>采区块</w:t>
      </w:r>
      <w:r>
        <w:rPr>
          <w:rFonts w:ascii="仿宋" w:hAnsi="仿宋" w:eastAsia="仿宋" w:cs="仿宋"/>
          <w:spacing w:val="-55"/>
          <w:sz w:val="25"/>
          <w:szCs w:val="25"/>
        </w:rPr>
        <w:t xml:space="preserve"> </w:t>
      </w:r>
      <w:r>
        <w:rPr>
          <w:rFonts w:ascii="Times New Roman" w:hAnsi="Times New Roman" w:eastAsia="Times New Roman" w:cs="Times New Roman"/>
          <w:sz w:val="25"/>
          <w:szCs w:val="25"/>
        </w:rPr>
        <w:t>KQ</w:t>
      </w:r>
      <w:r>
        <w:rPr>
          <w:rFonts w:ascii="Times New Roman" w:hAnsi="Times New Roman" w:eastAsia="Times New Roman" w:cs="Times New Roman"/>
          <w:spacing w:val="7"/>
          <w:sz w:val="25"/>
          <w:szCs w:val="25"/>
        </w:rPr>
        <w:t>004</w:t>
      </w:r>
      <w:r>
        <w:rPr>
          <w:rFonts w:ascii="Times New Roman" w:hAnsi="Times New Roman" w:eastAsia="Times New Roman" w:cs="Times New Roman"/>
          <w:sz w:val="25"/>
          <w:szCs w:val="25"/>
        </w:rPr>
        <w:t xml:space="preserve">  </w:t>
      </w:r>
      <w:r>
        <w:rPr>
          <w:rFonts w:ascii="仿宋" w:hAnsi="仿宋" w:eastAsia="仿宋" w:cs="仿宋"/>
          <w:spacing w:val="11"/>
          <w:sz w:val="25"/>
          <w:szCs w:val="25"/>
        </w:rPr>
        <w:t>（铝土矿）距离重庆市仰头山森林公园最近距离为</w:t>
      </w:r>
      <w:r>
        <w:rPr>
          <w:rFonts w:ascii="仿宋" w:hAnsi="仿宋" w:eastAsia="仿宋" w:cs="仿宋"/>
          <w:spacing w:val="-48"/>
          <w:sz w:val="25"/>
          <w:szCs w:val="25"/>
        </w:rPr>
        <w:t xml:space="preserve"> </w:t>
      </w:r>
      <w:r>
        <w:rPr>
          <w:rFonts w:ascii="Times New Roman" w:hAnsi="Times New Roman" w:eastAsia="Times New Roman" w:cs="Times New Roman"/>
          <w:spacing w:val="11"/>
          <w:sz w:val="25"/>
          <w:szCs w:val="25"/>
        </w:rPr>
        <w:t>410m</w:t>
      </w:r>
      <w:r>
        <w:rPr>
          <w:rFonts w:ascii="Times New Roman" w:hAnsi="Times New Roman" w:eastAsia="Times New Roman" w:cs="Times New Roman"/>
          <w:spacing w:val="-20"/>
          <w:sz w:val="25"/>
          <w:szCs w:val="25"/>
        </w:rPr>
        <w:t xml:space="preserve"> </w:t>
      </w:r>
      <w:r>
        <w:rPr>
          <w:rFonts w:ascii="仿宋" w:hAnsi="仿宋" w:eastAsia="仿宋" w:cs="仿宋"/>
          <w:spacing w:val="11"/>
          <w:sz w:val="25"/>
          <w:szCs w:val="25"/>
        </w:rPr>
        <w:t>，距离阿蓬江国家湿</w:t>
      </w:r>
      <w:r>
        <w:rPr>
          <w:rFonts w:ascii="仿宋" w:hAnsi="仿宋" w:eastAsia="仿宋" w:cs="仿宋"/>
          <w:sz w:val="25"/>
          <w:szCs w:val="25"/>
        </w:rPr>
        <w:t xml:space="preserve"> </w:t>
      </w:r>
      <w:r>
        <w:rPr>
          <w:rFonts w:ascii="仿宋" w:hAnsi="仿宋" w:eastAsia="仿宋" w:cs="仿宋"/>
          <w:spacing w:val="6"/>
          <w:sz w:val="25"/>
          <w:szCs w:val="25"/>
        </w:rPr>
        <w:t>地公园最近距离约为</w:t>
      </w:r>
      <w:r>
        <w:rPr>
          <w:rFonts w:ascii="仿宋" w:hAnsi="仿宋" w:eastAsia="仿宋" w:cs="仿宋"/>
          <w:spacing w:val="-23"/>
          <w:sz w:val="25"/>
          <w:szCs w:val="25"/>
        </w:rPr>
        <w:t xml:space="preserve"> </w:t>
      </w:r>
      <w:r>
        <w:rPr>
          <w:rFonts w:ascii="Times New Roman" w:hAnsi="Times New Roman" w:eastAsia="Times New Roman" w:cs="Times New Roman"/>
          <w:spacing w:val="6"/>
          <w:sz w:val="25"/>
          <w:szCs w:val="25"/>
        </w:rPr>
        <w:t>100m</w:t>
      </w:r>
      <w:r>
        <w:rPr>
          <w:rFonts w:ascii="Times New Roman" w:hAnsi="Times New Roman" w:eastAsia="Times New Roman" w:cs="Times New Roman"/>
          <w:spacing w:val="-24"/>
          <w:sz w:val="25"/>
          <w:szCs w:val="25"/>
        </w:rPr>
        <w:t xml:space="preserve"> </w:t>
      </w:r>
      <w:r>
        <w:rPr>
          <w:rFonts w:ascii="仿宋" w:hAnsi="仿宋" w:eastAsia="仿宋" w:cs="仿宋"/>
          <w:spacing w:val="6"/>
          <w:sz w:val="25"/>
          <w:szCs w:val="25"/>
        </w:rPr>
        <w:t>，勘查过程中应加强用地红线范围控制。</w:t>
      </w:r>
    </w:p>
    <w:p w14:paraId="4E8E7120">
      <w:pPr>
        <w:spacing w:before="17" w:line="339" w:lineRule="auto"/>
        <w:ind w:left="15" w:right="69" w:firstLine="514"/>
        <w:rPr>
          <w:rFonts w:ascii="仿宋" w:hAnsi="仿宋" w:eastAsia="仿宋" w:cs="仿宋"/>
          <w:sz w:val="25"/>
          <w:szCs w:val="25"/>
        </w:rPr>
      </w:pPr>
      <w:r>
        <w:rPr>
          <w:rFonts w:ascii="仿宋" w:hAnsi="仿宋" w:eastAsia="仿宋" w:cs="仿宋"/>
          <w:spacing w:val="10"/>
          <w:sz w:val="25"/>
          <w:szCs w:val="25"/>
        </w:rPr>
        <w:t>由于黔江区全部位于武陵山生物多样性保护优先区域，</w:t>
      </w:r>
      <w:r>
        <w:rPr>
          <w:rFonts w:ascii="仿宋" w:hAnsi="仿宋" w:eastAsia="仿宋" w:cs="仿宋"/>
          <w:spacing w:val="9"/>
          <w:sz w:val="25"/>
          <w:szCs w:val="25"/>
        </w:rPr>
        <w:t>规划实施过程中应</w:t>
      </w:r>
      <w:r>
        <w:rPr>
          <w:rFonts w:ascii="仿宋" w:hAnsi="仿宋" w:eastAsia="仿宋" w:cs="仿宋"/>
          <w:sz w:val="25"/>
          <w:szCs w:val="25"/>
        </w:rPr>
        <w:t xml:space="preserve"> </w:t>
      </w:r>
      <w:r>
        <w:rPr>
          <w:rFonts w:ascii="仿宋" w:hAnsi="仿宋" w:eastAsia="仿宋" w:cs="仿宋"/>
          <w:spacing w:val="10"/>
          <w:sz w:val="25"/>
          <w:szCs w:val="25"/>
        </w:rPr>
        <w:t>加强对生态环境、生物多样性的保护。严格按</w:t>
      </w:r>
      <w:r>
        <w:rPr>
          <w:rFonts w:ascii="仿宋" w:hAnsi="仿宋" w:eastAsia="仿宋" w:cs="仿宋"/>
          <w:spacing w:val="9"/>
          <w:sz w:val="25"/>
          <w:szCs w:val="25"/>
        </w:rPr>
        <w:t>照《关于做好生物多样性保护优</w:t>
      </w:r>
      <w:r>
        <w:rPr>
          <w:rFonts w:ascii="仿宋" w:hAnsi="仿宋" w:eastAsia="仿宋" w:cs="仿宋"/>
          <w:sz w:val="25"/>
          <w:szCs w:val="25"/>
        </w:rPr>
        <w:t xml:space="preserve"> </w:t>
      </w:r>
      <w:r>
        <w:rPr>
          <w:rFonts w:ascii="仿宋" w:hAnsi="仿宋" w:eastAsia="仿宋" w:cs="仿宋"/>
          <w:spacing w:val="4"/>
          <w:sz w:val="25"/>
          <w:szCs w:val="25"/>
        </w:rPr>
        <w:t>先区域有关工作的通知》及《中共中央办公厅</w:t>
      </w:r>
      <w:r>
        <w:rPr>
          <w:rFonts w:ascii="仿宋" w:hAnsi="仿宋" w:eastAsia="仿宋" w:cs="仿宋"/>
          <w:spacing w:val="65"/>
          <w:sz w:val="25"/>
          <w:szCs w:val="25"/>
        </w:rPr>
        <w:t xml:space="preserve"> </w:t>
      </w:r>
      <w:r>
        <w:rPr>
          <w:rFonts w:ascii="仿宋" w:hAnsi="仿宋" w:eastAsia="仿宋" w:cs="仿宋"/>
          <w:spacing w:val="4"/>
          <w:sz w:val="25"/>
          <w:szCs w:val="25"/>
        </w:rPr>
        <w:t>国务院办公厅关于进一步加强生</w:t>
      </w:r>
      <w:r>
        <w:rPr>
          <w:rFonts w:ascii="仿宋" w:hAnsi="仿宋" w:eastAsia="仿宋" w:cs="仿宋"/>
          <w:sz w:val="25"/>
          <w:szCs w:val="25"/>
        </w:rPr>
        <w:t xml:space="preserve"> </w:t>
      </w:r>
      <w:r>
        <w:rPr>
          <w:rFonts w:ascii="仿宋" w:hAnsi="仿宋" w:eastAsia="仿宋" w:cs="仿宋"/>
          <w:spacing w:val="2"/>
          <w:sz w:val="25"/>
          <w:szCs w:val="25"/>
        </w:rPr>
        <w:t>物多样性保护的意见》（</w:t>
      </w:r>
      <w:r>
        <w:rPr>
          <w:rFonts w:ascii="Times New Roman" w:hAnsi="Times New Roman" w:eastAsia="Times New Roman" w:cs="Times New Roman"/>
          <w:spacing w:val="2"/>
          <w:sz w:val="25"/>
          <w:szCs w:val="25"/>
        </w:rPr>
        <w:t>2021</w:t>
      </w:r>
      <w:r>
        <w:rPr>
          <w:rFonts w:ascii="Times New Roman" w:hAnsi="Times New Roman" w:eastAsia="Times New Roman" w:cs="Times New Roman"/>
          <w:spacing w:val="27"/>
          <w:w w:val="101"/>
          <w:sz w:val="25"/>
          <w:szCs w:val="25"/>
        </w:rPr>
        <w:t xml:space="preserve"> </w:t>
      </w:r>
      <w:r>
        <w:rPr>
          <w:rFonts w:ascii="仿宋" w:hAnsi="仿宋" w:eastAsia="仿宋" w:cs="仿宋"/>
          <w:spacing w:val="2"/>
          <w:sz w:val="25"/>
          <w:szCs w:val="25"/>
        </w:rPr>
        <w:t>年</w:t>
      </w:r>
      <w:r>
        <w:rPr>
          <w:rFonts w:ascii="仿宋" w:hAnsi="仿宋" w:eastAsia="仿宋" w:cs="仿宋"/>
          <w:spacing w:val="-28"/>
          <w:sz w:val="25"/>
          <w:szCs w:val="25"/>
        </w:rPr>
        <w:t xml:space="preserve"> </w:t>
      </w:r>
      <w:r>
        <w:rPr>
          <w:rFonts w:ascii="Times New Roman" w:hAnsi="Times New Roman" w:eastAsia="Times New Roman" w:cs="Times New Roman"/>
          <w:spacing w:val="2"/>
          <w:sz w:val="25"/>
          <w:szCs w:val="25"/>
        </w:rPr>
        <w:t>10</w:t>
      </w:r>
      <w:r>
        <w:rPr>
          <w:rFonts w:ascii="Times New Roman" w:hAnsi="Times New Roman" w:eastAsia="Times New Roman" w:cs="Times New Roman"/>
          <w:spacing w:val="32"/>
          <w:sz w:val="25"/>
          <w:szCs w:val="25"/>
        </w:rPr>
        <w:t xml:space="preserve"> </w:t>
      </w:r>
      <w:r>
        <w:rPr>
          <w:rFonts w:ascii="仿宋" w:hAnsi="仿宋" w:eastAsia="仿宋" w:cs="仿宋"/>
          <w:spacing w:val="2"/>
          <w:sz w:val="25"/>
          <w:szCs w:val="25"/>
        </w:rPr>
        <w:t>月</w:t>
      </w:r>
      <w:r>
        <w:rPr>
          <w:rFonts w:ascii="仿宋" w:hAnsi="仿宋" w:eastAsia="仿宋" w:cs="仿宋"/>
          <w:spacing w:val="-30"/>
          <w:sz w:val="25"/>
          <w:szCs w:val="25"/>
        </w:rPr>
        <w:t xml:space="preserve"> </w:t>
      </w:r>
      <w:r>
        <w:rPr>
          <w:rFonts w:ascii="Times New Roman" w:hAnsi="Times New Roman" w:eastAsia="Times New Roman" w:cs="Times New Roman"/>
          <w:spacing w:val="2"/>
          <w:sz w:val="25"/>
          <w:szCs w:val="25"/>
        </w:rPr>
        <w:t xml:space="preserve">19  </w:t>
      </w:r>
      <w:r>
        <w:rPr>
          <w:rFonts w:ascii="仿宋" w:hAnsi="仿宋" w:eastAsia="仿宋" w:cs="仿宋"/>
          <w:spacing w:val="2"/>
          <w:sz w:val="25"/>
          <w:szCs w:val="25"/>
        </w:rPr>
        <w:t>日）等规定和要求，确保规</w:t>
      </w:r>
      <w:r>
        <w:rPr>
          <w:rFonts w:ascii="仿宋" w:hAnsi="仿宋" w:eastAsia="仿宋" w:cs="仿宋"/>
          <w:spacing w:val="1"/>
          <w:sz w:val="25"/>
          <w:szCs w:val="25"/>
        </w:rPr>
        <w:t>划实施过</w:t>
      </w:r>
      <w:r>
        <w:rPr>
          <w:rFonts w:ascii="仿宋" w:hAnsi="仿宋" w:eastAsia="仿宋" w:cs="仿宋"/>
          <w:sz w:val="25"/>
          <w:szCs w:val="25"/>
        </w:rPr>
        <w:t xml:space="preserve"> </w:t>
      </w:r>
      <w:r>
        <w:rPr>
          <w:rFonts w:ascii="仿宋" w:hAnsi="仿宋" w:eastAsia="仿宋" w:cs="仿宋"/>
          <w:spacing w:val="7"/>
          <w:sz w:val="25"/>
          <w:szCs w:val="25"/>
        </w:rPr>
        <w:t>程中，</w:t>
      </w:r>
      <w:r>
        <w:rPr>
          <w:rFonts w:ascii="仿宋" w:hAnsi="仿宋" w:eastAsia="仿宋" w:cs="仿宋"/>
          <w:spacing w:val="-37"/>
          <w:sz w:val="25"/>
          <w:szCs w:val="25"/>
        </w:rPr>
        <w:t xml:space="preserve"> </w:t>
      </w:r>
      <w:r>
        <w:rPr>
          <w:rFonts w:ascii="仿宋" w:hAnsi="仿宋" w:eastAsia="仿宋" w:cs="仿宋"/>
          <w:spacing w:val="7"/>
          <w:sz w:val="25"/>
          <w:szCs w:val="25"/>
        </w:rPr>
        <w:t>自然生态系统功能不下降，生物资源不减少。建设单位在项目环评时应</w:t>
      </w:r>
      <w:r>
        <w:rPr>
          <w:rFonts w:ascii="仿宋" w:hAnsi="仿宋" w:eastAsia="仿宋" w:cs="仿宋"/>
          <w:sz w:val="25"/>
          <w:szCs w:val="25"/>
        </w:rPr>
        <w:t xml:space="preserve"> </w:t>
      </w:r>
      <w:r>
        <w:rPr>
          <w:rFonts w:ascii="仿宋" w:hAnsi="仿宋" w:eastAsia="仿宋" w:cs="仿宋"/>
          <w:spacing w:val="10"/>
          <w:sz w:val="25"/>
          <w:szCs w:val="25"/>
        </w:rPr>
        <w:t>开展生物多样性调查评估，并坚持“保护优先</w:t>
      </w:r>
      <w:r>
        <w:rPr>
          <w:rFonts w:ascii="仿宋" w:hAnsi="仿宋" w:eastAsia="仿宋" w:cs="仿宋"/>
          <w:spacing w:val="9"/>
          <w:sz w:val="25"/>
          <w:szCs w:val="25"/>
        </w:rPr>
        <w:t>、持续利用、公众参与、惠益共</w:t>
      </w:r>
      <w:r>
        <w:rPr>
          <w:rFonts w:ascii="仿宋" w:hAnsi="仿宋" w:eastAsia="仿宋" w:cs="仿宋"/>
          <w:sz w:val="25"/>
          <w:szCs w:val="25"/>
        </w:rPr>
        <w:t xml:space="preserve"> </w:t>
      </w:r>
      <w:r>
        <w:rPr>
          <w:rFonts w:ascii="仿宋" w:hAnsi="仿宋" w:eastAsia="仿宋" w:cs="仿宋"/>
          <w:spacing w:val="9"/>
          <w:sz w:val="25"/>
          <w:szCs w:val="25"/>
        </w:rPr>
        <w:t>享</w:t>
      </w:r>
      <w:r>
        <w:rPr>
          <w:rFonts w:ascii="仿宋" w:hAnsi="仿宋" w:eastAsia="仿宋" w:cs="仿宋"/>
          <w:spacing w:val="-88"/>
          <w:sz w:val="25"/>
          <w:szCs w:val="25"/>
        </w:rPr>
        <w:t xml:space="preserve"> </w:t>
      </w:r>
      <w:r>
        <w:rPr>
          <w:rFonts w:ascii="仿宋" w:hAnsi="仿宋" w:eastAsia="仿宋" w:cs="仿宋"/>
          <w:spacing w:val="9"/>
          <w:sz w:val="25"/>
          <w:szCs w:val="25"/>
        </w:rPr>
        <w:t>”原则，严守生态保护红线，对生物多样</w:t>
      </w:r>
      <w:r>
        <w:rPr>
          <w:rFonts w:ascii="仿宋" w:hAnsi="仿宋" w:eastAsia="仿宋" w:cs="仿宋"/>
          <w:spacing w:val="8"/>
          <w:sz w:val="25"/>
          <w:szCs w:val="25"/>
        </w:rPr>
        <w:t>性进行有效保护，保障生态安全。</w:t>
      </w:r>
      <w:r>
        <w:rPr>
          <w:rFonts w:ascii="仿宋" w:hAnsi="仿宋" w:eastAsia="仿宋" w:cs="仿宋"/>
          <w:sz w:val="25"/>
          <w:szCs w:val="25"/>
        </w:rPr>
        <w:t xml:space="preserve"> </w:t>
      </w:r>
      <w:r>
        <w:rPr>
          <w:rFonts w:ascii="仿宋" w:hAnsi="仿宋" w:eastAsia="仿宋" w:cs="仿宋"/>
          <w:spacing w:val="7"/>
          <w:sz w:val="25"/>
          <w:szCs w:val="25"/>
        </w:rPr>
        <w:t>勘查区块</w:t>
      </w:r>
      <w:r>
        <w:rPr>
          <w:rFonts w:ascii="仿宋" w:hAnsi="仿宋" w:eastAsia="仿宋" w:cs="仿宋"/>
          <w:spacing w:val="-50"/>
          <w:sz w:val="25"/>
          <w:szCs w:val="25"/>
        </w:rPr>
        <w:t xml:space="preserve"> </w:t>
      </w:r>
      <w:r>
        <w:rPr>
          <w:rFonts w:ascii="Times New Roman" w:hAnsi="Times New Roman" w:eastAsia="Times New Roman" w:cs="Times New Roman"/>
          <w:sz w:val="25"/>
          <w:szCs w:val="25"/>
        </w:rPr>
        <w:t>KQ</w:t>
      </w:r>
      <w:r>
        <w:rPr>
          <w:rFonts w:ascii="Times New Roman" w:hAnsi="Times New Roman" w:eastAsia="Times New Roman" w:cs="Times New Roman"/>
          <w:spacing w:val="7"/>
          <w:sz w:val="25"/>
          <w:szCs w:val="25"/>
        </w:rPr>
        <w:t>004</w:t>
      </w:r>
      <w:r>
        <w:rPr>
          <w:rFonts w:ascii="Times New Roman" w:hAnsi="Times New Roman" w:eastAsia="Times New Roman" w:cs="Times New Roman"/>
          <w:spacing w:val="20"/>
          <w:sz w:val="25"/>
          <w:szCs w:val="25"/>
        </w:rPr>
        <w:t xml:space="preserve"> </w:t>
      </w:r>
      <w:r>
        <w:rPr>
          <w:rFonts w:ascii="仿宋" w:hAnsi="仿宋" w:eastAsia="仿宋" w:cs="仿宋"/>
          <w:spacing w:val="7"/>
          <w:sz w:val="25"/>
          <w:szCs w:val="25"/>
        </w:rPr>
        <w:t>矿区范围内分布有</w:t>
      </w:r>
      <w:r>
        <w:rPr>
          <w:rFonts w:ascii="Times New Roman" w:hAnsi="Times New Roman" w:eastAsia="Times New Roman" w:cs="Times New Roman"/>
          <w:spacing w:val="7"/>
          <w:sz w:val="25"/>
          <w:szCs w:val="25"/>
        </w:rPr>
        <w:t xml:space="preserve">2 </w:t>
      </w:r>
      <w:r>
        <w:rPr>
          <w:rFonts w:ascii="仿宋" w:hAnsi="仿宋" w:eastAsia="仿宋" w:cs="仿宋"/>
          <w:spacing w:val="7"/>
          <w:sz w:val="25"/>
          <w:szCs w:val="25"/>
        </w:rPr>
        <w:t>棵古树名木，勘查开采过程中应首先采取</w:t>
      </w:r>
      <w:r>
        <w:rPr>
          <w:rFonts w:ascii="仿宋" w:hAnsi="仿宋" w:eastAsia="仿宋" w:cs="仿宋"/>
          <w:sz w:val="25"/>
          <w:szCs w:val="25"/>
        </w:rPr>
        <w:t xml:space="preserve"> </w:t>
      </w:r>
      <w:r>
        <w:rPr>
          <w:rFonts w:ascii="仿宋" w:hAnsi="仿宋" w:eastAsia="仿宋" w:cs="仿宋"/>
          <w:spacing w:val="10"/>
          <w:sz w:val="25"/>
          <w:szCs w:val="25"/>
        </w:rPr>
        <w:t>避让措施，无法避让的应采取移栽的方式进行有效</w:t>
      </w:r>
      <w:r>
        <w:rPr>
          <w:rFonts w:ascii="仿宋" w:hAnsi="仿宋" w:eastAsia="仿宋" w:cs="仿宋"/>
          <w:spacing w:val="9"/>
          <w:sz w:val="25"/>
          <w:szCs w:val="25"/>
        </w:rPr>
        <w:t>保护。加强矿山环境保护事</w:t>
      </w:r>
      <w:r>
        <w:rPr>
          <w:rFonts w:ascii="仿宋" w:hAnsi="仿宋" w:eastAsia="仿宋" w:cs="仿宋"/>
          <w:sz w:val="25"/>
          <w:szCs w:val="25"/>
        </w:rPr>
        <w:t xml:space="preserve"> </w:t>
      </w:r>
      <w:r>
        <w:rPr>
          <w:rFonts w:ascii="仿宋" w:hAnsi="仿宋" w:eastAsia="仿宋" w:cs="仿宋"/>
          <w:spacing w:val="10"/>
          <w:sz w:val="25"/>
          <w:szCs w:val="25"/>
        </w:rPr>
        <w:t>中事后监管，对实际产生的不利影响以及生态</w:t>
      </w:r>
      <w:r>
        <w:rPr>
          <w:rFonts w:ascii="仿宋" w:hAnsi="仿宋" w:eastAsia="仿宋" w:cs="仿宋"/>
          <w:spacing w:val="9"/>
          <w:sz w:val="25"/>
          <w:szCs w:val="25"/>
        </w:rPr>
        <w:t>保护和风险防范措施的有效性进</w:t>
      </w:r>
      <w:r>
        <w:rPr>
          <w:rFonts w:ascii="仿宋" w:hAnsi="仿宋" w:eastAsia="仿宋" w:cs="仿宋"/>
          <w:sz w:val="25"/>
          <w:szCs w:val="25"/>
        </w:rPr>
        <w:t xml:space="preserve"> </w:t>
      </w:r>
      <w:r>
        <w:rPr>
          <w:rFonts w:ascii="仿宋" w:hAnsi="仿宋" w:eastAsia="仿宋" w:cs="仿宋"/>
          <w:spacing w:val="10"/>
          <w:sz w:val="25"/>
          <w:szCs w:val="25"/>
        </w:rPr>
        <w:t>行跟踪监测和验证评价，并提出补救方案或者</w:t>
      </w:r>
      <w:r>
        <w:rPr>
          <w:rFonts w:ascii="仿宋" w:hAnsi="仿宋" w:eastAsia="仿宋" w:cs="仿宋"/>
          <w:spacing w:val="9"/>
          <w:sz w:val="25"/>
          <w:szCs w:val="25"/>
        </w:rPr>
        <w:t>改进措施。在严格执行相关法律</w:t>
      </w:r>
      <w:r>
        <w:rPr>
          <w:rFonts w:ascii="仿宋" w:hAnsi="仿宋" w:eastAsia="仿宋" w:cs="仿宋"/>
          <w:sz w:val="25"/>
          <w:szCs w:val="25"/>
        </w:rPr>
        <w:t xml:space="preserve"> </w:t>
      </w:r>
      <w:r>
        <w:rPr>
          <w:rFonts w:ascii="仿宋" w:hAnsi="仿宋" w:eastAsia="仿宋" w:cs="仿宋"/>
          <w:spacing w:val="10"/>
          <w:sz w:val="25"/>
          <w:szCs w:val="25"/>
        </w:rPr>
        <w:t>法规规定和要求，并采取相应保护措施后，依</w:t>
      </w:r>
      <w:r>
        <w:rPr>
          <w:rFonts w:ascii="仿宋" w:hAnsi="仿宋" w:eastAsia="仿宋" w:cs="仿宋"/>
          <w:spacing w:val="9"/>
          <w:sz w:val="25"/>
          <w:szCs w:val="25"/>
        </w:rPr>
        <w:t>法依规开展矿业活动对区域生物</w:t>
      </w:r>
      <w:r>
        <w:rPr>
          <w:rFonts w:ascii="仿宋" w:hAnsi="仿宋" w:eastAsia="仿宋" w:cs="仿宋"/>
          <w:sz w:val="25"/>
          <w:szCs w:val="25"/>
        </w:rPr>
        <w:t xml:space="preserve"> </w:t>
      </w:r>
      <w:r>
        <w:rPr>
          <w:rFonts w:ascii="仿宋" w:hAnsi="仿宋" w:eastAsia="仿宋" w:cs="仿宋"/>
          <w:spacing w:val="10"/>
          <w:sz w:val="25"/>
          <w:szCs w:val="25"/>
        </w:rPr>
        <w:t>多样性的影响可将至最低，不会对区域生态系</w:t>
      </w:r>
      <w:r>
        <w:rPr>
          <w:rFonts w:ascii="仿宋" w:hAnsi="仿宋" w:eastAsia="仿宋" w:cs="仿宋"/>
          <w:spacing w:val="9"/>
          <w:sz w:val="25"/>
          <w:szCs w:val="25"/>
        </w:rPr>
        <w:t>统的完整性和系统性造成不利影</w:t>
      </w:r>
      <w:r>
        <w:rPr>
          <w:rFonts w:ascii="仿宋" w:hAnsi="仿宋" w:eastAsia="仿宋" w:cs="仿宋"/>
          <w:sz w:val="25"/>
          <w:szCs w:val="25"/>
        </w:rPr>
        <w:t xml:space="preserve"> </w:t>
      </w:r>
      <w:r>
        <w:rPr>
          <w:rFonts w:ascii="仿宋" w:hAnsi="仿宋" w:eastAsia="仿宋" w:cs="仿宋"/>
          <w:spacing w:val="-4"/>
          <w:sz w:val="25"/>
          <w:szCs w:val="25"/>
        </w:rPr>
        <w:t>响。</w:t>
      </w:r>
    </w:p>
    <w:p w14:paraId="6B8C8B7E">
      <w:pPr>
        <w:spacing w:before="12" w:line="228" w:lineRule="auto"/>
        <w:ind w:left="8"/>
        <w:outlineLvl w:val="2"/>
        <w:rPr>
          <w:rFonts w:ascii="仿宋" w:hAnsi="仿宋" w:eastAsia="仿宋" w:cs="仿宋"/>
          <w:sz w:val="25"/>
          <w:szCs w:val="25"/>
        </w:rPr>
      </w:pPr>
      <w:r>
        <w:rPr>
          <w:rFonts w:ascii="Times New Roman" w:hAnsi="Times New Roman" w:eastAsia="Times New Roman" w:cs="Times New Roman"/>
          <w:b/>
          <w:bCs/>
          <w:spacing w:val="6"/>
          <w:sz w:val="25"/>
          <w:szCs w:val="25"/>
        </w:rPr>
        <w:t xml:space="preserve">5.2.4  </w:t>
      </w:r>
      <w:r>
        <w:rPr>
          <w:rFonts w:ascii="仿宋" w:hAnsi="仿宋" w:eastAsia="仿宋" w:cs="仿宋"/>
          <w:b/>
          <w:bCs/>
          <w:spacing w:val="6"/>
          <w:sz w:val="25"/>
          <w:szCs w:val="25"/>
        </w:rPr>
        <w:t>对重点生态功能区的影响分析</w:t>
      </w:r>
    </w:p>
    <w:p w14:paraId="38802FB6">
      <w:pPr>
        <w:spacing w:before="251" w:line="340" w:lineRule="auto"/>
        <w:ind w:left="18" w:right="71" w:firstLine="519"/>
        <w:jc w:val="both"/>
        <w:rPr>
          <w:rFonts w:ascii="仿宋" w:hAnsi="仿宋" w:eastAsia="仿宋" w:cs="仿宋"/>
          <w:sz w:val="25"/>
          <w:szCs w:val="25"/>
        </w:rPr>
      </w:pPr>
      <w:r>
        <w:rPr>
          <w:rFonts w:ascii="仿宋" w:hAnsi="仿宋" w:eastAsia="仿宋" w:cs="仿宋"/>
          <w:spacing w:val="9"/>
          <w:sz w:val="25"/>
          <w:szCs w:val="25"/>
        </w:rPr>
        <w:t>根据《全国生态功能区划（修编）》，黔江区全部位于武陵山区生物多样</w:t>
      </w:r>
      <w:r>
        <w:rPr>
          <w:rFonts w:ascii="仿宋" w:hAnsi="仿宋" w:eastAsia="仿宋" w:cs="仿宋"/>
          <w:spacing w:val="15"/>
          <w:sz w:val="25"/>
          <w:szCs w:val="25"/>
        </w:rPr>
        <w:t xml:space="preserve"> </w:t>
      </w:r>
      <w:r>
        <w:rPr>
          <w:rFonts w:ascii="仿宋" w:hAnsi="仿宋" w:eastAsia="仿宋" w:cs="仿宋"/>
          <w:spacing w:val="9"/>
          <w:sz w:val="25"/>
          <w:szCs w:val="25"/>
        </w:rPr>
        <w:t>性保护与水源涵养重要区。武陵山区生物多样性保护与水源涵养重要区是东亚</w:t>
      </w:r>
      <w:r>
        <w:rPr>
          <w:rFonts w:ascii="仿宋" w:hAnsi="仿宋" w:eastAsia="仿宋" w:cs="仿宋"/>
          <w:spacing w:val="17"/>
          <w:sz w:val="25"/>
          <w:szCs w:val="25"/>
        </w:rPr>
        <w:t xml:space="preserve"> </w:t>
      </w:r>
      <w:r>
        <w:rPr>
          <w:rFonts w:ascii="仿宋" w:hAnsi="仿宋" w:eastAsia="仿宋" w:cs="仿宋"/>
          <w:spacing w:val="8"/>
          <w:sz w:val="25"/>
          <w:szCs w:val="25"/>
        </w:rPr>
        <w:t>亚热带植物区系分布核心区，有水杉、珙桐等多种国家珍稀濒危物种。</w:t>
      </w:r>
      <w:r>
        <w:rPr>
          <w:rFonts w:ascii="仿宋" w:hAnsi="仿宋" w:eastAsia="仿宋" w:cs="仿宋"/>
          <w:spacing w:val="-71"/>
          <w:sz w:val="25"/>
          <w:szCs w:val="25"/>
        </w:rPr>
        <w:t xml:space="preserve"> </w:t>
      </w:r>
      <w:r>
        <w:rPr>
          <w:rFonts w:ascii="仿宋" w:hAnsi="仿宋" w:eastAsia="仿宋" w:cs="仿宋"/>
          <w:spacing w:val="7"/>
          <w:sz w:val="25"/>
          <w:szCs w:val="25"/>
        </w:rPr>
        <w:t>同时该</w:t>
      </w:r>
      <w:r>
        <w:rPr>
          <w:rFonts w:ascii="仿宋" w:hAnsi="仿宋" w:eastAsia="仿宋" w:cs="仿宋"/>
          <w:sz w:val="25"/>
          <w:szCs w:val="25"/>
        </w:rPr>
        <w:t xml:space="preserve"> </w:t>
      </w:r>
      <w:r>
        <w:rPr>
          <w:rFonts w:ascii="仿宋" w:hAnsi="仿宋" w:eastAsia="仿宋" w:cs="仿宋"/>
          <w:spacing w:val="8"/>
          <w:sz w:val="25"/>
          <w:szCs w:val="25"/>
        </w:rPr>
        <w:t>区又是长江支流清江和澧水的发源地，以及沅水、资水、乌江水系的汇水区，</w:t>
      </w:r>
      <w:r>
        <w:rPr>
          <w:rFonts w:ascii="仿宋" w:hAnsi="仿宋" w:eastAsia="仿宋" w:cs="仿宋"/>
          <w:sz w:val="25"/>
          <w:szCs w:val="25"/>
        </w:rPr>
        <w:t xml:space="preserve"> </w:t>
      </w:r>
      <w:r>
        <w:rPr>
          <w:rFonts w:ascii="仿宋" w:hAnsi="仿宋" w:eastAsia="仿宋" w:cs="仿宋"/>
          <w:spacing w:val="8"/>
          <w:sz w:val="25"/>
          <w:szCs w:val="25"/>
        </w:rPr>
        <w:t>其水源涵养和土壤保持功能也极其重要。</w:t>
      </w:r>
    </w:p>
    <w:p w14:paraId="797DF276">
      <w:pPr>
        <w:spacing w:before="2" w:line="339" w:lineRule="auto"/>
        <w:ind w:left="17" w:right="71" w:firstLine="526"/>
        <w:jc w:val="both"/>
        <w:rPr>
          <w:rFonts w:ascii="仿宋" w:hAnsi="仿宋" w:eastAsia="仿宋" w:cs="仿宋"/>
          <w:sz w:val="25"/>
          <w:szCs w:val="25"/>
        </w:rPr>
      </w:pPr>
      <w:r>
        <w:rPr>
          <w:rFonts w:ascii="仿宋" w:hAnsi="仿宋" w:eastAsia="仿宋" w:cs="仿宋"/>
          <w:spacing w:val="9"/>
          <w:sz w:val="25"/>
          <w:szCs w:val="25"/>
        </w:rPr>
        <w:t>武陵山区生物多样性保护与水源涵养重要区主要生态问题为森林资源不合 理开发利用带来生态功能退化问题较为突出，主要表现为水土流失加重、石漠</w:t>
      </w:r>
      <w:r>
        <w:rPr>
          <w:rFonts w:ascii="仿宋" w:hAnsi="仿宋" w:eastAsia="仿宋" w:cs="仿宋"/>
          <w:spacing w:val="18"/>
          <w:sz w:val="25"/>
          <w:szCs w:val="25"/>
        </w:rPr>
        <w:t xml:space="preserve"> </w:t>
      </w:r>
      <w:r>
        <w:rPr>
          <w:rFonts w:ascii="仿宋" w:hAnsi="仿宋" w:eastAsia="仿宋" w:cs="仿宋"/>
          <w:spacing w:val="9"/>
          <w:sz w:val="25"/>
          <w:szCs w:val="25"/>
        </w:rPr>
        <w:t>化问题突出、地质灾害增多、野生动植物栖息地破</w:t>
      </w:r>
      <w:r>
        <w:rPr>
          <w:rFonts w:ascii="仿宋" w:hAnsi="仿宋" w:eastAsia="仿宋" w:cs="仿宋"/>
          <w:spacing w:val="8"/>
          <w:sz w:val="25"/>
          <w:szCs w:val="25"/>
        </w:rPr>
        <w:t>坏较严重。</w:t>
      </w:r>
    </w:p>
    <w:p w14:paraId="08191828">
      <w:pPr>
        <w:spacing w:before="1" w:line="339" w:lineRule="auto"/>
        <w:ind w:left="40" w:right="71" w:firstLine="497"/>
        <w:rPr>
          <w:rFonts w:ascii="仿宋" w:hAnsi="仿宋" w:eastAsia="仿宋" w:cs="仿宋"/>
          <w:sz w:val="25"/>
          <w:szCs w:val="25"/>
        </w:rPr>
      </w:pPr>
      <w:r>
        <w:rPr>
          <w:rFonts w:ascii="仿宋" w:hAnsi="仿宋" w:eastAsia="仿宋" w:cs="仿宋"/>
          <w:spacing w:val="9"/>
          <w:sz w:val="25"/>
          <w:szCs w:val="25"/>
        </w:rPr>
        <w:t>本次规划勘查开采区块均不涉及自然保护地、生态保护红线及一般生态空</w:t>
      </w:r>
      <w:r>
        <w:rPr>
          <w:rFonts w:ascii="仿宋" w:hAnsi="仿宋" w:eastAsia="仿宋" w:cs="仿宋"/>
          <w:spacing w:val="15"/>
          <w:sz w:val="25"/>
          <w:szCs w:val="25"/>
        </w:rPr>
        <w:t xml:space="preserve"> </w:t>
      </w:r>
      <w:r>
        <w:rPr>
          <w:rFonts w:ascii="仿宋" w:hAnsi="仿宋" w:eastAsia="仿宋" w:cs="仿宋"/>
          <w:spacing w:val="9"/>
          <w:sz w:val="25"/>
          <w:szCs w:val="25"/>
        </w:rPr>
        <w:t>间。重庆市生态保护红线也将水源涵养区、生</w:t>
      </w:r>
      <w:r>
        <w:rPr>
          <w:rFonts w:ascii="仿宋" w:hAnsi="仿宋" w:eastAsia="仿宋" w:cs="仿宋"/>
          <w:spacing w:val="8"/>
          <w:sz w:val="25"/>
          <w:szCs w:val="25"/>
        </w:rPr>
        <w:t>物多样性维护区、水土保持区、</w:t>
      </w:r>
    </w:p>
    <w:p w14:paraId="5D2DBAE6">
      <w:pPr>
        <w:spacing w:line="339" w:lineRule="auto"/>
        <w:rPr>
          <w:rFonts w:ascii="仿宋" w:hAnsi="仿宋" w:eastAsia="仿宋" w:cs="仿宋"/>
          <w:sz w:val="25"/>
          <w:szCs w:val="25"/>
        </w:rPr>
        <w:sectPr>
          <w:headerReference r:id="rId180" w:type="default"/>
          <w:footerReference r:id="rId181" w:type="default"/>
          <w:pgSz w:w="11906" w:h="16839"/>
          <w:pgMar w:top="1116" w:right="1404" w:bottom="866" w:left="1587" w:header="683" w:footer="703" w:gutter="0"/>
          <w:cols w:space="720" w:num="1"/>
        </w:sectPr>
      </w:pPr>
    </w:p>
    <w:p w14:paraId="3B4EAD82">
      <w:pPr>
        <w:pStyle w:val="2"/>
        <w:spacing w:line="384" w:lineRule="auto"/>
      </w:pPr>
    </w:p>
    <w:p w14:paraId="34010779">
      <w:pPr>
        <w:spacing w:before="81" w:line="340" w:lineRule="auto"/>
        <w:ind w:left="26" w:hanging="11"/>
        <w:jc w:val="both"/>
        <w:rPr>
          <w:rFonts w:ascii="仿宋" w:hAnsi="仿宋" w:eastAsia="仿宋" w:cs="仿宋"/>
          <w:sz w:val="25"/>
          <w:szCs w:val="25"/>
        </w:rPr>
      </w:pPr>
      <w:r>
        <w:rPr>
          <w:rFonts w:ascii="仿宋" w:hAnsi="仿宋" w:eastAsia="仿宋" w:cs="仿宋"/>
          <w:spacing w:val="10"/>
          <w:sz w:val="25"/>
          <w:szCs w:val="25"/>
        </w:rPr>
        <w:t>水土流失区、石漠化敏感区等划入生态保护红</w:t>
      </w:r>
      <w:r>
        <w:rPr>
          <w:rFonts w:ascii="仿宋" w:hAnsi="仿宋" w:eastAsia="仿宋" w:cs="仿宋"/>
          <w:spacing w:val="9"/>
          <w:sz w:val="25"/>
          <w:szCs w:val="25"/>
        </w:rPr>
        <w:t>线管控范围。规划应按照《全国</w:t>
      </w:r>
      <w:r>
        <w:rPr>
          <w:rFonts w:ascii="仿宋" w:hAnsi="仿宋" w:eastAsia="仿宋" w:cs="仿宋"/>
          <w:sz w:val="25"/>
          <w:szCs w:val="25"/>
        </w:rPr>
        <w:t xml:space="preserve"> </w:t>
      </w:r>
      <w:r>
        <w:rPr>
          <w:rFonts w:ascii="仿宋" w:hAnsi="仿宋" w:eastAsia="仿宋" w:cs="仿宋"/>
          <w:spacing w:val="4"/>
          <w:sz w:val="25"/>
          <w:szCs w:val="25"/>
        </w:rPr>
        <w:t>生态功能区划》（修编版）及生态保护红线等有关规定和要求，严格空间管制、</w:t>
      </w:r>
      <w:r>
        <w:rPr>
          <w:rFonts w:ascii="仿宋" w:hAnsi="仿宋" w:eastAsia="仿宋" w:cs="仿宋"/>
          <w:spacing w:val="8"/>
          <w:sz w:val="25"/>
          <w:szCs w:val="25"/>
        </w:rPr>
        <w:t xml:space="preserve"> </w:t>
      </w:r>
      <w:r>
        <w:rPr>
          <w:rFonts w:ascii="仿宋" w:hAnsi="仿宋" w:eastAsia="仿宋" w:cs="仿宋"/>
          <w:spacing w:val="6"/>
          <w:sz w:val="25"/>
          <w:szCs w:val="25"/>
        </w:rPr>
        <w:t>总量管控和环境准入。</w:t>
      </w:r>
    </w:p>
    <w:p w14:paraId="1806CB3A">
      <w:pPr>
        <w:spacing w:before="1" w:line="340" w:lineRule="auto"/>
        <w:ind w:left="15" w:right="83" w:firstLine="532"/>
        <w:rPr>
          <w:rFonts w:ascii="仿宋" w:hAnsi="仿宋" w:eastAsia="仿宋" w:cs="仿宋"/>
          <w:sz w:val="25"/>
          <w:szCs w:val="25"/>
        </w:rPr>
      </w:pPr>
      <w:r>
        <w:rPr>
          <w:rFonts w:ascii="仿宋" w:hAnsi="仿宋" w:eastAsia="仿宋" w:cs="仿宋"/>
          <w:spacing w:val="9"/>
          <w:sz w:val="25"/>
          <w:szCs w:val="25"/>
        </w:rPr>
        <w:t>总体来看，规划实施后不会从本质上降低黔江区水源涵养、生物多样性维</w:t>
      </w:r>
      <w:r>
        <w:rPr>
          <w:rFonts w:ascii="仿宋" w:hAnsi="仿宋" w:eastAsia="仿宋" w:cs="仿宋"/>
          <w:spacing w:val="5"/>
          <w:sz w:val="25"/>
          <w:szCs w:val="25"/>
        </w:rPr>
        <w:t xml:space="preserve"> </w:t>
      </w:r>
      <w:r>
        <w:rPr>
          <w:rFonts w:ascii="仿宋" w:hAnsi="仿宋" w:eastAsia="仿宋" w:cs="仿宋"/>
          <w:spacing w:val="7"/>
          <w:sz w:val="25"/>
          <w:szCs w:val="25"/>
        </w:rPr>
        <w:t>护等的生态服务功能。</w:t>
      </w:r>
    </w:p>
    <w:p w14:paraId="351B281C">
      <w:pPr>
        <w:spacing w:before="12" w:line="228" w:lineRule="auto"/>
        <w:ind w:left="8"/>
        <w:outlineLvl w:val="2"/>
        <w:rPr>
          <w:rFonts w:ascii="仿宋" w:hAnsi="仿宋" w:eastAsia="仿宋" w:cs="仿宋"/>
          <w:sz w:val="25"/>
          <w:szCs w:val="25"/>
        </w:rPr>
      </w:pPr>
      <w:r>
        <w:rPr>
          <w:rFonts w:ascii="Times New Roman" w:hAnsi="Times New Roman" w:eastAsia="Times New Roman" w:cs="Times New Roman"/>
          <w:b/>
          <w:bCs/>
          <w:spacing w:val="5"/>
          <w:sz w:val="25"/>
          <w:szCs w:val="25"/>
        </w:rPr>
        <w:t>5.2.5</w:t>
      </w:r>
      <w:r>
        <w:rPr>
          <w:rFonts w:ascii="Times New Roman" w:hAnsi="Times New Roman" w:eastAsia="Times New Roman" w:cs="Times New Roman"/>
          <w:b/>
          <w:bCs/>
          <w:spacing w:val="26"/>
          <w:sz w:val="25"/>
          <w:szCs w:val="25"/>
        </w:rPr>
        <w:t xml:space="preserve"> </w:t>
      </w:r>
      <w:r>
        <w:rPr>
          <w:rFonts w:ascii="仿宋" w:hAnsi="仿宋" w:eastAsia="仿宋" w:cs="仿宋"/>
          <w:b/>
          <w:bCs/>
          <w:spacing w:val="5"/>
          <w:sz w:val="25"/>
          <w:szCs w:val="25"/>
        </w:rPr>
        <w:t>对其他生态环境的影响分析</w:t>
      </w:r>
    </w:p>
    <w:p w14:paraId="67C27BDC">
      <w:pPr>
        <w:spacing w:before="255" w:line="228" w:lineRule="auto"/>
        <w:ind w:left="8"/>
        <w:outlineLvl w:val="3"/>
        <w:rPr>
          <w:rFonts w:ascii="仿宋" w:hAnsi="仿宋" w:eastAsia="仿宋" w:cs="仿宋"/>
          <w:sz w:val="25"/>
          <w:szCs w:val="25"/>
        </w:rPr>
      </w:pPr>
      <w:r>
        <w:rPr>
          <w:rFonts w:ascii="Times New Roman" w:hAnsi="Times New Roman" w:eastAsia="Times New Roman" w:cs="Times New Roman"/>
          <w:b/>
          <w:bCs/>
          <w:spacing w:val="5"/>
          <w:sz w:val="25"/>
          <w:szCs w:val="25"/>
        </w:rPr>
        <w:t>5.2.5.1</w:t>
      </w:r>
      <w:r>
        <w:rPr>
          <w:rFonts w:ascii="Times New Roman" w:hAnsi="Times New Roman" w:eastAsia="Times New Roman" w:cs="Times New Roman"/>
          <w:b/>
          <w:bCs/>
          <w:spacing w:val="31"/>
          <w:sz w:val="25"/>
          <w:szCs w:val="25"/>
        </w:rPr>
        <w:t xml:space="preserve"> </w:t>
      </w:r>
      <w:r>
        <w:rPr>
          <w:rFonts w:ascii="仿宋" w:hAnsi="仿宋" w:eastAsia="仿宋" w:cs="仿宋"/>
          <w:b/>
          <w:bCs/>
          <w:spacing w:val="5"/>
          <w:sz w:val="25"/>
          <w:szCs w:val="25"/>
        </w:rPr>
        <w:t>露天开采对生态环境的影响分析</w:t>
      </w:r>
    </w:p>
    <w:p w14:paraId="57FA052E">
      <w:pPr>
        <w:spacing w:before="268" w:line="340" w:lineRule="auto"/>
        <w:ind w:left="18" w:right="12" w:firstLine="517"/>
        <w:jc w:val="both"/>
        <w:rPr>
          <w:rFonts w:ascii="仿宋" w:hAnsi="仿宋" w:eastAsia="仿宋" w:cs="仿宋"/>
          <w:sz w:val="25"/>
          <w:szCs w:val="25"/>
        </w:rPr>
      </w:pPr>
      <w:r>
        <w:rPr>
          <w:rFonts w:ascii="仿宋" w:hAnsi="仿宋" w:eastAsia="仿宋" w:cs="仿宋"/>
          <w:spacing w:val="7"/>
          <w:sz w:val="25"/>
          <w:szCs w:val="25"/>
        </w:rPr>
        <w:t>《规划调整》后，共设置</w:t>
      </w:r>
      <w:r>
        <w:rPr>
          <w:rFonts w:ascii="仿宋" w:hAnsi="仿宋" w:eastAsia="仿宋" w:cs="仿宋"/>
          <w:spacing w:val="-42"/>
          <w:sz w:val="25"/>
          <w:szCs w:val="25"/>
        </w:rPr>
        <w:t xml:space="preserve"> </w:t>
      </w:r>
      <w:r>
        <w:rPr>
          <w:rFonts w:ascii="Times New Roman" w:hAnsi="Times New Roman" w:eastAsia="Times New Roman" w:cs="Times New Roman"/>
          <w:spacing w:val="7"/>
          <w:sz w:val="25"/>
          <w:szCs w:val="25"/>
        </w:rPr>
        <w:t>31</w:t>
      </w:r>
      <w:r>
        <w:rPr>
          <w:rFonts w:ascii="Times New Roman" w:hAnsi="Times New Roman" w:eastAsia="Times New Roman" w:cs="Times New Roman"/>
          <w:spacing w:val="21"/>
          <w:sz w:val="25"/>
          <w:szCs w:val="25"/>
        </w:rPr>
        <w:t xml:space="preserve"> </w:t>
      </w:r>
      <w:r>
        <w:rPr>
          <w:rFonts w:ascii="仿宋" w:hAnsi="仿宋" w:eastAsia="仿宋" w:cs="仿宋"/>
          <w:spacing w:val="7"/>
          <w:sz w:val="25"/>
          <w:szCs w:val="25"/>
        </w:rPr>
        <w:t>个开采区块，其中露天开采区块为</w:t>
      </w:r>
      <w:r>
        <w:rPr>
          <w:rFonts w:ascii="仿宋" w:hAnsi="仿宋" w:eastAsia="仿宋" w:cs="仿宋"/>
          <w:spacing w:val="-54"/>
          <w:sz w:val="25"/>
          <w:szCs w:val="25"/>
        </w:rPr>
        <w:t xml:space="preserve"> </w:t>
      </w:r>
      <w:r>
        <w:rPr>
          <w:rFonts w:ascii="Times New Roman" w:hAnsi="Times New Roman" w:eastAsia="Times New Roman" w:cs="Times New Roman"/>
          <w:spacing w:val="7"/>
          <w:sz w:val="25"/>
          <w:szCs w:val="25"/>
        </w:rPr>
        <w:t>20</w:t>
      </w:r>
      <w:r>
        <w:rPr>
          <w:rFonts w:ascii="Times New Roman" w:hAnsi="Times New Roman" w:eastAsia="Times New Roman" w:cs="Times New Roman"/>
          <w:spacing w:val="22"/>
          <w:w w:val="101"/>
          <w:sz w:val="25"/>
          <w:szCs w:val="25"/>
        </w:rPr>
        <w:t xml:space="preserve"> </w:t>
      </w:r>
      <w:r>
        <w:rPr>
          <w:rFonts w:ascii="仿宋" w:hAnsi="仿宋" w:eastAsia="仿宋" w:cs="仿宋"/>
          <w:spacing w:val="7"/>
          <w:sz w:val="25"/>
          <w:szCs w:val="25"/>
        </w:rPr>
        <w:t>个，地</w:t>
      </w:r>
      <w:r>
        <w:rPr>
          <w:rFonts w:ascii="仿宋" w:hAnsi="仿宋" w:eastAsia="仿宋" w:cs="仿宋"/>
          <w:sz w:val="25"/>
          <w:szCs w:val="25"/>
        </w:rPr>
        <w:t xml:space="preserve"> </w:t>
      </w:r>
      <w:r>
        <w:rPr>
          <w:rFonts w:ascii="仿宋" w:hAnsi="仿宋" w:eastAsia="仿宋" w:cs="仿宋"/>
          <w:spacing w:val="4"/>
          <w:sz w:val="25"/>
          <w:szCs w:val="25"/>
        </w:rPr>
        <w:t>下开采区块</w:t>
      </w:r>
      <w:r>
        <w:rPr>
          <w:rFonts w:ascii="仿宋" w:hAnsi="仿宋" w:eastAsia="仿宋" w:cs="仿宋"/>
          <w:spacing w:val="-23"/>
          <w:sz w:val="25"/>
          <w:szCs w:val="25"/>
        </w:rPr>
        <w:t xml:space="preserve"> </w:t>
      </w:r>
      <w:r>
        <w:rPr>
          <w:rFonts w:ascii="Times New Roman" w:hAnsi="Times New Roman" w:eastAsia="Times New Roman" w:cs="Times New Roman"/>
          <w:spacing w:val="4"/>
          <w:sz w:val="25"/>
          <w:szCs w:val="25"/>
        </w:rPr>
        <w:t>11</w:t>
      </w:r>
      <w:r>
        <w:rPr>
          <w:rFonts w:ascii="Times New Roman" w:hAnsi="Times New Roman" w:eastAsia="Times New Roman" w:cs="Times New Roman"/>
          <w:spacing w:val="21"/>
          <w:sz w:val="25"/>
          <w:szCs w:val="25"/>
        </w:rPr>
        <w:t xml:space="preserve"> </w:t>
      </w:r>
      <w:r>
        <w:rPr>
          <w:rFonts w:ascii="仿宋" w:hAnsi="仿宋" w:eastAsia="仿宋" w:cs="仿宋"/>
          <w:spacing w:val="4"/>
          <w:sz w:val="25"/>
          <w:szCs w:val="25"/>
        </w:rPr>
        <w:t>个，本次评价的露天开采区块矿种为饰面用灰岩，露天矿山开采</w:t>
      </w:r>
      <w:r>
        <w:rPr>
          <w:rFonts w:ascii="仿宋" w:hAnsi="仿宋" w:eastAsia="仿宋" w:cs="仿宋"/>
          <w:sz w:val="25"/>
          <w:szCs w:val="25"/>
        </w:rPr>
        <w:t xml:space="preserve"> </w:t>
      </w:r>
      <w:r>
        <w:rPr>
          <w:rFonts w:ascii="仿宋" w:hAnsi="仿宋" w:eastAsia="仿宋" w:cs="仿宋"/>
          <w:spacing w:val="4"/>
          <w:sz w:val="25"/>
          <w:szCs w:val="25"/>
        </w:rPr>
        <w:t>表土剥离将导致采区内植被完全破坏，在不同程度上改变矿区的地形地貌景观，</w:t>
      </w:r>
      <w:r>
        <w:rPr>
          <w:rFonts w:ascii="仿宋" w:hAnsi="仿宋" w:eastAsia="仿宋" w:cs="仿宋"/>
          <w:spacing w:val="5"/>
          <w:sz w:val="25"/>
          <w:szCs w:val="25"/>
        </w:rPr>
        <w:t xml:space="preserve"> </w:t>
      </w:r>
      <w:r>
        <w:rPr>
          <w:rFonts w:ascii="仿宋" w:hAnsi="仿宋" w:eastAsia="仿宋" w:cs="仿宋"/>
          <w:spacing w:val="7"/>
          <w:sz w:val="25"/>
          <w:szCs w:val="25"/>
        </w:rPr>
        <w:t>对生态环境造成影响。</w:t>
      </w:r>
    </w:p>
    <w:p w14:paraId="069E7275">
      <w:pPr>
        <w:spacing w:line="227" w:lineRule="auto"/>
        <w:ind w:left="541"/>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1</w:t>
      </w:r>
      <w:r>
        <w:rPr>
          <w:rFonts w:ascii="仿宋" w:hAnsi="仿宋" w:eastAsia="仿宋" w:cs="仿宋"/>
          <w:spacing w:val="7"/>
          <w:sz w:val="25"/>
          <w:szCs w:val="25"/>
        </w:rPr>
        <w:t>）对动植物的影响分析</w:t>
      </w:r>
    </w:p>
    <w:p w14:paraId="0EA5D270">
      <w:pPr>
        <w:spacing w:before="150" w:line="340" w:lineRule="auto"/>
        <w:ind w:left="17" w:right="12" w:firstLine="478"/>
        <w:rPr>
          <w:rFonts w:ascii="仿宋" w:hAnsi="仿宋" w:eastAsia="仿宋" w:cs="仿宋"/>
          <w:sz w:val="25"/>
          <w:szCs w:val="25"/>
        </w:rPr>
      </w:pPr>
      <w:r>
        <w:rPr>
          <w:rFonts w:ascii="仿宋" w:hAnsi="仿宋" w:eastAsia="仿宋" w:cs="仿宋"/>
          <w:spacing w:val="11"/>
          <w:sz w:val="25"/>
          <w:szCs w:val="25"/>
        </w:rPr>
        <w:t>矿山露天开采剥离地表植被，废石、弃方、工业场地、施</w:t>
      </w:r>
      <w:r>
        <w:rPr>
          <w:rFonts w:ascii="仿宋" w:hAnsi="仿宋" w:eastAsia="仿宋" w:cs="仿宋"/>
          <w:spacing w:val="10"/>
          <w:sz w:val="25"/>
          <w:szCs w:val="25"/>
        </w:rPr>
        <w:t>工机械、临时生</w:t>
      </w:r>
      <w:r>
        <w:rPr>
          <w:rFonts w:ascii="仿宋" w:hAnsi="仿宋" w:eastAsia="仿宋" w:cs="仿宋"/>
          <w:sz w:val="25"/>
          <w:szCs w:val="25"/>
        </w:rPr>
        <w:t xml:space="preserve"> </w:t>
      </w:r>
      <w:r>
        <w:rPr>
          <w:rFonts w:ascii="仿宋" w:hAnsi="仿宋" w:eastAsia="仿宋" w:cs="仿宋"/>
          <w:spacing w:val="9"/>
          <w:sz w:val="25"/>
          <w:szCs w:val="25"/>
        </w:rPr>
        <w:t>活区等压占和破坏植被，矿床的疏干排水引起地下水位的下降，都会造成矿区</w:t>
      </w:r>
      <w:r>
        <w:rPr>
          <w:rFonts w:ascii="仿宋" w:hAnsi="仿宋" w:eastAsia="仿宋" w:cs="仿宋"/>
          <w:spacing w:val="18"/>
          <w:sz w:val="25"/>
          <w:szCs w:val="25"/>
        </w:rPr>
        <w:t xml:space="preserve"> </w:t>
      </w:r>
      <w:r>
        <w:rPr>
          <w:rFonts w:ascii="仿宋" w:hAnsi="仿宋" w:eastAsia="仿宋" w:cs="仿宋"/>
          <w:spacing w:val="5"/>
          <w:sz w:val="25"/>
          <w:szCs w:val="25"/>
        </w:rPr>
        <w:t>及其周围地表植被的破坏。根据黔江区</w:t>
      </w:r>
      <w:r>
        <w:rPr>
          <w:rFonts w:ascii="Times New Roman" w:hAnsi="Times New Roman" w:eastAsia="Times New Roman" w:cs="Times New Roman"/>
          <w:spacing w:val="5"/>
          <w:sz w:val="25"/>
          <w:szCs w:val="25"/>
        </w:rPr>
        <w:t>“</w:t>
      </w:r>
      <w:r>
        <w:rPr>
          <w:rFonts w:ascii="仿宋" w:hAnsi="仿宋" w:eastAsia="仿宋" w:cs="仿宋"/>
          <w:spacing w:val="5"/>
          <w:sz w:val="25"/>
          <w:szCs w:val="25"/>
        </w:rPr>
        <w:t>三调</w:t>
      </w:r>
      <w:r>
        <w:rPr>
          <w:rFonts w:ascii="Times New Roman" w:hAnsi="Times New Roman" w:eastAsia="Times New Roman" w:cs="Times New Roman"/>
          <w:spacing w:val="5"/>
          <w:sz w:val="25"/>
          <w:szCs w:val="25"/>
        </w:rPr>
        <w:t>”</w:t>
      </w:r>
      <w:r>
        <w:rPr>
          <w:rFonts w:ascii="仿宋" w:hAnsi="仿宋" w:eastAsia="仿宋" w:cs="仿宋"/>
          <w:spacing w:val="5"/>
          <w:sz w:val="25"/>
          <w:szCs w:val="25"/>
        </w:rPr>
        <w:t>数据叠图分析，调整</w:t>
      </w:r>
      <w:r>
        <w:rPr>
          <w:rFonts w:ascii="仿宋" w:hAnsi="仿宋" w:eastAsia="仿宋" w:cs="仿宋"/>
          <w:spacing w:val="4"/>
          <w:sz w:val="25"/>
          <w:szCs w:val="25"/>
        </w:rPr>
        <w:t>开采区块后，</w:t>
      </w:r>
      <w:r>
        <w:rPr>
          <w:rFonts w:ascii="仿宋" w:hAnsi="仿宋" w:eastAsia="仿宋" w:cs="仿宋"/>
          <w:sz w:val="25"/>
          <w:szCs w:val="25"/>
        </w:rPr>
        <w:t xml:space="preserve"> </w:t>
      </w:r>
      <w:r>
        <w:rPr>
          <w:rFonts w:ascii="仿宋" w:hAnsi="仿宋" w:eastAsia="仿宋" w:cs="仿宋"/>
          <w:spacing w:val="5"/>
          <w:sz w:val="25"/>
          <w:szCs w:val="25"/>
        </w:rPr>
        <w:t>露天开采区块总占地面积不变为</w:t>
      </w:r>
      <w:r>
        <w:rPr>
          <w:rFonts w:ascii="仿宋" w:hAnsi="仿宋" w:eastAsia="仿宋" w:cs="仿宋"/>
          <w:spacing w:val="-48"/>
          <w:sz w:val="25"/>
          <w:szCs w:val="25"/>
        </w:rPr>
        <w:t xml:space="preserve"> </w:t>
      </w:r>
      <w:r>
        <w:rPr>
          <w:rFonts w:ascii="Times New Roman" w:hAnsi="Times New Roman" w:eastAsia="Times New Roman" w:cs="Times New Roman"/>
          <w:spacing w:val="5"/>
          <w:sz w:val="25"/>
          <w:szCs w:val="25"/>
        </w:rPr>
        <w:t>5.884</w:t>
      </w:r>
      <w:r>
        <w:rPr>
          <w:rFonts w:ascii="Times New Roman" w:hAnsi="Times New Roman" w:eastAsia="Times New Roman" w:cs="Times New Roman"/>
          <w:sz w:val="25"/>
          <w:szCs w:val="25"/>
        </w:rPr>
        <w:t>km</w:t>
      </w:r>
      <w:r>
        <w:rPr>
          <w:rFonts w:ascii="Times New Roman" w:hAnsi="Times New Roman" w:eastAsia="Times New Roman" w:cs="Times New Roman"/>
          <w:spacing w:val="5"/>
          <w:position w:val="8"/>
          <w:sz w:val="16"/>
          <w:szCs w:val="16"/>
        </w:rPr>
        <w:t>2</w:t>
      </w:r>
      <w:r>
        <w:rPr>
          <w:rFonts w:ascii="仿宋" w:hAnsi="仿宋" w:eastAsia="仿宋" w:cs="仿宋"/>
          <w:spacing w:val="5"/>
          <w:sz w:val="25"/>
          <w:szCs w:val="25"/>
        </w:rPr>
        <w:t>，从占全区土地总面积的</w:t>
      </w:r>
      <w:r>
        <w:rPr>
          <w:rFonts w:ascii="仿宋" w:hAnsi="仿宋" w:eastAsia="仿宋" w:cs="仿宋"/>
          <w:spacing w:val="-51"/>
          <w:sz w:val="25"/>
          <w:szCs w:val="25"/>
        </w:rPr>
        <w:t xml:space="preserve"> </w:t>
      </w:r>
      <w:r>
        <w:rPr>
          <w:rFonts w:ascii="Times New Roman" w:hAnsi="Times New Roman" w:eastAsia="Times New Roman" w:cs="Times New Roman"/>
          <w:spacing w:val="5"/>
          <w:sz w:val="25"/>
          <w:szCs w:val="25"/>
        </w:rPr>
        <w:t>0.2</w:t>
      </w:r>
      <w:r>
        <w:rPr>
          <w:rFonts w:ascii="Times New Roman" w:hAnsi="Times New Roman" w:eastAsia="Times New Roman" w:cs="Times New Roman"/>
          <w:spacing w:val="4"/>
          <w:sz w:val="25"/>
          <w:szCs w:val="25"/>
        </w:rPr>
        <w:t>46%</w:t>
      </w:r>
      <w:r>
        <w:rPr>
          <w:rFonts w:ascii="仿宋" w:hAnsi="仿宋" w:eastAsia="仿宋" w:cs="仿宋"/>
          <w:spacing w:val="4"/>
          <w:sz w:val="25"/>
          <w:szCs w:val="25"/>
        </w:rPr>
        <w:t>，露</w:t>
      </w:r>
      <w:r>
        <w:rPr>
          <w:rFonts w:ascii="仿宋" w:hAnsi="仿宋" w:eastAsia="仿宋" w:cs="仿宋"/>
          <w:sz w:val="25"/>
          <w:szCs w:val="25"/>
        </w:rPr>
        <w:t xml:space="preserve"> </w:t>
      </w:r>
      <w:r>
        <w:rPr>
          <w:rFonts w:ascii="仿宋" w:hAnsi="仿宋" w:eastAsia="仿宋" w:cs="仿宋"/>
          <w:spacing w:val="8"/>
          <w:sz w:val="25"/>
          <w:szCs w:val="25"/>
        </w:rPr>
        <w:t>天开采区块占用黔江区耕地、林地面积均不变，</w:t>
      </w:r>
      <w:r>
        <w:rPr>
          <w:rFonts w:ascii="仿宋" w:hAnsi="仿宋" w:eastAsia="仿宋" w:cs="仿宋"/>
          <w:spacing w:val="-73"/>
          <w:sz w:val="25"/>
          <w:szCs w:val="25"/>
        </w:rPr>
        <w:t xml:space="preserve"> </w:t>
      </w:r>
      <w:r>
        <w:rPr>
          <w:rFonts w:ascii="仿宋" w:hAnsi="仿宋" w:eastAsia="仿宋" w:cs="仿宋"/>
          <w:spacing w:val="8"/>
          <w:sz w:val="25"/>
          <w:szCs w:val="25"/>
        </w:rPr>
        <w:t>因此也不会加重对地表植被的</w:t>
      </w:r>
      <w:r>
        <w:rPr>
          <w:rFonts w:ascii="仿宋" w:hAnsi="仿宋" w:eastAsia="仿宋" w:cs="仿宋"/>
          <w:sz w:val="25"/>
          <w:szCs w:val="25"/>
        </w:rPr>
        <w:t xml:space="preserve"> 影响。</w:t>
      </w:r>
    </w:p>
    <w:p w14:paraId="31E73F18">
      <w:pPr>
        <w:spacing w:before="10" w:line="339" w:lineRule="auto"/>
        <w:ind w:left="15" w:right="83" w:firstLine="488"/>
        <w:jc w:val="both"/>
        <w:rPr>
          <w:rFonts w:ascii="仿宋" w:hAnsi="仿宋" w:eastAsia="仿宋" w:cs="仿宋"/>
          <w:sz w:val="25"/>
          <w:szCs w:val="25"/>
        </w:rPr>
      </w:pPr>
      <w:r>
        <w:rPr>
          <w:rFonts w:ascii="仿宋" w:hAnsi="仿宋" w:eastAsia="仿宋" w:cs="仿宋"/>
          <w:spacing w:val="10"/>
          <w:sz w:val="25"/>
          <w:szCs w:val="25"/>
        </w:rPr>
        <w:t>露天开采对地表农作物和植被产生扰动和破坏，导致该区域地表植被全部</w:t>
      </w:r>
      <w:r>
        <w:rPr>
          <w:rFonts w:ascii="仿宋" w:hAnsi="仿宋" w:eastAsia="仿宋" w:cs="仿宋"/>
          <w:spacing w:val="18"/>
          <w:sz w:val="25"/>
          <w:szCs w:val="25"/>
        </w:rPr>
        <w:t xml:space="preserve"> </w:t>
      </w:r>
      <w:r>
        <w:rPr>
          <w:rFonts w:ascii="仿宋" w:hAnsi="仿宋" w:eastAsia="仿宋" w:cs="仿宋"/>
          <w:spacing w:val="10"/>
          <w:sz w:val="25"/>
          <w:szCs w:val="25"/>
        </w:rPr>
        <w:t>损失，使得采区植被覆盖率降低，植物生产能</w:t>
      </w:r>
      <w:r>
        <w:rPr>
          <w:rFonts w:ascii="仿宋" w:hAnsi="仿宋" w:eastAsia="仿宋" w:cs="仿宋"/>
          <w:spacing w:val="9"/>
          <w:sz w:val="25"/>
          <w:szCs w:val="25"/>
        </w:rPr>
        <w:t>力下降，生物多样性降低，对开</w:t>
      </w:r>
      <w:r>
        <w:rPr>
          <w:rFonts w:ascii="仿宋" w:hAnsi="仿宋" w:eastAsia="仿宋" w:cs="仿宋"/>
          <w:sz w:val="25"/>
          <w:szCs w:val="25"/>
        </w:rPr>
        <w:t xml:space="preserve"> </w:t>
      </w:r>
      <w:r>
        <w:rPr>
          <w:rFonts w:ascii="仿宋" w:hAnsi="仿宋" w:eastAsia="仿宋" w:cs="仿宋"/>
          <w:spacing w:val="10"/>
          <w:sz w:val="25"/>
          <w:szCs w:val="25"/>
        </w:rPr>
        <w:t>采区域的生物量有一定影响。从整体来看，规</w:t>
      </w:r>
      <w:r>
        <w:rPr>
          <w:rFonts w:ascii="仿宋" w:hAnsi="仿宋" w:eastAsia="仿宋" w:cs="仿宋"/>
          <w:spacing w:val="9"/>
          <w:sz w:val="25"/>
          <w:szCs w:val="25"/>
        </w:rPr>
        <w:t>划实施后，露天矿山开采造成的</w:t>
      </w:r>
      <w:r>
        <w:rPr>
          <w:rFonts w:ascii="仿宋" w:hAnsi="仿宋" w:eastAsia="仿宋" w:cs="仿宋"/>
          <w:sz w:val="25"/>
          <w:szCs w:val="25"/>
        </w:rPr>
        <w:t xml:space="preserve"> </w:t>
      </w:r>
      <w:r>
        <w:rPr>
          <w:rFonts w:ascii="仿宋" w:hAnsi="仿宋" w:eastAsia="仿宋" w:cs="仿宋"/>
          <w:spacing w:val="10"/>
          <w:sz w:val="25"/>
          <w:szCs w:val="25"/>
        </w:rPr>
        <w:t>植被损失相对有限，从调查情况来看，损失的</w:t>
      </w:r>
      <w:r>
        <w:rPr>
          <w:rFonts w:ascii="仿宋" w:hAnsi="仿宋" w:eastAsia="仿宋" w:cs="仿宋"/>
          <w:spacing w:val="9"/>
          <w:sz w:val="25"/>
          <w:szCs w:val="25"/>
        </w:rPr>
        <w:t>植被多为当地常见物种。在规划</w:t>
      </w:r>
      <w:r>
        <w:rPr>
          <w:rFonts w:ascii="仿宋" w:hAnsi="仿宋" w:eastAsia="仿宋" w:cs="仿宋"/>
          <w:sz w:val="25"/>
          <w:szCs w:val="25"/>
        </w:rPr>
        <w:t xml:space="preserve"> </w:t>
      </w:r>
      <w:r>
        <w:rPr>
          <w:rFonts w:ascii="仿宋" w:hAnsi="仿宋" w:eastAsia="仿宋" w:cs="仿宋"/>
          <w:spacing w:val="10"/>
          <w:sz w:val="25"/>
          <w:szCs w:val="25"/>
        </w:rPr>
        <w:t>实施过程中，将倡导绿色矿山建设，落实</w:t>
      </w:r>
      <w:r>
        <w:rPr>
          <w:rFonts w:ascii="Times New Roman" w:hAnsi="Times New Roman" w:eastAsia="Times New Roman" w:cs="Times New Roman"/>
          <w:spacing w:val="10"/>
          <w:sz w:val="25"/>
          <w:szCs w:val="25"/>
        </w:rPr>
        <w:t>“</w:t>
      </w:r>
      <w:r>
        <w:rPr>
          <w:rFonts w:ascii="仿宋" w:hAnsi="仿宋" w:eastAsia="仿宋" w:cs="仿宋"/>
          <w:spacing w:val="10"/>
          <w:sz w:val="25"/>
          <w:szCs w:val="25"/>
        </w:rPr>
        <w:t>边开采，边治理</w:t>
      </w:r>
      <w:r>
        <w:rPr>
          <w:rFonts w:ascii="Times New Roman" w:hAnsi="Times New Roman" w:eastAsia="Times New Roman" w:cs="Times New Roman"/>
          <w:spacing w:val="10"/>
          <w:sz w:val="25"/>
          <w:szCs w:val="25"/>
        </w:rPr>
        <w:t>”</w:t>
      </w:r>
      <w:r>
        <w:rPr>
          <w:rFonts w:ascii="仿宋" w:hAnsi="仿宋" w:eastAsia="仿宋" w:cs="仿宋"/>
          <w:spacing w:val="10"/>
          <w:sz w:val="25"/>
          <w:szCs w:val="25"/>
        </w:rPr>
        <w:t>的修复措施，对工</w:t>
      </w:r>
      <w:r>
        <w:rPr>
          <w:rFonts w:ascii="仿宋" w:hAnsi="仿宋" w:eastAsia="仿宋" w:cs="仿宋"/>
          <w:spacing w:val="4"/>
          <w:sz w:val="25"/>
          <w:szCs w:val="25"/>
        </w:rPr>
        <w:t xml:space="preserve"> </w:t>
      </w:r>
      <w:r>
        <w:rPr>
          <w:rFonts w:ascii="仿宋" w:hAnsi="仿宋" w:eastAsia="仿宋" w:cs="仿宋"/>
          <w:spacing w:val="10"/>
          <w:sz w:val="25"/>
          <w:szCs w:val="25"/>
        </w:rPr>
        <w:t>业广场、办公生活区空地及环境边坡进行景观</w:t>
      </w:r>
      <w:r>
        <w:rPr>
          <w:rFonts w:ascii="仿宋" w:hAnsi="仿宋" w:eastAsia="仿宋" w:cs="仿宋"/>
          <w:spacing w:val="9"/>
          <w:sz w:val="25"/>
          <w:szCs w:val="25"/>
        </w:rPr>
        <w:t>绿化，绿化主要利用当地树种，</w:t>
      </w:r>
      <w:r>
        <w:rPr>
          <w:rFonts w:ascii="仿宋" w:hAnsi="仿宋" w:eastAsia="仿宋" w:cs="仿宋"/>
          <w:sz w:val="25"/>
          <w:szCs w:val="25"/>
        </w:rPr>
        <w:t xml:space="preserve"> </w:t>
      </w:r>
      <w:r>
        <w:rPr>
          <w:rFonts w:ascii="仿宋" w:hAnsi="仿宋" w:eastAsia="仿宋" w:cs="仿宋"/>
          <w:spacing w:val="10"/>
          <w:sz w:val="25"/>
          <w:szCs w:val="25"/>
        </w:rPr>
        <w:t>以乔灌草结合为主，景观绿化对损失的植被有</w:t>
      </w:r>
      <w:r>
        <w:rPr>
          <w:rFonts w:ascii="仿宋" w:hAnsi="仿宋" w:eastAsia="仿宋" w:cs="仿宋"/>
          <w:spacing w:val="9"/>
          <w:sz w:val="25"/>
          <w:szCs w:val="25"/>
        </w:rPr>
        <w:t>一定补偿，对区域生态环境影响</w:t>
      </w:r>
      <w:r>
        <w:rPr>
          <w:rFonts w:ascii="仿宋" w:hAnsi="仿宋" w:eastAsia="仿宋" w:cs="仿宋"/>
          <w:sz w:val="25"/>
          <w:szCs w:val="25"/>
        </w:rPr>
        <w:t xml:space="preserve"> </w:t>
      </w:r>
      <w:r>
        <w:rPr>
          <w:rFonts w:ascii="仿宋" w:hAnsi="仿宋" w:eastAsia="仿宋" w:cs="仿宋"/>
          <w:spacing w:val="8"/>
          <w:sz w:val="25"/>
          <w:szCs w:val="25"/>
        </w:rPr>
        <w:t>具有一定缓解作用。</w:t>
      </w:r>
      <w:r>
        <w:rPr>
          <w:rFonts w:ascii="仿宋" w:hAnsi="仿宋" w:eastAsia="仿宋" w:cs="仿宋"/>
          <w:spacing w:val="-69"/>
          <w:sz w:val="25"/>
          <w:szCs w:val="25"/>
        </w:rPr>
        <w:t xml:space="preserve"> </w:t>
      </w:r>
      <w:r>
        <w:rPr>
          <w:rFonts w:ascii="仿宋" w:hAnsi="仿宋" w:eastAsia="仿宋" w:cs="仿宋"/>
          <w:spacing w:val="8"/>
          <w:sz w:val="25"/>
          <w:szCs w:val="25"/>
        </w:rPr>
        <w:t>同时，矿山闭矿后，工业广场内的生产生活等设施将</w:t>
      </w:r>
      <w:r>
        <w:rPr>
          <w:rFonts w:ascii="仿宋" w:hAnsi="仿宋" w:eastAsia="仿宋" w:cs="仿宋"/>
          <w:spacing w:val="7"/>
          <w:sz w:val="25"/>
          <w:szCs w:val="25"/>
        </w:rPr>
        <w:t>予以</w:t>
      </w:r>
      <w:r>
        <w:rPr>
          <w:rFonts w:ascii="仿宋" w:hAnsi="仿宋" w:eastAsia="仿宋" w:cs="仿宋"/>
          <w:sz w:val="25"/>
          <w:szCs w:val="25"/>
        </w:rPr>
        <w:t xml:space="preserve"> </w:t>
      </w:r>
      <w:r>
        <w:rPr>
          <w:rFonts w:ascii="仿宋" w:hAnsi="仿宋" w:eastAsia="仿宋" w:cs="仿宋"/>
          <w:spacing w:val="10"/>
          <w:sz w:val="25"/>
          <w:szCs w:val="25"/>
        </w:rPr>
        <w:t>拆除，这些区域将进行植被恢复，采区也将进</w:t>
      </w:r>
      <w:r>
        <w:rPr>
          <w:rFonts w:ascii="仿宋" w:hAnsi="仿宋" w:eastAsia="仿宋" w:cs="仿宋"/>
          <w:spacing w:val="9"/>
          <w:sz w:val="25"/>
          <w:szCs w:val="25"/>
        </w:rPr>
        <w:t>行绿化复垦作业，损失的地表植</w:t>
      </w:r>
      <w:r>
        <w:rPr>
          <w:rFonts w:ascii="仿宋" w:hAnsi="仿宋" w:eastAsia="仿宋" w:cs="仿宋"/>
          <w:sz w:val="25"/>
          <w:szCs w:val="25"/>
        </w:rPr>
        <w:t xml:space="preserve"> </w:t>
      </w:r>
      <w:r>
        <w:rPr>
          <w:rFonts w:ascii="仿宋" w:hAnsi="仿宋" w:eastAsia="仿宋" w:cs="仿宋"/>
          <w:spacing w:val="10"/>
          <w:sz w:val="25"/>
          <w:szCs w:val="25"/>
        </w:rPr>
        <w:t>被生物总量会得到一定的补偿。通过采取以上</w:t>
      </w:r>
      <w:r>
        <w:rPr>
          <w:rFonts w:ascii="仿宋" w:hAnsi="仿宋" w:eastAsia="仿宋" w:cs="仿宋"/>
          <w:spacing w:val="9"/>
          <w:sz w:val="25"/>
          <w:szCs w:val="25"/>
        </w:rPr>
        <w:t>这些措施后，露天矿山开采对区</w:t>
      </w:r>
      <w:r>
        <w:rPr>
          <w:rFonts w:ascii="仿宋" w:hAnsi="仿宋" w:eastAsia="仿宋" w:cs="仿宋"/>
          <w:sz w:val="25"/>
          <w:szCs w:val="25"/>
        </w:rPr>
        <w:t xml:space="preserve"> </w:t>
      </w:r>
      <w:r>
        <w:rPr>
          <w:rFonts w:ascii="仿宋" w:hAnsi="仿宋" w:eastAsia="仿宋" w:cs="仿宋"/>
          <w:spacing w:val="7"/>
          <w:sz w:val="25"/>
          <w:szCs w:val="25"/>
        </w:rPr>
        <w:t>域植被影响总体可控。</w:t>
      </w:r>
    </w:p>
    <w:p w14:paraId="1E80FCA8">
      <w:pPr>
        <w:spacing w:line="339" w:lineRule="auto"/>
        <w:rPr>
          <w:rFonts w:ascii="仿宋" w:hAnsi="仿宋" w:eastAsia="仿宋" w:cs="仿宋"/>
          <w:sz w:val="25"/>
          <w:szCs w:val="25"/>
        </w:rPr>
        <w:sectPr>
          <w:headerReference r:id="rId182" w:type="default"/>
          <w:footerReference r:id="rId183" w:type="default"/>
          <w:pgSz w:w="11906" w:h="16839"/>
          <w:pgMar w:top="1116" w:right="1392" w:bottom="866" w:left="1587" w:header="683" w:footer="703" w:gutter="0"/>
          <w:cols w:space="720" w:num="1"/>
        </w:sectPr>
      </w:pPr>
    </w:p>
    <w:p w14:paraId="0486D319">
      <w:pPr>
        <w:pStyle w:val="2"/>
        <w:spacing w:line="391" w:lineRule="auto"/>
      </w:pPr>
    </w:p>
    <w:p w14:paraId="5017C57B">
      <w:pPr>
        <w:spacing w:before="81" w:line="339" w:lineRule="auto"/>
        <w:ind w:left="63" w:firstLine="480"/>
        <w:jc w:val="both"/>
        <w:rPr>
          <w:rFonts w:ascii="仿宋" w:hAnsi="仿宋" w:eastAsia="仿宋" w:cs="仿宋"/>
          <w:sz w:val="25"/>
          <w:szCs w:val="25"/>
        </w:rPr>
      </w:pPr>
      <w:r>
        <w:rPr>
          <w:rFonts w:ascii="仿宋" w:hAnsi="仿宋" w:eastAsia="仿宋" w:cs="仿宋"/>
          <w:spacing w:val="11"/>
          <w:sz w:val="25"/>
          <w:szCs w:val="25"/>
        </w:rPr>
        <w:t>矿山地表剥离直接导致以矿区地表植被或表土作为栖息地</w:t>
      </w:r>
      <w:r>
        <w:rPr>
          <w:rFonts w:ascii="仿宋" w:hAnsi="仿宋" w:eastAsia="仿宋" w:cs="仿宋"/>
          <w:spacing w:val="10"/>
          <w:sz w:val="25"/>
          <w:szCs w:val="25"/>
        </w:rPr>
        <w:t>或觅食场所的野</w:t>
      </w:r>
      <w:r>
        <w:rPr>
          <w:rFonts w:ascii="仿宋" w:hAnsi="仿宋" w:eastAsia="仿宋" w:cs="仿宋"/>
          <w:sz w:val="25"/>
          <w:szCs w:val="25"/>
        </w:rPr>
        <w:t xml:space="preserve"> </w:t>
      </w:r>
      <w:r>
        <w:rPr>
          <w:rFonts w:ascii="仿宋" w:hAnsi="仿宋" w:eastAsia="仿宋" w:cs="仿宋"/>
          <w:spacing w:val="10"/>
          <w:sz w:val="25"/>
          <w:szCs w:val="25"/>
        </w:rPr>
        <w:t>生动物生存环境的丧失；矿体开采损毁洞居、</w:t>
      </w:r>
      <w:r>
        <w:rPr>
          <w:rFonts w:ascii="仿宋" w:hAnsi="仿宋" w:eastAsia="仿宋" w:cs="仿宋"/>
          <w:spacing w:val="9"/>
          <w:sz w:val="25"/>
          <w:szCs w:val="25"/>
        </w:rPr>
        <w:t>穴居的野生动物生活环境；开采</w:t>
      </w:r>
      <w:r>
        <w:rPr>
          <w:rFonts w:ascii="仿宋" w:hAnsi="仿宋" w:eastAsia="仿宋" w:cs="仿宋"/>
          <w:sz w:val="25"/>
          <w:szCs w:val="25"/>
        </w:rPr>
        <w:t xml:space="preserve"> </w:t>
      </w:r>
      <w:r>
        <w:rPr>
          <w:rFonts w:ascii="仿宋" w:hAnsi="仿宋" w:eastAsia="仿宋" w:cs="仿宋"/>
          <w:spacing w:val="8"/>
          <w:sz w:val="25"/>
          <w:szCs w:val="25"/>
        </w:rPr>
        <w:t>产生的噪声必然使周边一定范围内的野生动物受到惊扰，</w:t>
      </w:r>
      <w:r>
        <w:rPr>
          <w:rFonts w:ascii="仿宋" w:hAnsi="仿宋" w:eastAsia="仿宋" w:cs="仿宋"/>
          <w:spacing w:val="-71"/>
          <w:sz w:val="25"/>
          <w:szCs w:val="25"/>
        </w:rPr>
        <w:t xml:space="preserve"> </w:t>
      </w:r>
      <w:r>
        <w:rPr>
          <w:rFonts w:ascii="仿宋" w:hAnsi="仿宋" w:eastAsia="仿宋" w:cs="仿宋"/>
          <w:spacing w:val="8"/>
          <w:sz w:val="25"/>
          <w:szCs w:val="25"/>
        </w:rPr>
        <w:t>当受到惊扰时会迁移</w:t>
      </w:r>
      <w:r>
        <w:rPr>
          <w:rFonts w:ascii="仿宋" w:hAnsi="仿宋" w:eastAsia="仿宋" w:cs="仿宋"/>
          <w:sz w:val="25"/>
          <w:szCs w:val="25"/>
        </w:rPr>
        <w:t xml:space="preserve"> </w:t>
      </w:r>
      <w:r>
        <w:rPr>
          <w:rFonts w:ascii="仿宋" w:hAnsi="仿宋" w:eastAsia="仿宋" w:cs="仿宋"/>
          <w:spacing w:val="10"/>
          <w:sz w:val="25"/>
          <w:szCs w:val="25"/>
        </w:rPr>
        <w:t>至周边其它地方生活，开采区域周边类似生境</w:t>
      </w:r>
      <w:r>
        <w:rPr>
          <w:rFonts w:ascii="仿宋" w:hAnsi="仿宋" w:eastAsia="仿宋" w:cs="仿宋"/>
          <w:spacing w:val="9"/>
          <w:sz w:val="25"/>
          <w:szCs w:val="25"/>
        </w:rPr>
        <w:t>分布较广，且分布连续，野生动</w:t>
      </w:r>
      <w:r>
        <w:rPr>
          <w:rFonts w:ascii="仿宋" w:hAnsi="仿宋" w:eastAsia="仿宋" w:cs="仿宋"/>
          <w:sz w:val="25"/>
          <w:szCs w:val="25"/>
        </w:rPr>
        <w:t xml:space="preserve"> </w:t>
      </w:r>
      <w:r>
        <w:rPr>
          <w:rFonts w:ascii="仿宋" w:hAnsi="仿宋" w:eastAsia="仿宋" w:cs="仿宋"/>
          <w:spacing w:val="10"/>
          <w:sz w:val="25"/>
          <w:szCs w:val="25"/>
        </w:rPr>
        <w:t>物通过近距离迁徙即可找到生存之地，其种群</w:t>
      </w:r>
      <w:r>
        <w:rPr>
          <w:rFonts w:ascii="仿宋" w:hAnsi="仿宋" w:eastAsia="仿宋" w:cs="仿宋"/>
          <w:spacing w:val="9"/>
          <w:sz w:val="25"/>
          <w:szCs w:val="25"/>
        </w:rPr>
        <w:t>和数量不会出现明显的消亡或减</w:t>
      </w:r>
      <w:r>
        <w:rPr>
          <w:rFonts w:ascii="仿宋" w:hAnsi="仿宋" w:eastAsia="仿宋" w:cs="仿宋"/>
          <w:sz w:val="25"/>
          <w:szCs w:val="25"/>
        </w:rPr>
        <w:t xml:space="preserve"> </w:t>
      </w:r>
      <w:r>
        <w:rPr>
          <w:rFonts w:ascii="仿宋" w:hAnsi="仿宋" w:eastAsia="仿宋" w:cs="仿宋"/>
          <w:spacing w:val="5"/>
          <w:sz w:val="25"/>
          <w:szCs w:val="25"/>
        </w:rPr>
        <w:t>少。矿山开采结束后，所有生产迹地区域都将</w:t>
      </w:r>
      <w:r>
        <w:rPr>
          <w:rFonts w:ascii="仿宋" w:hAnsi="仿宋" w:eastAsia="仿宋" w:cs="仿宋"/>
          <w:spacing w:val="4"/>
          <w:sz w:val="25"/>
          <w:szCs w:val="25"/>
        </w:rPr>
        <w:t>进行植被恢复，野生动物的隐蔽、</w:t>
      </w:r>
      <w:r>
        <w:rPr>
          <w:rFonts w:ascii="仿宋" w:hAnsi="仿宋" w:eastAsia="仿宋" w:cs="仿宋"/>
          <w:sz w:val="25"/>
          <w:szCs w:val="25"/>
        </w:rPr>
        <w:t xml:space="preserve"> </w:t>
      </w:r>
      <w:r>
        <w:rPr>
          <w:rFonts w:ascii="仿宋" w:hAnsi="仿宋" w:eastAsia="仿宋" w:cs="仿宋"/>
          <w:spacing w:val="8"/>
          <w:sz w:val="25"/>
          <w:szCs w:val="25"/>
        </w:rPr>
        <w:t>觅食、繁殖等活动范围可得到一定程度的恢复和改善。</w:t>
      </w:r>
      <w:r>
        <w:rPr>
          <w:rFonts w:ascii="仿宋" w:hAnsi="仿宋" w:eastAsia="仿宋" w:cs="仿宋"/>
          <w:spacing w:val="-71"/>
          <w:sz w:val="25"/>
          <w:szCs w:val="25"/>
        </w:rPr>
        <w:t xml:space="preserve"> </w:t>
      </w:r>
      <w:r>
        <w:rPr>
          <w:rFonts w:ascii="仿宋" w:hAnsi="仿宋" w:eastAsia="仿宋" w:cs="仿宋"/>
          <w:spacing w:val="8"/>
          <w:sz w:val="25"/>
          <w:szCs w:val="25"/>
        </w:rPr>
        <w:t>因此，矿山开采对野生</w:t>
      </w:r>
      <w:r>
        <w:rPr>
          <w:rFonts w:ascii="仿宋" w:hAnsi="仿宋" w:eastAsia="仿宋" w:cs="仿宋"/>
          <w:sz w:val="25"/>
          <w:szCs w:val="25"/>
        </w:rPr>
        <w:t xml:space="preserve"> </w:t>
      </w:r>
      <w:r>
        <w:rPr>
          <w:rFonts w:ascii="仿宋" w:hAnsi="仿宋" w:eastAsia="仿宋" w:cs="仿宋"/>
          <w:spacing w:val="10"/>
          <w:sz w:val="25"/>
          <w:szCs w:val="25"/>
        </w:rPr>
        <w:t>动物的影响是暂时的，不会导致野生动物物种</w:t>
      </w:r>
      <w:r>
        <w:rPr>
          <w:rFonts w:ascii="仿宋" w:hAnsi="仿宋" w:eastAsia="仿宋" w:cs="仿宋"/>
          <w:spacing w:val="9"/>
          <w:sz w:val="25"/>
          <w:szCs w:val="25"/>
        </w:rPr>
        <w:t>的消失，矿山开采活动结束后不</w:t>
      </w:r>
      <w:r>
        <w:rPr>
          <w:rFonts w:ascii="仿宋" w:hAnsi="仿宋" w:eastAsia="仿宋" w:cs="仿宋"/>
          <w:sz w:val="25"/>
          <w:szCs w:val="25"/>
        </w:rPr>
        <w:t xml:space="preserve"> </w:t>
      </w:r>
      <w:r>
        <w:rPr>
          <w:rFonts w:ascii="仿宋" w:hAnsi="仿宋" w:eastAsia="仿宋" w:cs="仿宋"/>
          <w:spacing w:val="8"/>
          <w:sz w:val="25"/>
          <w:szCs w:val="25"/>
        </w:rPr>
        <w:t>利影响可得到一定程度的恢复。</w:t>
      </w:r>
    </w:p>
    <w:p w14:paraId="186918F0">
      <w:pPr>
        <w:spacing w:before="6" w:line="339" w:lineRule="auto"/>
        <w:ind w:left="63" w:right="12" w:firstLine="489"/>
        <w:jc w:val="both"/>
        <w:rPr>
          <w:rFonts w:ascii="仿宋" w:hAnsi="仿宋" w:eastAsia="仿宋" w:cs="仿宋"/>
          <w:sz w:val="25"/>
          <w:szCs w:val="25"/>
        </w:rPr>
      </w:pPr>
      <w:r>
        <w:rPr>
          <w:rFonts w:ascii="仿宋" w:hAnsi="仿宋" w:eastAsia="仿宋" w:cs="仿宋"/>
          <w:spacing w:val="10"/>
          <w:sz w:val="25"/>
          <w:szCs w:val="25"/>
        </w:rPr>
        <w:t>重庆市重点保护动物乌梢蛇、黑眉锦蛇主要分布于林地、灌丛等区域，露</w:t>
      </w:r>
      <w:r>
        <w:rPr>
          <w:rFonts w:ascii="仿宋" w:hAnsi="仿宋" w:eastAsia="仿宋" w:cs="仿宋"/>
          <w:spacing w:val="17"/>
          <w:sz w:val="25"/>
          <w:szCs w:val="25"/>
        </w:rPr>
        <w:t xml:space="preserve"> </w:t>
      </w:r>
      <w:r>
        <w:rPr>
          <w:rFonts w:ascii="仿宋" w:hAnsi="仿宋" w:eastAsia="仿宋" w:cs="仿宋"/>
          <w:spacing w:val="10"/>
          <w:sz w:val="25"/>
          <w:szCs w:val="25"/>
        </w:rPr>
        <w:t>天矿山开采过程中可能会对他们的生境造成破</w:t>
      </w:r>
      <w:r>
        <w:rPr>
          <w:rFonts w:ascii="仿宋" w:hAnsi="仿宋" w:eastAsia="仿宋" w:cs="仿宋"/>
          <w:spacing w:val="9"/>
          <w:sz w:val="25"/>
          <w:szCs w:val="25"/>
        </w:rPr>
        <w:t>坏，运输车辆也可能对他们造成</w:t>
      </w:r>
      <w:r>
        <w:rPr>
          <w:rFonts w:ascii="仿宋" w:hAnsi="仿宋" w:eastAsia="仿宋" w:cs="仿宋"/>
          <w:sz w:val="25"/>
          <w:szCs w:val="25"/>
        </w:rPr>
        <w:t xml:space="preserve"> </w:t>
      </w:r>
      <w:r>
        <w:rPr>
          <w:rFonts w:ascii="仿宋" w:hAnsi="仿宋" w:eastAsia="仿宋" w:cs="仿宋"/>
          <w:spacing w:val="10"/>
          <w:sz w:val="25"/>
          <w:szCs w:val="25"/>
        </w:rPr>
        <w:t>碾压。但乌梢蛇和黑眉锦蛇活动能力较强，可</w:t>
      </w:r>
      <w:r>
        <w:rPr>
          <w:rFonts w:ascii="仿宋" w:hAnsi="仿宋" w:eastAsia="仿宋" w:cs="仿宋"/>
          <w:spacing w:val="9"/>
          <w:sz w:val="25"/>
          <w:szCs w:val="25"/>
        </w:rPr>
        <w:t>以很快远离受影响的区域，通过</w:t>
      </w:r>
      <w:r>
        <w:rPr>
          <w:rFonts w:ascii="仿宋" w:hAnsi="仿宋" w:eastAsia="仿宋" w:cs="仿宋"/>
          <w:sz w:val="25"/>
          <w:szCs w:val="25"/>
        </w:rPr>
        <w:t xml:space="preserve"> </w:t>
      </w:r>
      <w:r>
        <w:rPr>
          <w:rFonts w:ascii="仿宋" w:hAnsi="仿宋" w:eastAsia="仿宋" w:cs="仿宋"/>
          <w:spacing w:val="4"/>
          <w:sz w:val="25"/>
          <w:szCs w:val="25"/>
        </w:rPr>
        <w:t>近距离迁徙即可找到生存之地。同时通过加强对矿山员工的动物保护意识培养，</w:t>
      </w:r>
      <w:r>
        <w:rPr>
          <w:rFonts w:ascii="仿宋" w:hAnsi="仿宋" w:eastAsia="仿宋" w:cs="仿宋"/>
          <w:spacing w:val="7"/>
          <w:sz w:val="25"/>
          <w:szCs w:val="25"/>
        </w:rPr>
        <w:t xml:space="preserve"> </w:t>
      </w:r>
      <w:r>
        <w:rPr>
          <w:rFonts w:ascii="仿宋" w:hAnsi="仿宋" w:eastAsia="仿宋" w:cs="仿宋"/>
          <w:spacing w:val="8"/>
          <w:sz w:val="25"/>
          <w:szCs w:val="25"/>
        </w:rPr>
        <w:t>可以很大程度减小对它们的影响。</w:t>
      </w:r>
    </w:p>
    <w:p w14:paraId="1B66ABF2">
      <w:pPr>
        <w:spacing w:line="228" w:lineRule="auto"/>
        <w:ind w:left="548"/>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2</w:t>
      </w:r>
      <w:r>
        <w:rPr>
          <w:rFonts w:ascii="仿宋" w:hAnsi="仿宋" w:eastAsia="仿宋" w:cs="仿宋"/>
          <w:spacing w:val="7"/>
          <w:sz w:val="25"/>
          <w:szCs w:val="25"/>
        </w:rPr>
        <w:t>）对地形地貌的影响分析</w:t>
      </w:r>
    </w:p>
    <w:p w14:paraId="4BFB909F">
      <w:pPr>
        <w:spacing w:before="148" w:line="340" w:lineRule="auto"/>
        <w:ind w:firstLine="546"/>
        <w:rPr>
          <w:rFonts w:ascii="仿宋" w:hAnsi="仿宋" w:eastAsia="仿宋" w:cs="仿宋"/>
          <w:sz w:val="25"/>
          <w:szCs w:val="25"/>
        </w:rPr>
      </w:pPr>
      <w:r>
        <w:rPr>
          <w:rFonts w:ascii="仿宋" w:hAnsi="仿宋" w:eastAsia="仿宋" w:cs="仿宋"/>
          <w:spacing w:val="11"/>
          <w:sz w:val="25"/>
          <w:szCs w:val="25"/>
        </w:rPr>
        <w:t>采矿活动将不同程度地改变矿区的地形地貌，破坏矿</w:t>
      </w:r>
      <w:r>
        <w:rPr>
          <w:rFonts w:ascii="仿宋" w:hAnsi="仿宋" w:eastAsia="仿宋" w:cs="仿宋"/>
          <w:spacing w:val="10"/>
          <w:sz w:val="25"/>
          <w:szCs w:val="25"/>
        </w:rPr>
        <w:t>区的地表景观。露天</w:t>
      </w:r>
      <w:r>
        <w:rPr>
          <w:rFonts w:ascii="仿宋" w:hAnsi="仿宋" w:eastAsia="仿宋" w:cs="仿宋"/>
          <w:sz w:val="25"/>
          <w:szCs w:val="25"/>
        </w:rPr>
        <w:t xml:space="preserve"> </w:t>
      </w:r>
      <w:r>
        <w:rPr>
          <w:rFonts w:ascii="仿宋" w:hAnsi="仿宋" w:eastAsia="仿宋" w:cs="仿宋"/>
          <w:spacing w:val="11"/>
          <w:sz w:val="25"/>
          <w:szCs w:val="25"/>
        </w:rPr>
        <w:t>采场会变成人工洼地，排土场和废石等堆场会变成人造台地，局部地区可能出</w:t>
      </w:r>
      <w:r>
        <w:rPr>
          <w:rFonts w:ascii="仿宋" w:hAnsi="仿宋" w:eastAsia="仿宋" w:cs="仿宋"/>
          <w:spacing w:val="15"/>
          <w:sz w:val="25"/>
          <w:szCs w:val="25"/>
        </w:rPr>
        <w:t xml:space="preserve"> </w:t>
      </w:r>
      <w:r>
        <w:rPr>
          <w:rFonts w:ascii="仿宋" w:hAnsi="仿宋" w:eastAsia="仿宋" w:cs="仿宋"/>
          <w:sz w:val="25"/>
          <w:szCs w:val="25"/>
        </w:rPr>
        <w:t>现滑坡、危岩崩塌、土壤、岩石裸露等现象。但是，通过开展</w:t>
      </w:r>
      <w:r>
        <w:rPr>
          <w:rFonts w:ascii="Times New Roman" w:hAnsi="Times New Roman" w:eastAsia="Times New Roman" w:cs="Times New Roman"/>
          <w:sz w:val="25"/>
          <w:szCs w:val="25"/>
        </w:rPr>
        <w:t>“</w:t>
      </w:r>
      <w:r>
        <w:rPr>
          <w:rFonts w:ascii="仿宋" w:hAnsi="仿宋" w:eastAsia="仿宋" w:cs="仿宋"/>
          <w:sz w:val="25"/>
          <w:szCs w:val="25"/>
        </w:rPr>
        <w:t>边开采，边修复</w:t>
      </w:r>
      <w:r>
        <w:rPr>
          <w:rFonts w:ascii="Times New Roman" w:hAnsi="Times New Roman" w:eastAsia="Times New Roman" w:cs="Times New Roman"/>
          <w:sz w:val="25"/>
          <w:szCs w:val="25"/>
        </w:rPr>
        <w:t>”</w:t>
      </w:r>
      <w:r>
        <w:rPr>
          <w:rFonts w:ascii="仿宋" w:hAnsi="仿宋" w:eastAsia="仿宋" w:cs="仿宋"/>
          <w:sz w:val="25"/>
          <w:szCs w:val="25"/>
        </w:rPr>
        <w:t>、</w:t>
      </w:r>
      <w:r>
        <w:rPr>
          <w:rFonts w:ascii="仿宋" w:hAnsi="仿宋" w:eastAsia="仿宋" w:cs="仿宋"/>
          <w:spacing w:val="1"/>
          <w:sz w:val="25"/>
          <w:szCs w:val="25"/>
        </w:rPr>
        <w:t xml:space="preserve"> </w:t>
      </w:r>
      <w:r>
        <w:rPr>
          <w:rFonts w:ascii="Times New Roman" w:hAnsi="Times New Roman" w:eastAsia="Times New Roman" w:cs="Times New Roman"/>
          <w:spacing w:val="12"/>
          <w:sz w:val="25"/>
          <w:szCs w:val="25"/>
        </w:rPr>
        <w:t>“</w:t>
      </w:r>
      <w:r>
        <w:rPr>
          <w:rFonts w:ascii="仿宋" w:hAnsi="仿宋" w:eastAsia="仿宋" w:cs="仿宋"/>
          <w:spacing w:val="12"/>
          <w:sz w:val="25"/>
          <w:szCs w:val="25"/>
        </w:rPr>
        <w:t>历史遗留及关闭矿山土地整治（复垦）</w:t>
      </w:r>
      <w:r>
        <w:rPr>
          <w:rFonts w:ascii="Times New Roman" w:hAnsi="Times New Roman" w:eastAsia="Times New Roman" w:cs="Times New Roman"/>
          <w:spacing w:val="12"/>
          <w:sz w:val="25"/>
          <w:szCs w:val="25"/>
        </w:rPr>
        <w:t>”</w:t>
      </w:r>
      <w:r>
        <w:rPr>
          <w:rFonts w:ascii="仿宋" w:hAnsi="仿宋" w:eastAsia="仿宋" w:cs="仿宋"/>
          <w:spacing w:val="12"/>
          <w:sz w:val="25"/>
          <w:szCs w:val="25"/>
        </w:rPr>
        <w:t>等一系列生态修复工作，露天</w:t>
      </w:r>
      <w:r>
        <w:rPr>
          <w:rFonts w:ascii="仿宋" w:hAnsi="仿宋" w:eastAsia="仿宋" w:cs="仿宋"/>
          <w:spacing w:val="11"/>
          <w:sz w:val="25"/>
          <w:szCs w:val="25"/>
        </w:rPr>
        <w:t>开采矿</w:t>
      </w:r>
      <w:r>
        <w:rPr>
          <w:rFonts w:ascii="仿宋" w:hAnsi="仿宋" w:eastAsia="仿宋" w:cs="仿宋"/>
          <w:sz w:val="25"/>
          <w:szCs w:val="25"/>
        </w:rPr>
        <w:t xml:space="preserve"> </w:t>
      </w:r>
      <w:r>
        <w:rPr>
          <w:rFonts w:ascii="仿宋" w:hAnsi="仿宋" w:eastAsia="仿宋" w:cs="仿宋"/>
          <w:spacing w:val="11"/>
          <w:sz w:val="25"/>
          <w:szCs w:val="25"/>
        </w:rPr>
        <w:t>山破坏的裸露地形地貌将得到很大程度的改善，露天矿山开采对地形地貌的影</w:t>
      </w:r>
      <w:r>
        <w:rPr>
          <w:rFonts w:ascii="仿宋" w:hAnsi="仿宋" w:eastAsia="仿宋" w:cs="仿宋"/>
          <w:spacing w:val="15"/>
          <w:sz w:val="25"/>
          <w:szCs w:val="25"/>
        </w:rPr>
        <w:t xml:space="preserve"> 响是可控的。</w:t>
      </w:r>
    </w:p>
    <w:p w14:paraId="1A08C243">
      <w:pPr>
        <w:spacing w:before="1" w:line="228" w:lineRule="auto"/>
        <w:ind w:left="550"/>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3</w:t>
      </w:r>
      <w:r>
        <w:rPr>
          <w:rFonts w:ascii="仿宋" w:hAnsi="仿宋" w:eastAsia="仿宋" w:cs="仿宋"/>
          <w:spacing w:val="7"/>
          <w:sz w:val="25"/>
          <w:szCs w:val="25"/>
        </w:rPr>
        <w:t>）对水土流失的影响分析</w:t>
      </w:r>
    </w:p>
    <w:p w14:paraId="3EE48D97">
      <w:pPr>
        <w:spacing w:before="151" w:line="339" w:lineRule="auto"/>
        <w:ind w:left="64" w:right="83" w:firstLine="480"/>
        <w:rPr>
          <w:rFonts w:ascii="仿宋" w:hAnsi="仿宋" w:eastAsia="仿宋" w:cs="仿宋"/>
          <w:sz w:val="25"/>
          <w:szCs w:val="25"/>
        </w:rPr>
      </w:pPr>
      <w:r>
        <w:rPr>
          <w:rFonts w:ascii="仿宋" w:hAnsi="仿宋" w:eastAsia="仿宋" w:cs="仿宋"/>
          <w:spacing w:val="11"/>
          <w:sz w:val="25"/>
          <w:szCs w:val="25"/>
        </w:rPr>
        <w:t>矿产资源开发对水土流失的影响主要表现在两方面，一是</w:t>
      </w:r>
      <w:r>
        <w:rPr>
          <w:rFonts w:ascii="仿宋" w:hAnsi="仿宋" w:eastAsia="仿宋" w:cs="仿宋"/>
          <w:spacing w:val="10"/>
          <w:sz w:val="25"/>
          <w:szCs w:val="25"/>
        </w:rPr>
        <w:t>采矿及其相关活</w:t>
      </w:r>
      <w:r>
        <w:rPr>
          <w:rFonts w:ascii="仿宋" w:hAnsi="仿宋" w:eastAsia="仿宋" w:cs="仿宋"/>
          <w:sz w:val="25"/>
          <w:szCs w:val="25"/>
        </w:rPr>
        <w:t xml:space="preserve"> </w:t>
      </w:r>
      <w:r>
        <w:rPr>
          <w:rFonts w:ascii="仿宋" w:hAnsi="仿宋" w:eastAsia="仿宋" w:cs="仿宋"/>
          <w:spacing w:val="10"/>
          <w:sz w:val="25"/>
          <w:szCs w:val="25"/>
        </w:rPr>
        <w:t>动产生的固体废弃物随地堆置，成为生产泥</w:t>
      </w:r>
      <w:r>
        <w:rPr>
          <w:rFonts w:ascii="仿宋" w:hAnsi="仿宋" w:eastAsia="仿宋" w:cs="仿宋"/>
          <w:spacing w:val="9"/>
          <w:sz w:val="25"/>
          <w:szCs w:val="25"/>
        </w:rPr>
        <w:t>土或泥石流的新物源。二是山体边</w:t>
      </w:r>
      <w:r>
        <w:rPr>
          <w:rFonts w:ascii="仿宋" w:hAnsi="仿宋" w:eastAsia="仿宋" w:cs="仿宋"/>
          <w:sz w:val="25"/>
          <w:szCs w:val="25"/>
        </w:rPr>
        <w:t xml:space="preserve"> </w:t>
      </w:r>
      <w:r>
        <w:rPr>
          <w:rFonts w:ascii="仿宋" w:hAnsi="仿宋" w:eastAsia="仿宋" w:cs="仿宋"/>
          <w:spacing w:val="10"/>
          <w:sz w:val="25"/>
          <w:szCs w:val="25"/>
        </w:rPr>
        <w:t>坡开挖、表土剥离及植被破坏，破坏了地表</w:t>
      </w:r>
      <w:r>
        <w:rPr>
          <w:rFonts w:ascii="仿宋" w:hAnsi="仿宋" w:eastAsia="仿宋" w:cs="仿宋"/>
          <w:spacing w:val="9"/>
          <w:sz w:val="25"/>
          <w:szCs w:val="25"/>
        </w:rPr>
        <w:t>土的原始结构，使其抗侵蚀能力降</w:t>
      </w:r>
      <w:r>
        <w:rPr>
          <w:rFonts w:ascii="仿宋" w:hAnsi="仿宋" w:eastAsia="仿宋" w:cs="仿宋"/>
          <w:sz w:val="25"/>
          <w:szCs w:val="25"/>
        </w:rPr>
        <w:t xml:space="preserve"> </w:t>
      </w:r>
      <w:r>
        <w:rPr>
          <w:rFonts w:ascii="仿宋" w:hAnsi="仿宋" w:eastAsia="仿宋" w:cs="仿宋"/>
          <w:spacing w:val="10"/>
          <w:sz w:val="25"/>
          <w:szCs w:val="25"/>
        </w:rPr>
        <w:t>低，从而导致水土流失加剧。水土流失的控</w:t>
      </w:r>
      <w:r>
        <w:rPr>
          <w:rFonts w:ascii="仿宋" w:hAnsi="仿宋" w:eastAsia="仿宋" w:cs="仿宋"/>
          <w:spacing w:val="9"/>
          <w:sz w:val="25"/>
          <w:szCs w:val="25"/>
        </w:rPr>
        <w:t>制重点是固体废物堆放场、表土剥</w:t>
      </w:r>
      <w:r>
        <w:rPr>
          <w:rFonts w:ascii="仿宋" w:hAnsi="仿宋" w:eastAsia="仿宋" w:cs="仿宋"/>
          <w:sz w:val="25"/>
          <w:szCs w:val="25"/>
        </w:rPr>
        <w:t xml:space="preserve"> </w:t>
      </w:r>
      <w:r>
        <w:rPr>
          <w:rFonts w:ascii="仿宋" w:hAnsi="仿宋" w:eastAsia="仿宋" w:cs="仿宋"/>
          <w:spacing w:val="6"/>
          <w:sz w:val="25"/>
          <w:szCs w:val="25"/>
        </w:rPr>
        <w:t>离堆存和露天矿山。</w:t>
      </w:r>
    </w:p>
    <w:p w14:paraId="16AF2DBC">
      <w:pPr>
        <w:spacing w:before="4" w:line="336" w:lineRule="auto"/>
        <w:ind w:left="72" w:right="83" w:firstLine="507"/>
        <w:rPr>
          <w:rFonts w:ascii="仿宋" w:hAnsi="仿宋" w:eastAsia="仿宋" w:cs="仿宋"/>
          <w:sz w:val="25"/>
          <w:szCs w:val="25"/>
        </w:rPr>
      </w:pPr>
      <w:r>
        <w:rPr>
          <w:rFonts w:ascii="仿宋" w:hAnsi="仿宋" w:eastAsia="仿宋" w:cs="仿宋"/>
          <w:spacing w:val="5"/>
          <w:sz w:val="25"/>
          <w:szCs w:val="25"/>
        </w:rPr>
        <w:t>由附图</w:t>
      </w:r>
      <w:r>
        <w:rPr>
          <w:rFonts w:ascii="仿宋" w:hAnsi="仿宋" w:eastAsia="仿宋" w:cs="仿宋"/>
          <w:spacing w:val="-41"/>
          <w:sz w:val="25"/>
          <w:szCs w:val="25"/>
        </w:rPr>
        <w:t xml:space="preserve"> </w:t>
      </w:r>
      <w:r>
        <w:rPr>
          <w:rFonts w:ascii="Times New Roman" w:hAnsi="Times New Roman" w:eastAsia="Times New Roman" w:cs="Times New Roman"/>
          <w:spacing w:val="5"/>
          <w:sz w:val="25"/>
          <w:szCs w:val="25"/>
        </w:rPr>
        <w:t>3-9</w:t>
      </w:r>
      <w:r>
        <w:rPr>
          <w:rFonts w:ascii="Times New Roman" w:hAnsi="Times New Roman" w:eastAsia="Times New Roman" w:cs="Times New Roman"/>
          <w:spacing w:val="23"/>
          <w:w w:val="101"/>
          <w:sz w:val="25"/>
          <w:szCs w:val="25"/>
        </w:rPr>
        <w:t xml:space="preserve"> </w:t>
      </w:r>
      <w:r>
        <w:rPr>
          <w:rFonts w:ascii="仿宋" w:hAnsi="仿宋" w:eastAsia="仿宋" w:cs="仿宋"/>
          <w:spacing w:val="5"/>
          <w:sz w:val="25"/>
          <w:szCs w:val="25"/>
        </w:rPr>
        <w:t>可知，本次补充评价区块</w:t>
      </w:r>
      <w:r>
        <w:rPr>
          <w:rFonts w:ascii="仿宋" w:hAnsi="仿宋" w:eastAsia="仿宋" w:cs="仿宋"/>
          <w:spacing w:val="-49"/>
          <w:sz w:val="25"/>
          <w:szCs w:val="25"/>
        </w:rPr>
        <w:t xml:space="preserve"> </w:t>
      </w:r>
      <w:r>
        <w:rPr>
          <w:rFonts w:ascii="Times New Roman" w:hAnsi="Times New Roman" w:eastAsia="Times New Roman" w:cs="Times New Roman"/>
          <w:sz w:val="25"/>
          <w:szCs w:val="25"/>
        </w:rPr>
        <w:t>CQ</w:t>
      </w:r>
      <w:r>
        <w:rPr>
          <w:rFonts w:ascii="Times New Roman" w:hAnsi="Times New Roman" w:eastAsia="Times New Roman" w:cs="Times New Roman"/>
          <w:spacing w:val="5"/>
          <w:sz w:val="25"/>
          <w:szCs w:val="25"/>
        </w:rPr>
        <w:t>029</w:t>
      </w:r>
      <w:r>
        <w:rPr>
          <w:rFonts w:ascii="Times New Roman" w:hAnsi="Times New Roman" w:eastAsia="Times New Roman" w:cs="Times New Roman"/>
          <w:spacing w:val="30"/>
          <w:sz w:val="25"/>
          <w:szCs w:val="25"/>
        </w:rPr>
        <w:t xml:space="preserve"> </w:t>
      </w:r>
      <w:r>
        <w:rPr>
          <w:rFonts w:ascii="仿宋" w:hAnsi="仿宋" w:eastAsia="仿宋" w:cs="仿宋"/>
          <w:spacing w:val="5"/>
          <w:sz w:val="25"/>
          <w:szCs w:val="25"/>
        </w:rPr>
        <w:t>与水土流失重点治理区重叠，</w:t>
      </w:r>
      <w:r>
        <w:rPr>
          <w:rFonts w:ascii="仿宋" w:hAnsi="仿宋" w:eastAsia="仿宋" w:cs="仿宋"/>
          <w:sz w:val="25"/>
          <w:szCs w:val="25"/>
        </w:rPr>
        <w:t xml:space="preserve"> </w:t>
      </w:r>
      <w:r>
        <w:rPr>
          <w:rFonts w:ascii="仿宋" w:hAnsi="仿宋" w:eastAsia="仿宋" w:cs="仿宋"/>
          <w:spacing w:val="9"/>
          <w:sz w:val="25"/>
          <w:szCs w:val="25"/>
        </w:rPr>
        <w:t>重点治理区是水土流失较严重、具有重要的土壤保持、蓄水保水等水土保持主</w:t>
      </w:r>
    </w:p>
    <w:p w14:paraId="3F91EF22">
      <w:pPr>
        <w:spacing w:line="336" w:lineRule="auto"/>
        <w:rPr>
          <w:rFonts w:ascii="仿宋" w:hAnsi="仿宋" w:eastAsia="仿宋" w:cs="仿宋"/>
          <w:sz w:val="25"/>
          <w:szCs w:val="25"/>
        </w:rPr>
        <w:sectPr>
          <w:headerReference r:id="rId184" w:type="default"/>
          <w:footerReference r:id="rId185" w:type="default"/>
          <w:pgSz w:w="11906" w:h="16839"/>
          <w:pgMar w:top="1116" w:right="1392" w:bottom="866" w:left="1539" w:header="683" w:footer="703" w:gutter="0"/>
          <w:cols w:space="720" w:num="1"/>
        </w:sectPr>
      </w:pPr>
    </w:p>
    <w:p w14:paraId="2FA27B68">
      <w:pPr>
        <w:pStyle w:val="2"/>
        <w:spacing w:line="384" w:lineRule="auto"/>
      </w:pPr>
    </w:p>
    <w:p w14:paraId="42904161">
      <w:pPr>
        <w:spacing w:before="82" w:line="337" w:lineRule="auto"/>
        <w:ind w:left="155" w:right="119" w:hanging="15"/>
        <w:rPr>
          <w:rFonts w:ascii="仿宋" w:hAnsi="仿宋" w:eastAsia="仿宋" w:cs="仿宋"/>
          <w:sz w:val="25"/>
          <w:szCs w:val="25"/>
        </w:rPr>
      </w:pPr>
      <w:r>
        <w:rPr>
          <w:rFonts w:ascii="仿宋" w:hAnsi="仿宋" w:eastAsia="仿宋" w:cs="仿宋"/>
          <w:spacing w:val="8"/>
          <w:sz w:val="25"/>
          <w:szCs w:val="25"/>
        </w:rPr>
        <w:t>导基础功能的区域，</w:t>
      </w:r>
      <w:r>
        <w:rPr>
          <w:rFonts w:ascii="Times New Roman" w:hAnsi="Times New Roman" w:eastAsia="Times New Roman" w:cs="Times New Roman"/>
          <w:sz w:val="25"/>
          <w:szCs w:val="25"/>
        </w:rPr>
        <w:t>CQ</w:t>
      </w:r>
      <w:r>
        <w:rPr>
          <w:rFonts w:ascii="Times New Roman" w:hAnsi="Times New Roman" w:eastAsia="Times New Roman" w:cs="Times New Roman"/>
          <w:spacing w:val="8"/>
          <w:sz w:val="25"/>
          <w:szCs w:val="25"/>
        </w:rPr>
        <w:t>029</w:t>
      </w:r>
      <w:r>
        <w:rPr>
          <w:rFonts w:ascii="Times New Roman" w:hAnsi="Times New Roman" w:eastAsia="Times New Roman" w:cs="Times New Roman"/>
          <w:spacing w:val="29"/>
          <w:w w:val="101"/>
          <w:sz w:val="25"/>
          <w:szCs w:val="25"/>
        </w:rPr>
        <w:t xml:space="preserve"> </w:t>
      </w:r>
      <w:r>
        <w:rPr>
          <w:rFonts w:ascii="仿宋" w:hAnsi="仿宋" w:eastAsia="仿宋" w:cs="仿宋"/>
          <w:spacing w:val="8"/>
          <w:sz w:val="25"/>
          <w:szCs w:val="25"/>
        </w:rPr>
        <w:t>需结合水土流失重点</w:t>
      </w:r>
      <w:r>
        <w:rPr>
          <w:rFonts w:ascii="仿宋" w:hAnsi="仿宋" w:eastAsia="仿宋" w:cs="仿宋"/>
          <w:spacing w:val="7"/>
          <w:sz w:val="25"/>
          <w:szCs w:val="25"/>
        </w:rPr>
        <w:t>治理区主要工作做好水土流失</w:t>
      </w:r>
      <w:r>
        <w:rPr>
          <w:rFonts w:ascii="仿宋" w:hAnsi="仿宋" w:eastAsia="仿宋" w:cs="仿宋"/>
          <w:sz w:val="25"/>
          <w:szCs w:val="25"/>
        </w:rPr>
        <w:t xml:space="preserve"> </w:t>
      </w:r>
      <w:r>
        <w:rPr>
          <w:rFonts w:ascii="仿宋" w:hAnsi="仿宋" w:eastAsia="仿宋" w:cs="仿宋"/>
          <w:spacing w:val="-6"/>
          <w:sz w:val="25"/>
          <w:szCs w:val="25"/>
        </w:rPr>
        <w:t>防治。</w:t>
      </w:r>
    </w:p>
    <w:p w14:paraId="3FBCDB8C">
      <w:pPr>
        <w:spacing w:before="6" w:line="340" w:lineRule="auto"/>
        <w:ind w:left="138" w:right="119" w:firstLine="683"/>
        <w:jc w:val="both"/>
        <w:rPr>
          <w:rFonts w:ascii="仿宋" w:hAnsi="仿宋" w:eastAsia="仿宋" w:cs="仿宋"/>
          <w:sz w:val="25"/>
          <w:szCs w:val="25"/>
        </w:rPr>
      </w:pPr>
      <w:r>
        <w:rPr>
          <w:rFonts w:ascii="仿宋" w:hAnsi="仿宋" w:eastAsia="仿宋" w:cs="仿宋"/>
          <w:spacing w:val="4"/>
          <w:sz w:val="25"/>
          <w:szCs w:val="25"/>
        </w:rPr>
        <w:t>由附图</w:t>
      </w:r>
      <w:r>
        <w:rPr>
          <w:rFonts w:ascii="仿宋" w:hAnsi="仿宋" w:eastAsia="仿宋" w:cs="仿宋"/>
          <w:spacing w:val="-35"/>
          <w:sz w:val="25"/>
          <w:szCs w:val="25"/>
        </w:rPr>
        <w:t xml:space="preserve"> </w:t>
      </w:r>
      <w:r>
        <w:rPr>
          <w:rFonts w:ascii="Times New Roman" w:hAnsi="Times New Roman" w:eastAsia="Times New Roman" w:cs="Times New Roman"/>
          <w:spacing w:val="4"/>
          <w:sz w:val="25"/>
          <w:szCs w:val="25"/>
        </w:rPr>
        <w:t>3-8</w:t>
      </w:r>
      <w:r>
        <w:rPr>
          <w:rFonts w:ascii="Times New Roman" w:hAnsi="Times New Roman" w:eastAsia="Times New Roman" w:cs="Times New Roman"/>
          <w:spacing w:val="24"/>
          <w:sz w:val="25"/>
          <w:szCs w:val="25"/>
        </w:rPr>
        <w:t xml:space="preserve"> </w:t>
      </w:r>
      <w:r>
        <w:rPr>
          <w:rFonts w:ascii="仿宋" w:hAnsi="仿宋" w:eastAsia="仿宋" w:cs="仿宋"/>
          <w:spacing w:val="4"/>
          <w:sz w:val="25"/>
          <w:szCs w:val="25"/>
        </w:rPr>
        <w:t>可知，根据开采区块与黔江区水土流失现状图统计可知，规划</w:t>
      </w:r>
      <w:r>
        <w:rPr>
          <w:rFonts w:ascii="仿宋" w:hAnsi="仿宋" w:eastAsia="仿宋" w:cs="仿宋"/>
          <w:sz w:val="25"/>
          <w:szCs w:val="25"/>
        </w:rPr>
        <w:t xml:space="preserve"> </w:t>
      </w:r>
      <w:r>
        <w:rPr>
          <w:rFonts w:ascii="仿宋" w:hAnsi="仿宋" w:eastAsia="仿宋" w:cs="仿宋"/>
          <w:spacing w:val="3"/>
          <w:sz w:val="25"/>
          <w:szCs w:val="25"/>
        </w:rPr>
        <w:t>调整后，</w:t>
      </w:r>
      <w:r>
        <w:rPr>
          <w:rFonts w:ascii="Times New Roman" w:hAnsi="Times New Roman" w:eastAsia="Times New Roman" w:cs="Times New Roman"/>
          <w:spacing w:val="3"/>
          <w:sz w:val="25"/>
          <w:szCs w:val="25"/>
        </w:rPr>
        <w:t>20</w:t>
      </w:r>
      <w:r>
        <w:rPr>
          <w:rFonts w:ascii="Times New Roman" w:hAnsi="Times New Roman" w:eastAsia="Times New Roman" w:cs="Times New Roman"/>
          <w:spacing w:val="40"/>
          <w:sz w:val="25"/>
          <w:szCs w:val="25"/>
        </w:rPr>
        <w:t xml:space="preserve"> </w:t>
      </w:r>
      <w:r>
        <w:rPr>
          <w:rFonts w:ascii="仿宋" w:hAnsi="仿宋" w:eastAsia="仿宋" w:cs="仿宋"/>
          <w:spacing w:val="3"/>
          <w:sz w:val="25"/>
          <w:szCs w:val="25"/>
        </w:rPr>
        <w:t>个露天开采区块面积为</w:t>
      </w:r>
      <w:r>
        <w:rPr>
          <w:rFonts w:ascii="仿宋" w:hAnsi="仿宋" w:eastAsia="仿宋" w:cs="仿宋"/>
          <w:spacing w:val="-45"/>
          <w:sz w:val="25"/>
          <w:szCs w:val="25"/>
        </w:rPr>
        <w:t xml:space="preserve"> </w:t>
      </w:r>
      <w:r>
        <w:rPr>
          <w:rFonts w:ascii="Times New Roman" w:hAnsi="Times New Roman" w:eastAsia="Times New Roman" w:cs="Times New Roman"/>
          <w:spacing w:val="3"/>
          <w:sz w:val="25"/>
          <w:szCs w:val="25"/>
        </w:rPr>
        <w:t>5.884</w:t>
      </w:r>
      <w:r>
        <w:rPr>
          <w:rFonts w:ascii="Times New Roman" w:hAnsi="Times New Roman" w:eastAsia="Times New Roman" w:cs="Times New Roman"/>
          <w:sz w:val="25"/>
          <w:szCs w:val="25"/>
        </w:rPr>
        <w:t>km</w:t>
      </w:r>
      <w:r>
        <w:rPr>
          <w:rFonts w:ascii="Times New Roman" w:hAnsi="Times New Roman" w:eastAsia="Times New Roman" w:cs="Times New Roman"/>
          <w:spacing w:val="3"/>
          <w:position w:val="8"/>
          <w:sz w:val="16"/>
          <w:szCs w:val="16"/>
        </w:rPr>
        <w:t xml:space="preserve">2 </w:t>
      </w:r>
      <w:r>
        <w:rPr>
          <w:rFonts w:ascii="仿宋" w:hAnsi="仿宋" w:eastAsia="仿宋" w:cs="仿宋"/>
          <w:spacing w:val="3"/>
          <w:sz w:val="25"/>
          <w:szCs w:val="25"/>
        </w:rPr>
        <w:t>，水土流失面积为</w:t>
      </w:r>
      <w:r>
        <w:rPr>
          <w:rFonts w:ascii="仿宋" w:hAnsi="仿宋" w:eastAsia="仿宋" w:cs="仿宋"/>
          <w:spacing w:val="-52"/>
          <w:sz w:val="25"/>
          <w:szCs w:val="25"/>
        </w:rPr>
        <w:t xml:space="preserve"> </w:t>
      </w:r>
      <w:r>
        <w:rPr>
          <w:rFonts w:ascii="Times New Roman" w:hAnsi="Times New Roman" w:eastAsia="Times New Roman" w:cs="Times New Roman"/>
          <w:spacing w:val="3"/>
          <w:sz w:val="25"/>
          <w:szCs w:val="25"/>
        </w:rPr>
        <w:t>2.5401</w:t>
      </w:r>
      <w:r>
        <w:rPr>
          <w:rFonts w:ascii="Times New Roman" w:hAnsi="Times New Roman" w:eastAsia="Times New Roman" w:cs="Times New Roman"/>
          <w:sz w:val="25"/>
          <w:szCs w:val="25"/>
        </w:rPr>
        <w:t>km</w:t>
      </w:r>
      <w:r>
        <w:rPr>
          <w:rFonts w:ascii="Times New Roman" w:hAnsi="Times New Roman" w:eastAsia="Times New Roman" w:cs="Times New Roman"/>
          <w:spacing w:val="3"/>
          <w:position w:val="8"/>
          <w:sz w:val="16"/>
          <w:szCs w:val="16"/>
        </w:rPr>
        <w:t xml:space="preserve">2 </w:t>
      </w:r>
      <w:r>
        <w:rPr>
          <w:rFonts w:ascii="仿宋" w:hAnsi="仿宋" w:eastAsia="仿宋" w:cs="仿宋"/>
          <w:spacing w:val="3"/>
          <w:sz w:val="25"/>
          <w:szCs w:val="25"/>
        </w:rPr>
        <w:t>，</w:t>
      </w:r>
      <w:r>
        <w:rPr>
          <w:rFonts w:ascii="仿宋" w:hAnsi="仿宋" w:eastAsia="仿宋" w:cs="仿宋"/>
          <w:spacing w:val="-57"/>
          <w:sz w:val="25"/>
          <w:szCs w:val="25"/>
        </w:rPr>
        <w:t xml:space="preserve"> </w:t>
      </w:r>
      <w:r>
        <w:rPr>
          <w:rFonts w:ascii="仿宋" w:hAnsi="仿宋" w:eastAsia="仿宋" w:cs="仿宋"/>
          <w:spacing w:val="3"/>
          <w:sz w:val="25"/>
          <w:szCs w:val="25"/>
        </w:rPr>
        <w:t>占</w:t>
      </w:r>
      <w:r>
        <w:rPr>
          <w:rFonts w:ascii="仿宋" w:hAnsi="仿宋" w:eastAsia="仿宋" w:cs="仿宋"/>
          <w:sz w:val="25"/>
          <w:szCs w:val="25"/>
        </w:rPr>
        <w:t xml:space="preserve"> </w:t>
      </w:r>
      <w:r>
        <w:rPr>
          <w:rFonts w:ascii="仿宋" w:hAnsi="仿宋" w:eastAsia="仿宋" w:cs="仿宋"/>
          <w:spacing w:val="6"/>
          <w:sz w:val="25"/>
          <w:szCs w:val="25"/>
        </w:rPr>
        <w:t>黔江区水土流失面积的比例为</w:t>
      </w:r>
      <w:r>
        <w:rPr>
          <w:rFonts w:ascii="仿宋" w:hAnsi="仿宋" w:eastAsia="仿宋" w:cs="仿宋"/>
          <w:spacing w:val="-38"/>
          <w:sz w:val="25"/>
          <w:szCs w:val="25"/>
        </w:rPr>
        <w:t xml:space="preserve"> </w:t>
      </w:r>
      <w:r>
        <w:rPr>
          <w:rFonts w:ascii="Times New Roman" w:hAnsi="Times New Roman" w:eastAsia="Times New Roman" w:cs="Times New Roman"/>
          <w:spacing w:val="6"/>
          <w:sz w:val="25"/>
          <w:szCs w:val="25"/>
        </w:rPr>
        <w:t>0.33%</w:t>
      </w:r>
      <w:r>
        <w:rPr>
          <w:rFonts w:ascii="仿宋" w:hAnsi="仿宋" w:eastAsia="仿宋" w:cs="仿宋"/>
          <w:spacing w:val="6"/>
          <w:sz w:val="25"/>
          <w:szCs w:val="25"/>
        </w:rPr>
        <w:t>。</w:t>
      </w:r>
    </w:p>
    <w:p w14:paraId="0BB5004F">
      <w:pPr>
        <w:spacing w:before="6" w:line="339" w:lineRule="auto"/>
        <w:ind w:left="139" w:right="119" w:firstLine="519"/>
        <w:jc w:val="both"/>
        <w:rPr>
          <w:rFonts w:ascii="仿宋" w:hAnsi="仿宋" w:eastAsia="仿宋" w:cs="仿宋"/>
          <w:sz w:val="25"/>
          <w:szCs w:val="25"/>
        </w:rPr>
      </w:pPr>
      <w:r>
        <w:rPr>
          <w:rFonts w:ascii="仿宋" w:hAnsi="仿宋" w:eastAsia="仿宋" w:cs="仿宋"/>
          <w:spacing w:val="9"/>
          <w:sz w:val="25"/>
          <w:szCs w:val="25"/>
        </w:rPr>
        <w:t>矿山开采过程中应重视水土保持，特别对于涉及强度、极强度及剧烈土壤</w:t>
      </w:r>
      <w:r>
        <w:rPr>
          <w:rFonts w:ascii="仿宋" w:hAnsi="仿宋" w:eastAsia="仿宋" w:cs="仿宋"/>
          <w:spacing w:val="16"/>
          <w:sz w:val="25"/>
          <w:szCs w:val="25"/>
        </w:rPr>
        <w:t xml:space="preserve"> </w:t>
      </w:r>
      <w:r>
        <w:rPr>
          <w:rFonts w:ascii="仿宋" w:hAnsi="仿宋" w:eastAsia="仿宋" w:cs="仿宋"/>
          <w:spacing w:val="9"/>
          <w:sz w:val="25"/>
          <w:szCs w:val="25"/>
        </w:rPr>
        <w:t>侵蚀区域矿区尤其应重视保护地表植被，矿山剥离表土必须单独堆存，并采取</w:t>
      </w:r>
      <w:r>
        <w:rPr>
          <w:rFonts w:ascii="仿宋" w:hAnsi="仿宋" w:eastAsia="仿宋" w:cs="仿宋"/>
          <w:spacing w:val="18"/>
          <w:sz w:val="25"/>
          <w:szCs w:val="25"/>
        </w:rPr>
        <w:t xml:space="preserve"> </w:t>
      </w:r>
      <w:r>
        <w:rPr>
          <w:rFonts w:ascii="仿宋" w:hAnsi="仿宋" w:eastAsia="仿宋" w:cs="仿宋"/>
          <w:spacing w:val="8"/>
          <w:sz w:val="25"/>
          <w:szCs w:val="25"/>
        </w:rPr>
        <w:t>必要水土保持措施，</w:t>
      </w:r>
      <w:r>
        <w:rPr>
          <w:rFonts w:ascii="仿宋" w:hAnsi="仿宋" w:eastAsia="仿宋" w:cs="仿宋"/>
          <w:spacing w:val="-73"/>
          <w:sz w:val="25"/>
          <w:szCs w:val="25"/>
        </w:rPr>
        <w:t xml:space="preserve"> </w:t>
      </w:r>
      <w:r>
        <w:rPr>
          <w:rFonts w:ascii="仿宋" w:hAnsi="仿宋" w:eastAsia="仿宋" w:cs="仿宋"/>
          <w:spacing w:val="8"/>
          <w:sz w:val="25"/>
          <w:szCs w:val="25"/>
        </w:rPr>
        <w:t>以便用于后期矿山土地复垦；露采矿山在开采过程中应采</w:t>
      </w:r>
      <w:r>
        <w:rPr>
          <w:rFonts w:ascii="仿宋" w:hAnsi="仿宋" w:eastAsia="仿宋" w:cs="仿宋"/>
          <w:sz w:val="25"/>
          <w:szCs w:val="25"/>
        </w:rPr>
        <w:t xml:space="preserve"> </w:t>
      </w:r>
      <w:r>
        <w:rPr>
          <w:rFonts w:ascii="仿宋" w:hAnsi="仿宋" w:eastAsia="仿宋" w:cs="仿宋"/>
          <w:spacing w:val="9"/>
          <w:sz w:val="25"/>
          <w:szCs w:val="25"/>
        </w:rPr>
        <w:t>取边开采边复垦的方式。对取土场、开挖面、采空地、弃渣场等须采取必要的</w:t>
      </w:r>
      <w:r>
        <w:rPr>
          <w:rFonts w:ascii="仿宋" w:hAnsi="仿宋" w:eastAsia="仿宋" w:cs="仿宋"/>
          <w:spacing w:val="18"/>
          <w:sz w:val="25"/>
          <w:szCs w:val="25"/>
        </w:rPr>
        <w:t xml:space="preserve"> </w:t>
      </w:r>
      <w:r>
        <w:rPr>
          <w:rFonts w:ascii="仿宋" w:hAnsi="仿宋" w:eastAsia="仿宋" w:cs="仿宋"/>
          <w:spacing w:val="9"/>
          <w:sz w:val="25"/>
          <w:szCs w:val="25"/>
        </w:rPr>
        <w:t>工程防护措施、植被恢复措施。评价要求，规划应严格实施矿业转型升级，提</w:t>
      </w:r>
      <w:r>
        <w:rPr>
          <w:rFonts w:ascii="仿宋" w:hAnsi="仿宋" w:eastAsia="仿宋" w:cs="仿宋"/>
          <w:spacing w:val="18"/>
          <w:sz w:val="25"/>
          <w:szCs w:val="25"/>
        </w:rPr>
        <w:t xml:space="preserve"> </w:t>
      </w:r>
      <w:r>
        <w:rPr>
          <w:rFonts w:ascii="仿宋" w:hAnsi="仿宋" w:eastAsia="仿宋" w:cs="仿宋"/>
          <w:spacing w:val="9"/>
          <w:sz w:val="25"/>
          <w:szCs w:val="25"/>
        </w:rPr>
        <w:t>高大中型矿山比例，按照相关规定和要求加快推进绿色矿山建设，落实恢复治</w:t>
      </w:r>
      <w:r>
        <w:rPr>
          <w:rFonts w:ascii="仿宋" w:hAnsi="仿宋" w:eastAsia="仿宋" w:cs="仿宋"/>
          <w:spacing w:val="18"/>
          <w:sz w:val="25"/>
          <w:szCs w:val="25"/>
        </w:rPr>
        <w:t xml:space="preserve"> </w:t>
      </w:r>
      <w:r>
        <w:rPr>
          <w:rFonts w:ascii="仿宋" w:hAnsi="仿宋" w:eastAsia="仿宋" w:cs="仿宋"/>
          <w:spacing w:val="9"/>
          <w:sz w:val="25"/>
          <w:szCs w:val="25"/>
        </w:rPr>
        <w:t>理新建和在建矿山地质环境及土地复垦工作，采取积极有效水土保持措施，可</w:t>
      </w:r>
      <w:r>
        <w:rPr>
          <w:rFonts w:ascii="仿宋" w:hAnsi="仿宋" w:eastAsia="仿宋" w:cs="仿宋"/>
          <w:spacing w:val="18"/>
          <w:sz w:val="25"/>
          <w:szCs w:val="25"/>
        </w:rPr>
        <w:t xml:space="preserve"> </w:t>
      </w:r>
      <w:r>
        <w:rPr>
          <w:rFonts w:ascii="仿宋" w:hAnsi="仿宋" w:eastAsia="仿宋" w:cs="仿宋"/>
          <w:spacing w:val="8"/>
          <w:sz w:val="25"/>
          <w:szCs w:val="25"/>
        </w:rPr>
        <w:t>将采矿活动带来的水土流失影响降至最低。</w:t>
      </w:r>
    </w:p>
    <w:p w14:paraId="4F1C19EC">
      <w:pPr>
        <w:spacing w:before="44" w:line="232" w:lineRule="auto"/>
        <w:ind w:left="2366"/>
        <w:rPr>
          <w:rFonts w:ascii="仿宋" w:hAnsi="仿宋" w:eastAsia="仿宋" w:cs="仿宋"/>
          <w:sz w:val="20"/>
          <w:szCs w:val="20"/>
        </w:rPr>
      </w:pPr>
      <w:r>
        <w:rPr>
          <w:rFonts w:ascii="仿宋" w:hAnsi="仿宋" w:eastAsia="仿宋" w:cs="仿宋"/>
          <w:b/>
          <w:bCs/>
          <w:spacing w:val="5"/>
          <w:sz w:val="20"/>
          <w:szCs w:val="20"/>
        </w:rPr>
        <w:t>表</w:t>
      </w:r>
      <w:r>
        <w:rPr>
          <w:rFonts w:ascii="仿宋" w:hAnsi="仿宋" w:eastAsia="仿宋" w:cs="仿宋"/>
          <w:spacing w:val="-24"/>
          <w:sz w:val="20"/>
          <w:szCs w:val="20"/>
        </w:rPr>
        <w:t xml:space="preserve"> </w:t>
      </w:r>
      <w:r>
        <w:rPr>
          <w:rFonts w:ascii="Times New Roman" w:hAnsi="Times New Roman" w:eastAsia="Times New Roman" w:cs="Times New Roman"/>
          <w:b/>
          <w:bCs/>
          <w:spacing w:val="5"/>
          <w:sz w:val="20"/>
          <w:szCs w:val="20"/>
        </w:rPr>
        <w:t xml:space="preserve">5.2-1      </w:t>
      </w:r>
      <w:r>
        <w:rPr>
          <w:rFonts w:ascii="仿宋" w:hAnsi="仿宋" w:eastAsia="仿宋" w:cs="仿宋"/>
          <w:b/>
          <w:bCs/>
          <w:spacing w:val="5"/>
          <w:sz w:val="20"/>
          <w:szCs w:val="20"/>
        </w:rPr>
        <w:t>调整后露天矿山水土流失现状一览表</w:t>
      </w:r>
    </w:p>
    <w:p w14:paraId="53B43483">
      <w:pPr>
        <w:spacing w:line="19" w:lineRule="exact"/>
      </w:pPr>
    </w:p>
    <w:tbl>
      <w:tblPr>
        <w:tblStyle w:val="5"/>
        <w:tblW w:w="905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0"/>
        <w:gridCol w:w="2414"/>
        <w:gridCol w:w="1972"/>
        <w:gridCol w:w="1994"/>
        <w:gridCol w:w="2009"/>
      </w:tblGrid>
      <w:tr w14:paraId="72E456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9" w:hRule="atLeast"/>
        </w:trPr>
        <w:tc>
          <w:tcPr>
            <w:tcW w:w="3084" w:type="dxa"/>
            <w:gridSpan w:val="2"/>
            <w:tcBorders>
              <w:top w:val="single" w:color="000000" w:sz="10" w:space="0"/>
              <w:left w:val="single" w:color="000000" w:sz="10" w:space="0"/>
            </w:tcBorders>
            <w:vAlign w:val="top"/>
          </w:tcPr>
          <w:p w14:paraId="5CC5E882">
            <w:pPr>
              <w:spacing w:line="249" w:lineRule="auto"/>
              <w:rPr>
                <w:rFonts w:ascii="Arial"/>
                <w:sz w:val="21"/>
              </w:rPr>
            </w:pPr>
          </w:p>
          <w:p w14:paraId="71AB8D30">
            <w:pPr>
              <w:pStyle w:val="6"/>
              <w:spacing w:before="62" w:line="232" w:lineRule="auto"/>
              <w:ind w:left="942"/>
              <w:rPr>
                <w:sz w:val="19"/>
                <w:szCs w:val="19"/>
              </w:rPr>
            </w:pPr>
            <w:r>
              <w:rPr>
                <w:spacing w:val="7"/>
                <w:sz w:val="19"/>
                <w:szCs w:val="19"/>
              </w:rPr>
              <w:t>土地侵蚀程度</w:t>
            </w:r>
          </w:p>
        </w:tc>
        <w:tc>
          <w:tcPr>
            <w:tcW w:w="1972" w:type="dxa"/>
            <w:tcBorders>
              <w:top w:val="single" w:color="000000" w:sz="10" w:space="0"/>
            </w:tcBorders>
            <w:vAlign w:val="top"/>
          </w:tcPr>
          <w:p w14:paraId="7AB974B2">
            <w:pPr>
              <w:pStyle w:val="6"/>
              <w:spacing w:before="185" w:line="232" w:lineRule="auto"/>
              <w:ind w:left="199"/>
              <w:rPr>
                <w:sz w:val="19"/>
                <w:szCs w:val="19"/>
              </w:rPr>
            </w:pPr>
            <w:r>
              <w:rPr>
                <w:spacing w:val="7"/>
                <w:sz w:val="19"/>
                <w:szCs w:val="19"/>
              </w:rPr>
              <w:t>露天矿山占地面积</w:t>
            </w:r>
          </w:p>
          <w:p w14:paraId="394C6796">
            <w:pPr>
              <w:pStyle w:val="6"/>
              <w:spacing w:before="20" w:line="252" w:lineRule="exact"/>
              <w:ind w:left="640"/>
              <w:rPr>
                <w:sz w:val="19"/>
                <w:szCs w:val="19"/>
              </w:rPr>
            </w:pPr>
            <w:r>
              <w:rPr>
                <w:spacing w:val="2"/>
                <w:position w:val="1"/>
                <w:sz w:val="19"/>
                <w:szCs w:val="19"/>
              </w:rPr>
              <w:t>（</w:t>
            </w:r>
            <w:r>
              <w:rPr>
                <w:rFonts w:ascii="Times New Roman" w:hAnsi="Times New Roman" w:eastAsia="Times New Roman" w:cs="Times New Roman"/>
                <w:position w:val="1"/>
                <w:sz w:val="19"/>
                <w:szCs w:val="19"/>
              </w:rPr>
              <w:t>km</w:t>
            </w:r>
            <w:r>
              <w:rPr>
                <w:rFonts w:ascii="Times New Roman" w:hAnsi="Times New Roman" w:eastAsia="Times New Roman" w:cs="Times New Roman"/>
                <w:spacing w:val="2"/>
                <w:position w:val="7"/>
                <w:sz w:val="12"/>
                <w:szCs w:val="12"/>
              </w:rPr>
              <w:t>2</w:t>
            </w:r>
            <w:r>
              <w:rPr>
                <w:spacing w:val="2"/>
                <w:position w:val="1"/>
                <w:sz w:val="19"/>
                <w:szCs w:val="19"/>
              </w:rPr>
              <w:t>）</w:t>
            </w:r>
          </w:p>
        </w:tc>
        <w:tc>
          <w:tcPr>
            <w:tcW w:w="1994" w:type="dxa"/>
            <w:tcBorders>
              <w:top w:val="single" w:color="000000" w:sz="10" w:space="0"/>
            </w:tcBorders>
            <w:vAlign w:val="top"/>
          </w:tcPr>
          <w:p w14:paraId="6CBAF0A1">
            <w:pPr>
              <w:pStyle w:val="6"/>
              <w:spacing w:before="172" w:line="251" w:lineRule="auto"/>
              <w:ind w:left="122" w:right="46" w:firstLine="87"/>
              <w:rPr>
                <w:sz w:val="20"/>
                <w:szCs w:val="20"/>
              </w:rPr>
            </w:pPr>
            <w:r>
              <w:rPr>
                <w:spacing w:val="3"/>
                <w:sz w:val="20"/>
                <w:szCs w:val="20"/>
              </w:rPr>
              <w:t>占黔江区该类土地</w:t>
            </w:r>
            <w:r>
              <w:rPr>
                <w:spacing w:val="1"/>
                <w:sz w:val="20"/>
                <w:szCs w:val="20"/>
              </w:rPr>
              <w:t xml:space="preserve">  </w:t>
            </w:r>
            <w:r>
              <w:rPr>
                <w:spacing w:val="5"/>
                <w:sz w:val="20"/>
                <w:szCs w:val="20"/>
              </w:rPr>
              <w:t>侵蚀面积比例（</w:t>
            </w:r>
            <w:r>
              <w:rPr>
                <w:rFonts w:ascii="Times New Roman" w:hAnsi="Times New Roman" w:eastAsia="Times New Roman" w:cs="Times New Roman"/>
                <w:spacing w:val="5"/>
                <w:sz w:val="20"/>
                <w:szCs w:val="20"/>
              </w:rPr>
              <w:t>%</w:t>
            </w:r>
            <w:r>
              <w:rPr>
                <w:spacing w:val="5"/>
                <w:sz w:val="20"/>
                <w:szCs w:val="20"/>
              </w:rPr>
              <w:t>）</w:t>
            </w:r>
          </w:p>
        </w:tc>
        <w:tc>
          <w:tcPr>
            <w:tcW w:w="2009" w:type="dxa"/>
            <w:tcBorders>
              <w:top w:val="single" w:color="000000" w:sz="10" w:space="0"/>
              <w:right w:val="single" w:color="000000" w:sz="10" w:space="0"/>
            </w:tcBorders>
            <w:vAlign w:val="top"/>
          </w:tcPr>
          <w:p w14:paraId="459D5985">
            <w:pPr>
              <w:pStyle w:val="6"/>
              <w:spacing w:before="35" w:line="232" w:lineRule="auto"/>
              <w:ind w:left="178"/>
              <w:rPr>
                <w:sz w:val="20"/>
                <w:szCs w:val="20"/>
              </w:rPr>
            </w:pPr>
            <w:r>
              <w:rPr>
                <w:spacing w:val="8"/>
                <w:sz w:val="20"/>
                <w:szCs w:val="20"/>
              </w:rPr>
              <w:t>水土流失面积占黔</w:t>
            </w:r>
          </w:p>
          <w:p w14:paraId="3C5C6FB7">
            <w:pPr>
              <w:pStyle w:val="6"/>
              <w:spacing w:before="22" w:line="232" w:lineRule="auto"/>
              <w:ind w:left="184"/>
              <w:rPr>
                <w:sz w:val="20"/>
                <w:szCs w:val="20"/>
              </w:rPr>
            </w:pPr>
            <w:r>
              <w:rPr>
                <w:spacing w:val="7"/>
                <w:sz w:val="20"/>
                <w:szCs w:val="20"/>
              </w:rPr>
              <w:t>江区土地侵蚀面积</w:t>
            </w:r>
          </w:p>
          <w:p w14:paraId="73DB3629">
            <w:pPr>
              <w:pStyle w:val="6"/>
              <w:spacing w:before="20" w:line="211" w:lineRule="auto"/>
              <w:ind w:left="534"/>
              <w:rPr>
                <w:sz w:val="20"/>
                <w:szCs w:val="20"/>
              </w:rPr>
            </w:pPr>
            <w:r>
              <w:rPr>
                <w:sz w:val="20"/>
                <w:szCs w:val="20"/>
              </w:rPr>
              <w:t>比例（</w:t>
            </w:r>
            <w:r>
              <w:rPr>
                <w:rFonts w:ascii="Times New Roman" w:hAnsi="Times New Roman" w:eastAsia="Times New Roman" w:cs="Times New Roman"/>
                <w:sz w:val="20"/>
                <w:szCs w:val="20"/>
              </w:rPr>
              <w:t>%</w:t>
            </w:r>
            <w:r>
              <w:rPr>
                <w:sz w:val="20"/>
                <w:szCs w:val="20"/>
              </w:rPr>
              <w:t>）</w:t>
            </w:r>
          </w:p>
        </w:tc>
      </w:tr>
      <w:tr w14:paraId="574A20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670" w:type="dxa"/>
            <w:vMerge w:val="restart"/>
            <w:tcBorders>
              <w:left w:val="single" w:color="000000" w:sz="10" w:space="0"/>
              <w:bottom w:val="nil"/>
            </w:tcBorders>
            <w:vAlign w:val="top"/>
          </w:tcPr>
          <w:p w14:paraId="4FFB7E7F">
            <w:pPr>
              <w:spacing w:line="316" w:lineRule="auto"/>
              <w:rPr>
                <w:rFonts w:ascii="Arial"/>
                <w:sz w:val="21"/>
              </w:rPr>
            </w:pPr>
          </w:p>
          <w:p w14:paraId="0BFF8CBF">
            <w:pPr>
              <w:spacing w:line="316" w:lineRule="auto"/>
              <w:rPr>
                <w:rFonts w:ascii="Arial"/>
                <w:sz w:val="21"/>
              </w:rPr>
            </w:pPr>
          </w:p>
          <w:p w14:paraId="68042039">
            <w:pPr>
              <w:pStyle w:val="6"/>
              <w:spacing w:before="62" w:line="232" w:lineRule="auto"/>
              <w:ind w:left="130"/>
              <w:rPr>
                <w:sz w:val="19"/>
                <w:szCs w:val="19"/>
              </w:rPr>
            </w:pPr>
            <w:r>
              <w:rPr>
                <w:spacing w:val="2"/>
                <w:sz w:val="19"/>
                <w:szCs w:val="19"/>
              </w:rPr>
              <w:t>水土</w:t>
            </w:r>
          </w:p>
          <w:p w14:paraId="09FB0CE5">
            <w:pPr>
              <w:pStyle w:val="6"/>
              <w:spacing w:before="20" w:line="233" w:lineRule="auto"/>
              <w:ind w:left="131"/>
              <w:rPr>
                <w:sz w:val="19"/>
                <w:szCs w:val="19"/>
              </w:rPr>
            </w:pPr>
            <w:r>
              <w:rPr>
                <w:spacing w:val="2"/>
                <w:sz w:val="19"/>
                <w:szCs w:val="19"/>
              </w:rPr>
              <w:t>流失</w:t>
            </w:r>
          </w:p>
        </w:tc>
        <w:tc>
          <w:tcPr>
            <w:tcW w:w="2414" w:type="dxa"/>
            <w:vAlign w:val="top"/>
          </w:tcPr>
          <w:p w14:paraId="34998351">
            <w:pPr>
              <w:pStyle w:val="6"/>
              <w:spacing w:before="116" w:line="216" w:lineRule="auto"/>
              <w:ind w:left="791"/>
              <w:rPr>
                <w:sz w:val="20"/>
                <w:szCs w:val="20"/>
              </w:rPr>
            </w:pPr>
            <w:r>
              <w:rPr>
                <w:spacing w:val="6"/>
                <w:sz w:val="20"/>
                <w:szCs w:val="20"/>
              </w:rPr>
              <w:t>轻度侵蚀</w:t>
            </w:r>
          </w:p>
        </w:tc>
        <w:tc>
          <w:tcPr>
            <w:tcW w:w="1972" w:type="dxa"/>
            <w:vAlign w:val="top"/>
          </w:tcPr>
          <w:p w14:paraId="5F3A2B35">
            <w:pPr>
              <w:spacing w:before="152" w:line="195" w:lineRule="auto"/>
              <w:ind w:left="716"/>
              <w:rPr>
                <w:rFonts w:ascii="Times New Roman" w:hAnsi="Times New Roman" w:eastAsia="Times New Roman" w:cs="Times New Roman"/>
                <w:sz w:val="20"/>
                <w:szCs w:val="20"/>
              </w:rPr>
            </w:pPr>
            <w:r>
              <w:rPr>
                <w:rFonts w:ascii="Times New Roman" w:hAnsi="Times New Roman" w:eastAsia="Times New Roman" w:cs="Times New Roman"/>
                <w:sz w:val="20"/>
                <w:szCs w:val="20"/>
              </w:rPr>
              <w:t>1.8223</w:t>
            </w:r>
          </w:p>
        </w:tc>
        <w:tc>
          <w:tcPr>
            <w:tcW w:w="1994" w:type="dxa"/>
            <w:vAlign w:val="top"/>
          </w:tcPr>
          <w:p w14:paraId="2852FB82">
            <w:pPr>
              <w:spacing w:before="152" w:line="195" w:lineRule="auto"/>
              <w:ind w:left="8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0.26</w:t>
            </w:r>
          </w:p>
        </w:tc>
        <w:tc>
          <w:tcPr>
            <w:tcW w:w="2009" w:type="dxa"/>
            <w:vMerge w:val="restart"/>
            <w:tcBorders>
              <w:bottom w:val="nil"/>
              <w:right w:val="single" w:color="000000" w:sz="10" w:space="0"/>
            </w:tcBorders>
            <w:vAlign w:val="top"/>
          </w:tcPr>
          <w:p w14:paraId="52754D27">
            <w:pPr>
              <w:spacing w:line="276" w:lineRule="auto"/>
              <w:rPr>
                <w:rFonts w:ascii="Arial"/>
                <w:sz w:val="21"/>
              </w:rPr>
            </w:pPr>
          </w:p>
          <w:p w14:paraId="6A2C1837">
            <w:pPr>
              <w:spacing w:line="276" w:lineRule="auto"/>
              <w:rPr>
                <w:rFonts w:ascii="Arial"/>
                <w:sz w:val="21"/>
              </w:rPr>
            </w:pPr>
          </w:p>
          <w:p w14:paraId="45FA5187">
            <w:pPr>
              <w:spacing w:line="276" w:lineRule="auto"/>
              <w:rPr>
                <w:rFonts w:ascii="Arial"/>
                <w:sz w:val="21"/>
              </w:rPr>
            </w:pPr>
          </w:p>
          <w:p w14:paraId="6DAAC65A">
            <w:pPr>
              <w:spacing w:before="58" w:line="195" w:lineRule="auto"/>
              <w:ind w:left="7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0.33%</w:t>
            </w:r>
          </w:p>
        </w:tc>
      </w:tr>
      <w:tr w14:paraId="239281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670" w:type="dxa"/>
            <w:vMerge w:val="continue"/>
            <w:tcBorders>
              <w:top w:val="nil"/>
              <w:left w:val="single" w:color="000000" w:sz="10" w:space="0"/>
              <w:bottom w:val="nil"/>
            </w:tcBorders>
            <w:vAlign w:val="top"/>
          </w:tcPr>
          <w:p w14:paraId="2CE68EB2">
            <w:pPr>
              <w:rPr>
                <w:rFonts w:ascii="Arial"/>
                <w:sz w:val="21"/>
              </w:rPr>
            </w:pPr>
          </w:p>
        </w:tc>
        <w:tc>
          <w:tcPr>
            <w:tcW w:w="2414" w:type="dxa"/>
            <w:vAlign w:val="top"/>
          </w:tcPr>
          <w:p w14:paraId="07AAF9CB">
            <w:pPr>
              <w:pStyle w:val="6"/>
              <w:spacing w:before="120" w:line="213" w:lineRule="auto"/>
              <w:ind w:left="819"/>
              <w:rPr>
                <w:sz w:val="20"/>
                <w:szCs w:val="20"/>
              </w:rPr>
            </w:pPr>
            <w:r>
              <w:rPr>
                <w:spacing w:val="-1"/>
                <w:sz w:val="20"/>
                <w:szCs w:val="20"/>
              </w:rPr>
              <w:t>中度侵蚀</w:t>
            </w:r>
          </w:p>
        </w:tc>
        <w:tc>
          <w:tcPr>
            <w:tcW w:w="1972" w:type="dxa"/>
            <w:vAlign w:val="top"/>
          </w:tcPr>
          <w:p w14:paraId="3AA9C36B">
            <w:pPr>
              <w:spacing w:before="155" w:line="195" w:lineRule="auto"/>
              <w:ind w:left="6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0.2322</w:t>
            </w:r>
          </w:p>
        </w:tc>
        <w:tc>
          <w:tcPr>
            <w:tcW w:w="1994" w:type="dxa"/>
            <w:vAlign w:val="top"/>
          </w:tcPr>
          <w:p w14:paraId="5FA02754">
            <w:pPr>
              <w:spacing w:before="155" w:line="195" w:lineRule="auto"/>
              <w:ind w:left="8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1.03</w:t>
            </w:r>
          </w:p>
        </w:tc>
        <w:tc>
          <w:tcPr>
            <w:tcW w:w="2009" w:type="dxa"/>
            <w:vMerge w:val="continue"/>
            <w:tcBorders>
              <w:top w:val="nil"/>
              <w:bottom w:val="nil"/>
              <w:right w:val="single" w:color="000000" w:sz="10" w:space="0"/>
            </w:tcBorders>
            <w:vAlign w:val="top"/>
          </w:tcPr>
          <w:p w14:paraId="0030777A">
            <w:pPr>
              <w:rPr>
                <w:rFonts w:ascii="Arial"/>
                <w:sz w:val="21"/>
              </w:rPr>
            </w:pPr>
          </w:p>
        </w:tc>
      </w:tr>
      <w:tr w14:paraId="20461E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0" w:type="dxa"/>
            <w:vMerge w:val="continue"/>
            <w:tcBorders>
              <w:top w:val="nil"/>
              <w:left w:val="single" w:color="000000" w:sz="10" w:space="0"/>
              <w:bottom w:val="nil"/>
            </w:tcBorders>
            <w:vAlign w:val="top"/>
          </w:tcPr>
          <w:p w14:paraId="7FB2699A">
            <w:pPr>
              <w:rPr>
                <w:rFonts w:ascii="Arial"/>
                <w:sz w:val="21"/>
              </w:rPr>
            </w:pPr>
          </w:p>
        </w:tc>
        <w:tc>
          <w:tcPr>
            <w:tcW w:w="2414" w:type="dxa"/>
            <w:vAlign w:val="top"/>
          </w:tcPr>
          <w:p w14:paraId="0D924567">
            <w:pPr>
              <w:pStyle w:val="6"/>
              <w:spacing w:before="123" w:line="211" w:lineRule="auto"/>
              <w:ind w:left="798"/>
              <w:rPr>
                <w:sz w:val="20"/>
                <w:szCs w:val="20"/>
              </w:rPr>
            </w:pPr>
            <w:r>
              <w:rPr>
                <w:spacing w:val="4"/>
                <w:sz w:val="20"/>
                <w:szCs w:val="20"/>
              </w:rPr>
              <w:t>强烈侵蚀</w:t>
            </w:r>
          </w:p>
        </w:tc>
        <w:tc>
          <w:tcPr>
            <w:tcW w:w="1972" w:type="dxa"/>
            <w:vAlign w:val="top"/>
          </w:tcPr>
          <w:p w14:paraId="2FD7F5FD">
            <w:pPr>
              <w:spacing w:before="159" w:line="195" w:lineRule="auto"/>
              <w:ind w:left="6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0.3032</w:t>
            </w:r>
          </w:p>
        </w:tc>
        <w:tc>
          <w:tcPr>
            <w:tcW w:w="1994" w:type="dxa"/>
            <w:vAlign w:val="top"/>
          </w:tcPr>
          <w:p w14:paraId="3AF40E69">
            <w:pPr>
              <w:spacing w:before="159" w:line="195" w:lineRule="auto"/>
              <w:ind w:left="8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1.52</w:t>
            </w:r>
          </w:p>
        </w:tc>
        <w:tc>
          <w:tcPr>
            <w:tcW w:w="2009" w:type="dxa"/>
            <w:vMerge w:val="continue"/>
            <w:tcBorders>
              <w:top w:val="nil"/>
              <w:bottom w:val="nil"/>
              <w:right w:val="single" w:color="000000" w:sz="10" w:space="0"/>
            </w:tcBorders>
            <w:vAlign w:val="top"/>
          </w:tcPr>
          <w:p w14:paraId="2461031C">
            <w:pPr>
              <w:rPr>
                <w:rFonts w:ascii="Arial"/>
                <w:sz w:val="21"/>
              </w:rPr>
            </w:pPr>
          </w:p>
        </w:tc>
      </w:tr>
      <w:tr w14:paraId="0EAAD4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0" w:type="dxa"/>
            <w:vMerge w:val="continue"/>
            <w:tcBorders>
              <w:top w:val="nil"/>
              <w:left w:val="single" w:color="000000" w:sz="10" w:space="0"/>
              <w:bottom w:val="nil"/>
            </w:tcBorders>
            <w:vAlign w:val="top"/>
          </w:tcPr>
          <w:p w14:paraId="5C3163A1">
            <w:pPr>
              <w:rPr>
                <w:rFonts w:ascii="Arial"/>
                <w:sz w:val="21"/>
              </w:rPr>
            </w:pPr>
          </w:p>
        </w:tc>
        <w:tc>
          <w:tcPr>
            <w:tcW w:w="2414" w:type="dxa"/>
            <w:vAlign w:val="top"/>
          </w:tcPr>
          <w:p w14:paraId="4F745919">
            <w:pPr>
              <w:pStyle w:val="6"/>
              <w:spacing w:before="126" w:line="208" w:lineRule="auto"/>
              <w:ind w:left="685"/>
              <w:rPr>
                <w:sz w:val="20"/>
                <w:szCs w:val="20"/>
              </w:rPr>
            </w:pPr>
            <w:r>
              <w:rPr>
                <w:spacing w:val="7"/>
                <w:sz w:val="20"/>
                <w:szCs w:val="20"/>
              </w:rPr>
              <w:t>极强烈侵蚀</w:t>
            </w:r>
          </w:p>
        </w:tc>
        <w:tc>
          <w:tcPr>
            <w:tcW w:w="1972" w:type="dxa"/>
            <w:vAlign w:val="top"/>
          </w:tcPr>
          <w:p w14:paraId="4C44B16B">
            <w:pPr>
              <w:spacing w:before="162" w:line="195" w:lineRule="auto"/>
              <w:ind w:left="6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0.1765</w:t>
            </w:r>
          </w:p>
        </w:tc>
        <w:tc>
          <w:tcPr>
            <w:tcW w:w="1994" w:type="dxa"/>
            <w:vAlign w:val="top"/>
          </w:tcPr>
          <w:p w14:paraId="67C34263">
            <w:pPr>
              <w:spacing w:before="162" w:line="195" w:lineRule="auto"/>
              <w:ind w:left="8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1.34</w:t>
            </w:r>
          </w:p>
        </w:tc>
        <w:tc>
          <w:tcPr>
            <w:tcW w:w="2009" w:type="dxa"/>
            <w:vMerge w:val="continue"/>
            <w:tcBorders>
              <w:top w:val="nil"/>
              <w:bottom w:val="nil"/>
              <w:right w:val="single" w:color="000000" w:sz="10" w:space="0"/>
            </w:tcBorders>
            <w:vAlign w:val="top"/>
          </w:tcPr>
          <w:p w14:paraId="712D79A9">
            <w:pPr>
              <w:rPr>
                <w:rFonts w:ascii="Arial"/>
                <w:sz w:val="21"/>
              </w:rPr>
            </w:pPr>
          </w:p>
        </w:tc>
      </w:tr>
      <w:tr w14:paraId="4278F6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670" w:type="dxa"/>
            <w:vMerge w:val="continue"/>
            <w:tcBorders>
              <w:top w:val="nil"/>
              <w:left w:val="single" w:color="000000" w:sz="10" w:space="0"/>
              <w:bottom w:val="single" w:color="000000" w:sz="10" w:space="0"/>
            </w:tcBorders>
            <w:vAlign w:val="top"/>
          </w:tcPr>
          <w:p w14:paraId="11C2447B">
            <w:pPr>
              <w:rPr>
                <w:rFonts w:ascii="Arial"/>
                <w:sz w:val="21"/>
              </w:rPr>
            </w:pPr>
          </w:p>
        </w:tc>
        <w:tc>
          <w:tcPr>
            <w:tcW w:w="2414" w:type="dxa"/>
            <w:tcBorders>
              <w:bottom w:val="single" w:color="000000" w:sz="10" w:space="0"/>
            </w:tcBorders>
            <w:vAlign w:val="top"/>
          </w:tcPr>
          <w:p w14:paraId="5EA7A247">
            <w:pPr>
              <w:pStyle w:val="6"/>
              <w:spacing w:before="131" w:line="225" w:lineRule="auto"/>
              <w:ind w:left="792"/>
              <w:rPr>
                <w:sz w:val="20"/>
                <w:szCs w:val="20"/>
              </w:rPr>
            </w:pPr>
            <w:r>
              <w:rPr>
                <w:spacing w:val="5"/>
                <w:sz w:val="20"/>
                <w:szCs w:val="20"/>
              </w:rPr>
              <w:t>剧烈侵蚀</w:t>
            </w:r>
          </w:p>
        </w:tc>
        <w:tc>
          <w:tcPr>
            <w:tcW w:w="1972" w:type="dxa"/>
            <w:tcBorders>
              <w:bottom w:val="single" w:color="000000" w:sz="10" w:space="0"/>
            </w:tcBorders>
            <w:vAlign w:val="top"/>
          </w:tcPr>
          <w:p w14:paraId="0467BDA0">
            <w:pPr>
              <w:spacing w:before="167" w:line="195" w:lineRule="auto"/>
              <w:ind w:left="6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0.0059</w:t>
            </w:r>
          </w:p>
        </w:tc>
        <w:tc>
          <w:tcPr>
            <w:tcW w:w="1994" w:type="dxa"/>
            <w:tcBorders>
              <w:bottom w:val="single" w:color="000000" w:sz="10" w:space="0"/>
            </w:tcBorders>
            <w:vAlign w:val="top"/>
          </w:tcPr>
          <w:p w14:paraId="0AE6BC53">
            <w:pPr>
              <w:spacing w:before="167" w:line="195" w:lineRule="auto"/>
              <w:ind w:left="8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0.38</w:t>
            </w:r>
          </w:p>
        </w:tc>
        <w:tc>
          <w:tcPr>
            <w:tcW w:w="2009" w:type="dxa"/>
            <w:vMerge w:val="continue"/>
            <w:tcBorders>
              <w:top w:val="nil"/>
              <w:bottom w:val="single" w:color="000000" w:sz="10" w:space="0"/>
              <w:right w:val="single" w:color="000000" w:sz="10" w:space="0"/>
            </w:tcBorders>
            <w:vAlign w:val="top"/>
          </w:tcPr>
          <w:p w14:paraId="1F3F0553">
            <w:pPr>
              <w:rPr>
                <w:rFonts w:ascii="Arial"/>
                <w:sz w:val="21"/>
              </w:rPr>
            </w:pPr>
          </w:p>
        </w:tc>
      </w:tr>
    </w:tbl>
    <w:p w14:paraId="5BA59AFE">
      <w:pPr>
        <w:spacing w:before="146" w:line="228" w:lineRule="auto"/>
        <w:ind w:left="534"/>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4</w:t>
      </w:r>
      <w:r>
        <w:rPr>
          <w:rFonts w:ascii="仿宋" w:hAnsi="仿宋" w:eastAsia="仿宋" w:cs="仿宋"/>
          <w:spacing w:val="7"/>
          <w:sz w:val="25"/>
          <w:szCs w:val="25"/>
        </w:rPr>
        <w:t>）景观生态影响分析</w:t>
      </w:r>
    </w:p>
    <w:p w14:paraId="19F2B3CA">
      <w:pPr>
        <w:spacing w:before="152" w:line="228" w:lineRule="auto"/>
        <w:ind w:left="651"/>
        <w:rPr>
          <w:rFonts w:ascii="仿宋" w:hAnsi="仿宋" w:eastAsia="仿宋" w:cs="仿宋"/>
          <w:sz w:val="25"/>
          <w:szCs w:val="25"/>
        </w:rPr>
      </w:pPr>
      <w:r>
        <w:rPr>
          <w:rFonts w:ascii="宋体" w:hAnsi="宋体" w:eastAsia="宋体" w:cs="宋体"/>
          <w:spacing w:val="9"/>
          <w:sz w:val="25"/>
          <w:szCs w:val="25"/>
        </w:rPr>
        <w:t>①</w:t>
      </w:r>
      <w:r>
        <w:rPr>
          <w:rFonts w:ascii="仿宋" w:hAnsi="仿宋" w:eastAsia="仿宋" w:cs="仿宋"/>
          <w:spacing w:val="9"/>
          <w:sz w:val="25"/>
          <w:szCs w:val="25"/>
        </w:rPr>
        <w:t>对旅游景观资源的影响</w:t>
      </w:r>
    </w:p>
    <w:p w14:paraId="3A6C7BAD">
      <w:pPr>
        <w:spacing w:before="149" w:line="340" w:lineRule="auto"/>
        <w:ind w:left="139" w:right="116" w:firstLine="526"/>
        <w:rPr>
          <w:rFonts w:ascii="仿宋" w:hAnsi="仿宋" w:eastAsia="仿宋" w:cs="仿宋"/>
          <w:sz w:val="25"/>
          <w:szCs w:val="25"/>
        </w:rPr>
      </w:pPr>
      <w:r>
        <w:rPr>
          <w:rFonts w:ascii="仿宋" w:hAnsi="仿宋" w:eastAsia="仿宋" w:cs="仿宋"/>
          <w:spacing w:val="10"/>
          <w:sz w:val="25"/>
          <w:szCs w:val="25"/>
        </w:rPr>
        <w:t>露天采矿将影响丘陵山地景观和地质环境。根据附图</w:t>
      </w:r>
      <w:r>
        <w:rPr>
          <w:rFonts w:ascii="仿宋" w:hAnsi="仿宋" w:eastAsia="仿宋" w:cs="仿宋"/>
          <w:spacing w:val="-31"/>
          <w:sz w:val="25"/>
          <w:szCs w:val="25"/>
        </w:rPr>
        <w:t xml:space="preserve"> </w:t>
      </w:r>
      <w:r>
        <w:rPr>
          <w:rFonts w:ascii="Times New Roman" w:hAnsi="Times New Roman" w:eastAsia="Times New Roman" w:cs="Times New Roman"/>
          <w:spacing w:val="10"/>
          <w:sz w:val="25"/>
          <w:szCs w:val="25"/>
        </w:rPr>
        <w:t>3-3</w:t>
      </w:r>
      <w:r>
        <w:rPr>
          <w:rFonts w:ascii="Times New Roman" w:hAnsi="Times New Roman" w:eastAsia="Times New Roman" w:cs="Times New Roman"/>
          <w:spacing w:val="-23"/>
          <w:sz w:val="25"/>
          <w:szCs w:val="25"/>
        </w:rPr>
        <w:t xml:space="preserve"> </w:t>
      </w:r>
      <w:r>
        <w:rPr>
          <w:rFonts w:ascii="仿宋" w:hAnsi="仿宋" w:eastAsia="仿宋" w:cs="仿宋"/>
          <w:spacing w:val="10"/>
          <w:sz w:val="25"/>
          <w:szCs w:val="25"/>
        </w:rPr>
        <w:t>，本次评价的露</w:t>
      </w:r>
      <w:r>
        <w:rPr>
          <w:rFonts w:ascii="仿宋" w:hAnsi="仿宋" w:eastAsia="仿宋" w:cs="仿宋"/>
          <w:sz w:val="25"/>
          <w:szCs w:val="25"/>
        </w:rPr>
        <w:t xml:space="preserve"> </w:t>
      </w:r>
      <w:r>
        <w:rPr>
          <w:rFonts w:ascii="仿宋" w:hAnsi="仿宋" w:eastAsia="仿宋" w:cs="仿宋"/>
          <w:spacing w:val="8"/>
          <w:sz w:val="25"/>
          <w:szCs w:val="25"/>
        </w:rPr>
        <w:t>天开采矿山仅</w:t>
      </w:r>
      <w:r>
        <w:rPr>
          <w:rFonts w:ascii="仿宋" w:hAnsi="仿宋" w:eastAsia="仿宋" w:cs="仿宋"/>
          <w:spacing w:val="-30"/>
          <w:sz w:val="25"/>
          <w:szCs w:val="25"/>
        </w:rPr>
        <w:t xml:space="preserve"> </w:t>
      </w:r>
      <w:r>
        <w:rPr>
          <w:rFonts w:ascii="Times New Roman" w:hAnsi="Times New Roman" w:eastAsia="Times New Roman" w:cs="Times New Roman"/>
          <w:spacing w:val="8"/>
          <w:sz w:val="25"/>
          <w:szCs w:val="25"/>
        </w:rPr>
        <w:t>1</w:t>
      </w:r>
      <w:r>
        <w:rPr>
          <w:rFonts w:ascii="Times New Roman" w:hAnsi="Times New Roman" w:eastAsia="Times New Roman" w:cs="Times New Roman"/>
          <w:spacing w:val="22"/>
          <w:w w:val="101"/>
          <w:sz w:val="25"/>
          <w:szCs w:val="25"/>
        </w:rPr>
        <w:t xml:space="preserve"> </w:t>
      </w:r>
      <w:r>
        <w:rPr>
          <w:rFonts w:ascii="仿宋" w:hAnsi="仿宋" w:eastAsia="仿宋" w:cs="仿宋"/>
          <w:spacing w:val="8"/>
          <w:sz w:val="25"/>
          <w:szCs w:val="25"/>
        </w:rPr>
        <w:t>个，距离黔江区主要的二郎山景区、濯水古镇、小南海景区、</w:t>
      </w:r>
      <w:r>
        <w:rPr>
          <w:rFonts w:ascii="仿宋" w:hAnsi="仿宋" w:eastAsia="仿宋" w:cs="仿宋"/>
          <w:sz w:val="25"/>
          <w:szCs w:val="25"/>
        </w:rPr>
        <w:t xml:space="preserve"> </w:t>
      </w:r>
      <w:r>
        <w:rPr>
          <w:rFonts w:ascii="仿宋" w:hAnsi="仿宋" w:eastAsia="仿宋" w:cs="仿宋"/>
          <w:spacing w:val="8"/>
          <w:sz w:val="25"/>
          <w:szCs w:val="25"/>
        </w:rPr>
        <w:t>城市大峡谷等主要景点较远，</w:t>
      </w:r>
      <w:r>
        <w:rPr>
          <w:rFonts w:ascii="仿宋" w:hAnsi="仿宋" w:eastAsia="仿宋" w:cs="仿宋"/>
          <w:spacing w:val="-71"/>
          <w:sz w:val="25"/>
          <w:szCs w:val="25"/>
        </w:rPr>
        <w:t xml:space="preserve"> </w:t>
      </w:r>
      <w:r>
        <w:rPr>
          <w:rFonts w:ascii="仿宋" w:hAnsi="仿宋" w:eastAsia="仿宋" w:cs="仿宋"/>
          <w:spacing w:val="8"/>
          <w:sz w:val="25"/>
          <w:szCs w:val="25"/>
        </w:rPr>
        <w:t>同时，在开采过程中，规划矿区积极推进绿</w:t>
      </w:r>
      <w:r>
        <w:rPr>
          <w:rFonts w:ascii="仿宋" w:hAnsi="仿宋" w:eastAsia="仿宋" w:cs="仿宋"/>
          <w:spacing w:val="7"/>
          <w:sz w:val="25"/>
          <w:szCs w:val="25"/>
        </w:rPr>
        <w:t>色矿</w:t>
      </w:r>
      <w:r>
        <w:rPr>
          <w:rFonts w:ascii="仿宋" w:hAnsi="仿宋" w:eastAsia="仿宋" w:cs="仿宋"/>
          <w:sz w:val="25"/>
          <w:szCs w:val="25"/>
        </w:rPr>
        <w:t xml:space="preserve"> </w:t>
      </w:r>
      <w:r>
        <w:rPr>
          <w:rFonts w:ascii="仿宋" w:hAnsi="仿宋" w:eastAsia="仿宋" w:cs="仿宋"/>
          <w:spacing w:val="10"/>
          <w:sz w:val="25"/>
          <w:szCs w:val="25"/>
        </w:rPr>
        <w:t>山建设，采用合理选择采矿工业场地布设、矿石</w:t>
      </w:r>
      <w:r>
        <w:rPr>
          <w:rFonts w:ascii="仿宋" w:hAnsi="仿宋" w:eastAsia="仿宋" w:cs="仿宋"/>
          <w:spacing w:val="9"/>
          <w:sz w:val="25"/>
          <w:szCs w:val="25"/>
        </w:rPr>
        <w:t>外运线路和时间等措施，可进</w:t>
      </w:r>
      <w:r>
        <w:rPr>
          <w:rFonts w:ascii="仿宋" w:hAnsi="仿宋" w:eastAsia="仿宋" w:cs="仿宋"/>
          <w:sz w:val="25"/>
          <w:szCs w:val="25"/>
        </w:rPr>
        <w:t xml:space="preserve"> </w:t>
      </w:r>
      <w:r>
        <w:rPr>
          <w:rFonts w:ascii="仿宋" w:hAnsi="仿宋" w:eastAsia="仿宋" w:cs="仿宋"/>
          <w:spacing w:val="9"/>
          <w:sz w:val="25"/>
          <w:szCs w:val="25"/>
        </w:rPr>
        <w:t>一步减小对旅游景观影响，对旅游景区及其主要交通干线等的影响降至最小。</w:t>
      </w:r>
    </w:p>
    <w:p w14:paraId="3DDAAC08">
      <w:pPr>
        <w:spacing w:line="228" w:lineRule="auto"/>
        <w:ind w:left="650"/>
        <w:rPr>
          <w:rFonts w:ascii="仿宋" w:hAnsi="仿宋" w:eastAsia="仿宋" w:cs="仿宋"/>
          <w:sz w:val="25"/>
          <w:szCs w:val="25"/>
        </w:rPr>
      </w:pPr>
      <w:r>
        <w:rPr>
          <w:rFonts w:ascii="宋体" w:hAnsi="宋体" w:eastAsia="宋体" w:cs="宋体"/>
          <w:spacing w:val="8"/>
          <w:sz w:val="25"/>
          <w:szCs w:val="25"/>
        </w:rPr>
        <w:t>②</w:t>
      </w:r>
      <w:r>
        <w:rPr>
          <w:rFonts w:ascii="仿宋" w:hAnsi="仿宋" w:eastAsia="仿宋" w:cs="仿宋"/>
          <w:spacing w:val="8"/>
          <w:sz w:val="25"/>
          <w:szCs w:val="25"/>
        </w:rPr>
        <w:t>景观视觉分析</w:t>
      </w:r>
    </w:p>
    <w:p w14:paraId="6C5AE72C">
      <w:pPr>
        <w:spacing w:before="151" w:line="338" w:lineRule="auto"/>
        <w:ind w:left="140" w:right="119" w:firstLine="520"/>
        <w:rPr>
          <w:rFonts w:ascii="仿宋" w:hAnsi="仿宋" w:eastAsia="仿宋" w:cs="仿宋"/>
          <w:sz w:val="25"/>
          <w:szCs w:val="25"/>
        </w:rPr>
      </w:pPr>
      <w:r>
        <w:rPr>
          <w:rFonts w:ascii="仿宋" w:hAnsi="仿宋" w:eastAsia="仿宋" w:cs="仿宋"/>
          <w:spacing w:val="9"/>
          <w:sz w:val="25"/>
          <w:szCs w:val="25"/>
        </w:rPr>
        <w:t>在大多数的露天矿山开采中，眺望露天开采坑时，人们都会感到露天坑与</w:t>
      </w:r>
      <w:r>
        <w:rPr>
          <w:rFonts w:ascii="仿宋" w:hAnsi="仿宋" w:eastAsia="仿宋" w:cs="仿宋"/>
          <w:spacing w:val="14"/>
          <w:sz w:val="25"/>
          <w:szCs w:val="25"/>
        </w:rPr>
        <w:t xml:space="preserve"> </w:t>
      </w:r>
      <w:r>
        <w:rPr>
          <w:rFonts w:ascii="仿宋" w:hAnsi="仿宋" w:eastAsia="仿宋" w:cs="仿宋"/>
          <w:spacing w:val="9"/>
          <w:sz w:val="25"/>
          <w:szCs w:val="25"/>
        </w:rPr>
        <w:t>周围景观不协调，矿山开采形成的裸露开采工作面对周边居民和乡村道路行人</w:t>
      </w:r>
    </w:p>
    <w:p w14:paraId="4F983710">
      <w:pPr>
        <w:spacing w:line="338" w:lineRule="auto"/>
        <w:rPr>
          <w:rFonts w:ascii="仿宋" w:hAnsi="仿宋" w:eastAsia="仿宋" w:cs="仿宋"/>
          <w:sz w:val="25"/>
          <w:szCs w:val="25"/>
        </w:rPr>
        <w:sectPr>
          <w:headerReference r:id="rId186" w:type="default"/>
          <w:footerReference r:id="rId187" w:type="default"/>
          <w:pgSz w:w="11906" w:h="16839"/>
          <w:pgMar w:top="1116" w:right="1356" w:bottom="866" w:left="1464" w:header="683" w:footer="703" w:gutter="0"/>
          <w:cols w:space="720" w:num="1"/>
        </w:sectPr>
      </w:pPr>
    </w:p>
    <w:p w14:paraId="53701E56">
      <w:pPr>
        <w:pStyle w:val="2"/>
        <w:spacing w:line="386" w:lineRule="auto"/>
      </w:pPr>
    </w:p>
    <w:p w14:paraId="3722A9E1">
      <w:pPr>
        <w:spacing w:before="81" w:line="339" w:lineRule="auto"/>
        <w:ind w:left="17" w:right="83" w:firstLine="3"/>
        <w:rPr>
          <w:rFonts w:ascii="仿宋" w:hAnsi="仿宋" w:eastAsia="仿宋" w:cs="仿宋"/>
          <w:sz w:val="25"/>
          <w:szCs w:val="25"/>
        </w:rPr>
      </w:pPr>
      <w:r>
        <w:rPr>
          <w:rFonts w:ascii="仿宋" w:hAnsi="仿宋" w:eastAsia="仿宋" w:cs="仿宋"/>
          <w:spacing w:val="9"/>
          <w:sz w:val="25"/>
          <w:szCs w:val="25"/>
        </w:rPr>
        <w:t>可视，会造成一定的视觉冲击。结合附图</w:t>
      </w:r>
      <w:r>
        <w:rPr>
          <w:rFonts w:ascii="仿宋" w:hAnsi="仿宋" w:eastAsia="仿宋" w:cs="仿宋"/>
          <w:spacing w:val="-45"/>
          <w:sz w:val="25"/>
          <w:szCs w:val="25"/>
        </w:rPr>
        <w:t xml:space="preserve"> </w:t>
      </w:r>
      <w:r>
        <w:rPr>
          <w:rFonts w:ascii="Times New Roman" w:hAnsi="Times New Roman" w:eastAsia="Times New Roman" w:cs="Times New Roman"/>
          <w:spacing w:val="9"/>
          <w:sz w:val="25"/>
          <w:szCs w:val="25"/>
        </w:rPr>
        <w:t>5-2</w:t>
      </w:r>
      <w:r>
        <w:rPr>
          <w:rFonts w:ascii="Times New Roman" w:hAnsi="Times New Roman" w:eastAsia="Times New Roman" w:cs="Times New Roman"/>
          <w:spacing w:val="30"/>
          <w:w w:val="101"/>
          <w:sz w:val="25"/>
          <w:szCs w:val="25"/>
        </w:rPr>
        <w:t xml:space="preserve"> </w:t>
      </w:r>
      <w:r>
        <w:rPr>
          <w:rFonts w:ascii="仿宋" w:hAnsi="仿宋" w:eastAsia="仿宋" w:cs="仿宋"/>
          <w:spacing w:val="9"/>
          <w:sz w:val="25"/>
          <w:szCs w:val="25"/>
        </w:rPr>
        <w:t>叠图及影像分析，本次评价的露</w:t>
      </w:r>
      <w:r>
        <w:rPr>
          <w:rFonts w:ascii="仿宋" w:hAnsi="仿宋" w:eastAsia="仿宋" w:cs="仿宋"/>
          <w:sz w:val="25"/>
          <w:szCs w:val="25"/>
        </w:rPr>
        <w:t xml:space="preserve"> </w:t>
      </w:r>
      <w:r>
        <w:rPr>
          <w:rFonts w:ascii="仿宋" w:hAnsi="仿宋" w:eastAsia="仿宋" w:cs="仿宋"/>
          <w:spacing w:val="9"/>
          <w:sz w:val="25"/>
          <w:szCs w:val="25"/>
        </w:rPr>
        <w:t>天开采区块均不在现状与规划铁路、高速路等可</w:t>
      </w:r>
      <w:r>
        <w:rPr>
          <w:rFonts w:ascii="仿宋" w:hAnsi="仿宋" w:eastAsia="仿宋" w:cs="仿宋"/>
          <w:spacing w:val="8"/>
          <w:sz w:val="25"/>
          <w:szCs w:val="25"/>
        </w:rPr>
        <w:t>视范围内。</w:t>
      </w:r>
    </w:p>
    <w:p w14:paraId="462773BA">
      <w:pPr>
        <w:spacing w:before="120" w:line="228" w:lineRule="auto"/>
        <w:ind w:left="8"/>
        <w:outlineLvl w:val="3"/>
        <w:rPr>
          <w:rFonts w:ascii="仿宋" w:hAnsi="仿宋" w:eastAsia="仿宋" w:cs="仿宋"/>
          <w:sz w:val="25"/>
          <w:szCs w:val="25"/>
        </w:rPr>
      </w:pPr>
      <w:r>
        <w:rPr>
          <w:rFonts w:ascii="Times New Roman" w:hAnsi="Times New Roman" w:eastAsia="Times New Roman" w:cs="Times New Roman"/>
          <w:b/>
          <w:bCs/>
          <w:spacing w:val="5"/>
          <w:sz w:val="25"/>
          <w:szCs w:val="25"/>
        </w:rPr>
        <w:t>5.2.5.2</w:t>
      </w:r>
      <w:r>
        <w:rPr>
          <w:rFonts w:ascii="Times New Roman" w:hAnsi="Times New Roman" w:eastAsia="Times New Roman" w:cs="Times New Roman"/>
          <w:b/>
          <w:bCs/>
          <w:spacing w:val="31"/>
          <w:sz w:val="25"/>
          <w:szCs w:val="25"/>
        </w:rPr>
        <w:t xml:space="preserve"> </w:t>
      </w:r>
      <w:r>
        <w:rPr>
          <w:rFonts w:ascii="仿宋" w:hAnsi="仿宋" w:eastAsia="仿宋" w:cs="仿宋"/>
          <w:b/>
          <w:bCs/>
          <w:spacing w:val="5"/>
          <w:sz w:val="25"/>
          <w:szCs w:val="25"/>
        </w:rPr>
        <w:t>地下开采对生态环境的影响分析</w:t>
      </w:r>
    </w:p>
    <w:p w14:paraId="00068B52">
      <w:pPr>
        <w:spacing w:before="271" w:line="229" w:lineRule="auto"/>
        <w:ind w:left="541"/>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1</w:t>
      </w:r>
      <w:r>
        <w:rPr>
          <w:rFonts w:ascii="仿宋" w:hAnsi="仿宋" w:eastAsia="仿宋" w:cs="仿宋"/>
          <w:spacing w:val="7"/>
          <w:sz w:val="25"/>
          <w:szCs w:val="25"/>
        </w:rPr>
        <w:t>）对地形地貌和植被的影响</w:t>
      </w:r>
    </w:p>
    <w:p w14:paraId="5E25F9F4">
      <w:pPr>
        <w:spacing w:before="146" w:line="340" w:lineRule="auto"/>
        <w:ind w:left="15" w:firstLine="522"/>
        <w:rPr>
          <w:rFonts w:ascii="仿宋" w:hAnsi="仿宋" w:eastAsia="仿宋" w:cs="仿宋"/>
          <w:sz w:val="25"/>
          <w:szCs w:val="25"/>
        </w:rPr>
      </w:pPr>
      <w:r>
        <w:rPr>
          <w:rFonts w:ascii="仿宋" w:hAnsi="仿宋" w:eastAsia="仿宋" w:cs="仿宋"/>
          <w:spacing w:val="4"/>
          <w:sz w:val="25"/>
          <w:szCs w:val="25"/>
        </w:rPr>
        <w:t>本次《规划调整》的地下开采区块</w:t>
      </w:r>
      <w:r>
        <w:rPr>
          <w:rFonts w:ascii="仿宋" w:hAnsi="仿宋" w:eastAsia="仿宋" w:cs="仿宋"/>
          <w:spacing w:val="-36"/>
          <w:sz w:val="25"/>
          <w:szCs w:val="25"/>
        </w:rPr>
        <w:t xml:space="preserve"> </w:t>
      </w:r>
      <w:r>
        <w:rPr>
          <w:rFonts w:ascii="Times New Roman" w:hAnsi="Times New Roman" w:eastAsia="Times New Roman" w:cs="Times New Roman"/>
          <w:spacing w:val="4"/>
          <w:sz w:val="25"/>
          <w:szCs w:val="25"/>
        </w:rPr>
        <w:t>2</w:t>
      </w:r>
      <w:r>
        <w:rPr>
          <w:rFonts w:ascii="Times New Roman" w:hAnsi="Times New Roman" w:eastAsia="Times New Roman" w:cs="Times New Roman"/>
          <w:spacing w:val="21"/>
          <w:sz w:val="25"/>
          <w:szCs w:val="25"/>
        </w:rPr>
        <w:t xml:space="preserve"> </w:t>
      </w:r>
      <w:r>
        <w:rPr>
          <w:rFonts w:ascii="仿宋" w:hAnsi="仿宋" w:eastAsia="仿宋" w:cs="仿宋"/>
          <w:spacing w:val="4"/>
          <w:sz w:val="25"/>
          <w:szCs w:val="25"/>
        </w:rPr>
        <w:t>个，开采矿种为铸型用砂岩（</w:t>
      </w:r>
      <w:r>
        <w:rPr>
          <w:rFonts w:ascii="Times New Roman" w:hAnsi="Times New Roman" w:eastAsia="Times New Roman" w:cs="Times New Roman"/>
          <w:spacing w:val="4"/>
          <w:sz w:val="25"/>
          <w:szCs w:val="25"/>
        </w:rPr>
        <w:t>1</w:t>
      </w:r>
      <w:r>
        <w:rPr>
          <w:rFonts w:ascii="Times New Roman" w:hAnsi="Times New Roman" w:eastAsia="Times New Roman" w:cs="Times New Roman"/>
          <w:spacing w:val="20"/>
          <w:sz w:val="25"/>
          <w:szCs w:val="25"/>
        </w:rPr>
        <w:t xml:space="preserve"> </w:t>
      </w:r>
      <w:r>
        <w:rPr>
          <w:rFonts w:ascii="仿宋" w:hAnsi="仿宋" w:eastAsia="仿宋" w:cs="仿宋"/>
          <w:spacing w:val="4"/>
          <w:sz w:val="25"/>
          <w:szCs w:val="25"/>
        </w:rPr>
        <w:t>个）、</w:t>
      </w:r>
      <w:r>
        <w:rPr>
          <w:rFonts w:ascii="仿宋" w:hAnsi="仿宋" w:eastAsia="仿宋" w:cs="仿宋"/>
          <w:sz w:val="25"/>
          <w:szCs w:val="25"/>
        </w:rPr>
        <w:t xml:space="preserve"> </w:t>
      </w:r>
      <w:r>
        <w:rPr>
          <w:rFonts w:ascii="仿宋" w:hAnsi="仿宋" w:eastAsia="仿宋" w:cs="仿宋"/>
          <w:spacing w:val="9"/>
          <w:sz w:val="25"/>
          <w:szCs w:val="25"/>
        </w:rPr>
        <w:t>和铝土矿（</w:t>
      </w:r>
      <w:r>
        <w:rPr>
          <w:rFonts w:ascii="仿宋" w:hAnsi="仿宋" w:eastAsia="仿宋" w:cs="仿宋"/>
          <w:spacing w:val="-54"/>
          <w:sz w:val="25"/>
          <w:szCs w:val="25"/>
        </w:rPr>
        <w:t xml:space="preserve"> </w:t>
      </w:r>
      <w:r>
        <w:rPr>
          <w:rFonts w:ascii="Times New Roman" w:hAnsi="Times New Roman" w:eastAsia="Times New Roman" w:cs="Times New Roman"/>
          <w:spacing w:val="9"/>
          <w:sz w:val="25"/>
          <w:szCs w:val="25"/>
        </w:rPr>
        <w:t>1</w:t>
      </w:r>
      <w:r>
        <w:rPr>
          <w:rFonts w:ascii="Times New Roman" w:hAnsi="Times New Roman" w:eastAsia="Times New Roman" w:cs="Times New Roman"/>
          <w:spacing w:val="22"/>
          <w:w w:val="101"/>
          <w:sz w:val="25"/>
          <w:szCs w:val="25"/>
        </w:rPr>
        <w:t xml:space="preserve"> </w:t>
      </w:r>
      <w:r>
        <w:rPr>
          <w:rFonts w:ascii="仿宋" w:hAnsi="仿宋" w:eastAsia="仿宋" w:cs="仿宋"/>
          <w:spacing w:val="9"/>
          <w:sz w:val="25"/>
          <w:szCs w:val="25"/>
        </w:rPr>
        <w:t>个</w:t>
      </w:r>
      <w:r>
        <w:rPr>
          <w:rFonts w:ascii="仿宋" w:hAnsi="仿宋" w:eastAsia="仿宋" w:cs="仿宋"/>
          <w:spacing w:val="22"/>
          <w:sz w:val="25"/>
          <w:szCs w:val="25"/>
        </w:rPr>
        <w:t>），</w:t>
      </w:r>
      <w:r>
        <w:rPr>
          <w:rFonts w:ascii="仿宋" w:hAnsi="仿宋" w:eastAsia="仿宋" w:cs="仿宋"/>
          <w:spacing w:val="9"/>
          <w:sz w:val="25"/>
          <w:szCs w:val="25"/>
        </w:rPr>
        <w:t>地下开采的地面工程占地面</w:t>
      </w:r>
      <w:r>
        <w:rPr>
          <w:rFonts w:ascii="仿宋" w:hAnsi="仿宋" w:eastAsia="仿宋" w:cs="仿宋"/>
          <w:spacing w:val="8"/>
          <w:sz w:val="25"/>
          <w:szCs w:val="25"/>
        </w:rPr>
        <w:t>积较小，对于地下开采矿区，</w:t>
      </w:r>
      <w:r>
        <w:rPr>
          <w:rFonts w:ascii="仿宋" w:hAnsi="仿宋" w:eastAsia="仿宋" w:cs="仿宋"/>
          <w:sz w:val="25"/>
          <w:szCs w:val="25"/>
        </w:rPr>
        <w:t xml:space="preserve"> </w:t>
      </w:r>
      <w:r>
        <w:rPr>
          <w:rFonts w:ascii="仿宋" w:hAnsi="仿宋" w:eastAsia="仿宋" w:cs="仿宋"/>
          <w:spacing w:val="10"/>
          <w:sz w:val="25"/>
          <w:szCs w:val="25"/>
        </w:rPr>
        <w:t>植被破坏和土地占压限于井场及周围很小的范围，采取一定保护和防治措施，</w:t>
      </w:r>
      <w:r>
        <w:rPr>
          <w:rFonts w:ascii="仿宋" w:hAnsi="仿宋" w:eastAsia="仿宋" w:cs="仿宋"/>
          <w:spacing w:val="12"/>
          <w:sz w:val="25"/>
          <w:szCs w:val="25"/>
        </w:rPr>
        <w:t xml:space="preserve"> </w:t>
      </w:r>
      <w:r>
        <w:rPr>
          <w:rFonts w:ascii="仿宋" w:hAnsi="仿宋" w:eastAsia="仿宋" w:cs="仿宋"/>
          <w:spacing w:val="8"/>
          <w:sz w:val="25"/>
          <w:szCs w:val="25"/>
        </w:rPr>
        <w:t>植被破坏和土地占压问题会得到控制和解决。</w:t>
      </w:r>
      <w:r>
        <w:rPr>
          <w:rFonts w:ascii="仿宋" w:hAnsi="仿宋" w:eastAsia="仿宋" w:cs="仿宋"/>
          <w:spacing w:val="-71"/>
          <w:sz w:val="25"/>
          <w:szCs w:val="25"/>
        </w:rPr>
        <w:t xml:space="preserve"> </w:t>
      </w:r>
      <w:r>
        <w:rPr>
          <w:rFonts w:ascii="仿宋" w:hAnsi="仿宋" w:eastAsia="仿宋" w:cs="仿宋"/>
          <w:spacing w:val="8"/>
          <w:sz w:val="25"/>
          <w:szCs w:val="25"/>
        </w:rPr>
        <w:t>同时，开采过程中应加强地表塌</w:t>
      </w:r>
      <w:r>
        <w:rPr>
          <w:rFonts w:ascii="仿宋" w:hAnsi="仿宋" w:eastAsia="仿宋" w:cs="仿宋"/>
          <w:sz w:val="25"/>
          <w:szCs w:val="25"/>
        </w:rPr>
        <w:t xml:space="preserve"> </w:t>
      </w:r>
      <w:r>
        <w:rPr>
          <w:rFonts w:ascii="仿宋" w:hAnsi="仿宋" w:eastAsia="仿宋" w:cs="仿宋"/>
          <w:spacing w:val="2"/>
          <w:sz w:val="25"/>
          <w:szCs w:val="25"/>
        </w:rPr>
        <w:t>陷、裂缝等的监测和防控，严格按照安全生产的要求进行开采，严禁超采，《规</w:t>
      </w:r>
      <w:r>
        <w:rPr>
          <w:rFonts w:ascii="仿宋" w:hAnsi="仿宋" w:eastAsia="仿宋" w:cs="仿宋"/>
          <w:spacing w:val="6"/>
          <w:sz w:val="25"/>
          <w:szCs w:val="25"/>
        </w:rPr>
        <w:t xml:space="preserve"> </w:t>
      </w:r>
      <w:r>
        <w:rPr>
          <w:rFonts w:ascii="仿宋" w:hAnsi="仿宋" w:eastAsia="仿宋" w:cs="仿宋"/>
          <w:spacing w:val="10"/>
          <w:sz w:val="25"/>
          <w:szCs w:val="25"/>
        </w:rPr>
        <w:t>划》实施矿业专业升级和绿色矿业发展理念，</w:t>
      </w:r>
      <w:r>
        <w:rPr>
          <w:rFonts w:ascii="仿宋" w:hAnsi="仿宋" w:eastAsia="仿宋" w:cs="仿宋"/>
          <w:spacing w:val="9"/>
          <w:sz w:val="25"/>
          <w:szCs w:val="25"/>
        </w:rPr>
        <w:t>新建和生产矿山地质环境闭坑后</w:t>
      </w:r>
      <w:r>
        <w:rPr>
          <w:rFonts w:ascii="仿宋" w:hAnsi="仿宋" w:eastAsia="仿宋" w:cs="仿宋"/>
          <w:sz w:val="25"/>
          <w:szCs w:val="25"/>
        </w:rPr>
        <w:t xml:space="preserve"> </w:t>
      </w:r>
      <w:r>
        <w:rPr>
          <w:rFonts w:ascii="仿宋" w:hAnsi="仿宋" w:eastAsia="仿宋" w:cs="仿宋"/>
          <w:spacing w:val="8"/>
          <w:sz w:val="25"/>
          <w:szCs w:val="25"/>
        </w:rPr>
        <w:t>全面治理，矿山开采带来的地形地貌影响是可控的。</w:t>
      </w:r>
    </w:p>
    <w:p w14:paraId="60715E87">
      <w:pPr>
        <w:spacing w:before="1" w:line="340" w:lineRule="auto"/>
        <w:ind w:left="26" w:right="88" w:firstLine="511"/>
        <w:rPr>
          <w:rFonts w:ascii="仿宋" w:hAnsi="仿宋" w:eastAsia="仿宋" w:cs="仿宋"/>
          <w:sz w:val="25"/>
          <w:szCs w:val="25"/>
        </w:rPr>
      </w:pPr>
      <w:r>
        <w:rPr>
          <w:rFonts w:ascii="仿宋" w:hAnsi="仿宋" w:eastAsia="仿宋" w:cs="仿宋"/>
          <w:spacing w:val="9"/>
          <w:sz w:val="25"/>
          <w:szCs w:val="25"/>
        </w:rPr>
        <w:t>铝土矿和铸型用砂岩开采，矿井井下排水，地表沉陷，各种机械排放的废</w:t>
      </w:r>
      <w:r>
        <w:rPr>
          <w:rFonts w:ascii="仿宋" w:hAnsi="仿宋" w:eastAsia="仿宋" w:cs="仿宋"/>
          <w:spacing w:val="10"/>
          <w:sz w:val="25"/>
          <w:szCs w:val="25"/>
        </w:rPr>
        <w:t xml:space="preserve"> </w:t>
      </w:r>
      <w:r>
        <w:rPr>
          <w:rFonts w:ascii="仿宋" w:hAnsi="仿宋" w:eastAsia="仿宋" w:cs="仿宋"/>
          <w:spacing w:val="8"/>
          <w:sz w:val="25"/>
          <w:szCs w:val="25"/>
        </w:rPr>
        <w:t>气与油污等均会对周围的植被产生不良影响。</w:t>
      </w:r>
    </w:p>
    <w:p w14:paraId="7C0285B5">
      <w:pPr>
        <w:spacing w:before="6" w:line="338" w:lineRule="auto"/>
        <w:ind w:left="17" w:right="83" w:firstLine="521"/>
        <w:jc w:val="both"/>
        <w:rPr>
          <w:rFonts w:ascii="仿宋" w:hAnsi="仿宋" w:eastAsia="仿宋" w:cs="仿宋"/>
          <w:sz w:val="25"/>
          <w:szCs w:val="25"/>
        </w:rPr>
      </w:pPr>
      <w:r>
        <w:rPr>
          <w:rFonts w:ascii="仿宋" w:hAnsi="仿宋" w:eastAsia="仿宋" w:cs="仿宋"/>
          <w:spacing w:val="9"/>
          <w:sz w:val="25"/>
          <w:szCs w:val="25"/>
        </w:rPr>
        <w:t>采矿引起的地表沉陷将可能改变植被的生境，造成植被损失。地表沉陷对</w:t>
      </w:r>
      <w:r>
        <w:rPr>
          <w:rFonts w:ascii="仿宋" w:hAnsi="仿宋" w:eastAsia="仿宋" w:cs="仿宋"/>
          <w:spacing w:val="14"/>
          <w:sz w:val="25"/>
          <w:szCs w:val="25"/>
        </w:rPr>
        <w:t xml:space="preserve"> </w:t>
      </w:r>
      <w:r>
        <w:rPr>
          <w:rFonts w:ascii="仿宋" w:hAnsi="仿宋" w:eastAsia="仿宋" w:cs="仿宋"/>
          <w:spacing w:val="9"/>
          <w:sz w:val="25"/>
          <w:szCs w:val="25"/>
        </w:rPr>
        <w:t>地表植被和灌木的影响主要表现在滑坡、地裂缝造成的压埋，树木倾斜、歪倒</w:t>
      </w:r>
      <w:r>
        <w:rPr>
          <w:rFonts w:ascii="仿宋" w:hAnsi="仿宋" w:eastAsia="仿宋" w:cs="仿宋"/>
          <w:spacing w:val="18"/>
          <w:sz w:val="25"/>
          <w:szCs w:val="25"/>
        </w:rPr>
        <w:t xml:space="preserve"> </w:t>
      </w:r>
      <w:r>
        <w:rPr>
          <w:rFonts w:ascii="仿宋" w:hAnsi="仿宋" w:eastAsia="仿宋" w:cs="仿宋"/>
          <w:spacing w:val="8"/>
          <w:sz w:val="25"/>
          <w:szCs w:val="25"/>
        </w:rPr>
        <w:t>等。</w:t>
      </w:r>
      <w:r>
        <w:rPr>
          <w:rFonts w:ascii="仿宋" w:hAnsi="仿宋" w:eastAsia="仿宋" w:cs="仿宋"/>
          <w:spacing w:val="-73"/>
          <w:sz w:val="25"/>
          <w:szCs w:val="25"/>
        </w:rPr>
        <w:t xml:space="preserve"> </w:t>
      </w:r>
      <w:r>
        <w:rPr>
          <w:rFonts w:ascii="仿宋" w:hAnsi="仿宋" w:eastAsia="仿宋" w:cs="仿宋"/>
          <w:spacing w:val="8"/>
          <w:sz w:val="25"/>
          <w:szCs w:val="25"/>
        </w:rPr>
        <w:t>因此评价要求矿山在开采过程中，应采取有效的地表沉陷预防措施，如加</w:t>
      </w:r>
      <w:r>
        <w:rPr>
          <w:rFonts w:ascii="仿宋" w:hAnsi="仿宋" w:eastAsia="仿宋" w:cs="仿宋"/>
          <w:sz w:val="25"/>
          <w:szCs w:val="25"/>
        </w:rPr>
        <w:t xml:space="preserve"> </w:t>
      </w:r>
      <w:r>
        <w:rPr>
          <w:rFonts w:ascii="仿宋" w:hAnsi="仿宋" w:eastAsia="仿宋" w:cs="仿宋"/>
          <w:spacing w:val="9"/>
          <w:sz w:val="25"/>
          <w:szCs w:val="25"/>
        </w:rPr>
        <w:t>强地表沉陷监测，及时填补裂缝，对沉陷严重的地块，采取适宜的整地措施，</w:t>
      </w:r>
      <w:r>
        <w:rPr>
          <w:rFonts w:ascii="仿宋" w:hAnsi="仿宋" w:eastAsia="仿宋" w:cs="仿宋"/>
          <w:spacing w:val="18"/>
          <w:sz w:val="25"/>
          <w:szCs w:val="25"/>
        </w:rPr>
        <w:t xml:space="preserve"> </w:t>
      </w:r>
      <w:r>
        <w:rPr>
          <w:rFonts w:ascii="仿宋" w:hAnsi="仿宋" w:eastAsia="仿宋" w:cs="仿宋"/>
          <w:spacing w:val="9"/>
          <w:sz w:val="25"/>
          <w:szCs w:val="25"/>
        </w:rPr>
        <w:t>并补种适宜树种后，采动影响范围内的植被损失可控制在较低的水平。</w:t>
      </w:r>
    </w:p>
    <w:p w14:paraId="73BAD9C3">
      <w:pPr>
        <w:spacing w:before="5" w:line="339" w:lineRule="auto"/>
        <w:ind w:left="18" w:right="88" w:firstLine="549"/>
        <w:jc w:val="both"/>
        <w:rPr>
          <w:rFonts w:ascii="仿宋" w:hAnsi="仿宋" w:eastAsia="仿宋" w:cs="仿宋"/>
          <w:sz w:val="25"/>
          <w:szCs w:val="25"/>
        </w:rPr>
      </w:pPr>
      <w:r>
        <w:rPr>
          <w:rFonts w:ascii="仿宋" w:hAnsi="仿宋" w:eastAsia="仿宋" w:cs="仿宋"/>
          <w:spacing w:val="7"/>
          <w:sz w:val="25"/>
          <w:szCs w:val="25"/>
        </w:rPr>
        <w:t>同时，铝土矿和铸型用砂岩为井下开采，建设规模小，</w:t>
      </w:r>
      <w:r>
        <w:rPr>
          <w:rFonts w:ascii="仿宋" w:hAnsi="仿宋" w:eastAsia="仿宋" w:cs="仿宋"/>
          <w:spacing w:val="-74"/>
          <w:sz w:val="25"/>
          <w:szCs w:val="25"/>
        </w:rPr>
        <w:t xml:space="preserve"> </w:t>
      </w:r>
      <w:r>
        <w:rPr>
          <w:rFonts w:ascii="仿宋" w:hAnsi="仿宋" w:eastAsia="仿宋" w:cs="仿宋"/>
          <w:spacing w:val="7"/>
          <w:sz w:val="25"/>
          <w:szCs w:val="25"/>
        </w:rPr>
        <w:t>当地</w:t>
      </w:r>
      <w:r>
        <w:rPr>
          <w:rFonts w:ascii="仿宋" w:hAnsi="仿宋" w:eastAsia="仿宋" w:cs="仿宋"/>
          <w:spacing w:val="6"/>
          <w:sz w:val="25"/>
          <w:szCs w:val="25"/>
        </w:rPr>
        <w:t>植被多为常见</w:t>
      </w:r>
      <w:r>
        <w:rPr>
          <w:rFonts w:ascii="仿宋" w:hAnsi="仿宋" w:eastAsia="仿宋" w:cs="仿宋"/>
          <w:sz w:val="25"/>
          <w:szCs w:val="25"/>
        </w:rPr>
        <w:t xml:space="preserve"> </w:t>
      </w:r>
      <w:r>
        <w:rPr>
          <w:rFonts w:ascii="仿宋" w:hAnsi="仿宋" w:eastAsia="仿宋" w:cs="仿宋"/>
          <w:spacing w:val="9"/>
          <w:sz w:val="25"/>
          <w:szCs w:val="25"/>
        </w:rPr>
        <w:t>种，通过采取以上措施后，不会使区域的植物群落的种类组成发生变化，也不</w:t>
      </w:r>
      <w:r>
        <w:rPr>
          <w:rFonts w:ascii="仿宋" w:hAnsi="仿宋" w:eastAsia="仿宋" w:cs="仿宋"/>
          <w:spacing w:val="12"/>
          <w:sz w:val="25"/>
          <w:szCs w:val="25"/>
        </w:rPr>
        <w:t xml:space="preserve"> </w:t>
      </w:r>
      <w:r>
        <w:rPr>
          <w:rFonts w:ascii="仿宋" w:hAnsi="仿宋" w:eastAsia="仿宋" w:cs="仿宋"/>
          <w:spacing w:val="9"/>
          <w:sz w:val="25"/>
          <w:szCs w:val="25"/>
        </w:rPr>
        <w:t>会造成某一植物种的消失，规划实施对地表植被影响是可以接</w:t>
      </w:r>
      <w:r>
        <w:rPr>
          <w:rFonts w:ascii="仿宋" w:hAnsi="仿宋" w:eastAsia="仿宋" w:cs="仿宋"/>
          <w:spacing w:val="8"/>
          <w:sz w:val="25"/>
          <w:szCs w:val="25"/>
        </w:rPr>
        <w:t>受的。</w:t>
      </w:r>
    </w:p>
    <w:p w14:paraId="1DA280CE">
      <w:pPr>
        <w:spacing w:before="11" w:line="228" w:lineRule="auto"/>
        <w:ind w:left="452"/>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2</w:t>
      </w:r>
      <w:r>
        <w:rPr>
          <w:rFonts w:ascii="仿宋" w:hAnsi="仿宋" w:eastAsia="仿宋" w:cs="仿宋"/>
          <w:spacing w:val="7"/>
          <w:sz w:val="25"/>
          <w:szCs w:val="25"/>
        </w:rPr>
        <w:t>）对动物的影响</w:t>
      </w:r>
    </w:p>
    <w:p w14:paraId="0B8F4ACE">
      <w:pPr>
        <w:spacing w:before="148" w:line="340" w:lineRule="auto"/>
        <w:ind w:left="17" w:right="12" w:firstLine="481"/>
        <w:rPr>
          <w:rFonts w:ascii="仿宋" w:hAnsi="仿宋" w:eastAsia="仿宋" w:cs="仿宋"/>
          <w:sz w:val="25"/>
          <w:szCs w:val="25"/>
        </w:rPr>
      </w:pPr>
      <w:r>
        <w:rPr>
          <w:rFonts w:ascii="仿宋" w:hAnsi="仿宋" w:eastAsia="仿宋" w:cs="仿宋"/>
          <w:spacing w:val="11"/>
          <w:sz w:val="25"/>
          <w:szCs w:val="25"/>
        </w:rPr>
        <w:t>对动物的影响主要体现在两个方面：一方面是地表沉</w:t>
      </w:r>
      <w:r>
        <w:rPr>
          <w:rFonts w:ascii="仿宋" w:hAnsi="仿宋" w:eastAsia="仿宋" w:cs="仿宋"/>
          <w:spacing w:val="10"/>
          <w:sz w:val="25"/>
          <w:szCs w:val="25"/>
        </w:rPr>
        <w:t>陷破坏植被使陆生动</w:t>
      </w:r>
      <w:r>
        <w:rPr>
          <w:rFonts w:ascii="仿宋" w:hAnsi="仿宋" w:eastAsia="仿宋" w:cs="仿宋"/>
          <w:sz w:val="25"/>
          <w:szCs w:val="25"/>
        </w:rPr>
        <w:t xml:space="preserve"> </w:t>
      </w:r>
      <w:r>
        <w:rPr>
          <w:rFonts w:ascii="仿宋" w:hAnsi="仿宋" w:eastAsia="仿宋" w:cs="仿宋"/>
          <w:spacing w:val="9"/>
          <w:sz w:val="25"/>
          <w:szCs w:val="25"/>
        </w:rPr>
        <w:t>物失去食物补给以及地表沉陷新朔地貌的改变。因地表沉陷对植被的影响主要</w:t>
      </w:r>
      <w:r>
        <w:rPr>
          <w:rFonts w:ascii="仿宋" w:hAnsi="仿宋" w:eastAsia="仿宋" w:cs="仿宋"/>
          <w:spacing w:val="18"/>
          <w:sz w:val="25"/>
          <w:szCs w:val="25"/>
        </w:rPr>
        <w:t xml:space="preserve"> </w:t>
      </w:r>
      <w:r>
        <w:rPr>
          <w:rFonts w:ascii="仿宋" w:hAnsi="仿宋" w:eastAsia="仿宋" w:cs="仿宋"/>
          <w:spacing w:val="9"/>
          <w:sz w:val="25"/>
          <w:szCs w:val="25"/>
        </w:rPr>
        <w:t>发生在非连续变形的区域对开采破坏植被的量很少，不会破坏矿井范围内的生</w:t>
      </w:r>
      <w:r>
        <w:rPr>
          <w:rFonts w:ascii="仿宋" w:hAnsi="仿宋" w:eastAsia="仿宋" w:cs="仿宋"/>
          <w:spacing w:val="18"/>
          <w:sz w:val="25"/>
          <w:szCs w:val="25"/>
        </w:rPr>
        <w:t xml:space="preserve"> </w:t>
      </w:r>
      <w:r>
        <w:rPr>
          <w:rFonts w:ascii="仿宋" w:hAnsi="仿宋" w:eastAsia="仿宋" w:cs="仿宋"/>
          <w:spacing w:val="4"/>
          <w:sz w:val="25"/>
          <w:szCs w:val="25"/>
        </w:rPr>
        <w:t>物群落结构。另一方面是开采的生产噪声可能引起野生动物局部的迁移，然而，</w:t>
      </w:r>
      <w:r>
        <w:rPr>
          <w:rFonts w:ascii="仿宋" w:hAnsi="仿宋" w:eastAsia="仿宋" w:cs="仿宋"/>
          <w:spacing w:val="6"/>
          <w:sz w:val="25"/>
          <w:szCs w:val="25"/>
        </w:rPr>
        <w:t xml:space="preserve"> </w:t>
      </w:r>
      <w:r>
        <w:rPr>
          <w:rFonts w:ascii="仿宋" w:hAnsi="仿宋" w:eastAsia="仿宋" w:cs="仿宋"/>
          <w:spacing w:val="4"/>
          <w:sz w:val="25"/>
          <w:szCs w:val="25"/>
        </w:rPr>
        <w:t>由于评价区野生动物种类较少，且多为当地居民饲养的家禽和一些常见的鸟类，</w:t>
      </w:r>
      <w:r>
        <w:rPr>
          <w:rFonts w:ascii="仿宋" w:hAnsi="仿宋" w:eastAsia="仿宋" w:cs="仿宋"/>
          <w:spacing w:val="6"/>
          <w:sz w:val="25"/>
          <w:szCs w:val="25"/>
        </w:rPr>
        <w:t xml:space="preserve"> </w:t>
      </w:r>
      <w:r>
        <w:rPr>
          <w:rFonts w:ascii="仿宋" w:hAnsi="仿宋" w:eastAsia="仿宋" w:cs="仿宋"/>
          <w:spacing w:val="7"/>
          <w:sz w:val="25"/>
          <w:szCs w:val="25"/>
        </w:rPr>
        <w:t>因此这种不利影响是可以接受的。</w:t>
      </w:r>
    </w:p>
    <w:p w14:paraId="65ED79B5">
      <w:pPr>
        <w:spacing w:line="229" w:lineRule="auto"/>
        <w:ind w:left="541"/>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3</w:t>
      </w:r>
      <w:r>
        <w:rPr>
          <w:rFonts w:ascii="仿宋" w:hAnsi="仿宋" w:eastAsia="仿宋" w:cs="仿宋"/>
          <w:spacing w:val="7"/>
          <w:sz w:val="25"/>
          <w:szCs w:val="25"/>
        </w:rPr>
        <w:t>）对地下水的影响</w:t>
      </w:r>
    </w:p>
    <w:p w14:paraId="57F81F00">
      <w:pPr>
        <w:spacing w:line="229" w:lineRule="auto"/>
        <w:rPr>
          <w:rFonts w:ascii="仿宋" w:hAnsi="仿宋" w:eastAsia="仿宋" w:cs="仿宋"/>
          <w:sz w:val="25"/>
          <w:szCs w:val="25"/>
        </w:rPr>
        <w:sectPr>
          <w:headerReference r:id="rId188" w:type="default"/>
          <w:footerReference r:id="rId189" w:type="default"/>
          <w:pgSz w:w="11906" w:h="16839"/>
          <w:pgMar w:top="1116" w:right="1392" w:bottom="866" w:left="1587" w:header="683" w:footer="703" w:gutter="0"/>
          <w:cols w:space="720" w:num="1"/>
        </w:sectPr>
      </w:pPr>
    </w:p>
    <w:p w14:paraId="5CBDED9A">
      <w:pPr>
        <w:pStyle w:val="2"/>
        <w:spacing w:line="391" w:lineRule="auto"/>
      </w:pPr>
    </w:p>
    <w:p w14:paraId="35A80B0B">
      <w:pPr>
        <w:spacing w:before="81" w:line="339" w:lineRule="auto"/>
        <w:ind w:left="16" w:firstLine="481"/>
        <w:jc w:val="both"/>
        <w:rPr>
          <w:rFonts w:ascii="仿宋" w:hAnsi="仿宋" w:eastAsia="仿宋" w:cs="仿宋"/>
          <w:sz w:val="25"/>
          <w:szCs w:val="25"/>
        </w:rPr>
      </w:pPr>
      <w:r>
        <w:rPr>
          <w:rFonts w:ascii="仿宋" w:hAnsi="仿宋" w:eastAsia="仿宋" w:cs="仿宋"/>
          <w:spacing w:val="8"/>
          <w:sz w:val="25"/>
          <w:szCs w:val="25"/>
        </w:rPr>
        <w:t>本次规划调整的地下勘查区块</w:t>
      </w:r>
      <w:r>
        <w:rPr>
          <w:rFonts w:ascii="仿宋" w:hAnsi="仿宋" w:eastAsia="仿宋" w:cs="仿宋"/>
          <w:spacing w:val="-53"/>
          <w:sz w:val="25"/>
          <w:szCs w:val="25"/>
        </w:rPr>
        <w:t xml:space="preserve"> </w:t>
      </w:r>
      <w:r>
        <w:rPr>
          <w:rFonts w:ascii="Times New Roman" w:hAnsi="Times New Roman" w:eastAsia="Times New Roman" w:cs="Times New Roman"/>
          <w:sz w:val="25"/>
          <w:szCs w:val="25"/>
        </w:rPr>
        <w:t>KQ</w:t>
      </w:r>
      <w:r>
        <w:rPr>
          <w:rFonts w:ascii="Times New Roman" w:hAnsi="Times New Roman" w:eastAsia="Times New Roman" w:cs="Times New Roman"/>
          <w:spacing w:val="8"/>
          <w:sz w:val="25"/>
          <w:szCs w:val="25"/>
        </w:rPr>
        <w:t>004</w:t>
      </w:r>
      <w:r>
        <w:rPr>
          <w:rFonts w:ascii="Times New Roman" w:hAnsi="Times New Roman" w:eastAsia="Times New Roman" w:cs="Times New Roman"/>
          <w:spacing w:val="29"/>
          <w:sz w:val="25"/>
          <w:szCs w:val="25"/>
        </w:rPr>
        <w:t xml:space="preserve"> </w:t>
      </w:r>
      <w:r>
        <w:rPr>
          <w:rFonts w:ascii="仿宋" w:hAnsi="仿宋" w:eastAsia="仿宋" w:cs="仿宋"/>
          <w:spacing w:val="8"/>
          <w:sz w:val="25"/>
          <w:szCs w:val="25"/>
        </w:rPr>
        <w:t>为铝土矿，勘查区</w:t>
      </w:r>
      <w:r>
        <w:rPr>
          <w:rFonts w:ascii="仿宋" w:hAnsi="仿宋" w:eastAsia="仿宋" w:cs="仿宋"/>
          <w:spacing w:val="7"/>
          <w:sz w:val="25"/>
          <w:szCs w:val="25"/>
        </w:rPr>
        <w:t>内共有</w:t>
      </w:r>
      <w:r>
        <w:rPr>
          <w:rFonts w:ascii="Times New Roman" w:hAnsi="Times New Roman" w:eastAsia="Times New Roman" w:cs="Times New Roman"/>
          <w:spacing w:val="7"/>
          <w:sz w:val="25"/>
          <w:szCs w:val="25"/>
        </w:rPr>
        <w:t>2</w:t>
      </w:r>
      <w:r>
        <w:rPr>
          <w:rFonts w:ascii="Times New Roman" w:hAnsi="Times New Roman" w:eastAsia="Times New Roman" w:cs="Times New Roman"/>
          <w:spacing w:val="21"/>
          <w:sz w:val="25"/>
          <w:szCs w:val="25"/>
        </w:rPr>
        <w:t xml:space="preserve"> </w:t>
      </w:r>
      <w:r>
        <w:rPr>
          <w:rFonts w:ascii="仿宋" w:hAnsi="仿宋" w:eastAsia="仿宋" w:cs="仿宋"/>
          <w:spacing w:val="7"/>
          <w:sz w:val="25"/>
          <w:szCs w:val="25"/>
        </w:rPr>
        <w:t>个矿带，</w:t>
      </w:r>
      <w:r>
        <w:rPr>
          <w:rFonts w:ascii="仿宋" w:hAnsi="仿宋" w:eastAsia="仿宋" w:cs="仿宋"/>
          <w:sz w:val="25"/>
          <w:szCs w:val="25"/>
        </w:rPr>
        <w:t xml:space="preserve"> </w:t>
      </w:r>
      <w:r>
        <w:rPr>
          <w:rFonts w:ascii="仿宋" w:hAnsi="仿宋" w:eastAsia="仿宋" w:cs="仿宋"/>
          <w:spacing w:val="10"/>
          <w:sz w:val="25"/>
          <w:szCs w:val="25"/>
        </w:rPr>
        <w:t>分别位于黔江背斜南东翼和北西翼，矿体均</w:t>
      </w:r>
      <w:r>
        <w:rPr>
          <w:rFonts w:ascii="仿宋" w:hAnsi="仿宋" w:eastAsia="仿宋" w:cs="仿宋"/>
          <w:spacing w:val="9"/>
          <w:sz w:val="25"/>
          <w:szCs w:val="25"/>
        </w:rPr>
        <w:t>赋存于含矿岩系二叠系下统梁山组</w:t>
      </w:r>
      <w:r>
        <w:rPr>
          <w:rFonts w:ascii="仿宋" w:hAnsi="仿宋" w:eastAsia="仿宋" w:cs="仿宋"/>
          <w:sz w:val="25"/>
          <w:szCs w:val="25"/>
        </w:rPr>
        <w:t xml:space="preserve"> </w:t>
      </w:r>
      <w:r>
        <w:rPr>
          <w:rFonts w:ascii="仿宋" w:hAnsi="仿宋" w:eastAsia="仿宋" w:cs="仿宋"/>
          <w:spacing w:val="6"/>
          <w:sz w:val="25"/>
          <w:szCs w:val="25"/>
        </w:rPr>
        <w:t>中下部（</w:t>
      </w:r>
      <w:r>
        <w:rPr>
          <w:rFonts w:ascii="Times New Roman" w:hAnsi="Times New Roman" w:eastAsia="Times New Roman" w:cs="Times New Roman"/>
          <w:spacing w:val="6"/>
          <w:sz w:val="25"/>
          <w:szCs w:val="25"/>
        </w:rPr>
        <w:t>P</w:t>
      </w:r>
      <w:r>
        <w:rPr>
          <w:rFonts w:ascii="Times New Roman" w:hAnsi="Times New Roman" w:eastAsia="Times New Roman" w:cs="Times New Roman"/>
          <w:spacing w:val="6"/>
          <w:position w:val="-2"/>
          <w:sz w:val="16"/>
          <w:szCs w:val="16"/>
        </w:rPr>
        <w:t>2</w:t>
      </w:r>
      <w:r>
        <w:rPr>
          <w:rFonts w:ascii="Times New Roman" w:hAnsi="Times New Roman" w:eastAsia="Times New Roman" w:cs="Times New Roman"/>
          <w:spacing w:val="6"/>
          <w:sz w:val="25"/>
          <w:szCs w:val="25"/>
        </w:rPr>
        <w:t>l</w:t>
      </w:r>
      <w:r>
        <w:rPr>
          <w:rFonts w:ascii="仿宋" w:hAnsi="仿宋" w:eastAsia="仿宋" w:cs="仿宋"/>
          <w:spacing w:val="28"/>
          <w:sz w:val="25"/>
          <w:szCs w:val="25"/>
        </w:rPr>
        <w:t>），</w:t>
      </w:r>
      <w:r>
        <w:rPr>
          <w:rFonts w:ascii="仿宋" w:hAnsi="仿宋" w:eastAsia="仿宋" w:cs="仿宋"/>
          <w:spacing w:val="6"/>
          <w:sz w:val="25"/>
          <w:szCs w:val="25"/>
        </w:rPr>
        <w:t>呈脊山及“盖状</w:t>
      </w:r>
      <w:r>
        <w:rPr>
          <w:rFonts w:ascii="仿宋" w:hAnsi="仿宋" w:eastAsia="仿宋" w:cs="仿宋"/>
          <w:spacing w:val="-87"/>
          <w:sz w:val="25"/>
          <w:szCs w:val="25"/>
        </w:rPr>
        <w:t xml:space="preserve"> </w:t>
      </w:r>
      <w:r>
        <w:rPr>
          <w:rFonts w:ascii="仿宋" w:hAnsi="仿宋" w:eastAsia="仿宋" w:cs="仿宋"/>
          <w:spacing w:val="6"/>
          <w:sz w:val="25"/>
          <w:szCs w:val="25"/>
        </w:rPr>
        <w:t>”山，多为风化带网状裂隙水，其透水性差，</w:t>
      </w:r>
      <w:r>
        <w:rPr>
          <w:rFonts w:ascii="仿宋" w:hAnsi="仿宋" w:eastAsia="仿宋" w:cs="仿宋"/>
          <w:sz w:val="25"/>
          <w:szCs w:val="25"/>
        </w:rPr>
        <w:t xml:space="preserve"> </w:t>
      </w:r>
      <w:r>
        <w:rPr>
          <w:rFonts w:ascii="仿宋" w:hAnsi="仿宋" w:eastAsia="仿宋" w:cs="仿宋"/>
          <w:spacing w:val="6"/>
          <w:sz w:val="25"/>
          <w:szCs w:val="25"/>
        </w:rPr>
        <w:t>属相对隔水层；其顶板为二叠系栖霞组一段（</w:t>
      </w:r>
      <w:r>
        <w:rPr>
          <w:rFonts w:ascii="Times New Roman" w:hAnsi="Times New Roman" w:eastAsia="Times New Roman" w:cs="Times New Roman"/>
          <w:spacing w:val="6"/>
          <w:sz w:val="25"/>
          <w:szCs w:val="25"/>
        </w:rPr>
        <w:t>P</w:t>
      </w:r>
      <w:r>
        <w:rPr>
          <w:rFonts w:ascii="Times New Roman" w:hAnsi="Times New Roman" w:eastAsia="Times New Roman" w:cs="Times New Roman"/>
          <w:spacing w:val="6"/>
          <w:position w:val="-2"/>
          <w:sz w:val="16"/>
          <w:szCs w:val="16"/>
        </w:rPr>
        <w:t>2</w:t>
      </w:r>
      <w:r>
        <w:rPr>
          <w:rFonts w:ascii="Times New Roman" w:hAnsi="Times New Roman" w:eastAsia="Times New Roman" w:cs="Times New Roman"/>
          <w:spacing w:val="6"/>
          <w:sz w:val="25"/>
          <w:szCs w:val="25"/>
        </w:rPr>
        <w:t>q</w:t>
      </w:r>
      <w:r>
        <w:rPr>
          <w:rFonts w:ascii="仿宋" w:hAnsi="仿宋" w:eastAsia="仿宋" w:cs="仿宋"/>
          <w:spacing w:val="6"/>
          <w:sz w:val="25"/>
          <w:szCs w:val="25"/>
        </w:rPr>
        <w:t>）灰黑色中厚层状沥青质生物</w:t>
      </w:r>
      <w:r>
        <w:rPr>
          <w:rFonts w:ascii="仿宋" w:hAnsi="仿宋" w:eastAsia="仿宋" w:cs="仿宋"/>
          <w:spacing w:val="17"/>
          <w:sz w:val="25"/>
          <w:szCs w:val="25"/>
        </w:rPr>
        <w:t xml:space="preserve"> </w:t>
      </w:r>
      <w:r>
        <w:rPr>
          <w:rFonts w:ascii="仿宋" w:hAnsi="仿宋" w:eastAsia="仿宋" w:cs="仿宋"/>
          <w:spacing w:val="10"/>
          <w:sz w:val="25"/>
          <w:szCs w:val="25"/>
        </w:rPr>
        <w:t>屑灰岩与深灰色薄～中厚层状粉屑生物微晶</w:t>
      </w:r>
      <w:r>
        <w:rPr>
          <w:rFonts w:ascii="仿宋" w:hAnsi="仿宋" w:eastAsia="仿宋" w:cs="仿宋"/>
          <w:spacing w:val="9"/>
          <w:sz w:val="25"/>
          <w:szCs w:val="25"/>
        </w:rPr>
        <w:t>灰岩互层，为相对含水层，其中地</w:t>
      </w:r>
      <w:r>
        <w:rPr>
          <w:rFonts w:ascii="仿宋" w:hAnsi="仿宋" w:eastAsia="仿宋" w:cs="仿宋"/>
          <w:sz w:val="25"/>
          <w:szCs w:val="25"/>
        </w:rPr>
        <w:t xml:space="preserve"> </w:t>
      </w:r>
      <w:r>
        <w:rPr>
          <w:rFonts w:ascii="仿宋" w:hAnsi="仿宋" w:eastAsia="仿宋" w:cs="仿宋"/>
          <w:spacing w:val="10"/>
          <w:sz w:val="25"/>
          <w:szCs w:val="25"/>
        </w:rPr>
        <w:t>下水沿裂隙、岩溶管道渗入矿井，但水量一</w:t>
      </w:r>
      <w:r>
        <w:rPr>
          <w:rFonts w:ascii="仿宋" w:hAnsi="仿宋" w:eastAsia="仿宋" w:cs="仿宋"/>
          <w:spacing w:val="9"/>
          <w:sz w:val="25"/>
          <w:szCs w:val="25"/>
        </w:rPr>
        <w:t>般不大，对开采无大的影响；矿层</w:t>
      </w:r>
      <w:r>
        <w:rPr>
          <w:rFonts w:ascii="仿宋" w:hAnsi="仿宋" w:eastAsia="仿宋" w:cs="仿宋"/>
          <w:sz w:val="25"/>
          <w:szCs w:val="25"/>
        </w:rPr>
        <w:t xml:space="preserve"> </w:t>
      </w:r>
      <w:r>
        <w:rPr>
          <w:rFonts w:ascii="仿宋" w:hAnsi="仿宋" w:eastAsia="仿宋" w:cs="仿宋"/>
          <w:spacing w:val="10"/>
          <w:sz w:val="25"/>
          <w:szCs w:val="25"/>
        </w:rPr>
        <w:t>直接顶板较薄，不能起到良好的隔水作用，</w:t>
      </w:r>
      <w:r>
        <w:rPr>
          <w:rFonts w:ascii="仿宋" w:hAnsi="仿宋" w:eastAsia="仿宋" w:cs="仿宋"/>
          <w:spacing w:val="9"/>
          <w:sz w:val="25"/>
          <w:szCs w:val="25"/>
        </w:rPr>
        <w:t>采空面积增大可能直接破坏顶板稳</w:t>
      </w:r>
      <w:r>
        <w:rPr>
          <w:rFonts w:ascii="仿宋" w:hAnsi="仿宋" w:eastAsia="仿宋" w:cs="仿宋"/>
          <w:sz w:val="25"/>
          <w:szCs w:val="25"/>
        </w:rPr>
        <w:t xml:space="preserve"> </w:t>
      </w:r>
      <w:r>
        <w:rPr>
          <w:rFonts w:ascii="仿宋" w:hAnsi="仿宋" w:eastAsia="仿宋" w:cs="仿宋"/>
          <w:spacing w:val="8"/>
          <w:sz w:val="25"/>
          <w:szCs w:val="25"/>
        </w:rPr>
        <w:t>定，造成顶板冒落进水，</w:t>
      </w:r>
      <w:r>
        <w:rPr>
          <w:rFonts w:ascii="仿宋" w:hAnsi="仿宋" w:eastAsia="仿宋" w:cs="仿宋"/>
          <w:spacing w:val="-72"/>
          <w:sz w:val="25"/>
          <w:szCs w:val="25"/>
        </w:rPr>
        <w:t xml:space="preserve"> </w:t>
      </w:r>
      <w:r>
        <w:rPr>
          <w:rFonts w:ascii="仿宋" w:hAnsi="仿宋" w:eastAsia="仿宋" w:cs="仿宋"/>
          <w:spacing w:val="8"/>
          <w:sz w:val="25"/>
          <w:szCs w:val="25"/>
        </w:rPr>
        <w:t>因此在后续开采过程中如遇裂隙或岩溶发育地带，应</w:t>
      </w:r>
      <w:r>
        <w:rPr>
          <w:rFonts w:ascii="仿宋" w:hAnsi="仿宋" w:eastAsia="仿宋" w:cs="仿宋"/>
          <w:sz w:val="25"/>
          <w:szCs w:val="25"/>
        </w:rPr>
        <w:t xml:space="preserve"> </w:t>
      </w:r>
      <w:r>
        <w:rPr>
          <w:rFonts w:ascii="仿宋" w:hAnsi="仿宋" w:eastAsia="仿宋" w:cs="仿宋"/>
          <w:spacing w:val="8"/>
          <w:sz w:val="25"/>
          <w:szCs w:val="25"/>
        </w:rPr>
        <w:t>严防岩溶水和上部采空区突水引起突水事故。</w:t>
      </w:r>
    </w:p>
    <w:p w14:paraId="688763BF">
      <w:pPr>
        <w:spacing w:before="1" w:line="340" w:lineRule="auto"/>
        <w:ind w:left="16" w:right="11" w:firstLine="481"/>
        <w:jc w:val="both"/>
        <w:rPr>
          <w:rFonts w:ascii="仿宋" w:hAnsi="仿宋" w:eastAsia="仿宋" w:cs="仿宋"/>
          <w:sz w:val="25"/>
          <w:szCs w:val="25"/>
        </w:rPr>
      </w:pPr>
      <w:r>
        <w:rPr>
          <w:rFonts w:ascii="仿宋" w:hAnsi="仿宋" w:eastAsia="仿宋" w:cs="仿宋"/>
          <w:spacing w:val="11"/>
          <w:sz w:val="25"/>
          <w:szCs w:val="25"/>
        </w:rPr>
        <w:t>铝土矿开采过程中产生的矿井涌水暂存在井下水仓内，</w:t>
      </w:r>
      <w:r>
        <w:rPr>
          <w:rFonts w:ascii="仿宋" w:hAnsi="仿宋" w:eastAsia="仿宋" w:cs="仿宋"/>
          <w:spacing w:val="10"/>
          <w:sz w:val="25"/>
          <w:szCs w:val="25"/>
        </w:rPr>
        <w:t>经沉淀处理后直接</w:t>
      </w:r>
      <w:r>
        <w:rPr>
          <w:rFonts w:ascii="仿宋" w:hAnsi="仿宋" w:eastAsia="仿宋" w:cs="仿宋"/>
          <w:sz w:val="25"/>
          <w:szCs w:val="25"/>
        </w:rPr>
        <w:t xml:space="preserve"> </w:t>
      </w:r>
      <w:r>
        <w:rPr>
          <w:rFonts w:ascii="仿宋" w:hAnsi="仿宋" w:eastAsia="仿宋" w:cs="仿宋"/>
          <w:spacing w:val="10"/>
          <w:sz w:val="25"/>
          <w:szCs w:val="25"/>
        </w:rPr>
        <w:t>用于湿式凿岩和井下工作面降尘等生产用水</w:t>
      </w:r>
      <w:r>
        <w:rPr>
          <w:rFonts w:ascii="仿宋" w:hAnsi="仿宋" w:eastAsia="仿宋" w:cs="仿宋"/>
          <w:spacing w:val="9"/>
          <w:sz w:val="25"/>
          <w:szCs w:val="25"/>
        </w:rPr>
        <w:t>，剩余部分采用泵抽至工业广场设</w:t>
      </w:r>
      <w:r>
        <w:rPr>
          <w:rFonts w:ascii="仿宋" w:hAnsi="仿宋" w:eastAsia="仿宋" w:cs="仿宋"/>
          <w:sz w:val="25"/>
          <w:szCs w:val="25"/>
        </w:rPr>
        <w:t xml:space="preserve"> </w:t>
      </w:r>
      <w:r>
        <w:rPr>
          <w:rFonts w:ascii="仿宋" w:hAnsi="仿宋" w:eastAsia="仿宋" w:cs="仿宋"/>
          <w:spacing w:val="8"/>
          <w:sz w:val="25"/>
          <w:szCs w:val="25"/>
        </w:rPr>
        <w:t>置的矿井水处理站，经处理后尽量回用不外排。</w:t>
      </w:r>
    </w:p>
    <w:p w14:paraId="1DD2BE6E">
      <w:pPr>
        <w:spacing w:before="3" w:line="339" w:lineRule="auto"/>
        <w:ind w:left="15" w:right="9" w:firstLine="481"/>
        <w:jc w:val="both"/>
        <w:rPr>
          <w:rFonts w:ascii="仿宋" w:hAnsi="仿宋" w:eastAsia="仿宋" w:cs="仿宋"/>
          <w:sz w:val="25"/>
          <w:szCs w:val="25"/>
        </w:rPr>
      </w:pPr>
      <w:r>
        <w:rPr>
          <w:rFonts w:ascii="仿宋" w:hAnsi="仿宋" w:eastAsia="仿宋" w:cs="仿宋"/>
          <w:spacing w:val="6"/>
          <w:sz w:val="25"/>
          <w:szCs w:val="25"/>
        </w:rPr>
        <w:t>本次规划新增的地下勘查区块</w:t>
      </w:r>
      <w:r>
        <w:rPr>
          <w:rFonts w:ascii="仿宋" w:hAnsi="仿宋" w:eastAsia="仿宋" w:cs="仿宋"/>
          <w:spacing w:val="-50"/>
          <w:sz w:val="25"/>
          <w:szCs w:val="25"/>
        </w:rPr>
        <w:t xml:space="preserve"> </w:t>
      </w:r>
      <w:r>
        <w:rPr>
          <w:rFonts w:ascii="Times New Roman" w:hAnsi="Times New Roman" w:eastAsia="Times New Roman" w:cs="Times New Roman"/>
          <w:sz w:val="25"/>
          <w:szCs w:val="25"/>
        </w:rPr>
        <w:t>KQ</w:t>
      </w:r>
      <w:r>
        <w:rPr>
          <w:rFonts w:ascii="Times New Roman" w:hAnsi="Times New Roman" w:eastAsia="Times New Roman" w:cs="Times New Roman"/>
          <w:spacing w:val="6"/>
          <w:sz w:val="25"/>
          <w:szCs w:val="25"/>
        </w:rPr>
        <w:t>009</w:t>
      </w:r>
      <w:r>
        <w:rPr>
          <w:rFonts w:ascii="Times New Roman" w:hAnsi="Times New Roman" w:eastAsia="Times New Roman" w:cs="Times New Roman"/>
          <w:spacing w:val="29"/>
          <w:sz w:val="25"/>
          <w:szCs w:val="25"/>
        </w:rPr>
        <w:t xml:space="preserve"> </w:t>
      </w:r>
      <w:r>
        <w:rPr>
          <w:rFonts w:ascii="仿宋" w:hAnsi="仿宋" w:eastAsia="仿宋" w:cs="仿宋"/>
          <w:spacing w:val="6"/>
          <w:sz w:val="25"/>
          <w:szCs w:val="25"/>
        </w:rPr>
        <w:t>为铸型用砂岩矿，位于马槽坝向斜南</w:t>
      </w:r>
      <w:r>
        <w:rPr>
          <w:rFonts w:ascii="仿宋" w:hAnsi="仿宋" w:eastAsia="仿宋" w:cs="仿宋"/>
          <w:sz w:val="25"/>
          <w:szCs w:val="25"/>
        </w:rPr>
        <w:t xml:space="preserve"> </w:t>
      </w:r>
      <w:r>
        <w:rPr>
          <w:rFonts w:ascii="仿宋" w:hAnsi="仿宋" w:eastAsia="仿宋" w:cs="仿宋"/>
          <w:spacing w:val="7"/>
          <w:sz w:val="25"/>
          <w:szCs w:val="25"/>
        </w:rPr>
        <w:t>东翼，处于陡崖地带，矿体赋存于泥盆系上统水车坪组下部</w:t>
      </w:r>
      <w:r>
        <w:rPr>
          <w:rFonts w:ascii="Times New Roman" w:hAnsi="Times New Roman" w:eastAsia="Times New Roman" w:cs="Times New Roman"/>
          <w:spacing w:val="7"/>
          <w:sz w:val="25"/>
          <w:szCs w:val="25"/>
        </w:rPr>
        <w:t>(D</w:t>
      </w:r>
      <w:r>
        <w:rPr>
          <w:rFonts w:ascii="Times New Roman" w:hAnsi="Times New Roman" w:eastAsia="Times New Roman" w:cs="Times New Roman"/>
          <w:spacing w:val="7"/>
          <w:sz w:val="16"/>
          <w:szCs w:val="16"/>
        </w:rPr>
        <w:t>3</w:t>
      </w:r>
      <w:r>
        <w:rPr>
          <w:rFonts w:ascii="Times New Roman" w:hAnsi="Times New Roman" w:eastAsia="Times New Roman" w:cs="Times New Roman"/>
          <w:spacing w:val="7"/>
          <w:sz w:val="25"/>
          <w:szCs w:val="25"/>
        </w:rPr>
        <w:t>s)</w:t>
      </w:r>
      <w:r>
        <w:rPr>
          <w:rFonts w:ascii="Times New Roman" w:hAnsi="Times New Roman" w:eastAsia="Times New Roman" w:cs="Times New Roman"/>
          <w:spacing w:val="-20"/>
          <w:sz w:val="25"/>
          <w:szCs w:val="25"/>
        </w:rPr>
        <w:t xml:space="preserve"> </w:t>
      </w:r>
      <w:r>
        <w:rPr>
          <w:rFonts w:ascii="仿宋" w:hAnsi="仿宋" w:eastAsia="仿宋" w:cs="仿宋"/>
          <w:spacing w:val="7"/>
          <w:sz w:val="25"/>
          <w:szCs w:val="25"/>
        </w:rPr>
        <w:t>，区域内地下</w:t>
      </w:r>
      <w:r>
        <w:rPr>
          <w:rFonts w:ascii="仿宋" w:hAnsi="仿宋" w:eastAsia="仿宋" w:cs="仿宋"/>
          <w:sz w:val="25"/>
          <w:szCs w:val="25"/>
        </w:rPr>
        <w:t xml:space="preserve"> </w:t>
      </w:r>
      <w:r>
        <w:rPr>
          <w:rFonts w:ascii="仿宋" w:hAnsi="仿宋" w:eastAsia="仿宋" w:cs="仿宋"/>
          <w:spacing w:val="6"/>
          <w:sz w:val="25"/>
          <w:szCs w:val="25"/>
        </w:rPr>
        <w:t>水埋藏较深（大于</w:t>
      </w:r>
      <w:r>
        <w:rPr>
          <w:rFonts w:ascii="仿宋" w:hAnsi="仿宋" w:eastAsia="仿宋" w:cs="仿宋"/>
          <w:spacing w:val="-55"/>
          <w:sz w:val="25"/>
          <w:szCs w:val="25"/>
        </w:rPr>
        <w:t xml:space="preserve"> </w:t>
      </w:r>
      <w:r>
        <w:rPr>
          <w:rFonts w:ascii="Times New Roman" w:hAnsi="Times New Roman" w:eastAsia="Times New Roman" w:cs="Times New Roman"/>
          <w:spacing w:val="6"/>
          <w:sz w:val="25"/>
          <w:szCs w:val="25"/>
        </w:rPr>
        <w:t>200m</w:t>
      </w:r>
      <w:r>
        <w:rPr>
          <w:rFonts w:ascii="仿宋" w:hAnsi="仿宋" w:eastAsia="仿宋" w:cs="仿宋"/>
          <w:spacing w:val="19"/>
          <w:sz w:val="25"/>
          <w:szCs w:val="25"/>
        </w:rPr>
        <w:t>），</w:t>
      </w:r>
      <w:r>
        <w:rPr>
          <w:rFonts w:ascii="仿宋" w:hAnsi="仿宋" w:eastAsia="仿宋" w:cs="仿宋"/>
          <w:spacing w:val="6"/>
          <w:sz w:val="25"/>
          <w:szCs w:val="25"/>
        </w:rPr>
        <w:t>矿层位于斜坡体浅部（</w:t>
      </w:r>
      <w:r>
        <w:rPr>
          <w:rFonts w:ascii="Times New Roman" w:hAnsi="Times New Roman" w:eastAsia="Times New Roman" w:cs="Times New Roman"/>
          <w:spacing w:val="6"/>
          <w:sz w:val="25"/>
          <w:szCs w:val="25"/>
        </w:rPr>
        <w:t>50-200m</w:t>
      </w:r>
      <w:r>
        <w:rPr>
          <w:rFonts w:ascii="仿宋" w:hAnsi="仿宋" w:eastAsia="仿宋" w:cs="仿宋"/>
          <w:spacing w:val="19"/>
          <w:sz w:val="25"/>
          <w:szCs w:val="25"/>
        </w:rPr>
        <w:t>），</w:t>
      </w:r>
      <w:r>
        <w:rPr>
          <w:rFonts w:ascii="仿宋" w:hAnsi="仿宋" w:eastAsia="仿宋" w:cs="仿宋"/>
          <w:spacing w:val="6"/>
          <w:sz w:val="25"/>
          <w:szCs w:val="25"/>
        </w:rPr>
        <w:t>矿井以大气降</w:t>
      </w:r>
      <w:r>
        <w:rPr>
          <w:rFonts w:ascii="仿宋" w:hAnsi="仿宋" w:eastAsia="仿宋" w:cs="仿宋"/>
          <w:sz w:val="25"/>
          <w:szCs w:val="25"/>
        </w:rPr>
        <w:t xml:space="preserve"> </w:t>
      </w:r>
      <w:r>
        <w:rPr>
          <w:rFonts w:ascii="仿宋" w:hAnsi="仿宋" w:eastAsia="仿宋" w:cs="仿宋"/>
          <w:spacing w:val="10"/>
          <w:sz w:val="25"/>
          <w:szCs w:val="25"/>
        </w:rPr>
        <w:t>水下渗充水为主，通过岩层露头、岩石裂隙、</w:t>
      </w:r>
      <w:r>
        <w:rPr>
          <w:rFonts w:ascii="仿宋" w:hAnsi="仿宋" w:eastAsia="仿宋" w:cs="仿宋"/>
          <w:spacing w:val="9"/>
          <w:sz w:val="25"/>
          <w:szCs w:val="25"/>
        </w:rPr>
        <w:t>岩溶、洼地等形式渗入地下，补</w:t>
      </w:r>
      <w:r>
        <w:rPr>
          <w:rFonts w:ascii="仿宋" w:hAnsi="仿宋" w:eastAsia="仿宋" w:cs="仿宋"/>
          <w:sz w:val="25"/>
          <w:szCs w:val="25"/>
        </w:rPr>
        <w:t xml:space="preserve"> </w:t>
      </w:r>
      <w:r>
        <w:rPr>
          <w:rFonts w:ascii="仿宋" w:hAnsi="仿宋" w:eastAsia="仿宋" w:cs="仿宋"/>
          <w:spacing w:val="10"/>
          <w:sz w:val="25"/>
          <w:szCs w:val="25"/>
        </w:rPr>
        <w:t>给地下水，并径流于裂隙、岩溶通道中，往西</w:t>
      </w:r>
      <w:r>
        <w:rPr>
          <w:rFonts w:ascii="仿宋" w:hAnsi="仿宋" w:eastAsia="仿宋" w:cs="仿宋"/>
          <w:spacing w:val="9"/>
          <w:sz w:val="25"/>
          <w:szCs w:val="25"/>
        </w:rPr>
        <w:t>北侧地层深部运移，部分以泉的</w:t>
      </w:r>
      <w:r>
        <w:rPr>
          <w:rFonts w:ascii="仿宋" w:hAnsi="仿宋" w:eastAsia="仿宋" w:cs="仿宋"/>
          <w:sz w:val="25"/>
          <w:szCs w:val="25"/>
        </w:rPr>
        <w:t xml:space="preserve"> </w:t>
      </w:r>
      <w:r>
        <w:rPr>
          <w:rFonts w:ascii="仿宋" w:hAnsi="仿宋" w:eastAsia="仿宋" w:cs="仿宋"/>
          <w:spacing w:val="10"/>
          <w:sz w:val="25"/>
          <w:szCs w:val="25"/>
        </w:rPr>
        <w:t>形式于地势低洼处排泄，部分进入矿井成为矿</w:t>
      </w:r>
      <w:r>
        <w:rPr>
          <w:rFonts w:ascii="仿宋" w:hAnsi="仿宋" w:eastAsia="仿宋" w:cs="仿宋"/>
          <w:spacing w:val="9"/>
          <w:sz w:val="25"/>
          <w:szCs w:val="25"/>
        </w:rPr>
        <w:t>井水，矿山通过矿井排水排至地</w:t>
      </w:r>
      <w:r>
        <w:rPr>
          <w:rFonts w:ascii="仿宋" w:hAnsi="仿宋" w:eastAsia="仿宋" w:cs="仿宋"/>
          <w:sz w:val="25"/>
          <w:szCs w:val="25"/>
        </w:rPr>
        <w:t xml:space="preserve"> </w:t>
      </w:r>
      <w:r>
        <w:rPr>
          <w:rFonts w:ascii="仿宋" w:hAnsi="仿宋" w:eastAsia="仿宋" w:cs="仿宋"/>
          <w:spacing w:val="9"/>
          <w:sz w:val="25"/>
          <w:szCs w:val="25"/>
        </w:rPr>
        <w:t>面，不造成区域内地下水疏降，对区域内地下水影</w:t>
      </w:r>
      <w:r>
        <w:rPr>
          <w:rFonts w:ascii="仿宋" w:hAnsi="仿宋" w:eastAsia="仿宋" w:cs="仿宋"/>
          <w:spacing w:val="8"/>
          <w:sz w:val="25"/>
          <w:szCs w:val="25"/>
        </w:rPr>
        <w:t>响小。</w:t>
      </w:r>
    </w:p>
    <w:p w14:paraId="0B461512">
      <w:pPr>
        <w:spacing w:before="4" w:line="338" w:lineRule="auto"/>
        <w:ind w:left="13" w:right="11" w:firstLine="470"/>
        <w:jc w:val="both"/>
        <w:rPr>
          <w:rFonts w:ascii="仿宋" w:hAnsi="仿宋" w:eastAsia="仿宋" w:cs="仿宋"/>
          <w:sz w:val="25"/>
          <w:szCs w:val="25"/>
        </w:rPr>
      </w:pPr>
      <w:r>
        <w:rPr>
          <w:rFonts w:ascii="Times New Roman" w:hAnsi="Times New Roman" w:eastAsia="Times New Roman" w:cs="Times New Roman"/>
          <w:sz w:val="25"/>
          <w:szCs w:val="25"/>
        </w:rPr>
        <w:t>KQ</w:t>
      </w:r>
      <w:r>
        <w:rPr>
          <w:rFonts w:ascii="Times New Roman" w:hAnsi="Times New Roman" w:eastAsia="Times New Roman" w:cs="Times New Roman"/>
          <w:spacing w:val="9"/>
          <w:sz w:val="25"/>
          <w:szCs w:val="25"/>
        </w:rPr>
        <w:t>009</w:t>
      </w:r>
      <w:r>
        <w:rPr>
          <w:rFonts w:ascii="Times New Roman" w:hAnsi="Times New Roman" w:eastAsia="Times New Roman" w:cs="Times New Roman"/>
          <w:spacing w:val="21"/>
          <w:w w:val="101"/>
          <w:sz w:val="25"/>
          <w:szCs w:val="25"/>
        </w:rPr>
        <w:t xml:space="preserve"> </w:t>
      </w:r>
      <w:r>
        <w:rPr>
          <w:rFonts w:ascii="仿宋" w:hAnsi="仿宋" w:eastAsia="仿宋" w:cs="仿宋"/>
          <w:spacing w:val="9"/>
          <w:sz w:val="25"/>
          <w:szCs w:val="25"/>
        </w:rPr>
        <w:t>矿山为铸型用砂岩，无有毒有害物质，不会对地下水产生影响，矿</w:t>
      </w:r>
      <w:r>
        <w:rPr>
          <w:rFonts w:ascii="仿宋" w:hAnsi="仿宋" w:eastAsia="仿宋" w:cs="仿宋"/>
          <w:sz w:val="25"/>
          <w:szCs w:val="25"/>
        </w:rPr>
        <w:t xml:space="preserve"> </w:t>
      </w:r>
      <w:r>
        <w:rPr>
          <w:rFonts w:ascii="仿宋" w:hAnsi="仿宋" w:eastAsia="仿宋" w:cs="仿宋"/>
          <w:spacing w:val="10"/>
          <w:sz w:val="25"/>
          <w:szCs w:val="25"/>
        </w:rPr>
        <w:t>山开采形成的污水，经沉淀池澄清后可重复利用，</w:t>
      </w:r>
      <w:r>
        <w:rPr>
          <w:rFonts w:ascii="仿宋" w:hAnsi="仿宋" w:eastAsia="仿宋" w:cs="仿宋"/>
          <w:spacing w:val="9"/>
          <w:sz w:val="25"/>
          <w:szCs w:val="25"/>
        </w:rPr>
        <w:t>少量废水经裂隙、地表堰沟</w:t>
      </w:r>
      <w:r>
        <w:rPr>
          <w:rFonts w:ascii="仿宋" w:hAnsi="仿宋" w:eastAsia="仿宋" w:cs="仿宋"/>
          <w:sz w:val="25"/>
          <w:szCs w:val="25"/>
        </w:rPr>
        <w:t xml:space="preserve"> </w:t>
      </w:r>
      <w:r>
        <w:rPr>
          <w:rFonts w:ascii="仿宋" w:hAnsi="仿宋" w:eastAsia="仿宋" w:cs="仿宋"/>
          <w:spacing w:val="8"/>
          <w:sz w:val="25"/>
          <w:szCs w:val="25"/>
        </w:rPr>
        <w:t>排放出区外，对地下水影响较小。</w:t>
      </w:r>
    </w:p>
    <w:p w14:paraId="5C39BCAD">
      <w:pPr>
        <w:spacing w:before="6" w:line="339" w:lineRule="auto"/>
        <w:ind w:left="33" w:right="11" w:firstLine="489"/>
        <w:rPr>
          <w:rFonts w:ascii="仿宋" w:hAnsi="仿宋" w:eastAsia="仿宋" w:cs="仿宋"/>
          <w:sz w:val="25"/>
          <w:szCs w:val="25"/>
        </w:rPr>
      </w:pPr>
      <w:r>
        <w:rPr>
          <w:rFonts w:ascii="仿宋" w:hAnsi="仿宋" w:eastAsia="仿宋" w:cs="仿宋"/>
          <w:spacing w:val="10"/>
          <w:sz w:val="25"/>
          <w:szCs w:val="25"/>
        </w:rPr>
        <w:t>因此，规划实施期间，在加强地下水水文基础调查、做好监管监控和污染</w:t>
      </w:r>
      <w:r>
        <w:rPr>
          <w:rFonts w:ascii="仿宋" w:hAnsi="仿宋" w:eastAsia="仿宋" w:cs="仿宋"/>
          <w:sz w:val="25"/>
          <w:szCs w:val="25"/>
        </w:rPr>
        <w:t xml:space="preserve"> </w:t>
      </w:r>
      <w:r>
        <w:rPr>
          <w:rFonts w:ascii="仿宋" w:hAnsi="仿宋" w:eastAsia="仿宋" w:cs="仿宋"/>
          <w:spacing w:val="7"/>
          <w:sz w:val="25"/>
          <w:szCs w:val="25"/>
        </w:rPr>
        <w:t>防治措施的基础上，对地下水影响可控。</w:t>
      </w:r>
    </w:p>
    <w:p w14:paraId="721BBF34">
      <w:pPr>
        <w:spacing w:before="121" w:line="228" w:lineRule="auto"/>
        <w:ind w:left="8"/>
        <w:outlineLvl w:val="3"/>
        <w:rPr>
          <w:rFonts w:ascii="仿宋" w:hAnsi="仿宋" w:eastAsia="仿宋" w:cs="仿宋"/>
          <w:sz w:val="25"/>
          <w:szCs w:val="25"/>
        </w:rPr>
      </w:pPr>
      <w:r>
        <w:rPr>
          <w:rFonts w:ascii="Times New Roman" w:hAnsi="Times New Roman" w:eastAsia="Times New Roman" w:cs="Times New Roman"/>
          <w:b/>
          <w:bCs/>
          <w:spacing w:val="5"/>
          <w:sz w:val="25"/>
          <w:szCs w:val="25"/>
        </w:rPr>
        <w:t xml:space="preserve">5.2.5.3  </w:t>
      </w:r>
      <w:r>
        <w:rPr>
          <w:rFonts w:ascii="仿宋" w:hAnsi="仿宋" w:eastAsia="仿宋" w:cs="仿宋"/>
          <w:b/>
          <w:bCs/>
          <w:spacing w:val="5"/>
          <w:sz w:val="25"/>
          <w:szCs w:val="25"/>
        </w:rPr>
        <w:t>对古树名木的影响分析</w:t>
      </w:r>
    </w:p>
    <w:p w14:paraId="17094236">
      <w:pPr>
        <w:spacing w:before="271" w:line="338" w:lineRule="auto"/>
        <w:ind w:left="14" w:right="9" w:firstLine="523"/>
        <w:jc w:val="both"/>
        <w:rPr>
          <w:rFonts w:ascii="仿宋" w:hAnsi="仿宋" w:eastAsia="仿宋" w:cs="仿宋"/>
          <w:sz w:val="25"/>
          <w:szCs w:val="25"/>
        </w:rPr>
      </w:pPr>
      <w:r>
        <w:rPr>
          <w:rFonts w:ascii="仿宋" w:hAnsi="仿宋" w:eastAsia="仿宋" w:cs="仿宋"/>
          <w:spacing w:val="7"/>
          <w:sz w:val="25"/>
          <w:szCs w:val="25"/>
        </w:rPr>
        <w:t>根据附图</w:t>
      </w:r>
      <w:r>
        <w:rPr>
          <w:rFonts w:ascii="仿宋" w:hAnsi="仿宋" w:eastAsia="仿宋" w:cs="仿宋"/>
          <w:spacing w:val="-40"/>
          <w:sz w:val="25"/>
          <w:szCs w:val="25"/>
        </w:rPr>
        <w:t xml:space="preserve"> </w:t>
      </w:r>
      <w:r>
        <w:rPr>
          <w:rFonts w:ascii="Times New Roman" w:hAnsi="Times New Roman" w:eastAsia="Times New Roman" w:cs="Times New Roman"/>
          <w:spacing w:val="7"/>
          <w:sz w:val="25"/>
          <w:szCs w:val="25"/>
        </w:rPr>
        <w:t>5-1</w:t>
      </w:r>
      <w:r>
        <w:rPr>
          <w:rFonts w:ascii="Times New Roman" w:hAnsi="Times New Roman" w:eastAsia="Times New Roman" w:cs="Times New Roman"/>
          <w:spacing w:val="26"/>
          <w:sz w:val="25"/>
          <w:szCs w:val="25"/>
        </w:rPr>
        <w:t xml:space="preserve"> </w:t>
      </w:r>
      <w:r>
        <w:rPr>
          <w:rFonts w:ascii="仿宋" w:hAnsi="仿宋" w:eastAsia="仿宋" w:cs="仿宋"/>
          <w:spacing w:val="7"/>
          <w:sz w:val="25"/>
          <w:szCs w:val="25"/>
        </w:rPr>
        <w:t>可知，其中勘查区块</w:t>
      </w:r>
      <w:r>
        <w:rPr>
          <w:rFonts w:ascii="仿宋" w:hAnsi="仿宋" w:eastAsia="仿宋" w:cs="仿宋"/>
          <w:spacing w:val="-53"/>
          <w:sz w:val="25"/>
          <w:szCs w:val="25"/>
        </w:rPr>
        <w:t xml:space="preserve"> </w:t>
      </w:r>
      <w:r>
        <w:rPr>
          <w:rFonts w:ascii="Times New Roman" w:hAnsi="Times New Roman" w:eastAsia="Times New Roman" w:cs="Times New Roman"/>
          <w:sz w:val="25"/>
          <w:szCs w:val="25"/>
        </w:rPr>
        <w:t>KQ</w:t>
      </w:r>
      <w:r>
        <w:rPr>
          <w:rFonts w:ascii="Times New Roman" w:hAnsi="Times New Roman" w:eastAsia="Times New Roman" w:cs="Times New Roman"/>
          <w:spacing w:val="7"/>
          <w:sz w:val="25"/>
          <w:szCs w:val="25"/>
        </w:rPr>
        <w:t>004</w:t>
      </w:r>
      <w:r>
        <w:rPr>
          <w:rFonts w:ascii="仿宋" w:hAnsi="仿宋" w:eastAsia="仿宋" w:cs="仿宋"/>
          <w:spacing w:val="7"/>
          <w:sz w:val="25"/>
          <w:szCs w:val="25"/>
        </w:rPr>
        <w:t>（铝土矿）矿区范围内分布有</w:t>
      </w:r>
      <w:r>
        <w:rPr>
          <w:rFonts w:ascii="仿宋" w:hAnsi="仿宋" w:eastAsia="仿宋" w:cs="仿宋"/>
          <w:spacing w:val="-55"/>
          <w:sz w:val="25"/>
          <w:szCs w:val="25"/>
        </w:rPr>
        <w:t xml:space="preserve"> </w:t>
      </w:r>
      <w:r>
        <w:rPr>
          <w:rFonts w:ascii="Times New Roman" w:hAnsi="Times New Roman" w:eastAsia="Times New Roman" w:cs="Times New Roman"/>
          <w:spacing w:val="7"/>
          <w:sz w:val="25"/>
          <w:szCs w:val="25"/>
        </w:rPr>
        <w:t>2</w:t>
      </w:r>
      <w:r>
        <w:rPr>
          <w:rFonts w:ascii="Times New Roman" w:hAnsi="Times New Roman" w:eastAsia="Times New Roman" w:cs="Times New Roman"/>
          <w:sz w:val="25"/>
          <w:szCs w:val="25"/>
        </w:rPr>
        <w:t xml:space="preserve">  </w:t>
      </w:r>
      <w:r>
        <w:rPr>
          <w:rFonts w:ascii="仿宋" w:hAnsi="仿宋" w:eastAsia="仿宋" w:cs="仿宋"/>
          <w:spacing w:val="6"/>
          <w:sz w:val="25"/>
          <w:szCs w:val="25"/>
        </w:rPr>
        <w:t>棵古树名木，分别为</w:t>
      </w:r>
      <w:r>
        <w:rPr>
          <w:rFonts w:ascii="仿宋" w:hAnsi="仿宋" w:eastAsia="仿宋" w:cs="仿宋"/>
          <w:spacing w:val="-17"/>
          <w:sz w:val="25"/>
          <w:szCs w:val="25"/>
        </w:rPr>
        <w:t xml:space="preserve"> </w:t>
      </w:r>
      <w:r>
        <w:rPr>
          <w:rFonts w:ascii="Times New Roman" w:hAnsi="Times New Roman" w:eastAsia="Times New Roman" w:cs="Times New Roman"/>
          <w:spacing w:val="6"/>
          <w:sz w:val="25"/>
          <w:szCs w:val="25"/>
        </w:rPr>
        <w:t>150</w:t>
      </w:r>
      <w:r>
        <w:rPr>
          <w:rFonts w:ascii="Times New Roman" w:hAnsi="Times New Roman" w:eastAsia="Times New Roman" w:cs="Times New Roman"/>
          <w:spacing w:val="25"/>
          <w:sz w:val="25"/>
          <w:szCs w:val="25"/>
        </w:rPr>
        <w:t xml:space="preserve"> </w:t>
      </w:r>
      <w:r>
        <w:rPr>
          <w:rFonts w:ascii="仿宋" w:hAnsi="仿宋" w:eastAsia="仿宋" w:cs="仿宋"/>
          <w:spacing w:val="6"/>
          <w:sz w:val="25"/>
          <w:szCs w:val="25"/>
        </w:rPr>
        <w:t>年的枫香树和</w:t>
      </w:r>
      <w:r>
        <w:rPr>
          <w:rFonts w:ascii="仿宋" w:hAnsi="仿宋" w:eastAsia="仿宋" w:cs="仿宋"/>
          <w:spacing w:val="-47"/>
          <w:sz w:val="25"/>
          <w:szCs w:val="25"/>
        </w:rPr>
        <w:t xml:space="preserve"> </w:t>
      </w:r>
      <w:r>
        <w:rPr>
          <w:rFonts w:ascii="Times New Roman" w:hAnsi="Times New Roman" w:eastAsia="Times New Roman" w:cs="Times New Roman"/>
          <w:spacing w:val="6"/>
          <w:sz w:val="25"/>
          <w:szCs w:val="25"/>
        </w:rPr>
        <w:t>350</w:t>
      </w:r>
      <w:r>
        <w:rPr>
          <w:rFonts w:ascii="Times New Roman" w:hAnsi="Times New Roman" w:eastAsia="Times New Roman" w:cs="Times New Roman"/>
          <w:spacing w:val="25"/>
          <w:sz w:val="25"/>
          <w:szCs w:val="25"/>
        </w:rPr>
        <w:t xml:space="preserve"> </w:t>
      </w:r>
      <w:r>
        <w:rPr>
          <w:rFonts w:ascii="仿宋" w:hAnsi="仿宋" w:eastAsia="仿宋" w:cs="仿宋"/>
          <w:spacing w:val="6"/>
          <w:sz w:val="25"/>
          <w:szCs w:val="25"/>
        </w:rPr>
        <w:t>年的珊瑚朴，其余区块内无古树名</w:t>
      </w:r>
      <w:r>
        <w:rPr>
          <w:rFonts w:ascii="仿宋" w:hAnsi="仿宋" w:eastAsia="仿宋" w:cs="仿宋"/>
          <w:sz w:val="25"/>
          <w:szCs w:val="25"/>
        </w:rPr>
        <w:t xml:space="preserve"> </w:t>
      </w:r>
      <w:r>
        <w:rPr>
          <w:rFonts w:ascii="仿宋" w:hAnsi="仿宋" w:eastAsia="仿宋" w:cs="仿宋"/>
          <w:spacing w:val="13"/>
          <w:sz w:val="25"/>
          <w:szCs w:val="25"/>
        </w:rPr>
        <w:t>木分布。评价要求</w:t>
      </w:r>
      <w:r>
        <w:rPr>
          <w:rFonts w:ascii="仿宋" w:hAnsi="仿宋" w:eastAsia="仿宋" w:cs="仿宋"/>
          <w:spacing w:val="-51"/>
          <w:sz w:val="25"/>
          <w:szCs w:val="25"/>
        </w:rPr>
        <w:t xml:space="preserve"> </w:t>
      </w:r>
      <w:r>
        <w:rPr>
          <w:rFonts w:ascii="Times New Roman" w:hAnsi="Times New Roman" w:eastAsia="Times New Roman" w:cs="Times New Roman"/>
          <w:sz w:val="25"/>
          <w:szCs w:val="25"/>
        </w:rPr>
        <w:t>KQ</w:t>
      </w:r>
      <w:r>
        <w:rPr>
          <w:rFonts w:ascii="Times New Roman" w:hAnsi="Times New Roman" w:eastAsia="Times New Roman" w:cs="Times New Roman"/>
          <w:spacing w:val="13"/>
          <w:sz w:val="25"/>
          <w:szCs w:val="25"/>
        </w:rPr>
        <w:t>004</w:t>
      </w:r>
      <w:r>
        <w:rPr>
          <w:rFonts w:ascii="Times New Roman" w:hAnsi="Times New Roman" w:eastAsia="Times New Roman" w:cs="Times New Roman"/>
          <w:spacing w:val="31"/>
          <w:w w:val="101"/>
          <w:sz w:val="25"/>
          <w:szCs w:val="25"/>
        </w:rPr>
        <w:t xml:space="preserve"> </w:t>
      </w:r>
      <w:r>
        <w:rPr>
          <w:rFonts w:ascii="仿宋" w:hAnsi="仿宋" w:eastAsia="仿宋" w:cs="仿宋"/>
          <w:spacing w:val="13"/>
          <w:sz w:val="25"/>
          <w:szCs w:val="25"/>
        </w:rPr>
        <w:t>在勘查开采时应详细调查矿区内古树</w:t>
      </w:r>
      <w:r>
        <w:rPr>
          <w:rFonts w:ascii="仿宋" w:hAnsi="仿宋" w:eastAsia="仿宋" w:cs="仿宋"/>
          <w:spacing w:val="12"/>
          <w:sz w:val="25"/>
          <w:szCs w:val="25"/>
        </w:rPr>
        <w:t>名木的分布情</w:t>
      </w:r>
      <w:r>
        <w:rPr>
          <w:rFonts w:ascii="仿宋" w:hAnsi="仿宋" w:eastAsia="仿宋" w:cs="仿宋"/>
          <w:sz w:val="25"/>
          <w:szCs w:val="25"/>
        </w:rPr>
        <w:t xml:space="preserve"> </w:t>
      </w:r>
      <w:r>
        <w:rPr>
          <w:rFonts w:ascii="仿宋" w:hAnsi="仿宋" w:eastAsia="仿宋" w:cs="仿宋"/>
          <w:spacing w:val="10"/>
          <w:sz w:val="25"/>
          <w:szCs w:val="25"/>
        </w:rPr>
        <w:t>况，勘查开采过程中应首先采取避让措施，并对其进</w:t>
      </w:r>
      <w:r>
        <w:rPr>
          <w:rFonts w:ascii="仿宋" w:hAnsi="仿宋" w:eastAsia="仿宋" w:cs="仿宋"/>
          <w:spacing w:val="9"/>
          <w:sz w:val="25"/>
          <w:szCs w:val="25"/>
        </w:rPr>
        <w:t>行有效保护，在古树周围</w:t>
      </w:r>
    </w:p>
    <w:p w14:paraId="73234B5C">
      <w:pPr>
        <w:spacing w:line="338" w:lineRule="auto"/>
        <w:rPr>
          <w:rFonts w:ascii="仿宋" w:hAnsi="仿宋" w:eastAsia="仿宋" w:cs="仿宋"/>
          <w:sz w:val="25"/>
          <w:szCs w:val="25"/>
        </w:rPr>
        <w:sectPr>
          <w:headerReference r:id="rId190" w:type="default"/>
          <w:footerReference r:id="rId191" w:type="default"/>
          <w:pgSz w:w="11906" w:h="16839"/>
          <w:pgMar w:top="1116" w:right="1464" w:bottom="866" w:left="1587" w:header="683" w:footer="703" w:gutter="0"/>
          <w:cols w:space="720" w:num="1"/>
        </w:sectPr>
      </w:pPr>
    </w:p>
    <w:p w14:paraId="6B596356">
      <w:pPr>
        <w:pStyle w:val="2"/>
        <w:spacing w:line="385" w:lineRule="auto"/>
      </w:pPr>
    </w:p>
    <w:p w14:paraId="3E26EF7D">
      <w:pPr>
        <w:spacing w:before="82" w:line="340" w:lineRule="auto"/>
        <w:ind w:left="47" w:right="90" w:hanging="2"/>
        <w:rPr>
          <w:rFonts w:ascii="仿宋" w:hAnsi="仿宋" w:eastAsia="仿宋" w:cs="仿宋"/>
          <w:sz w:val="25"/>
          <w:szCs w:val="25"/>
        </w:rPr>
      </w:pPr>
      <w:r>
        <w:rPr>
          <w:rFonts w:ascii="仿宋" w:hAnsi="仿宋" w:eastAsia="仿宋" w:cs="仿宋"/>
          <w:spacing w:val="10"/>
          <w:sz w:val="25"/>
          <w:szCs w:val="25"/>
        </w:rPr>
        <w:t>设置围护进行保护，确实无法避让的应采取移</w:t>
      </w:r>
      <w:r>
        <w:rPr>
          <w:rFonts w:ascii="仿宋" w:hAnsi="仿宋" w:eastAsia="仿宋" w:cs="仿宋"/>
          <w:spacing w:val="9"/>
          <w:sz w:val="25"/>
          <w:szCs w:val="25"/>
        </w:rPr>
        <w:t>栽的方式进行有效保护，确保勘</w:t>
      </w:r>
      <w:r>
        <w:rPr>
          <w:rFonts w:ascii="仿宋" w:hAnsi="仿宋" w:eastAsia="仿宋" w:cs="仿宋"/>
          <w:sz w:val="25"/>
          <w:szCs w:val="25"/>
        </w:rPr>
        <w:t xml:space="preserve"> </w:t>
      </w:r>
      <w:r>
        <w:rPr>
          <w:rFonts w:ascii="仿宋" w:hAnsi="仿宋" w:eastAsia="仿宋" w:cs="仿宋"/>
          <w:spacing w:val="7"/>
          <w:sz w:val="25"/>
          <w:szCs w:val="25"/>
        </w:rPr>
        <w:t>查开采活动不对古树造成影响。</w:t>
      </w:r>
    </w:p>
    <w:p w14:paraId="0D8F1C27">
      <w:pPr>
        <w:spacing w:before="118" w:line="228" w:lineRule="auto"/>
        <w:ind w:left="37"/>
        <w:outlineLvl w:val="3"/>
        <w:rPr>
          <w:rFonts w:ascii="仿宋" w:hAnsi="仿宋" w:eastAsia="仿宋" w:cs="仿宋"/>
          <w:sz w:val="25"/>
          <w:szCs w:val="25"/>
        </w:rPr>
      </w:pPr>
      <w:r>
        <w:rPr>
          <w:rFonts w:ascii="Times New Roman" w:hAnsi="Times New Roman" w:eastAsia="Times New Roman" w:cs="Times New Roman"/>
          <w:b/>
          <w:bCs/>
          <w:spacing w:val="4"/>
          <w:sz w:val="25"/>
          <w:szCs w:val="25"/>
        </w:rPr>
        <w:t>5.2.5.4</w:t>
      </w:r>
      <w:r>
        <w:rPr>
          <w:rFonts w:ascii="Times New Roman" w:hAnsi="Times New Roman" w:eastAsia="Times New Roman" w:cs="Times New Roman"/>
          <w:b/>
          <w:bCs/>
          <w:spacing w:val="29"/>
          <w:sz w:val="25"/>
          <w:szCs w:val="25"/>
        </w:rPr>
        <w:t xml:space="preserve"> </w:t>
      </w:r>
      <w:r>
        <w:rPr>
          <w:rFonts w:ascii="仿宋" w:hAnsi="仿宋" w:eastAsia="仿宋" w:cs="仿宋"/>
          <w:b/>
          <w:bCs/>
          <w:spacing w:val="4"/>
          <w:sz w:val="25"/>
          <w:szCs w:val="25"/>
        </w:rPr>
        <w:t>对公益林的影响分析</w:t>
      </w:r>
    </w:p>
    <w:p w14:paraId="0541E178">
      <w:pPr>
        <w:spacing w:before="272" w:line="338" w:lineRule="auto"/>
        <w:ind w:left="33" w:right="19" w:firstLine="534"/>
        <w:jc w:val="both"/>
        <w:rPr>
          <w:rFonts w:ascii="仿宋" w:hAnsi="仿宋" w:eastAsia="仿宋" w:cs="仿宋"/>
          <w:sz w:val="25"/>
          <w:szCs w:val="25"/>
        </w:rPr>
      </w:pPr>
      <w:r>
        <w:rPr>
          <w:rFonts w:ascii="仿宋" w:hAnsi="仿宋" w:eastAsia="仿宋" w:cs="仿宋"/>
          <w:spacing w:val="7"/>
          <w:sz w:val="25"/>
          <w:szCs w:val="25"/>
        </w:rPr>
        <w:t>本次评价的</w:t>
      </w:r>
      <w:r>
        <w:rPr>
          <w:rFonts w:ascii="仿宋" w:hAnsi="仿宋" w:eastAsia="仿宋" w:cs="仿宋"/>
          <w:spacing w:val="-27"/>
          <w:sz w:val="25"/>
          <w:szCs w:val="25"/>
        </w:rPr>
        <w:t xml:space="preserve"> </w:t>
      </w:r>
      <w:r>
        <w:rPr>
          <w:rFonts w:ascii="Times New Roman" w:hAnsi="Times New Roman" w:eastAsia="Times New Roman" w:cs="Times New Roman"/>
          <w:spacing w:val="7"/>
          <w:sz w:val="25"/>
          <w:szCs w:val="25"/>
        </w:rPr>
        <w:t>1</w:t>
      </w:r>
      <w:r>
        <w:rPr>
          <w:rFonts w:ascii="Times New Roman" w:hAnsi="Times New Roman" w:eastAsia="Times New Roman" w:cs="Times New Roman"/>
          <w:spacing w:val="20"/>
          <w:w w:val="101"/>
          <w:sz w:val="25"/>
          <w:szCs w:val="25"/>
        </w:rPr>
        <w:t xml:space="preserve"> </w:t>
      </w:r>
      <w:r>
        <w:rPr>
          <w:rFonts w:ascii="仿宋" w:hAnsi="仿宋" w:eastAsia="仿宋" w:cs="仿宋"/>
          <w:spacing w:val="7"/>
          <w:sz w:val="25"/>
          <w:szCs w:val="25"/>
        </w:rPr>
        <w:t>个开采区块和</w:t>
      </w:r>
      <w:r>
        <w:rPr>
          <w:rFonts w:ascii="仿宋" w:hAnsi="仿宋" w:eastAsia="仿宋" w:cs="仿宋"/>
          <w:spacing w:val="-50"/>
          <w:sz w:val="25"/>
          <w:szCs w:val="25"/>
        </w:rPr>
        <w:t xml:space="preserve"> </w:t>
      </w:r>
      <w:r>
        <w:rPr>
          <w:rFonts w:ascii="Times New Roman" w:hAnsi="Times New Roman" w:eastAsia="Times New Roman" w:cs="Times New Roman"/>
          <w:spacing w:val="7"/>
          <w:sz w:val="25"/>
          <w:szCs w:val="25"/>
        </w:rPr>
        <w:t>3</w:t>
      </w:r>
      <w:r>
        <w:rPr>
          <w:rFonts w:ascii="Times New Roman" w:hAnsi="Times New Roman" w:eastAsia="Times New Roman" w:cs="Times New Roman"/>
          <w:spacing w:val="19"/>
          <w:sz w:val="25"/>
          <w:szCs w:val="25"/>
        </w:rPr>
        <w:t xml:space="preserve"> </w:t>
      </w:r>
      <w:r>
        <w:rPr>
          <w:rFonts w:ascii="仿宋" w:hAnsi="仿宋" w:eastAsia="仿宋" w:cs="仿宋"/>
          <w:spacing w:val="7"/>
          <w:sz w:val="25"/>
          <w:szCs w:val="25"/>
        </w:rPr>
        <w:t>勘查区块均不</w:t>
      </w:r>
      <w:r>
        <w:rPr>
          <w:rFonts w:ascii="仿宋" w:hAnsi="仿宋" w:eastAsia="仿宋" w:cs="仿宋"/>
          <w:spacing w:val="6"/>
          <w:sz w:val="25"/>
          <w:szCs w:val="25"/>
        </w:rPr>
        <w:t>占用一级国家级公益林，其中</w:t>
      </w:r>
      <w:r>
        <w:rPr>
          <w:rFonts w:ascii="仿宋" w:hAnsi="仿宋" w:eastAsia="仿宋" w:cs="仿宋"/>
          <w:sz w:val="25"/>
          <w:szCs w:val="25"/>
        </w:rPr>
        <w:t xml:space="preserve"> </w:t>
      </w:r>
      <w:r>
        <w:rPr>
          <w:rFonts w:ascii="Times New Roman" w:hAnsi="Times New Roman" w:eastAsia="Times New Roman" w:cs="Times New Roman"/>
          <w:spacing w:val="-3"/>
          <w:sz w:val="25"/>
          <w:szCs w:val="25"/>
        </w:rPr>
        <w:t>KQ004</w:t>
      </w:r>
      <w:r>
        <w:rPr>
          <w:rFonts w:ascii="Times New Roman" w:hAnsi="Times New Roman" w:eastAsia="Times New Roman" w:cs="Times New Roman"/>
          <w:spacing w:val="57"/>
          <w:w w:val="101"/>
          <w:sz w:val="25"/>
          <w:szCs w:val="25"/>
        </w:rPr>
        <w:t xml:space="preserve"> </w:t>
      </w:r>
      <w:r>
        <w:rPr>
          <w:rFonts w:ascii="仿宋" w:hAnsi="仿宋" w:eastAsia="仿宋" w:cs="仿宋"/>
          <w:spacing w:val="-3"/>
          <w:sz w:val="25"/>
          <w:szCs w:val="25"/>
        </w:rPr>
        <w:t>占用二级国家级公益林地，</w:t>
      </w:r>
      <w:r>
        <w:rPr>
          <w:rFonts w:ascii="Times New Roman" w:hAnsi="Times New Roman" w:eastAsia="Times New Roman" w:cs="Times New Roman"/>
          <w:spacing w:val="-3"/>
          <w:sz w:val="25"/>
          <w:szCs w:val="25"/>
        </w:rPr>
        <w:t>KQ009</w:t>
      </w:r>
      <w:r>
        <w:rPr>
          <w:rFonts w:ascii="Times New Roman" w:hAnsi="Times New Roman" w:eastAsia="Times New Roman" w:cs="Times New Roman"/>
          <w:spacing w:val="47"/>
          <w:sz w:val="25"/>
          <w:szCs w:val="25"/>
        </w:rPr>
        <w:t xml:space="preserve"> </w:t>
      </w:r>
      <w:r>
        <w:rPr>
          <w:rFonts w:ascii="仿宋" w:hAnsi="仿宋" w:eastAsia="仿宋" w:cs="仿宋"/>
          <w:spacing w:val="-3"/>
          <w:sz w:val="25"/>
          <w:szCs w:val="25"/>
        </w:rPr>
        <w:t>占用地方公益林，重叠关系见表</w:t>
      </w:r>
      <w:r>
        <w:rPr>
          <w:rFonts w:ascii="仿宋" w:hAnsi="仿宋" w:eastAsia="仿宋" w:cs="仿宋"/>
          <w:spacing w:val="-62"/>
          <w:sz w:val="25"/>
          <w:szCs w:val="25"/>
        </w:rPr>
        <w:t xml:space="preserve"> </w:t>
      </w:r>
      <w:r>
        <w:rPr>
          <w:rFonts w:ascii="Times New Roman" w:hAnsi="Times New Roman" w:eastAsia="Times New Roman" w:cs="Times New Roman"/>
          <w:spacing w:val="-3"/>
          <w:sz w:val="25"/>
          <w:szCs w:val="25"/>
        </w:rPr>
        <w:t>5.2-2</w:t>
      </w:r>
      <w:r>
        <w:rPr>
          <w:rFonts w:ascii="仿宋" w:hAnsi="仿宋" w:eastAsia="仿宋" w:cs="仿宋"/>
          <w:spacing w:val="-3"/>
          <w:sz w:val="25"/>
          <w:szCs w:val="25"/>
        </w:rPr>
        <w:t>，</w:t>
      </w:r>
      <w:r>
        <w:rPr>
          <w:rFonts w:ascii="仿宋" w:hAnsi="仿宋" w:eastAsia="仿宋" w:cs="仿宋"/>
          <w:sz w:val="25"/>
          <w:szCs w:val="25"/>
        </w:rPr>
        <w:t xml:space="preserve"> </w:t>
      </w:r>
      <w:r>
        <w:rPr>
          <w:rFonts w:ascii="仿宋" w:hAnsi="仿宋" w:eastAsia="仿宋" w:cs="仿宋"/>
          <w:spacing w:val="2"/>
          <w:sz w:val="25"/>
          <w:szCs w:val="25"/>
        </w:rPr>
        <w:t>附图</w:t>
      </w:r>
      <w:r>
        <w:rPr>
          <w:rFonts w:ascii="仿宋" w:hAnsi="仿宋" w:eastAsia="仿宋" w:cs="仿宋"/>
          <w:spacing w:val="-45"/>
          <w:sz w:val="25"/>
          <w:szCs w:val="25"/>
        </w:rPr>
        <w:t xml:space="preserve"> </w:t>
      </w:r>
      <w:r>
        <w:rPr>
          <w:rFonts w:ascii="Times New Roman" w:hAnsi="Times New Roman" w:eastAsia="Times New Roman" w:cs="Times New Roman"/>
          <w:spacing w:val="2"/>
          <w:sz w:val="25"/>
          <w:szCs w:val="25"/>
        </w:rPr>
        <w:t>5-3</w:t>
      </w:r>
      <w:r>
        <w:rPr>
          <w:rFonts w:ascii="仿宋" w:hAnsi="仿宋" w:eastAsia="仿宋" w:cs="仿宋"/>
          <w:spacing w:val="2"/>
          <w:sz w:val="25"/>
          <w:szCs w:val="25"/>
        </w:rPr>
        <w:t>。</w:t>
      </w:r>
    </w:p>
    <w:p w14:paraId="66FA49C6">
      <w:pPr>
        <w:spacing w:before="57" w:line="231" w:lineRule="auto"/>
        <w:ind w:left="2100"/>
        <w:rPr>
          <w:rFonts w:ascii="仿宋" w:hAnsi="仿宋" w:eastAsia="仿宋" w:cs="仿宋"/>
          <w:sz w:val="19"/>
          <w:szCs w:val="19"/>
        </w:rPr>
      </w:pPr>
      <w:r>
        <w:rPr>
          <w:rFonts w:ascii="仿宋" w:hAnsi="仿宋" w:eastAsia="仿宋" w:cs="仿宋"/>
          <w:b/>
          <w:bCs/>
          <w:spacing w:val="5"/>
          <w:sz w:val="19"/>
          <w:szCs w:val="19"/>
        </w:rPr>
        <w:t>表</w:t>
      </w:r>
      <w:r>
        <w:rPr>
          <w:rFonts w:ascii="仿宋" w:hAnsi="仿宋" w:eastAsia="仿宋" w:cs="仿宋"/>
          <w:spacing w:val="-22"/>
          <w:sz w:val="19"/>
          <w:szCs w:val="19"/>
        </w:rPr>
        <w:t xml:space="preserve"> </w:t>
      </w:r>
      <w:r>
        <w:rPr>
          <w:rFonts w:ascii="Times New Roman" w:hAnsi="Times New Roman" w:eastAsia="Times New Roman" w:cs="Times New Roman"/>
          <w:b/>
          <w:bCs/>
          <w:spacing w:val="5"/>
          <w:sz w:val="19"/>
          <w:szCs w:val="19"/>
        </w:rPr>
        <w:t xml:space="preserve">5.2-2      </w:t>
      </w:r>
      <w:r>
        <w:rPr>
          <w:rFonts w:ascii="仿宋" w:hAnsi="仿宋" w:eastAsia="仿宋" w:cs="仿宋"/>
          <w:b/>
          <w:bCs/>
          <w:spacing w:val="5"/>
          <w:sz w:val="19"/>
          <w:szCs w:val="19"/>
        </w:rPr>
        <w:t>本次评价区块与公益林的重叠关系</w:t>
      </w:r>
    </w:p>
    <w:p w14:paraId="632A2CA3">
      <w:pPr>
        <w:spacing w:line="24" w:lineRule="exact"/>
      </w:pPr>
    </w:p>
    <w:tbl>
      <w:tblPr>
        <w:tblStyle w:val="5"/>
        <w:tblW w:w="887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52"/>
        <w:gridCol w:w="920"/>
        <w:gridCol w:w="1632"/>
        <w:gridCol w:w="644"/>
        <w:gridCol w:w="1505"/>
        <w:gridCol w:w="1570"/>
        <w:gridCol w:w="1586"/>
        <w:gridCol w:w="664"/>
      </w:tblGrid>
      <w:tr w14:paraId="293587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352" w:type="dxa"/>
            <w:tcBorders>
              <w:top w:val="single" w:color="000000" w:sz="10" w:space="0"/>
              <w:left w:val="single" w:color="000000" w:sz="10" w:space="0"/>
            </w:tcBorders>
            <w:textDirection w:val="tbRlV"/>
            <w:vAlign w:val="top"/>
          </w:tcPr>
          <w:p w14:paraId="5FC272EC">
            <w:pPr>
              <w:pStyle w:val="6"/>
              <w:spacing w:before="78" w:line="210" w:lineRule="auto"/>
              <w:ind w:left="180"/>
              <w:rPr>
                <w:sz w:val="19"/>
                <w:szCs w:val="19"/>
              </w:rPr>
            </w:pPr>
            <w:r>
              <w:rPr>
                <w:spacing w:val="13"/>
                <w:sz w:val="19"/>
                <w:szCs w:val="19"/>
              </w:rPr>
              <w:t>序</w:t>
            </w:r>
            <w:r>
              <w:rPr>
                <w:spacing w:val="-40"/>
                <w:sz w:val="19"/>
                <w:szCs w:val="19"/>
              </w:rPr>
              <w:t xml:space="preserve"> </w:t>
            </w:r>
            <w:r>
              <w:rPr>
                <w:spacing w:val="13"/>
                <w:sz w:val="19"/>
                <w:szCs w:val="19"/>
              </w:rPr>
              <w:t>号</w:t>
            </w:r>
          </w:p>
        </w:tc>
        <w:tc>
          <w:tcPr>
            <w:tcW w:w="920" w:type="dxa"/>
            <w:tcBorders>
              <w:top w:val="single" w:color="000000" w:sz="10" w:space="0"/>
            </w:tcBorders>
            <w:vAlign w:val="top"/>
          </w:tcPr>
          <w:p w14:paraId="1A2E166C">
            <w:pPr>
              <w:spacing w:line="246" w:lineRule="auto"/>
              <w:rPr>
                <w:rFonts w:ascii="Arial"/>
                <w:sz w:val="21"/>
              </w:rPr>
            </w:pPr>
          </w:p>
          <w:p w14:paraId="54918C19">
            <w:pPr>
              <w:pStyle w:val="6"/>
              <w:spacing w:before="62" w:line="233" w:lineRule="auto"/>
              <w:ind w:left="262"/>
              <w:rPr>
                <w:sz w:val="19"/>
                <w:szCs w:val="19"/>
              </w:rPr>
            </w:pPr>
            <w:r>
              <w:rPr>
                <w:spacing w:val="1"/>
                <w:sz w:val="19"/>
                <w:szCs w:val="19"/>
              </w:rPr>
              <w:t>编号</w:t>
            </w:r>
          </w:p>
        </w:tc>
        <w:tc>
          <w:tcPr>
            <w:tcW w:w="1632" w:type="dxa"/>
            <w:tcBorders>
              <w:top w:val="single" w:color="000000" w:sz="10" w:space="0"/>
            </w:tcBorders>
            <w:vAlign w:val="top"/>
          </w:tcPr>
          <w:p w14:paraId="34B7EFBA">
            <w:pPr>
              <w:spacing w:line="246" w:lineRule="auto"/>
              <w:rPr>
                <w:rFonts w:ascii="Arial"/>
                <w:sz w:val="21"/>
              </w:rPr>
            </w:pPr>
          </w:p>
          <w:p w14:paraId="56840C48">
            <w:pPr>
              <w:pStyle w:val="6"/>
              <w:spacing w:before="62" w:line="230" w:lineRule="auto"/>
              <w:ind w:left="437"/>
              <w:rPr>
                <w:sz w:val="19"/>
                <w:szCs w:val="19"/>
              </w:rPr>
            </w:pPr>
            <w:r>
              <w:rPr>
                <w:spacing w:val="2"/>
                <w:sz w:val="19"/>
                <w:szCs w:val="19"/>
              </w:rPr>
              <w:t>区块名称</w:t>
            </w:r>
          </w:p>
        </w:tc>
        <w:tc>
          <w:tcPr>
            <w:tcW w:w="644" w:type="dxa"/>
            <w:tcBorders>
              <w:top w:val="single" w:color="000000" w:sz="10" w:space="0"/>
            </w:tcBorders>
            <w:vAlign w:val="top"/>
          </w:tcPr>
          <w:p w14:paraId="16520234">
            <w:pPr>
              <w:spacing w:line="246" w:lineRule="auto"/>
              <w:rPr>
                <w:rFonts w:ascii="Arial"/>
                <w:sz w:val="21"/>
              </w:rPr>
            </w:pPr>
          </w:p>
          <w:p w14:paraId="2618564D">
            <w:pPr>
              <w:pStyle w:val="6"/>
              <w:spacing w:before="62" w:line="230" w:lineRule="auto"/>
              <w:ind w:left="130"/>
              <w:rPr>
                <w:sz w:val="19"/>
                <w:szCs w:val="19"/>
              </w:rPr>
            </w:pPr>
            <w:r>
              <w:rPr>
                <w:spacing w:val="2"/>
                <w:sz w:val="19"/>
                <w:szCs w:val="19"/>
              </w:rPr>
              <w:t>矿种</w:t>
            </w:r>
          </w:p>
        </w:tc>
        <w:tc>
          <w:tcPr>
            <w:tcW w:w="1505" w:type="dxa"/>
            <w:tcBorders>
              <w:top w:val="single" w:color="000000" w:sz="10" w:space="0"/>
            </w:tcBorders>
            <w:vAlign w:val="top"/>
          </w:tcPr>
          <w:p w14:paraId="64B1038D">
            <w:pPr>
              <w:spacing w:line="246" w:lineRule="auto"/>
              <w:rPr>
                <w:rFonts w:ascii="Arial"/>
                <w:sz w:val="21"/>
              </w:rPr>
            </w:pPr>
          </w:p>
          <w:p w14:paraId="6535EB96">
            <w:pPr>
              <w:pStyle w:val="6"/>
              <w:spacing w:before="62" w:line="232" w:lineRule="auto"/>
              <w:jc w:val="right"/>
              <w:rPr>
                <w:sz w:val="19"/>
                <w:szCs w:val="19"/>
              </w:rPr>
            </w:pPr>
            <w:r>
              <w:rPr>
                <w:spacing w:val="4"/>
                <w:sz w:val="19"/>
                <w:szCs w:val="19"/>
              </w:rPr>
              <w:t>矿区面积（</w:t>
            </w:r>
            <w:r>
              <w:rPr>
                <w:rFonts w:ascii="Times New Roman" w:hAnsi="Times New Roman" w:eastAsia="Times New Roman" w:cs="Times New Roman"/>
                <w:sz w:val="19"/>
                <w:szCs w:val="19"/>
              </w:rPr>
              <w:t>km</w:t>
            </w:r>
            <w:r>
              <w:rPr>
                <w:rFonts w:ascii="Times New Roman" w:hAnsi="Times New Roman" w:eastAsia="Times New Roman" w:cs="Times New Roman"/>
                <w:spacing w:val="4"/>
                <w:position w:val="6"/>
                <w:sz w:val="12"/>
                <w:szCs w:val="12"/>
              </w:rPr>
              <w:t>2</w:t>
            </w:r>
            <w:r>
              <w:rPr>
                <w:spacing w:val="4"/>
                <w:sz w:val="19"/>
                <w:szCs w:val="19"/>
              </w:rPr>
              <w:t>）</w:t>
            </w:r>
          </w:p>
        </w:tc>
        <w:tc>
          <w:tcPr>
            <w:tcW w:w="1570" w:type="dxa"/>
            <w:tcBorders>
              <w:top w:val="single" w:color="000000" w:sz="10" w:space="0"/>
            </w:tcBorders>
            <w:vAlign w:val="top"/>
          </w:tcPr>
          <w:p w14:paraId="6AA443BC">
            <w:pPr>
              <w:pStyle w:val="6"/>
              <w:spacing w:before="50" w:line="232" w:lineRule="auto"/>
              <w:ind w:left="108"/>
              <w:rPr>
                <w:sz w:val="19"/>
                <w:szCs w:val="19"/>
              </w:rPr>
            </w:pPr>
            <w:r>
              <w:rPr>
                <w:spacing w:val="6"/>
                <w:sz w:val="19"/>
                <w:szCs w:val="19"/>
              </w:rPr>
              <w:t>与二级国家公益</w:t>
            </w:r>
          </w:p>
          <w:p w14:paraId="52FDA340">
            <w:pPr>
              <w:pStyle w:val="6"/>
              <w:spacing w:before="20" w:line="231" w:lineRule="auto"/>
              <w:jc w:val="right"/>
              <w:rPr>
                <w:sz w:val="19"/>
                <w:szCs w:val="19"/>
              </w:rPr>
            </w:pPr>
            <w:r>
              <w:rPr>
                <w:spacing w:val="-11"/>
                <w:sz w:val="19"/>
                <w:szCs w:val="19"/>
              </w:rPr>
              <w:t>林重叠面积（</w:t>
            </w:r>
            <w:r>
              <w:rPr>
                <w:rFonts w:ascii="Times New Roman" w:hAnsi="Times New Roman" w:eastAsia="Times New Roman" w:cs="Times New Roman"/>
                <w:spacing w:val="-11"/>
                <w:sz w:val="19"/>
                <w:szCs w:val="19"/>
              </w:rPr>
              <w:t>km</w:t>
            </w:r>
            <w:r>
              <w:rPr>
                <w:rFonts w:ascii="Times New Roman" w:hAnsi="Times New Roman" w:eastAsia="Times New Roman" w:cs="Times New Roman"/>
                <w:spacing w:val="8"/>
                <w:position w:val="6"/>
                <w:sz w:val="12"/>
                <w:szCs w:val="12"/>
              </w:rPr>
              <w:t>2</w:t>
            </w:r>
            <w:r>
              <w:rPr>
                <w:spacing w:val="-18"/>
                <w:sz w:val="19"/>
                <w:szCs w:val="19"/>
              </w:rPr>
              <w:t>）</w:t>
            </w:r>
          </w:p>
          <w:p w14:paraId="0B3A0D28">
            <w:pPr>
              <w:pStyle w:val="6"/>
              <w:spacing w:before="21" w:line="223" w:lineRule="auto"/>
              <w:ind w:left="217"/>
              <w:rPr>
                <w:sz w:val="19"/>
                <w:szCs w:val="19"/>
              </w:rPr>
            </w:pPr>
            <w:r>
              <w:rPr>
                <w:spacing w:val="5"/>
                <w:sz w:val="19"/>
                <w:szCs w:val="19"/>
              </w:rPr>
              <w:t>及比例（</w:t>
            </w:r>
            <w:r>
              <w:rPr>
                <w:rFonts w:ascii="Times New Roman" w:hAnsi="Times New Roman" w:eastAsia="Times New Roman" w:cs="Times New Roman"/>
                <w:spacing w:val="5"/>
                <w:sz w:val="19"/>
                <w:szCs w:val="19"/>
              </w:rPr>
              <w:t>%</w:t>
            </w:r>
            <w:r>
              <w:rPr>
                <w:spacing w:val="5"/>
                <w:sz w:val="19"/>
                <w:szCs w:val="19"/>
              </w:rPr>
              <w:t>）</w:t>
            </w:r>
          </w:p>
        </w:tc>
        <w:tc>
          <w:tcPr>
            <w:tcW w:w="1586" w:type="dxa"/>
            <w:tcBorders>
              <w:top w:val="single" w:color="000000" w:sz="10" w:space="0"/>
            </w:tcBorders>
            <w:vAlign w:val="top"/>
          </w:tcPr>
          <w:p w14:paraId="34C7833F">
            <w:pPr>
              <w:pStyle w:val="6"/>
              <w:spacing w:before="50" w:line="231" w:lineRule="auto"/>
              <w:ind w:left="119"/>
              <w:rPr>
                <w:sz w:val="19"/>
                <w:szCs w:val="19"/>
              </w:rPr>
            </w:pPr>
            <w:r>
              <w:rPr>
                <w:spacing w:val="6"/>
                <w:sz w:val="19"/>
                <w:szCs w:val="19"/>
              </w:rPr>
              <w:t>与地方公益林重</w:t>
            </w:r>
          </w:p>
          <w:p w14:paraId="68FD6AC8">
            <w:pPr>
              <w:pStyle w:val="6"/>
              <w:spacing w:before="21" w:line="232" w:lineRule="auto"/>
              <w:ind w:left="58"/>
              <w:rPr>
                <w:sz w:val="19"/>
                <w:szCs w:val="19"/>
              </w:rPr>
            </w:pPr>
            <w:r>
              <w:rPr>
                <w:spacing w:val="4"/>
                <w:sz w:val="19"/>
                <w:szCs w:val="19"/>
              </w:rPr>
              <w:t>叠面积（</w:t>
            </w:r>
            <w:r>
              <w:rPr>
                <w:rFonts w:ascii="Times New Roman" w:hAnsi="Times New Roman" w:eastAsia="Times New Roman" w:cs="Times New Roman"/>
                <w:sz w:val="19"/>
                <w:szCs w:val="19"/>
              </w:rPr>
              <w:t>km</w:t>
            </w:r>
            <w:r>
              <w:rPr>
                <w:rFonts w:ascii="Times New Roman" w:hAnsi="Times New Roman" w:eastAsia="Times New Roman" w:cs="Times New Roman"/>
                <w:spacing w:val="4"/>
                <w:position w:val="6"/>
                <w:sz w:val="12"/>
                <w:szCs w:val="12"/>
              </w:rPr>
              <w:t xml:space="preserve">2 </w:t>
            </w:r>
            <w:r>
              <w:rPr>
                <w:spacing w:val="4"/>
                <w:sz w:val="19"/>
                <w:szCs w:val="19"/>
              </w:rPr>
              <w:t>）及</w:t>
            </w:r>
          </w:p>
          <w:p w14:paraId="0A00C5B6">
            <w:pPr>
              <w:pStyle w:val="6"/>
              <w:spacing w:before="20" w:line="223" w:lineRule="auto"/>
              <w:ind w:left="350"/>
              <w:rPr>
                <w:sz w:val="19"/>
                <w:szCs w:val="19"/>
              </w:rPr>
            </w:pPr>
            <w:r>
              <w:rPr>
                <w:sz w:val="19"/>
                <w:szCs w:val="19"/>
              </w:rPr>
              <w:t>比例（</w:t>
            </w:r>
            <w:r>
              <w:rPr>
                <w:rFonts w:ascii="Times New Roman" w:hAnsi="Times New Roman" w:eastAsia="Times New Roman" w:cs="Times New Roman"/>
                <w:sz w:val="19"/>
                <w:szCs w:val="19"/>
              </w:rPr>
              <w:t>%</w:t>
            </w:r>
            <w:r>
              <w:rPr>
                <w:sz w:val="19"/>
                <w:szCs w:val="19"/>
              </w:rPr>
              <w:t>）</w:t>
            </w:r>
          </w:p>
        </w:tc>
        <w:tc>
          <w:tcPr>
            <w:tcW w:w="664" w:type="dxa"/>
            <w:tcBorders>
              <w:top w:val="single" w:color="000000" w:sz="10" w:space="0"/>
              <w:right w:val="single" w:color="000000" w:sz="10" w:space="0"/>
            </w:tcBorders>
            <w:vAlign w:val="top"/>
          </w:tcPr>
          <w:p w14:paraId="30FEA165">
            <w:pPr>
              <w:pStyle w:val="6"/>
              <w:spacing w:before="179" w:line="233" w:lineRule="auto"/>
              <w:ind w:left="46"/>
              <w:rPr>
                <w:sz w:val="19"/>
                <w:szCs w:val="19"/>
              </w:rPr>
            </w:pPr>
            <w:r>
              <w:rPr>
                <w:spacing w:val="5"/>
                <w:sz w:val="19"/>
                <w:szCs w:val="19"/>
              </w:rPr>
              <w:t>设置类</w:t>
            </w:r>
          </w:p>
          <w:p w14:paraId="2BF11819">
            <w:pPr>
              <w:pStyle w:val="6"/>
              <w:spacing w:before="20" w:line="238" w:lineRule="auto"/>
              <w:ind w:left="256"/>
              <w:rPr>
                <w:sz w:val="19"/>
                <w:szCs w:val="19"/>
              </w:rPr>
            </w:pPr>
            <w:r>
              <w:rPr>
                <w:sz w:val="19"/>
                <w:szCs w:val="19"/>
              </w:rPr>
              <w:t>型</w:t>
            </w:r>
          </w:p>
        </w:tc>
      </w:tr>
      <w:tr w14:paraId="1EC97A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352" w:type="dxa"/>
            <w:tcBorders>
              <w:left w:val="single" w:color="000000" w:sz="10" w:space="0"/>
            </w:tcBorders>
            <w:vAlign w:val="top"/>
          </w:tcPr>
          <w:p w14:paraId="401F4357">
            <w:pPr>
              <w:spacing w:line="292" w:lineRule="auto"/>
              <w:rPr>
                <w:rFonts w:ascii="Arial"/>
                <w:sz w:val="21"/>
              </w:rPr>
            </w:pPr>
          </w:p>
          <w:p w14:paraId="5C8E4859">
            <w:pPr>
              <w:spacing w:before="54" w:line="195" w:lineRule="auto"/>
              <w:ind w:left="132"/>
              <w:rPr>
                <w:rFonts w:ascii="Times New Roman" w:hAnsi="Times New Roman" w:eastAsia="Times New Roman" w:cs="Times New Roman"/>
                <w:sz w:val="19"/>
                <w:szCs w:val="19"/>
              </w:rPr>
            </w:pPr>
            <w:r>
              <w:rPr>
                <w:rFonts w:ascii="Times New Roman" w:hAnsi="Times New Roman" w:eastAsia="Times New Roman" w:cs="Times New Roman"/>
                <w:sz w:val="19"/>
                <w:szCs w:val="19"/>
              </w:rPr>
              <w:t>1</w:t>
            </w:r>
          </w:p>
        </w:tc>
        <w:tc>
          <w:tcPr>
            <w:tcW w:w="920" w:type="dxa"/>
            <w:vAlign w:val="top"/>
          </w:tcPr>
          <w:p w14:paraId="1C29AEE6">
            <w:pPr>
              <w:spacing w:line="292" w:lineRule="auto"/>
              <w:rPr>
                <w:rFonts w:ascii="Arial"/>
                <w:sz w:val="21"/>
              </w:rPr>
            </w:pPr>
          </w:p>
          <w:p w14:paraId="42DFD1BF">
            <w:pPr>
              <w:spacing w:before="54" w:line="197" w:lineRule="auto"/>
              <w:ind w:left="157"/>
              <w:rPr>
                <w:rFonts w:ascii="Times New Roman" w:hAnsi="Times New Roman" w:eastAsia="Times New Roman" w:cs="Times New Roman"/>
                <w:sz w:val="19"/>
                <w:szCs w:val="19"/>
              </w:rPr>
            </w:pPr>
            <w:r>
              <w:rPr>
                <w:rFonts w:ascii="Times New Roman" w:hAnsi="Times New Roman" w:eastAsia="Times New Roman" w:cs="Times New Roman"/>
                <w:sz w:val="19"/>
                <w:szCs w:val="19"/>
              </w:rPr>
              <w:t>KQ</w:t>
            </w:r>
            <w:r>
              <w:rPr>
                <w:rFonts w:ascii="Times New Roman" w:hAnsi="Times New Roman" w:eastAsia="Times New Roman" w:cs="Times New Roman"/>
                <w:spacing w:val="7"/>
                <w:sz w:val="19"/>
                <w:szCs w:val="19"/>
              </w:rPr>
              <w:t>004</w:t>
            </w:r>
          </w:p>
        </w:tc>
        <w:tc>
          <w:tcPr>
            <w:tcW w:w="1632" w:type="dxa"/>
            <w:vAlign w:val="top"/>
          </w:tcPr>
          <w:p w14:paraId="4686674B">
            <w:pPr>
              <w:pStyle w:val="6"/>
              <w:spacing w:before="55" w:line="231" w:lineRule="auto"/>
              <w:ind w:left="26"/>
              <w:rPr>
                <w:sz w:val="19"/>
                <w:szCs w:val="19"/>
              </w:rPr>
            </w:pPr>
            <w:r>
              <w:rPr>
                <w:spacing w:val="7"/>
                <w:sz w:val="19"/>
                <w:szCs w:val="19"/>
              </w:rPr>
              <w:t>重庆市黔江区中塘</w:t>
            </w:r>
          </w:p>
          <w:p w14:paraId="2BC40EBC">
            <w:pPr>
              <w:pStyle w:val="6"/>
              <w:spacing w:before="21" w:line="232" w:lineRule="auto"/>
              <w:ind w:left="86"/>
              <w:rPr>
                <w:sz w:val="19"/>
                <w:szCs w:val="19"/>
              </w:rPr>
            </w:pPr>
            <w:r>
              <w:rPr>
                <w:spacing w:val="7"/>
                <w:sz w:val="19"/>
                <w:szCs w:val="19"/>
              </w:rPr>
              <w:t>镇水田坝</w:t>
            </w:r>
            <w:r>
              <w:rPr>
                <w:rFonts w:ascii="Times New Roman" w:hAnsi="Times New Roman" w:eastAsia="Times New Roman" w:cs="Times New Roman"/>
                <w:spacing w:val="7"/>
                <w:sz w:val="19"/>
                <w:szCs w:val="19"/>
              </w:rPr>
              <w:t>-</w:t>
            </w:r>
            <w:r>
              <w:rPr>
                <w:spacing w:val="7"/>
                <w:sz w:val="19"/>
                <w:szCs w:val="19"/>
              </w:rPr>
              <w:t>二坪铝</w:t>
            </w:r>
          </w:p>
          <w:p w14:paraId="77744E16">
            <w:pPr>
              <w:pStyle w:val="6"/>
              <w:spacing w:before="20" w:line="215" w:lineRule="auto"/>
              <w:ind w:left="223"/>
              <w:rPr>
                <w:sz w:val="19"/>
                <w:szCs w:val="19"/>
              </w:rPr>
            </w:pPr>
            <w:r>
              <w:rPr>
                <w:spacing w:val="7"/>
                <w:sz w:val="19"/>
                <w:szCs w:val="19"/>
              </w:rPr>
              <w:t>土矿勘查区块</w:t>
            </w:r>
          </w:p>
        </w:tc>
        <w:tc>
          <w:tcPr>
            <w:tcW w:w="644" w:type="dxa"/>
            <w:vAlign w:val="top"/>
          </w:tcPr>
          <w:p w14:paraId="5F3371F4">
            <w:pPr>
              <w:spacing w:line="250" w:lineRule="auto"/>
              <w:rPr>
                <w:rFonts w:ascii="Arial"/>
                <w:sz w:val="21"/>
              </w:rPr>
            </w:pPr>
          </w:p>
          <w:p w14:paraId="457E8A5C">
            <w:pPr>
              <w:pStyle w:val="6"/>
              <w:spacing w:before="62" w:line="233" w:lineRule="auto"/>
              <w:ind w:left="30"/>
              <w:rPr>
                <w:sz w:val="19"/>
                <w:szCs w:val="19"/>
              </w:rPr>
            </w:pPr>
            <w:r>
              <w:rPr>
                <w:spacing w:val="5"/>
                <w:sz w:val="19"/>
                <w:szCs w:val="19"/>
              </w:rPr>
              <w:t>铝土矿</w:t>
            </w:r>
          </w:p>
        </w:tc>
        <w:tc>
          <w:tcPr>
            <w:tcW w:w="1505" w:type="dxa"/>
            <w:vAlign w:val="top"/>
          </w:tcPr>
          <w:p w14:paraId="128E3A40">
            <w:pPr>
              <w:spacing w:line="292" w:lineRule="auto"/>
              <w:rPr>
                <w:rFonts w:ascii="Arial"/>
                <w:sz w:val="21"/>
              </w:rPr>
            </w:pPr>
          </w:p>
          <w:p w14:paraId="27B0E1A2">
            <w:pPr>
              <w:spacing w:before="54" w:line="195" w:lineRule="auto"/>
              <w:ind w:left="449"/>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17.2590</w:t>
            </w:r>
          </w:p>
        </w:tc>
        <w:tc>
          <w:tcPr>
            <w:tcW w:w="1570" w:type="dxa"/>
            <w:vAlign w:val="top"/>
          </w:tcPr>
          <w:p w14:paraId="12BF6575">
            <w:pPr>
              <w:spacing w:line="250" w:lineRule="auto"/>
              <w:rPr>
                <w:rFonts w:ascii="Arial"/>
                <w:sz w:val="21"/>
              </w:rPr>
            </w:pPr>
          </w:p>
          <w:p w14:paraId="5B467585">
            <w:pPr>
              <w:pStyle w:val="6"/>
              <w:spacing w:before="62" w:line="252" w:lineRule="exact"/>
              <w:ind w:left="57"/>
              <w:rPr>
                <w:sz w:val="19"/>
                <w:szCs w:val="19"/>
              </w:rPr>
            </w:pPr>
            <w:r>
              <w:rPr>
                <w:rFonts w:ascii="Times New Roman" w:hAnsi="Times New Roman" w:eastAsia="Times New Roman" w:cs="Times New Roman"/>
                <w:spacing w:val="4"/>
                <w:position w:val="1"/>
                <w:sz w:val="19"/>
                <w:szCs w:val="19"/>
              </w:rPr>
              <w:t>2.7963</w:t>
            </w:r>
            <w:r>
              <w:rPr>
                <w:spacing w:val="4"/>
                <w:position w:val="1"/>
                <w:sz w:val="19"/>
                <w:szCs w:val="19"/>
              </w:rPr>
              <w:t>（</w:t>
            </w:r>
            <w:r>
              <w:rPr>
                <w:rFonts w:ascii="Times New Roman" w:hAnsi="Times New Roman" w:eastAsia="Times New Roman" w:cs="Times New Roman"/>
                <w:spacing w:val="4"/>
                <w:position w:val="1"/>
                <w:sz w:val="19"/>
                <w:szCs w:val="19"/>
              </w:rPr>
              <w:t>16.2%</w:t>
            </w:r>
            <w:r>
              <w:rPr>
                <w:spacing w:val="4"/>
                <w:position w:val="1"/>
                <w:sz w:val="19"/>
                <w:szCs w:val="19"/>
              </w:rPr>
              <w:t>）</w:t>
            </w:r>
          </w:p>
        </w:tc>
        <w:tc>
          <w:tcPr>
            <w:tcW w:w="1586" w:type="dxa"/>
            <w:vAlign w:val="top"/>
          </w:tcPr>
          <w:p w14:paraId="30BB9F05">
            <w:pPr>
              <w:spacing w:line="288" w:lineRule="auto"/>
              <w:rPr>
                <w:rFonts w:ascii="Arial"/>
                <w:sz w:val="21"/>
              </w:rPr>
            </w:pPr>
          </w:p>
          <w:p w14:paraId="51FEBD14">
            <w:pPr>
              <w:spacing w:before="55" w:line="199" w:lineRule="auto"/>
              <w:ind w:left="770"/>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c>
          <w:tcPr>
            <w:tcW w:w="664" w:type="dxa"/>
            <w:tcBorders>
              <w:right w:val="single" w:color="000000" w:sz="10" w:space="0"/>
            </w:tcBorders>
            <w:vAlign w:val="top"/>
          </w:tcPr>
          <w:p w14:paraId="084A7E43">
            <w:pPr>
              <w:spacing w:line="250" w:lineRule="auto"/>
              <w:rPr>
                <w:rFonts w:ascii="Arial"/>
                <w:sz w:val="21"/>
              </w:rPr>
            </w:pPr>
          </w:p>
          <w:p w14:paraId="198763AA">
            <w:pPr>
              <w:pStyle w:val="6"/>
              <w:spacing w:before="62" w:line="233" w:lineRule="auto"/>
              <w:ind w:left="148"/>
              <w:rPr>
                <w:sz w:val="19"/>
                <w:szCs w:val="19"/>
              </w:rPr>
            </w:pPr>
            <w:r>
              <w:rPr>
                <w:spacing w:val="2"/>
                <w:sz w:val="19"/>
                <w:szCs w:val="19"/>
              </w:rPr>
              <w:t>调整</w:t>
            </w:r>
          </w:p>
        </w:tc>
      </w:tr>
      <w:tr w14:paraId="0E7EB0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8" w:hRule="atLeast"/>
        </w:trPr>
        <w:tc>
          <w:tcPr>
            <w:tcW w:w="352" w:type="dxa"/>
            <w:tcBorders>
              <w:left w:val="single" w:color="000000" w:sz="10" w:space="0"/>
              <w:bottom w:val="single" w:color="000000" w:sz="10" w:space="0"/>
            </w:tcBorders>
            <w:vAlign w:val="top"/>
          </w:tcPr>
          <w:p w14:paraId="01C90280">
            <w:pPr>
              <w:spacing w:line="300" w:lineRule="auto"/>
              <w:rPr>
                <w:rFonts w:ascii="Arial"/>
                <w:sz w:val="21"/>
              </w:rPr>
            </w:pPr>
          </w:p>
          <w:p w14:paraId="646B6986">
            <w:pPr>
              <w:spacing w:before="55" w:line="195" w:lineRule="auto"/>
              <w:ind w:left="113"/>
              <w:rPr>
                <w:rFonts w:ascii="Times New Roman" w:hAnsi="Times New Roman" w:eastAsia="Times New Roman" w:cs="Times New Roman"/>
                <w:sz w:val="19"/>
                <w:szCs w:val="19"/>
              </w:rPr>
            </w:pPr>
            <w:r>
              <w:rPr>
                <w:rFonts w:ascii="Times New Roman" w:hAnsi="Times New Roman" w:eastAsia="Times New Roman" w:cs="Times New Roman"/>
                <w:sz w:val="19"/>
                <w:szCs w:val="19"/>
              </w:rPr>
              <w:t>2</w:t>
            </w:r>
          </w:p>
        </w:tc>
        <w:tc>
          <w:tcPr>
            <w:tcW w:w="920" w:type="dxa"/>
            <w:tcBorders>
              <w:bottom w:val="single" w:color="000000" w:sz="10" w:space="0"/>
            </w:tcBorders>
            <w:vAlign w:val="top"/>
          </w:tcPr>
          <w:p w14:paraId="78084080">
            <w:pPr>
              <w:spacing w:line="300" w:lineRule="auto"/>
              <w:rPr>
                <w:rFonts w:ascii="Arial"/>
                <w:sz w:val="21"/>
              </w:rPr>
            </w:pPr>
          </w:p>
          <w:p w14:paraId="66FD5238">
            <w:pPr>
              <w:spacing w:before="55" w:line="197" w:lineRule="auto"/>
              <w:ind w:left="157"/>
              <w:rPr>
                <w:rFonts w:ascii="Times New Roman" w:hAnsi="Times New Roman" w:eastAsia="Times New Roman" w:cs="Times New Roman"/>
                <w:sz w:val="19"/>
                <w:szCs w:val="19"/>
              </w:rPr>
            </w:pPr>
            <w:r>
              <w:rPr>
                <w:rFonts w:ascii="Times New Roman" w:hAnsi="Times New Roman" w:eastAsia="Times New Roman" w:cs="Times New Roman"/>
                <w:sz w:val="19"/>
                <w:szCs w:val="19"/>
              </w:rPr>
              <w:t>KQ</w:t>
            </w:r>
            <w:r>
              <w:rPr>
                <w:rFonts w:ascii="Times New Roman" w:hAnsi="Times New Roman" w:eastAsia="Times New Roman" w:cs="Times New Roman"/>
                <w:spacing w:val="7"/>
                <w:sz w:val="19"/>
                <w:szCs w:val="19"/>
              </w:rPr>
              <w:t>009</w:t>
            </w:r>
          </w:p>
        </w:tc>
        <w:tc>
          <w:tcPr>
            <w:tcW w:w="1632" w:type="dxa"/>
            <w:tcBorders>
              <w:bottom w:val="single" w:color="000000" w:sz="10" w:space="0"/>
            </w:tcBorders>
            <w:vAlign w:val="top"/>
          </w:tcPr>
          <w:p w14:paraId="04555755">
            <w:pPr>
              <w:pStyle w:val="6"/>
              <w:spacing w:before="64" w:line="244" w:lineRule="auto"/>
              <w:ind w:left="19" w:right="22" w:firstLine="6"/>
              <w:jc w:val="both"/>
              <w:rPr>
                <w:sz w:val="19"/>
                <w:szCs w:val="19"/>
              </w:rPr>
            </w:pPr>
            <w:r>
              <w:rPr>
                <w:spacing w:val="7"/>
                <w:sz w:val="19"/>
                <w:szCs w:val="19"/>
              </w:rPr>
              <w:t>重庆市黔江区黑溪</w:t>
            </w:r>
            <w:r>
              <w:rPr>
                <w:spacing w:val="1"/>
                <w:sz w:val="19"/>
                <w:szCs w:val="19"/>
              </w:rPr>
              <w:t xml:space="preserve"> </w:t>
            </w:r>
            <w:r>
              <w:rPr>
                <w:spacing w:val="8"/>
                <w:sz w:val="19"/>
                <w:szCs w:val="19"/>
              </w:rPr>
              <w:t>镇光明村和尚坪铸</w:t>
            </w:r>
            <w:r>
              <w:rPr>
                <w:sz w:val="19"/>
                <w:szCs w:val="19"/>
              </w:rPr>
              <w:t xml:space="preserve"> </w:t>
            </w:r>
            <w:r>
              <w:rPr>
                <w:spacing w:val="8"/>
                <w:sz w:val="19"/>
                <w:szCs w:val="19"/>
              </w:rPr>
              <w:t>型用砂岩勘查区块</w:t>
            </w:r>
          </w:p>
        </w:tc>
        <w:tc>
          <w:tcPr>
            <w:tcW w:w="644" w:type="dxa"/>
            <w:tcBorders>
              <w:bottom w:val="single" w:color="000000" w:sz="10" w:space="0"/>
            </w:tcBorders>
            <w:vAlign w:val="top"/>
          </w:tcPr>
          <w:p w14:paraId="479FB2BC">
            <w:pPr>
              <w:pStyle w:val="6"/>
              <w:spacing w:before="194" w:line="250" w:lineRule="auto"/>
              <w:ind w:left="129" w:right="23" w:hanging="100"/>
              <w:rPr>
                <w:sz w:val="19"/>
                <w:szCs w:val="19"/>
              </w:rPr>
            </w:pPr>
            <w:r>
              <w:rPr>
                <w:spacing w:val="5"/>
                <w:sz w:val="19"/>
                <w:szCs w:val="19"/>
              </w:rPr>
              <w:t>铸型用</w:t>
            </w:r>
            <w:r>
              <w:rPr>
                <w:sz w:val="19"/>
                <w:szCs w:val="19"/>
              </w:rPr>
              <w:t xml:space="preserve"> </w:t>
            </w:r>
            <w:r>
              <w:rPr>
                <w:spacing w:val="2"/>
                <w:sz w:val="19"/>
                <w:szCs w:val="19"/>
              </w:rPr>
              <w:t>砂岩</w:t>
            </w:r>
          </w:p>
        </w:tc>
        <w:tc>
          <w:tcPr>
            <w:tcW w:w="1505" w:type="dxa"/>
            <w:tcBorders>
              <w:bottom w:val="single" w:color="000000" w:sz="10" w:space="0"/>
            </w:tcBorders>
            <w:vAlign w:val="top"/>
          </w:tcPr>
          <w:p w14:paraId="600A8B46">
            <w:pPr>
              <w:spacing w:line="300" w:lineRule="auto"/>
              <w:rPr>
                <w:rFonts w:ascii="Arial"/>
                <w:sz w:val="21"/>
              </w:rPr>
            </w:pPr>
          </w:p>
          <w:p w14:paraId="377A9FE9">
            <w:pPr>
              <w:spacing w:before="55" w:line="195" w:lineRule="auto"/>
              <w:ind w:left="483"/>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0.3702</w:t>
            </w:r>
          </w:p>
        </w:tc>
        <w:tc>
          <w:tcPr>
            <w:tcW w:w="1570" w:type="dxa"/>
            <w:tcBorders>
              <w:bottom w:val="single" w:color="000000" w:sz="10" w:space="0"/>
            </w:tcBorders>
            <w:vAlign w:val="top"/>
          </w:tcPr>
          <w:p w14:paraId="2BFEEBA0">
            <w:pPr>
              <w:spacing w:line="297" w:lineRule="auto"/>
              <w:rPr>
                <w:rFonts w:ascii="Arial"/>
                <w:sz w:val="21"/>
              </w:rPr>
            </w:pPr>
          </w:p>
          <w:p w14:paraId="78B6B6E6">
            <w:pPr>
              <w:spacing w:before="54" w:line="199" w:lineRule="auto"/>
              <w:ind w:left="759"/>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c>
          <w:tcPr>
            <w:tcW w:w="1586" w:type="dxa"/>
            <w:tcBorders>
              <w:bottom w:val="single" w:color="000000" w:sz="10" w:space="0"/>
            </w:tcBorders>
            <w:vAlign w:val="top"/>
          </w:tcPr>
          <w:p w14:paraId="7DEE7E85">
            <w:pPr>
              <w:spacing w:line="259" w:lineRule="auto"/>
              <w:rPr>
                <w:rFonts w:ascii="Arial"/>
                <w:sz w:val="21"/>
              </w:rPr>
            </w:pPr>
          </w:p>
          <w:p w14:paraId="280165EA">
            <w:pPr>
              <w:pStyle w:val="6"/>
              <w:spacing w:before="62" w:line="252" w:lineRule="exact"/>
              <w:ind w:left="26"/>
              <w:rPr>
                <w:sz w:val="19"/>
                <w:szCs w:val="19"/>
              </w:rPr>
            </w:pPr>
            <w:r>
              <w:rPr>
                <w:rFonts w:ascii="Times New Roman" w:hAnsi="Times New Roman" w:eastAsia="Times New Roman" w:cs="Times New Roman"/>
                <w:spacing w:val="4"/>
                <w:position w:val="1"/>
                <w:sz w:val="19"/>
                <w:szCs w:val="19"/>
              </w:rPr>
              <w:t>0.3086</w:t>
            </w:r>
            <w:r>
              <w:rPr>
                <w:spacing w:val="4"/>
                <w:position w:val="1"/>
                <w:sz w:val="19"/>
                <w:szCs w:val="19"/>
              </w:rPr>
              <w:t>（</w:t>
            </w:r>
            <w:r>
              <w:rPr>
                <w:rFonts w:ascii="Times New Roman" w:hAnsi="Times New Roman" w:eastAsia="Times New Roman" w:cs="Times New Roman"/>
                <w:spacing w:val="4"/>
                <w:position w:val="1"/>
                <w:sz w:val="19"/>
                <w:szCs w:val="19"/>
              </w:rPr>
              <w:t>83.36%</w:t>
            </w:r>
            <w:r>
              <w:rPr>
                <w:spacing w:val="4"/>
                <w:position w:val="1"/>
                <w:sz w:val="19"/>
                <w:szCs w:val="19"/>
              </w:rPr>
              <w:t>）</w:t>
            </w:r>
          </w:p>
        </w:tc>
        <w:tc>
          <w:tcPr>
            <w:tcW w:w="664" w:type="dxa"/>
            <w:tcBorders>
              <w:bottom w:val="single" w:color="000000" w:sz="10" w:space="0"/>
              <w:right w:val="single" w:color="000000" w:sz="10" w:space="0"/>
            </w:tcBorders>
            <w:vAlign w:val="top"/>
          </w:tcPr>
          <w:p w14:paraId="12F686EB">
            <w:pPr>
              <w:spacing w:line="259" w:lineRule="auto"/>
              <w:rPr>
                <w:rFonts w:ascii="Arial"/>
                <w:sz w:val="21"/>
              </w:rPr>
            </w:pPr>
          </w:p>
          <w:p w14:paraId="54F31B0B">
            <w:pPr>
              <w:pStyle w:val="6"/>
              <w:spacing w:before="62" w:line="231" w:lineRule="auto"/>
              <w:ind w:left="147"/>
              <w:rPr>
                <w:sz w:val="19"/>
                <w:szCs w:val="19"/>
              </w:rPr>
            </w:pPr>
            <w:r>
              <w:rPr>
                <w:spacing w:val="2"/>
                <w:sz w:val="19"/>
                <w:szCs w:val="19"/>
              </w:rPr>
              <w:t>新增</w:t>
            </w:r>
          </w:p>
        </w:tc>
      </w:tr>
    </w:tbl>
    <w:p w14:paraId="23569EE0">
      <w:pPr>
        <w:spacing w:before="149" w:line="339" w:lineRule="auto"/>
        <w:ind w:left="45" w:firstLine="521"/>
        <w:jc w:val="both"/>
        <w:rPr>
          <w:rFonts w:ascii="仿宋" w:hAnsi="仿宋" w:eastAsia="仿宋" w:cs="仿宋"/>
          <w:sz w:val="25"/>
          <w:szCs w:val="25"/>
        </w:rPr>
      </w:pPr>
      <w:r>
        <w:rPr>
          <w:rFonts w:ascii="仿宋" w:hAnsi="仿宋" w:eastAsia="仿宋" w:cs="仿宋"/>
          <w:spacing w:val="9"/>
          <w:sz w:val="25"/>
          <w:szCs w:val="25"/>
        </w:rPr>
        <w:t>依据《国家级公益林管理办法》《重庆市公益林管理办法》《建设项目使</w:t>
      </w:r>
      <w:r>
        <w:rPr>
          <w:rFonts w:ascii="仿宋" w:hAnsi="仿宋" w:eastAsia="仿宋" w:cs="仿宋"/>
          <w:spacing w:val="13"/>
          <w:sz w:val="25"/>
          <w:szCs w:val="25"/>
        </w:rPr>
        <w:t xml:space="preserve"> </w:t>
      </w:r>
      <w:r>
        <w:rPr>
          <w:rFonts w:ascii="仿宋" w:hAnsi="仿宋" w:eastAsia="仿宋" w:cs="仿宋"/>
          <w:spacing w:val="5"/>
          <w:sz w:val="25"/>
          <w:szCs w:val="25"/>
        </w:rPr>
        <w:t>用林地审核审批管理办法》及《建设项目使用林地审核审批</w:t>
      </w:r>
      <w:r>
        <w:rPr>
          <w:rFonts w:ascii="仿宋" w:hAnsi="仿宋" w:eastAsia="仿宋" w:cs="仿宋"/>
          <w:spacing w:val="4"/>
          <w:sz w:val="25"/>
          <w:szCs w:val="25"/>
        </w:rPr>
        <w:t>管理规范》等规定。</w:t>
      </w:r>
      <w:r>
        <w:rPr>
          <w:rFonts w:ascii="仿宋" w:hAnsi="仿宋" w:eastAsia="仿宋" w:cs="仿宋"/>
          <w:sz w:val="25"/>
          <w:szCs w:val="25"/>
        </w:rPr>
        <w:t xml:space="preserve"> </w:t>
      </w:r>
      <w:r>
        <w:rPr>
          <w:rFonts w:ascii="仿宋" w:hAnsi="仿宋" w:eastAsia="仿宋" w:cs="仿宋"/>
          <w:spacing w:val="9"/>
          <w:sz w:val="25"/>
          <w:szCs w:val="25"/>
        </w:rPr>
        <w:t>评价建议：</w:t>
      </w:r>
      <w:r>
        <w:rPr>
          <w:rFonts w:ascii="Times New Roman" w:hAnsi="Times New Roman" w:eastAsia="Times New Roman" w:cs="Times New Roman"/>
          <w:sz w:val="25"/>
          <w:szCs w:val="25"/>
        </w:rPr>
        <w:t>KQ</w:t>
      </w:r>
      <w:r>
        <w:rPr>
          <w:rFonts w:ascii="Times New Roman" w:hAnsi="Times New Roman" w:eastAsia="Times New Roman" w:cs="Times New Roman"/>
          <w:spacing w:val="9"/>
          <w:sz w:val="25"/>
          <w:szCs w:val="25"/>
        </w:rPr>
        <w:t>004</w:t>
      </w:r>
      <w:r>
        <w:rPr>
          <w:rFonts w:ascii="仿宋" w:hAnsi="仿宋" w:eastAsia="仿宋" w:cs="仿宋"/>
          <w:spacing w:val="9"/>
          <w:sz w:val="25"/>
          <w:szCs w:val="25"/>
        </w:rPr>
        <w:t>（铝土矿）、</w:t>
      </w:r>
      <w:r>
        <w:rPr>
          <w:rFonts w:ascii="Times New Roman" w:hAnsi="Times New Roman" w:eastAsia="Times New Roman" w:cs="Times New Roman"/>
          <w:sz w:val="25"/>
          <w:szCs w:val="25"/>
        </w:rPr>
        <w:t>KQ</w:t>
      </w:r>
      <w:r>
        <w:rPr>
          <w:rFonts w:ascii="Times New Roman" w:hAnsi="Times New Roman" w:eastAsia="Times New Roman" w:cs="Times New Roman"/>
          <w:spacing w:val="9"/>
          <w:sz w:val="25"/>
          <w:szCs w:val="25"/>
        </w:rPr>
        <w:t>009</w:t>
      </w:r>
      <w:r>
        <w:rPr>
          <w:rFonts w:ascii="仿宋" w:hAnsi="仿宋" w:eastAsia="仿宋" w:cs="仿宋"/>
          <w:spacing w:val="9"/>
          <w:sz w:val="25"/>
          <w:szCs w:val="25"/>
        </w:rPr>
        <w:t>（铸型用砂岩）在勘查时要主动避让公</w:t>
      </w:r>
      <w:r>
        <w:rPr>
          <w:rFonts w:ascii="仿宋" w:hAnsi="仿宋" w:eastAsia="仿宋" w:cs="仿宋"/>
          <w:spacing w:val="6"/>
          <w:sz w:val="25"/>
          <w:szCs w:val="25"/>
        </w:rPr>
        <w:t xml:space="preserve">  </w:t>
      </w:r>
      <w:r>
        <w:rPr>
          <w:rFonts w:ascii="仿宋" w:hAnsi="仿宋" w:eastAsia="仿宋" w:cs="仿宋"/>
          <w:spacing w:val="9"/>
          <w:sz w:val="25"/>
          <w:szCs w:val="25"/>
        </w:rPr>
        <w:t>益林地，开采前应优先优化布局，地面工程不占或者少占公益林地，确需占用</w:t>
      </w:r>
      <w:r>
        <w:rPr>
          <w:rFonts w:ascii="仿宋" w:hAnsi="仿宋" w:eastAsia="仿宋" w:cs="仿宋"/>
          <w:spacing w:val="14"/>
          <w:sz w:val="25"/>
          <w:szCs w:val="25"/>
        </w:rPr>
        <w:t xml:space="preserve"> </w:t>
      </w:r>
      <w:r>
        <w:rPr>
          <w:rFonts w:ascii="仿宋" w:hAnsi="仿宋" w:eastAsia="仿宋" w:cs="仿宋"/>
          <w:spacing w:val="9"/>
          <w:sz w:val="25"/>
          <w:szCs w:val="25"/>
        </w:rPr>
        <w:t>的，严格按照《建设项目使用林地审核审批管理办法》有关规定办理使用林地</w:t>
      </w:r>
      <w:r>
        <w:rPr>
          <w:rFonts w:ascii="仿宋" w:hAnsi="仿宋" w:eastAsia="仿宋" w:cs="仿宋"/>
          <w:spacing w:val="16"/>
          <w:sz w:val="25"/>
          <w:szCs w:val="25"/>
        </w:rPr>
        <w:t xml:space="preserve"> </w:t>
      </w:r>
      <w:r>
        <w:rPr>
          <w:rFonts w:ascii="仿宋" w:hAnsi="仿宋" w:eastAsia="仿宋" w:cs="仿宋"/>
          <w:spacing w:val="9"/>
          <w:sz w:val="25"/>
          <w:szCs w:val="25"/>
        </w:rPr>
        <w:t>手续。涉及林木采伐的，按相关规定依法办理林木采</w:t>
      </w:r>
      <w:r>
        <w:rPr>
          <w:rFonts w:ascii="仿宋" w:hAnsi="仿宋" w:eastAsia="仿宋" w:cs="仿宋"/>
          <w:spacing w:val="8"/>
          <w:sz w:val="25"/>
          <w:szCs w:val="25"/>
        </w:rPr>
        <w:t>伐手续。</w:t>
      </w:r>
    </w:p>
    <w:p w14:paraId="06DF1507">
      <w:pPr>
        <w:spacing w:before="124" w:line="228" w:lineRule="auto"/>
        <w:ind w:left="37"/>
        <w:outlineLvl w:val="3"/>
        <w:rPr>
          <w:rFonts w:ascii="仿宋" w:hAnsi="仿宋" w:eastAsia="仿宋" w:cs="仿宋"/>
          <w:sz w:val="25"/>
          <w:szCs w:val="25"/>
        </w:rPr>
      </w:pPr>
      <w:r>
        <w:rPr>
          <w:rFonts w:ascii="Times New Roman" w:hAnsi="Times New Roman" w:eastAsia="Times New Roman" w:cs="Times New Roman"/>
          <w:b/>
          <w:bCs/>
          <w:spacing w:val="5"/>
          <w:sz w:val="25"/>
          <w:szCs w:val="25"/>
        </w:rPr>
        <w:t>5.2.5.5</w:t>
      </w:r>
      <w:r>
        <w:rPr>
          <w:rFonts w:ascii="Times New Roman" w:hAnsi="Times New Roman" w:eastAsia="Times New Roman" w:cs="Times New Roman"/>
          <w:b/>
          <w:bCs/>
          <w:spacing w:val="21"/>
          <w:sz w:val="25"/>
          <w:szCs w:val="25"/>
        </w:rPr>
        <w:t xml:space="preserve"> </w:t>
      </w:r>
      <w:r>
        <w:rPr>
          <w:rFonts w:ascii="仿宋" w:hAnsi="仿宋" w:eastAsia="仿宋" w:cs="仿宋"/>
          <w:b/>
          <w:bCs/>
          <w:spacing w:val="5"/>
          <w:sz w:val="25"/>
          <w:szCs w:val="25"/>
        </w:rPr>
        <w:t>对城镇开发边界影响分析</w:t>
      </w:r>
    </w:p>
    <w:p w14:paraId="5D98D502">
      <w:pPr>
        <w:spacing w:before="272" w:line="339" w:lineRule="auto"/>
        <w:ind w:left="45" w:right="138" w:firstLine="521"/>
        <w:rPr>
          <w:rFonts w:ascii="仿宋" w:hAnsi="仿宋" w:eastAsia="仿宋" w:cs="仿宋"/>
          <w:sz w:val="25"/>
          <w:szCs w:val="25"/>
        </w:rPr>
      </w:pPr>
      <w:r>
        <w:rPr>
          <w:rFonts w:ascii="仿宋" w:hAnsi="仿宋" w:eastAsia="仿宋" w:cs="仿宋"/>
          <w:spacing w:val="5"/>
          <w:sz w:val="25"/>
          <w:szCs w:val="25"/>
        </w:rPr>
        <w:t>根据附图</w:t>
      </w:r>
      <w:r>
        <w:rPr>
          <w:rFonts w:ascii="仿宋" w:hAnsi="仿宋" w:eastAsia="仿宋" w:cs="仿宋"/>
          <w:spacing w:val="-44"/>
          <w:sz w:val="25"/>
          <w:szCs w:val="25"/>
        </w:rPr>
        <w:t xml:space="preserve"> </w:t>
      </w:r>
      <w:r>
        <w:rPr>
          <w:rFonts w:ascii="Times New Roman" w:hAnsi="Times New Roman" w:eastAsia="Times New Roman" w:cs="Times New Roman"/>
          <w:spacing w:val="5"/>
          <w:sz w:val="25"/>
          <w:szCs w:val="25"/>
        </w:rPr>
        <w:t>5-4</w:t>
      </w:r>
      <w:r>
        <w:rPr>
          <w:rFonts w:ascii="Times New Roman" w:hAnsi="Times New Roman" w:eastAsia="Times New Roman" w:cs="Times New Roman"/>
          <w:spacing w:val="26"/>
          <w:sz w:val="25"/>
          <w:szCs w:val="25"/>
        </w:rPr>
        <w:t xml:space="preserve"> </w:t>
      </w:r>
      <w:r>
        <w:rPr>
          <w:rFonts w:ascii="仿宋" w:hAnsi="仿宋" w:eastAsia="仿宋" w:cs="仿宋"/>
          <w:spacing w:val="5"/>
          <w:sz w:val="25"/>
          <w:szCs w:val="25"/>
        </w:rPr>
        <w:t>可知，本次评价的</w:t>
      </w:r>
      <w:r>
        <w:rPr>
          <w:rFonts w:ascii="仿宋" w:hAnsi="仿宋" w:eastAsia="仿宋" w:cs="仿宋"/>
          <w:spacing w:val="-30"/>
          <w:sz w:val="25"/>
          <w:szCs w:val="25"/>
        </w:rPr>
        <w:t xml:space="preserve"> </w:t>
      </w:r>
      <w:r>
        <w:rPr>
          <w:rFonts w:ascii="Times New Roman" w:hAnsi="Times New Roman" w:eastAsia="Times New Roman" w:cs="Times New Roman"/>
          <w:spacing w:val="5"/>
          <w:sz w:val="25"/>
          <w:szCs w:val="25"/>
        </w:rPr>
        <w:t>1</w:t>
      </w:r>
      <w:r>
        <w:rPr>
          <w:rFonts w:ascii="Times New Roman" w:hAnsi="Times New Roman" w:eastAsia="Times New Roman" w:cs="Times New Roman"/>
          <w:spacing w:val="23"/>
          <w:w w:val="101"/>
          <w:sz w:val="25"/>
          <w:szCs w:val="25"/>
        </w:rPr>
        <w:t xml:space="preserve"> </w:t>
      </w:r>
      <w:r>
        <w:rPr>
          <w:rFonts w:ascii="仿宋" w:hAnsi="仿宋" w:eastAsia="仿宋" w:cs="仿宋"/>
          <w:spacing w:val="5"/>
          <w:sz w:val="25"/>
          <w:szCs w:val="25"/>
        </w:rPr>
        <w:t>个开采区块和</w:t>
      </w:r>
      <w:r>
        <w:rPr>
          <w:rFonts w:ascii="仿宋" w:hAnsi="仿宋" w:eastAsia="仿宋" w:cs="仿宋"/>
          <w:spacing w:val="-50"/>
          <w:sz w:val="25"/>
          <w:szCs w:val="25"/>
        </w:rPr>
        <w:t xml:space="preserve"> </w:t>
      </w:r>
      <w:r>
        <w:rPr>
          <w:rFonts w:ascii="Times New Roman" w:hAnsi="Times New Roman" w:eastAsia="Times New Roman" w:cs="Times New Roman"/>
          <w:spacing w:val="5"/>
          <w:sz w:val="25"/>
          <w:szCs w:val="25"/>
        </w:rPr>
        <w:t>3</w:t>
      </w:r>
      <w:r>
        <w:rPr>
          <w:rFonts w:ascii="Times New Roman" w:hAnsi="Times New Roman" w:eastAsia="Times New Roman" w:cs="Times New Roman"/>
          <w:spacing w:val="19"/>
          <w:sz w:val="25"/>
          <w:szCs w:val="25"/>
        </w:rPr>
        <w:t xml:space="preserve"> </w:t>
      </w:r>
      <w:r>
        <w:rPr>
          <w:rFonts w:ascii="仿宋" w:hAnsi="仿宋" w:eastAsia="仿宋" w:cs="仿宋"/>
          <w:spacing w:val="5"/>
          <w:sz w:val="25"/>
          <w:szCs w:val="25"/>
        </w:rPr>
        <w:t>勘查区块与黔江区城镇</w:t>
      </w:r>
      <w:r>
        <w:rPr>
          <w:rFonts w:ascii="仿宋" w:hAnsi="仿宋" w:eastAsia="仿宋" w:cs="仿宋"/>
          <w:sz w:val="25"/>
          <w:szCs w:val="25"/>
        </w:rPr>
        <w:t xml:space="preserve"> </w:t>
      </w:r>
      <w:r>
        <w:rPr>
          <w:rFonts w:ascii="仿宋" w:hAnsi="仿宋" w:eastAsia="仿宋" w:cs="仿宋"/>
          <w:spacing w:val="6"/>
          <w:sz w:val="25"/>
          <w:szCs w:val="25"/>
        </w:rPr>
        <w:t>开发边界无重叠。</w:t>
      </w:r>
    </w:p>
    <w:p w14:paraId="2D30BC47">
      <w:pPr>
        <w:spacing w:before="122" w:line="228" w:lineRule="auto"/>
        <w:ind w:left="37"/>
        <w:outlineLvl w:val="3"/>
        <w:rPr>
          <w:rFonts w:ascii="仿宋" w:hAnsi="仿宋" w:eastAsia="仿宋" w:cs="仿宋"/>
          <w:sz w:val="25"/>
          <w:szCs w:val="25"/>
        </w:rPr>
      </w:pPr>
      <w:r>
        <w:rPr>
          <w:rFonts w:ascii="Times New Roman" w:hAnsi="Times New Roman" w:eastAsia="Times New Roman" w:cs="Times New Roman"/>
          <w:b/>
          <w:bCs/>
          <w:spacing w:val="5"/>
          <w:sz w:val="25"/>
          <w:szCs w:val="25"/>
        </w:rPr>
        <w:t>5.2.5.6</w:t>
      </w:r>
      <w:r>
        <w:rPr>
          <w:rFonts w:ascii="Times New Roman" w:hAnsi="Times New Roman" w:eastAsia="Times New Roman" w:cs="Times New Roman"/>
          <w:b/>
          <w:bCs/>
          <w:spacing w:val="23"/>
          <w:sz w:val="25"/>
          <w:szCs w:val="25"/>
        </w:rPr>
        <w:t xml:space="preserve"> </w:t>
      </w:r>
      <w:r>
        <w:rPr>
          <w:rFonts w:ascii="仿宋" w:hAnsi="仿宋" w:eastAsia="仿宋" w:cs="仿宋"/>
          <w:b/>
          <w:bCs/>
          <w:spacing w:val="5"/>
          <w:sz w:val="25"/>
          <w:szCs w:val="25"/>
        </w:rPr>
        <w:t>对永久基本农田的影响分析</w:t>
      </w:r>
    </w:p>
    <w:p w14:paraId="73A94CEF">
      <w:pPr>
        <w:spacing w:before="272" w:line="338" w:lineRule="auto"/>
        <w:ind w:left="45" w:firstLine="481"/>
        <w:jc w:val="both"/>
        <w:rPr>
          <w:rFonts w:ascii="仿宋" w:hAnsi="仿宋" w:eastAsia="仿宋" w:cs="仿宋"/>
          <w:sz w:val="25"/>
          <w:szCs w:val="25"/>
        </w:rPr>
      </w:pPr>
      <w:r>
        <w:rPr>
          <w:rFonts w:ascii="仿宋" w:hAnsi="仿宋" w:eastAsia="仿宋" w:cs="仿宋"/>
          <w:spacing w:val="5"/>
          <w:sz w:val="25"/>
          <w:szCs w:val="25"/>
        </w:rPr>
        <w:t>根据与黔江区永久基本农田叠图分析（附图</w:t>
      </w:r>
      <w:r>
        <w:rPr>
          <w:rFonts w:ascii="仿宋" w:hAnsi="仿宋" w:eastAsia="仿宋" w:cs="仿宋"/>
          <w:spacing w:val="-32"/>
          <w:sz w:val="25"/>
          <w:szCs w:val="25"/>
        </w:rPr>
        <w:t xml:space="preserve"> </w:t>
      </w:r>
      <w:r>
        <w:rPr>
          <w:rFonts w:ascii="Times New Roman" w:hAnsi="Times New Roman" w:eastAsia="Times New Roman" w:cs="Times New Roman"/>
          <w:spacing w:val="5"/>
          <w:sz w:val="25"/>
          <w:szCs w:val="25"/>
        </w:rPr>
        <w:t>5-5</w:t>
      </w:r>
      <w:r>
        <w:rPr>
          <w:rFonts w:ascii="仿宋" w:hAnsi="仿宋" w:eastAsia="仿宋" w:cs="仿宋"/>
          <w:spacing w:val="5"/>
          <w:sz w:val="25"/>
          <w:szCs w:val="25"/>
        </w:rPr>
        <w:t>）可知，本次评价的开采区</w:t>
      </w:r>
      <w:r>
        <w:rPr>
          <w:rFonts w:ascii="仿宋" w:hAnsi="仿宋" w:eastAsia="仿宋" w:cs="仿宋"/>
          <w:sz w:val="25"/>
          <w:szCs w:val="25"/>
        </w:rPr>
        <w:t xml:space="preserve"> </w:t>
      </w:r>
      <w:r>
        <w:rPr>
          <w:rFonts w:ascii="仿宋" w:hAnsi="仿宋" w:eastAsia="仿宋" w:cs="仿宋"/>
          <w:spacing w:val="1"/>
          <w:sz w:val="25"/>
          <w:szCs w:val="25"/>
        </w:rPr>
        <w:t>块</w:t>
      </w:r>
      <w:r>
        <w:rPr>
          <w:rFonts w:ascii="仿宋" w:hAnsi="仿宋" w:eastAsia="仿宋" w:cs="仿宋"/>
          <w:spacing w:val="-44"/>
          <w:sz w:val="25"/>
          <w:szCs w:val="25"/>
        </w:rPr>
        <w:t xml:space="preserve"> </w:t>
      </w:r>
      <w:r>
        <w:rPr>
          <w:rFonts w:ascii="Times New Roman" w:hAnsi="Times New Roman" w:eastAsia="Times New Roman" w:cs="Times New Roman"/>
          <w:sz w:val="25"/>
          <w:szCs w:val="25"/>
        </w:rPr>
        <w:t>CQ</w:t>
      </w:r>
      <w:r>
        <w:rPr>
          <w:rFonts w:ascii="Times New Roman" w:hAnsi="Times New Roman" w:eastAsia="Times New Roman" w:cs="Times New Roman"/>
          <w:spacing w:val="1"/>
          <w:sz w:val="25"/>
          <w:szCs w:val="25"/>
        </w:rPr>
        <w:t>029</w:t>
      </w:r>
      <w:r>
        <w:rPr>
          <w:rFonts w:ascii="Times New Roman" w:hAnsi="Times New Roman" w:eastAsia="Times New Roman" w:cs="Times New Roman"/>
          <w:spacing w:val="22"/>
          <w:sz w:val="25"/>
          <w:szCs w:val="25"/>
        </w:rPr>
        <w:t xml:space="preserve"> </w:t>
      </w:r>
      <w:r>
        <w:rPr>
          <w:rFonts w:ascii="仿宋" w:hAnsi="仿宋" w:eastAsia="仿宋" w:cs="仿宋"/>
          <w:spacing w:val="1"/>
          <w:sz w:val="25"/>
          <w:szCs w:val="25"/>
        </w:rPr>
        <w:t>和</w:t>
      </w:r>
      <w:r>
        <w:rPr>
          <w:rFonts w:ascii="仿宋" w:hAnsi="仿宋" w:eastAsia="仿宋" w:cs="仿宋"/>
          <w:spacing w:val="-56"/>
          <w:sz w:val="25"/>
          <w:szCs w:val="25"/>
        </w:rPr>
        <w:t xml:space="preserve"> </w:t>
      </w:r>
      <w:r>
        <w:rPr>
          <w:rFonts w:ascii="Times New Roman" w:hAnsi="Times New Roman" w:eastAsia="Times New Roman" w:cs="Times New Roman"/>
          <w:sz w:val="25"/>
          <w:szCs w:val="25"/>
        </w:rPr>
        <w:t>KQ</w:t>
      </w:r>
      <w:r>
        <w:rPr>
          <w:rFonts w:ascii="Times New Roman" w:hAnsi="Times New Roman" w:eastAsia="Times New Roman" w:cs="Times New Roman"/>
          <w:spacing w:val="1"/>
          <w:sz w:val="25"/>
          <w:szCs w:val="25"/>
        </w:rPr>
        <w:t>003</w:t>
      </w:r>
      <w:r>
        <w:rPr>
          <w:rFonts w:ascii="Times New Roman" w:hAnsi="Times New Roman" w:eastAsia="Times New Roman" w:cs="Times New Roman"/>
          <w:spacing w:val="28"/>
          <w:sz w:val="25"/>
          <w:szCs w:val="25"/>
        </w:rPr>
        <w:t xml:space="preserve"> </w:t>
      </w:r>
      <w:r>
        <w:rPr>
          <w:rFonts w:ascii="仿宋" w:hAnsi="仿宋" w:eastAsia="仿宋" w:cs="仿宋"/>
          <w:spacing w:val="1"/>
          <w:sz w:val="25"/>
          <w:szCs w:val="25"/>
        </w:rPr>
        <w:t>不占用永久基本农田，</w:t>
      </w:r>
      <w:r>
        <w:rPr>
          <w:rFonts w:ascii="Times New Roman" w:hAnsi="Times New Roman" w:eastAsia="Times New Roman" w:cs="Times New Roman"/>
          <w:sz w:val="25"/>
          <w:szCs w:val="25"/>
        </w:rPr>
        <w:t>KQ</w:t>
      </w:r>
      <w:r>
        <w:rPr>
          <w:rFonts w:ascii="Times New Roman" w:hAnsi="Times New Roman" w:eastAsia="Times New Roman" w:cs="Times New Roman"/>
          <w:spacing w:val="1"/>
          <w:sz w:val="25"/>
          <w:szCs w:val="25"/>
        </w:rPr>
        <w:t>004</w:t>
      </w:r>
      <w:r>
        <w:rPr>
          <w:rFonts w:ascii="仿宋" w:hAnsi="仿宋" w:eastAsia="仿宋" w:cs="仿宋"/>
          <w:spacing w:val="1"/>
          <w:sz w:val="25"/>
          <w:szCs w:val="25"/>
        </w:rPr>
        <w:t>、</w:t>
      </w:r>
      <w:r>
        <w:rPr>
          <w:rFonts w:ascii="Times New Roman" w:hAnsi="Times New Roman" w:eastAsia="Times New Roman" w:cs="Times New Roman"/>
          <w:sz w:val="25"/>
          <w:szCs w:val="25"/>
        </w:rPr>
        <w:t>KQ</w:t>
      </w:r>
      <w:r>
        <w:rPr>
          <w:rFonts w:ascii="Times New Roman" w:hAnsi="Times New Roman" w:eastAsia="Times New Roman" w:cs="Times New Roman"/>
          <w:spacing w:val="1"/>
          <w:sz w:val="25"/>
          <w:szCs w:val="25"/>
        </w:rPr>
        <w:t xml:space="preserve">009  </w:t>
      </w:r>
      <w:r>
        <w:rPr>
          <w:rFonts w:ascii="仿宋" w:hAnsi="仿宋" w:eastAsia="仿宋" w:cs="仿宋"/>
          <w:spacing w:val="1"/>
          <w:sz w:val="25"/>
          <w:szCs w:val="25"/>
        </w:rPr>
        <w:t>占用永久基本农田。</w:t>
      </w:r>
      <w:r>
        <w:rPr>
          <w:rFonts w:ascii="仿宋" w:hAnsi="仿宋" w:eastAsia="仿宋" w:cs="仿宋"/>
          <w:sz w:val="25"/>
          <w:szCs w:val="25"/>
        </w:rPr>
        <w:t xml:space="preserve"> </w:t>
      </w:r>
      <w:r>
        <w:rPr>
          <w:rFonts w:ascii="仿宋" w:hAnsi="仿宋" w:eastAsia="仿宋" w:cs="仿宋"/>
          <w:spacing w:val="4"/>
          <w:sz w:val="25"/>
          <w:szCs w:val="25"/>
        </w:rPr>
        <w:t>重叠关系见表</w:t>
      </w:r>
      <w:r>
        <w:rPr>
          <w:rFonts w:ascii="仿宋" w:hAnsi="仿宋" w:eastAsia="仿宋" w:cs="仿宋"/>
          <w:spacing w:val="-44"/>
          <w:sz w:val="25"/>
          <w:szCs w:val="25"/>
        </w:rPr>
        <w:t xml:space="preserve"> </w:t>
      </w:r>
      <w:r>
        <w:rPr>
          <w:rFonts w:ascii="Times New Roman" w:hAnsi="Times New Roman" w:eastAsia="Times New Roman" w:cs="Times New Roman"/>
          <w:spacing w:val="4"/>
          <w:sz w:val="25"/>
          <w:szCs w:val="25"/>
        </w:rPr>
        <w:t>5.2-3</w:t>
      </w:r>
      <w:r>
        <w:rPr>
          <w:rFonts w:ascii="仿宋" w:hAnsi="仿宋" w:eastAsia="仿宋" w:cs="仿宋"/>
          <w:spacing w:val="4"/>
          <w:sz w:val="25"/>
          <w:szCs w:val="25"/>
        </w:rPr>
        <w:t>。</w:t>
      </w:r>
    </w:p>
    <w:p w14:paraId="01CF7D58">
      <w:pPr>
        <w:spacing w:before="58" w:line="231" w:lineRule="auto"/>
        <w:ind w:left="2100"/>
        <w:rPr>
          <w:rFonts w:ascii="仿宋" w:hAnsi="仿宋" w:eastAsia="仿宋" w:cs="仿宋"/>
          <w:sz w:val="19"/>
          <w:szCs w:val="19"/>
        </w:rPr>
      </w:pPr>
      <w:r>
        <w:rPr>
          <w:rFonts w:ascii="仿宋" w:hAnsi="仿宋" w:eastAsia="仿宋" w:cs="仿宋"/>
          <w:b/>
          <w:bCs/>
          <w:spacing w:val="6"/>
          <w:sz w:val="19"/>
          <w:szCs w:val="19"/>
        </w:rPr>
        <w:t>表</w:t>
      </w:r>
      <w:r>
        <w:rPr>
          <w:rFonts w:ascii="仿宋" w:hAnsi="仿宋" w:eastAsia="仿宋" w:cs="仿宋"/>
          <w:spacing w:val="-38"/>
          <w:sz w:val="19"/>
          <w:szCs w:val="19"/>
        </w:rPr>
        <w:t xml:space="preserve"> </w:t>
      </w:r>
      <w:r>
        <w:rPr>
          <w:rFonts w:ascii="Times New Roman" w:hAnsi="Times New Roman" w:eastAsia="Times New Roman" w:cs="Times New Roman"/>
          <w:b/>
          <w:bCs/>
          <w:spacing w:val="6"/>
          <w:sz w:val="19"/>
          <w:szCs w:val="19"/>
        </w:rPr>
        <w:t xml:space="preserve">5.2-3      </w:t>
      </w:r>
      <w:r>
        <w:rPr>
          <w:rFonts w:ascii="仿宋" w:hAnsi="仿宋" w:eastAsia="仿宋" w:cs="仿宋"/>
          <w:b/>
          <w:bCs/>
          <w:spacing w:val="6"/>
          <w:sz w:val="19"/>
          <w:szCs w:val="19"/>
        </w:rPr>
        <w:t>本次评价区块与永久基本农田的重</w:t>
      </w:r>
      <w:r>
        <w:rPr>
          <w:rFonts w:ascii="仿宋" w:hAnsi="仿宋" w:eastAsia="仿宋" w:cs="仿宋"/>
          <w:b/>
          <w:bCs/>
          <w:spacing w:val="5"/>
          <w:sz w:val="19"/>
          <w:szCs w:val="19"/>
        </w:rPr>
        <w:t>叠关系</w:t>
      </w:r>
    </w:p>
    <w:p w14:paraId="709D665B">
      <w:pPr>
        <w:spacing w:line="24" w:lineRule="exact"/>
      </w:pPr>
    </w:p>
    <w:tbl>
      <w:tblPr>
        <w:tblStyle w:val="5"/>
        <w:tblW w:w="8874"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424"/>
        <w:gridCol w:w="1121"/>
        <w:gridCol w:w="1991"/>
        <w:gridCol w:w="783"/>
        <w:gridCol w:w="1834"/>
        <w:gridCol w:w="1915"/>
        <w:gridCol w:w="806"/>
      </w:tblGrid>
      <w:tr w14:paraId="4CC18A80">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555" w:hRule="atLeast"/>
        </w:trPr>
        <w:tc>
          <w:tcPr>
            <w:tcW w:w="424" w:type="dxa"/>
            <w:tcBorders>
              <w:right w:val="single" w:color="000000" w:sz="2" w:space="0"/>
            </w:tcBorders>
            <w:textDirection w:val="tbRlV"/>
            <w:vAlign w:val="top"/>
          </w:tcPr>
          <w:p w14:paraId="36CB1C2C">
            <w:pPr>
              <w:pStyle w:val="6"/>
              <w:spacing w:before="114" w:line="210" w:lineRule="auto"/>
              <w:ind w:left="51"/>
              <w:rPr>
                <w:sz w:val="19"/>
                <w:szCs w:val="19"/>
              </w:rPr>
            </w:pPr>
            <w:r>
              <w:rPr>
                <w:spacing w:val="13"/>
                <w:sz w:val="19"/>
                <w:szCs w:val="19"/>
              </w:rPr>
              <w:t>序</w:t>
            </w:r>
            <w:r>
              <w:rPr>
                <w:spacing w:val="-40"/>
                <w:sz w:val="19"/>
                <w:szCs w:val="19"/>
              </w:rPr>
              <w:t xml:space="preserve"> </w:t>
            </w:r>
            <w:r>
              <w:rPr>
                <w:spacing w:val="13"/>
                <w:sz w:val="19"/>
                <w:szCs w:val="19"/>
              </w:rPr>
              <w:t>号</w:t>
            </w:r>
          </w:p>
        </w:tc>
        <w:tc>
          <w:tcPr>
            <w:tcW w:w="1121" w:type="dxa"/>
            <w:tcBorders>
              <w:left w:val="single" w:color="000000" w:sz="2" w:space="0"/>
              <w:right w:val="single" w:color="000000" w:sz="2" w:space="0"/>
            </w:tcBorders>
            <w:vAlign w:val="top"/>
          </w:tcPr>
          <w:p w14:paraId="2A40F39C">
            <w:pPr>
              <w:pStyle w:val="6"/>
              <w:spacing w:before="180" w:line="233" w:lineRule="auto"/>
              <w:ind w:left="362"/>
              <w:rPr>
                <w:sz w:val="19"/>
                <w:szCs w:val="19"/>
              </w:rPr>
            </w:pPr>
            <w:r>
              <w:rPr>
                <w:spacing w:val="1"/>
                <w:sz w:val="19"/>
                <w:szCs w:val="19"/>
              </w:rPr>
              <w:t>编号</w:t>
            </w:r>
          </w:p>
        </w:tc>
        <w:tc>
          <w:tcPr>
            <w:tcW w:w="1991" w:type="dxa"/>
            <w:tcBorders>
              <w:left w:val="single" w:color="000000" w:sz="2" w:space="0"/>
              <w:right w:val="single" w:color="000000" w:sz="2" w:space="0"/>
            </w:tcBorders>
            <w:vAlign w:val="top"/>
          </w:tcPr>
          <w:p w14:paraId="48DBDEF1">
            <w:pPr>
              <w:pStyle w:val="6"/>
              <w:spacing w:before="180" w:line="230" w:lineRule="auto"/>
              <w:ind w:left="618"/>
              <w:rPr>
                <w:sz w:val="19"/>
                <w:szCs w:val="19"/>
              </w:rPr>
            </w:pPr>
            <w:r>
              <w:rPr>
                <w:spacing w:val="2"/>
                <w:sz w:val="19"/>
                <w:szCs w:val="19"/>
              </w:rPr>
              <w:t>区块名称</w:t>
            </w:r>
          </w:p>
        </w:tc>
        <w:tc>
          <w:tcPr>
            <w:tcW w:w="783" w:type="dxa"/>
            <w:tcBorders>
              <w:left w:val="single" w:color="000000" w:sz="2" w:space="0"/>
              <w:right w:val="single" w:color="000000" w:sz="2" w:space="0"/>
            </w:tcBorders>
            <w:vAlign w:val="top"/>
          </w:tcPr>
          <w:p w14:paraId="6BDA137C">
            <w:pPr>
              <w:pStyle w:val="6"/>
              <w:spacing w:before="180" w:line="230" w:lineRule="auto"/>
              <w:ind w:left="201"/>
              <w:rPr>
                <w:sz w:val="19"/>
                <w:szCs w:val="19"/>
              </w:rPr>
            </w:pPr>
            <w:r>
              <w:rPr>
                <w:spacing w:val="2"/>
                <w:sz w:val="19"/>
                <w:szCs w:val="19"/>
              </w:rPr>
              <w:t>矿种</w:t>
            </w:r>
          </w:p>
        </w:tc>
        <w:tc>
          <w:tcPr>
            <w:tcW w:w="1834" w:type="dxa"/>
            <w:tcBorders>
              <w:left w:val="single" w:color="000000" w:sz="2" w:space="0"/>
              <w:right w:val="single" w:color="000000" w:sz="2" w:space="0"/>
            </w:tcBorders>
            <w:vAlign w:val="top"/>
          </w:tcPr>
          <w:p w14:paraId="110DB647">
            <w:pPr>
              <w:pStyle w:val="6"/>
              <w:spacing w:before="181" w:line="232" w:lineRule="auto"/>
              <w:ind w:left="169"/>
              <w:rPr>
                <w:sz w:val="19"/>
                <w:szCs w:val="19"/>
              </w:rPr>
            </w:pPr>
            <w:r>
              <w:rPr>
                <w:spacing w:val="7"/>
                <w:sz w:val="19"/>
                <w:szCs w:val="19"/>
              </w:rPr>
              <w:t>矿区面积（</w:t>
            </w:r>
            <w:r>
              <w:rPr>
                <w:rFonts w:ascii="Times New Roman" w:hAnsi="Times New Roman" w:eastAsia="Times New Roman" w:cs="Times New Roman"/>
                <w:sz w:val="19"/>
                <w:szCs w:val="19"/>
              </w:rPr>
              <w:t>km</w:t>
            </w:r>
            <w:r>
              <w:rPr>
                <w:rFonts w:ascii="Times New Roman" w:hAnsi="Times New Roman" w:eastAsia="Times New Roman" w:cs="Times New Roman"/>
                <w:spacing w:val="7"/>
                <w:position w:val="6"/>
                <w:sz w:val="12"/>
                <w:szCs w:val="12"/>
              </w:rPr>
              <w:t>2</w:t>
            </w:r>
            <w:r>
              <w:rPr>
                <w:spacing w:val="7"/>
                <w:sz w:val="19"/>
                <w:szCs w:val="19"/>
              </w:rPr>
              <w:t>）</w:t>
            </w:r>
          </w:p>
        </w:tc>
        <w:tc>
          <w:tcPr>
            <w:tcW w:w="1915" w:type="dxa"/>
            <w:tcBorders>
              <w:left w:val="single" w:color="000000" w:sz="2" w:space="0"/>
              <w:right w:val="single" w:color="000000" w:sz="2" w:space="0"/>
            </w:tcBorders>
            <w:vAlign w:val="top"/>
          </w:tcPr>
          <w:p w14:paraId="53559561">
            <w:pPr>
              <w:pStyle w:val="6"/>
              <w:spacing w:before="51"/>
              <w:ind w:left="33" w:firstLine="47"/>
              <w:rPr>
                <w:sz w:val="19"/>
                <w:szCs w:val="19"/>
              </w:rPr>
            </w:pPr>
            <w:r>
              <w:rPr>
                <w:spacing w:val="-1"/>
                <w:sz w:val="19"/>
                <w:szCs w:val="19"/>
              </w:rPr>
              <w:t>与永久基本农田重叠</w:t>
            </w:r>
            <w:r>
              <w:rPr>
                <w:spacing w:val="1"/>
                <w:sz w:val="19"/>
                <w:szCs w:val="19"/>
              </w:rPr>
              <w:t xml:space="preserve">  </w:t>
            </w:r>
            <w:r>
              <w:rPr>
                <w:spacing w:val="-21"/>
                <w:sz w:val="19"/>
                <w:szCs w:val="19"/>
              </w:rPr>
              <w:t>面积（</w:t>
            </w:r>
            <w:r>
              <w:rPr>
                <w:rFonts w:ascii="Times New Roman" w:hAnsi="Times New Roman" w:eastAsia="Times New Roman" w:cs="Times New Roman"/>
                <w:spacing w:val="-21"/>
                <w:sz w:val="19"/>
                <w:szCs w:val="19"/>
              </w:rPr>
              <w:t>km</w:t>
            </w:r>
            <w:r>
              <w:rPr>
                <w:rFonts w:ascii="Times New Roman" w:hAnsi="Times New Roman" w:eastAsia="Times New Roman" w:cs="Times New Roman"/>
                <w:spacing w:val="2"/>
                <w:position w:val="6"/>
                <w:sz w:val="12"/>
                <w:szCs w:val="12"/>
              </w:rPr>
              <w:t>2</w:t>
            </w:r>
            <w:r>
              <w:rPr>
                <w:spacing w:val="-28"/>
                <w:sz w:val="19"/>
                <w:szCs w:val="19"/>
              </w:rPr>
              <w:t>）及比例（</w:t>
            </w:r>
            <w:r>
              <w:rPr>
                <w:rFonts w:ascii="Times New Roman" w:hAnsi="Times New Roman" w:eastAsia="Times New Roman" w:cs="Times New Roman"/>
                <w:spacing w:val="-28"/>
                <w:sz w:val="19"/>
                <w:szCs w:val="19"/>
              </w:rPr>
              <w:t>%</w:t>
            </w:r>
            <w:r>
              <w:rPr>
                <w:spacing w:val="-28"/>
                <w:sz w:val="19"/>
                <w:szCs w:val="19"/>
              </w:rPr>
              <w:t>）</w:t>
            </w:r>
          </w:p>
        </w:tc>
        <w:tc>
          <w:tcPr>
            <w:tcW w:w="806" w:type="dxa"/>
            <w:tcBorders>
              <w:left w:val="single" w:color="000000" w:sz="2" w:space="0"/>
            </w:tcBorders>
            <w:vAlign w:val="top"/>
          </w:tcPr>
          <w:p w14:paraId="0AE50ECA">
            <w:pPr>
              <w:pStyle w:val="6"/>
              <w:spacing w:before="51" w:line="233" w:lineRule="auto"/>
              <w:ind w:left="118"/>
              <w:rPr>
                <w:sz w:val="19"/>
                <w:szCs w:val="19"/>
              </w:rPr>
            </w:pPr>
            <w:r>
              <w:rPr>
                <w:spacing w:val="5"/>
                <w:sz w:val="19"/>
                <w:szCs w:val="19"/>
              </w:rPr>
              <w:t>设置类</w:t>
            </w:r>
          </w:p>
          <w:p w14:paraId="701C51E1">
            <w:pPr>
              <w:pStyle w:val="6"/>
              <w:spacing w:before="19" w:line="228" w:lineRule="auto"/>
              <w:ind w:left="327"/>
              <w:rPr>
                <w:sz w:val="19"/>
                <w:szCs w:val="19"/>
              </w:rPr>
            </w:pPr>
            <w:r>
              <w:rPr>
                <w:sz w:val="19"/>
                <w:szCs w:val="19"/>
              </w:rPr>
              <w:t>型</w:t>
            </w:r>
          </w:p>
        </w:tc>
      </w:tr>
    </w:tbl>
    <w:p w14:paraId="5924F383">
      <w:pPr>
        <w:pStyle w:val="2"/>
      </w:pPr>
    </w:p>
    <w:p w14:paraId="05D94C60">
      <w:pPr>
        <w:sectPr>
          <w:headerReference r:id="rId192" w:type="default"/>
          <w:footerReference r:id="rId193" w:type="default"/>
          <w:pgSz w:w="11906" w:h="16839"/>
          <w:pgMar w:top="1116" w:right="1385" w:bottom="866" w:left="1557" w:header="683" w:footer="703" w:gutter="0"/>
          <w:cols w:space="720" w:num="1"/>
        </w:sectPr>
      </w:pPr>
    </w:p>
    <w:p w14:paraId="75E78CF9">
      <w:pPr>
        <w:spacing w:before="82"/>
      </w:pPr>
    </w:p>
    <w:tbl>
      <w:tblPr>
        <w:tblStyle w:val="5"/>
        <w:tblW w:w="8874"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4"/>
        <w:gridCol w:w="1121"/>
        <w:gridCol w:w="1991"/>
        <w:gridCol w:w="783"/>
        <w:gridCol w:w="1834"/>
        <w:gridCol w:w="1915"/>
        <w:gridCol w:w="806"/>
      </w:tblGrid>
      <w:tr w14:paraId="0EF20F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424" w:type="dxa"/>
            <w:tcBorders>
              <w:top w:val="single" w:color="000000" w:sz="10" w:space="0"/>
              <w:left w:val="single" w:color="000000" w:sz="10" w:space="0"/>
            </w:tcBorders>
            <w:vAlign w:val="top"/>
          </w:tcPr>
          <w:p w14:paraId="36A8E31A">
            <w:pPr>
              <w:spacing w:line="287" w:lineRule="auto"/>
              <w:rPr>
                <w:rFonts w:ascii="Arial"/>
                <w:sz w:val="21"/>
              </w:rPr>
            </w:pPr>
          </w:p>
          <w:p w14:paraId="5646E6B5">
            <w:pPr>
              <w:spacing w:before="54" w:line="195" w:lineRule="auto"/>
              <w:ind w:left="168"/>
              <w:rPr>
                <w:rFonts w:ascii="Times New Roman" w:hAnsi="Times New Roman" w:eastAsia="Times New Roman" w:cs="Times New Roman"/>
                <w:sz w:val="19"/>
                <w:szCs w:val="19"/>
              </w:rPr>
            </w:pPr>
            <w:r>
              <w:rPr>
                <w:rFonts w:ascii="Times New Roman" w:hAnsi="Times New Roman" w:eastAsia="Times New Roman" w:cs="Times New Roman"/>
                <w:sz w:val="19"/>
                <w:szCs w:val="19"/>
              </w:rPr>
              <w:t>1</w:t>
            </w:r>
          </w:p>
        </w:tc>
        <w:tc>
          <w:tcPr>
            <w:tcW w:w="1121" w:type="dxa"/>
            <w:tcBorders>
              <w:top w:val="single" w:color="000000" w:sz="10" w:space="0"/>
            </w:tcBorders>
            <w:vAlign w:val="top"/>
          </w:tcPr>
          <w:p w14:paraId="300EA226">
            <w:pPr>
              <w:spacing w:line="286" w:lineRule="auto"/>
              <w:rPr>
                <w:rFonts w:ascii="Arial"/>
                <w:sz w:val="21"/>
              </w:rPr>
            </w:pPr>
          </w:p>
          <w:p w14:paraId="6BE6803B">
            <w:pPr>
              <w:spacing w:before="55" w:line="197" w:lineRule="auto"/>
              <w:ind w:left="255"/>
              <w:rPr>
                <w:rFonts w:ascii="Times New Roman" w:hAnsi="Times New Roman" w:eastAsia="Times New Roman" w:cs="Times New Roman"/>
                <w:sz w:val="19"/>
                <w:szCs w:val="19"/>
              </w:rPr>
            </w:pPr>
            <w:r>
              <w:rPr>
                <w:rFonts w:ascii="Times New Roman" w:hAnsi="Times New Roman" w:eastAsia="Times New Roman" w:cs="Times New Roman"/>
                <w:sz w:val="19"/>
                <w:szCs w:val="19"/>
              </w:rPr>
              <w:t>KQ</w:t>
            </w:r>
            <w:r>
              <w:rPr>
                <w:rFonts w:ascii="Times New Roman" w:hAnsi="Times New Roman" w:eastAsia="Times New Roman" w:cs="Times New Roman"/>
                <w:spacing w:val="8"/>
                <w:sz w:val="19"/>
                <w:szCs w:val="19"/>
              </w:rPr>
              <w:t>004</w:t>
            </w:r>
          </w:p>
        </w:tc>
        <w:tc>
          <w:tcPr>
            <w:tcW w:w="1991" w:type="dxa"/>
            <w:tcBorders>
              <w:top w:val="single" w:color="000000" w:sz="10" w:space="0"/>
            </w:tcBorders>
            <w:vAlign w:val="top"/>
          </w:tcPr>
          <w:p w14:paraId="1F1E9A78">
            <w:pPr>
              <w:pStyle w:val="6"/>
              <w:spacing w:before="50" w:line="231" w:lineRule="auto"/>
              <w:ind w:left="105"/>
              <w:rPr>
                <w:sz w:val="19"/>
                <w:szCs w:val="19"/>
              </w:rPr>
            </w:pPr>
            <w:r>
              <w:rPr>
                <w:spacing w:val="7"/>
                <w:sz w:val="19"/>
                <w:szCs w:val="19"/>
              </w:rPr>
              <w:t>重庆市黔江区中塘镇</w:t>
            </w:r>
          </w:p>
          <w:p w14:paraId="00869F9A">
            <w:pPr>
              <w:pStyle w:val="6"/>
              <w:spacing w:before="21" w:line="232" w:lineRule="auto"/>
              <w:ind w:left="67"/>
              <w:rPr>
                <w:sz w:val="19"/>
                <w:szCs w:val="19"/>
              </w:rPr>
            </w:pPr>
            <w:r>
              <w:rPr>
                <w:spacing w:val="7"/>
                <w:sz w:val="19"/>
                <w:szCs w:val="19"/>
              </w:rPr>
              <w:t>水田坝</w:t>
            </w:r>
            <w:r>
              <w:rPr>
                <w:rFonts w:ascii="Times New Roman" w:hAnsi="Times New Roman" w:eastAsia="Times New Roman" w:cs="Times New Roman"/>
                <w:spacing w:val="7"/>
                <w:sz w:val="19"/>
                <w:szCs w:val="19"/>
              </w:rPr>
              <w:t>-</w:t>
            </w:r>
            <w:r>
              <w:rPr>
                <w:spacing w:val="7"/>
                <w:sz w:val="19"/>
                <w:szCs w:val="19"/>
              </w:rPr>
              <w:t>二坪铝土矿勘</w:t>
            </w:r>
          </w:p>
          <w:p w14:paraId="389D7158">
            <w:pPr>
              <w:pStyle w:val="6"/>
              <w:spacing w:before="20" w:line="220" w:lineRule="auto"/>
              <w:ind w:left="701"/>
              <w:rPr>
                <w:sz w:val="19"/>
                <w:szCs w:val="19"/>
              </w:rPr>
            </w:pPr>
            <w:r>
              <w:rPr>
                <w:spacing w:val="5"/>
                <w:sz w:val="19"/>
                <w:szCs w:val="19"/>
              </w:rPr>
              <w:t>查区块</w:t>
            </w:r>
          </w:p>
        </w:tc>
        <w:tc>
          <w:tcPr>
            <w:tcW w:w="783" w:type="dxa"/>
            <w:tcBorders>
              <w:top w:val="single" w:color="000000" w:sz="10" w:space="0"/>
            </w:tcBorders>
            <w:vAlign w:val="top"/>
          </w:tcPr>
          <w:p w14:paraId="78A3FD9A">
            <w:pPr>
              <w:spacing w:line="245" w:lineRule="auto"/>
              <w:rPr>
                <w:rFonts w:ascii="Arial"/>
                <w:sz w:val="21"/>
              </w:rPr>
            </w:pPr>
          </w:p>
          <w:p w14:paraId="12F097A1">
            <w:pPr>
              <w:pStyle w:val="6"/>
              <w:spacing w:before="62" w:line="233" w:lineRule="auto"/>
              <w:ind w:left="101"/>
              <w:rPr>
                <w:sz w:val="19"/>
                <w:szCs w:val="19"/>
              </w:rPr>
            </w:pPr>
            <w:r>
              <w:rPr>
                <w:spacing w:val="5"/>
                <w:sz w:val="19"/>
                <w:szCs w:val="19"/>
              </w:rPr>
              <w:t>铝土矿</w:t>
            </w:r>
          </w:p>
        </w:tc>
        <w:tc>
          <w:tcPr>
            <w:tcW w:w="1834" w:type="dxa"/>
            <w:tcBorders>
              <w:top w:val="single" w:color="000000" w:sz="10" w:space="0"/>
            </w:tcBorders>
            <w:vAlign w:val="top"/>
          </w:tcPr>
          <w:p w14:paraId="4E4B2206">
            <w:pPr>
              <w:spacing w:line="287" w:lineRule="auto"/>
              <w:rPr>
                <w:rFonts w:ascii="Arial"/>
                <w:sz w:val="21"/>
              </w:rPr>
            </w:pPr>
          </w:p>
          <w:p w14:paraId="1B4C4672">
            <w:pPr>
              <w:spacing w:before="54" w:line="195" w:lineRule="auto"/>
              <w:ind w:left="614"/>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17.2590</w:t>
            </w:r>
          </w:p>
        </w:tc>
        <w:tc>
          <w:tcPr>
            <w:tcW w:w="1915" w:type="dxa"/>
            <w:tcBorders>
              <w:top w:val="single" w:color="000000" w:sz="10" w:space="0"/>
            </w:tcBorders>
            <w:vAlign w:val="top"/>
          </w:tcPr>
          <w:p w14:paraId="306352CC">
            <w:pPr>
              <w:spacing w:line="245" w:lineRule="auto"/>
              <w:rPr>
                <w:rFonts w:ascii="Arial"/>
                <w:sz w:val="21"/>
              </w:rPr>
            </w:pPr>
          </w:p>
          <w:p w14:paraId="467A1C63">
            <w:pPr>
              <w:pStyle w:val="6"/>
              <w:spacing w:before="62" w:line="252" w:lineRule="exact"/>
              <w:ind w:left="184"/>
              <w:rPr>
                <w:sz w:val="19"/>
                <w:szCs w:val="19"/>
              </w:rPr>
            </w:pPr>
            <w:r>
              <w:rPr>
                <w:rFonts w:ascii="Times New Roman" w:hAnsi="Times New Roman" w:eastAsia="Times New Roman" w:cs="Times New Roman"/>
                <w:spacing w:val="2"/>
                <w:position w:val="1"/>
                <w:sz w:val="19"/>
                <w:szCs w:val="19"/>
              </w:rPr>
              <w:t>2.9654</w:t>
            </w:r>
            <w:r>
              <w:rPr>
                <w:spacing w:val="2"/>
                <w:position w:val="1"/>
                <w:sz w:val="19"/>
                <w:szCs w:val="19"/>
              </w:rPr>
              <w:t>（</w:t>
            </w:r>
            <w:r>
              <w:rPr>
                <w:rFonts w:ascii="Times New Roman" w:hAnsi="Times New Roman" w:eastAsia="Times New Roman" w:cs="Times New Roman"/>
                <w:spacing w:val="2"/>
                <w:position w:val="1"/>
                <w:sz w:val="19"/>
                <w:szCs w:val="19"/>
              </w:rPr>
              <w:t>17.</w:t>
            </w:r>
            <w:r>
              <w:rPr>
                <w:rFonts w:ascii="Times New Roman" w:hAnsi="Times New Roman" w:eastAsia="Times New Roman" w:cs="Times New Roman"/>
                <w:spacing w:val="-14"/>
                <w:position w:val="1"/>
                <w:sz w:val="19"/>
                <w:szCs w:val="19"/>
              </w:rPr>
              <w:t xml:space="preserve"> </w:t>
            </w:r>
            <w:r>
              <w:rPr>
                <w:rFonts w:ascii="Times New Roman" w:hAnsi="Times New Roman" w:eastAsia="Times New Roman" w:cs="Times New Roman"/>
                <w:spacing w:val="2"/>
                <w:position w:val="1"/>
                <w:sz w:val="19"/>
                <w:szCs w:val="19"/>
              </w:rPr>
              <w:t>18%</w:t>
            </w:r>
            <w:r>
              <w:rPr>
                <w:spacing w:val="2"/>
                <w:position w:val="1"/>
                <w:sz w:val="19"/>
                <w:szCs w:val="19"/>
              </w:rPr>
              <w:t>）</w:t>
            </w:r>
          </w:p>
        </w:tc>
        <w:tc>
          <w:tcPr>
            <w:tcW w:w="806" w:type="dxa"/>
            <w:tcBorders>
              <w:top w:val="single" w:color="000000" w:sz="10" w:space="0"/>
              <w:right w:val="single" w:color="000000" w:sz="10" w:space="0"/>
            </w:tcBorders>
            <w:vAlign w:val="top"/>
          </w:tcPr>
          <w:p w14:paraId="5C2C1215">
            <w:pPr>
              <w:spacing w:line="245" w:lineRule="auto"/>
              <w:rPr>
                <w:rFonts w:ascii="Arial"/>
                <w:sz w:val="21"/>
              </w:rPr>
            </w:pPr>
          </w:p>
          <w:p w14:paraId="54D35C38">
            <w:pPr>
              <w:pStyle w:val="6"/>
              <w:spacing w:before="62" w:line="233" w:lineRule="auto"/>
              <w:ind w:left="217"/>
              <w:rPr>
                <w:sz w:val="19"/>
                <w:szCs w:val="19"/>
              </w:rPr>
            </w:pPr>
            <w:r>
              <w:rPr>
                <w:spacing w:val="2"/>
                <w:sz w:val="19"/>
                <w:szCs w:val="19"/>
              </w:rPr>
              <w:t>调整</w:t>
            </w:r>
          </w:p>
        </w:tc>
      </w:tr>
      <w:tr w14:paraId="5CE239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4" w:hRule="atLeast"/>
        </w:trPr>
        <w:tc>
          <w:tcPr>
            <w:tcW w:w="424" w:type="dxa"/>
            <w:tcBorders>
              <w:left w:val="single" w:color="000000" w:sz="10" w:space="0"/>
              <w:bottom w:val="single" w:color="000000" w:sz="10" w:space="0"/>
            </w:tcBorders>
            <w:vAlign w:val="top"/>
          </w:tcPr>
          <w:p w14:paraId="5403F2FD">
            <w:pPr>
              <w:spacing w:line="295" w:lineRule="auto"/>
              <w:rPr>
                <w:rFonts w:ascii="Arial"/>
                <w:sz w:val="21"/>
              </w:rPr>
            </w:pPr>
          </w:p>
          <w:p w14:paraId="2DE7A0B9">
            <w:pPr>
              <w:spacing w:before="55" w:line="195" w:lineRule="auto"/>
              <w:ind w:left="149"/>
              <w:rPr>
                <w:rFonts w:ascii="Times New Roman" w:hAnsi="Times New Roman" w:eastAsia="Times New Roman" w:cs="Times New Roman"/>
                <w:sz w:val="19"/>
                <w:szCs w:val="19"/>
              </w:rPr>
            </w:pPr>
            <w:r>
              <w:rPr>
                <w:rFonts w:ascii="Times New Roman" w:hAnsi="Times New Roman" w:eastAsia="Times New Roman" w:cs="Times New Roman"/>
                <w:sz w:val="19"/>
                <w:szCs w:val="19"/>
              </w:rPr>
              <w:t>2</w:t>
            </w:r>
          </w:p>
        </w:tc>
        <w:tc>
          <w:tcPr>
            <w:tcW w:w="1121" w:type="dxa"/>
            <w:tcBorders>
              <w:bottom w:val="single" w:color="000000" w:sz="10" w:space="0"/>
            </w:tcBorders>
            <w:vAlign w:val="top"/>
          </w:tcPr>
          <w:p w14:paraId="177E6692">
            <w:pPr>
              <w:spacing w:line="295" w:lineRule="auto"/>
              <w:rPr>
                <w:rFonts w:ascii="Arial"/>
                <w:sz w:val="21"/>
              </w:rPr>
            </w:pPr>
          </w:p>
          <w:p w14:paraId="6EDE3AD1">
            <w:pPr>
              <w:spacing w:before="54" w:line="197" w:lineRule="auto"/>
              <w:ind w:left="255"/>
              <w:rPr>
                <w:rFonts w:ascii="Times New Roman" w:hAnsi="Times New Roman" w:eastAsia="Times New Roman" w:cs="Times New Roman"/>
                <w:sz w:val="19"/>
                <w:szCs w:val="19"/>
              </w:rPr>
            </w:pPr>
            <w:r>
              <w:rPr>
                <w:rFonts w:ascii="Times New Roman" w:hAnsi="Times New Roman" w:eastAsia="Times New Roman" w:cs="Times New Roman"/>
                <w:sz w:val="19"/>
                <w:szCs w:val="19"/>
              </w:rPr>
              <w:t>KQ</w:t>
            </w:r>
            <w:r>
              <w:rPr>
                <w:rFonts w:ascii="Times New Roman" w:hAnsi="Times New Roman" w:eastAsia="Times New Roman" w:cs="Times New Roman"/>
                <w:spacing w:val="8"/>
                <w:sz w:val="19"/>
                <w:szCs w:val="19"/>
              </w:rPr>
              <w:t>009</w:t>
            </w:r>
          </w:p>
        </w:tc>
        <w:tc>
          <w:tcPr>
            <w:tcW w:w="1991" w:type="dxa"/>
            <w:tcBorders>
              <w:bottom w:val="single" w:color="000000" w:sz="10" w:space="0"/>
            </w:tcBorders>
            <w:vAlign w:val="top"/>
          </w:tcPr>
          <w:p w14:paraId="7739427B">
            <w:pPr>
              <w:pStyle w:val="6"/>
              <w:spacing w:before="58" w:line="231" w:lineRule="auto"/>
              <w:ind w:left="105"/>
              <w:rPr>
                <w:sz w:val="19"/>
                <w:szCs w:val="19"/>
              </w:rPr>
            </w:pPr>
            <w:r>
              <w:rPr>
                <w:spacing w:val="7"/>
                <w:sz w:val="19"/>
                <w:szCs w:val="19"/>
              </w:rPr>
              <w:t>重庆市黔江区黑溪镇</w:t>
            </w:r>
          </w:p>
          <w:p w14:paraId="6F49BFBD">
            <w:pPr>
              <w:pStyle w:val="6"/>
              <w:spacing w:before="20" w:line="231" w:lineRule="auto"/>
              <w:ind w:left="104"/>
              <w:rPr>
                <w:sz w:val="19"/>
                <w:szCs w:val="19"/>
              </w:rPr>
            </w:pPr>
            <w:r>
              <w:rPr>
                <w:spacing w:val="7"/>
                <w:sz w:val="19"/>
                <w:szCs w:val="19"/>
              </w:rPr>
              <w:t>光明村和尚坪铸型用</w:t>
            </w:r>
          </w:p>
          <w:p w14:paraId="52240942">
            <w:pPr>
              <w:pStyle w:val="6"/>
              <w:spacing w:before="21" w:line="231" w:lineRule="auto"/>
              <w:ind w:left="398"/>
              <w:rPr>
                <w:sz w:val="19"/>
                <w:szCs w:val="19"/>
              </w:rPr>
            </w:pPr>
            <w:r>
              <w:rPr>
                <w:spacing w:val="7"/>
                <w:sz w:val="19"/>
                <w:szCs w:val="19"/>
              </w:rPr>
              <w:t>砂岩勘查区块</w:t>
            </w:r>
          </w:p>
        </w:tc>
        <w:tc>
          <w:tcPr>
            <w:tcW w:w="783" w:type="dxa"/>
            <w:tcBorders>
              <w:bottom w:val="single" w:color="000000" w:sz="10" w:space="0"/>
            </w:tcBorders>
            <w:vAlign w:val="top"/>
          </w:tcPr>
          <w:p w14:paraId="469D8520">
            <w:pPr>
              <w:pStyle w:val="6"/>
              <w:spacing w:before="187" w:line="253" w:lineRule="auto"/>
              <w:ind w:left="200" w:right="90" w:hanging="100"/>
              <w:rPr>
                <w:sz w:val="19"/>
                <w:szCs w:val="19"/>
              </w:rPr>
            </w:pPr>
            <w:r>
              <w:rPr>
                <w:spacing w:val="5"/>
                <w:sz w:val="19"/>
                <w:szCs w:val="19"/>
              </w:rPr>
              <w:t>铸型用</w:t>
            </w:r>
            <w:r>
              <w:rPr>
                <w:sz w:val="19"/>
                <w:szCs w:val="19"/>
              </w:rPr>
              <w:t xml:space="preserve"> </w:t>
            </w:r>
            <w:r>
              <w:rPr>
                <w:spacing w:val="2"/>
                <w:sz w:val="19"/>
                <w:szCs w:val="19"/>
              </w:rPr>
              <w:t>砂岩</w:t>
            </w:r>
          </w:p>
        </w:tc>
        <w:tc>
          <w:tcPr>
            <w:tcW w:w="1834" w:type="dxa"/>
            <w:tcBorders>
              <w:bottom w:val="single" w:color="000000" w:sz="10" w:space="0"/>
            </w:tcBorders>
            <w:vAlign w:val="top"/>
          </w:tcPr>
          <w:p w14:paraId="3F1EA402">
            <w:pPr>
              <w:spacing w:line="295" w:lineRule="auto"/>
              <w:rPr>
                <w:rFonts w:ascii="Arial"/>
                <w:sz w:val="21"/>
              </w:rPr>
            </w:pPr>
          </w:p>
          <w:p w14:paraId="439D2F11">
            <w:pPr>
              <w:spacing w:before="55" w:line="195" w:lineRule="auto"/>
              <w:ind w:left="648"/>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0.3702</w:t>
            </w:r>
          </w:p>
        </w:tc>
        <w:tc>
          <w:tcPr>
            <w:tcW w:w="1915" w:type="dxa"/>
            <w:tcBorders>
              <w:bottom w:val="single" w:color="000000" w:sz="10" w:space="0"/>
            </w:tcBorders>
            <w:vAlign w:val="top"/>
          </w:tcPr>
          <w:p w14:paraId="0D4497AF">
            <w:pPr>
              <w:spacing w:line="254" w:lineRule="auto"/>
              <w:rPr>
                <w:rFonts w:ascii="Arial"/>
                <w:sz w:val="21"/>
              </w:rPr>
            </w:pPr>
          </w:p>
          <w:p w14:paraId="3721BACD">
            <w:pPr>
              <w:pStyle w:val="6"/>
              <w:spacing w:before="61" w:line="253" w:lineRule="exact"/>
              <w:ind w:left="237"/>
              <w:rPr>
                <w:sz w:val="19"/>
                <w:szCs w:val="19"/>
              </w:rPr>
            </w:pPr>
            <w:r>
              <w:rPr>
                <w:rFonts w:ascii="Times New Roman" w:hAnsi="Times New Roman" w:eastAsia="Times New Roman" w:cs="Times New Roman"/>
                <w:spacing w:val="4"/>
                <w:position w:val="1"/>
                <w:sz w:val="19"/>
                <w:szCs w:val="19"/>
              </w:rPr>
              <w:t>0.0015</w:t>
            </w:r>
            <w:r>
              <w:rPr>
                <w:spacing w:val="4"/>
                <w:position w:val="1"/>
                <w:sz w:val="19"/>
                <w:szCs w:val="19"/>
              </w:rPr>
              <w:t>（</w:t>
            </w:r>
            <w:r>
              <w:rPr>
                <w:rFonts w:ascii="Times New Roman" w:hAnsi="Times New Roman" w:eastAsia="Times New Roman" w:cs="Times New Roman"/>
                <w:spacing w:val="4"/>
                <w:position w:val="1"/>
                <w:sz w:val="19"/>
                <w:szCs w:val="19"/>
              </w:rPr>
              <w:t>0.41%</w:t>
            </w:r>
            <w:r>
              <w:rPr>
                <w:spacing w:val="4"/>
                <w:position w:val="1"/>
                <w:sz w:val="19"/>
                <w:szCs w:val="19"/>
              </w:rPr>
              <w:t>）</w:t>
            </w:r>
          </w:p>
        </w:tc>
        <w:tc>
          <w:tcPr>
            <w:tcW w:w="806" w:type="dxa"/>
            <w:tcBorders>
              <w:bottom w:val="single" w:color="000000" w:sz="10" w:space="0"/>
              <w:right w:val="single" w:color="000000" w:sz="10" w:space="0"/>
            </w:tcBorders>
            <w:vAlign w:val="top"/>
          </w:tcPr>
          <w:p w14:paraId="2C67A850">
            <w:pPr>
              <w:spacing w:line="254" w:lineRule="auto"/>
              <w:rPr>
                <w:rFonts w:ascii="Arial"/>
                <w:sz w:val="21"/>
              </w:rPr>
            </w:pPr>
          </w:p>
          <w:p w14:paraId="2A6633E1">
            <w:pPr>
              <w:pStyle w:val="6"/>
              <w:spacing w:before="62" w:line="231" w:lineRule="auto"/>
              <w:ind w:left="216"/>
              <w:rPr>
                <w:sz w:val="19"/>
                <w:szCs w:val="19"/>
              </w:rPr>
            </w:pPr>
            <w:r>
              <w:rPr>
                <w:spacing w:val="2"/>
                <w:sz w:val="19"/>
                <w:szCs w:val="19"/>
              </w:rPr>
              <w:t>新增</w:t>
            </w:r>
          </w:p>
        </w:tc>
      </w:tr>
    </w:tbl>
    <w:p w14:paraId="7933B419">
      <w:pPr>
        <w:spacing w:before="137" w:line="340" w:lineRule="auto"/>
        <w:ind w:left="23" w:firstLine="503"/>
        <w:rPr>
          <w:rFonts w:ascii="仿宋" w:hAnsi="仿宋" w:eastAsia="仿宋" w:cs="仿宋"/>
          <w:sz w:val="25"/>
          <w:szCs w:val="25"/>
        </w:rPr>
      </w:pPr>
      <w:r>
        <w:rPr>
          <w:rFonts w:ascii="仿宋" w:hAnsi="仿宋" w:eastAsia="仿宋" w:cs="仿宋"/>
          <w:spacing w:val="3"/>
          <w:sz w:val="25"/>
          <w:szCs w:val="25"/>
        </w:rPr>
        <w:t>根据《关于加强和改进永久基本农田保护工作的通知》（</w:t>
      </w:r>
      <w:r>
        <w:rPr>
          <w:rFonts w:ascii="仿宋" w:hAnsi="仿宋" w:eastAsia="仿宋" w:cs="仿宋"/>
          <w:spacing w:val="-53"/>
          <w:sz w:val="25"/>
          <w:szCs w:val="25"/>
        </w:rPr>
        <w:t xml:space="preserve"> </w:t>
      </w:r>
      <w:r>
        <w:rPr>
          <w:rFonts w:ascii="仿宋" w:hAnsi="仿宋" w:eastAsia="仿宋" w:cs="仿宋"/>
          <w:spacing w:val="3"/>
          <w:sz w:val="25"/>
          <w:szCs w:val="25"/>
        </w:rPr>
        <w:t>自然资规〔</w:t>
      </w:r>
      <w:r>
        <w:rPr>
          <w:rFonts w:ascii="Times New Roman" w:hAnsi="Times New Roman" w:eastAsia="Times New Roman" w:cs="Times New Roman"/>
          <w:spacing w:val="3"/>
          <w:sz w:val="25"/>
          <w:szCs w:val="25"/>
        </w:rPr>
        <w:t>2019</w:t>
      </w:r>
      <w:r>
        <w:rPr>
          <w:rFonts w:ascii="仿宋" w:hAnsi="仿宋" w:eastAsia="仿宋" w:cs="仿宋"/>
          <w:spacing w:val="3"/>
          <w:sz w:val="25"/>
          <w:szCs w:val="25"/>
        </w:rPr>
        <w:t>〕</w:t>
      </w:r>
      <w:r>
        <w:rPr>
          <w:rFonts w:ascii="仿宋" w:hAnsi="仿宋" w:eastAsia="仿宋" w:cs="仿宋"/>
          <w:sz w:val="25"/>
          <w:szCs w:val="25"/>
        </w:rPr>
        <w:t xml:space="preserve"> </w:t>
      </w:r>
      <w:r>
        <w:rPr>
          <w:rFonts w:ascii="Times New Roman" w:hAnsi="Times New Roman" w:eastAsia="Times New Roman" w:cs="Times New Roman"/>
          <w:spacing w:val="7"/>
          <w:sz w:val="25"/>
          <w:szCs w:val="25"/>
        </w:rPr>
        <w:t>1</w:t>
      </w:r>
      <w:r>
        <w:rPr>
          <w:rFonts w:ascii="Times New Roman" w:hAnsi="Times New Roman" w:eastAsia="Times New Roman" w:cs="Times New Roman"/>
          <w:spacing w:val="40"/>
          <w:w w:val="101"/>
          <w:sz w:val="25"/>
          <w:szCs w:val="25"/>
        </w:rPr>
        <w:t xml:space="preserve"> </w:t>
      </w:r>
      <w:r>
        <w:rPr>
          <w:rFonts w:ascii="仿宋" w:hAnsi="仿宋" w:eastAsia="仿宋" w:cs="仿宋"/>
          <w:spacing w:val="7"/>
          <w:sz w:val="25"/>
          <w:szCs w:val="25"/>
        </w:rPr>
        <w:t>号）《重庆市规划和自然资源局 重庆市农业农村委员会关于加强和改进永久</w:t>
      </w:r>
      <w:r>
        <w:rPr>
          <w:rFonts w:ascii="仿宋" w:hAnsi="仿宋" w:eastAsia="仿宋" w:cs="仿宋"/>
          <w:sz w:val="25"/>
          <w:szCs w:val="25"/>
        </w:rPr>
        <w:t xml:space="preserve"> </w:t>
      </w:r>
      <w:r>
        <w:rPr>
          <w:rFonts w:ascii="仿宋" w:hAnsi="仿宋" w:eastAsia="仿宋" w:cs="仿宋"/>
          <w:spacing w:val="11"/>
          <w:sz w:val="25"/>
          <w:szCs w:val="25"/>
        </w:rPr>
        <w:t>基本农田保护工作的实施意见》（渝规资规范〔</w:t>
      </w:r>
      <w:r>
        <w:rPr>
          <w:rFonts w:ascii="Times New Roman" w:hAnsi="Times New Roman" w:eastAsia="Times New Roman" w:cs="Times New Roman"/>
          <w:spacing w:val="11"/>
          <w:sz w:val="25"/>
          <w:szCs w:val="25"/>
        </w:rPr>
        <w:t>2</w:t>
      </w:r>
      <w:r>
        <w:rPr>
          <w:rFonts w:ascii="Times New Roman" w:hAnsi="Times New Roman" w:eastAsia="Times New Roman" w:cs="Times New Roman"/>
          <w:spacing w:val="10"/>
          <w:sz w:val="25"/>
          <w:szCs w:val="25"/>
        </w:rPr>
        <w:t>019</w:t>
      </w:r>
      <w:r>
        <w:rPr>
          <w:rFonts w:ascii="仿宋" w:hAnsi="仿宋" w:eastAsia="仿宋" w:cs="仿宋"/>
          <w:spacing w:val="10"/>
          <w:sz w:val="25"/>
          <w:szCs w:val="25"/>
        </w:rPr>
        <w:t>〕</w:t>
      </w:r>
      <w:r>
        <w:rPr>
          <w:rFonts w:ascii="Times New Roman" w:hAnsi="Times New Roman" w:eastAsia="Times New Roman" w:cs="Times New Roman"/>
          <w:spacing w:val="10"/>
          <w:sz w:val="25"/>
          <w:szCs w:val="25"/>
        </w:rPr>
        <w:t>2</w:t>
      </w:r>
      <w:r>
        <w:rPr>
          <w:rFonts w:ascii="Times New Roman" w:hAnsi="Times New Roman" w:eastAsia="Times New Roman" w:cs="Times New Roman"/>
          <w:spacing w:val="28"/>
          <w:w w:val="101"/>
          <w:sz w:val="25"/>
          <w:szCs w:val="25"/>
        </w:rPr>
        <w:t xml:space="preserve"> </w:t>
      </w:r>
      <w:r>
        <w:rPr>
          <w:rFonts w:ascii="仿宋" w:hAnsi="仿宋" w:eastAsia="仿宋" w:cs="仿宋"/>
          <w:spacing w:val="10"/>
          <w:sz w:val="25"/>
          <w:szCs w:val="25"/>
        </w:rPr>
        <w:t>号）和《重庆市规划</w:t>
      </w:r>
      <w:r>
        <w:rPr>
          <w:rFonts w:ascii="仿宋" w:hAnsi="仿宋" w:eastAsia="仿宋" w:cs="仿宋"/>
          <w:sz w:val="25"/>
          <w:szCs w:val="25"/>
        </w:rPr>
        <w:t xml:space="preserve"> </w:t>
      </w:r>
      <w:r>
        <w:rPr>
          <w:rFonts w:ascii="仿宋" w:hAnsi="仿宋" w:eastAsia="仿宋" w:cs="仿宋"/>
          <w:spacing w:val="15"/>
          <w:sz w:val="25"/>
          <w:szCs w:val="25"/>
        </w:rPr>
        <w:t>和</w:t>
      </w:r>
      <w:r>
        <w:rPr>
          <w:rFonts w:ascii="仿宋" w:hAnsi="仿宋" w:eastAsia="仿宋" w:cs="仿宋"/>
          <w:spacing w:val="-49"/>
          <w:sz w:val="25"/>
          <w:szCs w:val="25"/>
        </w:rPr>
        <w:t xml:space="preserve"> </w:t>
      </w:r>
      <w:r>
        <w:rPr>
          <w:rFonts w:ascii="仿宋" w:hAnsi="仿宋" w:eastAsia="仿宋" w:cs="仿宋"/>
          <w:spacing w:val="15"/>
          <w:sz w:val="25"/>
          <w:szCs w:val="25"/>
        </w:rPr>
        <w:t>自然资源局关于进一步加强占用永久基本农田管理的通知》</w:t>
      </w:r>
      <w:r>
        <w:rPr>
          <w:rFonts w:ascii="仿宋" w:hAnsi="仿宋" w:eastAsia="仿宋" w:cs="仿宋"/>
          <w:spacing w:val="-94"/>
          <w:sz w:val="25"/>
          <w:szCs w:val="25"/>
        </w:rPr>
        <w:t xml:space="preserve"> </w:t>
      </w:r>
      <w:r>
        <w:rPr>
          <w:rFonts w:ascii="仿宋" w:hAnsi="仿宋" w:eastAsia="仿宋" w:cs="仿宋"/>
          <w:spacing w:val="15"/>
          <w:sz w:val="25"/>
          <w:szCs w:val="25"/>
        </w:rPr>
        <w:t>（渝</w:t>
      </w:r>
      <w:r>
        <w:rPr>
          <w:rFonts w:ascii="仿宋" w:hAnsi="仿宋" w:eastAsia="仿宋" w:cs="仿宋"/>
          <w:spacing w:val="14"/>
          <w:sz w:val="25"/>
          <w:szCs w:val="25"/>
        </w:rPr>
        <w:t>规资规范</w:t>
      </w:r>
      <w:r>
        <w:rPr>
          <w:rFonts w:ascii="仿宋" w:hAnsi="仿宋" w:eastAsia="仿宋" w:cs="仿宋"/>
          <w:sz w:val="25"/>
          <w:szCs w:val="25"/>
        </w:rPr>
        <w:t xml:space="preserve"> </w:t>
      </w:r>
      <w:r>
        <w:rPr>
          <w:rFonts w:ascii="仿宋" w:hAnsi="仿宋" w:eastAsia="仿宋" w:cs="仿宋"/>
          <w:spacing w:val="6"/>
          <w:sz w:val="25"/>
          <w:szCs w:val="25"/>
        </w:rPr>
        <w:t>〔</w:t>
      </w:r>
      <w:r>
        <w:rPr>
          <w:rFonts w:ascii="Times New Roman" w:hAnsi="Times New Roman" w:eastAsia="Times New Roman" w:cs="Times New Roman"/>
          <w:spacing w:val="6"/>
          <w:sz w:val="25"/>
          <w:szCs w:val="25"/>
        </w:rPr>
        <w:t>2020</w:t>
      </w:r>
      <w:r>
        <w:rPr>
          <w:rFonts w:ascii="仿宋" w:hAnsi="仿宋" w:eastAsia="仿宋" w:cs="仿宋"/>
          <w:spacing w:val="6"/>
          <w:sz w:val="25"/>
          <w:szCs w:val="25"/>
        </w:rPr>
        <w:t>〕</w:t>
      </w:r>
      <w:r>
        <w:rPr>
          <w:rFonts w:ascii="Times New Roman" w:hAnsi="Times New Roman" w:eastAsia="Times New Roman" w:cs="Times New Roman"/>
          <w:spacing w:val="6"/>
          <w:sz w:val="25"/>
          <w:szCs w:val="25"/>
        </w:rPr>
        <w:t>9</w:t>
      </w:r>
      <w:r>
        <w:rPr>
          <w:rFonts w:ascii="Times New Roman" w:hAnsi="Times New Roman" w:eastAsia="Times New Roman" w:cs="Times New Roman"/>
          <w:spacing w:val="29"/>
          <w:sz w:val="25"/>
          <w:szCs w:val="25"/>
        </w:rPr>
        <w:t xml:space="preserve"> </w:t>
      </w:r>
      <w:r>
        <w:rPr>
          <w:rFonts w:ascii="仿宋" w:hAnsi="仿宋" w:eastAsia="仿宋" w:cs="仿宋"/>
          <w:spacing w:val="6"/>
          <w:sz w:val="25"/>
          <w:szCs w:val="25"/>
        </w:rPr>
        <w:t>号</w:t>
      </w:r>
      <w:r>
        <w:rPr>
          <w:rFonts w:ascii="仿宋" w:hAnsi="仿宋" w:eastAsia="仿宋" w:cs="仿宋"/>
          <w:spacing w:val="2"/>
          <w:sz w:val="25"/>
          <w:szCs w:val="25"/>
        </w:rPr>
        <w:t>），</w:t>
      </w:r>
      <w:r>
        <w:rPr>
          <w:rFonts w:ascii="仿宋" w:hAnsi="仿宋" w:eastAsia="仿宋" w:cs="仿宋"/>
          <w:spacing w:val="6"/>
          <w:sz w:val="25"/>
          <w:szCs w:val="25"/>
        </w:rPr>
        <w:t>“煤炭等非油气战略性矿产申请采矿权涉及永久基本农田的，</w:t>
      </w:r>
      <w:r>
        <w:rPr>
          <w:rFonts w:ascii="仿宋" w:hAnsi="仿宋" w:eastAsia="仿宋" w:cs="仿宋"/>
          <w:sz w:val="25"/>
          <w:szCs w:val="25"/>
        </w:rPr>
        <w:t xml:space="preserve"> </w:t>
      </w:r>
      <w:r>
        <w:rPr>
          <w:rFonts w:ascii="仿宋" w:hAnsi="仿宋" w:eastAsia="仿宋" w:cs="仿宋"/>
          <w:spacing w:val="10"/>
          <w:sz w:val="25"/>
          <w:szCs w:val="25"/>
        </w:rPr>
        <w:t>采取露天方式开采的应符合占用永久基本农田重大建设项目用地要求；采取井</w:t>
      </w:r>
      <w:r>
        <w:rPr>
          <w:rFonts w:ascii="仿宋" w:hAnsi="仿宋" w:eastAsia="仿宋" w:cs="仿宋"/>
          <w:spacing w:val="8"/>
          <w:sz w:val="25"/>
          <w:szCs w:val="25"/>
        </w:rPr>
        <w:t xml:space="preserve"> </w:t>
      </w:r>
      <w:r>
        <w:rPr>
          <w:rFonts w:ascii="仿宋" w:hAnsi="仿宋" w:eastAsia="仿宋" w:cs="仿宋"/>
          <w:spacing w:val="10"/>
          <w:sz w:val="25"/>
          <w:szCs w:val="25"/>
        </w:rPr>
        <w:t>下方式开采的，按有关规定落实保护性开发措施。井下开采方式所配套建设的</w:t>
      </w:r>
      <w:r>
        <w:rPr>
          <w:rFonts w:ascii="仿宋" w:hAnsi="仿宋" w:eastAsia="仿宋" w:cs="仿宋"/>
          <w:spacing w:val="8"/>
          <w:sz w:val="25"/>
          <w:szCs w:val="25"/>
        </w:rPr>
        <w:t xml:space="preserve"> </w:t>
      </w:r>
      <w:r>
        <w:rPr>
          <w:rFonts w:ascii="仿宋" w:hAnsi="仿宋" w:eastAsia="仿宋" w:cs="仿宋"/>
          <w:spacing w:val="10"/>
          <w:sz w:val="25"/>
          <w:szCs w:val="25"/>
        </w:rPr>
        <w:t>地面工业广场等设施，要符合占用永久基本农田重大建设项</w:t>
      </w:r>
      <w:r>
        <w:rPr>
          <w:rFonts w:ascii="仿宋" w:hAnsi="仿宋" w:eastAsia="仿宋" w:cs="仿宋"/>
          <w:spacing w:val="9"/>
          <w:sz w:val="25"/>
          <w:szCs w:val="25"/>
        </w:rPr>
        <w:t>目用地要求。</w:t>
      </w:r>
      <w:r>
        <w:rPr>
          <w:rFonts w:ascii="仿宋" w:hAnsi="仿宋" w:eastAsia="仿宋" w:cs="仿宋"/>
          <w:spacing w:val="-82"/>
          <w:sz w:val="25"/>
          <w:szCs w:val="25"/>
        </w:rPr>
        <w:t xml:space="preserve"> </w:t>
      </w:r>
      <w:r>
        <w:rPr>
          <w:rFonts w:ascii="仿宋" w:hAnsi="仿宋" w:eastAsia="仿宋" w:cs="仿宋"/>
          <w:spacing w:val="9"/>
          <w:sz w:val="25"/>
          <w:szCs w:val="25"/>
        </w:rPr>
        <w:t>”、</w:t>
      </w:r>
      <w:r>
        <w:rPr>
          <w:rFonts w:ascii="仿宋" w:hAnsi="仿宋" w:eastAsia="仿宋" w:cs="仿宋"/>
          <w:sz w:val="25"/>
          <w:szCs w:val="25"/>
        </w:rPr>
        <w:t xml:space="preserve"> </w:t>
      </w:r>
      <w:r>
        <w:rPr>
          <w:rFonts w:ascii="仿宋" w:hAnsi="仿宋" w:eastAsia="仿宋" w:cs="仿宋"/>
          <w:spacing w:val="8"/>
          <w:sz w:val="25"/>
          <w:szCs w:val="25"/>
        </w:rPr>
        <w:t>“非战略性矿产，</w:t>
      </w:r>
      <w:r>
        <w:rPr>
          <w:rFonts w:ascii="仿宋" w:hAnsi="仿宋" w:eastAsia="仿宋" w:cs="仿宋"/>
          <w:spacing w:val="-47"/>
          <w:sz w:val="25"/>
          <w:szCs w:val="25"/>
        </w:rPr>
        <w:t xml:space="preserve"> </w:t>
      </w:r>
      <w:r>
        <w:rPr>
          <w:rFonts w:ascii="仿宋" w:hAnsi="仿宋" w:eastAsia="仿宋" w:cs="仿宋"/>
          <w:spacing w:val="8"/>
          <w:sz w:val="25"/>
          <w:szCs w:val="25"/>
        </w:rPr>
        <w:t>申请新设矿业权，应避让永久基本农田，其中地热、矿泉水</w:t>
      </w:r>
      <w:r>
        <w:rPr>
          <w:rFonts w:ascii="仿宋" w:hAnsi="仿宋" w:eastAsia="仿宋" w:cs="仿宋"/>
          <w:sz w:val="25"/>
          <w:szCs w:val="25"/>
        </w:rPr>
        <w:t xml:space="preserve"> </w:t>
      </w:r>
      <w:r>
        <w:rPr>
          <w:rFonts w:ascii="仿宋" w:hAnsi="仿宋" w:eastAsia="仿宋" w:cs="仿宋"/>
          <w:spacing w:val="10"/>
          <w:sz w:val="25"/>
          <w:szCs w:val="25"/>
        </w:rPr>
        <w:t>勘查开采，不造成永久基本农田损毁、塌陷破坏的，可申请新设矿业权。矿业</w:t>
      </w:r>
      <w:r>
        <w:rPr>
          <w:rFonts w:ascii="仿宋" w:hAnsi="仿宋" w:eastAsia="仿宋" w:cs="仿宋"/>
          <w:spacing w:val="8"/>
          <w:sz w:val="25"/>
          <w:szCs w:val="25"/>
        </w:rPr>
        <w:t xml:space="preserve"> </w:t>
      </w:r>
      <w:r>
        <w:rPr>
          <w:rFonts w:ascii="仿宋" w:hAnsi="仿宋" w:eastAsia="仿宋" w:cs="仿宋"/>
          <w:spacing w:val="10"/>
          <w:sz w:val="25"/>
          <w:szCs w:val="25"/>
        </w:rPr>
        <w:t>权人申请采矿权涉及永久基本农田的，根据开采区块设置类型、开采方式实行</w:t>
      </w:r>
      <w:r>
        <w:rPr>
          <w:rFonts w:ascii="仿宋" w:hAnsi="仿宋" w:eastAsia="仿宋" w:cs="仿宋"/>
          <w:spacing w:val="8"/>
          <w:sz w:val="25"/>
          <w:szCs w:val="25"/>
        </w:rPr>
        <w:t xml:space="preserve"> 差别化管理。</w:t>
      </w:r>
      <w:r>
        <w:rPr>
          <w:rFonts w:ascii="仿宋" w:hAnsi="仿宋" w:eastAsia="仿宋" w:cs="仿宋"/>
          <w:spacing w:val="-82"/>
          <w:sz w:val="25"/>
          <w:szCs w:val="25"/>
        </w:rPr>
        <w:t xml:space="preserve"> </w:t>
      </w:r>
      <w:r>
        <w:rPr>
          <w:rFonts w:ascii="仿宋" w:hAnsi="仿宋" w:eastAsia="仿宋" w:cs="仿宋"/>
          <w:spacing w:val="8"/>
          <w:sz w:val="25"/>
          <w:szCs w:val="25"/>
        </w:rPr>
        <w:t>”、“</w:t>
      </w:r>
      <w:r>
        <w:rPr>
          <w:rFonts w:ascii="仿宋" w:hAnsi="仿宋" w:eastAsia="仿宋" w:cs="仿宋"/>
          <w:spacing w:val="-90"/>
          <w:sz w:val="25"/>
          <w:szCs w:val="25"/>
        </w:rPr>
        <w:t xml:space="preserve"> </w:t>
      </w:r>
      <w:r>
        <w:rPr>
          <w:rFonts w:ascii="仿宋" w:hAnsi="仿宋" w:eastAsia="仿宋" w:cs="仿宋"/>
          <w:spacing w:val="8"/>
          <w:sz w:val="25"/>
          <w:szCs w:val="25"/>
        </w:rPr>
        <w:t>临时用地一般不得占用永久基本农田，建设项目施工和地</w:t>
      </w:r>
      <w:r>
        <w:rPr>
          <w:rFonts w:ascii="仿宋" w:hAnsi="仿宋" w:eastAsia="仿宋" w:cs="仿宋"/>
          <w:sz w:val="25"/>
          <w:szCs w:val="25"/>
        </w:rPr>
        <w:t xml:space="preserve"> </w:t>
      </w:r>
      <w:r>
        <w:rPr>
          <w:rFonts w:ascii="仿宋" w:hAnsi="仿宋" w:eastAsia="仿宋" w:cs="仿宋"/>
          <w:spacing w:val="10"/>
          <w:sz w:val="25"/>
          <w:szCs w:val="25"/>
        </w:rPr>
        <w:t>质勘查需要临时用地、选址确实难以避让永久基本农田的，在不修建永久性建</w:t>
      </w:r>
      <w:r>
        <w:rPr>
          <w:rFonts w:ascii="仿宋" w:hAnsi="仿宋" w:eastAsia="仿宋" w:cs="仿宋"/>
          <w:spacing w:val="8"/>
          <w:sz w:val="25"/>
          <w:szCs w:val="25"/>
        </w:rPr>
        <w:t xml:space="preserve"> </w:t>
      </w:r>
      <w:r>
        <w:rPr>
          <w:rFonts w:ascii="仿宋" w:hAnsi="仿宋" w:eastAsia="仿宋" w:cs="仿宋"/>
          <w:spacing w:val="10"/>
          <w:sz w:val="25"/>
          <w:szCs w:val="25"/>
        </w:rPr>
        <w:t>（构）筑物、经复垦能恢复原种植条件的前提下，土地使用者按法定程序申请</w:t>
      </w:r>
      <w:r>
        <w:rPr>
          <w:rFonts w:ascii="仿宋" w:hAnsi="仿宋" w:eastAsia="仿宋" w:cs="仿宋"/>
          <w:spacing w:val="8"/>
          <w:sz w:val="25"/>
          <w:szCs w:val="25"/>
        </w:rPr>
        <w:t xml:space="preserve"> </w:t>
      </w:r>
      <w:r>
        <w:rPr>
          <w:rFonts w:ascii="仿宋" w:hAnsi="仿宋" w:eastAsia="仿宋" w:cs="仿宋"/>
          <w:spacing w:val="9"/>
          <w:sz w:val="25"/>
          <w:szCs w:val="25"/>
        </w:rPr>
        <w:t>临时用地并编制土地复垦方案，</w:t>
      </w:r>
      <w:r>
        <w:rPr>
          <w:rFonts w:ascii="仿宋" w:hAnsi="仿宋" w:eastAsia="仿宋" w:cs="仿宋"/>
          <w:spacing w:val="-68"/>
          <w:sz w:val="25"/>
          <w:szCs w:val="25"/>
        </w:rPr>
        <w:t xml:space="preserve"> </w:t>
      </w:r>
      <w:r>
        <w:rPr>
          <w:rFonts w:ascii="仿宋" w:hAnsi="仿宋" w:eastAsia="仿宋" w:cs="仿宋"/>
          <w:spacing w:val="9"/>
          <w:sz w:val="25"/>
          <w:szCs w:val="25"/>
        </w:rPr>
        <w:t>同时，通过</w:t>
      </w:r>
      <w:r>
        <w:rPr>
          <w:rFonts w:ascii="仿宋" w:hAnsi="仿宋" w:eastAsia="仿宋" w:cs="仿宋"/>
          <w:spacing w:val="8"/>
          <w:sz w:val="25"/>
          <w:szCs w:val="25"/>
        </w:rPr>
        <w:t>耕地耕作层土壤剥离再利用等工程</w:t>
      </w:r>
      <w:r>
        <w:rPr>
          <w:rFonts w:ascii="仿宋" w:hAnsi="仿宋" w:eastAsia="仿宋" w:cs="仿宋"/>
          <w:sz w:val="25"/>
          <w:szCs w:val="25"/>
        </w:rPr>
        <w:t xml:space="preserve"> </w:t>
      </w:r>
      <w:r>
        <w:rPr>
          <w:rFonts w:ascii="仿宋" w:hAnsi="仿宋" w:eastAsia="仿宋" w:cs="仿宋"/>
          <w:spacing w:val="15"/>
          <w:sz w:val="25"/>
          <w:szCs w:val="25"/>
        </w:rPr>
        <w:t>技术措施，减少对耕作层的破坏。</w:t>
      </w:r>
      <w:r>
        <w:rPr>
          <w:rFonts w:ascii="仿宋" w:hAnsi="仿宋" w:eastAsia="仿宋" w:cs="仿宋"/>
          <w:spacing w:val="-77"/>
          <w:sz w:val="25"/>
          <w:szCs w:val="25"/>
        </w:rPr>
        <w:t xml:space="preserve"> </w:t>
      </w:r>
      <w:r>
        <w:rPr>
          <w:rFonts w:ascii="仿宋" w:hAnsi="仿宋" w:eastAsia="仿宋" w:cs="仿宋"/>
          <w:spacing w:val="15"/>
          <w:sz w:val="25"/>
          <w:szCs w:val="25"/>
        </w:rPr>
        <w:t>”</w:t>
      </w:r>
    </w:p>
    <w:p w14:paraId="22A13B2E">
      <w:pPr>
        <w:spacing w:before="5" w:line="339" w:lineRule="auto"/>
        <w:ind w:left="45" w:right="80" w:firstLine="468"/>
        <w:jc w:val="both"/>
        <w:rPr>
          <w:rFonts w:ascii="仿宋" w:hAnsi="仿宋" w:eastAsia="仿宋" w:cs="仿宋"/>
          <w:sz w:val="25"/>
          <w:szCs w:val="25"/>
        </w:rPr>
      </w:pPr>
      <w:r>
        <w:rPr>
          <w:rFonts w:ascii="Times New Roman" w:hAnsi="Times New Roman" w:eastAsia="Times New Roman" w:cs="Times New Roman"/>
          <w:sz w:val="25"/>
          <w:szCs w:val="25"/>
        </w:rPr>
        <w:t>KQ</w:t>
      </w:r>
      <w:r>
        <w:rPr>
          <w:rFonts w:ascii="Times New Roman" w:hAnsi="Times New Roman" w:eastAsia="Times New Roman" w:cs="Times New Roman"/>
          <w:spacing w:val="7"/>
          <w:sz w:val="25"/>
          <w:szCs w:val="25"/>
        </w:rPr>
        <w:t>004</w:t>
      </w:r>
      <w:r>
        <w:rPr>
          <w:rFonts w:ascii="Times New Roman" w:hAnsi="Times New Roman" w:eastAsia="Times New Roman" w:cs="Times New Roman"/>
          <w:spacing w:val="-26"/>
          <w:sz w:val="25"/>
          <w:szCs w:val="25"/>
        </w:rPr>
        <w:t xml:space="preserve"> </w:t>
      </w:r>
      <w:r>
        <w:rPr>
          <w:rFonts w:ascii="仿宋" w:hAnsi="仿宋" w:eastAsia="仿宋" w:cs="仿宋"/>
          <w:spacing w:val="7"/>
          <w:sz w:val="25"/>
          <w:szCs w:val="25"/>
        </w:rPr>
        <w:t>、</w:t>
      </w:r>
      <w:r>
        <w:rPr>
          <w:rFonts w:ascii="Times New Roman" w:hAnsi="Times New Roman" w:eastAsia="Times New Roman" w:cs="Times New Roman"/>
          <w:sz w:val="25"/>
          <w:szCs w:val="25"/>
        </w:rPr>
        <w:t>KQ</w:t>
      </w:r>
      <w:r>
        <w:rPr>
          <w:rFonts w:ascii="Times New Roman" w:hAnsi="Times New Roman" w:eastAsia="Times New Roman" w:cs="Times New Roman"/>
          <w:spacing w:val="7"/>
          <w:sz w:val="25"/>
          <w:szCs w:val="25"/>
        </w:rPr>
        <w:t>009</w:t>
      </w:r>
      <w:r>
        <w:rPr>
          <w:rFonts w:ascii="Times New Roman" w:hAnsi="Times New Roman" w:eastAsia="Times New Roman" w:cs="Times New Roman"/>
          <w:spacing w:val="19"/>
          <w:w w:val="101"/>
          <w:sz w:val="25"/>
          <w:szCs w:val="25"/>
        </w:rPr>
        <w:t xml:space="preserve"> </w:t>
      </w:r>
      <w:r>
        <w:rPr>
          <w:rFonts w:ascii="仿宋" w:hAnsi="仿宋" w:eastAsia="仿宋" w:cs="仿宋"/>
          <w:spacing w:val="7"/>
          <w:sz w:val="25"/>
          <w:szCs w:val="25"/>
        </w:rPr>
        <w:t>均为地下勘查开采区块，其中</w:t>
      </w:r>
      <w:r>
        <w:rPr>
          <w:rFonts w:ascii="仿宋" w:hAnsi="仿宋" w:eastAsia="仿宋" w:cs="仿宋"/>
          <w:spacing w:val="-54"/>
          <w:sz w:val="25"/>
          <w:szCs w:val="25"/>
        </w:rPr>
        <w:t xml:space="preserve"> </w:t>
      </w:r>
      <w:r>
        <w:rPr>
          <w:rFonts w:ascii="Times New Roman" w:hAnsi="Times New Roman" w:eastAsia="Times New Roman" w:cs="Times New Roman"/>
          <w:sz w:val="25"/>
          <w:szCs w:val="25"/>
        </w:rPr>
        <w:t>KQ</w:t>
      </w:r>
      <w:r>
        <w:rPr>
          <w:rFonts w:ascii="Times New Roman" w:hAnsi="Times New Roman" w:eastAsia="Times New Roman" w:cs="Times New Roman"/>
          <w:spacing w:val="6"/>
          <w:sz w:val="25"/>
          <w:szCs w:val="25"/>
        </w:rPr>
        <w:t>004</w:t>
      </w:r>
      <w:r>
        <w:rPr>
          <w:rFonts w:ascii="仿宋" w:hAnsi="仿宋" w:eastAsia="仿宋" w:cs="仿宋"/>
          <w:spacing w:val="6"/>
          <w:sz w:val="25"/>
          <w:szCs w:val="25"/>
        </w:rPr>
        <w:t>（铝土矿）为非油气</w:t>
      </w:r>
      <w:r>
        <w:rPr>
          <w:rFonts w:ascii="仿宋" w:hAnsi="仿宋" w:eastAsia="仿宋" w:cs="仿宋"/>
          <w:sz w:val="25"/>
          <w:szCs w:val="25"/>
        </w:rPr>
        <w:t xml:space="preserve"> </w:t>
      </w:r>
      <w:r>
        <w:rPr>
          <w:rFonts w:ascii="仿宋" w:hAnsi="仿宋" w:eastAsia="仿宋" w:cs="仿宋"/>
          <w:spacing w:val="10"/>
          <w:sz w:val="25"/>
          <w:szCs w:val="25"/>
        </w:rPr>
        <w:t>战略性矿产。矿产资源勘查主要通过钻探、槽</w:t>
      </w:r>
      <w:r>
        <w:rPr>
          <w:rFonts w:ascii="仿宋" w:hAnsi="仿宋" w:eastAsia="仿宋" w:cs="仿宋"/>
          <w:spacing w:val="9"/>
          <w:sz w:val="25"/>
          <w:szCs w:val="25"/>
        </w:rPr>
        <w:t>探、坑探等活动对地表进行扰动</w:t>
      </w:r>
      <w:r>
        <w:rPr>
          <w:rFonts w:ascii="仿宋" w:hAnsi="仿宋" w:eastAsia="仿宋" w:cs="仿宋"/>
          <w:sz w:val="25"/>
          <w:szCs w:val="25"/>
        </w:rPr>
        <w:t xml:space="preserve"> </w:t>
      </w:r>
      <w:r>
        <w:rPr>
          <w:rFonts w:ascii="仿宋" w:hAnsi="仿宋" w:eastAsia="仿宋" w:cs="仿宋"/>
          <w:spacing w:val="8"/>
          <w:sz w:val="25"/>
          <w:szCs w:val="25"/>
        </w:rPr>
        <w:t>以及勘查过程中产生的废石等固体废物，</w:t>
      </w:r>
      <w:r>
        <w:rPr>
          <w:rFonts w:ascii="仿宋" w:hAnsi="仿宋" w:eastAsia="仿宋" w:cs="仿宋"/>
          <w:spacing w:val="-68"/>
          <w:sz w:val="25"/>
          <w:szCs w:val="25"/>
        </w:rPr>
        <w:t xml:space="preserve"> </w:t>
      </w:r>
      <w:r>
        <w:rPr>
          <w:rFonts w:ascii="仿宋" w:hAnsi="仿宋" w:eastAsia="仿宋" w:cs="仿宋"/>
          <w:spacing w:val="8"/>
          <w:sz w:val="25"/>
          <w:szCs w:val="25"/>
        </w:rPr>
        <w:t>由于勘查破坏的土地面积小，</w:t>
      </w:r>
      <w:r>
        <w:rPr>
          <w:rFonts w:ascii="仿宋" w:hAnsi="仿宋" w:eastAsia="仿宋" w:cs="仿宋"/>
          <w:spacing w:val="7"/>
          <w:sz w:val="25"/>
          <w:szCs w:val="25"/>
        </w:rPr>
        <w:t>勘查区</w:t>
      </w:r>
      <w:r>
        <w:rPr>
          <w:rFonts w:ascii="仿宋" w:hAnsi="仿宋" w:eastAsia="仿宋" w:cs="仿宋"/>
          <w:sz w:val="25"/>
          <w:szCs w:val="25"/>
        </w:rPr>
        <w:t xml:space="preserve"> </w:t>
      </w:r>
      <w:r>
        <w:rPr>
          <w:rFonts w:ascii="仿宋" w:hAnsi="仿宋" w:eastAsia="仿宋" w:cs="仿宋"/>
          <w:spacing w:val="10"/>
          <w:sz w:val="25"/>
          <w:szCs w:val="25"/>
        </w:rPr>
        <w:t>块内探点分散，对环境的影响相对较小。地下</w:t>
      </w:r>
      <w:r>
        <w:rPr>
          <w:rFonts w:ascii="仿宋" w:hAnsi="仿宋" w:eastAsia="仿宋" w:cs="仿宋"/>
          <w:spacing w:val="9"/>
          <w:sz w:val="25"/>
          <w:szCs w:val="25"/>
        </w:rPr>
        <w:t>开采可能导致地面塌陷，地下水</w:t>
      </w:r>
      <w:r>
        <w:rPr>
          <w:rFonts w:ascii="仿宋" w:hAnsi="仿宋" w:eastAsia="仿宋" w:cs="仿宋"/>
          <w:sz w:val="25"/>
          <w:szCs w:val="25"/>
        </w:rPr>
        <w:t xml:space="preserve"> </w:t>
      </w:r>
      <w:r>
        <w:rPr>
          <w:rFonts w:ascii="仿宋" w:hAnsi="仿宋" w:eastAsia="仿宋" w:cs="仿宋"/>
          <w:spacing w:val="8"/>
          <w:sz w:val="25"/>
          <w:szCs w:val="25"/>
        </w:rPr>
        <w:t>位下降，地表水漏失等，从而无法耕种。</w:t>
      </w:r>
    </w:p>
    <w:p w14:paraId="73B9949A">
      <w:pPr>
        <w:spacing w:before="2" w:line="339" w:lineRule="auto"/>
        <w:ind w:left="45" w:right="82" w:firstLine="506"/>
        <w:jc w:val="both"/>
        <w:rPr>
          <w:rFonts w:ascii="仿宋" w:hAnsi="仿宋" w:eastAsia="仿宋" w:cs="仿宋"/>
          <w:sz w:val="25"/>
          <w:szCs w:val="25"/>
        </w:rPr>
      </w:pPr>
      <w:r>
        <w:rPr>
          <w:rFonts w:ascii="仿宋" w:hAnsi="仿宋" w:eastAsia="仿宋" w:cs="仿宋"/>
          <w:spacing w:val="10"/>
          <w:sz w:val="25"/>
          <w:szCs w:val="25"/>
        </w:rPr>
        <w:t>因此勘查区块（</w:t>
      </w:r>
      <w:r>
        <w:rPr>
          <w:rFonts w:ascii="Times New Roman" w:hAnsi="Times New Roman" w:eastAsia="Times New Roman" w:cs="Times New Roman"/>
          <w:sz w:val="25"/>
          <w:szCs w:val="25"/>
        </w:rPr>
        <w:t>KQ</w:t>
      </w:r>
      <w:r>
        <w:rPr>
          <w:rFonts w:ascii="Times New Roman" w:hAnsi="Times New Roman" w:eastAsia="Times New Roman" w:cs="Times New Roman"/>
          <w:spacing w:val="10"/>
          <w:sz w:val="25"/>
          <w:szCs w:val="25"/>
        </w:rPr>
        <w:t>004</w:t>
      </w:r>
      <w:r>
        <w:rPr>
          <w:rFonts w:ascii="Times New Roman" w:hAnsi="Times New Roman" w:eastAsia="Times New Roman" w:cs="Times New Roman"/>
          <w:spacing w:val="-24"/>
          <w:sz w:val="25"/>
          <w:szCs w:val="25"/>
        </w:rPr>
        <w:t xml:space="preserve"> </w:t>
      </w:r>
      <w:r>
        <w:rPr>
          <w:rFonts w:ascii="仿宋" w:hAnsi="仿宋" w:eastAsia="仿宋" w:cs="仿宋"/>
          <w:spacing w:val="10"/>
          <w:sz w:val="25"/>
          <w:szCs w:val="25"/>
        </w:rPr>
        <w:t>、</w:t>
      </w:r>
      <w:r>
        <w:rPr>
          <w:rFonts w:ascii="Times New Roman" w:hAnsi="Times New Roman" w:eastAsia="Times New Roman" w:cs="Times New Roman"/>
          <w:sz w:val="25"/>
          <w:szCs w:val="25"/>
        </w:rPr>
        <w:t>KQ</w:t>
      </w:r>
      <w:r>
        <w:rPr>
          <w:rFonts w:ascii="Times New Roman" w:hAnsi="Times New Roman" w:eastAsia="Times New Roman" w:cs="Times New Roman"/>
          <w:spacing w:val="10"/>
          <w:sz w:val="25"/>
          <w:szCs w:val="25"/>
        </w:rPr>
        <w:t>009</w:t>
      </w:r>
      <w:r>
        <w:rPr>
          <w:rFonts w:ascii="仿宋" w:hAnsi="仿宋" w:eastAsia="仿宋" w:cs="仿宋"/>
          <w:spacing w:val="10"/>
          <w:sz w:val="25"/>
          <w:szCs w:val="25"/>
        </w:rPr>
        <w:t>）在进行地质</w:t>
      </w:r>
      <w:r>
        <w:rPr>
          <w:rFonts w:ascii="仿宋" w:hAnsi="仿宋" w:eastAsia="仿宋" w:cs="仿宋"/>
          <w:spacing w:val="9"/>
          <w:sz w:val="25"/>
          <w:szCs w:val="25"/>
        </w:rPr>
        <w:t>勘查活动时应主动避让永久</w:t>
      </w:r>
      <w:r>
        <w:rPr>
          <w:rFonts w:ascii="仿宋" w:hAnsi="仿宋" w:eastAsia="仿宋" w:cs="仿宋"/>
          <w:sz w:val="25"/>
          <w:szCs w:val="25"/>
        </w:rPr>
        <w:t xml:space="preserve"> </w:t>
      </w:r>
      <w:r>
        <w:rPr>
          <w:rFonts w:ascii="仿宋" w:hAnsi="仿宋" w:eastAsia="仿宋" w:cs="仿宋"/>
          <w:spacing w:val="10"/>
          <w:sz w:val="25"/>
          <w:szCs w:val="25"/>
        </w:rPr>
        <w:t>基本农田，确实无法避让永久基本农田的，</w:t>
      </w:r>
      <w:r>
        <w:rPr>
          <w:rFonts w:ascii="仿宋" w:hAnsi="仿宋" w:eastAsia="仿宋" w:cs="仿宋"/>
          <w:spacing w:val="9"/>
          <w:sz w:val="25"/>
          <w:szCs w:val="25"/>
        </w:rPr>
        <w:t>在不修建永久建（构）筑物、经复</w:t>
      </w:r>
      <w:r>
        <w:rPr>
          <w:rFonts w:ascii="仿宋" w:hAnsi="仿宋" w:eastAsia="仿宋" w:cs="仿宋"/>
          <w:sz w:val="25"/>
          <w:szCs w:val="25"/>
        </w:rPr>
        <w:t xml:space="preserve"> </w:t>
      </w:r>
      <w:r>
        <w:rPr>
          <w:rFonts w:ascii="仿宋" w:hAnsi="仿宋" w:eastAsia="仿宋" w:cs="仿宋"/>
          <w:spacing w:val="10"/>
          <w:sz w:val="25"/>
          <w:szCs w:val="25"/>
        </w:rPr>
        <w:t>垦能恢复原种植条件的前提下，土地使用者</w:t>
      </w:r>
      <w:r>
        <w:rPr>
          <w:rFonts w:ascii="仿宋" w:hAnsi="仿宋" w:eastAsia="仿宋" w:cs="仿宋"/>
          <w:spacing w:val="9"/>
          <w:sz w:val="25"/>
          <w:szCs w:val="25"/>
        </w:rPr>
        <w:t>按法定程序申请临时用地并编制土</w:t>
      </w:r>
      <w:r>
        <w:rPr>
          <w:rFonts w:ascii="仿宋" w:hAnsi="仿宋" w:eastAsia="仿宋" w:cs="仿宋"/>
          <w:sz w:val="25"/>
          <w:szCs w:val="25"/>
        </w:rPr>
        <w:t xml:space="preserve"> </w:t>
      </w:r>
      <w:r>
        <w:rPr>
          <w:rFonts w:ascii="仿宋" w:hAnsi="仿宋" w:eastAsia="仿宋" w:cs="仿宋"/>
          <w:spacing w:val="10"/>
          <w:sz w:val="25"/>
          <w:szCs w:val="25"/>
        </w:rPr>
        <w:t>地复垦方案。临时用地使用前，应通过耕地</w:t>
      </w:r>
      <w:r>
        <w:rPr>
          <w:rFonts w:ascii="仿宋" w:hAnsi="仿宋" w:eastAsia="仿宋" w:cs="仿宋"/>
          <w:spacing w:val="9"/>
          <w:sz w:val="25"/>
          <w:szCs w:val="25"/>
        </w:rPr>
        <w:t>耕作层土壤剥离再利用等工程技术</w:t>
      </w:r>
      <w:r>
        <w:rPr>
          <w:rFonts w:ascii="仿宋" w:hAnsi="仿宋" w:eastAsia="仿宋" w:cs="仿宋"/>
          <w:sz w:val="25"/>
          <w:szCs w:val="25"/>
        </w:rPr>
        <w:t xml:space="preserve"> </w:t>
      </w:r>
      <w:r>
        <w:rPr>
          <w:rFonts w:ascii="仿宋" w:hAnsi="仿宋" w:eastAsia="仿宋" w:cs="仿宋"/>
          <w:spacing w:val="8"/>
          <w:sz w:val="25"/>
          <w:szCs w:val="25"/>
        </w:rPr>
        <w:t>措施，减少对耕作层的破坏，</w:t>
      </w:r>
      <w:r>
        <w:rPr>
          <w:rFonts w:ascii="仿宋" w:hAnsi="仿宋" w:eastAsia="仿宋" w:cs="仿宋"/>
          <w:spacing w:val="-71"/>
          <w:sz w:val="25"/>
          <w:szCs w:val="25"/>
        </w:rPr>
        <w:t xml:space="preserve"> </w:t>
      </w:r>
      <w:r>
        <w:rPr>
          <w:rFonts w:ascii="仿宋" w:hAnsi="仿宋" w:eastAsia="仿宋" w:cs="仿宋"/>
          <w:spacing w:val="8"/>
          <w:sz w:val="25"/>
          <w:szCs w:val="25"/>
        </w:rPr>
        <w:t>同时采用绿色勘查方式，勘查时尽量少占或不占</w:t>
      </w:r>
    </w:p>
    <w:p w14:paraId="05CF0673">
      <w:pPr>
        <w:spacing w:line="339" w:lineRule="auto"/>
        <w:rPr>
          <w:rFonts w:ascii="仿宋" w:hAnsi="仿宋" w:eastAsia="仿宋" w:cs="仿宋"/>
          <w:sz w:val="25"/>
          <w:szCs w:val="25"/>
        </w:rPr>
        <w:sectPr>
          <w:headerReference r:id="rId194" w:type="default"/>
          <w:footerReference r:id="rId195" w:type="default"/>
          <w:pgSz w:w="11906" w:h="16839"/>
          <w:pgMar w:top="1116" w:right="1393" w:bottom="866" w:left="1557" w:header="683" w:footer="703" w:gutter="0"/>
          <w:cols w:space="720" w:num="1"/>
        </w:sectPr>
      </w:pPr>
    </w:p>
    <w:p w14:paraId="2597E733">
      <w:pPr>
        <w:pStyle w:val="2"/>
        <w:spacing w:line="385" w:lineRule="auto"/>
      </w:pPr>
    </w:p>
    <w:p w14:paraId="32889A0D">
      <w:pPr>
        <w:spacing w:before="81" w:line="336" w:lineRule="auto"/>
        <w:ind w:left="22" w:right="83" w:hanging="2"/>
        <w:rPr>
          <w:rFonts w:ascii="仿宋" w:hAnsi="仿宋" w:eastAsia="仿宋" w:cs="仿宋"/>
          <w:sz w:val="25"/>
          <w:szCs w:val="25"/>
        </w:rPr>
      </w:pPr>
      <w:r>
        <w:rPr>
          <w:rFonts w:ascii="仿宋" w:hAnsi="仿宋" w:eastAsia="仿宋" w:cs="仿宋"/>
          <w:spacing w:val="7"/>
          <w:sz w:val="25"/>
          <w:szCs w:val="25"/>
        </w:rPr>
        <w:t>永久基本农田。</w:t>
      </w:r>
      <w:r>
        <w:rPr>
          <w:rFonts w:ascii="Times New Roman" w:hAnsi="Times New Roman" w:eastAsia="Times New Roman" w:cs="Times New Roman"/>
          <w:sz w:val="25"/>
          <w:szCs w:val="25"/>
        </w:rPr>
        <w:t>KQ</w:t>
      </w:r>
      <w:r>
        <w:rPr>
          <w:rFonts w:ascii="Times New Roman" w:hAnsi="Times New Roman" w:eastAsia="Times New Roman" w:cs="Times New Roman"/>
          <w:spacing w:val="7"/>
          <w:sz w:val="25"/>
          <w:szCs w:val="25"/>
        </w:rPr>
        <w:t>004</w:t>
      </w:r>
      <w:r>
        <w:rPr>
          <w:rFonts w:ascii="Times New Roman" w:hAnsi="Times New Roman" w:eastAsia="Times New Roman" w:cs="Times New Roman"/>
          <w:spacing w:val="-26"/>
          <w:sz w:val="25"/>
          <w:szCs w:val="25"/>
        </w:rPr>
        <w:t xml:space="preserve"> </w:t>
      </w:r>
      <w:r>
        <w:rPr>
          <w:rFonts w:ascii="仿宋" w:hAnsi="仿宋" w:eastAsia="仿宋" w:cs="仿宋"/>
          <w:spacing w:val="7"/>
          <w:sz w:val="25"/>
          <w:szCs w:val="25"/>
        </w:rPr>
        <w:t>、</w:t>
      </w:r>
      <w:r>
        <w:rPr>
          <w:rFonts w:ascii="Times New Roman" w:hAnsi="Times New Roman" w:eastAsia="Times New Roman" w:cs="Times New Roman"/>
          <w:sz w:val="25"/>
          <w:szCs w:val="25"/>
        </w:rPr>
        <w:t>KQ</w:t>
      </w:r>
      <w:r>
        <w:rPr>
          <w:rFonts w:ascii="Times New Roman" w:hAnsi="Times New Roman" w:eastAsia="Times New Roman" w:cs="Times New Roman"/>
          <w:spacing w:val="7"/>
          <w:sz w:val="25"/>
          <w:szCs w:val="25"/>
        </w:rPr>
        <w:t>009</w:t>
      </w:r>
      <w:r>
        <w:rPr>
          <w:rFonts w:ascii="Times New Roman" w:hAnsi="Times New Roman" w:eastAsia="Times New Roman" w:cs="Times New Roman"/>
          <w:spacing w:val="22"/>
          <w:sz w:val="25"/>
          <w:szCs w:val="25"/>
        </w:rPr>
        <w:t xml:space="preserve"> </w:t>
      </w:r>
      <w:r>
        <w:rPr>
          <w:rFonts w:ascii="仿宋" w:hAnsi="仿宋" w:eastAsia="仿宋" w:cs="仿宋"/>
          <w:spacing w:val="7"/>
          <w:sz w:val="25"/>
          <w:szCs w:val="25"/>
        </w:rPr>
        <w:t>如需转为开采区块，则</w:t>
      </w:r>
      <w:r>
        <w:rPr>
          <w:rFonts w:ascii="仿宋" w:hAnsi="仿宋" w:eastAsia="仿宋" w:cs="仿宋"/>
          <w:spacing w:val="6"/>
          <w:sz w:val="25"/>
          <w:szCs w:val="25"/>
        </w:rPr>
        <w:t>应优化矿区布局，地面</w:t>
      </w:r>
      <w:r>
        <w:rPr>
          <w:rFonts w:ascii="仿宋" w:hAnsi="仿宋" w:eastAsia="仿宋" w:cs="仿宋"/>
          <w:sz w:val="25"/>
          <w:szCs w:val="25"/>
        </w:rPr>
        <w:t xml:space="preserve"> </w:t>
      </w:r>
      <w:r>
        <w:rPr>
          <w:rFonts w:ascii="仿宋" w:hAnsi="仿宋" w:eastAsia="仿宋" w:cs="仿宋"/>
          <w:spacing w:val="9"/>
          <w:sz w:val="25"/>
          <w:szCs w:val="25"/>
        </w:rPr>
        <w:t>工程避让永久基本农田，确保不造成永久基本农田损</w:t>
      </w:r>
      <w:r>
        <w:rPr>
          <w:rFonts w:ascii="仿宋" w:hAnsi="仿宋" w:eastAsia="仿宋" w:cs="仿宋"/>
          <w:spacing w:val="8"/>
          <w:sz w:val="25"/>
          <w:szCs w:val="25"/>
        </w:rPr>
        <w:t>毁、塌陷破坏。</w:t>
      </w:r>
    </w:p>
    <w:p w14:paraId="5E1FC0DF">
      <w:pPr>
        <w:spacing w:before="128" w:line="228" w:lineRule="auto"/>
        <w:ind w:left="8"/>
        <w:outlineLvl w:val="3"/>
        <w:rPr>
          <w:rFonts w:ascii="仿宋" w:hAnsi="仿宋" w:eastAsia="仿宋" w:cs="仿宋"/>
          <w:sz w:val="25"/>
          <w:szCs w:val="25"/>
        </w:rPr>
      </w:pPr>
      <w:r>
        <w:rPr>
          <w:rFonts w:ascii="Times New Roman" w:hAnsi="Times New Roman" w:eastAsia="Times New Roman" w:cs="Times New Roman"/>
          <w:b/>
          <w:bCs/>
          <w:spacing w:val="5"/>
          <w:sz w:val="25"/>
          <w:szCs w:val="25"/>
        </w:rPr>
        <w:t>5.2.5.7</w:t>
      </w:r>
      <w:r>
        <w:rPr>
          <w:rFonts w:ascii="Times New Roman" w:hAnsi="Times New Roman" w:eastAsia="Times New Roman" w:cs="Times New Roman"/>
          <w:b/>
          <w:bCs/>
          <w:spacing w:val="40"/>
          <w:sz w:val="25"/>
          <w:szCs w:val="25"/>
        </w:rPr>
        <w:t xml:space="preserve"> </w:t>
      </w:r>
      <w:r>
        <w:rPr>
          <w:rFonts w:ascii="仿宋" w:hAnsi="仿宋" w:eastAsia="仿宋" w:cs="仿宋"/>
          <w:b/>
          <w:bCs/>
          <w:spacing w:val="5"/>
          <w:sz w:val="25"/>
          <w:szCs w:val="25"/>
        </w:rPr>
        <w:t>对集中式饮用水水源保护区的影响分析</w:t>
      </w:r>
    </w:p>
    <w:p w14:paraId="69D7037E">
      <w:pPr>
        <w:spacing w:before="272" w:line="340" w:lineRule="auto"/>
        <w:ind w:left="17" w:right="83" w:firstLine="480"/>
        <w:rPr>
          <w:rFonts w:ascii="仿宋" w:hAnsi="仿宋" w:eastAsia="仿宋" w:cs="仿宋"/>
          <w:sz w:val="25"/>
          <w:szCs w:val="25"/>
        </w:rPr>
      </w:pPr>
      <w:r>
        <w:rPr>
          <w:rFonts w:ascii="仿宋" w:hAnsi="仿宋" w:eastAsia="仿宋" w:cs="仿宋"/>
          <w:spacing w:val="7"/>
          <w:sz w:val="25"/>
          <w:szCs w:val="25"/>
        </w:rPr>
        <w:t>根据附图</w:t>
      </w:r>
      <w:r>
        <w:rPr>
          <w:rFonts w:ascii="仿宋" w:hAnsi="仿宋" w:eastAsia="仿宋" w:cs="仿宋"/>
          <w:spacing w:val="-36"/>
          <w:sz w:val="25"/>
          <w:szCs w:val="25"/>
        </w:rPr>
        <w:t xml:space="preserve"> </w:t>
      </w:r>
      <w:r>
        <w:rPr>
          <w:rFonts w:ascii="Times New Roman" w:hAnsi="Times New Roman" w:eastAsia="Times New Roman" w:cs="Times New Roman"/>
          <w:spacing w:val="7"/>
          <w:sz w:val="25"/>
          <w:szCs w:val="25"/>
        </w:rPr>
        <w:t>3-6</w:t>
      </w:r>
      <w:r>
        <w:rPr>
          <w:rFonts w:ascii="Times New Roman" w:hAnsi="Times New Roman" w:eastAsia="Times New Roman" w:cs="Times New Roman"/>
          <w:spacing w:val="29"/>
          <w:sz w:val="25"/>
          <w:szCs w:val="25"/>
        </w:rPr>
        <w:t xml:space="preserve"> </w:t>
      </w:r>
      <w:r>
        <w:rPr>
          <w:rFonts w:ascii="仿宋" w:hAnsi="仿宋" w:eastAsia="仿宋" w:cs="仿宋"/>
          <w:spacing w:val="7"/>
          <w:sz w:val="25"/>
          <w:szCs w:val="25"/>
        </w:rPr>
        <w:t>可知，本次评价的</w:t>
      </w:r>
      <w:r>
        <w:rPr>
          <w:rFonts w:ascii="仿宋" w:hAnsi="仿宋" w:eastAsia="仿宋" w:cs="仿宋"/>
          <w:spacing w:val="-27"/>
          <w:sz w:val="25"/>
          <w:szCs w:val="25"/>
        </w:rPr>
        <w:t xml:space="preserve"> </w:t>
      </w:r>
      <w:r>
        <w:rPr>
          <w:rFonts w:ascii="Times New Roman" w:hAnsi="Times New Roman" w:eastAsia="Times New Roman" w:cs="Times New Roman"/>
          <w:spacing w:val="7"/>
          <w:sz w:val="25"/>
          <w:szCs w:val="25"/>
        </w:rPr>
        <w:t>1</w:t>
      </w:r>
      <w:r>
        <w:rPr>
          <w:rFonts w:ascii="Times New Roman" w:hAnsi="Times New Roman" w:eastAsia="Times New Roman" w:cs="Times New Roman"/>
          <w:spacing w:val="25"/>
          <w:sz w:val="25"/>
          <w:szCs w:val="25"/>
        </w:rPr>
        <w:t xml:space="preserve"> </w:t>
      </w:r>
      <w:r>
        <w:rPr>
          <w:rFonts w:ascii="仿宋" w:hAnsi="仿宋" w:eastAsia="仿宋" w:cs="仿宋"/>
          <w:spacing w:val="7"/>
          <w:sz w:val="25"/>
          <w:szCs w:val="25"/>
        </w:rPr>
        <w:t>个开采区块和</w:t>
      </w:r>
      <w:r>
        <w:rPr>
          <w:rFonts w:ascii="仿宋" w:hAnsi="仿宋" w:eastAsia="仿宋" w:cs="仿宋"/>
          <w:spacing w:val="-45"/>
          <w:sz w:val="25"/>
          <w:szCs w:val="25"/>
        </w:rPr>
        <w:t xml:space="preserve"> </w:t>
      </w:r>
      <w:r>
        <w:rPr>
          <w:rFonts w:ascii="Times New Roman" w:hAnsi="Times New Roman" w:eastAsia="Times New Roman" w:cs="Times New Roman"/>
          <w:spacing w:val="7"/>
          <w:sz w:val="25"/>
          <w:szCs w:val="25"/>
        </w:rPr>
        <w:t>3</w:t>
      </w:r>
      <w:r>
        <w:rPr>
          <w:rFonts w:ascii="Times New Roman" w:hAnsi="Times New Roman" w:eastAsia="Times New Roman" w:cs="Times New Roman"/>
          <w:spacing w:val="21"/>
          <w:w w:val="101"/>
          <w:sz w:val="25"/>
          <w:szCs w:val="25"/>
        </w:rPr>
        <w:t xml:space="preserve"> </w:t>
      </w:r>
      <w:r>
        <w:rPr>
          <w:rFonts w:ascii="仿宋" w:hAnsi="仿宋" w:eastAsia="仿宋" w:cs="仿宋"/>
          <w:spacing w:val="7"/>
          <w:sz w:val="25"/>
          <w:szCs w:val="25"/>
        </w:rPr>
        <w:t>勘查区块与饮用水水源</w:t>
      </w:r>
      <w:r>
        <w:rPr>
          <w:rFonts w:ascii="仿宋" w:hAnsi="仿宋" w:eastAsia="仿宋" w:cs="仿宋"/>
          <w:sz w:val="25"/>
          <w:szCs w:val="25"/>
        </w:rPr>
        <w:t xml:space="preserve"> </w:t>
      </w:r>
      <w:r>
        <w:rPr>
          <w:rFonts w:ascii="仿宋" w:hAnsi="仿宋" w:eastAsia="仿宋" w:cs="仿宋"/>
          <w:spacing w:val="5"/>
          <w:sz w:val="25"/>
          <w:szCs w:val="25"/>
        </w:rPr>
        <w:t>保护区无重叠。</w:t>
      </w:r>
    </w:p>
    <w:p w14:paraId="09A17C25">
      <w:pPr>
        <w:spacing w:before="13" w:line="228" w:lineRule="auto"/>
        <w:ind w:left="8"/>
        <w:outlineLvl w:val="1"/>
        <w:rPr>
          <w:rFonts w:ascii="仿宋" w:hAnsi="仿宋" w:eastAsia="仿宋" w:cs="仿宋"/>
          <w:sz w:val="25"/>
          <w:szCs w:val="25"/>
        </w:rPr>
      </w:pPr>
      <w:bookmarkStart w:id="29" w:name="bookmark25"/>
      <w:bookmarkEnd w:id="29"/>
      <w:r>
        <w:rPr>
          <w:rFonts w:ascii="Times New Roman" w:hAnsi="Times New Roman" w:eastAsia="Times New Roman" w:cs="Times New Roman"/>
          <w:b/>
          <w:bCs/>
          <w:spacing w:val="4"/>
          <w:sz w:val="25"/>
          <w:szCs w:val="25"/>
        </w:rPr>
        <w:t>5.3</w:t>
      </w:r>
      <w:r>
        <w:rPr>
          <w:rFonts w:ascii="Times New Roman" w:hAnsi="Times New Roman" w:eastAsia="Times New Roman" w:cs="Times New Roman"/>
          <w:b/>
          <w:bCs/>
          <w:spacing w:val="26"/>
          <w:w w:val="101"/>
          <w:sz w:val="25"/>
          <w:szCs w:val="25"/>
        </w:rPr>
        <w:t xml:space="preserve"> </w:t>
      </w:r>
      <w:r>
        <w:rPr>
          <w:rFonts w:ascii="仿宋" w:hAnsi="仿宋" w:eastAsia="仿宋" w:cs="仿宋"/>
          <w:b/>
          <w:bCs/>
          <w:spacing w:val="4"/>
          <w:sz w:val="25"/>
          <w:szCs w:val="25"/>
        </w:rPr>
        <w:t>大气环境影响分析</w:t>
      </w:r>
    </w:p>
    <w:p w14:paraId="28DF9444">
      <w:pPr>
        <w:spacing w:before="254" w:line="228" w:lineRule="auto"/>
        <w:ind w:left="8"/>
        <w:outlineLvl w:val="2"/>
        <w:rPr>
          <w:rFonts w:ascii="仿宋" w:hAnsi="仿宋" w:eastAsia="仿宋" w:cs="仿宋"/>
          <w:sz w:val="25"/>
          <w:szCs w:val="25"/>
        </w:rPr>
      </w:pPr>
      <w:r>
        <w:rPr>
          <w:rFonts w:ascii="Times New Roman" w:hAnsi="Times New Roman" w:eastAsia="Times New Roman" w:cs="Times New Roman"/>
          <w:b/>
          <w:bCs/>
          <w:spacing w:val="4"/>
          <w:sz w:val="25"/>
          <w:szCs w:val="25"/>
        </w:rPr>
        <w:t>5.3.1</w:t>
      </w:r>
      <w:r>
        <w:rPr>
          <w:rFonts w:ascii="Times New Roman" w:hAnsi="Times New Roman" w:eastAsia="Times New Roman" w:cs="Times New Roman"/>
          <w:b/>
          <w:bCs/>
          <w:spacing w:val="35"/>
          <w:sz w:val="25"/>
          <w:szCs w:val="25"/>
        </w:rPr>
        <w:t xml:space="preserve"> </w:t>
      </w:r>
      <w:r>
        <w:rPr>
          <w:rFonts w:ascii="仿宋" w:hAnsi="仿宋" w:eastAsia="仿宋" w:cs="仿宋"/>
          <w:b/>
          <w:bCs/>
          <w:spacing w:val="4"/>
          <w:sz w:val="25"/>
          <w:szCs w:val="25"/>
        </w:rPr>
        <w:t>大气污染物产排污预测</w:t>
      </w:r>
    </w:p>
    <w:p w14:paraId="0A9AC309">
      <w:pPr>
        <w:spacing w:before="268" w:line="340" w:lineRule="auto"/>
        <w:ind w:left="13" w:right="81" w:firstLine="486"/>
        <w:jc w:val="both"/>
        <w:rPr>
          <w:rFonts w:ascii="仿宋" w:hAnsi="仿宋" w:eastAsia="仿宋" w:cs="仿宋"/>
          <w:sz w:val="25"/>
          <w:szCs w:val="25"/>
        </w:rPr>
      </w:pPr>
      <w:r>
        <w:rPr>
          <w:rFonts w:ascii="仿宋" w:hAnsi="仿宋" w:eastAsia="仿宋" w:cs="仿宋"/>
          <w:spacing w:val="7"/>
          <w:sz w:val="25"/>
          <w:szCs w:val="25"/>
        </w:rPr>
        <w:t>本次规划调整后，</w:t>
      </w:r>
      <w:r>
        <w:rPr>
          <w:rFonts w:ascii="Times New Roman" w:hAnsi="Times New Roman" w:eastAsia="Times New Roman" w:cs="Times New Roman"/>
          <w:spacing w:val="7"/>
          <w:sz w:val="25"/>
          <w:szCs w:val="25"/>
        </w:rPr>
        <w:t>2025</w:t>
      </w:r>
      <w:r>
        <w:rPr>
          <w:rFonts w:ascii="Times New Roman" w:hAnsi="Times New Roman" w:eastAsia="Times New Roman" w:cs="Times New Roman"/>
          <w:spacing w:val="41"/>
          <w:w w:val="101"/>
          <w:sz w:val="25"/>
          <w:szCs w:val="25"/>
        </w:rPr>
        <w:t xml:space="preserve"> </w:t>
      </w:r>
      <w:r>
        <w:rPr>
          <w:rFonts w:ascii="仿宋" w:hAnsi="仿宋" w:eastAsia="仿宋" w:cs="仿宋"/>
          <w:spacing w:val="7"/>
          <w:sz w:val="25"/>
          <w:szCs w:val="25"/>
        </w:rPr>
        <w:t>年非金属矿（建筑石料用灰岩、萤石（普通）、饰</w:t>
      </w:r>
      <w:r>
        <w:rPr>
          <w:rFonts w:ascii="仿宋" w:hAnsi="仿宋" w:eastAsia="仿宋" w:cs="仿宋"/>
          <w:sz w:val="25"/>
          <w:szCs w:val="25"/>
        </w:rPr>
        <w:t xml:space="preserve"> </w:t>
      </w:r>
      <w:r>
        <w:rPr>
          <w:rFonts w:ascii="仿宋" w:hAnsi="仿宋" w:eastAsia="仿宋" w:cs="仿宋"/>
          <w:spacing w:val="6"/>
          <w:sz w:val="25"/>
          <w:szCs w:val="25"/>
        </w:rPr>
        <w:t>面用灰岩、铸型用砂岩、建筑用砂岩、水泥用灰岩）开采总</w:t>
      </w:r>
      <w:r>
        <w:rPr>
          <w:rFonts w:ascii="仿宋" w:hAnsi="仿宋" w:eastAsia="仿宋" w:cs="仿宋"/>
          <w:spacing w:val="5"/>
          <w:sz w:val="25"/>
          <w:szCs w:val="25"/>
        </w:rPr>
        <w:t>量为</w:t>
      </w:r>
      <w:r>
        <w:rPr>
          <w:rFonts w:ascii="仿宋" w:hAnsi="仿宋" w:eastAsia="仿宋" w:cs="仿宋"/>
          <w:spacing w:val="-30"/>
          <w:sz w:val="25"/>
          <w:szCs w:val="25"/>
        </w:rPr>
        <w:t xml:space="preserve"> </w:t>
      </w:r>
      <w:r>
        <w:rPr>
          <w:rFonts w:ascii="Times New Roman" w:hAnsi="Times New Roman" w:eastAsia="Times New Roman" w:cs="Times New Roman"/>
          <w:spacing w:val="5"/>
          <w:sz w:val="25"/>
          <w:szCs w:val="25"/>
        </w:rPr>
        <w:t>1098.5</w:t>
      </w:r>
      <w:r>
        <w:rPr>
          <w:rFonts w:ascii="Times New Roman" w:hAnsi="Times New Roman" w:eastAsia="Times New Roman" w:cs="Times New Roman"/>
          <w:spacing w:val="24"/>
          <w:sz w:val="25"/>
          <w:szCs w:val="25"/>
        </w:rPr>
        <w:t xml:space="preserve"> </w:t>
      </w:r>
      <w:r>
        <w:rPr>
          <w:rFonts w:ascii="仿宋" w:hAnsi="仿宋" w:eastAsia="仿宋" w:cs="仿宋"/>
          <w:spacing w:val="5"/>
          <w:sz w:val="25"/>
          <w:szCs w:val="25"/>
        </w:rPr>
        <w:t>万吨，</w:t>
      </w:r>
      <w:r>
        <w:rPr>
          <w:rFonts w:ascii="仿宋" w:hAnsi="仿宋" w:eastAsia="仿宋" w:cs="仿宋"/>
          <w:sz w:val="25"/>
          <w:szCs w:val="25"/>
        </w:rPr>
        <w:t xml:space="preserve"> </w:t>
      </w:r>
      <w:r>
        <w:rPr>
          <w:rFonts w:ascii="仿宋" w:hAnsi="仿宋" w:eastAsia="仿宋" w:cs="仿宋"/>
          <w:spacing w:val="7"/>
          <w:sz w:val="25"/>
          <w:szCs w:val="25"/>
        </w:rPr>
        <w:t>有色金属矿（铝土矿）开采总量为</w:t>
      </w:r>
      <w:r>
        <w:rPr>
          <w:rFonts w:ascii="Times New Roman" w:hAnsi="Times New Roman" w:eastAsia="Times New Roman" w:cs="Times New Roman"/>
          <w:spacing w:val="7"/>
          <w:sz w:val="25"/>
          <w:szCs w:val="25"/>
        </w:rPr>
        <w:t>30</w:t>
      </w:r>
      <w:r>
        <w:rPr>
          <w:rFonts w:ascii="Times New Roman" w:hAnsi="Times New Roman" w:eastAsia="Times New Roman" w:cs="Times New Roman"/>
          <w:spacing w:val="21"/>
          <w:sz w:val="25"/>
          <w:szCs w:val="25"/>
        </w:rPr>
        <w:t xml:space="preserve"> </w:t>
      </w:r>
      <w:r>
        <w:rPr>
          <w:rFonts w:ascii="仿宋" w:hAnsi="仿宋" w:eastAsia="仿宋" w:cs="仿宋"/>
          <w:spacing w:val="7"/>
          <w:sz w:val="25"/>
          <w:szCs w:val="25"/>
        </w:rPr>
        <w:t>万吨，开采总量与《规划》相同，因此本</w:t>
      </w:r>
      <w:r>
        <w:rPr>
          <w:rFonts w:ascii="仿宋" w:hAnsi="仿宋" w:eastAsia="仿宋" w:cs="仿宋"/>
          <w:sz w:val="25"/>
          <w:szCs w:val="25"/>
        </w:rPr>
        <w:t xml:space="preserve"> </w:t>
      </w:r>
      <w:r>
        <w:rPr>
          <w:rFonts w:ascii="仿宋" w:hAnsi="仿宋" w:eastAsia="仿宋" w:cs="仿宋"/>
          <w:spacing w:val="5"/>
          <w:sz w:val="25"/>
          <w:szCs w:val="25"/>
        </w:rPr>
        <w:t>次规划调整后，</w:t>
      </w:r>
      <w:r>
        <w:rPr>
          <w:rFonts w:ascii="Times New Roman" w:hAnsi="Times New Roman" w:eastAsia="Times New Roman" w:cs="Times New Roman"/>
          <w:spacing w:val="5"/>
          <w:sz w:val="25"/>
          <w:szCs w:val="25"/>
        </w:rPr>
        <w:t>2025</w:t>
      </w:r>
      <w:r>
        <w:rPr>
          <w:rFonts w:ascii="Times New Roman" w:hAnsi="Times New Roman" w:eastAsia="Times New Roman" w:cs="Times New Roman"/>
          <w:spacing w:val="27"/>
          <w:w w:val="101"/>
          <w:sz w:val="25"/>
          <w:szCs w:val="25"/>
        </w:rPr>
        <w:t xml:space="preserve"> </w:t>
      </w:r>
      <w:r>
        <w:rPr>
          <w:rFonts w:ascii="仿宋" w:hAnsi="仿宋" w:eastAsia="仿宋" w:cs="仿宋"/>
          <w:spacing w:val="5"/>
          <w:sz w:val="25"/>
          <w:szCs w:val="25"/>
        </w:rPr>
        <w:t>年矿山开采的颗粒物排放量不变为</w:t>
      </w:r>
      <w:r>
        <w:rPr>
          <w:rFonts w:ascii="仿宋" w:hAnsi="仿宋" w:eastAsia="仿宋" w:cs="仿宋"/>
          <w:spacing w:val="-27"/>
          <w:sz w:val="25"/>
          <w:szCs w:val="25"/>
        </w:rPr>
        <w:t xml:space="preserve"> </w:t>
      </w:r>
      <w:r>
        <w:rPr>
          <w:rFonts w:ascii="Times New Roman" w:hAnsi="Times New Roman" w:eastAsia="Times New Roman" w:cs="Times New Roman"/>
          <w:spacing w:val="5"/>
          <w:sz w:val="25"/>
          <w:szCs w:val="25"/>
        </w:rPr>
        <w:t>150.95t/a</w:t>
      </w:r>
      <w:r>
        <w:rPr>
          <w:rFonts w:ascii="仿宋" w:hAnsi="仿宋" w:eastAsia="仿宋" w:cs="仿宋"/>
          <w:spacing w:val="5"/>
          <w:sz w:val="25"/>
          <w:szCs w:val="25"/>
        </w:rPr>
        <w:t>，规划期</w:t>
      </w:r>
      <w:r>
        <w:rPr>
          <w:rFonts w:ascii="仿宋" w:hAnsi="仿宋" w:eastAsia="仿宋" w:cs="仿宋"/>
          <w:spacing w:val="4"/>
          <w:sz w:val="25"/>
          <w:szCs w:val="25"/>
        </w:rPr>
        <w:t>内将</w:t>
      </w:r>
      <w:r>
        <w:rPr>
          <w:rFonts w:ascii="仿宋" w:hAnsi="仿宋" w:eastAsia="仿宋" w:cs="仿宋"/>
          <w:sz w:val="25"/>
          <w:szCs w:val="25"/>
        </w:rPr>
        <w:t xml:space="preserve"> </w:t>
      </w:r>
      <w:r>
        <w:rPr>
          <w:rFonts w:ascii="仿宋" w:hAnsi="仿宋" w:eastAsia="仿宋" w:cs="仿宋"/>
          <w:spacing w:val="5"/>
          <w:sz w:val="25"/>
          <w:szCs w:val="25"/>
        </w:rPr>
        <w:t>实施开采准入，严格控制矿山开采总量（调整前后都控制在</w:t>
      </w:r>
      <w:r>
        <w:rPr>
          <w:rFonts w:ascii="仿宋" w:hAnsi="仿宋" w:eastAsia="仿宋" w:cs="仿宋"/>
          <w:spacing w:val="-51"/>
          <w:sz w:val="25"/>
          <w:szCs w:val="25"/>
        </w:rPr>
        <w:t xml:space="preserve"> </w:t>
      </w:r>
      <w:r>
        <w:rPr>
          <w:rFonts w:ascii="Times New Roman" w:hAnsi="Times New Roman" w:eastAsia="Times New Roman" w:cs="Times New Roman"/>
          <w:spacing w:val="5"/>
          <w:sz w:val="25"/>
          <w:szCs w:val="25"/>
        </w:rPr>
        <w:t>28</w:t>
      </w:r>
      <w:r>
        <w:rPr>
          <w:rFonts w:ascii="Times New Roman" w:hAnsi="Times New Roman" w:eastAsia="Times New Roman" w:cs="Times New Roman"/>
          <w:spacing w:val="21"/>
          <w:sz w:val="25"/>
          <w:szCs w:val="25"/>
        </w:rPr>
        <w:t xml:space="preserve"> </w:t>
      </w:r>
      <w:r>
        <w:rPr>
          <w:rFonts w:ascii="仿宋" w:hAnsi="仿宋" w:eastAsia="仿宋" w:cs="仿宋"/>
          <w:spacing w:val="5"/>
          <w:sz w:val="25"/>
          <w:szCs w:val="25"/>
        </w:rPr>
        <w:t>个范围内</w:t>
      </w:r>
      <w:r>
        <w:rPr>
          <w:rFonts w:ascii="仿宋" w:hAnsi="仿宋" w:eastAsia="仿宋" w:cs="仿宋"/>
          <w:spacing w:val="3"/>
          <w:sz w:val="25"/>
          <w:szCs w:val="25"/>
        </w:rPr>
        <w:t>），</w:t>
      </w:r>
      <w:r>
        <w:rPr>
          <w:rFonts w:ascii="仿宋" w:hAnsi="仿宋" w:eastAsia="仿宋" w:cs="仿宋"/>
          <w:spacing w:val="5"/>
          <w:sz w:val="25"/>
          <w:szCs w:val="25"/>
        </w:rPr>
        <w:t>因</w:t>
      </w:r>
      <w:r>
        <w:rPr>
          <w:rFonts w:ascii="仿宋" w:hAnsi="仿宋" w:eastAsia="仿宋" w:cs="仿宋"/>
          <w:sz w:val="25"/>
          <w:szCs w:val="25"/>
        </w:rPr>
        <w:t xml:space="preserve"> </w:t>
      </w:r>
      <w:r>
        <w:rPr>
          <w:rFonts w:ascii="仿宋" w:hAnsi="仿宋" w:eastAsia="仿宋" w:cs="仿宋"/>
          <w:spacing w:val="8"/>
          <w:sz w:val="25"/>
          <w:szCs w:val="25"/>
        </w:rPr>
        <w:t>此实际产生量小于预测量，</w:t>
      </w:r>
      <w:r>
        <w:rPr>
          <w:rFonts w:ascii="仿宋" w:hAnsi="仿宋" w:eastAsia="仿宋" w:cs="仿宋"/>
          <w:spacing w:val="-67"/>
          <w:sz w:val="25"/>
          <w:szCs w:val="25"/>
        </w:rPr>
        <w:t xml:space="preserve"> </w:t>
      </w:r>
      <w:r>
        <w:rPr>
          <w:rFonts w:ascii="仿宋" w:hAnsi="仿宋" w:eastAsia="仿宋" w:cs="仿宋"/>
          <w:spacing w:val="8"/>
          <w:sz w:val="25"/>
          <w:szCs w:val="25"/>
        </w:rPr>
        <w:t>同时对矿山进行优化整合，增加大中型矿山比例，</w:t>
      </w:r>
      <w:r>
        <w:rPr>
          <w:rFonts w:ascii="仿宋" w:hAnsi="仿宋" w:eastAsia="仿宋" w:cs="仿宋"/>
          <w:sz w:val="25"/>
          <w:szCs w:val="25"/>
        </w:rPr>
        <w:t xml:space="preserve"> </w:t>
      </w:r>
      <w:r>
        <w:rPr>
          <w:rFonts w:ascii="仿宋" w:hAnsi="仿宋" w:eastAsia="仿宋" w:cs="仿宋"/>
          <w:spacing w:val="9"/>
          <w:sz w:val="25"/>
          <w:szCs w:val="25"/>
        </w:rPr>
        <w:t>采取有效的废气处理及治理措施，可有效控制矿山企业废气产生及排放量。</w:t>
      </w:r>
    </w:p>
    <w:p w14:paraId="7CF31864">
      <w:pPr>
        <w:spacing w:before="121" w:line="228" w:lineRule="auto"/>
        <w:ind w:left="8"/>
        <w:outlineLvl w:val="2"/>
        <w:rPr>
          <w:rFonts w:ascii="仿宋" w:hAnsi="仿宋" w:eastAsia="仿宋" w:cs="仿宋"/>
          <w:sz w:val="25"/>
          <w:szCs w:val="25"/>
        </w:rPr>
      </w:pPr>
      <w:r>
        <w:rPr>
          <w:rFonts w:ascii="Times New Roman" w:hAnsi="Times New Roman" w:eastAsia="Times New Roman" w:cs="Times New Roman"/>
          <w:b/>
          <w:bCs/>
          <w:spacing w:val="3"/>
          <w:sz w:val="25"/>
          <w:szCs w:val="25"/>
        </w:rPr>
        <w:t>5.3.2</w:t>
      </w:r>
      <w:r>
        <w:rPr>
          <w:rFonts w:ascii="Times New Roman" w:hAnsi="Times New Roman" w:eastAsia="Times New Roman" w:cs="Times New Roman"/>
          <w:b/>
          <w:bCs/>
          <w:spacing w:val="29"/>
          <w:sz w:val="25"/>
          <w:szCs w:val="25"/>
        </w:rPr>
        <w:t xml:space="preserve"> </w:t>
      </w:r>
      <w:r>
        <w:rPr>
          <w:rFonts w:ascii="仿宋" w:hAnsi="仿宋" w:eastAsia="仿宋" w:cs="仿宋"/>
          <w:b/>
          <w:bCs/>
          <w:spacing w:val="3"/>
          <w:sz w:val="25"/>
          <w:szCs w:val="25"/>
        </w:rPr>
        <w:t>环境影响分析</w:t>
      </w:r>
    </w:p>
    <w:p w14:paraId="2DC76472">
      <w:pPr>
        <w:spacing w:before="274" w:line="339" w:lineRule="auto"/>
        <w:ind w:left="18" w:right="12" w:firstLine="487"/>
        <w:jc w:val="both"/>
        <w:rPr>
          <w:rFonts w:ascii="仿宋" w:hAnsi="仿宋" w:eastAsia="仿宋" w:cs="仿宋"/>
          <w:sz w:val="25"/>
          <w:szCs w:val="25"/>
        </w:rPr>
      </w:pPr>
      <w:r>
        <w:rPr>
          <w:rFonts w:ascii="仿宋" w:hAnsi="仿宋" w:eastAsia="仿宋" w:cs="仿宋"/>
          <w:spacing w:val="10"/>
          <w:sz w:val="25"/>
          <w:szCs w:val="25"/>
        </w:rPr>
        <w:t>主要包括勘查、矿山前期建设、开采、运输等过程产生的扬尘对大气环境</w:t>
      </w:r>
      <w:r>
        <w:rPr>
          <w:rFonts w:ascii="仿宋" w:hAnsi="仿宋" w:eastAsia="仿宋" w:cs="仿宋"/>
          <w:spacing w:val="15"/>
          <w:sz w:val="25"/>
          <w:szCs w:val="25"/>
        </w:rPr>
        <w:t xml:space="preserve"> </w:t>
      </w:r>
      <w:r>
        <w:rPr>
          <w:rFonts w:ascii="仿宋" w:hAnsi="仿宋" w:eastAsia="仿宋" w:cs="仿宋"/>
          <w:spacing w:val="9"/>
          <w:sz w:val="25"/>
          <w:szCs w:val="25"/>
        </w:rPr>
        <w:t>的影响。矿产资源勘查和矿山前期建设扬尘对环境影响较小。而矿山粉尘（扬</w:t>
      </w:r>
      <w:r>
        <w:rPr>
          <w:rFonts w:ascii="仿宋" w:hAnsi="仿宋" w:eastAsia="仿宋" w:cs="仿宋"/>
          <w:spacing w:val="17"/>
          <w:sz w:val="25"/>
          <w:szCs w:val="25"/>
        </w:rPr>
        <w:t xml:space="preserve"> </w:t>
      </w:r>
      <w:r>
        <w:rPr>
          <w:rFonts w:ascii="仿宋" w:hAnsi="仿宋" w:eastAsia="仿宋" w:cs="仿宋"/>
          <w:spacing w:val="4"/>
          <w:sz w:val="25"/>
          <w:szCs w:val="25"/>
        </w:rPr>
        <w:t>尘）的比重相对较大，在空气中扩散的距离不会很大，一般很快会在附近降落，</w:t>
      </w:r>
      <w:r>
        <w:rPr>
          <w:rFonts w:ascii="仿宋" w:hAnsi="仿宋" w:eastAsia="仿宋" w:cs="仿宋"/>
          <w:spacing w:val="5"/>
          <w:sz w:val="25"/>
          <w:szCs w:val="25"/>
        </w:rPr>
        <w:t xml:space="preserve"> </w:t>
      </w:r>
      <w:r>
        <w:rPr>
          <w:rFonts w:ascii="仿宋" w:hAnsi="仿宋" w:eastAsia="仿宋" w:cs="仿宋"/>
          <w:spacing w:val="9"/>
          <w:sz w:val="25"/>
          <w:szCs w:val="25"/>
        </w:rPr>
        <w:t>影响范围有限，主要对矿山附近居民的生产生活造成的影响比</w:t>
      </w:r>
      <w:r>
        <w:rPr>
          <w:rFonts w:ascii="仿宋" w:hAnsi="仿宋" w:eastAsia="仿宋" w:cs="仿宋"/>
          <w:spacing w:val="8"/>
          <w:sz w:val="25"/>
          <w:szCs w:val="25"/>
        </w:rPr>
        <w:t>较大。</w:t>
      </w:r>
    </w:p>
    <w:p w14:paraId="5101F8F6">
      <w:pPr>
        <w:spacing w:line="227" w:lineRule="auto"/>
        <w:ind w:left="503"/>
        <w:rPr>
          <w:rFonts w:ascii="仿宋" w:hAnsi="仿宋" w:eastAsia="仿宋" w:cs="仿宋"/>
          <w:sz w:val="25"/>
          <w:szCs w:val="25"/>
        </w:rPr>
      </w:pPr>
      <w:r>
        <w:rPr>
          <w:rFonts w:ascii="仿宋" w:hAnsi="仿宋" w:eastAsia="仿宋" w:cs="仿宋"/>
          <w:spacing w:val="8"/>
          <w:sz w:val="25"/>
          <w:szCs w:val="25"/>
        </w:rPr>
        <w:t>（</w:t>
      </w:r>
      <w:r>
        <w:rPr>
          <w:rFonts w:ascii="Times New Roman" w:hAnsi="Times New Roman" w:eastAsia="Times New Roman" w:cs="Times New Roman"/>
          <w:spacing w:val="8"/>
          <w:sz w:val="25"/>
          <w:szCs w:val="25"/>
        </w:rPr>
        <w:t>1</w:t>
      </w:r>
      <w:r>
        <w:rPr>
          <w:rFonts w:ascii="仿宋" w:hAnsi="仿宋" w:eastAsia="仿宋" w:cs="仿宋"/>
          <w:spacing w:val="8"/>
          <w:sz w:val="25"/>
          <w:szCs w:val="25"/>
        </w:rPr>
        <w:t>）采矿工程产生的废气（采矿粉尘、爆破烟气、机械尾气）</w:t>
      </w:r>
    </w:p>
    <w:p w14:paraId="427F2813">
      <w:pPr>
        <w:spacing w:before="153" w:line="229" w:lineRule="auto"/>
        <w:ind w:left="512"/>
        <w:rPr>
          <w:rFonts w:ascii="仿宋" w:hAnsi="仿宋" w:eastAsia="仿宋" w:cs="仿宋"/>
          <w:sz w:val="25"/>
          <w:szCs w:val="25"/>
        </w:rPr>
      </w:pPr>
      <w:r>
        <w:rPr>
          <w:rFonts w:ascii="Times New Roman" w:hAnsi="Times New Roman" w:eastAsia="Times New Roman" w:cs="Times New Roman"/>
          <w:spacing w:val="4"/>
          <w:sz w:val="25"/>
          <w:szCs w:val="25"/>
        </w:rPr>
        <w:t>1</w:t>
      </w:r>
      <w:r>
        <w:rPr>
          <w:rFonts w:ascii="仿宋" w:hAnsi="仿宋" w:eastAsia="仿宋" w:cs="仿宋"/>
          <w:spacing w:val="4"/>
          <w:sz w:val="25"/>
          <w:szCs w:val="25"/>
        </w:rPr>
        <w:t>）采矿粉尘</w:t>
      </w:r>
    </w:p>
    <w:p w14:paraId="5A570B69">
      <w:pPr>
        <w:spacing w:before="153" w:line="339" w:lineRule="auto"/>
        <w:ind w:left="13" w:right="83" w:firstLine="486"/>
        <w:rPr>
          <w:rFonts w:ascii="仿宋" w:hAnsi="仿宋" w:eastAsia="仿宋" w:cs="仿宋"/>
          <w:sz w:val="25"/>
          <w:szCs w:val="25"/>
        </w:rPr>
      </w:pPr>
      <w:r>
        <w:rPr>
          <w:rFonts w:ascii="仿宋" w:hAnsi="仿宋" w:eastAsia="仿宋" w:cs="仿宋"/>
          <w:spacing w:val="9"/>
          <w:sz w:val="25"/>
          <w:szCs w:val="25"/>
        </w:rPr>
        <w:t>饰面用灰岩露天矿山采矿过程中凿岩、铲运、放矿、</w:t>
      </w:r>
      <w:r>
        <w:rPr>
          <w:rFonts w:ascii="仿宋" w:hAnsi="仿宋" w:eastAsia="仿宋" w:cs="仿宋"/>
          <w:spacing w:val="-71"/>
          <w:sz w:val="25"/>
          <w:szCs w:val="25"/>
        </w:rPr>
        <w:t xml:space="preserve"> </w:t>
      </w:r>
      <w:r>
        <w:rPr>
          <w:rFonts w:ascii="仿宋" w:hAnsi="仿宋" w:eastAsia="仿宋" w:cs="仿宋"/>
          <w:spacing w:val="9"/>
          <w:sz w:val="25"/>
          <w:szCs w:val="25"/>
        </w:rPr>
        <w:t>出矿、卸矿、矿石运</w:t>
      </w:r>
      <w:r>
        <w:rPr>
          <w:rFonts w:ascii="仿宋" w:hAnsi="仿宋" w:eastAsia="仿宋" w:cs="仿宋"/>
          <w:sz w:val="25"/>
          <w:szCs w:val="25"/>
        </w:rPr>
        <w:t xml:space="preserve"> </w:t>
      </w:r>
      <w:r>
        <w:rPr>
          <w:rFonts w:ascii="仿宋" w:hAnsi="仿宋" w:eastAsia="仿宋" w:cs="仿宋"/>
          <w:spacing w:val="10"/>
          <w:sz w:val="25"/>
          <w:szCs w:val="25"/>
        </w:rPr>
        <w:t>输等过程均会产生粉尘和扬尘，采矿工作面应控制</w:t>
      </w:r>
      <w:r>
        <w:rPr>
          <w:rFonts w:ascii="仿宋" w:hAnsi="仿宋" w:eastAsia="仿宋" w:cs="仿宋"/>
          <w:spacing w:val="9"/>
          <w:sz w:val="25"/>
          <w:szCs w:val="25"/>
        </w:rPr>
        <w:t>无组织粉尘排放。通过控制</w:t>
      </w:r>
      <w:r>
        <w:rPr>
          <w:rFonts w:ascii="仿宋" w:hAnsi="仿宋" w:eastAsia="仿宋" w:cs="仿宋"/>
          <w:sz w:val="25"/>
          <w:szCs w:val="25"/>
        </w:rPr>
        <w:t xml:space="preserve"> </w:t>
      </w:r>
      <w:r>
        <w:rPr>
          <w:rFonts w:ascii="仿宋" w:hAnsi="仿宋" w:eastAsia="仿宋" w:cs="仿宋"/>
          <w:spacing w:val="10"/>
          <w:sz w:val="25"/>
          <w:szCs w:val="25"/>
        </w:rPr>
        <w:t>爆破强度、湿式作业和洒水降尘等措施降低粉尘的</w:t>
      </w:r>
      <w:r>
        <w:rPr>
          <w:rFonts w:ascii="仿宋" w:hAnsi="仿宋" w:eastAsia="仿宋" w:cs="仿宋"/>
          <w:spacing w:val="9"/>
          <w:sz w:val="25"/>
          <w:szCs w:val="25"/>
        </w:rPr>
        <w:t>无组织排放量，厂界无组织</w:t>
      </w:r>
      <w:r>
        <w:rPr>
          <w:rFonts w:ascii="仿宋" w:hAnsi="仿宋" w:eastAsia="仿宋" w:cs="仿宋"/>
          <w:sz w:val="25"/>
          <w:szCs w:val="25"/>
        </w:rPr>
        <w:t xml:space="preserve"> </w:t>
      </w:r>
      <w:r>
        <w:rPr>
          <w:rFonts w:ascii="仿宋" w:hAnsi="仿宋" w:eastAsia="仿宋" w:cs="仿宋"/>
          <w:spacing w:val="8"/>
          <w:sz w:val="25"/>
          <w:szCs w:val="25"/>
        </w:rPr>
        <w:t>排放浓度能满足《大气污染物综合排放标准》（</w:t>
      </w:r>
      <w:r>
        <w:rPr>
          <w:rFonts w:ascii="Times New Roman" w:hAnsi="Times New Roman" w:eastAsia="Times New Roman" w:cs="Times New Roman"/>
          <w:sz w:val="25"/>
          <w:szCs w:val="25"/>
        </w:rPr>
        <w:t>DB</w:t>
      </w:r>
      <w:r>
        <w:rPr>
          <w:rFonts w:ascii="Times New Roman" w:hAnsi="Times New Roman" w:eastAsia="Times New Roman" w:cs="Times New Roman"/>
          <w:spacing w:val="8"/>
          <w:sz w:val="25"/>
          <w:szCs w:val="25"/>
        </w:rPr>
        <w:t>50/418-2016</w:t>
      </w:r>
      <w:r>
        <w:rPr>
          <w:rFonts w:ascii="仿宋" w:hAnsi="仿宋" w:eastAsia="仿宋" w:cs="仿宋"/>
          <w:spacing w:val="8"/>
          <w:sz w:val="25"/>
          <w:szCs w:val="25"/>
        </w:rPr>
        <w:t>）要求。</w:t>
      </w:r>
    </w:p>
    <w:p w14:paraId="6DB8F7F7">
      <w:pPr>
        <w:spacing w:before="2" w:line="337" w:lineRule="auto"/>
        <w:ind w:left="16" w:firstLine="482"/>
        <w:jc w:val="both"/>
        <w:rPr>
          <w:rFonts w:ascii="仿宋" w:hAnsi="仿宋" w:eastAsia="仿宋" w:cs="仿宋"/>
          <w:sz w:val="25"/>
          <w:szCs w:val="25"/>
        </w:rPr>
      </w:pPr>
      <w:r>
        <w:rPr>
          <w:rFonts w:ascii="仿宋" w:hAnsi="仿宋" w:eastAsia="仿宋" w:cs="仿宋"/>
          <w:spacing w:val="5"/>
          <w:sz w:val="25"/>
          <w:szCs w:val="25"/>
        </w:rPr>
        <w:t>铸型用砂岩、铝土矿等地下开采矿山，开采废气主要来源于矿井巷道掘进、</w:t>
      </w:r>
      <w:r>
        <w:rPr>
          <w:rFonts w:ascii="仿宋" w:hAnsi="仿宋" w:eastAsia="仿宋" w:cs="仿宋"/>
          <w:spacing w:val="11"/>
          <w:sz w:val="25"/>
          <w:szCs w:val="25"/>
        </w:rPr>
        <w:t xml:space="preserve"> </w:t>
      </w:r>
      <w:r>
        <w:rPr>
          <w:rFonts w:ascii="仿宋" w:hAnsi="仿宋" w:eastAsia="仿宋" w:cs="仿宋"/>
          <w:spacing w:val="6"/>
          <w:sz w:val="25"/>
          <w:szCs w:val="25"/>
        </w:rPr>
        <w:t>矿体开采作业过程等，凿岩爆破时的粉尘浓度最</w:t>
      </w:r>
      <w:r>
        <w:rPr>
          <w:rFonts w:ascii="仿宋" w:hAnsi="仿宋" w:eastAsia="仿宋" w:cs="仿宋"/>
          <w:spacing w:val="5"/>
          <w:sz w:val="25"/>
          <w:szCs w:val="25"/>
        </w:rPr>
        <w:t>高可达</w:t>
      </w:r>
      <w:r>
        <w:rPr>
          <w:rFonts w:ascii="仿宋" w:hAnsi="仿宋" w:eastAsia="仿宋" w:cs="仿宋"/>
          <w:spacing w:val="-27"/>
          <w:sz w:val="25"/>
          <w:szCs w:val="25"/>
        </w:rPr>
        <w:t xml:space="preserve"> </w:t>
      </w:r>
      <w:r>
        <w:rPr>
          <w:rFonts w:ascii="Times New Roman" w:hAnsi="Times New Roman" w:eastAsia="Times New Roman" w:cs="Times New Roman"/>
          <w:spacing w:val="5"/>
          <w:sz w:val="25"/>
          <w:szCs w:val="25"/>
        </w:rPr>
        <w:t xml:space="preserve">1000 </w:t>
      </w:r>
      <w:r>
        <w:rPr>
          <w:rFonts w:ascii="Times New Roman" w:hAnsi="Times New Roman" w:eastAsia="Times New Roman" w:cs="Times New Roman"/>
          <w:sz w:val="25"/>
          <w:szCs w:val="25"/>
        </w:rPr>
        <w:t>mg</w:t>
      </w:r>
      <w:r>
        <w:rPr>
          <w:rFonts w:ascii="Times New Roman" w:hAnsi="Times New Roman" w:eastAsia="Times New Roman" w:cs="Times New Roman"/>
          <w:spacing w:val="5"/>
          <w:sz w:val="25"/>
          <w:szCs w:val="25"/>
        </w:rPr>
        <w:t>/m</w:t>
      </w:r>
      <w:r>
        <w:rPr>
          <w:rFonts w:ascii="Times New Roman" w:hAnsi="Times New Roman" w:eastAsia="Times New Roman" w:cs="Times New Roman"/>
          <w:spacing w:val="5"/>
          <w:position w:val="8"/>
          <w:sz w:val="16"/>
          <w:szCs w:val="16"/>
        </w:rPr>
        <w:t xml:space="preserve">3 </w:t>
      </w:r>
      <w:r>
        <w:rPr>
          <w:rFonts w:ascii="仿宋" w:hAnsi="仿宋" w:eastAsia="仿宋" w:cs="仿宋"/>
          <w:spacing w:val="5"/>
          <w:sz w:val="25"/>
          <w:szCs w:val="25"/>
        </w:rPr>
        <w:t>，对坑内空</w:t>
      </w:r>
      <w:r>
        <w:rPr>
          <w:rFonts w:ascii="仿宋" w:hAnsi="仿宋" w:eastAsia="仿宋" w:cs="仿宋"/>
          <w:sz w:val="25"/>
          <w:szCs w:val="25"/>
        </w:rPr>
        <w:t xml:space="preserve"> </w:t>
      </w:r>
      <w:r>
        <w:rPr>
          <w:rFonts w:ascii="仿宋" w:hAnsi="仿宋" w:eastAsia="仿宋" w:cs="仿宋"/>
          <w:spacing w:val="10"/>
          <w:sz w:val="25"/>
          <w:szCs w:val="25"/>
        </w:rPr>
        <w:t>气有较大的污染，可通过钎杆旁侧或中心注入高压水，使炮孔内粉尘湿润，变</w:t>
      </w:r>
    </w:p>
    <w:p w14:paraId="664D4B4E">
      <w:pPr>
        <w:spacing w:line="337" w:lineRule="auto"/>
        <w:rPr>
          <w:rFonts w:ascii="仿宋" w:hAnsi="仿宋" w:eastAsia="仿宋" w:cs="仿宋"/>
          <w:sz w:val="25"/>
          <w:szCs w:val="25"/>
        </w:rPr>
        <w:sectPr>
          <w:headerReference r:id="rId196" w:type="default"/>
          <w:footerReference r:id="rId197" w:type="default"/>
          <w:pgSz w:w="11906" w:h="16839"/>
          <w:pgMar w:top="1116" w:right="1392" w:bottom="866" w:left="1587" w:header="683" w:footer="703" w:gutter="0"/>
          <w:cols w:space="720" w:num="1"/>
        </w:sectPr>
      </w:pPr>
    </w:p>
    <w:p w14:paraId="25C4EBB9">
      <w:pPr>
        <w:pStyle w:val="2"/>
        <w:spacing w:line="384" w:lineRule="auto"/>
      </w:pPr>
    </w:p>
    <w:p w14:paraId="7AE33E7D">
      <w:pPr>
        <w:spacing w:before="82" w:line="340" w:lineRule="auto"/>
        <w:ind w:left="15" w:firstLine="4"/>
        <w:jc w:val="both"/>
        <w:rPr>
          <w:rFonts w:ascii="仿宋" w:hAnsi="仿宋" w:eastAsia="仿宋" w:cs="仿宋"/>
          <w:sz w:val="25"/>
          <w:szCs w:val="25"/>
        </w:rPr>
      </w:pPr>
      <w:r>
        <w:rPr>
          <w:rFonts w:ascii="仿宋" w:hAnsi="仿宋" w:eastAsia="仿宋" w:cs="仿宋"/>
          <w:spacing w:val="8"/>
          <w:sz w:val="25"/>
          <w:szCs w:val="25"/>
        </w:rPr>
        <w:t>成泥浆流出孔</w:t>
      </w:r>
      <w:r>
        <w:rPr>
          <w:rFonts w:ascii="仿宋" w:hAnsi="仿宋" w:eastAsia="仿宋" w:cs="仿宋"/>
          <w:spacing w:val="-61"/>
          <w:sz w:val="25"/>
          <w:szCs w:val="25"/>
        </w:rPr>
        <w:t xml:space="preserve"> </w:t>
      </w:r>
      <w:r>
        <w:rPr>
          <w:rFonts w:ascii="仿宋" w:hAnsi="仿宋" w:eastAsia="仿宋" w:cs="仿宋"/>
          <w:spacing w:val="8"/>
          <w:sz w:val="25"/>
          <w:szCs w:val="25"/>
        </w:rPr>
        <w:t>口；矿山地下开采矿层钻孔爆</w:t>
      </w:r>
      <w:r>
        <w:rPr>
          <w:rFonts w:ascii="仿宋" w:hAnsi="仿宋" w:eastAsia="仿宋" w:cs="仿宋"/>
          <w:spacing w:val="7"/>
          <w:sz w:val="25"/>
          <w:szCs w:val="25"/>
        </w:rPr>
        <w:t>破和凿岩过程中产生的粉尘将经回</w:t>
      </w:r>
      <w:r>
        <w:rPr>
          <w:rFonts w:ascii="仿宋" w:hAnsi="仿宋" w:eastAsia="仿宋" w:cs="仿宋"/>
          <w:sz w:val="25"/>
          <w:szCs w:val="25"/>
        </w:rPr>
        <w:t xml:space="preserve"> </w:t>
      </w:r>
      <w:r>
        <w:rPr>
          <w:rFonts w:ascii="仿宋" w:hAnsi="仿宋" w:eastAsia="仿宋" w:cs="仿宋"/>
          <w:spacing w:val="10"/>
          <w:sz w:val="25"/>
          <w:szCs w:val="25"/>
        </w:rPr>
        <w:t>风巷道由风井排出地面，通过采取湿式作业，</w:t>
      </w:r>
      <w:r>
        <w:rPr>
          <w:rFonts w:ascii="仿宋" w:hAnsi="仿宋" w:eastAsia="仿宋" w:cs="仿宋"/>
          <w:spacing w:val="9"/>
          <w:sz w:val="25"/>
          <w:szCs w:val="25"/>
        </w:rPr>
        <w:t>爆破前润湿矿体、爆破后喷水抑</w:t>
      </w:r>
      <w:r>
        <w:rPr>
          <w:rFonts w:ascii="仿宋" w:hAnsi="仿宋" w:eastAsia="仿宋" w:cs="仿宋"/>
          <w:sz w:val="25"/>
          <w:szCs w:val="25"/>
        </w:rPr>
        <w:t xml:space="preserve"> </w:t>
      </w:r>
      <w:r>
        <w:rPr>
          <w:rFonts w:ascii="仿宋" w:hAnsi="仿宋" w:eastAsia="仿宋" w:cs="仿宋"/>
          <w:spacing w:val="4"/>
          <w:sz w:val="25"/>
          <w:szCs w:val="25"/>
        </w:rPr>
        <w:t>尘，在运输平巷中设置喷雾系统等降尘抑尘措施，可将井下粉尘浓度降至最低，</w:t>
      </w:r>
      <w:r>
        <w:rPr>
          <w:rFonts w:ascii="仿宋" w:hAnsi="仿宋" w:eastAsia="仿宋" w:cs="仿宋"/>
          <w:spacing w:val="7"/>
          <w:sz w:val="25"/>
          <w:szCs w:val="25"/>
        </w:rPr>
        <w:t xml:space="preserve"> </w:t>
      </w:r>
      <w:r>
        <w:rPr>
          <w:rFonts w:ascii="仿宋" w:hAnsi="仿宋" w:eastAsia="仿宋" w:cs="仿宋"/>
          <w:spacing w:val="8"/>
          <w:sz w:val="25"/>
          <w:szCs w:val="25"/>
        </w:rPr>
        <w:t>从而也降低了回风排气中的粉尘浓度，对环境影响小。</w:t>
      </w:r>
    </w:p>
    <w:p w14:paraId="61CF0B08">
      <w:pPr>
        <w:spacing w:before="1" w:line="229" w:lineRule="auto"/>
        <w:ind w:left="487"/>
        <w:rPr>
          <w:rFonts w:ascii="仿宋" w:hAnsi="仿宋" w:eastAsia="仿宋" w:cs="仿宋"/>
          <w:sz w:val="25"/>
          <w:szCs w:val="25"/>
        </w:rPr>
      </w:pPr>
      <w:r>
        <w:rPr>
          <w:rFonts w:ascii="Times New Roman" w:hAnsi="Times New Roman" w:eastAsia="Times New Roman" w:cs="Times New Roman"/>
          <w:spacing w:val="7"/>
          <w:sz w:val="25"/>
          <w:szCs w:val="25"/>
        </w:rPr>
        <w:t>2</w:t>
      </w:r>
      <w:r>
        <w:rPr>
          <w:rFonts w:ascii="仿宋" w:hAnsi="仿宋" w:eastAsia="仿宋" w:cs="仿宋"/>
          <w:spacing w:val="7"/>
          <w:sz w:val="25"/>
          <w:szCs w:val="25"/>
        </w:rPr>
        <w:t>）爆破烟气</w:t>
      </w:r>
    </w:p>
    <w:p w14:paraId="4D54B687">
      <w:pPr>
        <w:spacing w:before="148" w:line="339" w:lineRule="auto"/>
        <w:ind w:left="16" w:right="71" w:firstLine="481"/>
        <w:rPr>
          <w:rFonts w:ascii="仿宋" w:hAnsi="仿宋" w:eastAsia="仿宋" w:cs="仿宋"/>
          <w:sz w:val="25"/>
          <w:szCs w:val="25"/>
        </w:rPr>
      </w:pPr>
      <w:r>
        <w:rPr>
          <w:rFonts w:ascii="仿宋" w:hAnsi="仿宋" w:eastAsia="仿宋" w:cs="仿宋"/>
          <w:spacing w:val="5"/>
          <w:sz w:val="25"/>
          <w:szCs w:val="25"/>
        </w:rPr>
        <w:t>爆破烟气中含有</w:t>
      </w:r>
      <w:r>
        <w:rPr>
          <w:rFonts w:ascii="仿宋" w:hAnsi="仿宋" w:eastAsia="仿宋" w:cs="仿宋"/>
          <w:spacing w:val="-32"/>
          <w:sz w:val="25"/>
          <w:szCs w:val="25"/>
        </w:rPr>
        <w:t xml:space="preserve"> </w:t>
      </w:r>
      <w:r>
        <w:rPr>
          <w:rFonts w:ascii="Times New Roman" w:hAnsi="Times New Roman" w:eastAsia="Times New Roman" w:cs="Times New Roman"/>
          <w:sz w:val="25"/>
          <w:szCs w:val="25"/>
        </w:rPr>
        <w:t>CO</w:t>
      </w:r>
      <w:r>
        <w:rPr>
          <w:rFonts w:ascii="Times New Roman" w:hAnsi="Times New Roman" w:eastAsia="Times New Roman" w:cs="Times New Roman"/>
          <w:spacing w:val="-21"/>
          <w:sz w:val="25"/>
          <w:szCs w:val="25"/>
        </w:rPr>
        <w:t xml:space="preserve"> </w:t>
      </w:r>
      <w:r>
        <w:rPr>
          <w:rFonts w:ascii="仿宋" w:hAnsi="仿宋" w:eastAsia="仿宋" w:cs="仿宋"/>
          <w:spacing w:val="5"/>
          <w:sz w:val="25"/>
          <w:szCs w:val="25"/>
        </w:rPr>
        <w:t>、</w:t>
      </w:r>
      <w:r>
        <w:rPr>
          <w:rFonts w:ascii="Times New Roman" w:hAnsi="Times New Roman" w:eastAsia="Times New Roman" w:cs="Times New Roman"/>
          <w:sz w:val="25"/>
          <w:szCs w:val="25"/>
        </w:rPr>
        <w:t>NOx</w:t>
      </w:r>
      <w:r>
        <w:rPr>
          <w:rFonts w:ascii="Times New Roman" w:hAnsi="Times New Roman" w:eastAsia="Times New Roman" w:cs="Times New Roman"/>
          <w:spacing w:val="-21"/>
          <w:sz w:val="25"/>
          <w:szCs w:val="25"/>
        </w:rPr>
        <w:t xml:space="preserve"> </w:t>
      </w:r>
      <w:r>
        <w:rPr>
          <w:rFonts w:ascii="仿宋" w:hAnsi="仿宋" w:eastAsia="仿宋" w:cs="仿宋"/>
          <w:spacing w:val="5"/>
          <w:sz w:val="25"/>
          <w:szCs w:val="25"/>
        </w:rPr>
        <w:t>、</w:t>
      </w:r>
      <w:r>
        <w:rPr>
          <w:rFonts w:ascii="Times New Roman" w:hAnsi="Times New Roman" w:eastAsia="Times New Roman" w:cs="Times New Roman"/>
          <w:sz w:val="25"/>
          <w:szCs w:val="25"/>
        </w:rPr>
        <w:t>CO</w:t>
      </w:r>
      <w:r>
        <w:rPr>
          <w:rFonts w:ascii="Times New Roman" w:hAnsi="Times New Roman" w:eastAsia="Times New Roman" w:cs="Times New Roman"/>
          <w:spacing w:val="5"/>
          <w:position w:val="-2"/>
          <w:sz w:val="16"/>
          <w:szCs w:val="16"/>
        </w:rPr>
        <w:t>2</w:t>
      </w:r>
      <w:r>
        <w:rPr>
          <w:rFonts w:ascii="Times New Roman" w:hAnsi="Times New Roman" w:eastAsia="Times New Roman" w:cs="Times New Roman"/>
          <w:spacing w:val="35"/>
          <w:position w:val="-2"/>
          <w:sz w:val="16"/>
          <w:szCs w:val="16"/>
        </w:rPr>
        <w:t xml:space="preserve"> </w:t>
      </w:r>
      <w:r>
        <w:rPr>
          <w:rFonts w:ascii="仿宋" w:hAnsi="仿宋" w:eastAsia="仿宋" w:cs="仿宋"/>
          <w:spacing w:val="5"/>
          <w:sz w:val="25"/>
          <w:szCs w:val="25"/>
        </w:rPr>
        <w:t>等有害气体，</w:t>
      </w:r>
      <w:r>
        <w:rPr>
          <w:rFonts w:ascii="仿宋" w:hAnsi="仿宋" w:eastAsia="仿宋" w:cs="仿宋"/>
          <w:spacing w:val="-70"/>
          <w:sz w:val="25"/>
          <w:szCs w:val="25"/>
        </w:rPr>
        <w:t xml:space="preserve"> </w:t>
      </w:r>
      <w:r>
        <w:rPr>
          <w:rFonts w:ascii="仿宋" w:hAnsi="仿宋" w:eastAsia="仿宋" w:cs="仿宋"/>
          <w:spacing w:val="5"/>
          <w:sz w:val="25"/>
          <w:szCs w:val="25"/>
        </w:rPr>
        <w:t>以</w:t>
      </w:r>
      <w:r>
        <w:rPr>
          <w:rFonts w:ascii="仿宋" w:hAnsi="仿宋" w:eastAsia="仿宋" w:cs="仿宋"/>
          <w:spacing w:val="-46"/>
          <w:sz w:val="25"/>
          <w:szCs w:val="25"/>
        </w:rPr>
        <w:t xml:space="preserve"> </w:t>
      </w:r>
      <w:r>
        <w:rPr>
          <w:rFonts w:ascii="Times New Roman" w:hAnsi="Times New Roman" w:eastAsia="Times New Roman" w:cs="Times New Roman"/>
          <w:sz w:val="25"/>
          <w:szCs w:val="25"/>
        </w:rPr>
        <w:t>CO</w:t>
      </w:r>
      <w:r>
        <w:rPr>
          <w:rFonts w:ascii="Times New Roman" w:hAnsi="Times New Roman" w:eastAsia="Times New Roman" w:cs="Times New Roman"/>
          <w:spacing w:val="24"/>
          <w:w w:val="101"/>
          <w:sz w:val="25"/>
          <w:szCs w:val="25"/>
        </w:rPr>
        <w:t xml:space="preserve"> </w:t>
      </w:r>
      <w:r>
        <w:rPr>
          <w:rFonts w:ascii="仿宋" w:hAnsi="仿宋" w:eastAsia="仿宋" w:cs="仿宋"/>
          <w:spacing w:val="5"/>
          <w:sz w:val="25"/>
          <w:szCs w:val="25"/>
        </w:rPr>
        <w:t>和</w:t>
      </w:r>
      <w:r>
        <w:rPr>
          <w:rFonts w:ascii="仿宋" w:hAnsi="仿宋" w:eastAsia="仿宋" w:cs="仿宋"/>
          <w:spacing w:val="-59"/>
          <w:sz w:val="25"/>
          <w:szCs w:val="25"/>
        </w:rPr>
        <w:t xml:space="preserve"> </w:t>
      </w:r>
      <w:r>
        <w:rPr>
          <w:rFonts w:ascii="Times New Roman" w:hAnsi="Times New Roman" w:eastAsia="Times New Roman" w:cs="Times New Roman"/>
          <w:sz w:val="25"/>
          <w:szCs w:val="25"/>
        </w:rPr>
        <w:t>NOx</w:t>
      </w:r>
      <w:r>
        <w:rPr>
          <w:rFonts w:ascii="Times New Roman" w:hAnsi="Times New Roman" w:eastAsia="Times New Roman" w:cs="Times New Roman"/>
          <w:spacing w:val="34"/>
          <w:sz w:val="25"/>
          <w:szCs w:val="25"/>
        </w:rPr>
        <w:t xml:space="preserve"> </w:t>
      </w:r>
      <w:r>
        <w:rPr>
          <w:rFonts w:ascii="仿宋" w:hAnsi="仿宋" w:eastAsia="仿宋" w:cs="仿宋"/>
          <w:spacing w:val="5"/>
          <w:sz w:val="25"/>
          <w:szCs w:val="25"/>
        </w:rPr>
        <w:t>为主，其产</w:t>
      </w:r>
      <w:r>
        <w:rPr>
          <w:rFonts w:ascii="仿宋" w:hAnsi="仿宋" w:eastAsia="仿宋" w:cs="仿宋"/>
          <w:sz w:val="25"/>
          <w:szCs w:val="25"/>
        </w:rPr>
        <w:t xml:space="preserve"> </w:t>
      </w:r>
      <w:r>
        <w:rPr>
          <w:rFonts w:ascii="仿宋" w:hAnsi="仿宋" w:eastAsia="仿宋" w:cs="仿宋"/>
          <w:spacing w:val="2"/>
          <w:sz w:val="25"/>
          <w:szCs w:val="25"/>
        </w:rPr>
        <w:t>生量与炸药使用量有关。类比相关矿山爆破的数据，</w:t>
      </w:r>
      <w:r>
        <w:rPr>
          <w:rFonts w:ascii="仿宋" w:hAnsi="仿宋" w:eastAsia="仿宋" w:cs="仿宋"/>
          <w:spacing w:val="1"/>
          <w:sz w:val="25"/>
          <w:szCs w:val="25"/>
        </w:rPr>
        <w:t>爆破时有害气体</w:t>
      </w:r>
      <w:r>
        <w:rPr>
          <w:rFonts w:ascii="仿宋" w:hAnsi="仿宋" w:eastAsia="仿宋" w:cs="仿宋"/>
          <w:spacing w:val="-58"/>
          <w:sz w:val="25"/>
          <w:szCs w:val="25"/>
        </w:rPr>
        <w:t xml:space="preserve"> </w:t>
      </w:r>
      <w:r>
        <w:rPr>
          <w:rFonts w:ascii="Times New Roman" w:hAnsi="Times New Roman" w:eastAsia="Times New Roman" w:cs="Times New Roman"/>
          <w:sz w:val="25"/>
          <w:szCs w:val="25"/>
        </w:rPr>
        <w:t>CO</w:t>
      </w:r>
      <w:r>
        <w:rPr>
          <w:rFonts w:ascii="Times New Roman" w:hAnsi="Times New Roman" w:eastAsia="Times New Roman" w:cs="Times New Roman"/>
          <w:spacing w:val="1"/>
          <w:sz w:val="25"/>
          <w:szCs w:val="25"/>
        </w:rPr>
        <w:t xml:space="preserve"> </w:t>
      </w:r>
      <w:r>
        <w:rPr>
          <w:rFonts w:ascii="仿宋" w:hAnsi="仿宋" w:eastAsia="仿宋" w:cs="仿宋"/>
          <w:spacing w:val="1"/>
          <w:sz w:val="25"/>
          <w:szCs w:val="25"/>
        </w:rPr>
        <w:t>和</w:t>
      </w:r>
      <w:r>
        <w:rPr>
          <w:rFonts w:ascii="仿宋" w:hAnsi="仿宋" w:eastAsia="仿宋" w:cs="仿宋"/>
          <w:spacing w:val="-68"/>
          <w:sz w:val="25"/>
          <w:szCs w:val="25"/>
        </w:rPr>
        <w:t xml:space="preserve"> </w:t>
      </w:r>
      <w:r>
        <w:rPr>
          <w:rFonts w:ascii="Times New Roman" w:hAnsi="Times New Roman" w:eastAsia="Times New Roman" w:cs="Times New Roman"/>
          <w:sz w:val="25"/>
          <w:szCs w:val="25"/>
        </w:rPr>
        <w:t xml:space="preserve">NOx </w:t>
      </w:r>
      <w:r>
        <w:rPr>
          <w:rFonts w:ascii="仿宋" w:hAnsi="仿宋" w:eastAsia="仿宋" w:cs="仿宋"/>
          <w:spacing w:val="6"/>
          <w:sz w:val="25"/>
          <w:szCs w:val="25"/>
        </w:rPr>
        <w:t>的短时浓度可达到</w:t>
      </w:r>
      <w:r>
        <w:rPr>
          <w:rFonts w:ascii="仿宋" w:hAnsi="仿宋" w:eastAsia="仿宋" w:cs="仿宋"/>
          <w:spacing w:val="-43"/>
          <w:sz w:val="25"/>
          <w:szCs w:val="25"/>
        </w:rPr>
        <w:t xml:space="preserve"> </w:t>
      </w:r>
      <w:r>
        <w:rPr>
          <w:rFonts w:ascii="Times New Roman" w:hAnsi="Times New Roman" w:eastAsia="Times New Roman" w:cs="Times New Roman"/>
          <w:spacing w:val="6"/>
          <w:sz w:val="25"/>
          <w:szCs w:val="25"/>
        </w:rPr>
        <w:t xml:space="preserve">39.4 </w:t>
      </w:r>
      <w:r>
        <w:rPr>
          <w:rFonts w:ascii="Times New Roman" w:hAnsi="Times New Roman" w:eastAsia="Times New Roman" w:cs="Times New Roman"/>
          <w:sz w:val="25"/>
          <w:szCs w:val="25"/>
        </w:rPr>
        <w:t>mg</w:t>
      </w:r>
      <w:r>
        <w:rPr>
          <w:rFonts w:ascii="Times New Roman" w:hAnsi="Times New Roman" w:eastAsia="Times New Roman" w:cs="Times New Roman"/>
          <w:spacing w:val="6"/>
          <w:sz w:val="25"/>
          <w:szCs w:val="25"/>
        </w:rPr>
        <w:t>/m</w:t>
      </w:r>
      <w:r>
        <w:rPr>
          <w:rFonts w:ascii="Times New Roman" w:hAnsi="Times New Roman" w:eastAsia="Times New Roman" w:cs="Times New Roman"/>
          <w:spacing w:val="6"/>
          <w:position w:val="8"/>
          <w:sz w:val="16"/>
          <w:szCs w:val="16"/>
        </w:rPr>
        <w:t>3</w:t>
      </w:r>
      <w:r>
        <w:rPr>
          <w:rFonts w:ascii="Times New Roman" w:hAnsi="Times New Roman" w:eastAsia="Times New Roman" w:cs="Times New Roman"/>
          <w:spacing w:val="20"/>
          <w:position w:val="8"/>
          <w:sz w:val="16"/>
          <w:szCs w:val="16"/>
        </w:rPr>
        <w:t xml:space="preserve"> </w:t>
      </w:r>
      <w:r>
        <w:rPr>
          <w:rFonts w:ascii="仿宋" w:hAnsi="仿宋" w:eastAsia="仿宋" w:cs="仿宋"/>
          <w:spacing w:val="6"/>
          <w:sz w:val="25"/>
          <w:szCs w:val="25"/>
        </w:rPr>
        <w:t>和</w:t>
      </w:r>
      <w:r>
        <w:rPr>
          <w:rFonts w:ascii="仿宋" w:hAnsi="仿宋" w:eastAsia="仿宋" w:cs="仿宋"/>
          <w:spacing w:val="-55"/>
          <w:sz w:val="25"/>
          <w:szCs w:val="25"/>
        </w:rPr>
        <w:t xml:space="preserve"> </w:t>
      </w:r>
      <w:r>
        <w:rPr>
          <w:rFonts w:ascii="Times New Roman" w:hAnsi="Times New Roman" w:eastAsia="Times New Roman" w:cs="Times New Roman"/>
          <w:spacing w:val="6"/>
          <w:sz w:val="25"/>
          <w:szCs w:val="25"/>
        </w:rPr>
        <w:t xml:space="preserve">24.4 </w:t>
      </w:r>
      <w:r>
        <w:rPr>
          <w:rFonts w:ascii="Times New Roman" w:hAnsi="Times New Roman" w:eastAsia="Times New Roman" w:cs="Times New Roman"/>
          <w:sz w:val="25"/>
          <w:szCs w:val="25"/>
        </w:rPr>
        <w:t>mg</w:t>
      </w:r>
      <w:r>
        <w:rPr>
          <w:rFonts w:ascii="Times New Roman" w:hAnsi="Times New Roman" w:eastAsia="Times New Roman" w:cs="Times New Roman"/>
          <w:spacing w:val="6"/>
          <w:sz w:val="25"/>
          <w:szCs w:val="25"/>
        </w:rPr>
        <w:t>/m</w:t>
      </w:r>
      <w:r>
        <w:rPr>
          <w:rFonts w:ascii="Times New Roman" w:hAnsi="Times New Roman" w:eastAsia="Times New Roman" w:cs="Times New Roman"/>
          <w:spacing w:val="6"/>
          <w:position w:val="8"/>
          <w:sz w:val="16"/>
          <w:szCs w:val="16"/>
        </w:rPr>
        <w:t xml:space="preserve">3 </w:t>
      </w:r>
      <w:r>
        <w:rPr>
          <w:rFonts w:ascii="仿宋" w:hAnsi="仿宋" w:eastAsia="仿宋" w:cs="仿宋"/>
          <w:spacing w:val="6"/>
          <w:sz w:val="25"/>
          <w:szCs w:val="25"/>
        </w:rPr>
        <w:t>，但爆破为瞬时污染源，随着时间</w:t>
      </w:r>
      <w:r>
        <w:rPr>
          <w:rFonts w:ascii="仿宋" w:hAnsi="仿宋" w:eastAsia="仿宋" w:cs="仿宋"/>
          <w:sz w:val="25"/>
          <w:szCs w:val="25"/>
        </w:rPr>
        <w:t xml:space="preserve"> </w:t>
      </w:r>
      <w:r>
        <w:rPr>
          <w:rFonts w:ascii="仿宋" w:hAnsi="仿宋" w:eastAsia="仿宋" w:cs="仿宋"/>
          <w:spacing w:val="8"/>
          <w:sz w:val="25"/>
          <w:szCs w:val="25"/>
        </w:rPr>
        <w:t>推移污染物在空气中不断扩散和稀释，对外界的影响会迅速减小，</w:t>
      </w:r>
      <w:r>
        <w:rPr>
          <w:rFonts w:ascii="仿宋" w:hAnsi="仿宋" w:eastAsia="仿宋" w:cs="仿宋"/>
          <w:spacing w:val="-72"/>
          <w:sz w:val="25"/>
          <w:szCs w:val="25"/>
        </w:rPr>
        <w:t xml:space="preserve"> </w:t>
      </w:r>
      <w:r>
        <w:rPr>
          <w:rFonts w:ascii="仿宋" w:hAnsi="仿宋" w:eastAsia="仿宋" w:cs="仿宋"/>
          <w:spacing w:val="8"/>
          <w:sz w:val="25"/>
          <w:szCs w:val="25"/>
        </w:rPr>
        <w:t>因此对周边</w:t>
      </w:r>
      <w:r>
        <w:rPr>
          <w:rFonts w:ascii="仿宋" w:hAnsi="仿宋" w:eastAsia="仿宋" w:cs="仿宋"/>
          <w:sz w:val="25"/>
          <w:szCs w:val="25"/>
        </w:rPr>
        <w:t xml:space="preserve"> </w:t>
      </w:r>
      <w:r>
        <w:rPr>
          <w:rFonts w:ascii="仿宋" w:hAnsi="仿宋" w:eastAsia="仿宋" w:cs="仿宋"/>
          <w:spacing w:val="6"/>
          <w:sz w:val="25"/>
          <w:szCs w:val="25"/>
        </w:rPr>
        <w:t>环境影响不大。</w:t>
      </w:r>
    </w:p>
    <w:p w14:paraId="7DE72945">
      <w:pPr>
        <w:spacing w:before="4" w:line="228" w:lineRule="auto"/>
        <w:ind w:left="492"/>
        <w:rPr>
          <w:rFonts w:ascii="仿宋" w:hAnsi="仿宋" w:eastAsia="仿宋" w:cs="仿宋"/>
          <w:sz w:val="25"/>
          <w:szCs w:val="25"/>
        </w:rPr>
      </w:pPr>
      <w:r>
        <w:rPr>
          <w:rFonts w:ascii="Times New Roman" w:hAnsi="Times New Roman" w:eastAsia="Times New Roman" w:cs="Times New Roman"/>
          <w:spacing w:val="7"/>
          <w:sz w:val="25"/>
          <w:szCs w:val="25"/>
        </w:rPr>
        <w:t>3</w:t>
      </w:r>
      <w:r>
        <w:rPr>
          <w:rFonts w:ascii="仿宋" w:hAnsi="仿宋" w:eastAsia="仿宋" w:cs="仿宋"/>
          <w:spacing w:val="7"/>
          <w:sz w:val="25"/>
          <w:szCs w:val="25"/>
        </w:rPr>
        <w:t>）机械尾气</w:t>
      </w:r>
    </w:p>
    <w:p w14:paraId="68A65695">
      <w:pPr>
        <w:spacing w:before="147" w:line="340" w:lineRule="auto"/>
        <w:ind w:left="17" w:right="7" w:firstLine="481"/>
        <w:rPr>
          <w:rFonts w:ascii="仿宋" w:hAnsi="仿宋" w:eastAsia="仿宋" w:cs="仿宋"/>
          <w:sz w:val="25"/>
          <w:szCs w:val="25"/>
        </w:rPr>
      </w:pPr>
      <w:r>
        <w:rPr>
          <w:rFonts w:ascii="仿宋" w:hAnsi="仿宋" w:eastAsia="仿宋" w:cs="仿宋"/>
          <w:spacing w:val="11"/>
          <w:sz w:val="25"/>
          <w:szCs w:val="25"/>
        </w:rPr>
        <w:t>开矿所用的柴油设备，包括铲运机、汽车、凿岩台车</w:t>
      </w:r>
      <w:r>
        <w:rPr>
          <w:rFonts w:ascii="仿宋" w:hAnsi="仿宋" w:eastAsia="仿宋" w:cs="仿宋"/>
          <w:spacing w:val="10"/>
          <w:sz w:val="25"/>
          <w:szCs w:val="25"/>
        </w:rPr>
        <w:t>及无轨辅助设备等的</w:t>
      </w:r>
      <w:r>
        <w:rPr>
          <w:rFonts w:ascii="仿宋" w:hAnsi="仿宋" w:eastAsia="仿宋" w:cs="仿宋"/>
          <w:sz w:val="25"/>
          <w:szCs w:val="25"/>
        </w:rPr>
        <w:t xml:space="preserve"> </w:t>
      </w:r>
      <w:r>
        <w:rPr>
          <w:rFonts w:ascii="仿宋" w:hAnsi="仿宋" w:eastAsia="仿宋" w:cs="仿宋"/>
          <w:spacing w:val="10"/>
          <w:sz w:val="25"/>
          <w:szCs w:val="25"/>
        </w:rPr>
        <w:t>使用会排放一定量的大气污染物，柴油机尾气排放的污染物中</w:t>
      </w:r>
      <w:r>
        <w:rPr>
          <w:rFonts w:ascii="仿宋" w:hAnsi="仿宋" w:eastAsia="仿宋" w:cs="仿宋"/>
          <w:spacing w:val="-41"/>
          <w:sz w:val="25"/>
          <w:szCs w:val="25"/>
        </w:rPr>
        <w:t xml:space="preserve"> </w:t>
      </w:r>
      <w:r>
        <w:rPr>
          <w:rFonts w:ascii="Times New Roman" w:hAnsi="Times New Roman" w:eastAsia="Times New Roman" w:cs="Times New Roman"/>
          <w:sz w:val="25"/>
          <w:szCs w:val="25"/>
        </w:rPr>
        <w:t>CO</w:t>
      </w:r>
      <w:r>
        <w:rPr>
          <w:rFonts w:ascii="Times New Roman" w:hAnsi="Times New Roman" w:eastAsia="Times New Roman" w:cs="Times New Roman"/>
          <w:spacing w:val="25"/>
          <w:sz w:val="25"/>
          <w:szCs w:val="25"/>
        </w:rPr>
        <w:t xml:space="preserve"> </w:t>
      </w:r>
      <w:r>
        <w:rPr>
          <w:rFonts w:ascii="仿宋" w:hAnsi="仿宋" w:eastAsia="仿宋" w:cs="仿宋"/>
          <w:spacing w:val="10"/>
          <w:sz w:val="25"/>
          <w:szCs w:val="25"/>
        </w:rPr>
        <w:t>和</w:t>
      </w:r>
      <w:r>
        <w:rPr>
          <w:rFonts w:ascii="仿宋" w:hAnsi="仿宋" w:eastAsia="仿宋" w:cs="仿宋"/>
          <w:spacing w:val="-54"/>
          <w:sz w:val="25"/>
          <w:szCs w:val="25"/>
        </w:rPr>
        <w:t xml:space="preserve"> </w:t>
      </w:r>
      <w:r>
        <w:rPr>
          <w:rFonts w:ascii="Times New Roman" w:hAnsi="Times New Roman" w:eastAsia="Times New Roman" w:cs="Times New Roman"/>
          <w:sz w:val="25"/>
          <w:szCs w:val="25"/>
        </w:rPr>
        <w:t>HC</w:t>
      </w:r>
      <w:r>
        <w:rPr>
          <w:rFonts w:ascii="Times New Roman" w:hAnsi="Times New Roman" w:eastAsia="Times New Roman" w:cs="Times New Roman"/>
          <w:spacing w:val="25"/>
          <w:sz w:val="25"/>
          <w:szCs w:val="25"/>
        </w:rPr>
        <w:t xml:space="preserve"> </w:t>
      </w:r>
      <w:r>
        <w:rPr>
          <w:rFonts w:ascii="仿宋" w:hAnsi="仿宋" w:eastAsia="仿宋" w:cs="仿宋"/>
          <w:spacing w:val="10"/>
          <w:sz w:val="25"/>
          <w:szCs w:val="25"/>
        </w:rPr>
        <w:t>含量</w:t>
      </w:r>
      <w:r>
        <w:rPr>
          <w:rFonts w:ascii="仿宋" w:hAnsi="仿宋" w:eastAsia="仿宋" w:cs="仿宋"/>
          <w:sz w:val="25"/>
          <w:szCs w:val="25"/>
        </w:rPr>
        <w:t xml:space="preserve"> </w:t>
      </w:r>
      <w:r>
        <w:rPr>
          <w:rFonts w:ascii="仿宋" w:hAnsi="仿宋" w:eastAsia="仿宋" w:cs="仿宋"/>
          <w:spacing w:val="8"/>
          <w:sz w:val="25"/>
          <w:szCs w:val="25"/>
        </w:rPr>
        <w:t>较少，</w:t>
      </w:r>
      <w:r>
        <w:rPr>
          <w:rFonts w:ascii="Times New Roman" w:hAnsi="Times New Roman" w:eastAsia="Times New Roman" w:cs="Times New Roman"/>
          <w:sz w:val="25"/>
          <w:szCs w:val="25"/>
        </w:rPr>
        <w:t>NOx</w:t>
      </w:r>
      <w:r>
        <w:rPr>
          <w:rFonts w:ascii="Times New Roman" w:hAnsi="Times New Roman" w:eastAsia="Times New Roman" w:cs="Times New Roman"/>
          <w:spacing w:val="22"/>
          <w:sz w:val="25"/>
          <w:szCs w:val="25"/>
        </w:rPr>
        <w:t xml:space="preserve"> </w:t>
      </w:r>
      <w:r>
        <w:rPr>
          <w:rFonts w:ascii="仿宋" w:hAnsi="仿宋" w:eastAsia="仿宋" w:cs="仿宋"/>
          <w:spacing w:val="8"/>
          <w:sz w:val="25"/>
          <w:szCs w:val="25"/>
        </w:rPr>
        <w:t>含量与汽油机处于同一数量级，但柴油机微粒排放比较高，因此柴</w:t>
      </w:r>
      <w:r>
        <w:rPr>
          <w:rFonts w:ascii="仿宋" w:hAnsi="仿宋" w:eastAsia="仿宋" w:cs="仿宋"/>
          <w:sz w:val="25"/>
          <w:szCs w:val="25"/>
        </w:rPr>
        <w:t xml:space="preserve"> </w:t>
      </w:r>
      <w:r>
        <w:rPr>
          <w:rFonts w:ascii="仿宋" w:hAnsi="仿宋" w:eastAsia="仿宋" w:cs="仿宋"/>
          <w:spacing w:val="8"/>
          <w:sz w:val="25"/>
          <w:szCs w:val="25"/>
        </w:rPr>
        <w:t>油机尾气污染物主要控制</w:t>
      </w:r>
      <w:r>
        <w:rPr>
          <w:rFonts w:ascii="Times New Roman" w:hAnsi="Times New Roman" w:eastAsia="Times New Roman" w:cs="Times New Roman"/>
          <w:sz w:val="25"/>
          <w:szCs w:val="25"/>
        </w:rPr>
        <w:t>NOx</w:t>
      </w:r>
      <w:r>
        <w:rPr>
          <w:rFonts w:ascii="Times New Roman" w:hAnsi="Times New Roman" w:eastAsia="Times New Roman" w:cs="Times New Roman"/>
          <w:spacing w:val="19"/>
          <w:sz w:val="25"/>
          <w:szCs w:val="25"/>
        </w:rPr>
        <w:t xml:space="preserve"> </w:t>
      </w:r>
      <w:r>
        <w:rPr>
          <w:rFonts w:ascii="仿宋" w:hAnsi="仿宋" w:eastAsia="仿宋" w:cs="仿宋"/>
          <w:spacing w:val="8"/>
          <w:sz w:val="25"/>
          <w:szCs w:val="25"/>
        </w:rPr>
        <w:t>和碳微粒。</w:t>
      </w:r>
      <w:r>
        <w:rPr>
          <w:rFonts w:ascii="仿宋" w:hAnsi="仿宋" w:eastAsia="仿宋" w:cs="仿宋"/>
          <w:spacing w:val="-54"/>
          <w:sz w:val="25"/>
          <w:szCs w:val="25"/>
        </w:rPr>
        <w:t xml:space="preserve"> </w:t>
      </w:r>
      <w:r>
        <w:rPr>
          <w:rFonts w:ascii="仿宋" w:hAnsi="仿宋" w:eastAsia="仿宋" w:cs="仿宋"/>
          <w:spacing w:val="8"/>
          <w:sz w:val="25"/>
          <w:szCs w:val="25"/>
        </w:rPr>
        <w:t>目前一般采用机内净化</w:t>
      </w:r>
      <w:r>
        <w:rPr>
          <w:rFonts w:ascii="仿宋" w:hAnsi="仿宋" w:eastAsia="仿宋" w:cs="仿宋"/>
          <w:spacing w:val="7"/>
          <w:sz w:val="25"/>
          <w:szCs w:val="25"/>
        </w:rPr>
        <w:t>、机外净化、</w:t>
      </w:r>
      <w:r>
        <w:rPr>
          <w:rFonts w:ascii="仿宋" w:hAnsi="仿宋" w:eastAsia="仿宋" w:cs="仿宋"/>
          <w:sz w:val="25"/>
          <w:szCs w:val="25"/>
        </w:rPr>
        <w:t xml:space="preserve"> </w:t>
      </w:r>
      <w:r>
        <w:rPr>
          <w:rFonts w:ascii="仿宋" w:hAnsi="仿宋" w:eastAsia="仿宋" w:cs="仿宋"/>
          <w:spacing w:val="7"/>
          <w:sz w:val="25"/>
          <w:szCs w:val="25"/>
        </w:rPr>
        <w:t>乳化柴油的方法加以控制。</w:t>
      </w:r>
    </w:p>
    <w:p w14:paraId="43BFF00E">
      <w:pPr>
        <w:spacing w:before="1" w:line="228" w:lineRule="auto"/>
        <w:ind w:left="503"/>
        <w:rPr>
          <w:rFonts w:ascii="仿宋" w:hAnsi="仿宋" w:eastAsia="仿宋" w:cs="仿宋"/>
          <w:sz w:val="25"/>
          <w:szCs w:val="25"/>
        </w:rPr>
      </w:pPr>
      <w:r>
        <w:rPr>
          <w:rFonts w:ascii="仿宋" w:hAnsi="仿宋" w:eastAsia="仿宋" w:cs="仿宋"/>
          <w:spacing w:val="8"/>
          <w:sz w:val="25"/>
          <w:szCs w:val="25"/>
        </w:rPr>
        <w:t>（</w:t>
      </w:r>
      <w:r>
        <w:rPr>
          <w:rFonts w:ascii="Times New Roman" w:hAnsi="Times New Roman" w:eastAsia="Times New Roman" w:cs="Times New Roman"/>
          <w:spacing w:val="8"/>
          <w:sz w:val="25"/>
          <w:szCs w:val="25"/>
        </w:rPr>
        <w:t>2</w:t>
      </w:r>
      <w:r>
        <w:rPr>
          <w:rFonts w:ascii="仿宋" w:hAnsi="仿宋" w:eastAsia="仿宋" w:cs="仿宋"/>
          <w:spacing w:val="8"/>
          <w:sz w:val="25"/>
          <w:szCs w:val="25"/>
        </w:rPr>
        <w:t>）矿石加工过程产生的大气污染物</w:t>
      </w:r>
    </w:p>
    <w:p w14:paraId="232A0187">
      <w:pPr>
        <w:spacing w:before="152" w:line="338" w:lineRule="auto"/>
        <w:ind w:left="18" w:right="69" w:firstLine="487"/>
        <w:rPr>
          <w:rFonts w:ascii="仿宋" w:hAnsi="仿宋" w:eastAsia="仿宋" w:cs="仿宋"/>
          <w:sz w:val="25"/>
          <w:szCs w:val="25"/>
        </w:rPr>
      </w:pPr>
      <w:r>
        <w:rPr>
          <w:rFonts w:ascii="仿宋" w:hAnsi="仿宋" w:eastAsia="仿宋" w:cs="仿宋"/>
          <w:spacing w:val="10"/>
          <w:sz w:val="25"/>
          <w:szCs w:val="25"/>
        </w:rPr>
        <w:t>主要是矿石在破碎、筛分、转运等生产过程中产生的粉尘，各产尘点产生</w:t>
      </w:r>
      <w:r>
        <w:rPr>
          <w:rFonts w:ascii="仿宋" w:hAnsi="仿宋" w:eastAsia="仿宋" w:cs="仿宋"/>
          <w:spacing w:val="15"/>
          <w:sz w:val="25"/>
          <w:szCs w:val="25"/>
        </w:rPr>
        <w:t xml:space="preserve"> </w:t>
      </w:r>
      <w:r>
        <w:rPr>
          <w:rFonts w:ascii="仿宋" w:hAnsi="仿宋" w:eastAsia="仿宋" w:cs="仿宋"/>
          <w:spacing w:val="6"/>
          <w:sz w:val="25"/>
          <w:szCs w:val="25"/>
        </w:rPr>
        <w:t>的粉尘量不同，一般含尘浓度在</w:t>
      </w:r>
      <w:r>
        <w:rPr>
          <w:rFonts w:ascii="仿宋" w:hAnsi="仿宋" w:eastAsia="仿宋" w:cs="仿宋"/>
          <w:spacing w:val="-52"/>
          <w:sz w:val="25"/>
          <w:szCs w:val="25"/>
        </w:rPr>
        <w:t xml:space="preserve"> </w:t>
      </w:r>
      <w:r>
        <w:rPr>
          <w:rFonts w:ascii="Times New Roman" w:hAnsi="Times New Roman" w:eastAsia="Times New Roman" w:cs="Times New Roman"/>
          <w:spacing w:val="6"/>
          <w:sz w:val="25"/>
          <w:szCs w:val="25"/>
        </w:rPr>
        <w:t>2000</w:t>
      </w:r>
      <w:r>
        <w:rPr>
          <w:rFonts w:ascii="仿宋" w:hAnsi="仿宋" w:eastAsia="仿宋" w:cs="仿宋"/>
          <w:spacing w:val="6"/>
          <w:sz w:val="25"/>
          <w:szCs w:val="25"/>
        </w:rPr>
        <w:t>～</w:t>
      </w:r>
      <w:r>
        <w:rPr>
          <w:rFonts w:ascii="Times New Roman" w:hAnsi="Times New Roman" w:eastAsia="Times New Roman" w:cs="Times New Roman"/>
          <w:spacing w:val="6"/>
          <w:sz w:val="25"/>
          <w:szCs w:val="25"/>
        </w:rPr>
        <w:t>60</w:t>
      </w:r>
      <w:r>
        <w:rPr>
          <w:rFonts w:ascii="Times New Roman" w:hAnsi="Times New Roman" w:eastAsia="Times New Roman" w:cs="Times New Roman"/>
          <w:spacing w:val="5"/>
          <w:sz w:val="25"/>
          <w:szCs w:val="25"/>
        </w:rPr>
        <w:t xml:space="preserve">00 </w:t>
      </w:r>
      <w:r>
        <w:rPr>
          <w:rFonts w:ascii="Times New Roman" w:hAnsi="Times New Roman" w:eastAsia="Times New Roman" w:cs="Times New Roman"/>
          <w:sz w:val="25"/>
          <w:szCs w:val="25"/>
        </w:rPr>
        <w:t>mg</w:t>
      </w:r>
      <w:r>
        <w:rPr>
          <w:rFonts w:ascii="Times New Roman" w:hAnsi="Times New Roman" w:eastAsia="Times New Roman" w:cs="Times New Roman"/>
          <w:spacing w:val="5"/>
          <w:sz w:val="25"/>
          <w:szCs w:val="25"/>
        </w:rPr>
        <w:t>/m</w:t>
      </w:r>
      <w:r>
        <w:rPr>
          <w:rFonts w:ascii="Times New Roman" w:hAnsi="Times New Roman" w:eastAsia="Times New Roman" w:cs="Times New Roman"/>
          <w:spacing w:val="5"/>
          <w:position w:val="8"/>
          <w:sz w:val="16"/>
          <w:szCs w:val="16"/>
        </w:rPr>
        <w:t>3</w:t>
      </w:r>
      <w:r>
        <w:rPr>
          <w:rFonts w:ascii="Times New Roman" w:hAnsi="Times New Roman" w:eastAsia="Times New Roman" w:cs="Times New Roman"/>
          <w:spacing w:val="21"/>
          <w:position w:val="8"/>
          <w:sz w:val="16"/>
          <w:szCs w:val="16"/>
        </w:rPr>
        <w:t xml:space="preserve"> </w:t>
      </w:r>
      <w:r>
        <w:rPr>
          <w:rFonts w:ascii="仿宋" w:hAnsi="仿宋" w:eastAsia="仿宋" w:cs="仿宋"/>
          <w:spacing w:val="5"/>
          <w:sz w:val="25"/>
          <w:szCs w:val="25"/>
        </w:rPr>
        <w:t>之间。通过在各产尘点设集</w:t>
      </w:r>
      <w:r>
        <w:rPr>
          <w:rFonts w:ascii="仿宋" w:hAnsi="仿宋" w:eastAsia="仿宋" w:cs="仿宋"/>
          <w:sz w:val="25"/>
          <w:szCs w:val="25"/>
        </w:rPr>
        <w:t xml:space="preserve"> </w:t>
      </w:r>
      <w:r>
        <w:rPr>
          <w:rFonts w:ascii="仿宋" w:hAnsi="仿宋" w:eastAsia="仿宋" w:cs="仿宋"/>
          <w:spacing w:val="9"/>
          <w:sz w:val="25"/>
          <w:szCs w:val="25"/>
        </w:rPr>
        <w:t>气罩，采用常用的旋风除尘器、布袋除尘器、湿式除尘器等净化、收集、处理</w:t>
      </w:r>
      <w:r>
        <w:rPr>
          <w:rFonts w:ascii="仿宋" w:hAnsi="仿宋" w:eastAsia="仿宋" w:cs="仿宋"/>
          <w:spacing w:val="17"/>
          <w:sz w:val="25"/>
          <w:szCs w:val="25"/>
        </w:rPr>
        <w:t xml:space="preserve"> </w:t>
      </w:r>
      <w:r>
        <w:rPr>
          <w:rFonts w:ascii="仿宋" w:hAnsi="仿宋" w:eastAsia="仿宋" w:cs="仿宋"/>
          <w:spacing w:val="7"/>
          <w:sz w:val="25"/>
          <w:szCs w:val="25"/>
        </w:rPr>
        <w:t>含尘气体后，除尘效率可达</w:t>
      </w:r>
      <w:r>
        <w:rPr>
          <w:rFonts w:ascii="仿宋" w:hAnsi="仿宋" w:eastAsia="仿宋" w:cs="仿宋"/>
          <w:spacing w:val="-49"/>
          <w:sz w:val="25"/>
          <w:szCs w:val="25"/>
        </w:rPr>
        <w:t xml:space="preserve"> </w:t>
      </w:r>
      <w:r>
        <w:rPr>
          <w:rFonts w:ascii="Times New Roman" w:hAnsi="Times New Roman" w:eastAsia="Times New Roman" w:cs="Times New Roman"/>
          <w:spacing w:val="7"/>
          <w:sz w:val="25"/>
          <w:szCs w:val="25"/>
        </w:rPr>
        <w:t>99%</w:t>
      </w:r>
      <w:r>
        <w:rPr>
          <w:rFonts w:ascii="Times New Roman" w:hAnsi="Times New Roman" w:eastAsia="Times New Roman" w:cs="Times New Roman"/>
          <w:spacing w:val="-25"/>
          <w:sz w:val="25"/>
          <w:szCs w:val="25"/>
        </w:rPr>
        <w:t xml:space="preserve"> </w:t>
      </w:r>
      <w:r>
        <w:rPr>
          <w:rFonts w:ascii="仿宋" w:hAnsi="仿宋" w:eastAsia="仿宋" w:cs="仿宋"/>
          <w:spacing w:val="7"/>
          <w:sz w:val="25"/>
          <w:szCs w:val="25"/>
        </w:rPr>
        <w:t>，粉尘可</w:t>
      </w:r>
      <w:r>
        <w:rPr>
          <w:rFonts w:ascii="仿宋" w:hAnsi="仿宋" w:eastAsia="仿宋" w:cs="仿宋"/>
          <w:spacing w:val="6"/>
          <w:sz w:val="25"/>
          <w:szCs w:val="25"/>
        </w:rPr>
        <w:t>以达标排放，对周边环境影响较小。</w:t>
      </w:r>
    </w:p>
    <w:p w14:paraId="572F902C">
      <w:pPr>
        <w:spacing w:before="8" w:line="227" w:lineRule="auto"/>
        <w:ind w:left="503"/>
        <w:rPr>
          <w:rFonts w:ascii="仿宋" w:hAnsi="仿宋" w:eastAsia="仿宋" w:cs="仿宋"/>
          <w:sz w:val="25"/>
          <w:szCs w:val="25"/>
        </w:rPr>
      </w:pPr>
      <w:r>
        <w:rPr>
          <w:rFonts w:ascii="仿宋" w:hAnsi="仿宋" w:eastAsia="仿宋" w:cs="仿宋"/>
          <w:spacing w:val="8"/>
          <w:sz w:val="25"/>
          <w:szCs w:val="25"/>
        </w:rPr>
        <w:t>（</w:t>
      </w:r>
      <w:r>
        <w:rPr>
          <w:rFonts w:ascii="Times New Roman" w:hAnsi="Times New Roman" w:eastAsia="Times New Roman" w:cs="Times New Roman"/>
          <w:spacing w:val="8"/>
          <w:sz w:val="25"/>
          <w:szCs w:val="25"/>
        </w:rPr>
        <w:t>3</w:t>
      </w:r>
      <w:r>
        <w:rPr>
          <w:rFonts w:ascii="仿宋" w:hAnsi="仿宋" w:eastAsia="仿宋" w:cs="仿宋"/>
          <w:spacing w:val="8"/>
          <w:sz w:val="25"/>
          <w:szCs w:val="25"/>
        </w:rPr>
        <w:t>）排土场及废石料堆场产生的扬尘</w:t>
      </w:r>
    </w:p>
    <w:p w14:paraId="5D58BD35">
      <w:pPr>
        <w:spacing w:before="155" w:line="339" w:lineRule="auto"/>
        <w:ind w:left="17" w:right="71" w:firstLine="478"/>
        <w:rPr>
          <w:rFonts w:ascii="仿宋" w:hAnsi="仿宋" w:eastAsia="仿宋" w:cs="仿宋"/>
          <w:sz w:val="25"/>
          <w:szCs w:val="25"/>
        </w:rPr>
      </w:pPr>
      <w:r>
        <w:rPr>
          <w:rFonts w:ascii="仿宋" w:hAnsi="仿宋" w:eastAsia="仿宋" w:cs="仿宋"/>
          <w:spacing w:val="11"/>
          <w:sz w:val="25"/>
          <w:szCs w:val="25"/>
        </w:rPr>
        <w:t>排土场及废石料堆场产生的扬尘可根据当地的风速、矿渣</w:t>
      </w:r>
      <w:r>
        <w:rPr>
          <w:rFonts w:ascii="仿宋" w:hAnsi="仿宋" w:eastAsia="仿宋" w:cs="仿宋"/>
          <w:spacing w:val="10"/>
          <w:sz w:val="25"/>
          <w:szCs w:val="25"/>
        </w:rPr>
        <w:t>进行估算。排土</w:t>
      </w:r>
      <w:r>
        <w:rPr>
          <w:rFonts w:ascii="仿宋" w:hAnsi="仿宋" w:eastAsia="仿宋" w:cs="仿宋"/>
          <w:sz w:val="25"/>
          <w:szCs w:val="25"/>
        </w:rPr>
        <w:t xml:space="preserve"> </w:t>
      </w:r>
      <w:r>
        <w:rPr>
          <w:rFonts w:ascii="仿宋" w:hAnsi="仿宋" w:eastAsia="仿宋" w:cs="仿宋"/>
          <w:spacing w:val="8"/>
          <w:sz w:val="25"/>
          <w:szCs w:val="25"/>
        </w:rPr>
        <w:t>场及废石料堆场采用覆土、植被种植、</w:t>
      </w:r>
      <w:r>
        <w:rPr>
          <w:rFonts w:ascii="仿宋" w:hAnsi="仿宋" w:eastAsia="仿宋" w:cs="仿宋"/>
          <w:spacing w:val="-71"/>
          <w:sz w:val="25"/>
          <w:szCs w:val="25"/>
        </w:rPr>
        <w:t xml:space="preserve"> </w:t>
      </w:r>
      <w:r>
        <w:rPr>
          <w:rFonts w:ascii="仿宋" w:hAnsi="仿宋" w:eastAsia="仿宋" w:cs="仿宋"/>
          <w:spacing w:val="8"/>
          <w:sz w:val="25"/>
          <w:szCs w:val="25"/>
        </w:rPr>
        <w:t>圈围和表面固定、洒水降尘等措施</w:t>
      </w:r>
      <w:r>
        <w:rPr>
          <w:rFonts w:ascii="仿宋" w:hAnsi="仿宋" w:eastAsia="仿宋" w:cs="仿宋"/>
          <w:spacing w:val="7"/>
          <w:sz w:val="25"/>
          <w:szCs w:val="25"/>
        </w:rPr>
        <w:t>处理</w:t>
      </w:r>
      <w:r>
        <w:rPr>
          <w:rFonts w:ascii="仿宋" w:hAnsi="仿宋" w:eastAsia="仿宋" w:cs="仿宋"/>
          <w:sz w:val="25"/>
          <w:szCs w:val="25"/>
        </w:rPr>
        <w:t xml:space="preserve"> </w:t>
      </w:r>
      <w:r>
        <w:rPr>
          <w:rFonts w:ascii="仿宋" w:hAnsi="仿宋" w:eastAsia="仿宋" w:cs="仿宋"/>
          <w:spacing w:val="7"/>
          <w:sz w:val="25"/>
          <w:szCs w:val="25"/>
        </w:rPr>
        <w:t>后，产生的扬尘量将大大降低。</w:t>
      </w:r>
    </w:p>
    <w:p w14:paraId="317E63D7">
      <w:pPr>
        <w:spacing w:before="1" w:line="231" w:lineRule="auto"/>
        <w:ind w:left="503"/>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4</w:t>
      </w:r>
      <w:r>
        <w:rPr>
          <w:rFonts w:ascii="仿宋" w:hAnsi="仿宋" w:eastAsia="仿宋" w:cs="仿宋"/>
          <w:spacing w:val="7"/>
          <w:sz w:val="25"/>
          <w:szCs w:val="25"/>
        </w:rPr>
        <w:t>）交通运输扬尘</w:t>
      </w:r>
    </w:p>
    <w:p w14:paraId="6EA00483">
      <w:pPr>
        <w:spacing w:before="147" w:line="339" w:lineRule="auto"/>
        <w:ind w:left="17" w:right="69" w:firstLine="480"/>
        <w:rPr>
          <w:rFonts w:ascii="仿宋" w:hAnsi="仿宋" w:eastAsia="仿宋" w:cs="仿宋"/>
          <w:sz w:val="25"/>
          <w:szCs w:val="25"/>
        </w:rPr>
      </w:pPr>
      <w:r>
        <w:rPr>
          <w:rFonts w:ascii="仿宋" w:hAnsi="仿宋" w:eastAsia="仿宋" w:cs="仿宋"/>
          <w:spacing w:val="11"/>
          <w:sz w:val="25"/>
          <w:szCs w:val="25"/>
        </w:rPr>
        <w:t>规划实施后，大量矿石和产品运输会使当地的交通量有所增</w:t>
      </w:r>
      <w:r>
        <w:rPr>
          <w:rFonts w:ascii="仿宋" w:hAnsi="仿宋" w:eastAsia="仿宋" w:cs="仿宋"/>
          <w:spacing w:val="10"/>
          <w:sz w:val="25"/>
          <w:szCs w:val="25"/>
        </w:rPr>
        <w:t>加，运输过程</w:t>
      </w:r>
      <w:r>
        <w:rPr>
          <w:rFonts w:ascii="仿宋" w:hAnsi="仿宋" w:eastAsia="仿宋" w:cs="仿宋"/>
          <w:sz w:val="25"/>
          <w:szCs w:val="25"/>
        </w:rPr>
        <w:t xml:space="preserve"> </w:t>
      </w:r>
      <w:r>
        <w:rPr>
          <w:rFonts w:ascii="仿宋" w:hAnsi="仿宋" w:eastAsia="仿宋" w:cs="仿宋"/>
          <w:spacing w:val="10"/>
          <w:sz w:val="25"/>
          <w:szCs w:val="25"/>
        </w:rPr>
        <w:t>的道路扬尘会对公路沿线的环境空气质量产生</w:t>
      </w:r>
      <w:r>
        <w:rPr>
          <w:rFonts w:ascii="仿宋" w:hAnsi="仿宋" w:eastAsia="仿宋" w:cs="仿宋"/>
          <w:spacing w:val="9"/>
          <w:sz w:val="25"/>
          <w:szCs w:val="25"/>
        </w:rPr>
        <w:t>一定影响。矿山位于农村地区，</w:t>
      </w:r>
      <w:r>
        <w:rPr>
          <w:rFonts w:ascii="仿宋" w:hAnsi="仿宋" w:eastAsia="仿宋" w:cs="仿宋"/>
          <w:sz w:val="25"/>
          <w:szCs w:val="25"/>
        </w:rPr>
        <w:t xml:space="preserve"> </w:t>
      </w:r>
      <w:r>
        <w:rPr>
          <w:rFonts w:ascii="仿宋" w:hAnsi="仿宋" w:eastAsia="仿宋" w:cs="仿宋"/>
          <w:spacing w:val="9"/>
          <w:sz w:val="25"/>
          <w:szCs w:val="25"/>
        </w:rPr>
        <w:t>其矿石外运道路乡道和省道两侧分布有居民点等环境敏感目标，通过选择路况</w:t>
      </w:r>
      <w:r>
        <w:rPr>
          <w:rFonts w:ascii="仿宋" w:hAnsi="仿宋" w:eastAsia="仿宋" w:cs="仿宋"/>
          <w:spacing w:val="18"/>
          <w:sz w:val="25"/>
          <w:szCs w:val="25"/>
        </w:rPr>
        <w:t xml:space="preserve"> </w:t>
      </w:r>
      <w:r>
        <w:rPr>
          <w:rFonts w:ascii="仿宋" w:hAnsi="仿宋" w:eastAsia="仿宋" w:cs="仿宋"/>
          <w:spacing w:val="8"/>
          <w:sz w:val="25"/>
          <w:szCs w:val="25"/>
        </w:rPr>
        <w:t>较好的乡道和省道作为运输道路，</w:t>
      </w:r>
      <w:r>
        <w:rPr>
          <w:rFonts w:ascii="仿宋" w:hAnsi="仿宋" w:eastAsia="仿宋" w:cs="仿宋"/>
          <w:spacing w:val="-68"/>
          <w:sz w:val="25"/>
          <w:szCs w:val="25"/>
        </w:rPr>
        <w:t xml:space="preserve"> </w:t>
      </w:r>
      <w:r>
        <w:rPr>
          <w:rFonts w:ascii="仿宋" w:hAnsi="仿宋" w:eastAsia="仿宋" w:cs="仿宋"/>
          <w:spacing w:val="8"/>
          <w:sz w:val="25"/>
          <w:szCs w:val="25"/>
        </w:rPr>
        <w:t>同时尽量避开集中居民点，采取</w:t>
      </w:r>
      <w:r>
        <w:rPr>
          <w:rFonts w:ascii="仿宋" w:hAnsi="仿宋" w:eastAsia="仿宋" w:cs="仿宋"/>
          <w:spacing w:val="7"/>
          <w:sz w:val="25"/>
          <w:szCs w:val="25"/>
        </w:rPr>
        <w:t>对运输车辆</w:t>
      </w:r>
    </w:p>
    <w:p w14:paraId="2F548FC7">
      <w:pPr>
        <w:spacing w:line="339" w:lineRule="auto"/>
        <w:rPr>
          <w:rFonts w:ascii="仿宋" w:hAnsi="仿宋" w:eastAsia="仿宋" w:cs="仿宋"/>
          <w:sz w:val="25"/>
          <w:szCs w:val="25"/>
        </w:rPr>
        <w:sectPr>
          <w:headerReference r:id="rId198" w:type="default"/>
          <w:footerReference r:id="rId199" w:type="default"/>
          <w:pgSz w:w="11906" w:h="16839"/>
          <w:pgMar w:top="1116" w:right="1404" w:bottom="866" w:left="1587" w:header="683" w:footer="703" w:gutter="0"/>
          <w:cols w:space="720" w:num="1"/>
        </w:sectPr>
      </w:pPr>
    </w:p>
    <w:p w14:paraId="71D8515A">
      <w:pPr>
        <w:pStyle w:val="2"/>
        <w:spacing w:line="384" w:lineRule="auto"/>
      </w:pPr>
    </w:p>
    <w:p w14:paraId="2201A9AB">
      <w:pPr>
        <w:spacing w:before="81" w:line="340" w:lineRule="auto"/>
        <w:ind w:left="16" w:right="83" w:firstLine="26"/>
        <w:jc w:val="both"/>
        <w:rPr>
          <w:rFonts w:ascii="仿宋" w:hAnsi="仿宋" w:eastAsia="仿宋" w:cs="仿宋"/>
          <w:sz w:val="25"/>
          <w:szCs w:val="25"/>
        </w:rPr>
      </w:pPr>
      <w:r>
        <w:rPr>
          <w:rFonts w:ascii="仿宋" w:hAnsi="仿宋" w:eastAsia="仿宋" w:cs="仿宋"/>
          <w:spacing w:val="9"/>
          <w:sz w:val="25"/>
          <w:szCs w:val="25"/>
        </w:rPr>
        <w:t>出场前车身进行冲洗清洁，运输过程中加盖篷布、控制装载量</w:t>
      </w:r>
      <w:r>
        <w:rPr>
          <w:rFonts w:ascii="仿宋" w:hAnsi="仿宋" w:eastAsia="仿宋" w:cs="仿宋"/>
          <w:spacing w:val="8"/>
          <w:sz w:val="25"/>
          <w:szCs w:val="25"/>
        </w:rPr>
        <w:t>、限速管理等，</w:t>
      </w:r>
      <w:r>
        <w:rPr>
          <w:rFonts w:ascii="仿宋" w:hAnsi="仿宋" w:eastAsia="仿宋" w:cs="仿宋"/>
          <w:sz w:val="25"/>
          <w:szCs w:val="25"/>
        </w:rPr>
        <w:t xml:space="preserve"> </w:t>
      </w:r>
      <w:r>
        <w:rPr>
          <w:rFonts w:ascii="仿宋" w:hAnsi="仿宋" w:eastAsia="仿宋" w:cs="仿宋"/>
          <w:spacing w:val="10"/>
          <w:sz w:val="25"/>
          <w:szCs w:val="25"/>
        </w:rPr>
        <w:t>在居民点处缓行、干燥天气洒水抑尘、加强</w:t>
      </w:r>
      <w:r>
        <w:rPr>
          <w:rFonts w:ascii="仿宋" w:hAnsi="仿宋" w:eastAsia="仿宋" w:cs="仿宋"/>
          <w:spacing w:val="9"/>
          <w:sz w:val="25"/>
          <w:szCs w:val="25"/>
        </w:rPr>
        <w:t>道路清扫等措施后，运输扬尘对附</w:t>
      </w:r>
      <w:r>
        <w:rPr>
          <w:rFonts w:ascii="仿宋" w:hAnsi="仿宋" w:eastAsia="仿宋" w:cs="仿宋"/>
          <w:sz w:val="25"/>
          <w:szCs w:val="25"/>
        </w:rPr>
        <w:t xml:space="preserve"> </w:t>
      </w:r>
      <w:r>
        <w:rPr>
          <w:rFonts w:ascii="仿宋" w:hAnsi="仿宋" w:eastAsia="仿宋" w:cs="仿宋"/>
          <w:spacing w:val="7"/>
          <w:sz w:val="25"/>
          <w:szCs w:val="25"/>
        </w:rPr>
        <w:t>近环境空气影响有限。</w:t>
      </w:r>
    </w:p>
    <w:p w14:paraId="6FD01423">
      <w:pPr>
        <w:spacing w:before="1" w:line="229" w:lineRule="auto"/>
        <w:ind w:left="503"/>
        <w:rPr>
          <w:rFonts w:ascii="仿宋" w:hAnsi="仿宋" w:eastAsia="仿宋" w:cs="仿宋"/>
          <w:sz w:val="25"/>
          <w:szCs w:val="25"/>
        </w:rPr>
      </w:pPr>
      <w:r>
        <w:rPr>
          <w:rFonts w:ascii="仿宋" w:hAnsi="仿宋" w:eastAsia="仿宋" w:cs="仿宋"/>
          <w:spacing w:val="6"/>
          <w:sz w:val="25"/>
          <w:szCs w:val="25"/>
        </w:rPr>
        <w:t>（</w:t>
      </w:r>
      <w:r>
        <w:rPr>
          <w:rFonts w:ascii="Times New Roman" w:hAnsi="Times New Roman" w:eastAsia="Times New Roman" w:cs="Times New Roman"/>
          <w:spacing w:val="6"/>
          <w:sz w:val="25"/>
          <w:szCs w:val="25"/>
        </w:rPr>
        <w:t>5</w:t>
      </w:r>
      <w:r>
        <w:rPr>
          <w:rFonts w:ascii="仿宋" w:hAnsi="仿宋" w:eastAsia="仿宋" w:cs="仿宋"/>
          <w:spacing w:val="6"/>
          <w:sz w:val="25"/>
          <w:szCs w:val="25"/>
        </w:rPr>
        <w:t>）餐饮油烟</w:t>
      </w:r>
    </w:p>
    <w:p w14:paraId="41D9FAFE">
      <w:pPr>
        <w:spacing w:before="150" w:line="340" w:lineRule="auto"/>
        <w:ind w:left="18" w:right="83" w:firstLine="480"/>
        <w:rPr>
          <w:rFonts w:ascii="仿宋" w:hAnsi="仿宋" w:eastAsia="仿宋" w:cs="仿宋"/>
          <w:sz w:val="25"/>
          <w:szCs w:val="25"/>
        </w:rPr>
      </w:pPr>
      <w:r>
        <w:rPr>
          <w:rFonts w:ascii="仿宋" w:hAnsi="仿宋" w:eastAsia="仿宋" w:cs="仿宋"/>
          <w:spacing w:val="11"/>
          <w:sz w:val="25"/>
          <w:szCs w:val="25"/>
        </w:rPr>
        <w:t>矿山设置的集中式食堂，将产生一定量的餐饮油烟，</w:t>
      </w:r>
      <w:r>
        <w:rPr>
          <w:rFonts w:ascii="仿宋" w:hAnsi="仿宋" w:eastAsia="仿宋" w:cs="仿宋"/>
          <w:spacing w:val="10"/>
          <w:sz w:val="25"/>
          <w:szCs w:val="25"/>
        </w:rPr>
        <w:t>食堂在使用电、液化</w:t>
      </w:r>
      <w:r>
        <w:rPr>
          <w:rFonts w:ascii="仿宋" w:hAnsi="仿宋" w:eastAsia="仿宋" w:cs="仿宋"/>
          <w:sz w:val="25"/>
          <w:szCs w:val="25"/>
        </w:rPr>
        <w:t xml:space="preserve"> </w:t>
      </w:r>
      <w:r>
        <w:rPr>
          <w:rFonts w:ascii="仿宋" w:hAnsi="仿宋" w:eastAsia="仿宋" w:cs="仿宋"/>
          <w:spacing w:val="9"/>
          <w:sz w:val="25"/>
          <w:szCs w:val="25"/>
        </w:rPr>
        <w:t>气、天然气等清洁能源，油烟经油烟净化器处理达标，再通过专用排烟道排放</w:t>
      </w:r>
      <w:r>
        <w:rPr>
          <w:rFonts w:ascii="仿宋" w:hAnsi="仿宋" w:eastAsia="仿宋" w:cs="仿宋"/>
          <w:spacing w:val="17"/>
          <w:sz w:val="25"/>
          <w:szCs w:val="25"/>
        </w:rPr>
        <w:t xml:space="preserve"> </w:t>
      </w:r>
      <w:r>
        <w:rPr>
          <w:rFonts w:ascii="仿宋" w:hAnsi="仿宋" w:eastAsia="仿宋" w:cs="仿宋"/>
          <w:spacing w:val="9"/>
          <w:sz w:val="25"/>
          <w:szCs w:val="25"/>
        </w:rPr>
        <w:t>后，对环境空气的影响可降至最小。职工家庭餐饮油烟产生量较小，对环境空</w:t>
      </w:r>
      <w:r>
        <w:rPr>
          <w:rFonts w:ascii="仿宋" w:hAnsi="仿宋" w:eastAsia="仿宋" w:cs="仿宋"/>
          <w:spacing w:val="17"/>
          <w:sz w:val="25"/>
          <w:szCs w:val="25"/>
        </w:rPr>
        <w:t xml:space="preserve"> </w:t>
      </w:r>
      <w:r>
        <w:rPr>
          <w:rFonts w:ascii="仿宋" w:hAnsi="仿宋" w:eastAsia="仿宋" w:cs="仿宋"/>
          <w:spacing w:val="3"/>
          <w:sz w:val="25"/>
          <w:szCs w:val="25"/>
        </w:rPr>
        <w:t>气影响小。</w:t>
      </w:r>
    </w:p>
    <w:p w14:paraId="591B190F">
      <w:pPr>
        <w:spacing w:before="11" w:line="228" w:lineRule="auto"/>
        <w:ind w:left="8"/>
        <w:outlineLvl w:val="1"/>
        <w:rPr>
          <w:rFonts w:ascii="仿宋" w:hAnsi="仿宋" w:eastAsia="仿宋" w:cs="仿宋"/>
          <w:sz w:val="25"/>
          <w:szCs w:val="25"/>
        </w:rPr>
      </w:pPr>
      <w:bookmarkStart w:id="30" w:name="bookmark26"/>
      <w:bookmarkEnd w:id="30"/>
      <w:r>
        <w:rPr>
          <w:rFonts w:ascii="Times New Roman" w:hAnsi="Times New Roman" w:eastAsia="Times New Roman" w:cs="Times New Roman"/>
          <w:b/>
          <w:bCs/>
          <w:spacing w:val="4"/>
          <w:sz w:val="25"/>
          <w:szCs w:val="25"/>
        </w:rPr>
        <w:t>5.4</w:t>
      </w:r>
      <w:r>
        <w:rPr>
          <w:rFonts w:ascii="Times New Roman" w:hAnsi="Times New Roman" w:eastAsia="Times New Roman" w:cs="Times New Roman"/>
          <w:b/>
          <w:bCs/>
          <w:spacing w:val="31"/>
          <w:w w:val="101"/>
          <w:sz w:val="25"/>
          <w:szCs w:val="25"/>
        </w:rPr>
        <w:t xml:space="preserve"> </w:t>
      </w:r>
      <w:r>
        <w:rPr>
          <w:rFonts w:ascii="仿宋" w:hAnsi="仿宋" w:eastAsia="仿宋" w:cs="仿宋"/>
          <w:b/>
          <w:bCs/>
          <w:spacing w:val="4"/>
          <w:sz w:val="25"/>
          <w:szCs w:val="25"/>
        </w:rPr>
        <w:t>地表水环境影响分析</w:t>
      </w:r>
    </w:p>
    <w:p w14:paraId="5A814482">
      <w:pPr>
        <w:spacing w:before="254" w:line="228" w:lineRule="auto"/>
        <w:ind w:left="8"/>
        <w:outlineLvl w:val="2"/>
        <w:rPr>
          <w:rFonts w:ascii="仿宋" w:hAnsi="仿宋" w:eastAsia="仿宋" w:cs="仿宋"/>
          <w:sz w:val="25"/>
          <w:szCs w:val="25"/>
        </w:rPr>
      </w:pPr>
      <w:r>
        <w:rPr>
          <w:rFonts w:ascii="Times New Roman" w:hAnsi="Times New Roman" w:eastAsia="Times New Roman" w:cs="Times New Roman"/>
          <w:b/>
          <w:bCs/>
          <w:spacing w:val="4"/>
          <w:sz w:val="25"/>
          <w:szCs w:val="25"/>
        </w:rPr>
        <w:t>5.4.1</w:t>
      </w:r>
      <w:r>
        <w:rPr>
          <w:rFonts w:ascii="Times New Roman" w:hAnsi="Times New Roman" w:eastAsia="Times New Roman" w:cs="Times New Roman"/>
          <w:b/>
          <w:bCs/>
          <w:spacing w:val="30"/>
          <w:sz w:val="25"/>
          <w:szCs w:val="25"/>
        </w:rPr>
        <w:t xml:space="preserve"> </w:t>
      </w:r>
      <w:r>
        <w:rPr>
          <w:rFonts w:ascii="仿宋" w:hAnsi="仿宋" w:eastAsia="仿宋" w:cs="仿宋"/>
          <w:b/>
          <w:bCs/>
          <w:spacing w:val="4"/>
          <w:sz w:val="25"/>
          <w:szCs w:val="25"/>
        </w:rPr>
        <w:t>水污染物产排污预测</w:t>
      </w:r>
    </w:p>
    <w:p w14:paraId="4BD0E288">
      <w:pPr>
        <w:spacing w:before="270" w:line="340" w:lineRule="auto"/>
        <w:ind w:left="13" w:right="81" w:firstLine="524"/>
        <w:jc w:val="both"/>
        <w:rPr>
          <w:rFonts w:ascii="仿宋" w:hAnsi="仿宋" w:eastAsia="仿宋" w:cs="仿宋"/>
          <w:sz w:val="25"/>
          <w:szCs w:val="25"/>
        </w:rPr>
      </w:pPr>
      <w:r>
        <w:rPr>
          <w:rFonts w:ascii="仿宋" w:hAnsi="仿宋" w:eastAsia="仿宋" w:cs="仿宋"/>
          <w:spacing w:val="6"/>
          <w:sz w:val="25"/>
          <w:szCs w:val="25"/>
        </w:rPr>
        <w:t>本次规划调整后，</w:t>
      </w:r>
      <w:r>
        <w:rPr>
          <w:rFonts w:ascii="Times New Roman" w:hAnsi="Times New Roman" w:eastAsia="Times New Roman" w:cs="Times New Roman"/>
          <w:spacing w:val="6"/>
          <w:sz w:val="25"/>
          <w:szCs w:val="25"/>
        </w:rPr>
        <w:t>2025</w:t>
      </w:r>
      <w:r>
        <w:rPr>
          <w:rFonts w:ascii="Times New Roman" w:hAnsi="Times New Roman" w:eastAsia="Times New Roman" w:cs="Times New Roman"/>
          <w:spacing w:val="37"/>
          <w:sz w:val="25"/>
          <w:szCs w:val="25"/>
        </w:rPr>
        <w:t xml:space="preserve"> </w:t>
      </w:r>
      <w:r>
        <w:rPr>
          <w:rFonts w:ascii="仿宋" w:hAnsi="仿宋" w:eastAsia="仿宋" w:cs="仿宋"/>
          <w:spacing w:val="6"/>
          <w:sz w:val="25"/>
          <w:szCs w:val="25"/>
        </w:rPr>
        <w:t>年非金属矿（建筑石料用灰岩、萤石（普通）、饰</w:t>
      </w:r>
      <w:r>
        <w:rPr>
          <w:rFonts w:ascii="仿宋" w:hAnsi="仿宋" w:eastAsia="仿宋" w:cs="仿宋"/>
          <w:sz w:val="25"/>
          <w:szCs w:val="25"/>
        </w:rPr>
        <w:t xml:space="preserve"> </w:t>
      </w:r>
      <w:r>
        <w:rPr>
          <w:rFonts w:ascii="仿宋" w:hAnsi="仿宋" w:eastAsia="仿宋" w:cs="仿宋"/>
          <w:spacing w:val="6"/>
          <w:sz w:val="25"/>
          <w:szCs w:val="25"/>
        </w:rPr>
        <w:t>面用灰岩、铸型用砂岩、建筑用砂岩、水泥用灰岩）开采总</w:t>
      </w:r>
      <w:r>
        <w:rPr>
          <w:rFonts w:ascii="仿宋" w:hAnsi="仿宋" w:eastAsia="仿宋" w:cs="仿宋"/>
          <w:spacing w:val="5"/>
          <w:sz w:val="25"/>
          <w:szCs w:val="25"/>
        </w:rPr>
        <w:t>量为</w:t>
      </w:r>
      <w:r>
        <w:rPr>
          <w:rFonts w:ascii="仿宋" w:hAnsi="仿宋" w:eastAsia="仿宋" w:cs="仿宋"/>
          <w:spacing w:val="-30"/>
          <w:sz w:val="25"/>
          <w:szCs w:val="25"/>
        </w:rPr>
        <w:t xml:space="preserve"> </w:t>
      </w:r>
      <w:r>
        <w:rPr>
          <w:rFonts w:ascii="Times New Roman" w:hAnsi="Times New Roman" w:eastAsia="Times New Roman" w:cs="Times New Roman"/>
          <w:spacing w:val="5"/>
          <w:sz w:val="25"/>
          <w:szCs w:val="25"/>
        </w:rPr>
        <w:t>1098.5</w:t>
      </w:r>
      <w:r>
        <w:rPr>
          <w:rFonts w:ascii="Times New Roman" w:hAnsi="Times New Roman" w:eastAsia="Times New Roman" w:cs="Times New Roman"/>
          <w:spacing w:val="24"/>
          <w:sz w:val="25"/>
          <w:szCs w:val="25"/>
        </w:rPr>
        <w:t xml:space="preserve"> </w:t>
      </w:r>
      <w:r>
        <w:rPr>
          <w:rFonts w:ascii="仿宋" w:hAnsi="仿宋" w:eastAsia="仿宋" w:cs="仿宋"/>
          <w:spacing w:val="5"/>
          <w:sz w:val="25"/>
          <w:szCs w:val="25"/>
        </w:rPr>
        <w:t>万吨，</w:t>
      </w:r>
      <w:r>
        <w:rPr>
          <w:rFonts w:ascii="仿宋" w:hAnsi="仿宋" w:eastAsia="仿宋" w:cs="仿宋"/>
          <w:sz w:val="25"/>
          <w:szCs w:val="25"/>
        </w:rPr>
        <w:t xml:space="preserve"> </w:t>
      </w:r>
      <w:r>
        <w:rPr>
          <w:rFonts w:ascii="仿宋" w:hAnsi="仿宋" w:eastAsia="仿宋" w:cs="仿宋"/>
          <w:spacing w:val="7"/>
          <w:sz w:val="25"/>
          <w:szCs w:val="25"/>
        </w:rPr>
        <w:t>有色金属矿（铝土矿）开采总量为</w:t>
      </w:r>
      <w:r>
        <w:rPr>
          <w:rFonts w:ascii="Times New Roman" w:hAnsi="Times New Roman" w:eastAsia="Times New Roman" w:cs="Times New Roman"/>
          <w:spacing w:val="7"/>
          <w:sz w:val="25"/>
          <w:szCs w:val="25"/>
        </w:rPr>
        <w:t>30</w:t>
      </w:r>
      <w:r>
        <w:rPr>
          <w:rFonts w:ascii="Times New Roman" w:hAnsi="Times New Roman" w:eastAsia="Times New Roman" w:cs="Times New Roman"/>
          <w:spacing w:val="21"/>
          <w:sz w:val="25"/>
          <w:szCs w:val="25"/>
        </w:rPr>
        <w:t xml:space="preserve"> </w:t>
      </w:r>
      <w:r>
        <w:rPr>
          <w:rFonts w:ascii="仿宋" w:hAnsi="仿宋" w:eastAsia="仿宋" w:cs="仿宋"/>
          <w:spacing w:val="7"/>
          <w:sz w:val="25"/>
          <w:szCs w:val="25"/>
        </w:rPr>
        <w:t>万吨，开采总量与《规划》相同，因此本</w:t>
      </w:r>
      <w:r>
        <w:rPr>
          <w:rFonts w:ascii="仿宋" w:hAnsi="仿宋" w:eastAsia="仿宋" w:cs="仿宋"/>
          <w:sz w:val="25"/>
          <w:szCs w:val="25"/>
        </w:rPr>
        <w:t xml:space="preserve"> </w:t>
      </w:r>
      <w:r>
        <w:rPr>
          <w:rFonts w:ascii="仿宋" w:hAnsi="仿宋" w:eastAsia="仿宋" w:cs="仿宋"/>
          <w:spacing w:val="6"/>
          <w:sz w:val="25"/>
          <w:szCs w:val="25"/>
        </w:rPr>
        <w:t>次规划调整后，</w:t>
      </w:r>
      <w:r>
        <w:rPr>
          <w:rFonts w:ascii="Times New Roman" w:hAnsi="Times New Roman" w:eastAsia="Times New Roman" w:cs="Times New Roman"/>
          <w:spacing w:val="6"/>
          <w:sz w:val="25"/>
          <w:szCs w:val="25"/>
        </w:rPr>
        <w:t>2025</w:t>
      </w:r>
      <w:r>
        <w:rPr>
          <w:rFonts w:ascii="Times New Roman" w:hAnsi="Times New Roman" w:eastAsia="Times New Roman" w:cs="Times New Roman"/>
          <w:spacing w:val="25"/>
          <w:sz w:val="25"/>
          <w:szCs w:val="25"/>
        </w:rPr>
        <w:t xml:space="preserve"> </w:t>
      </w:r>
      <w:r>
        <w:rPr>
          <w:rFonts w:ascii="仿宋" w:hAnsi="仿宋" w:eastAsia="仿宋" w:cs="仿宋"/>
          <w:spacing w:val="6"/>
          <w:sz w:val="25"/>
          <w:szCs w:val="25"/>
        </w:rPr>
        <w:t>年采矿业用水量不变，为</w:t>
      </w:r>
      <w:r>
        <w:rPr>
          <w:rFonts w:ascii="仿宋" w:hAnsi="仿宋" w:eastAsia="仿宋" w:cs="仿宋"/>
          <w:spacing w:val="-56"/>
          <w:sz w:val="25"/>
          <w:szCs w:val="25"/>
        </w:rPr>
        <w:t xml:space="preserve"> </w:t>
      </w:r>
      <w:r>
        <w:rPr>
          <w:rFonts w:ascii="Times New Roman" w:hAnsi="Times New Roman" w:eastAsia="Times New Roman" w:cs="Times New Roman"/>
          <w:spacing w:val="6"/>
          <w:sz w:val="25"/>
          <w:szCs w:val="25"/>
        </w:rPr>
        <w:t>4</w:t>
      </w:r>
      <w:r>
        <w:rPr>
          <w:rFonts w:ascii="Times New Roman" w:hAnsi="Times New Roman" w:eastAsia="Times New Roman" w:cs="Times New Roman"/>
          <w:spacing w:val="5"/>
          <w:sz w:val="25"/>
          <w:szCs w:val="25"/>
        </w:rPr>
        <w:t>7.055</w:t>
      </w:r>
      <w:r>
        <w:rPr>
          <w:rFonts w:ascii="Times New Roman" w:hAnsi="Times New Roman" w:eastAsia="Times New Roman" w:cs="Times New Roman"/>
          <w:spacing w:val="24"/>
          <w:sz w:val="25"/>
          <w:szCs w:val="25"/>
        </w:rPr>
        <w:t xml:space="preserve"> </w:t>
      </w:r>
      <w:r>
        <w:rPr>
          <w:rFonts w:ascii="仿宋" w:hAnsi="仿宋" w:eastAsia="仿宋" w:cs="仿宋"/>
          <w:spacing w:val="5"/>
          <w:sz w:val="25"/>
          <w:szCs w:val="25"/>
        </w:rPr>
        <w:t>万</w:t>
      </w:r>
      <w:r>
        <w:rPr>
          <w:rFonts w:ascii="仿宋" w:hAnsi="仿宋" w:eastAsia="仿宋" w:cs="仿宋"/>
          <w:spacing w:val="-58"/>
          <w:sz w:val="25"/>
          <w:szCs w:val="25"/>
        </w:rPr>
        <w:t xml:space="preserve"> </w:t>
      </w:r>
      <w:r>
        <w:rPr>
          <w:rFonts w:ascii="Times New Roman" w:hAnsi="Times New Roman" w:eastAsia="Times New Roman" w:cs="Times New Roman"/>
          <w:spacing w:val="5"/>
          <w:sz w:val="25"/>
          <w:szCs w:val="25"/>
        </w:rPr>
        <w:t>m</w:t>
      </w:r>
      <w:r>
        <w:rPr>
          <w:rFonts w:ascii="Times New Roman" w:hAnsi="Times New Roman" w:eastAsia="Times New Roman" w:cs="Times New Roman"/>
          <w:spacing w:val="5"/>
          <w:position w:val="8"/>
          <w:sz w:val="16"/>
          <w:szCs w:val="16"/>
        </w:rPr>
        <w:t xml:space="preserve">3 </w:t>
      </w:r>
      <w:r>
        <w:rPr>
          <w:rFonts w:ascii="仿宋" w:hAnsi="仿宋" w:eastAsia="仿宋" w:cs="仿宋"/>
          <w:spacing w:val="5"/>
          <w:sz w:val="25"/>
          <w:szCs w:val="25"/>
        </w:rPr>
        <w:t>。评价要求，矿山</w:t>
      </w:r>
      <w:r>
        <w:rPr>
          <w:rFonts w:ascii="仿宋" w:hAnsi="仿宋" w:eastAsia="仿宋" w:cs="仿宋"/>
          <w:sz w:val="25"/>
          <w:szCs w:val="25"/>
        </w:rPr>
        <w:t xml:space="preserve"> </w:t>
      </w:r>
      <w:r>
        <w:rPr>
          <w:rFonts w:ascii="仿宋" w:hAnsi="仿宋" w:eastAsia="仿宋" w:cs="仿宋"/>
          <w:spacing w:val="9"/>
          <w:sz w:val="25"/>
          <w:szCs w:val="25"/>
        </w:rPr>
        <w:t>企业废水应尽量实现综合利用，无法回用的废水必须处理达标后方可排放。</w:t>
      </w:r>
    </w:p>
    <w:p w14:paraId="160589A0">
      <w:pPr>
        <w:spacing w:before="119" w:line="228" w:lineRule="auto"/>
        <w:ind w:left="8"/>
        <w:outlineLvl w:val="2"/>
        <w:rPr>
          <w:rFonts w:ascii="仿宋" w:hAnsi="仿宋" w:eastAsia="仿宋" w:cs="仿宋"/>
          <w:sz w:val="25"/>
          <w:szCs w:val="25"/>
        </w:rPr>
      </w:pPr>
      <w:r>
        <w:rPr>
          <w:rFonts w:ascii="Times New Roman" w:hAnsi="Times New Roman" w:eastAsia="Times New Roman" w:cs="Times New Roman"/>
          <w:b/>
          <w:bCs/>
          <w:spacing w:val="3"/>
          <w:sz w:val="25"/>
          <w:szCs w:val="25"/>
        </w:rPr>
        <w:t>5.4.2</w:t>
      </w:r>
      <w:r>
        <w:rPr>
          <w:rFonts w:ascii="Times New Roman" w:hAnsi="Times New Roman" w:eastAsia="Times New Roman" w:cs="Times New Roman"/>
          <w:b/>
          <w:bCs/>
          <w:spacing w:val="29"/>
          <w:sz w:val="25"/>
          <w:szCs w:val="25"/>
        </w:rPr>
        <w:t xml:space="preserve"> </w:t>
      </w:r>
      <w:r>
        <w:rPr>
          <w:rFonts w:ascii="仿宋" w:hAnsi="仿宋" w:eastAsia="仿宋" w:cs="仿宋"/>
          <w:b/>
          <w:bCs/>
          <w:spacing w:val="3"/>
          <w:sz w:val="25"/>
          <w:szCs w:val="25"/>
        </w:rPr>
        <w:t>环境影响分析</w:t>
      </w:r>
    </w:p>
    <w:p w14:paraId="69FA729C">
      <w:pPr>
        <w:spacing w:before="268" w:line="340" w:lineRule="auto"/>
        <w:ind w:left="15" w:firstLine="485"/>
        <w:jc w:val="both"/>
        <w:rPr>
          <w:rFonts w:ascii="仿宋" w:hAnsi="仿宋" w:eastAsia="仿宋" w:cs="仿宋"/>
          <w:sz w:val="25"/>
          <w:szCs w:val="25"/>
        </w:rPr>
      </w:pPr>
      <w:r>
        <w:rPr>
          <w:rFonts w:ascii="仿宋" w:hAnsi="仿宋" w:eastAsia="仿宋" w:cs="仿宋"/>
          <w:spacing w:val="5"/>
          <w:sz w:val="25"/>
          <w:szCs w:val="25"/>
        </w:rPr>
        <w:t>污废水主要来源于勘查、开采、生活等过程。水污染物主要来自矿坑废水、</w:t>
      </w:r>
      <w:r>
        <w:rPr>
          <w:rFonts w:ascii="仿宋" w:hAnsi="仿宋" w:eastAsia="仿宋" w:cs="仿宋"/>
          <w:spacing w:val="9"/>
          <w:sz w:val="25"/>
          <w:szCs w:val="25"/>
        </w:rPr>
        <w:t xml:space="preserve"> </w:t>
      </w:r>
      <w:r>
        <w:rPr>
          <w:rFonts w:ascii="仿宋" w:hAnsi="仿宋" w:eastAsia="仿宋" w:cs="仿宋"/>
          <w:spacing w:val="10"/>
          <w:sz w:val="25"/>
          <w:szCs w:val="25"/>
        </w:rPr>
        <w:t>废石淋溶水、场区雨水、生活污水等。矿山</w:t>
      </w:r>
      <w:r>
        <w:rPr>
          <w:rFonts w:ascii="Times New Roman" w:hAnsi="Times New Roman" w:eastAsia="Times New Roman" w:cs="Times New Roman"/>
          <w:spacing w:val="10"/>
          <w:sz w:val="25"/>
          <w:szCs w:val="25"/>
        </w:rPr>
        <w:t>“</w:t>
      </w:r>
      <w:r>
        <w:rPr>
          <w:rFonts w:ascii="仿宋" w:hAnsi="仿宋" w:eastAsia="仿宋" w:cs="仿宋"/>
          <w:spacing w:val="10"/>
          <w:sz w:val="25"/>
          <w:szCs w:val="25"/>
        </w:rPr>
        <w:t>三废</w:t>
      </w:r>
      <w:r>
        <w:rPr>
          <w:rFonts w:ascii="Times New Roman" w:hAnsi="Times New Roman" w:eastAsia="Times New Roman" w:cs="Times New Roman"/>
          <w:spacing w:val="10"/>
          <w:sz w:val="25"/>
          <w:szCs w:val="25"/>
        </w:rPr>
        <w:t>”</w:t>
      </w:r>
      <w:r>
        <w:rPr>
          <w:rFonts w:ascii="仿宋" w:hAnsi="仿宋" w:eastAsia="仿宋" w:cs="仿宋"/>
          <w:spacing w:val="10"/>
          <w:sz w:val="25"/>
          <w:szCs w:val="25"/>
        </w:rPr>
        <w:t>排放可能导致地表水、地下</w:t>
      </w:r>
      <w:r>
        <w:rPr>
          <w:rFonts w:ascii="仿宋" w:hAnsi="仿宋" w:eastAsia="仿宋" w:cs="仿宋"/>
          <w:spacing w:val="4"/>
          <w:sz w:val="25"/>
          <w:szCs w:val="25"/>
        </w:rPr>
        <w:t xml:space="preserve"> </w:t>
      </w:r>
      <w:r>
        <w:rPr>
          <w:rFonts w:ascii="仿宋" w:hAnsi="仿宋" w:eastAsia="仿宋" w:cs="仿宋"/>
          <w:spacing w:val="8"/>
          <w:sz w:val="25"/>
          <w:szCs w:val="25"/>
        </w:rPr>
        <w:t>水和土壤污染，影响矿区工农业生产用水和人居饮水。</w:t>
      </w:r>
    </w:p>
    <w:p w14:paraId="1D60E95C">
      <w:pPr>
        <w:spacing w:before="1" w:line="229" w:lineRule="auto"/>
        <w:ind w:left="541"/>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1</w:t>
      </w:r>
      <w:r>
        <w:rPr>
          <w:rFonts w:ascii="仿宋" w:hAnsi="仿宋" w:eastAsia="仿宋" w:cs="仿宋"/>
          <w:spacing w:val="7"/>
          <w:sz w:val="25"/>
          <w:szCs w:val="25"/>
        </w:rPr>
        <w:t>）矿山建设期废水</w:t>
      </w:r>
    </w:p>
    <w:p w14:paraId="11D2D36C">
      <w:pPr>
        <w:spacing w:before="147" w:line="340" w:lineRule="auto"/>
        <w:ind w:left="18" w:right="88" w:firstLine="518"/>
        <w:rPr>
          <w:rFonts w:ascii="仿宋" w:hAnsi="仿宋" w:eastAsia="仿宋" w:cs="仿宋"/>
          <w:sz w:val="25"/>
          <w:szCs w:val="25"/>
        </w:rPr>
      </w:pPr>
      <w:r>
        <w:rPr>
          <w:rFonts w:ascii="仿宋" w:hAnsi="仿宋" w:eastAsia="仿宋" w:cs="仿宋"/>
          <w:spacing w:val="8"/>
          <w:sz w:val="25"/>
          <w:szCs w:val="25"/>
        </w:rPr>
        <w:t>矿山建设期主要是含</w:t>
      </w:r>
      <w:r>
        <w:rPr>
          <w:rFonts w:ascii="仿宋" w:hAnsi="仿宋" w:eastAsia="仿宋" w:cs="仿宋"/>
          <w:spacing w:val="-26"/>
          <w:sz w:val="25"/>
          <w:szCs w:val="25"/>
        </w:rPr>
        <w:t xml:space="preserve"> </w:t>
      </w:r>
      <w:r>
        <w:rPr>
          <w:rFonts w:ascii="Times New Roman" w:hAnsi="Times New Roman" w:eastAsia="Times New Roman" w:cs="Times New Roman"/>
          <w:sz w:val="25"/>
          <w:szCs w:val="25"/>
        </w:rPr>
        <w:t>SS</w:t>
      </w:r>
      <w:r>
        <w:rPr>
          <w:rFonts w:ascii="Times New Roman" w:hAnsi="Times New Roman" w:eastAsia="Times New Roman" w:cs="Times New Roman"/>
          <w:spacing w:val="19"/>
          <w:sz w:val="25"/>
          <w:szCs w:val="25"/>
        </w:rPr>
        <w:t xml:space="preserve"> </w:t>
      </w:r>
      <w:r>
        <w:rPr>
          <w:rFonts w:ascii="仿宋" w:hAnsi="仿宋" w:eastAsia="仿宋" w:cs="仿宋"/>
          <w:spacing w:val="8"/>
          <w:sz w:val="25"/>
          <w:szCs w:val="25"/>
        </w:rPr>
        <w:t>施工废水和场地冲洗废水、机械清洗含油废水及</w:t>
      </w:r>
      <w:r>
        <w:rPr>
          <w:rFonts w:ascii="仿宋" w:hAnsi="仿宋" w:eastAsia="仿宋" w:cs="仿宋"/>
          <w:sz w:val="25"/>
          <w:szCs w:val="25"/>
        </w:rPr>
        <w:t xml:space="preserve"> </w:t>
      </w:r>
      <w:r>
        <w:rPr>
          <w:rFonts w:ascii="仿宋" w:hAnsi="仿宋" w:eastAsia="仿宋" w:cs="仿宋"/>
          <w:spacing w:val="9"/>
          <w:sz w:val="25"/>
          <w:szCs w:val="25"/>
        </w:rPr>
        <w:t>生活污水。施工废水经沉淀处理，场地冲洗废水、机械清洗含油废水沉淀、隔</w:t>
      </w:r>
      <w:r>
        <w:rPr>
          <w:rFonts w:ascii="仿宋" w:hAnsi="仿宋" w:eastAsia="仿宋" w:cs="仿宋"/>
          <w:spacing w:val="12"/>
          <w:sz w:val="25"/>
          <w:szCs w:val="25"/>
        </w:rPr>
        <w:t xml:space="preserve"> </w:t>
      </w:r>
      <w:r>
        <w:rPr>
          <w:rFonts w:ascii="仿宋" w:hAnsi="仿宋" w:eastAsia="仿宋" w:cs="仿宋"/>
          <w:spacing w:val="9"/>
          <w:sz w:val="25"/>
          <w:szCs w:val="25"/>
        </w:rPr>
        <w:t>油处理后，可全部回用于施工、机械清洗或场地及道路洒水降尘；现场设置施</w:t>
      </w:r>
      <w:r>
        <w:rPr>
          <w:rFonts w:ascii="仿宋" w:hAnsi="仿宋" w:eastAsia="仿宋" w:cs="仿宋"/>
          <w:spacing w:val="12"/>
          <w:sz w:val="25"/>
          <w:szCs w:val="25"/>
        </w:rPr>
        <w:t xml:space="preserve"> </w:t>
      </w:r>
      <w:r>
        <w:rPr>
          <w:rFonts w:ascii="仿宋" w:hAnsi="仿宋" w:eastAsia="仿宋" w:cs="仿宋"/>
          <w:spacing w:val="9"/>
          <w:sz w:val="25"/>
          <w:szCs w:val="25"/>
        </w:rPr>
        <w:t>工营地时将产生生活污水，污水经生化池处理后可用于周边旱地作农肥，对地</w:t>
      </w:r>
      <w:r>
        <w:rPr>
          <w:rFonts w:ascii="仿宋" w:hAnsi="仿宋" w:eastAsia="仿宋" w:cs="仿宋"/>
          <w:spacing w:val="12"/>
          <w:sz w:val="25"/>
          <w:szCs w:val="25"/>
        </w:rPr>
        <w:t xml:space="preserve"> </w:t>
      </w:r>
      <w:r>
        <w:rPr>
          <w:rFonts w:ascii="仿宋" w:hAnsi="仿宋" w:eastAsia="仿宋" w:cs="仿宋"/>
          <w:spacing w:val="6"/>
          <w:sz w:val="25"/>
          <w:szCs w:val="25"/>
        </w:rPr>
        <w:t>表水环境影响小。</w:t>
      </w:r>
    </w:p>
    <w:p w14:paraId="47371BE5">
      <w:pPr>
        <w:spacing w:before="1" w:line="229" w:lineRule="auto"/>
        <w:ind w:left="500"/>
        <w:rPr>
          <w:rFonts w:ascii="仿宋" w:hAnsi="仿宋" w:eastAsia="仿宋" w:cs="仿宋"/>
          <w:sz w:val="25"/>
          <w:szCs w:val="25"/>
        </w:rPr>
      </w:pPr>
      <w:r>
        <w:rPr>
          <w:rFonts w:ascii="仿宋" w:hAnsi="仿宋" w:eastAsia="仿宋" w:cs="仿宋"/>
          <w:spacing w:val="6"/>
          <w:sz w:val="25"/>
          <w:szCs w:val="25"/>
        </w:rPr>
        <w:t>（</w:t>
      </w:r>
      <w:r>
        <w:rPr>
          <w:rFonts w:ascii="Times New Roman" w:hAnsi="Times New Roman" w:eastAsia="Times New Roman" w:cs="Times New Roman"/>
          <w:spacing w:val="6"/>
          <w:sz w:val="25"/>
          <w:szCs w:val="25"/>
        </w:rPr>
        <w:t>2</w:t>
      </w:r>
      <w:r>
        <w:rPr>
          <w:rFonts w:ascii="仿宋" w:hAnsi="仿宋" w:eastAsia="仿宋" w:cs="仿宋"/>
          <w:spacing w:val="6"/>
          <w:sz w:val="25"/>
          <w:szCs w:val="25"/>
        </w:rPr>
        <w:t>）生产废水</w:t>
      </w:r>
    </w:p>
    <w:p w14:paraId="3E71D5FF">
      <w:pPr>
        <w:spacing w:before="150" w:line="339" w:lineRule="auto"/>
        <w:ind w:left="13" w:right="83" w:firstLine="490"/>
        <w:rPr>
          <w:rFonts w:ascii="仿宋" w:hAnsi="仿宋" w:eastAsia="仿宋" w:cs="仿宋"/>
          <w:sz w:val="25"/>
          <w:szCs w:val="25"/>
        </w:rPr>
      </w:pPr>
      <w:r>
        <w:rPr>
          <w:rFonts w:ascii="仿宋" w:hAnsi="仿宋" w:eastAsia="仿宋" w:cs="仿宋"/>
          <w:spacing w:val="12"/>
          <w:sz w:val="25"/>
          <w:szCs w:val="25"/>
        </w:rPr>
        <w:t>露天矿山开采过程采用</w:t>
      </w:r>
      <w:r>
        <w:rPr>
          <w:rFonts w:ascii="Times New Roman" w:hAnsi="Times New Roman" w:eastAsia="Times New Roman" w:cs="Times New Roman"/>
          <w:spacing w:val="12"/>
          <w:sz w:val="25"/>
          <w:szCs w:val="25"/>
        </w:rPr>
        <w:t>“</w:t>
      </w:r>
      <w:r>
        <w:rPr>
          <w:rFonts w:ascii="仿宋" w:hAnsi="仿宋" w:eastAsia="仿宋" w:cs="仿宋"/>
          <w:spacing w:val="12"/>
          <w:sz w:val="25"/>
          <w:szCs w:val="25"/>
        </w:rPr>
        <w:t>爆破</w:t>
      </w:r>
      <w:r>
        <w:rPr>
          <w:rFonts w:ascii="Times New Roman" w:hAnsi="Times New Roman" w:eastAsia="Times New Roman" w:cs="Times New Roman"/>
          <w:spacing w:val="12"/>
          <w:sz w:val="25"/>
          <w:szCs w:val="25"/>
        </w:rPr>
        <w:t>”</w:t>
      </w:r>
      <w:r>
        <w:rPr>
          <w:rFonts w:ascii="仿宋" w:hAnsi="仿宋" w:eastAsia="仿宋" w:cs="仿宋"/>
          <w:spacing w:val="12"/>
          <w:sz w:val="25"/>
          <w:szCs w:val="25"/>
        </w:rPr>
        <w:t>加</w:t>
      </w:r>
      <w:r>
        <w:rPr>
          <w:rFonts w:ascii="Times New Roman" w:hAnsi="Times New Roman" w:eastAsia="Times New Roman" w:cs="Times New Roman"/>
          <w:spacing w:val="12"/>
          <w:sz w:val="25"/>
          <w:szCs w:val="25"/>
        </w:rPr>
        <w:t>“</w:t>
      </w:r>
      <w:r>
        <w:rPr>
          <w:rFonts w:ascii="仿宋" w:hAnsi="仿宋" w:eastAsia="仿宋" w:cs="仿宋"/>
          <w:spacing w:val="12"/>
          <w:sz w:val="25"/>
          <w:szCs w:val="25"/>
        </w:rPr>
        <w:t>挖掘</w:t>
      </w:r>
      <w:r>
        <w:rPr>
          <w:rFonts w:ascii="Times New Roman" w:hAnsi="Times New Roman" w:eastAsia="Times New Roman" w:cs="Times New Roman"/>
          <w:spacing w:val="12"/>
          <w:sz w:val="25"/>
          <w:szCs w:val="25"/>
        </w:rPr>
        <w:t>”</w:t>
      </w:r>
      <w:r>
        <w:rPr>
          <w:rFonts w:ascii="仿宋" w:hAnsi="仿宋" w:eastAsia="仿宋" w:cs="仿宋"/>
          <w:spacing w:val="12"/>
          <w:sz w:val="25"/>
          <w:szCs w:val="25"/>
        </w:rPr>
        <w:t>的</w:t>
      </w:r>
      <w:r>
        <w:rPr>
          <w:rFonts w:ascii="仿宋" w:hAnsi="仿宋" w:eastAsia="仿宋" w:cs="仿宋"/>
          <w:spacing w:val="11"/>
          <w:sz w:val="25"/>
          <w:szCs w:val="25"/>
        </w:rPr>
        <w:t>方式进行，矿石大多直接外销，</w:t>
      </w:r>
      <w:r>
        <w:rPr>
          <w:rFonts w:ascii="仿宋" w:hAnsi="仿宋" w:eastAsia="仿宋" w:cs="仿宋"/>
          <w:sz w:val="25"/>
          <w:szCs w:val="25"/>
        </w:rPr>
        <w:t xml:space="preserve"> </w:t>
      </w:r>
      <w:r>
        <w:rPr>
          <w:rFonts w:ascii="仿宋" w:hAnsi="仿宋" w:eastAsia="仿宋" w:cs="仿宋"/>
          <w:spacing w:val="10"/>
          <w:sz w:val="25"/>
          <w:szCs w:val="25"/>
        </w:rPr>
        <w:t>排土及少量废石运入废石场。采矿过程所产生的废</w:t>
      </w:r>
      <w:r>
        <w:rPr>
          <w:rFonts w:ascii="仿宋" w:hAnsi="仿宋" w:eastAsia="仿宋" w:cs="仿宋"/>
          <w:spacing w:val="9"/>
          <w:sz w:val="25"/>
          <w:szCs w:val="25"/>
        </w:rPr>
        <w:t>水主要是降雨产生的地表径</w:t>
      </w:r>
      <w:r>
        <w:rPr>
          <w:rFonts w:ascii="仿宋" w:hAnsi="仿宋" w:eastAsia="仿宋" w:cs="仿宋"/>
          <w:sz w:val="25"/>
          <w:szCs w:val="25"/>
        </w:rPr>
        <w:t xml:space="preserve"> </w:t>
      </w:r>
      <w:r>
        <w:rPr>
          <w:rFonts w:ascii="仿宋" w:hAnsi="仿宋" w:eastAsia="仿宋" w:cs="仿宋"/>
          <w:spacing w:val="10"/>
          <w:sz w:val="25"/>
          <w:szCs w:val="25"/>
        </w:rPr>
        <w:t>流，沉淀池收集后用于采区洒水降尘。废石堆场淋</w:t>
      </w:r>
      <w:r>
        <w:rPr>
          <w:rFonts w:ascii="仿宋" w:hAnsi="仿宋" w:eastAsia="仿宋" w:cs="仿宋"/>
          <w:spacing w:val="9"/>
          <w:sz w:val="25"/>
          <w:szCs w:val="25"/>
        </w:rPr>
        <w:t>溶水经沉淀处理后可用于洒</w:t>
      </w:r>
    </w:p>
    <w:p w14:paraId="34585E52">
      <w:pPr>
        <w:spacing w:line="339" w:lineRule="auto"/>
        <w:rPr>
          <w:rFonts w:ascii="仿宋" w:hAnsi="仿宋" w:eastAsia="仿宋" w:cs="仿宋"/>
          <w:sz w:val="25"/>
          <w:szCs w:val="25"/>
        </w:rPr>
        <w:sectPr>
          <w:headerReference r:id="rId200" w:type="default"/>
          <w:footerReference r:id="rId201" w:type="default"/>
          <w:pgSz w:w="11906" w:h="16839"/>
          <w:pgMar w:top="1116" w:right="1392" w:bottom="866" w:left="1587" w:header="683" w:footer="703" w:gutter="0"/>
          <w:cols w:space="720" w:num="1"/>
        </w:sectPr>
      </w:pPr>
    </w:p>
    <w:p w14:paraId="41E9EB76">
      <w:pPr>
        <w:pStyle w:val="2"/>
        <w:spacing w:line="384" w:lineRule="auto"/>
      </w:pPr>
    </w:p>
    <w:p w14:paraId="26C8EE78">
      <w:pPr>
        <w:spacing w:before="81" w:line="339" w:lineRule="auto"/>
        <w:ind w:left="15"/>
        <w:jc w:val="both"/>
        <w:rPr>
          <w:rFonts w:ascii="仿宋" w:hAnsi="仿宋" w:eastAsia="仿宋" w:cs="仿宋"/>
          <w:sz w:val="25"/>
          <w:szCs w:val="25"/>
        </w:rPr>
      </w:pPr>
      <w:r>
        <w:rPr>
          <w:rFonts w:ascii="仿宋" w:hAnsi="仿宋" w:eastAsia="仿宋" w:cs="仿宋"/>
          <w:spacing w:val="8"/>
          <w:sz w:val="25"/>
          <w:szCs w:val="25"/>
        </w:rPr>
        <w:t>水降尘等，实现资源化综合利用。</w:t>
      </w:r>
      <w:r>
        <w:rPr>
          <w:rFonts w:ascii="Times New Roman" w:hAnsi="Times New Roman" w:eastAsia="Times New Roman" w:cs="Times New Roman"/>
          <w:sz w:val="25"/>
          <w:szCs w:val="25"/>
        </w:rPr>
        <w:t>CQ</w:t>
      </w:r>
      <w:r>
        <w:rPr>
          <w:rFonts w:ascii="Times New Roman" w:hAnsi="Times New Roman" w:eastAsia="Times New Roman" w:cs="Times New Roman"/>
          <w:spacing w:val="8"/>
          <w:sz w:val="25"/>
          <w:szCs w:val="25"/>
        </w:rPr>
        <w:t>029</w:t>
      </w:r>
      <w:r>
        <w:rPr>
          <w:rFonts w:ascii="Times New Roman" w:hAnsi="Times New Roman" w:eastAsia="Times New Roman" w:cs="Times New Roman"/>
          <w:spacing w:val="23"/>
          <w:sz w:val="25"/>
          <w:szCs w:val="25"/>
        </w:rPr>
        <w:t xml:space="preserve"> </w:t>
      </w:r>
      <w:r>
        <w:rPr>
          <w:rFonts w:ascii="仿宋" w:hAnsi="仿宋" w:eastAsia="仿宋" w:cs="仿宋"/>
          <w:spacing w:val="8"/>
          <w:sz w:val="25"/>
          <w:szCs w:val="25"/>
        </w:rPr>
        <w:t>饰面用灰岩在切割时需要用</w:t>
      </w:r>
      <w:r>
        <w:rPr>
          <w:rFonts w:ascii="仿宋" w:hAnsi="仿宋" w:eastAsia="仿宋" w:cs="仿宋"/>
          <w:spacing w:val="7"/>
          <w:sz w:val="25"/>
          <w:szCs w:val="25"/>
        </w:rPr>
        <w:t>水冷却锯</w:t>
      </w:r>
      <w:r>
        <w:rPr>
          <w:rFonts w:ascii="仿宋" w:hAnsi="仿宋" w:eastAsia="仿宋" w:cs="仿宋"/>
          <w:sz w:val="25"/>
          <w:szCs w:val="25"/>
        </w:rPr>
        <w:t xml:space="preserve">  </w:t>
      </w:r>
      <w:r>
        <w:rPr>
          <w:rFonts w:ascii="仿宋" w:hAnsi="仿宋" w:eastAsia="仿宋" w:cs="仿宋"/>
          <w:spacing w:val="8"/>
          <w:sz w:val="25"/>
          <w:szCs w:val="25"/>
        </w:rPr>
        <w:t>片，会产生大量含泥浆的废水，</w:t>
      </w:r>
      <w:r>
        <w:rPr>
          <w:rFonts w:ascii="Times New Roman" w:hAnsi="Times New Roman" w:eastAsia="Times New Roman" w:cs="Times New Roman"/>
          <w:sz w:val="25"/>
          <w:szCs w:val="25"/>
        </w:rPr>
        <w:t>CQ</w:t>
      </w:r>
      <w:r>
        <w:rPr>
          <w:rFonts w:ascii="Times New Roman" w:hAnsi="Times New Roman" w:eastAsia="Times New Roman" w:cs="Times New Roman"/>
          <w:spacing w:val="8"/>
          <w:sz w:val="25"/>
          <w:szCs w:val="25"/>
        </w:rPr>
        <w:t>029</w:t>
      </w:r>
      <w:r>
        <w:rPr>
          <w:rFonts w:ascii="Times New Roman" w:hAnsi="Times New Roman" w:eastAsia="Times New Roman" w:cs="Times New Roman"/>
          <w:spacing w:val="23"/>
          <w:w w:val="101"/>
          <w:sz w:val="25"/>
          <w:szCs w:val="25"/>
        </w:rPr>
        <w:t xml:space="preserve"> </w:t>
      </w:r>
      <w:r>
        <w:rPr>
          <w:rFonts w:ascii="仿宋" w:hAnsi="仿宋" w:eastAsia="仿宋" w:cs="仿宋"/>
          <w:spacing w:val="8"/>
          <w:sz w:val="25"/>
          <w:szCs w:val="25"/>
        </w:rPr>
        <w:t>地处陡坡，山脚下存在一个</w:t>
      </w:r>
      <w:r>
        <w:rPr>
          <w:rFonts w:ascii="仿宋" w:hAnsi="仿宋" w:eastAsia="仿宋" w:cs="仿宋"/>
          <w:spacing w:val="7"/>
          <w:sz w:val="25"/>
          <w:szCs w:val="25"/>
        </w:rPr>
        <w:t>山坪塘，为</w:t>
      </w:r>
      <w:r>
        <w:rPr>
          <w:rFonts w:ascii="仿宋" w:hAnsi="仿宋" w:eastAsia="仿宋" w:cs="仿宋"/>
          <w:sz w:val="25"/>
          <w:szCs w:val="25"/>
        </w:rPr>
        <w:t xml:space="preserve">  </w:t>
      </w:r>
      <w:r>
        <w:rPr>
          <w:rFonts w:ascii="仿宋" w:hAnsi="仿宋" w:eastAsia="仿宋" w:cs="仿宋"/>
          <w:spacing w:val="6"/>
          <w:sz w:val="25"/>
          <w:szCs w:val="25"/>
        </w:rPr>
        <w:t>减少生产废水对山坪塘的影响，评价建议</w:t>
      </w:r>
      <w:r>
        <w:rPr>
          <w:rFonts w:ascii="仿宋" w:hAnsi="仿宋" w:eastAsia="仿宋" w:cs="仿宋"/>
          <w:spacing w:val="-49"/>
          <w:sz w:val="25"/>
          <w:szCs w:val="25"/>
        </w:rPr>
        <w:t xml:space="preserve"> </w:t>
      </w:r>
      <w:r>
        <w:rPr>
          <w:rFonts w:ascii="Times New Roman" w:hAnsi="Times New Roman" w:eastAsia="Times New Roman" w:cs="Times New Roman"/>
          <w:sz w:val="25"/>
          <w:szCs w:val="25"/>
        </w:rPr>
        <w:t>CQ</w:t>
      </w:r>
      <w:r>
        <w:rPr>
          <w:rFonts w:ascii="Times New Roman" w:hAnsi="Times New Roman" w:eastAsia="Times New Roman" w:cs="Times New Roman"/>
          <w:spacing w:val="6"/>
          <w:sz w:val="25"/>
          <w:szCs w:val="25"/>
        </w:rPr>
        <w:t>02</w:t>
      </w:r>
      <w:r>
        <w:rPr>
          <w:rFonts w:ascii="Times New Roman" w:hAnsi="Times New Roman" w:eastAsia="Times New Roman" w:cs="Times New Roman"/>
          <w:spacing w:val="5"/>
          <w:sz w:val="25"/>
          <w:szCs w:val="25"/>
        </w:rPr>
        <w:t>9</w:t>
      </w:r>
      <w:r>
        <w:rPr>
          <w:rFonts w:ascii="Times New Roman" w:hAnsi="Times New Roman" w:eastAsia="Times New Roman" w:cs="Times New Roman"/>
          <w:spacing w:val="24"/>
          <w:w w:val="101"/>
          <w:sz w:val="25"/>
          <w:szCs w:val="25"/>
        </w:rPr>
        <w:t xml:space="preserve"> </w:t>
      </w:r>
      <w:r>
        <w:rPr>
          <w:rFonts w:ascii="仿宋" w:hAnsi="仿宋" w:eastAsia="仿宋" w:cs="仿宋"/>
          <w:spacing w:val="5"/>
          <w:sz w:val="25"/>
          <w:szCs w:val="25"/>
        </w:rPr>
        <w:t>在开采区、工业广场四周修建</w:t>
      </w:r>
      <w:r>
        <w:rPr>
          <w:rFonts w:ascii="仿宋" w:hAnsi="仿宋" w:eastAsia="仿宋" w:cs="仿宋"/>
          <w:sz w:val="25"/>
          <w:szCs w:val="25"/>
        </w:rPr>
        <w:t xml:space="preserve">  </w:t>
      </w:r>
      <w:r>
        <w:rPr>
          <w:rFonts w:ascii="仿宋" w:hAnsi="仿宋" w:eastAsia="仿宋" w:cs="仿宋"/>
          <w:spacing w:val="5"/>
          <w:sz w:val="25"/>
          <w:szCs w:val="25"/>
        </w:rPr>
        <w:t>截排水沟，实行雨污分流，场区内雨水集中收集经沉淀处理后用于洒水（喷雾）</w:t>
      </w:r>
      <w:r>
        <w:rPr>
          <w:rFonts w:ascii="仿宋" w:hAnsi="仿宋" w:eastAsia="仿宋" w:cs="仿宋"/>
          <w:spacing w:val="8"/>
          <w:sz w:val="25"/>
          <w:szCs w:val="25"/>
        </w:rPr>
        <w:t xml:space="preserve"> 降尘，不排放，生产废水集中收集沉淀池处理后回用，严禁外排。</w:t>
      </w:r>
      <w:r>
        <w:rPr>
          <w:rFonts w:ascii="仿宋" w:hAnsi="仿宋" w:eastAsia="仿宋" w:cs="仿宋"/>
          <w:spacing w:val="-69"/>
          <w:sz w:val="25"/>
          <w:szCs w:val="25"/>
        </w:rPr>
        <w:t xml:space="preserve"> </w:t>
      </w:r>
      <w:r>
        <w:rPr>
          <w:rFonts w:ascii="仿宋" w:hAnsi="仿宋" w:eastAsia="仿宋" w:cs="仿宋"/>
          <w:spacing w:val="8"/>
          <w:sz w:val="25"/>
          <w:szCs w:val="25"/>
        </w:rPr>
        <w:t>因此，露天</w:t>
      </w:r>
      <w:r>
        <w:rPr>
          <w:rFonts w:ascii="仿宋" w:hAnsi="仿宋" w:eastAsia="仿宋" w:cs="仿宋"/>
          <w:sz w:val="25"/>
          <w:szCs w:val="25"/>
        </w:rPr>
        <w:t xml:space="preserve">  </w:t>
      </w:r>
      <w:r>
        <w:rPr>
          <w:rFonts w:ascii="仿宋" w:hAnsi="仿宋" w:eastAsia="仿宋" w:cs="仿宋"/>
          <w:spacing w:val="8"/>
          <w:sz w:val="25"/>
          <w:szCs w:val="25"/>
        </w:rPr>
        <w:t>开采对地表水产生的环境影响很小。</w:t>
      </w:r>
    </w:p>
    <w:p w14:paraId="33E47D18">
      <w:pPr>
        <w:spacing w:before="6" w:line="340" w:lineRule="auto"/>
        <w:ind w:left="15" w:right="108" w:firstLine="481"/>
        <w:jc w:val="both"/>
        <w:rPr>
          <w:rFonts w:ascii="仿宋" w:hAnsi="仿宋" w:eastAsia="仿宋" w:cs="仿宋"/>
          <w:sz w:val="25"/>
          <w:szCs w:val="25"/>
        </w:rPr>
      </w:pPr>
      <w:r>
        <w:rPr>
          <w:rFonts w:ascii="仿宋" w:hAnsi="仿宋" w:eastAsia="仿宋" w:cs="仿宋"/>
          <w:spacing w:val="11"/>
          <w:sz w:val="25"/>
          <w:szCs w:val="25"/>
        </w:rPr>
        <w:t>地下开采（铸型用砂岩、铝土矿）一般采用平硐暗斜井</w:t>
      </w:r>
      <w:r>
        <w:rPr>
          <w:rFonts w:ascii="仿宋" w:hAnsi="仿宋" w:eastAsia="仿宋" w:cs="仿宋"/>
          <w:spacing w:val="10"/>
          <w:sz w:val="25"/>
          <w:szCs w:val="25"/>
        </w:rPr>
        <w:t>开拓或竖井开拓，</w:t>
      </w:r>
      <w:r>
        <w:rPr>
          <w:rFonts w:ascii="仿宋" w:hAnsi="仿宋" w:eastAsia="仿宋" w:cs="仿宋"/>
          <w:sz w:val="25"/>
          <w:szCs w:val="25"/>
        </w:rPr>
        <w:t xml:space="preserve"> </w:t>
      </w:r>
      <w:r>
        <w:rPr>
          <w:rFonts w:ascii="仿宋" w:hAnsi="仿宋" w:eastAsia="仿宋" w:cs="仿宋"/>
          <w:spacing w:val="8"/>
          <w:sz w:val="25"/>
          <w:szCs w:val="25"/>
        </w:rPr>
        <w:t>矿石破碎筛分后直接外售，</w:t>
      </w:r>
      <w:r>
        <w:rPr>
          <w:rFonts w:ascii="仿宋" w:hAnsi="仿宋" w:eastAsia="仿宋" w:cs="仿宋"/>
          <w:spacing w:val="-71"/>
          <w:sz w:val="25"/>
          <w:szCs w:val="25"/>
        </w:rPr>
        <w:t xml:space="preserve"> </w:t>
      </w:r>
      <w:r>
        <w:rPr>
          <w:rFonts w:ascii="仿宋" w:hAnsi="仿宋" w:eastAsia="仿宋" w:cs="仿宋"/>
          <w:spacing w:val="8"/>
          <w:sz w:val="25"/>
          <w:szCs w:val="25"/>
        </w:rPr>
        <w:t>出井废石综合利用或送往露天废石场排弃，采矿过</w:t>
      </w:r>
      <w:r>
        <w:rPr>
          <w:rFonts w:ascii="仿宋" w:hAnsi="仿宋" w:eastAsia="仿宋" w:cs="仿宋"/>
          <w:sz w:val="25"/>
          <w:szCs w:val="25"/>
        </w:rPr>
        <w:t xml:space="preserve"> </w:t>
      </w:r>
      <w:r>
        <w:rPr>
          <w:rFonts w:ascii="仿宋" w:hAnsi="仿宋" w:eastAsia="仿宋" w:cs="仿宋"/>
          <w:spacing w:val="10"/>
          <w:sz w:val="25"/>
          <w:szCs w:val="25"/>
        </w:rPr>
        <w:t>程中产生的废水主要为矿井涌水，矿井水经处</w:t>
      </w:r>
      <w:r>
        <w:rPr>
          <w:rFonts w:ascii="仿宋" w:hAnsi="仿宋" w:eastAsia="仿宋" w:cs="仿宋"/>
          <w:spacing w:val="9"/>
          <w:sz w:val="25"/>
          <w:szCs w:val="25"/>
        </w:rPr>
        <w:t>理后用于洒水抑尘、绿化等综合</w:t>
      </w:r>
      <w:r>
        <w:rPr>
          <w:rFonts w:ascii="仿宋" w:hAnsi="仿宋" w:eastAsia="仿宋" w:cs="仿宋"/>
          <w:sz w:val="25"/>
          <w:szCs w:val="25"/>
        </w:rPr>
        <w:t xml:space="preserve"> </w:t>
      </w:r>
      <w:r>
        <w:rPr>
          <w:rFonts w:ascii="仿宋" w:hAnsi="仿宋" w:eastAsia="仿宋" w:cs="仿宋"/>
          <w:spacing w:val="8"/>
          <w:sz w:val="25"/>
          <w:szCs w:val="25"/>
        </w:rPr>
        <w:t>利用或达标排放，对地表水环境产生的影响很小。</w:t>
      </w:r>
    </w:p>
    <w:p w14:paraId="0E7C9AED">
      <w:pPr>
        <w:spacing w:before="1" w:line="229" w:lineRule="auto"/>
        <w:ind w:left="500"/>
        <w:rPr>
          <w:rFonts w:ascii="仿宋" w:hAnsi="仿宋" w:eastAsia="仿宋" w:cs="仿宋"/>
          <w:sz w:val="25"/>
          <w:szCs w:val="25"/>
        </w:rPr>
      </w:pPr>
      <w:r>
        <w:rPr>
          <w:rFonts w:ascii="仿宋" w:hAnsi="仿宋" w:eastAsia="仿宋" w:cs="仿宋"/>
          <w:spacing w:val="6"/>
          <w:sz w:val="25"/>
          <w:szCs w:val="25"/>
        </w:rPr>
        <w:t>（</w:t>
      </w:r>
      <w:r>
        <w:rPr>
          <w:rFonts w:ascii="Times New Roman" w:hAnsi="Times New Roman" w:eastAsia="Times New Roman" w:cs="Times New Roman"/>
          <w:spacing w:val="6"/>
          <w:sz w:val="25"/>
          <w:szCs w:val="25"/>
        </w:rPr>
        <w:t>3</w:t>
      </w:r>
      <w:r>
        <w:rPr>
          <w:rFonts w:ascii="仿宋" w:hAnsi="仿宋" w:eastAsia="仿宋" w:cs="仿宋"/>
          <w:spacing w:val="6"/>
          <w:sz w:val="25"/>
          <w:szCs w:val="25"/>
        </w:rPr>
        <w:t>）生活污水</w:t>
      </w:r>
    </w:p>
    <w:p w14:paraId="4608964A">
      <w:pPr>
        <w:spacing w:before="145" w:line="340" w:lineRule="auto"/>
        <w:ind w:left="16" w:right="108" w:firstLine="480"/>
        <w:rPr>
          <w:rFonts w:ascii="仿宋" w:hAnsi="仿宋" w:eastAsia="仿宋" w:cs="仿宋"/>
          <w:sz w:val="25"/>
          <w:szCs w:val="25"/>
        </w:rPr>
      </w:pPr>
      <w:r>
        <w:rPr>
          <w:rFonts w:ascii="仿宋" w:hAnsi="仿宋" w:eastAsia="仿宋" w:cs="仿宋"/>
          <w:spacing w:val="11"/>
          <w:sz w:val="25"/>
          <w:szCs w:val="25"/>
        </w:rPr>
        <w:t>矿山生活污水可经生化池处理后用于周边旱地作农肥，无</w:t>
      </w:r>
      <w:r>
        <w:rPr>
          <w:rFonts w:ascii="仿宋" w:hAnsi="仿宋" w:eastAsia="仿宋" w:cs="仿宋"/>
          <w:spacing w:val="10"/>
          <w:sz w:val="25"/>
          <w:szCs w:val="25"/>
        </w:rPr>
        <w:t>法利用的污水需</w:t>
      </w:r>
      <w:r>
        <w:rPr>
          <w:rFonts w:ascii="仿宋" w:hAnsi="仿宋" w:eastAsia="仿宋" w:cs="仿宋"/>
          <w:sz w:val="25"/>
          <w:szCs w:val="25"/>
        </w:rPr>
        <w:t xml:space="preserve"> </w:t>
      </w:r>
      <w:r>
        <w:rPr>
          <w:rFonts w:ascii="仿宋" w:hAnsi="仿宋" w:eastAsia="仿宋" w:cs="仿宋"/>
          <w:spacing w:val="10"/>
          <w:sz w:val="25"/>
          <w:szCs w:val="25"/>
        </w:rPr>
        <w:t>经处理达《污水综合排放标准》</w:t>
      </w:r>
      <w:r>
        <w:rPr>
          <w:rFonts w:ascii="仿宋" w:hAnsi="仿宋" w:eastAsia="仿宋" w:cs="仿宋"/>
          <w:spacing w:val="-100"/>
          <w:sz w:val="25"/>
          <w:szCs w:val="25"/>
        </w:rPr>
        <w:t xml:space="preserve"> </w:t>
      </w:r>
      <w:r>
        <w:rPr>
          <w:rFonts w:ascii="仿宋" w:hAnsi="仿宋" w:eastAsia="仿宋" w:cs="仿宋"/>
          <w:spacing w:val="10"/>
          <w:sz w:val="25"/>
          <w:szCs w:val="25"/>
        </w:rPr>
        <w:t>（</w:t>
      </w:r>
      <w:r>
        <w:rPr>
          <w:rFonts w:ascii="Times New Roman" w:hAnsi="Times New Roman" w:eastAsia="Times New Roman" w:cs="Times New Roman"/>
          <w:sz w:val="25"/>
          <w:szCs w:val="25"/>
        </w:rPr>
        <w:t>GB</w:t>
      </w:r>
      <w:r>
        <w:rPr>
          <w:rFonts w:ascii="Times New Roman" w:hAnsi="Times New Roman" w:eastAsia="Times New Roman" w:cs="Times New Roman"/>
          <w:spacing w:val="10"/>
          <w:sz w:val="25"/>
          <w:szCs w:val="25"/>
        </w:rPr>
        <w:t>8978-1996</w:t>
      </w:r>
      <w:r>
        <w:rPr>
          <w:rFonts w:ascii="仿宋" w:hAnsi="仿宋" w:eastAsia="仿宋" w:cs="仿宋"/>
          <w:spacing w:val="10"/>
          <w:sz w:val="25"/>
          <w:szCs w:val="25"/>
        </w:rPr>
        <w:t>）一级标准后方可排放，对环</w:t>
      </w:r>
      <w:r>
        <w:rPr>
          <w:rFonts w:ascii="仿宋" w:hAnsi="仿宋" w:eastAsia="仿宋" w:cs="仿宋"/>
          <w:sz w:val="25"/>
          <w:szCs w:val="25"/>
        </w:rPr>
        <w:t xml:space="preserve"> </w:t>
      </w:r>
      <w:r>
        <w:rPr>
          <w:rFonts w:ascii="仿宋" w:hAnsi="仿宋" w:eastAsia="仿宋" w:cs="仿宋"/>
          <w:spacing w:val="4"/>
          <w:sz w:val="25"/>
          <w:szCs w:val="25"/>
        </w:rPr>
        <w:t>境影响小。</w:t>
      </w:r>
    </w:p>
    <w:p w14:paraId="71700A45">
      <w:pPr>
        <w:spacing w:line="340" w:lineRule="auto"/>
        <w:ind w:left="17" w:right="36" w:firstLine="490"/>
        <w:jc w:val="both"/>
        <w:rPr>
          <w:rFonts w:ascii="仿宋" w:hAnsi="仿宋" w:eastAsia="仿宋" w:cs="仿宋"/>
          <w:sz w:val="25"/>
          <w:szCs w:val="25"/>
        </w:rPr>
      </w:pPr>
      <w:r>
        <w:rPr>
          <w:rFonts w:ascii="仿宋" w:hAnsi="仿宋" w:eastAsia="仿宋" w:cs="仿宋"/>
          <w:spacing w:val="5"/>
          <w:sz w:val="25"/>
          <w:szCs w:val="25"/>
        </w:rPr>
        <w:t>总体上来说，矿山排水水质较为简单，正常情况下对地</w:t>
      </w:r>
      <w:r>
        <w:rPr>
          <w:rFonts w:ascii="仿宋" w:hAnsi="仿宋" w:eastAsia="仿宋" w:cs="仿宋"/>
          <w:spacing w:val="4"/>
          <w:sz w:val="25"/>
          <w:szCs w:val="25"/>
        </w:rPr>
        <w:t>表水环境影响较小，</w:t>
      </w:r>
      <w:r>
        <w:rPr>
          <w:rFonts w:ascii="仿宋" w:hAnsi="仿宋" w:eastAsia="仿宋" w:cs="仿宋"/>
          <w:sz w:val="25"/>
          <w:szCs w:val="25"/>
        </w:rPr>
        <w:t xml:space="preserve"> </w:t>
      </w:r>
      <w:r>
        <w:rPr>
          <w:rFonts w:ascii="仿宋" w:hAnsi="仿宋" w:eastAsia="仿宋" w:cs="仿宋"/>
          <w:spacing w:val="9"/>
          <w:sz w:val="25"/>
          <w:szCs w:val="25"/>
        </w:rPr>
        <w:t>控制矿产资源勘查开发对地表水环境影响的关键是加强监督管理，落实各项环</w:t>
      </w:r>
      <w:r>
        <w:rPr>
          <w:rFonts w:ascii="仿宋" w:hAnsi="仿宋" w:eastAsia="仿宋" w:cs="仿宋"/>
          <w:spacing w:val="18"/>
          <w:sz w:val="25"/>
          <w:szCs w:val="25"/>
        </w:rPr>
        <w:t xml:space="preserve"> </w:t>
      </w:r>
      <w:r>
        <w:rPr>
          <w:rFonts w:ascii="仿宋" w:hAnsi="仿宋" w:eastAsia="仿宋" w:cs="仿宋"/>
          <w:spacing w:val="9"/>
          <w:sz w:val="25"/>
          <w:szCs w:val="25"/>
        </w:rPr>
        <w:t>保措施，避免偷排、乱排、超标排放和事故排放；对地表水环境影响小。</w:t>
      </w:r>
    </w:p>
    <w:p w14:paraId="4D70EFD5">
      <w:pPr>
        <w:spacing w:before="13" w:line="228" w:lineRule="auto"/>
        <w:ind w:left="8"/>
        <w:outlineLvl w:val="1"/>
        <w:rPr>
          <w:rFonts w:ascii="仿宋" w:hAnsi="仿宋" w:eastAsia="仿宋" w:cs="仿宋"/>
          <w:sz w:val="25"/>
          <w:szCs w:val="25"/>
        </w:rPr>
      </w:pPr>
      <w:bookmarkStart w:id="31" w:name="bookmark27"/>
      <w:bookmarkEnd w:id="31"/>
      <w:r>
        <w:rPr>
          <w:rFonts w:ascii="Times New Roman" w:hAnsi="Times New Roman" w:eastAsia="Times New Roman" w:cs="Times New Roman"/>
          <w:b/>
          <w:bCs/>
          <w:spacing w:val="4"/>
          <w:sz w:val="25"/>
          <w:szCs w:val="25"/>
        </w:rPr>
        <w:t>5.5</w:t>
      </w:r>
      <w:r>
        <w:rPr>
          <w:rFonts w:ascii="Times New Roman" w:hAnsi="Times New Roman" w:eastAsia="Times New Roman" w:cs="Times New Roman"/>
          <w:b/>
          <w:bCs/>
          <w:spacing w:val="26"/>
          <w:w w:val="101"/>
          <w:sz w:val="25"/>
          <w:szCs w:val="25"/>
        </w:rPr>
        <w:t xml:space="preserve"> </w:t>
      </w:r>
      <w:r>
        <w:rPr>
          <w:rFonts w:ascii="仿宋" w:hAnsi="仿宋" w:eastAsia="仿宋" w:cs="仿宋"/>
          <w:b/>
          <w:bCs/>
          <w:spacing w:val="4"/>
          <w:sz w:val="25"/>
          <w:szCs w:val="25"/>
        </w:rPr>
        <w:t>土壤环境影响分析</w:t>
      </w:r>
    </w:p>
    <w:p w14:paraId="42F5FBF3">
      <w:pPr>
        <w:spacing w:before="255" w:line="229" w:lineRule="auto"/>
        <w:ind w:left="500"/>
        <w:rPr>
          <w:rFonts w:ascii="仿宋" w:hAnsi="仿宋" w:eastAsia="仿宋" w:cs="仿宋"/>
          <w:sz w:val="25"/>
          <w:szCs w:val="25"/>
        </w:rPr>
      </w:pPr>
      <w:r>
        <w:rPr>
          <w:rFonts w:ascii="仿宋" w:hAnsi="仿宋" w:eastAsia="仿宋" w:cs="仿宋"/>
          <w:spacing w:val="8"/>
          <w:sz w:val="25"/>
          <w:szCs w:val="25"/>
        </w:rPr>
        <w:t>（</w:t>
      </w:r>
      <w:r>
        <w:rPr>
          <w:rFonts w:ascii="Times New Roman" w:hAnsi="Times New Roman" w:eastAsia="Times New Roman" w:cs="Times New Roman"/>
          <w:spacing w:val="8"/>
          <w:sz w:val="25"/>
          <w:szCs w:val="25"/>
        </w:rPr>
        <w:t>1</w:t>
      </w:r>
      <w:r>
        <w:rPr>
          <w:rFonts w:ascii="仿宋" w:hAnsi="仿宋" w:eastAsia="仿宋" w:cs="仿宋"/>
          <w:spacing w:val="8"/>
          <w:sz w:val="25"/>
          <w:szCs w:val="25"/>
        </w:rPr>
        <w:t>）露天开采矿山对土壤的影响</w:t>
      </w:r>
    </w:p>
    <w:p w14:paraId="3DFC50C4">
      <w:pPr>
        <w:spacing w:before="144" w:line="340" w:lineRule="auto"/>
        <w:ind w:left="15" w:right="105" w:firstLine="481"/>
        <w:rPr>
          <w:rFonts w:ascii="仿宋" w:hAnsi="仿宋" w:eastAsia="仿宋" w:cs="仿宋"/>
          <w:sz w:val="25"/>
          <w:szCs w:val="25"/>
        </w:rPr>
      </w:pPr>
      <w:r>
        <w:rPr>
          <w:rFonts w:ascii="仿宋" w:hAnsi="仿宋" w:eastAsia="仿宋" w:cs="仿宋"/>
          <w:spacing w:val="8"/>
          <w:sz w:val="25"/>
          <w:szCs w:val="25"/>
        </w:rPr>
        <w:t>饰面用灰岩在开采过程中对土壤的影响主要是废石场，由于废石为</w:t>
      </w:r>
      <w:r>
        <w:rPr>
          <w:rFonts w:ascii="Times New Roman" w:hAnsi="Times New Roman" w:eastAsia="Times New Roman" w:cs="Times New Roman"/>
          <w:spacing w:val="8"/>
          <w:sz w:val="25"/>
          <w:szCs w:val="25"/>
        </w:rPr>
        <w:t>Ⅰ</w:t>
      </w:r>
      <w:r>
        <w:rPr>
          <w:rFonts w:ascii="仿宋" w:hAnsi="仿宋" w:eastAsia="仿宋" w:cs="仿宋"/>
          <w:spacing w:val="8"/>
          <w:sz w:val="25"/>
          <w:szCs w:val="25"/>
        </w:rPr>
        <w:t>类一般</w:t>
      </w:r>
      <w:r>
        <w:rPr>
          <w:rFonts w:ascii="仿宋" w:hAnsi="仿宋" w:eastAsia="仿宋" w:cs="仿宋"/>
          <w:sz w:val="25"/>
          <w:szCs w:val="25"/>
        </w:rPr>
        <w:t xml:space="preserve"> </w:t>
      </w:r>
      <w:r>
        <w:rPr>
          <w:rFonts w:ascii="仿宋" w:hAnsi="仿宋" w:eastAsia="仿宋" w:cs="仿宋"/>
          <w:spacing w:val="8"/>
          <w:sz w:val="25"/>
          <w:szCs w:val="25"/>
        </w:rPr>
        <w:t>固废，</w:t>
      </w:r>
      <w:r>
        <w:rPr>
          <w:rFonts w:ascii="仿宋" w:hAnsi="仿宋" w:eastAsia="仿宋" w:cs="仿宋"/>
          <w:spacing w:val="-71"/>
          <w:sz w:val="25"/>
          <w:szCs w:val="25"/>
        </w:rPr>
        <w:t xml:space="preserve"> </w:t>
      </w:r>
      <w:r>
        <w:rPr>
          <w:rFonts w:ascii="仿宋" w:hAnsi="仿宋" w:eastAsia="仿宋" w:cs="仿宋"/>
          <w:spacing w:val="8"/>
          <w:sz w:val="25"/>
          <w:szCs w:val="25"/>
        </w:rPr>
        <w:t>因此对土壤环境的影响较小。另外，矿山在开采过程中，会进行表土剥</w:t>
      </w:r>
      <w:r>
        <w:rPr>
          <w:rFonts w:ascii="仿宋" w:hAnsi="仿宋" w:eastAsia="仿宋" w:cs="仿宋"/>
          <w:sz w:val="25"/>
          <w:szCs w:val="25"/>
        </w:rPr>
        <w:t xml:space="preserve"> </w:t>
      </w:r>
      <w:r>
        <w:rPr>
          <w:rFonts w:ascii="仿宋" w:hAnsi="仿宋" w:eastAsia="仿宋" w:cs="仿宋"/>
          <w:spacing w:val="10"/>
          <w:sz w:val="25"/>
          <w:szCs w:val="25"/>
        </w:rPr>
        <w:t>离、地表扰动以及产品堆存等，对土壤结构和</w:t>
      </w:r>
      <w:r>
        <w:rPr>
          <w:rFonts w:ascii="仿宋" w:hAnsi="仿宋" w:eastAsia="仿宋" w:cs="仿宋"/>
          <w:spacing w:val="9"/>
          <w:sz w:val="25"/>
          <w:szCs w:val="25"/>
        </w:rPr>
        <w:t>肥力产生不利影响，造成土壤肥</w:t>
      </w:r>
      <w:r>
        <w:rPr>
          <w:rFonts w:ascii="仿宋" w:hAnsi="仿宋" w:eastAsia="仿宋" w:cs="仿宋"/>
          <w:sz w:val="25"/>
          <w:szCs w:val="25"/>
        </w:rPr>
        <w:t xml:space="preserve"> </w:t>
      </w:r>
      <w:r>
        <w:rPr>
          <w:rFonts w:ascii="仿宋" w:hAnsi="仿宋" w:eastAsia="仿宋" w:cs="仿宋"/>
          <w:spacing w:val="10"/>
          <w:sz w:val="25"/>
          <w:szCs w:val="25"/>
        </w:rPr>
        <w:t>力的下降。矿山开采后不及时进行生态恢复，</w:t>
      </w:r>
      <w:r>
        <w:rPr>
          <w:rFonts w:ascii="仿宋" w:hAnsi="仿宋" w:eastAsia="仿宋" w:cs="仿宋"/>
          <w:spacing w:val="9"/>
          <w:sz w:val="25"/>
          <w:szCs w:val="25"/>
        </w:rPr>
        <w:t>容易引起土地沙化。部分矿山工</w:t>
      </w:r>
      <w:r>
        <w:rPr>
          <w:rFonts w:ascii="仿宋" w:hAnsi="仿宋" w:eastAsia="仿宋" w:cs="仿宋"/>
          <w:sz w:val="25"/>
          <w:szCs w:val="25"/>
        </w:rPr>
        <w:t xml:space="preserve"> </w:t>
      </w:r>
      <w:r>
        <w:rPr>
          <w:rFonts w:ascii="仿宋" w:hAnsi="仿宋" w:eastAsia="仿宋" w:cs="仿宋"/>
          <w:spacing w:val="10"/>
          <w:sz w:val="25"/>
          <w:szCs w:val="25"/>
        </w:rPr>
        <w:t>业广场涉及储油罐泄露、机修废油泄露对土壤</w:t>
      </w:r>
      <w:r>
        <w:rPr>
          <w:rFonts w:ascii="仿宋" w:hAnsi="仿宋" w:eastAsia="仿宋" w:cs="仿宋"/>
          <w:spacing w:val="9"/>
          <w:sz w:val="25"/>
          <w:szCs w:val="25"/>
        </w:rPr>
        <w:t>造成污染，通过对油罐对阀门处</w:t>
      </w:r>
      <w:r>
        <w:rPr>
          <w:rFonts w:ascii="仿宋" w:hAnsi="仿宋" w:eastAsia="仿宋" w:cs="仿宋"/>
          <w:sz w:val="25"/>
          <w:szCs w:val="25"/>
        </w:rPr>
        <w:t xml:space="preserve"> </w:t>
      </w:r>
      <w:r>
        <w:rPr>
          <w:rFonts w:ascii="仿宋" w:hAnsi="仿宋" w:eastAsia="仿宋" w:cs="仿宋"/>
          <w:spacing w:val="10"/>
          <w:sz w:val="25"/>
          <w:szCs w:val="25"/>
        </w:rPr>
        <w:t>设置收油坑，少量跑冒漏滴均收集在收油坑内</w:t>
      </w:r>
      <w:r>
        <w:rPr>
          <w:rFonts w:ascii="仿宋" w:hAnsi="仿宋" w:eastAsia="仿宋" w:cs="仿宋"/>
          <w:spacing w:val="9"/>
          <w:sz w:val="25"/>
          <w:szCs w:val="25"/>
        </w:rPr>
        <w:t>，可有效进行防止污染。危废暂</w:t>
      </w:r>
      <w:r>
        <w:rPr>
          <w:rFonts w:ascii="仿宋" w:hAnsi="仿宋" w:eastAsia="仿宋" w:cs="仿宋"/>
          <w:sz w:val="25"/>
          <w:szCs w:val="25"/>
        </w:rPr>
        <w:t xml:space="preserve"> </w:t>
      </w:r>
      <w:r>
        <w:rPr>
          <w:rFonts w:ascii="仿宋" w:hAnsi="仿宋" w:eastAsia="仿宋" w:cs="仿宋"/>
          <w:spacing w:val="10"/>
          <w:sz w:val="25"/>
          <w:szCs w:val="25"/>
        </w:rPr>
        <w:t>存间地面做好重点防渗处理，设置收集沟，对</w:t>
      </w:r>
      <w:r>
        <w:rPr>
          <w:rFonts w:ascii="仿宋" w:hAnsi="仿宋" w:eastAsia="仿宋" w:cs="仿宋"/>
          <w:spacing w:val="9"/>
          <w:sz w:val="25"/>
          <w:szCs w:val="25"/>
        </w:rPr>
        <w:t>收集的废油采用专用危废收集桶</w:t>
      </w:r>
      <w:r>
        <w:rPr>
          <w:rFonts w:ascii="仿宋" w:hAnsi="仿宋" w:eastAsia="仿宋" w:cs="仿宋"/>
          <w:sz w:val="25"/>
          <w:szCs w:val="25"/>
        </w:rPr>
        <w:t xml:space="preserve"> </w:t>
      </w:r>
      <w:r>
        <w:rPr>
          <w:rFonts w:ascii="仿宋" w:hAnsi="仿宋" w:eastAsia="仿宋" w:cs="仿宋"/>
          <w:spacing w:val="10"/>
          <w:sz w:val="25"/>
          <w:szCs w:val="25"/>
        </w:rPr>
        <w:t>收集，粘贴危险废物标签，并在危废收集桶下</w:t>
      </w:r>
      <w:r>
        <w:rPr>
          <w:rFonts w:ascii="仿宋" w:hAnsi="仿宋" w:eastAsia="仿宋" w:cs="仿宋"/>
          <w:spacing w:val="9"/>
          <w:sz w:val="25"/>
          <w:szCs w:val="25"/>
        </w:rPr>
        <w:t>方布置收集盘，可有效的防止污</w:t>
      </w:r>
      <w:r>
        <w:rPr>
          <w:rFonts w:ascii="仿宋" w:hAnsi="仿宋" w:eastAsia="仿宋" w:cs="仿宋"/>
          <w:sz w:val="25"/>
          <w:szCs w:val="25"/>
        </w:rPr>
        <w:t xml:space="preserve"> </w:t>
      </w:r>
      <w:r>
        <w:rPr>
          <w:rFonts w:ascii="仿宋" w:hAnsi="仿宋" w:eastAsia="仿宋" w:cs="仿宋"/>
          <w:spacing w:val="-4"/>
          <w:sz w:val="25"/>
          <w:szCs w:val="25"/>
        </w:rPr>
        <w:t>染。</w:t>
      </w:r>
    </w:p>
    <w:p w14:paraId="782B232B">
      <w:pPr>
        <w:spacing w:line="229" w:lineRule="auto"/>
        <w:ind w:left="500"/>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2</w:t>
      </w:r>
      <w:r>
        <w:rPr>
          <w:rFonts w:ascii="仿宋" w:hAnsi="仿宋" w:eastAsia="仿宋" w:cs="仿宋"/>
          <w:spacing w:val="7"/>
          <w:sz w:val="25"/>
          <w:szCs w:val="25"/>
        </w:rPr>
        <w:t>）地下开采对土壤的影响</w:t>
      </w:r>
    </w:p>
    <w:p w14:paraId="24F18B83">
      <w:pPr>
        <w:spacing w:line="229" w:lineRule="auto"/>
        <w:rPr>
          <w:rFonts w:ascii="仿宋" w:hAnsi="仿宋" w:eastAsia="仿宋" w:cs="仿宋"/>
          <w:sz w:val="25"/>
          <w:szCs w:val="25"/>
        </w:rPr>
        <w:sectPr>
          <w:headerReference r:id="rId202" w:type="default"/>
          <w:footerReference r:id="rId203" w:type="default"/>
          <w:pgSz w:w="11906" w:h="16839"/>
          <w:pgMar w:top="1116" w:right="1367" w:bottom="866" w:left="1587" w:header="683" w:footer="703" w:gutter="0"/>
          <w:cols w:space="720" w:num="1"/>
        </w:sectPr>
      </w:pPr>
    </w:p>
    <w:p w14:paraId="678AD5CC">
      <w:pPr>
        <w:pStyle w:val="2"/>
        <w:spacing w:line="392" w:lineRule="auto"/>
      </w:pPr>
    </w:p>
    <w:p w14:paraId="41EA1F4B">
      <w:pPr>
        <w:spacing w:before="81" w:line="339" w:lineRule="auto"/>
        <w:ind w:left="13" w:firstLine="482"/>
        <w:jc w:val="both"/>
        <w:rPr>
          <w:rFonts w:ascii="仿宋" w:hAnsi="仿宋" w:eastAsia="仿宋" w:cs="仿宋"/>
          <w:sz w:val="25"/>
          <w:szCs w:val="25"/>
        </w:rPr>
      </w:pPr>
      <w:r>
        <w:rPr>
          <w:rFonts w:ascii="仿宋" w:hAnsi="仿宋" w:eastAsia="仿宋" w:cs="仿宋"/>
          <w:spacing w:val="4"/>
          <w:sz w:val="25"/>
          <w:szCs w:val="25"/>
        </w:rPr>
        <w:t>铸型用砂岩为对土壤的影响主要是废石场，</w:t>
      </w:r>
      <w:r>
        <w:rPr>
          <w:rFonts w:ascii="仿宋" w:hAnsi="仿宋" w:eastAsia="仿宋" w:cs="仿宋"/>
          <w:spacing w:val="-65"/>
          <w:sz w:val="25"/>
          <w:szCs w:val="25"/>
        </w:rPr>
        <w:t xml:space="preserve"> </w:t>
      </w:r>
      <w:r>
        <w:rPr>
          <w:rFonts w:ascii="仿宋" w:hAnsi="仿宋" w:eastAsia="仿宋" w:cs="仿宋"/>
          <w:spacing w:val="4"/>
          <w:sz w:val="25"/>
          <w:szCs w:val="25"/>
        </w:rPr>
        <w:t>由</w:t>
      </w:r>
      <w:r>
        <w:rPr>
          <w:rFonts w:ascii="仿宋" w:hAnsi="仿宋" w:eastAsia="仿宋" w:cs="仿宋"/>
          <w:spacing w:val="3"/>
          <w:sz w:val="25"/>
          <w:szCs w:val="25"/>
        </w:rPr>
        <w:t>于废石为</w:t>
      </w:r>
      <w:r>
        <w:rPr>
          <w:rFonts w:ascii="仿宋" w:hAnsi="仿宋" w:eastAsia="仿宋" w:cs="仿宋"/>
          <w:spacing w:val="-31"/>
          <w:sz w:val="25"/>
          <w:szCs w:val="25"/>
        </w:rPr>
        <w:t xml:space="preserve"> </w:t>
      </w:r>
      <w:r>
        <w:rPr>
          <w:rFonts w:ascii="仿宋" w:hAnsi="仿宋" w:eastAsia="仿宋" w:cs="仿宋"/>
          <w:spacing w:val="3"/>
          <w:sz w:val="25"/>
          <w:szCs w:val="25"/>
        </w:rPr>
        <w:t>Ⅰ</w:t>
      </w:r>
      <w:r>
        <w:rPr>
          <w:rFonts w:ascii="仿宋" w:hAnsi="仿宋" w:eastAsia="仿宋" w:cs="仿宋"/>
          <w:spacing w:val="-100"/>
          <w:sz w:val="25"/>
          <w:szCs w:val="25"/>
        </w:rPr>
        <w:t xml:space="preserve"> </w:t>
      </w:r>
      <w:r>
        <w:rPr>
          <w:rFonts w:ascii="仿宋" w:hAnsi="仿宋" w:eastAsia="仿宋" w:cs="仿宋"/>
          <w:spacing w:val="3"/>
          <w:sz w:val="25"/>
          <w:szCs w:val="25"/>
        </w:rPr>
        <w:t>类一般固废，</w:t>
      </w:r>
      <w:r>
        <w:rPr>
          <w:rFonts w:ascii="仿宋" w:hAnsi="仿宋" w:eastAsia="仿宋" w:cs="仿宋"/>
          <w:spacing w:val="-72"/>
          <w:sz w:val="25"/>
          <w:szCs w:val="25"/>
        </w:rPr>
        <w:t xml:space="preserve"> </w:t>
      </w:r>
      <w:r>
        <w:rPr>
          <w:rFonts w:ascii="仿宋" w:hAnsi="仿宋" w:eastAsia="仿宋" w:cs="仿宋"/>
          <w:spacing w:val="3"/>
          <w:sz w:val="25"/>
          <w:szCs w:val="25"/>
        </w:rPr>
        <w:t>因</w:t>
      </w:r>
      <w:r>
        <w:rPr>
          <w:rFonts w:ascii="仿宋" w:hAnsi="仿宋" w:eastAsia="仿宋" w:cs="仿宋"/>
          <w:sz w:val="25"/>
          <w:szCs w:val="25"/>
        </w:rPr>
        <w:t xml:space="preserve"> </w:t>
      </w:r>
      <w:r>
        <w:rPr>
          <w:rFonts w:ascii="仿宋" w:hAnsi="仿宋" w:eastAsia="仿宋" w:cs="仿宋"/>
          <w:spacing w:val="6"/>
          <w:sz w:val="25"/>
          <w:szCs w:val="25"/>
        </w:rPr>
        <w:t>此对土壤环境的影响较小，同时因</w:t>
      </w:r>
      <w:r>
        <w:rPr>
          <w:rFonts w:ascii="仿宋" w:hAnsi="仿宋" w:eastAsia="仿宋" w:cs="仿宋"/>
          <w:spacing w:val="-55"/>
          <w:sz w:val="25"/>
          <w:szCs w:val="25"/>
        </w:rPr>
        <w:t xml:space="preserve"> </w:t>
      </w:r>
      <w:r>
        <w:rPr>
          <w:rFonts w:ascii="Times New Roman" w:hAnsi="Times New Roman" w:eastAsia="Times New Roman" w:cs="Times New Roman"/>
          <w:sz w:val="25"/>
          <w:szCs w:val="25"/>
        </w:rPr>
        <w:t>KQ</w:t>
      </w:r>
      <w:r>
        <w:rPr>
          <w:rFonts w:ascii="Times New Roman" w:hAnsi="Times New Roman" w:eastAsia="Times New Roman" w:cs="Times New Roman"/>
          <w:spacing w:val="6"/>
          <w:sz w:val="25"/>
          <w:szCs w:val="25"/>
        </w:rPr>
        <w:t>009</w:t>
      </w:r>
      <w:r>
        <w:rPr>
          <w:rFonts w:ascii="Times New Roman" w:hAnsi="Times New Roman" w:eastAsia="Times New Roman" w:cs="Times New Roman"/>
          <w:spacing w:val="23"/>
          <w:sz w:val="25"/>
          <w:szCs w:val="25"/>
        </w:rPr>
        <w:t xml:space="preserve"> </w:t>
      </w:r>
      <w:r>
        <w:rPr>
          <w:rFonts w:ascii="仿宋" w:hAnsi="仿宋" w:eastAsia="仿宋" w:cs="仿宋"/>
          <w:spacing w:val="6"/>
          <w:sz w:val="25"/>
          <w:szCs w:val="25"/>
        </w:rPr>
        <w:t>处</w:t>
      </w:r>
      <w:r>
        <w:rPr>
          <w:rFonts w:ascii="仿宋" w:hAnsi="仿宋" w:eastAsia="仿宋" w:cs="仿宋"/>
          <w:spacing w:val="5"/>
          <w:sz w:val="25"/>
          <w:szCs w:val="25"/>
        </w:rPr>
        <w:t>于陡坡地貌，没有条件设置面积足</w:t>
      </w:r>
      <w:r>
        <w:rPr>
          <w:rFonts w:ascii="仿宋" w:hAnsi="仿宋" w:eastAsia="仿宋" w:cs="仿宋"/>
          <w:sz w:val="25"/>
          <w:szCs w:val="25"/>
        </w:rPr>
        <w:t xml:space="preserve"> </w:t>
      </w:r>
      <w:r>
        <w:rPr>
          <w:rFonts w:ascii="仿宋" w:hAnsi="仿宋" w:eastAsia="仿宋" w:cs="仿宋"/>
          <w:spacing w:val="8"/>
          <w:sz w:val="25"/>
          <w:szCs w:val="25"/>
        </w:rPr>
        <w:t>够的渣石堆场，评价建议边开采边将渣石回填至采空区，</w:t>
      </w:r>
      <w:r>
        <w:rPr>
          <w:rFonts w:ascii="仿宋" w:hAnsi="仿宋" w:eastAsia="仿宋" w:cs="仿宋"/>
          <w:spacing w:val="-69"/>
          <w:sz w:val="25"/>
          <w:szCs w:val="25"/>
        </w:rPr>
        <w:t xml:space="preserve"> </w:t>
      </w:r>
      <w:r>
        <w:rPr>
          <w:rFonts w:ascii="仿宋" w:hAnsi="仿宋" w:eastAsia="仿宋" w:cs="仿宋"/>
          <w:spacing w:val="8"/>
          <w:sz w:val="25"/>
          <w:szCs w:val="25"/>
        </w:rPr>
        <w:t>因此铸型用砂岩开采</w:t>
      </w:r>
      <w:r>
        <w:rPr>
          <w:rFonts w:ascii="仿宋" w:hAnsi="仿宋" w:eastAsia="仿宋" w:cs="仿宋"/>
          <w:sz w:val="25"/>
          <w:szCs w:val="25"/>
        </w:rPr>
        <w:t xml:space="preserve"> </w:t>
      </w:r>
      <w:r>
        <w:rPr>
          <w:rFonts w:ascii="仿宋" w:hAnsi="仿宋" w:eastAsia="仿宋" w:cs="仿宋"/>
          <w:spacing w:val="10"/>
          <w:sz w:val="25"/>
          <w:szCs w:val="25"/>
        </w:rPr>
        <w:t>对土壤基本无影响。铝土矿对土壤的影响主要体现</w:t>
      </w:r>
      <w:r>
        <w:rPr>
          <w:rFonts w:ascii="仿宋" w:hAnsi="仿宋" w:eastAsia="仿宋" w:cs="仿宋"/>
          <w:spacing w:val="9"/>
          <w:sz w:val="25"/>
          <w:szCs w:val="25"/>
        </w:rPr>
        <w:t>在土壤中铁、锰等重金属元</w:t>
      </w:r>
      <w:r>
        <w:rPr>
          <w:rFonts w:ascii="仿宋" w:hAnsi="仿宋" w:eastAsia="仿宋" w:cs="仿宋"/>
          <w:sz w:val="25"/>
          <w:szCs w:val="25"/>
        </w:rPr>
        <w:t xml:space="preserve"> </w:t>
      </w:r>
      <w:r>
        <w:rPr>
          <w:rFonts w:ascii="仿宋" w:hAnsi="仿宋" w:eastAsia="仿宋" w:cs="仿宋"/>
          <w:spacing w:val="10"/>
          <w:sz w:val="25"/>
          <w:szCs w:val="25"/>
        </w:rPr>
        <w:t>素不断累积，对土壤可能产生一定影响。土壤中的</w:t>
      </w:r>
      <w:r>
        <w:rPr>
          <w:rFonts w:ascii="仿宋" w:hAnsi="仿宋" w:eastAsia="仿宋" w:cs="仿宋"/>
          <w:spacing w:val="9"/>
          <w:sz w:val="25"/>
          <w:szCs w:val="25"/>
        </w:rPr>
        <w:t>重金属污染主要来自于两个</w:t>
      </w:r>
      <w:r>
        <w:rPr>
          <w:rFonts w:ascii="仿宋" w:hAnsi="仿宋" w:eastAsia="仿宋" w:cs="仿宋"/>
          <w:sz w:val="25"/>
          <w:szCs w:val="25"/>
        </w:rPr>
        <w:t xml:space="preserve"> </w:t>
      </w:r>
      <w:r>
        <w:rPr>
          <w:rFonts w:ascii="仿宋" w:hAnsi="仿宋" w:eastAsia="仿宋" w:cs="仿宋"/>
          <w:spacing w:val="10"/>
          <w:sz w:val="25"/>
          <w:szCs w:val="25"/>
        </w:rPr>
        <w:t>方面，首先是含铁、锰的粉尘排放后由于沉降作用</w:t>
      </w:r>
      <w:r>
        <w:rPr>
          <w:rFonts w:ascii="仿宋" w:hAnsi="仿宋" w:eastAsia="仿宋" w:cs="仿宋"/>
          <w:spacing w:val="9"/>
          <w:sz w:val="25"/>
          <w:szCs w:val="25"/>
        </w:rPr>
        <w:t>沉积于地面，并逐渐渗入土</w:t>
      </w:r>
      <w:r>
        <w:rPr>
          <w:rFonts w:ascii="仿宋" w:hAnsi="仿宋" w:eastAsia="仿宋" w:cs="仿宋"/>
          <w:sz w:val="25"/>
          <w:szCs w:val="25"/>
        </w:rPr>
        <w:t xml:space="preserve"> </w:t>
      </w:r>
      <w:r>
        <w:rPr>
          <w:rFonts w:ascii="仿宋" w:hAnsi="仿宋" w:eastAsia="仿宋" w:cs="仿宋"/>
          <w:spacing w:val="10"/>
          <w:sz w:val="25"/>
          <w:szCs w:val="25"/>
        </w:rPr>
        <w:t>壤，从而导致土壤中铁、锰浓度升高，污染土壤环</w:t>
      </w:r>
      <w:r>
        <w:rPr>
          <w:rFonts w:ascii="仿宋" w:hAnsi="仿宋" w:eastAsia="仿宋" w:cs="仿宋"/>
          <w:spacing w:val="9"/>
          <w:sz w:val="25"/>
          <w:szCs w:val="25"/>
        </w:rPr>
        <w:t>境。其次是含铁、锰的废水</w:t>
      </w:r>
      <w:r>
        <w:rPr>
          <w:rFonts w:ascii="仿宋" w:hAnsi="仿宋" w:eastAsia="仿宋" w:cs="仿宋"/>
          <w:sz w:val="25"/>
          <w:szCs w:val="25"/>
        </w:rPr>
        <w:t xml:space="preserve"> </w:t>
      </w:r>
      <w:r>
        <w:rPr>
          <w:rFonts w:ascii="仿宋" w:hAnsi="仿宋" w:eastAsia="仿宋" w:cs="仿宋"/>
          <w:spacing w:val="10"/>
          <w:sz w:val="25"/>
          <w:szCs w:val="25"/>
        </w:rPr>
        <w:t>排放，进入附近土壤，造成土壤铁、锰浓度升高。</w:t>
      </w:r>
      <w:r>
        <w:rPr>
          <w:rFonts w:ascii="仿宋" w:hAnsi="仿宋" w:eastAsia="仿宋" w:cs="仿宋"/>
          <w:spacing w:val="9"/>
          <w:sz w:val="25"/>
          <w:szCs w:val="25"/>
        </w:rPr>
        <w:t>因此，规划实施，应对废石</w:t>
      </w:r>
      <w:r>
        <w:rPr>
          <w:rFonts w:ascii="仿宋" w:hAnsi="仿宋" w:eastAsia="仿宋" w:cs="仿宋"/>
          <w:sz w:val="25"/>
          <w:szCs w:val="25"/>
        </w:rPr>
        <w:t xml:space="preserve"> </w:t>
      </w:r>
      <w:r>
        <w:rPr>
          <w:rFonts w:ascii="仿宋" w:hAnsi="仿宋" w:eastAsia="仿宋" w:cs="仿宋"/>
          <w:spacing w:val="8"/>
          <w:sz w:val="25"/>
          <w:szCs w:val="25"/>
        </w:rPr>
        <w:t>堆场进行洒水喷淋，设置雨棚，</w:t>
      </w:r>
      <w:r>
        <w:rPr>
          <w:rFonts w:ascii="仿宋" w:hAnsi="仿宋" w:eastAsia="仿宋" w:cs="仿宋"/>
          <w:spacing w:val="-69"/>
          <w:sz w:val="25"/>
          <w:szCs w:val="25"/>
        </w:rPr>
        <w:t xml:space="preserve"> </w:t>
      </w:r>
      <w:r>
        <w:rPr>
          <w:rFonts w:ascii="仿宋" w:hAnsi="仿宋" w:eastAsia="仿宋" w:cs="仿宋"/>
          <w:spacing w:val="8"/>
          <w:sz w:val="25"/>
          <w:szCs w:val="25"/>
        </w:rPr>
        <w:t>以减少粉尘无组织排放，废石尽量采取边开采</w:t>
      </w:r>
      <w:r>
        <w:rPr>
          <w:rFonts w:ascii="仿宋" w:hAnsi="仿宋" w:eastAsia="仿宋" w:cs="仿宋"/>
          <w:sz w:val="25"/>
          <w:szCs w:val="25"/>
        </w:rPr>
        <w:t xml:space="preserve"> </w:t>
      </w:r>
      <w:r>
        <w:rPr>
          <w:rFonts w:ascii="仿宋" w:hAnsi="仿宋" w:eastAsia="仿宋" w:cs="仿宋"/>
          <w:spacing w:val="4"/>
          <w:sz w:val="25"/>
          <w:szCs w:val="25"/>
        </w:rPr>
        <w:t>边回填的方式，减少废石堆放对土壤环境的影响，同时通过地面分区防渗措施，</w:t>
      </w:r>
      <w:r>
        <w:rPr>
          <w:rFonts w:ascii="仿宋" w:hAnsi="仿宋" w:eastAsia="仿宋" w:cs="仿宋"/>
          <w:spacing w:val="10"/>
          <w:sz w:val="25"/>
          <w:szCs w:val="25"/>
        </w:rPr>
        <w:t xml:space="preserve"> 修建截排水沟，有效的减轻对周围土壤的影响。采</w:t>
      </w:r>
      <w:r>
        <w:rPr>
          <w:rFonts w:ascii="仿宋" w:hAnsi="仿宋" w:eastAsia="仿宋" w:cs="仿宋"/>
          <w:spacing w:val="9"/>
          <w:sz w:val="25"/>
          <w:szCs w:val="25"/>
        </w:rPr>
        <w:t>取这些切实可行的治理措施</w:t>
      </w:r>
      <w:r>
        <w:rPr>
          <w:rFonts w:ascii="仿宋" w:hAnsi="仿宋" w:eastAsia="仿宋" w:cs="仿宋"/>
          <w:sz w:val="25"/>
          <w:szCs w:val="25"/>
        </w:rPr>
        <w:t xml:space="preserve"> </w:t>
      </w:r>
      <w:r>
        <w:rPr>
          <w:rFonts w:ascii="仿宋" w:hAnsi="仿宋" w:eastAsia="仿宋" w:cs="仿宋"/>
          <w:spacing w:val="9"/>
          <w:sz w:val="25"/>
          <w:szCs w:val="25"/>
        </w:rPr>
        <w:t>后，可将重金属对土壤的影响控制在可接受的范围内。</w:t>
      </w:r>
    </w:p>
    <w:p w14:paraId="5127535B">
      <w:pPr>
        <w:spacing w:before="19" w:line="228" w:lineRule="auto"/>
        <w:ind w:left="8"/>
        <w:outlineLvl w:val="1"/>
        <w:rPr>
          <w:rFonts w:ascii="仿宋" w:hAnsi="仿宋" w:eastAsia="仿宋" w:cs="仿宋"/>
          <w:sz w:val="25"/>
          <w:szCs w:val="25"/>
        </w:rPr>
      </w:pPr>
      <w:bookmarkStart w:id="32" w:name="bookmark28"/>
      <w:bookmarkEnd w:id="32"/>
      <w:r>
        <w:rPr>
          <w:rFonts w:ascii="Times New Roman" w:hAnsi="Times New Roman" w:eastAsia="Times New Roman" w:cs="Times New Roman"/>
          <w:b/>
          <w:bCs/>
          <w:spacing w:val="4"/>
          <w:sz w:val="25"/>
          <w:szCs w:val="25"/>
        </w:rPr>
        <w:t>5.6</w:t>
      </w:r>
      <w:r>
        <w:rPr>
          <w:rFonts w:ascii="Times New Roman" w:hAnsi="Times New Roman" w:eastAsia="Times New Roman" w:cs="Times New Roman"/>
          <w:b/>
          <w:bCs/>
          <w:spacing w:val="24"/>
          <w:sz w:val="25"/>
          <w:szCs w:val="25"/>
        </w:rPr>
        <w:t xml:space="preserve"> </w:t>
      </w:r>
      <w:r>
        <w:rPr>
          <w:rFonts w:ascii="仿宋" w:hAnsi="仿宋" w:eastAsia="仿宋" w:cs="仿宋"/>
          <w:b/>
          <w:bCs/>
          <w:spacing w:val="4"/>
          <w:sz w:val="25"/>
          <w:szCs w:val="25"/>
        </w:rPr>
        <w:t>声环境影响分析</w:t>
      </w:r>
    </w:p>
    <w:p w14:paraId="131A30AA">
      <w:pPr>
        <w:spacing w:before="252" w:line="229" w:lineRule="auto"/>
        <w:ind w:left="500"/>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1</w:t>
      </w:r>
      <w:r>
        <w:rPr>
          <w:rFonts w:ascii="仿宋" w:hAnsi="仿宋" w:eastAsia="仿宋" w:cs="仿宋"/>
          <w:spacing w:val="7"/>
          <w:sz w:val="25"/>
          <w:szCs w:val="25"/>
        </w:rPr>
        <w:t>）勘查开采声环境影响</w:t>
      </w:r>
    </w:p>
    <w:p w14:paraId="62E67325">
      <w:pPr>
        <w:spacing w:before="151" w:line="339" w:lineRule="auto"/>
        <w:ind w:left="17" w:right="71" w:firstLine="478"/>
        <w:rPr>
          <w:rFonts w:ascii="仿宋" w:hAnsi="仿宋" w:eastAsia="仿宋" w:cs="仿宋"/>
          <w:sz w:val="25"/>
          <w:szCs w:val="25"/>
        </w:rPr>
      </w:pPr>
      <w:r>
        <w:rPr>
          <w:rFonts w:ascii="仿宋" w:hAnsi="仿宋" w:eastAsia="仿宋" w:cs="仿宋"/>
          <w:spacing w:val="11"/>
          <w:sz w:val="25"/>
          <w:szCs w:val="25"/>
        </w:rPr>
        <w:t>勘查施工尽量选用先进的模块化、轻型化、集成化钻探设备</w:t>
      </w:r>
      <w:r>
        <w:rPr>
          <w:rFonts w:ascii="仿宋" w:hAnsi="仿宋" w:eastAsia="仿宋" w:cs="仿宋"/>
          <w:spacing w:val="10"/>
          <w:sz w:val="25"/>
          <w:szCs w:val="25"/>
        </w:rPr>
        <w:t>，操作过程采</w:t>
      </w:r>
      <w:r>
        <w:rPr>
          <w:rFonts w:ascii="仿宋" w:hAnsi="仿宋" w:eastAsia="仿宋" w:cs="仿宋"/>
          <w:sz w:val="25"/>
          <w:szCs w:val="25"/>
        </w:rPr>
        <w:t xml:space="preserve"> </w:t>
      </w:r>
      <w:r>
        <w:rPr>
          <w:rFonts w:ascii="仿宋" w:hAnsi="仿宋" w:eastAsia="仿宋" w:cs="仿宋"/>
          <w:spacing w:val="9"/>
          <w:sz w:val="25"/>
          <w:szCs w:val="25"/>
        </w:rPr>
        <w:t>取湿法作业，尽量避免干钻，在强噪声源设备上加装降噪、减震设施等，尽量</w:t>
      </w:r>
      <w:r>
        <w:rPr>
          <w:rFonts w:ascii="仿宋" w:hAnsi="仿宋" w:eastAsia="仿宋" w:cs="仿宋"/>
          <w:spacing w:val="18"/>
          <w:sz w:val="25"/>
          <w:szCs w:val="25"/>
        </w:rPr>
        <w:t xml:space="preserve"> </w:t>
      </w:r>
      <w:r>
        <w:rPr>
          <w:rFonts w:ascii="仿宋" w:hAnsi="仿宋" w:eastAsia="仿宋" w:cs="仿宋"/>
          <w:spacing w:val="8"/>
          <w:sz w:val="25"/>
          <w:szCs w:val="25"/>
        </w:rPr>
        <w:t>减少区块勘查对周边住户和野生动物造成干扰。</w:t>
      </w:r>
    </w:p>
    <w:p w14:paraId="035F64A6">
      <w:pPr>
        <w:spacing w:before="5" w:line="339" w:lineRule="auto"/>
        <w:ind w:left="21" w:right="71" w:firstLine="482"/>
        <w:rPr>
          <w:rFonts w:ascii="仿宋" w:hAnsi="仿宋" w:eastAsia="仿宋" w:cs="仿宋"/>
          <w:sz w:val="25"/>
          <w:szCs w:val="25"/>
        </w:rPr>
      </w:pPr>
      <w:r>
        <w:rPr>
          <w:rFonts w:ascii="仿宋" w:hAnsi="仿宋" w:eastAsia="仿宋" w:cs="仿宋"/>
          <w:spacing w:val="10"/>
          <w:sz w:val="25"/>
          <w:szCs w:val="25"/>
        </w:rPr>
        <w:t>露天开采矿山噪声集中在采区和工业场地破碎筛分环节，主要声源为液压</w:t>
      </w:r>
      <w:r>
        <w:rPr>
          <w:rFonts w:ascii="仿宋" w:hAnsi="仿宋" w:eastAsia="仿宋" w:cs="仿宋"/>
          <w:spacing w:val="18"/>
          <w:sz w:val="25"/>
          <w:szCs w:val="25"/>
        </w:rPr>
        <w:t xml:space="preserve"> </w:t>
      </w:r>
      <w:r>
        <w:rPr>
          <w:rFonts w:ascii="仿宋" w:hAnsi="仿宋" w:eastAsia="仿宋" w:cs="仿宋"/>
          <w:spacing w:val="10"/>
          <w:sz w:val="25"/>
          <w:szCs w:val="25"/>
        </w:rPr>
        <w:t>浅孔钻机、挖掘机、空压机、破碎筛分机等</w:t>
      </w:r>
      <w:r>
        <w:rPr>
          <w:rFonts w:ascii="仿宋" w:hAnsi="仿宋" w:eastAsia="仿宋" w:cs="仿宋"/>
          <w:spacing w:val="9"/>
          <w:sz w:val="25"/>
          <w:szCs w:val="25"/>
        </w:rPr>
        <w:t>，源强一般在</w:t>
      </w:r>
      <w:r>
        <w:rPr>
          <w:rFonts w:ascii="仿宋" w:hAnsi="仿宋" w:eastAsia="仿宋" w:cs="仿宋"/>
          <w:spacing w:val="-39"/>
          <w:sz w:val="25"/>
          <w:szCs w:val="25"/>
        </w:rPr>
        <w:t xml:space="preserve"> </w:t>
      </w:r>
      <w:r>
        <w:rPr>
          <w:rFonts w:ascii="Times New Roman" w:hAnsi="Times New Roman" w:eastAsia="Times New Roman" w:cs="Times New Roman"/>
          <w:spacing w:val="9"/>
          <w:sz w:val="25"/>
          <w:szCs w:val="25"/>
        </w:rPr>
        <w:t>80</w:t>
      </w:r>
      <w:r>
        <w:rPr>
          <w:rFonts w:ascii="仿宋" w:hAnsi="仿宋" w:eastAsia="仿宋" w:cs="仿宋"/>
          <w:spacing w:val="9"/>
          <w:sz w:val="25"/>
          <w:szCs w:val="25"/>
        </w:rPr>
        <w:t>～</w:t>
      </w:r>
      <w:r>
        <w:rPr>
          <w:rFonts w:ascii="Times New Roman" w:hAnsi="Times New Roman" w:eastAsia="Times New Roman" w:cs="Times New Roman"/>
          <w:spacing w:val="9"/>
          <w:sz w:val="25"/>
          <w:szCs w:val="25"/>
        </w:rPr>
        <w:t>100</w:t>
      </w:r>
      <w:r>
        <w:rPr>
          <w:rFonts w:ascii="Times New Roman" w:hAnsi="Times New Roman" w:eastAsia="Times New Roman" w:cs="Times New Roman"/>
          <w:sz w:val="25"/>
          <w:szCs w:val="25"/>
        </w:rPr>
        <w:t>dB</w:t>
      </w:r>
      <w:r>
        <w:rPr>
          <w:rFonts w:ascii="仿宋" w:hAnsi="仿宋" w:eastAsia="仿宋" w:cs="仿宋"/>
          <w:spacing w:val="9"/>
          <w:sz w:val="25"/>
          <w:szCs w:val="25"/>
        </w:rPr>
        <w:t>（</w:t>
      </w:r>
      <w:r>
        <w:rPr>
          <w:rFonts w:ascii="Times New Roman" w:hAnsi="Times New Roman" w:eastAsia="Times New Roman" w:cs="Times New Roman"/>
          <w:spacing w:val="9"/>
          <w:sz w:val="25"/>
          <w:szCs w:val="25"/>
        </w:rPr>
        <w:t>A</w:t>
      </w:r>
      <w:r>
        <w:rPr>
          <w:rFonts w:ascii="仿宋" w:hAnsi="仿宋" w:eastAsia="仿宋" w:cs="仿宋"/>
          <w:spacing w:val="9"/>
          <w:sz w:val="25"/>
          <w:szCs w:val="25"/>
        </w:rPr>
        <w:t>）</w:t>
      </w:r>
      <w:r>
        <w:rPr>
          <w:rFonts w:ascii="仿宋" w:hAnsi="仿宋" w:eastAsia="仿宋" w:cs="仿宋"/>
          <w:spacing w:val="-72"/>
          <w:sz w:val="25"/>
          <w:szCs w:val="25"/>
        </w:rPr>
        <w:t xml:space="preserve"> </w:t>
      </w:r>
      <w:r>
        <w:rPr>
          <w:rFonts w:ascii="仿宋" w:hAnsi="仿宋" w:eastAsia="仿宋" w:cs="仿宋"/>
          <w:spacing w:val="9"/>
          <w:sz w:val="25"/>
          <w:szCs w:val="25"/>
        </w:rPr>
        <w:t>。</w:t>
      </w:r>
      <w:r>
        <w:rPr>
          <w:rFonts w:ascii="仿宋" w:hAnsi="仿宋" w:eastAsia="仿宋" w:cs="仿宋"/>
          <w:sz w:val="25"/>
          <w:szCs w:val="25"/>
        </w:rPr>
        <w:t xml:space="preserve"> </w:t>
      </w:r>
      <w:r>
        <w:rPr>
          <w:rFonts w:ascii="仿宋" w:hAnsi="仿宋" w:eastAsia="仿宋" w:cs="仿宋"/>
          <w:spacing w:val="7"/>
          <w:sz w:val="25"/>
          <w:szCs w:val="25"/>
        </w:rPr>
        <w:t>浅孔钻机主要通过距离衰减和矿体隔声，</w:t>
      </w:r>
      <w:r>
        <w:rPr>
          <w:rFonts w:ascii="仿宋" w:hAnsi="仿宋" w:eastAsia="仿宋" w:cs="仿宋"/>
          <w:spacing w:val="-68"/>
          <w:sz w:val="25"/>
          <w:szCs w:val="25"/>
        </w:rPr>
        <w:t xml:space="preserve"> </w:t>
      </w:r>
      <w:r>
        <w:rPr>
          <w:rFonts w:ascii="仿宋" w:hAnsi="仿宋" w:eastAsia="仿宋" w:cs="仿宋"/>
          <w:spacing w:val="7"/>
          <w:sz w:val="25"/>
          <w:szCs w:val="25"/>
        </w:rPr>
        <w:t>中深</w:t>
      </w:r>
      <w:r>
        <w:rPr>
          <w:rFonts w:ascii="仿宋" w:hAnsi="仿宋" w:eastAsia="仿宋" w:cs="仿宋"/>
          <w:spacing w:val="6"/>
          <w:sz w:val="25"/>
          <w:szCs w:val="25"/>
        </w:rPr>
        <w:t>孔爆破设置不少于</w:t>
      </w:r>
      <w:r>
        <w:rPr>
          <w:rFonts w:ascii="仿宋" w:hAnsi="仿宋" w:eastAsia="仿宋" w:cs="仿宋"/>
          <w:spacing w:val="-55"/>
          <w:sz w:val="25"/>
          <w:szCs w:val="25"/>
        </w:rPr>
        <w:t xml:space="preserve"> </w:t>
      </w:r>
      <w:r>
        <w:rPr>
          <w:rFonts w:ascii="Times New Roman" w:hAnsi="Times New Roman" w:eastAsia="Times New Roman" w:cs="Times New Roman"/>
          <w:spacing w:val="6"/>
          <w:sz w:val="25"/>
          <w:szCs w:val="25"/>
        </w:rPr>
        <w:t>200</w:t>
      </w:r>
      <w:r>
        <w:rPr>
          <w:rFonts w:ascii="Times New Roman" w:hAnsi="Times New Roman" w:eastAsia="Times New Roman" w:cs="Times New Roman"/>
          <w:spacing w:val="25"/>
          <w:w w:val="101"/>
          <w:sz w:val="25"/>
          <w:szCs w:val="25"/>
        </w:rPr>
        <w:t xml:space="preserve"> </w:t>
      </w:r>
      <w:r>
        <w:rPr>
          <w:rFonts w:ascii="仿宋" w:hAnsi="仿宋" w:eastAsia="仿宋" w:cs="仿宋"/>
          <w:spacing w:val="6"/>
          <w:sz w:val="25"/>
          <w:szCs w:val="25"/>
        </w:rPr>
        <w:t>米的安全</w:t>
      </w:r>
      <w:r>
        <w:rPr>
          <w:rFonts w:ascii="仿宋" w:hAnsi="仿宋" w:eastAsia="仿宋" w:cs="仿宋"/>
          <w:sz w:val="25"/>
          <w:szCs w:val="25"/>
        </w:rPr>
        <w:t xml:space="preserve"> </w:t>
      </w:r>
      <w:r>
        <w:rPr>
          <w:rFonts w:ascii="仿宋" w:hAnsi="仿宋" w:eastAsia="仿宋" w:cs="仿宋"/>
          <w:spacing w:val="9"/>
          <w:sz w:val="25"/>
          <w:szCs w:val="25"/>
        </w:rPr>
        <w:t>防护距离，防护距离内的居民在开采前进行安全搬迁，露天开采对周边居民点</w:t>
      </w:r>
      <w:r>
        <w:rPr>
          <w:rFonts w:ascii="仿宋" w:hAnsi="仿宋" w:eastAsia="仿宋" w:cs="仿宋"/>
          <w:spacing w:val="14"/>
          <w:sz w:val="25"/>
          <w:szCs w:val="25"/>
        </w:rPr>
        <w:t xml:space="preserve"> </w:t>
      </w:r>
      <w:r>
        <w:rPr>
          <w:rFonts w:ascii="仿宋" w:hAnsi="仿宋" w:eastAsia="仿宋" w:cs="仿宋"/>
          <w:spacing w:val="3"/>
          <w:sz w:val="25"/>
          <w:szCs w:val="25"/>
        </w:rPr>
        <w:t>的影响小。</w:t>
      </w:r>
    </w:p>
    <w:p w14:paraId="62ABB42E">
      <w:pPr>
        <w:spacing w:before="3" w:line="339" w:lineRule="auto"/>
        <w:ind w:left="15" w:right="59" w:firstLine="495"/>
        <w:jc w:val="both"/>
        <w:rPr>
          <w:rFonts w:ascii="仿宋" w:hAnsi="仿宋" w:eastAsia="仿宋" w:cs="仿宋"/>
          <w:sz w:val="25"/>
          <w:szCs w:val="25"/>
        </w:rPr>
      </w:pPr>
      <w:r>
        <w:rPr>
          <w:rFonts w:ascii="仿宋" w:hAnsi="仿宋" w:eastAsia="仿宋" w:cs="仿宋"/>
          <w:spacing w:val="7"/>
          <w:sz w:val="25"/>
          <w:szCs w:val="25"/>
        </w:rPr>
        <w:t>空压机、切割机、装载机等源强主要在</w:t>
      </w:r>
      <w:r>
        <w:rPr>
          <w:rFonts w:ascii="仿宋" w:hAnsi="仿宋" w:eastAsia="仿宋" w:cs="仿宋"/>
          <w:spacing w:val="-48"/>
          <w:sz w:val="25"/>
          <w:szCs w:val="25"/>
        </w:rPr>
        <w:t xml:space="preserve"> </w:t>
      </w:r>
      <w:r>
        <w:rPr>
          <w:rFonts w:ascii="Times New Roman" w:hAnsi="Times New Roman" w:eastAsia="Times New Roman" w:cs="Times New Roman"/>
          <w:spacing w:val="7"/>
          <w:sz w:val="25"/>
          <w:szCs w:val="25"/>
        </w:rPr>
        <w:t>70</w:t>
      </w:r>
      <w:r>
        <w:rPr>
          <w:rFonts w:ascii="仿宋" w:hAnsi="仿宋" w:eastAsia="仿宋" w:cs="仿宋"/>
          <w:spacing w:val="7"/>
          <w:sz w:val="25"/>
          <w:szCs w:val="25"/>
        </w:rPr>
        <w:t>～</w:t>
      </w:r>
      <w:r>
        <w:rPr>
          <w:rFonts w:ascii="Times New Roman" w:hAnsi="Times New Roman" w:eastAsia="Times New Roman" w:cs="Times New Roman"/>
          <w:spacing w:val="7"/>
          <w:sz w:val="25"/>
          <w:szCs w:val="25"/>
        </w:rPr>
        <w:t xml:space="preserve">90 </w:t>
      </w:r>
      <w:r>
        <w:rPr>
          <w:rFonts w:ascii="Times New Roman" w:hAnsi="Times New Roman" w:eastAsia="Times New Roman" w:cs="Times New Roman"/>
          <w:sz w:val="25"/>
          <w:szCs w:val="25"/>
        </w:rPr>
        <w:t>dB</w:t>
      </w:r>
      <w:r>
        <w:rPr>
          <w:rFonts w:ascii="仿宋" w:hAnsi="仿宋" w:eastAsia="仿宋" w:cs="仿宋"/>
          <w:spacing w:val="7"/>
          <w:sz w:val="25"/>
          <w:szCs w:val="25"/>
        </w:rPr>
        <w:t>（</w:t>
      </w:r>
      <w:r>
        <w:rPr>
          <w:rFonts w:ascii="Times New Roman" w:hAnsi="Times New Roman" w:eastAsia="Times New Roman" w:cs="Times New Roman"/>
          <w:spacing w:val="7"/>
          <w:sz w:val="25"/>
          <w:szCs w:val="25"/>
        </w:rPr>
        <w:t>A</w:t>
      </w:r>
      <w:r>
        <w:rPr>
          <w:rFonts w:ascii="仿宋" w:hAnsi="仿宋" w:eastAsia="仿宋" w:cs="仿宋"/>
          <w:spacing w:val="7"/>
          <w:sz w:val="25"/>
          <w:szCs w:val="25"/>
        </w:rPr>
        <w:t>）之</w:t>
      </w:r>
      <w:r>
        <w:rPr>
          <w:rFonts w:ascii="仿宋" w:hAnsi="仿宋" w:eastAsia="仿宋" w:cs="仿宋"/>
          <w:spacing w:val="6"/>
          <w:sz w:val="25"/>
          <w:szCs w:val="25"/>
        </w:rPr>
        <w:t>间，采取消声、</w:t>
      </w:r>
      <w:r>
        <w:rPr>
          <w:rFonts w:ascii="仿宋" w:hAnsi="仿宋" w:eastAsia="仿宋" w:cs="仿宋"/>
          <w:sz w:val="25"/>
          <w:szCs w:val="25"/>
        </w:rPr>
        <w:t xml:space="preserve"> </w:t>
      </w:r>
      <w:r>
        <w:rPr>
          <w:rFonts w:ascii="仿宋" w:hAnsi="仿宋" w:eastAsia="仿宋" w:cs="仿宋"/>
          <w:spacing w:val="10"/>
          <w:sz w:val="25"/>
          <w:szCs w:val="25"/>
        </w:rPr>
        <w:t>隔声、基础减振等控制措施后，厂界噪声能满</w:t>
      </w:r>
      <w:r>
        <w:rPr>
          <w:rFonts w:ascii="仿宋" w:hAnsi="仿宋" w:eastAsia="仿宋" w:cs="仿宋"/>
          <w:spacing w:val="9"/>
          <w:sz w:val="25"/>
          <w:szCs w:val="25"/>
        </w:rPr>
        <w:t>足《工业企业厂界环境噪声排放</w:t>
      </w:r>
      <w:r>
        <w:rPr>
          <w:rFonts w:ascii="仿宋" w:hAnsi="仿宋" w:eastAsia="仿宋" w:cs="仿宋"/>
          <w:sz w:val="25"/>
          <w:szCs w:val="25"/>
        </w:rPr>
        <w:t xml:space="preserve"> </w:t>
      </w:r>
      <w:r>
        <w:rPr>
          <w:rFonts w:ascii="仿宋" w:hAnsi="仿宋" w:eastAsia="仿宋" w:cs="仿宋"/>
          <w:spacing w:val="7"/>
          <w:sz w:val="25"/>
          <w:szCs w:val="25"/>
        </w:rPr>
        <w:t>标准》（</w:t>
      </w:r>
      <w:r>
        <w:rPr>
          <w:rFonts w:ascii="Times New Roman" w:hAnsi="Times New Roman" w:eastAsia="Times New Roman" w:cs="Times New Roman"/>
          <w:sz w:val="25"/>
          <w:szCs w:val="25"/>
        </w:rPr>
        <w:t>GB</w:t>
      </w:r>
      <w:r>
        <w:rPr>
          <w:rFonts w:ascii="Times New Roman" w:hAnsi="Times New Roman" w:eastAsia="Times New Roman" w:cs="Times New Roman"/>
          <w:spacing w:val="7"/>
          <w:sz w:val="25"/>
          <w:szCs w:val="25"/>
        </w:rPr>
        <w:t>12348-2008</w:t>
      </w:r>
      <w:r>
        <w:rPr>
          <w:rFonts w:ascii="仿宋" w:hAnsi="仿宋" w:eastAsia="仿宋" w:cs="仿宋"/>
          <w:spacing w:val="7"/>
          <w:sz w:val="25"/>
          <w:szCs w:val="25"/>
        </w:rPr>
        <w:t>）</w:t>
      </w:r>
      <w:r>
        <w:rPr>
          <w:rFonts w:ascii="Times New Roman" w:hAnsi="Times New Roman" w:eastAsia="Times New Roman" w:cs="Times New Roman"/>
          <w:spacing w:val="7"/>
          <w:sz w:val="25"/>
          <w:szCs w:val="25"/>
        </w:rPr>
        <w:t>2</w:t>
      </w:r>
      <w:r>
        <w:rPr>
          <w:rFonts w:ascii="Times New Roman" w:hAnsi="Times New Roman" w:eastAsia="Times New Roman" w:cs="Times New Roman"/>
          <w:spacing w:val="23"/>
          <w:sz w:val="25"/>
          <w:szCs w:val="25"/>
        </w:rPr>
        <w:t xml:space="preserve"> </w:t>
      </w:r>
      <w:r>
        <w:rPr>
          <w:rFonts w:ascii="仿宋" w:hAnsi="仿宋" w:eastAsia="仿宋" w:cs="仿宋"/>
          <w:spacing w:val="7"/>
          <w:sz w:val="25"/>
          <w:szCs w:val="25"/>
        </w:rPr>
        <w:t>类标准的要求，对外环境影响小。</w:t>
      </w:r>
    </w:p>
    <w:p w14:paraId="2A7054D6">
      <w:pPr>
        <w:spacing w:line="229" w:lineRule="auto"/>
        <w:ind w:left="500"/>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2</w:t>
      </w:r>
      <w:r>
        <w:rPr>
          <w:rFonts w:ascii="仿宋" w:hAnsi="仿宋" w:eastAsia="仿宋" w:cs="仿宋"/>
          <w:spacing w:val="7"/>
          <w:sz w:val="25"/>
          <w:szCs w:val="25"/>
        </w:rPr>
        <w:t>）交通运输噪声环境影响</w:t>
      </w:r>
    </w:p>
    <w:p w14:paraId="04700860">
      <w:pPr>
        <w:spacing w:before="150" w:line="339" w:lineRule="auto"/>
        <w:ind w:left="15" w:right="71" w:firstLine="480"/>
        <w:rPr>
          <w:rFonts w:ascii="仿宋" w:hAnsi="仿宋" w:eastAsia="仿宋" w:cs="仿宋"/>
          <w:sz w:val="25"/>
          <w:szCs w:val="25"/>
        </w:rPr>
      </w:pPr>
      <w:r>
        <w:rPr>
          <w:rFonts w:ascii="仿宋" w:hAnsi="仿宋" w:eastAsia="仿宋" w:cs="仿宋"/>
          <w:spacing w:val="11"/>
          <w:sz w:val="25"/>
          <w:szCs w:val="25"/>
        </w:rPr>
        <w:t>矿石运输采用载重汽车，噪声较大，对交通线路通过的居</w:t>
      </w:r>
      <w:r>
        <w:rPr>
          <w:rFonts w:ascii="仿宋" w:hAnsi="仿宋" w:eastAsia="仿宋" w:cs="仿宋"/>
          <w:spacing w:val="10"/>
          <w:sz w:val="25"/>
          <w:szCs w:val="25"/>
        </w:rPr>
        <w:t>民区造成影响。</w:t>
      </w:r>
      <w:r>
        <w:rPr>
          <w:rFonts w:ascii="仿宋" w:hAnsi="仿宋" w:eastAsia="仿宋" w:cs="仿宋"/>
          <w:sz w:val="25"/>
          <w:szCs w:val="25"/>
        </w:rPr>
        <w:t xml:space="preserve"> </w:t>
      </w:r>
      <w:r>
        <w:rPr>
          <w:rFonts w:ascii="仿宋" w:hAnsi="仿宋" w:eastAsia="仿宋" w:cs="仿宋"/>
          <w:spacing w:val="10"/>
          <w:sz w:val="25"/>
          <w:szCs w:val="25"/>
        </w:rPr>
        <w:t>特别是运输车辆进入城（镇）市建设区，对沿</w:t>
      </w:r>
      <w:r>
        <w:rPr>
          <w:rFonts w:ascii="仿宋" w:hAnsi="仿宋" w:eastAsia="仿宋" w:cs="仿宋"/>
          <w:spacing w:val="9"/>
          <w:sz w:val="25"/>
          <w:szCs w:val="25"/>
        </w:rPr>
        <w:t>途居民造成的影响更为明显。首</w:t>
      </w:r>
      <w:r>
        <w:rPr>
          <w:rFonts w:ascii="仿宋" w:hAnsi="仿宋" w:eastAsia="仿宋" w:cs="仿宋"/>
          <w:sz w:val="25"/>
          <w:szCs w:val="25"/>
        </w:rPr>
        <w:t xml:space="preserve"> </w:t>
      </w:r>
      <w:r>
        <w:rPr>
          <w:rFonts w:ascii="仿宋" w:hAnsi="仿宋" w:eastAsia="仿宋" w:cs="仿宋"/>
          <w:spacing w:val="10"/>
          <w:sz w:val="25"/>
          <w:szCs w:val="25"/>
        </w:rPr>
        <w:t>先运输路线的选择应尽量避开集中居民点，经</w:t>
      </w:r>
      <w:r>
        <w:rPr>
          <w:rFonts w:ascii="仿宋" w:hAnsi="仿宋" w:eastAsia="仿宋" w:cs="仿宋"/>
          <w:spacing w:val="9"/>
          <w:sz w:val="25"/>
          <w:szCs w:val="25"/>
        </w:rPr>
        <w:t>过居民点时，通过降低车速、禁</w:t>
      </w:r>
    </w:p>
    <w:p w14:paraId="3CA6B549">
      <w:pPr>
        <w:spacing w:line="339" w:lineRule="auto"/>
        <w:rPr>
          <w:rFonts w:ascii="仿宋" w:hAnsi="仿宋" w:eastAsia="仿宋" w:cs="仿宋"/>
          <w:sz w:val="25"/>
          <w:szCs w:val="25"/>
        </w:rPr>
        <w:sectPr>
          <w:headerReference r:id="rId204" w:type="default"/>
          <w:footerReference r:id="rId205" w:type="default"/>
          <w:pgSz w:w="11906" w:h="16839"/>
          <w:pgMar w:top="1116" w:right="1404" w:bottom="866" w:left="1587" w:header="683" w:footer="703" w:gutter="0"/>
          <w:cols w:space="720" w:num="1"/>
        </w:sectPr>
      </w:pPr>
    </w:p>
    <w:p w14:paraId="243713F6">
      <w:pPr>
        <w:pStyle w:val="2"/>
        <w:spacing w:line="386" w:lineRule="auto"/>
      </w:pPr>
    </w:p>
    <w:p w14:paraId="0F6DA80E">
      <w:pPr>
        <w:spacing w:before="81" w:line="339" w:lineRule="auto"/>
        <w:ind w:left="40" w:right="71" w:hanging="25"/>
        <w:rPr>
          <w:rFonts w:ascii="仿宋" w:hAnsi="仿宋" w:eastAsia="仿宋" w:cs="仿宋"/>
          <w:sz w:val="25"/>
          <w:szCs w:val="25"/>
        </w:rPr>
      </w:pPr>
      <w:r>
        <w:rPr>
          <w:rFonts w:ascii="仿宋" w:hAnsi="仿宋" w:eastAsia="仿宋" w:cs="仿宋"/>
          <w:spacing w:val="10"/>
          <w:sz w:val="25"/>
          <w:szCs w:val="25"/>
        </w:rPr>
        <w:t>止鸣笛等以减少对运输道路两侧居民的影响，</w:t>
      </w:r>
      <w:r>
        <w:rPr>
          <w:rFonts w:ascii="仿宋" w:hAnsi="仿宋" w:eastAsia="仿宋" w:cs="仿宋"/>
          <w:spacing w:val="9"/>
          <w:sz w:val="25"/>
          <w:szCs w:val="25"/>
        </w:rPr>
        <w:t>并应合理安排运输作业时间，夜</w:t>
      </w:r>
      <w:r>
        <w:rPr>
          <w:rFonts w:ascii="仿宋" w:hAnsi="仿宋" w:eastAsia="仿宋" w:cs="仿宋"/>
          <w:sz w:val="25"/>
          <w:szCs w:val="25"/>
        </w:rPr>
        <w:t xml:space="preserve"> </w:t>
      </w:r>
      <w:r>
        <w:rPr>
          <w:rFonts w:ascii="仿宋" w:hAnsi="仿宋" w:eastAsia="仿宋" w:cs="仿宋"/>
          <w:spacing w:val="8"/>
          <w:sz w:val="25"/>
          <w:szCs w:val="25"/>
        </w:rPr>
        <w:t>间不作业，加强车辆的维护保养等可有效减低对道路两侧声环境的影响。</w:t>
      </w:r>
    </w:p>
    <w:p w14:paraId="67A35EDA">
      <w:pPr>
        <w:spacing w:before="14" w:line="228" w:lineRule="auto"/>
        <w:ind w:left="8"/>
        <w:outlineLvl w:val="1"/>
        <w:rPr>
          <w:rFonts w:ascii="仿宋" w:hAnsi="仿宋" w:eastAsia="仿宋" w:cs="仿宋"/>
          <w:sz w:val="25"/>
          <w:szCs w:val="25"/>
        </w:rPr>
      </w:pPr>
      <w:bookmarkStart w:id="33" w:name="bookmark29"/>
      <w:bookmarkEnd w:id="33"/>
      <w:r>
        <w:rPr>
          <w:rFonts w:ascii="Times New Roman" w:hAnsi="Times New Roman" w:eastAsia="Times New Roman" w:cs="Times New Roman"/>
          <w:b/>
          <w:bCs/>
          <w:spacing w:val="3"/>
          <w:sz w:val="25"/>
          <w:szCs w:val="25"/>
        </w:rPr>
        <w:t>5.7</w:t>
      </w:r>
      <w:r>
        <w:rPr>
          <w:rFonts w:ascii="Times New Roman" w:hAnsi="Times New Roman" w:eastAsia="Times New Roman" w:cs="Times New Roman"/>
          <w:b/>
          <w:bCs/>
          <w:spacing w:val="49"/>
          <w:w w:val="101"/>
          <w:sz w:val="25"/>
          <w:szCs w:val="25"/>
        </w:rPr>
        <w:t xml:space="preserve"> </w:t>
      </w:r>
      <w:r>
        <w:rPr>
          <w:rFonts w:ascii="仿宋" w:hAnsi="仿宋" w:eastAsia="仿宋" w:cs="仿宋"/>
          <w:b/>
          <w:bCs/>
          <w:spacing w:val="3"/>
          <w:sz w:val="25"/>
          <w:szCs w:val="25"/>
        </w:rPr>
        <w:t>固体废物环境影响分析</w:t>
      </w:r>
    </w:p>
    <w:p w14:paraId="5D5E532F">
      <w:pPr>
        <w:spacing w:before="255" w:line="228" w:lineRule="auto"/>
        <w:ind w:left="8"/>
        <w:outlineLvl w:val="2"/>
        <w:rPr>
          <w:rFonts w:ascii="仿宋" w:hAnsi="仿宋" w:eastAsia="仿宋" w:cs="仿宋"/>
          <w:sz w:val="25"/>
          <w:szCs w:val="25"/>
        </w:rPr>
      </w:pPr>
      <w:r>
        <w:rPr>
          <w:rFonts w:ascii="Times New Roman" w:hAnsi="Times New Roman" w:eastAsia="Times New Roman" w:cs="Times New Roman"/>
          <w:b/>
          <w:bCs/>
          <w:spacing w:val="2"/>
          <w:sz w:val="25"/>
          <w:szCs w:val="25"/>
        </w:rPr>
        <w:t>5.7.1</w:t>
      </w:r>
      <w:r>
        <w:rPr>
          <w:rFonts w:ascii="Times New Roman" w:hAnsi="Times New Roman" w:eastAsia="Times New Roman" w:cs="Times New Roman"/>
          <w:b/>
          <w:bCs/>
          <w:spacing w:val="58"/>
          <w:sz w:val="25"/>
          <w:szCs w:val="25"/>
        </w:rPr>
        <w:t xml:space="preserve"> </w:t>
      </w:r>
      <w:r>
        <w:rPr>
          <w:rFonts w:ascii="仿宋" w:hAnsi="仿宋" w:eastAsia="仿宋" w:cs="仿宋"/>
          <w:b/>
          <w:bCs/>
          <w:spacing w:val="2"/>
          <w:sz w:val="25"/>
          <w:szCs w:val="25"/>
        </w:rPr>
        <w:t>固体废物产排量预测</w:t>
      </w:r>
    </w:p>
    <w:p w14:paraId="2036F4A8">
      <w:pPr>
        <w:spacing w:before="267" w:line="340" w:lineRule="auto"/>
        <w:ind w:left="16" w:right="69" w:firstLine="521"/>
        <w:jc w:val="both"/>
        <w:rPr>
          <w:rFonts w:ascii="仿宋" w:hAnsi="仿宋" w:eastAsia="仿宋" w:cs="仿宋"/>
          <w:sz w:val="25"/>
          <w:szCs w:val="25"/>
        </w:rPr>
      </w:pPr>
      <w:r>
        <w:rPr>
          <w:rFonts w:ascii="仿宋" w:hAnsi="仿宋" w:eastAsia="仿宋" w:cs="仿宋"/>
          <w:spacing w:val="8"/>
          <w:sz w:val="25"/>
          <w:szCs w:val="25"/>
        </w:rPr>
        <w:t>本次规划调整后，</w:t>
      </w:r>
      <w:r>
        <w:rPr>
          <w:rFonts w:ascii="仿宋" w:hAnsi="仿宋" w:eastAsia="仿宋" w:cs="仿宋"/>
          <w:spacing w:val="-72"/>
          <w:sz w:val="25"/>
          <w:szCs w:val="25"/>
        </w:rPr>
        <w:t xml:space="preserve"> </w:t>
      </w:r>
      <w:r>
        <w:rPr>
          <w:rFonts w:ascii="仿宋" w:hAnsi="仿宋" w:eastAsia="仿宋" w:cs="仿宋"/>
          <w:spacing w:val="8"/>
          <w:sz w:val="25"/>
          <w:szCs w:val="25"/>
        </w:rPr>
        <w:t>固废产生量不变约为</w:t>
      </w:r>
      <w:r>
        <w:rPr>
          <w:rFonts w:ascii="仿宋" w:hAnsi="仿宋" w:eastAsia="仿宋" w:cs="仿宋"/>
          <w:spacing w:val="-43"/>
          <w:sz w:val="25"/>
          <w:szCs w:val="25"/>
        </w:rPr>
        <w:t xml:space="preserve"> </w:t>
      </w:r>
      <w:r>
        <w:rPr>
          <w:rFonts w:ascii="Times New Roman" w:hAnsi="Times New Roman" w:eastAsia="Times New Roman" w:cs="Times New Roman"/>
          <w:spacing w:val="8"/>
          <w:sz w:val="25"/>
          <w:szCs w:val="25"/>
        </w:rPr>
        <w:t>57.58</w:t>
      </w:r>
      <w:r>
        <w:rPr>
          <w:rFonts w:ascii="Times New Roman" w:hAnsi="Times New Roman" w:eastAsia="Times New Roman" w:cs="Times New Roman"/>
          <w:spacing w:val="24"/>
          <w:w w:val="101"/>
          <w:sz w:val="25"/>
          <w:szCs w:val="25"/>
        </w:rPr>
        <w:t xml:space="preserve"> </w:t>
      </w:r>
      <w:r>
        <w:rPr>
          <w:rFonts w:ascii="仿宋" w:hAnsi="仿宋" w:eastAsia="仿宋" w:cs="仿宋"/>
          <w:spacing w:val="8"/>
          <w:sz w:val="25"/>
          <w:szCs w:val="25"/>
        </w:rPr>
        <w:t>万吨。规划将贯彻了</w:t>
      </w:r>
      <w:r>
        <w:rPr>
          <w:rFonts w:ascii="仿宋" w:hAnsi="仿宋" w:eastAsia="仿宋" w:cs="仿宋"/>
          <w:spacing w:val="7"/>
          <w:sz w:val="25"/>
          <w:szCs w:val="25"/>
        </w:rPr>
        <w:t>绿色矿</w:t>
      </w:r>
      <w:r>
        <w:rPr>
          <w:rFonts w:ascii="仿宋" w:hAnsi="仿宋" w:eastAsia="仿宋" w:cs="仿宋"/>
          <w:sz w:val="25"/>
          <w:szCs w:val="25"/>
        </w:rPr>
        <w:t xml:space="preserve"> </w:t>
      </w:r>
      <w:r>
        <w:rPr>
          <w:rFonts w:ascii="仿宋" w:hAnsi="仿宋" w:eastAsia="仿宋" w:cs="仿宋"/>
          <w:spacing w:val="10"/>
          <w:sz w:val="25"/>
          <w:szCs w:val="25"/>
        </w:rPr>
        <w:t>业发展理念，废石综合利用及安全处置率达到</w:t>
      </w:r>
      <w:r>
        <w:rPr>
          <w:rFonts w:ascii="仿宋" w:hAnsi="仿宋" w:eastAsia="仿宋" w:cs="仿宋"/>
          <w:spacing w:val="-25"/>
          <w:sz w:val="25"/>
          <w:szCs w:val="25"/>
        </w:rPr>
        <w:t xml:space="preserve"> </w:t>
      </w:r>
      <w:r>
        <w:rPr>
          <w:rFonts w:ascii="Times New Roman" w:hAnsi="Times New Roman" w:eastAsia="Times New Roman" w:cs="Times New Roman"/>
          <w:spacing w:val="10"/>
          <w:sz w:val="25"/>
          <w:szCs w:val="25"/>
        </w:rPr>
        <w:t>100%</w:t>
      </w:r>
      <w:r>
        <w:rPr>
          <w:rFonts w:ascii="Times New Roman" w:hAnsi="Times New Roman" w:eastAsia="Times New Roman" w:cs="Times New Roman"/>
          <w:spacing w:val="-18"/>
          <w:sz w:val="25"/>
          <w:szCs w:val="25"/>
        </w:rPr>
        <w:t xml:space="preserve"> </w:t>
      </w:r>
      <w:r>
        <w:rPr>
          <w:rFonts w:ascii="仿宋" w:hAnsi="仿宋" w:eastAsia="仿宋" w:cs="仿宋"/>
          <w:spacing w:val="10"/>
          <w:sz w:val="25"/>
          <w:szCs w:val="25"/>
        </w:rPr>
        <w:t>。与此同时，规划期内将</w:t>
      </w:r>
      <w:r>
        <w:rPr>
          <w:rFonts w:ascii="仿宋" w:hAnsi="仿宋" w:eastAsia="仿宋" w:cs="仿宋"/>
          <w:sz w:val="25"/>
          <w:szCs w:val="25"/>
        </w:rPr>
        <w:t xml:space="preserve"> </w:t>
      </w:r>
      <w:r>
        <w:rPr>
          <w:rFonts w:ascii="仿宋" w:hAnsi="仿宋" w:eastAsia="仿宋" w:cs="仿宋"/>
          <w:spacing w:val="10"/>
          <w:sz w:val="25"/>
          <w:szCs w:val="25"/>
        </w:rPr>
        <w:t>实施开采准入，严格控制矿山开采总量，对</w:t>
      </w:r>
      <w:r>
        <w:rPr>
          <w:rFonts w:ascii="仿宋" w:hAnsi="仿宋" w:eastAsia="仿宋" w:cs="仿宋"/>
          <w:spacing w:val="9"/>
          <w:sz w:val="25"/>
          <w:szCs w:val="25"/>
        </w:rPr>
        <w:t>矿山进行优化整合，增加大中型矿</w:t>
      </w:r>
      <w:r>
        <w:rPr>
          <w:rFonts w:ascii="仿宋" w:hAnsi="仿宋" w:eastAsia="仿宋" w:cs="仿宋"/>
          <w:sz w:val="25"/>
          <w:szCs w:val="25"/>
        </w:rPr>
        <w:t xml:space="preserve"> </w:t>
      </w:r>
      <w:r>
        <w:rPr>
          <w:rFonts w:ascii="仿宋" w:hAnsi="仿宋" w:eastAsia="仿宋" w:cs="仿宋"/>
          <w:spacing w:val="8"/>
          <w:sz w:val="25"/>
          <w:szCs w:val="25"/>
        </w:rPr>
        <w:t>山比例，可有效控制矿山企业固体废物产生及排放量。</w:t>
      </w:r>
    </w:p>
    <w:p w14:paraId="31BB0B93">
      <w:pPr>
        <w:spacing w:before="16" w:line="228" w:lineRule="auto"/>
        <w:ind w:left="8"/>
        <w:outlineLvl w:val="2"/>
        <w:rPr>
          <w:rFonts w:ascii="仿宋" w:hAnsi="仿宋" w:eastAsia="仿宋" w:cs="仿宋"/>
          <w:sz w:val="25"/>
          <w:szCs w:val="25"/>
        </w:rPr>
      </w:pPr>
      <w:r>
        <w:rPr>
          <w:rFonts w:ascii="Times New Roman" w:hAnsi="Times New Roman" w:eastAsia="Times New Roman" w:cs="Times New Roman"/>
          <w:b/>
          <w:bCs/>
          <w:spacing w:val="3"/>
          <w:sz w:val="25"/>
          <w:szCs w:val="25"/>
        </w:rPr>
        <w:t>5.7.2</w:t>
      </w:r>
      <w:r>
        <w:rPr>
          <w:rFonts w:ascii="Times New Roman" w:hAnsi="Times New Roman" w:eastAsia="Times New Roman" w:cs="Times New Roman"/>
          <w:b/>
          <w:bCs/>
          <w:spacing w:val="29"/>
          <w:sz w:val="25"/>
          <w:szCs w:val="25"/>
        </w:rPr>
        <w:t xml:space="preserve"> </w:t>
      </w:r>
      <w:r>
        <w:rPr>
          <w:rFonts w:ascii="仿宋" w:hAnsi="仿宋" w:eastAsia="仿宋" w:cs="仿宋"/>
          <w:b/>
          <w:bCs/>
          <w:spacing w:val="3"/>
          <w:sz w:val="25"/>
          <w:szCs w:val="25"/>
        </w:rPr>
        <w:t>环境影响分析</w:t>
      </w:r>
    </w:p>
    <w:p w14:paraId="2391A5B8">
      <w:pPr>
        <w:spacing w:before="253" w:line="339" w:lineRule="auto"/>
        <w:ind w:left="18" w:right="71" w:firstLine="505"/>
        <w:jc w:val="both"/>
        <w:rPr>
          <w:rFonts w:ascii="仿宋" w:hAnsi="仿宋" w:eastAsia="仿宋" w:cs="仿宋"/>
          <w:sz w:val="25"/>
          <w:szCs w:val="25"/>
        </w:rPr>
      </w:pPr>
      <w:r>
        <w:rPr>
          <w:rFonts w:ascii="仿宋" w:hAnsi="仿宋" w:eastAsia="仿宋" w:cs="仿宋"/>
          <w:spacing w:val="10"/>
          <w:sz w:val="25"/>
          <w:szCs w:val="25"/>
        </w:rPr>
        <w:t>固体废弃物堆积是矿山地质环境面临的一个主要问题，它一般包括剥</w:t>
      </w:r>
      <w:r>
        <w:rPr>
          <w:rFonts w:ascii="仿宋" w:hAnsi="仿宋" w:eastAsia="仿宋" w:cs="仿宋"/>
          <w:spacing w:val="9"/>
          <w:sz w:val="25"/>
          <w:szCs w:val="25"/>
        </w:rPr>
        <w:t>离废</w:t>
      </w:r>
      <w:r>
        <w:rPr>
          <w:rFonts w:ascii="仿宋" w:hAnsi="仿宋" w:eastAsia="仿宋" w:cs="仿宋"/>
          <w:sz w:val="25"/>
          <w:szCs w:val="25"/>
        </w:rPr>
        <w:t xml:space="preserve"> </w:t>
      </w:r>
      <w:r>
        <w:rPr>
          <w:rFonts w:ascii="仿宋" w:hAnsi="仿宋" w:eastAsia="仿宋" w:cs="仿宋"/>
          <w:spacing w:val="8"/>
          <w:sz w:val="25"/>
          <w:szCs w:val="25"/>
        </w:rPr>
        <w:t>弃物、废石（渣）等固相废料。</w:t>
      </w:r>
      <w:r>
        <w:rPr>
          <w:rFonts w:ascii="仿宋" w:hAnsi="仿宋" w:eastAsia="仿宋" w:cs="仿宋"/>
          <w:spacing w:val="-72"/>
          <w:sz w:val="25"/>
          <w:szCs w:val="25"/>
        </w:rPr>
        <w:t xml:space="preserve"> </w:t>
      </w:r>
      <w:r>
        <w:rPr>
          <w:rFonts w:ascii="仿宋" w:hAnsi="仿宋" w:eastAsia="仿宋" w:cs="仿宋"/>
          <w:spacing w:val="8"/>
          <w:sz w:val="25"/>
          <w:szCs w:val="25"/>
        </w:rPr>
        <w:t>固相废弃物堆积一般具有占地、边坡稳定</w:t>
      </w:r>
      <w:r>
        <w:rPr>
          <w:rFonts w:ascii="仿宋" w:hAnsi="仿宋" w:eastAsia="仿宋" w:cs="仿宋"/>
          <w:spacing w:val="7"/>
          <w:sz w:val="25"/>
          <w:szCs w:val="25"/>
        </w:rPr>
        <w:t>、淋</w:t>
      </w:r>
      <w:r>
        <w:rPr>
          <w:rFonts w:ascii="仿宋" w:hAnsi="仿宋" w:eastAsia="仿宋" w:cs="仿宋"/>
          <w:sz w:val="25"/>
          <w:szCs w:val="25"/>
        </w:rPr>
        <w:t xml:space="preserve"> </w:t>
      </w:r>
      <w:r>
        <w:rPr>
          <w:rFonts w:ascii="仿宋" w:hAnsi="仿宋" w:eastAsia="仿宋" w:cs="仿宋"/>
          <w:spacing w:val="9"/>
          <w:sz w:val="25"/>
          <w:szCs w:val="25"/>
        </w:rPr>
        <w:t>滤次生污染、风化扬尘污染等四大环境效应。风化扬尘污染在大气环境影响中</w:t>
      </w:r>
      <w:r>
        <w:rPr>
          <w:rFonts w:ascii="仿宋" w:hAnsi="仿宋" w:eastAsia="仿宋" w:cs="仿宋"/>
          <w:spacing w:val="17"/>
          <w:sz w:val="25"/>
          <w:szCs w:val="25"/>
        </w:rPr>
        <w:t xml:space="preserve"> </w:t>
      </w:r>
      <w:r>
        <w:rPr>
          <w:rFonts w:ascii="仿宋" w:hAnsi="仿宋" w:eastAsia="仿宋" w:cs="仿宋"/>
          <w:spacing w:val="9"/>
          <w:sz w:val="25"/>
          <w:szCs w:val="25"/>
        </w:rPr>
        <w:t>进行分析，工程占地在资源承载力中进行评价，此处不再进行</w:t>
      </w:r>
      <w:r>
        <w:rPr>
          <w:rFonts w:ascii="仿宋" w:hAnsi="仿宋" w:eastAsia="仿宋" w:cs="仿宋"/>
          <w:spacing w:val="8"/>
          <w:sz w:val="25"/>
          <w:szCs w:val="25"/>
        </w:rPr>
        <w:t>评价。</w:t>
      </w:r>
    </w:p>
    <w:p w14:paraId="182B45F2">
      <w:pPr>
        <w:spacing w:before="1" w:line="340" w:lineRule="auto"/>
        <w:ind w:left="16" w:right="71" w:firstLine="481"/>
        <w:jc w:val="both"/>
        <w:rPr>
          <w:rFonts w:ascii="仿宋" w:hAnsi="仿宋" w:eastAsia="仿宋" w:cs="仿宋"/>
          <w:sz w:val="25"/>
          <w:szCs w:val="25"/>
        </w:rPr>
      </w:pPr>
      <w:r>
        <w:rPr>
          <w:rFonts w:ascii="仿宋" w:hAnsi="仿宋" w:eastAsia="仿宋" w:cs="仿宋"/>
          <w:spacing w:val="11"/>
          <w:sz w:val="25"/>
          <w:szCs w:val="25"/>
        </w:rPr>
        <w:t>本次调整的露天开采矿种饰面用灰岩矿属于非金属矿山</w:t>
      </w:r>
      <w:r>
        <w:rPr>
          <w:rFonts w:ascii="仿宋" w:hAnsi="仿宋" w:eastAsia="仿宋" w:cs="仿宋"/>
          <w:spacing w:val="10"/>
          <w:sz w:val="25"/>
          <w:szCs w:val="25"/>
        </w:rPr>
        <w:t>，在开采过程中产</w:t>
      </w:r>
      <w:r>
        <w:rPr>
          <w:rFonts w:ascii="仿宋" w:hAnsi="仿宋" w:eastAsia="仿宋" w:cs="仿宋"/>
          <w:sz w:val="25"/>
          <w:szCs w:val="25"/>
        </w:rPr>
        <w:t xml:space="preserve"> </w:t>
      </w:r>
      <w:r>
        <w:rPr>
          <w:rFonts w:ascii="仿宋" w:hAnsi="仿宋" w:eastAsia="仿宋" w:cs="仿宋"/>
          <w:spacing w:val="10"/>
          <w:sz w:val="25"/>
          <w:szCs w:val="25"/>
        </w:rPr>
        <w:t>生的剥离表土和废石暂存于弃渣场，剥离的</w:t>
      </w:r>
      <w:r>
        <w:rPr>
          <w:rFonts w:ascii="仿宋" w:hAnsi="仿宋" w:eastAsia="仿宋" w:cs="仿宋"/>
          <w:spacing w:val="9"/>
          <w:sz w:val="25"/>
          <w:szCs w:val="25"/>
        </w:rPr>
        <w:t>表土部分用于矿区已开采完毕的台</w:t>
      </w:r>
      <w:r>
        <w:rPr>
          <w:rFonts w:ascii="仿宋" w:hAnsi="仿宋" w:eastAsia="仿宋" w:cs="仿宋"/>
          <w:sz w:val="25"/>
          <w:szCs w:val="25"/>
        </w:rPr>
        <w:t xml:space="preserve"> </w:t>
      </w:r>
      <w:r>
        <w:rPr>
          <w:rFonts w:ascii="仿宋" w:hAnsi="仿宋" w:eastAsia="仿宋" w:cs="仿宋"/>
          <w:spacing w:val="10"/>
          <w:sz w:val="25"/>
          <w:szCs w:val="25"/>
        </w:rPr>
        <w:t>阶及边坡生态恢复表层用土；闭矿后表土全</w:t>
      </w:r>
      <w:r>
        <w:rPr>
          <w:rFonts w:ascii="仿宋" w:hAnsi="仿宋" w:eastAsia="仿宋" w:cs="仿宋"/>
          <w:spacing w:val="9"/>
          <w:sz w:val="25"/>
          <w:szCs w:val="25"/>
        </w:rPr>
        <w:t>部用于恢复地表植被表层土；废石</w:t>
      </w:r>
      <w:r>
        <w:rPr>
          <w:rFonts w:ascii="仿宋" w:hAnsi="仿宋" w:eastAsia="仿宋" w:cs="仿宋"/>
          <w:sz w:val="25"/>
          <w:szCs w:val="25"/>
        </w:rPr>
        <w:t xml:space="preserve"> </w:t>
      </w:r>
      <w:r>
        <w:rPr>
          <w:rFonts w:ascii="仿宋" w:hAnsi="仿宋" w:eastAsia="仿宋" w:cs="仿宋"/>
          <w:spacing w:val="10"/>
          <w:sz w:val="25"/>
          <w:szCs w:val="25"/>
        </w:rPr>
        <w:t>用于运输道路、工业广场修复，剩余的堆放</w:t>
      </w:r>
      <w:r>
        <w:rPr>
          <w:rFonts w:ascii="仿宋" w:hAnsi="仿宋" w:eastAsia="仿宋" w:cs="仿宋"/>
          <w:spacing w:val="9"/>
          <w:sz w:val="25"/>
          <w:szCs w:val="25"/>
        </w:rPr>
        <w:t>到弃渣场，实现废石最大化综合利</w:t>
      </w:r>
      <w:r>
        <w:rPr>
          <w:rFonts w:ascii="仿宋" w:hAnsi="仿宋" w:eastAsia="仿宋" w:cs="仿宋"/>
          <w:sz w:val="25"/>
          <w:szCs w:val="25"/>
        </w:rPr>
        <w:t xml:space="preserve"> </w:t>
      </w:r>
      <w:r>
        <w:rPr>
          <w:rFonts w:ascii="仿宋" w:hAnsi="仿宋" w:eastAsia="仿宋" w:cs="仿宋"/>
          <w:spacing w:val="7"/>
          <w:sz w:val="25"/>
          <w:szCs w:val="25"/>
        </w:rPr>
        <w:t>用，对环境影响可以接受。</w:t>
      </w:r>
    </w:p>
    <w:p w14:paraId="11F95AAE">
      <w:pPr>
        <w:spacing w:before="6" w:line="339" w:lineRule="auto"/>
        <w:ind w:left="16" w:firstLine="481"/>
        <w:jc w:val="both"/>
        <w:rPr>
          <w:rFonts w:ascii="仿宋" w:hAnsi="仿宋" w:eastAsia="仿宋" w:cs="仿宋"/>
          <w:sz w:val="25"/>
          <w:szCs w:val="25"/>
        </w:rPr>
      </w:pPr>
      <w:r>
        <w:rPr>
          <w:rFonts w:ascii="仿宋" w:hAnsi="仿宋" w:eastAsia="仿宋" w:cs="仿宋"/>
          <w:spacing w:val="11"/>
          <w:sz w:val="25"/>
          <w:szCs w:val="25"/>
        </w:rPr>
        <w:t>本次调整的铸型用砂岩矿和铝土矿为地下开采矿山，可</w:t>
      </w:r>
      <w:r>
        <w:rPr>
          <w:rFonts w:ascii="仿宋" w:hAnsi="仿宋" w:eastAsia="仿宋" w:cs="仿宋"/>
          <w:spacing w:val="10"/>
          <w:sz w:val="25"/>
          <w:szCs w:val="25"/>
        </w:rPr>
        <w:t>将采矿产生的固体</w:t>
      </w:r>
      <w:r>
        <w:rPr>
          <w:rFonts w:ascii="仿宋" w:hAnsi="仿宋" w:eastAsia="仿宋" w:cs="仿宋"/>
          <w:sz w:val="25"/>
          <w:szCs w:val="25"/>
        </w:rPr>
        <w:t xml:space="preserve"> </w:t>
      </w:r>
      <w:r>
        <w:rPr>
          <w:rFonts w:ascii="仿宋" w:hAnsi="仿宋" w:eastAsia="仿宋" w:cs="仿宋"/>
          <w:spacing w:val="10"/>
          <w:sz w:val="25"/>
          <w:szCs w:val="25"/>
        </w:rPr>
        <w:t>废物（废石）尽量回填采空区，实现废石的</w:t>
      </w:r>
      <w:r>
        <w:rPr>
          <w:rFonts w:ascii="仿宋" w:hAnsi="仿宋" w:eastAsia="仿宋" w:cs="仿宋"/>
          <w:spacing w:val="9"/>
          <w:sz w:val="25"/>
          <w:szCs w:val="25"/>
        </w:rPr>
        <w:t>最大化资源利用；不能回填的废石</w:t>
      </w:r>
      <w:r>
        <w:rPr>
          <w:rFonts w:ascii="仿宋" w:hAnsi="仿宋" w:eastAsia="仿宋" w:cs="仿宋"/>
          <w:sz w:val="25"/>
          <w:szCs w:val="25"/>
        </w:rPr>
        <w:t xml:space="preserve"> </w:t>
      </w:r>
      <w:r>
        <w:rPr>
          <w:rFonts w:ascii="仿宋" w:hAnsi="仿宋" w:eastAsia="仿宋" w:cs="仿宋"/>
          <w:spacing w:val="10"/>
          <w:sz w:val="25"/>
          <w:szCs w:val="25"/>
        </w:rPr>
        <w:t>应及时运至地面，其中铸型用砂岩和铝土矿</w:t>
      </w:r>
      <w:r>
        <w:rPr>
          <w:rFonts w:ascii="仿宋" w:hAnsi="仿宋" w:eastAsia="仿宋" w:cs="仿宋"/>
          <w:spacing w:val="9"/>
          <w:sz w:val="25"/>
          <w:szCs w:val="25"/>
        </w:rPr>
        <w:t>废石均为一般固废，按照《一般工</w:t>
      </w:r>
      <w:r>
        <w:rPr>
          <w:rFonts w:ascii="仿宋" w:hAnsi="仿宋" w:eastAsia="仿宋" w:cs="仿宋"/>
          <w:sz w:val="25"/>
          <w:szCs w:val="25"/>
        </w:rPr>
        <w:t xml:space="preserve"> </w:t>
      </w:r>
      <w:r>
        <w:rPr>
          <w:rFonts w:ascii="仿宋" w:hAnsi="仿宋" w:eastAsia="仿宋" w:cs="仿宋"/>
          <w:spacing w:val="7"/>
          <w:sz w:val="25"/>
          <w:szCs w:val="25"/>
        </w:rPr>
        <w:t>业固体废物贮存和填埋污染控制标准》（</w:t>
      </w:r>
      <w:r>
        <w:rPr>
          <w:rFonts w:ascii="Times New Roman" w:hAnsi="Times New Roman" w:eastAsia="Times New Roman" w:cs="Times New Roman"/>
          <w:sz w:val="25"/>
          <w:szCs w:val="25"/>
        </w:rPr>
        <w:t>GB</w:t>
      </w:r>
      <w:r>
        <w:rPr>
          <w:rFonts w:ascii="Times New Roman" w:hAnsi="Times New Roman" w:eastAsia="Times New Roman" w:cs="Times New Roman"/>
          <w:spacing w:val="7"/>
          <w:sz w:val="25"/>
          <w:szCs w:val="25"/>
        </w:rPr>
        <w:t>18599-2020</w:t>
      </w:r>
      <w:r>
        <w:rPr>
          <w:rFonts w:ascii="仿宋" w:hAnsi="仿宋" w:eastAsia="仿宋" w:cs="仿宋"/>
          <w:spacing w:val="7"/>
          <w:sz w:val="25"/>
          <w:szCs w:val="25"/>
        </w:rPr>
        <w:t>）要求做好废石堆场选</w:t>
      </w:r>
      <w:r>
        <w:rPr>
          <w:rFonts w:ascii="仿宋" w:hAnsi="仿宋" w:eastAsia="仿宋" w:cs="仿宋"/>
          <w:spacing w:val="6"/>
          <w:sz w:val="25"/>
          <w:szCs w:val="25"/>
        </w:rPr>
        <w:t xml:space="preserve"> </w:t>
      </w:r>
      <w:r>
        <w:rPr>
          <w:rFonts w:ascii="仿宋" w:hAnsi="仿宋" w:eastAsia="仿宋" w:cs="仿宋"/>
          <w:spacing w:val="1"/>
          <w:sz w:val="25"/>
          <w:szCs w:val="25"/>
        </w:rPr>
        <w:t>址等工作。按照相关规划要求，到</w:t>
      </w:r>
      <w:r>
        <w:rPr>
          <w:rFonts w:ascii="仿宋" w:hAnsi="仿宋" w:eastAsia="仿宋" w:cs="仿宋"/>
          <w:spacing w:val="-37"/>
          <w:sz w:val="25"/>
          <w:szCs w:val="25"/>
        </w:rPr>
        <w:t xml:space="preserve"> </w:t>
      </w:r>
      <w:r>
        <w:rPr>
          <w:rFonts w:ascii="Times New Roman" w:hAnsi="Times New Roman" w:eastAsia="Times New Roman" w:cs="Times New Roman"/>
          <w:spacing w:val="1"/>
          <w:sz w:val="25"/>
          <w:szCs w:val="25"/>
        </w:rPr>
        <w:t>2025</w:t>
      </w:r>
      <w:r>
        <w:rPr>
          <w:rFonts w:ascii="Times New Roman" w:hAnsi="Times New Roman" w:eastAsia="Times New Roman" w:cs="Times New Roman"/>
          <w:spacing w:val="27"/>
          <w:w w:val="101"/>
          <w:sz w:val="25"/>
          <w:szCs w:val="25"/>
        </w:rPr>
        <w:t xml:space="preserve"> </w:t>
      </w:r>
      <w:r>
        <w:rPr>
          <w:rFonts w:ascii="仿宋" w:hAnsi="仿宋" w:eastAsia="仿宋" w:cs="仿宋"/>
          <w:spacing w:val="1"/>
          <w:sz w:val="25"/>
          <w:szCs w:val="25"/>
        </w:rPr>
        <w:t>年，一般固体废物安全处置率为</w:t>
      </w:r>
      <w:r>
        <w:rPr>
          <w:rFonts w:ascii="仿宋" w:hAnsi="仿宋" w:eastAsia="仿宋" w:cs="仿宋"/>
          <w:spacing w:val="-28"/>
          <w:sz w:val="25"/>
          <w:szCs w:val="25"/>
        </w:rPr>
        <w:t xml:space="preserve"> </w:t>
      </w:r>
      <w:r>
        <w:rPr>
          <w:rFonts w:ascii="Times New Roman" w:hAnsi="Times New Roman" w:eastAsia="Times New Roman" w:cs="Times New Roman"/>
          <w:spacing w:val="1"/>
          <w:sz w:val="25"/>
          <w:szCs w:val="25"/>
        </w:rPr>
        <w:t>100%</w:t>
      </w:r>
      <w:r>
        <w:rPr>
          <w:rFonts w:ascii="仿宋" w:hAnsi="仿宋" w:eastAsia="仿宋" w:cs="仿宋"/>
          <w:spacing w:val="1"/>
          <w:sz w:val="25"/>
          <w:szCs w:val="25"/>
        </w:rPr>
        <w:t>，</w:t>
      </w:r>
      <w:r>
        <w:rPr>
          <w:rFonts w:ascii="仿宋" w:hAnsi="仿宋" w:eastAsia="仿宋" w:cs="仿宋"/>
          <w:sz w:val="25"/>
          <w:szCs w:val="25"/>
        </w:rPr>
        <w:t xml:space="preserve"> </w:t>
      </w:r>
      <w:r>
        <w:rPr>
          <w:rFonts w:ascii="仿宋" w:hAnsi="仿宋" w:eastAsia="仿宋" w:cs="仿宋"/>
          <w:spacing w:val="5"/>
          <w:sz w:val="25"/>
          <w:szCs w:val="25"/>
        </w:rPr>
        <w:t>危险废物安全处理处置率为</w:t>
      </w:r>
      <w:r>
        <w:rPr>
          <w:rFonts w:ascii="仿宋" w:hAnsi="仿宋" w:eastAsia="仿宋" w:cs="仿宋"/>
          <w:spacing w:val="-23"/>
          <w:sz w:val="25"/>
          <w:szCs w:val="25"/>
        </w:rPr>
        <w:t xml:space="preserve"> </w:t>
      </w:r>
      <w:r>
        <w:rPr>
          <w:rFonts w:ascii="Times New Roman" w:hAnsi="Times New Roman" w:eastAsia="Times New Roman" w:cs="Times New Roman"/>
          <w:spacing w:val="5"/>
          <w:sz w:val="25"/>
          <w:szCs w:val="25"/>
        </w:rPr>
        <w:t>100%</w:t>
      </w:r>
      <w:r>
        <w:rPr>
          <w:rFonts w:ascii="仿宋" w:hAnsi="仿宋" w:eastAsia="仿宋" w:cs="仿宋"/>
          <w:spacing w:val="5"/>
          <w:sz w:val="25"/>
          <w:szCs w:val="25"/>
        </w:rPr>
        <w:t>。</w:t>
      </w:r>
    </w:p>
    <w:p w14:paraId="342AF8CD">
      <w:pPr>
        <w:spacing w:before="5" w:line="339" w:lineRule="auto"/>
        <w:ind w:left="15" w:right="71" w:firstLine="482"/>
        <w:jc w:val="both"/>
        <w:rPr>
          <w:rFonts w:ascii="仿宋" w:hAnsi="仿宋" w:eastAsia="仿宋" w:cs="仿宋"/>
          <w:sz w:val="25"/>
          <w:szCs w:val="25"/>
        </w:rPr>
      </w:pPr>
      <w:r>
        <w:rPr>
          <w:rFonts w:ascii="仿宋" w:hAnsi="仿宋" w:eastAsia="仿宋" w:cs="仿宋"/>
          <w:spacing w:val="11"/>
          <w:sz w:val="25"/>
          <w:szCs w:val="25"/>
        </w:rPr>
        <w:t>对采矿活动所产生的固体废物，应使用专用场所堆放</w:t>
      </w:r>
      <w:r>
        <w:rPr>
          <w:rFonts w:ascii="仿宋" w:hAnsi="仿宋" w:eastAsia="仿宋" w:cs="仿宋"/>
          <w:spacing w:val="10"/>
          <w:sz w:val="25"/>
          <w:szCs w:val="25"/>
        </w:rPr>
        <w:t>，并采取有效措施防</w:t>
      </w:r>
      <w:r>
        <w:rPr>
          <w:rFonts w:ascii="仿宋" w:hAnsi="仿宋" w:eastAsia="仿宋" w:cs="仿宋"/>
          <w:sz w:val="25"/>
          <w:szCs w:val="25"/>
        </w:rPr>
        <w:t xml:space="preserve"> </w:t>
      </w:r>
      <w:r>
        <w:rPr>
          <w:rFonts w:ascii="仿宋" w:hAnsi="仿宋" w:eastAsia="仿宋" w:cs="仿宋"/>
          <w:spacing w:val="10"/>
          <w:sz w:val="25"/>
          <w:szCs w:val="25"/>
        </w:rPr>
        <w:t>止二次环境污染及诱发次生地质灾害，项目实</w:t>
      </w:r>
      <w:r>
        <w:rPr>
          <w:rFonts w:ascii="仿宋" w:hAnsi="仿宋" w:eastAsia="仿宋" w:cs="仿宋"/>
          <w:spacing w:val="9"/>
          <w:sz w:val="25"/>
          <w:szCs w:val="25"/>
        </w:rPr>
        <w:t>施时，应根据采矿固体废物的性</w:t>
      </w:r>
      <w:r>
        <w:rPr>
          <w:rFonts w:ascii="仿宋" w:hAnsi="仿宋" w:eastAsia="仿宋" w:cs="仿宋"/>
          <w:sz w:val="25"/>
          <w:szCs w:val="25"/>
        </w:rPr>
        <w:t xml:space="preserve"> </w:t>
      </w:r>
      <w:r>
        <w:rPr>
          <w:rFonts w:ascii="仿宋" w:hAnsi="仿宋" w:eastAsia="仿宋" w:cs="仿宋"/>
          <w:spacing w:val="10"/>
          <w:sz w:val="25"/>
          <w:szCs w:val="25"/>
        </w:rPr>
        <w:t>质、贮存场所的工程地质情况，采取完善的防</w:t>
      </w:r>
      <w:r>
        <w:rPr>
          <w:rFonts w:ascii="仿宋" w:hAnsi="仿宋" w:eastAsia="仿宋" w:cs="仿宋"/>
          <w:spacing w:val="9"/>
          <w:sz w:val="25"/>
          <w:szCs w:val="25"/>
        </w:rPr>
        <w:t>渗、集排水措施，防止淋溶水污</w:t>
      </w:r>
      <w:r>
        <w:rPr>
          <w:rFonts w:ascii="仿宋" w:hAnsi="仿宋" w:eastAsia="仿宋" w:cs="仿宋"/>
          <w:sz w:val="25"/>
          <w:szCs w:val="25"/>
        </w:rPr>
        <w:t xml:space="preserve"> </w:t>
      </w:r>
      <w:r>
        <w:rPr>
          <w:rFonts w:ascii="仿宋" w:hAnsi="仿宋" w:eastAsia="仿宋" w:cs="仿宋"/>
          <w:spacing w:val="6"/>
          <w:sz w:val="25"/>
          <w:szCs w:val="25"/>
        </w:rPr>
        <w:t>染地表水和地下水。</w:t>
      </w:r>
    </w:p>
    <w:p w14:paraId="05694853">
      <w:pPr>
        <w:spacing w:line="339" w:lineRule="auto"/>
        <w:rPr>
          <w:rFonts w:ascii="仿宋" w:hAnsi="仿宋" w:eastAsia="仿宋" w:cs="仿宋"/>
          <w:sz w:val="25"/>
          <w:szCs w:val="25"/>
        </w:rPr>
        <w:sectPr>
          <w:footerReference r:id="rId206" w:type="default"/>
          <w:pgSz w:w="11906" w:h="16839"/>
          <w:pgMar w:top="1116" w:right="1404" w:bottom="866" w:left="1587" w:header="683" w:footer="703" w:gutter="0"/>
          <w:cols w:space="720" w:num="1"/>
        </w:sectPr>
      </w:pPr>
    </w:p>
    <w:p w14:paraId="62FB8240">
      <w:pPr>
        <w:pStyle w:val="2"/>
        <w:spacing w:line="385" w:lineRule="auto"/>
      </w:pPr>
    </w:p>
    <w:p w14:paraId="2FBBB3C0">
      <w:pPr>
        <w:spacing w:before="81" w:line="341" w:lineRule="auto"/>
        <w:ind w:left="49" w:right="27" w:firstLine="478"/>
        <w:rPr>
          <w:rFonts w:ascii="仿宋" w:hAnsi="仿宋" w:eastAsia="仿宋" w:cs="仿宋"/>
          <w:sz w:val="25"/>
          <w:szCs w:val="25"/>
        </w:rPr>
      </w:pPr>
      <w:r>
        <w:rPr>
          <w:rFonts w:ascii="仿宋" w:hAnsi="仿宋" w:eastAsia="仿宋" w:cs="仿宋"/>
          <w:spacing w:val="11"/>
          <w:sz w:val="25"/>
          <w:szCs w:val="25"/>
        </w:rPr>
        <w:t>在采取上述措施，并执行相关环保要求后，规划实施</w:t>
      </w:r>
      <w:r>
        <w:rPr>
          <w:rFonts w:ascii="仿宋" w:hAnsi="仿宋" w:eastAsia="仿宋" w:cs="仿宋"/>
          <w:spacing w:val="10"/>
          <w:sz w:val="25"/>
          <w:szCs w:val="25"/>
        </w:rPr>
        <w:t>产生的固体废物对环</w:t>
      </w:r>
      <w:r>
        <w:rPr>
          <w:rFonts w:ascii="仿宋" w:hAnsi="仿宋" w:eastAsia="仿宋" w:cs="仿宋"/>
          <w:sz w:val="25"/>
          <w:szCs w:val="25"/>
        </w:rPr>
        <w:t xml:space="preserve"> </w:t>
      </w:r>
      <w:r>
        <w:rPr>
          <w:rFonts w:ascii="仿宋" w:hAnsi="仿宋" w:eastAsia="仿宋" w:cs="仿宋"/>
          <w:spacing w:val="7"/>
          <w:sz w:val="25"/>
          <w:szCs w:val="25"/>
        </w:rPr>
        <w:t>境造成的影响可降至最低。</w:t>
      </w:r>
    </w:p>
    <w:p w14:paraId="689318A7">
      <w:pPr>
        <w:spacing w:before="10" w:line="228" w:lineRule="auto"/>
        <w:ind w:left="37"/>
        <w:outlineLvl w:val="1"/>
        <w:rPr>
          <w:rFonts w:ascii="仿宋" w:hAnsi="仿宋" w:eastAsia="仿宋" w:cs="仿宋"/>
          <w:sz w:val="25"/>
          <w:szCs w:val="25"/>
        </w:rPr>
      </w:pPr>
      <w:bookmarkStart w:id="34" w:name="bookmark30"/>
      <w:bookmarkEnd w:id="34"/>
      <w:r>
        <w:rPr>
          <w:rFonts w:ascii="Times New Roman" w:hAnsi="Times New Roman" w:eastAsia="Times New Roman" w:cs="Times New Roman"/>
          <w:b/>
          <w:bCs/>
          <w:spacing w:val="6"/>
          <w:sz w:val="25"/>
          <w:szCs w:val="25"/>
        </w:rPr>
        <w:t>5.8</w:t>
      </w:r>
      <w:r>
        <w:rPr>
          <w:rFonts w:ascii="Times New Roman" w:hAnsi="Times New Roman" w:eastAsia="Times New Roman" w:cs="Times New Roman"/>
          <w:b/>
          <w:bCs/>
          <w:spacing w:val="21"/>
          <w:sz w:val="25"/>
          <w:szCs w:val="25"/>
        </w:rPr>
        <w:t xml:space="preserve"> </w:t>
      </w:r>
      <w:r>
        <w:rPr>
          <w:rFonts w:ascii="仿宋" w:hAnsi="仿宋" w:eastAsia="仿宋" w:cs="仿宋"/>
          <w:b/>
          <w:bCs/>
          <w:spacing w:val="6"/>
          <w:sz w:val="25"/>
          <w:szCs w:val="25"/>
        </w:rPr>
        <w:t>规划前后污染物排放量对比分析</w:t>
      </w:r>
    </w:p>
    <w:p w14:paraId="24053CFB">
      <w:pPr>
        <w:spacing w:before="254" w:line="340" w:lineRule="auto"/>
        <w:ind w:left="46" w:right="24" w:firstLine="478"/>
        <w:jc w:val="both"/>
        <w:rPr>
          <w:rFonts w:ascii="仿宋" w:hAnsi="仿宋" w:eastAsia="仿宋" w:cs="仿宋"/>
          <w:sz w:val="25"/>
          <w:szCs w:val="25"/>
        </w:rPr>
      </w:pPr>
      <w:r>
        <w:rPr>
          <w:rFonts w:ascii="仿宋" w:hAnsi="仿宋" w:eastAsia="仿宋" w:cs="仿宋"/>
          <w:spacing w:val="6"/>
          <w:sz w:val="25"/>
          <w:szCs w:val="25"/>
        </w:rPr>
        <w:t>经以上分析，规划调整前后污染物排放量对比分析详见表</w:t>
      </w:r>
      <w:r>
        <w:rPr>
          <w:rFonts w:ascii="仿宋" w:hAnsi="仿宋" w:eastAsia="仿宋" w:cs="仿宋"/>
          <w:spacing w:val="-45"/>
          <w:sz w:val="25"/>
          <w:szCs w:val="25"/>
        </w:rPr>
        <w:t xml:space="preserve"> </w:t>
      </w:r>
      <w:r>
        <w:rPr>
          <w:rFonts w:ascii="Times New Roman" w:hAnsi="Times New Roman" w:eastAsia="Times New Roman" w:cs="Times New Roman"/>
          <w:spacing w:val="6"/>
          <w:sz w:val="25"/>
          <w:szCs w:val="25"/>
        </w:rPr>
        <w:t>5.8-1</w:t>
      </w:r>
      <w:r>
        <w:rPr>
          <w:rFonts w:ascii="Times New Roman" w:hAnsi="Times New Roman" w:eastAsia="Times New Roman" w:cs="Times New Roman"/>
          <w:spacing w:val="-26"/>
          <w:sz w:val="25"/>
          <w:szCs w:val="25"/>
        </w:rPr>
        <w:t xml:space="preserve"> </w:t>
      </w:r>
      <w:r>
        <w:rPr>
          <w:rFonts w:ascii="仿宋" w:hAnsi="仿宋" w:eastAsia="仿宋" w:cs="仿宋"/>
          <w:spacing w:val="6"/>
          <w:sz w:val="25"/>
          <w:szCs w:val="25"/>
        </w:rPr>
        <w:t>。由下</w:t>
      </w:r>
      <w:r>
        <w:rPr>
          <w:rFonts w:ascii="仿宋" w:hAnsi="仿宋" w:eastAsia="仿宋" w:cs="仿宋"/>
          <w:spacing w:val="5"/>
          <w:sz w:val="25"/>
          <w:szCs w:val="25"/>
        </w:rPr>
        <w:t>表可</w:t>
      </w:r>
      <w:r>
        <w:rPr>
          <w:rFonts w:ascii="仿宋" w:hAnsi="仿宋" w:eastAsia="仿宋" w:cs="仿宋"/>
          <w:sz w:val="25"/>
          <w:szCs w:val="25"/>
        </w:rPr>
        <w:t xml:space="preserve"> </w:t>
      </w:r>
      <w:r>
        <w:rPr>
          <w:rFonts w:ascii="仿宋" w:hAnsi="仿宋" w:eastAsia="仿宋" w:cs="仿宋"/>
          <w:spacing w:val="8"/>
          <w:sz w:val="25"/>
          <w:szCs w:val="25"/>
        </w:rPr>
        <w:t>看出，规划实施后粉尘、废水、</w:t>
      </w:r>
      <w:r>
        <w:rPr>
          <w:rFonts w:ascii="仿宋" w:hAnsi="仿宋" w:eastAsia="仿宋" w:cs="仿宋"/>
          <w:spacing w:val="-70"/>
          <w:sz w:val="25"/>
          <w:szCs w:val="25"/>
        </w:rPr>
        <w:t xml:space="preserve"> </w:t>
      </w:r>
      <w:r>
        <w:rPr>
          <w:rFonts w:ascii="仿宋" w:hAnsi="仿宋" w:eastAsia="仿宋" w:cs="仿宋"/>
          <w:spacing w:val="8"/>
          <w:sz w:val="25"/>
          <w:szCs w:val="25"/>
        </w:rPr>
        <w:t>固废排放量不变，规划实施过程中应严格落实</w:t>
      </w:r>
      <w:r>
        <w:rPr>
          <w:rFonts w:ascii="仿宋" w:hAnsi="仿宋" w:eastAsia="仿宋" w:cs="仿宋"/>
          <w:sz w:val="25"/>
          <w:szCs w:val="25"/>
        </w:rPr>
        <w:t xml:space="preserve"> </w:t>
      </w:r>
      <w:r>
        <w:rPr>
          <w:rFonts w:ascii="仿宋" w:hAnsi="仿宋" w:eastAsia="仿宋" w:cs="仿宋"/>
          <w:spacing w:val="7"/>
          <w:sz w:val="25"/>
          <w:szCs w:val="25"/>
        </w:rPr>
        <w:t>废气、废水、</w:t>
      </w:r>
      <w:r>
        <w:rPr>
          <w:rFonts w:ascii="仿宋" w:hAnsi="仿宋" w:eastAsia="仿宋" w:cs="仿宋"/>
          <w:spacing w:val="-74"/>
          <w:sz w:val="25"/>
          <w:szCs w:val="25"/>
        </w:rPr>
        <w:t xml:space="preserve"> </w:t>
      </w:r>
      <w:r>
        <w:rPr>
          <w:rFonts w:ascii="仿宋" w:hAnsi="仿宋" w:eastAsia="仿宋" w:cs="仿宋"/>
          <w:spacing w:val="7"/>
          <w:sz w:val="25"/>
          <w:szCs w:val="25"/>
        </w:rPr>
        <w:t>固废等污染防治措施，减小对</w:t>
      </w:r>
      <w:r>
        <w:rPr>
          <w:rFonts w:ascii="仿宋" w:hAnsi="仿宋" w:eastAsia="仿宋" w:cs="仿宋"/>
          <w:spacing w:val="6"/>
          <w:sz w:val="25"/>
          <w:szCs w:val="25"/>
        </w:rPr>
        <w:t>环境的影响。</w:t>
      </w:r>
    </w:p>
    <w:p w14:paraId="07CA4982">
      <w:pPr>
        <w:spacing w:before="42" w:line="231" w:lineRule="auto"/>
        <w:ind w:left="2641"/>
        <w:rPr>
          <w:rFonts w:ascii="仿宋" w:hAnsi="仿宋" w:eastAsia="仿宋" w:cs="仿宋"/>
          <w:sz w:val="20"/>
          <w:szCs w:val="20"/>
        </w:rPr>
      </w:pPr>
      <w:r>
        <w:rPr>
          <w:rFonts w:ascii="仿宋" w:hAnsi="仿宋" w:eastAsia="仿宋" w:cs="仿宋"/>
          <w:b/>
          <w:bCs/>
          <w:spacing w:val="5"/>
          <w:sz w:val="20"/>
          <w:szCs w:val="20"/>
        </w:rPr>
        <w:t>表</w:t>
      </w:r>
      <w:r>
        <w:rPr>
          <w:rFonts w:ascii="仿宋" w:hAnsi="仿宋" w:eastAsia="仿宋" w:cs="仿宋"/>
          <w:spacing w:val="-27"/>
          <w:sz w:val="20"/>
          <w:szCs w:val="20"/>
        </w:rPr>
        <w:t xml:space="preserve"> </w:t>
      </w:r>
      <w:r>
        <w:rPr>
          <w:rFonts w:ascii="Times New Roman" w:hAnsi="Times New Roman" w:eastAsia="Times New Roman" w:cs="Times New Roman"/>
          <w:b/>
          <w:bCs/>
          <w:spacing w:val="5"/>
          <w:sz w:val="20"/>
          <w:szCs w:val="20"/>
        </w:rPr>
        <w:t xml:space="preserve">5.8-1    </w:t>
      </w:r>
      <w:r>
        <w:rPr>
          <w:rFonts w:ascii="仿宋" w:hAnsi="仿宋" w:eastAsia="仿宋" w:cs="仿宋"/>
          <w:b/>
          <w:bCs/>
          <w:spacing w:val="5"/>
          <w:sz w:val="20"/>
          <w:szCs w:val="20"/>
        </w:rPr>
        <w:t>黔江区采矿业的产排污统计表</w:t>
      </w:r>
    </w:p>
    <w:p w14:paraId="269B5A85">
      <w:pPr>
        <w:spacing w:line="20" w:lineRule="exact"/>
      </w:pPr>
    </w:p>
    <w:tbl>
      <w:tblPr>
        <w:tblStyle w:val="5"/>
        <w:tblW w:w="8874"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19"/>
        <w:gridCol w:w="2389"/>
        <w:gridCol w:w="2448"/>
        <w:gridCol w:w="2218"/>
      </w:tblGrid>
      <w:tr w14:paraId="6084EB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1819" w:type="dxa"/>
            <w:vMerge w:val="restart"/>
            <w:tcBorders>
              <w:top w:val="single" w:color="000000" w:sz="10" w:space="0"/>
              <w:left w:val="single" w:color="000000" w:sz="10" w:space="0"/>
              <w:bottom w:val="nil"/>
            </w:tcBorders>
            <w:vAlign w:val="top"/>
          </w:tcPr>
          <w:p w14:paraId="5E7FE03F">
            <w:pPr>
              <w:pStyle w:val="6"/>
              <w:spacing w:before="219" w:line="225" w:lineRule="auto"/>
              <w:ind w:left="688"/>
            </w:pPr>
            <w:r>
              <w:rPr>
                <w:spacing w:val="-7"/>
              </w:rPr>
              <w:t>项目</w:t>
            </w:r>
          </w:p>
        </w:tc>
        <w:tc>
          <w:tcPr>
            <w:tcW w:w="2389" w:type="dxa"/>
            <w:tcBorders>
              <w:top w:val="single" w:color="000000" w:sz="10" w:space="0"/>
            </w:tcBorders>
            <w:vAlign w:val="top"/>
          </w:tcPr>
          <w:p w14:paraId="3F30AF2F">
            <w:pPr>
              <w:pStyle w:val="6"/>
              <w:spacing w:before="56" w:line="220" w:lineRule="auto"/>
              <w:ind w:left="984"/>
            </w:pPr>
            <w:r>
              <w:rPr>
                <w:spacing w:val="-7"/>
              </w:rPr>
              <w:t>粉尘</w:t>
            </w:r>
          </w:p>
        </w:tc>
        <w:tc>
          <w:tcPr>
            <w:tcW w:w="2448" w:type="dxa"/>
            <w:tcBorders>
              <w:top w:val="single" w:color="000000" w:sz="10" w:space="0"/>
            </w:tcBorders>
            <w:vAlign w:val="top"/>
          </w:tcPr>
          <w:p w14:paraId="0E302DD0">
            <w:pPr>
              <w:pStyle w:val="6"/>
              <w:spacing w:before="56" w:line="220" w:lineRule="auto"/>
              <w:ind w:left="1021"/>
            </w:pPr>
            <w:r>
              <w:rPr>
                <w:spacing w:val="-8"/>
              </w:rPr>
              <w:t>废水</w:t>
            </w:r>
          </w:p>
        </w:tc>
        <w:tc>
          <w:tcPr>
            <w:tcW w:w="2218" w:type="dxa"/>
            <w:tcBorders>
              <w:top w:val="single" w:color="000000" w:sz="10" w:space="0"/>
              <w:right w:val="single" w:color="000000" w:sz="10" w:space="0"/>
            </w:tcBorders>
            <w:vAlign w:val="top"/>
          </w:tcPr>
          <w:p w14:paraId="75F61ACF">
            <w:pPr>
              <w:pStyle w:val="6"/>
              <w:spacing w:before="56" w:line="220" w:lineRule="auto"/>
              <w:ind w:left="706"/>
            </w:pPr>
            <w:r>
              <w:rPr>
                <w:spacing w:val="-10"/>
              </w:rPr>
              <w:t>固体废物</w:t>
            </w:r>
          </w:p>
        </w:tc>
      </w:tr>
      <w:tr w14:paraId="194E0A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819" w:type="dxa"/>
            <w:vMerge w:val="continue"/>
            <w:tcBorders>
              <w:top w:val="nil"/>
              <w:left w:val="single" w:color="000000" w:sz="10" w:space="0"/>
            </w:tcBorders>
            <w:vAlign w:val="top"/>
          </w:tcPr>
          <w:p w14:paraId="72EAE9FC">
            <w:pPr>
              <w:rPr>
                <w:rFonts w:ascii="Arial"/>
                <w:sz w:val="21"/>
              </w:rPr>
            </w:pPr>
          </w:p>
        </w:tc>
        <w:tc>
          <w:tcPr>
            <w:tcW w:w="2389" w:type="dxa"/>
            <w:vAlign w:val="top"/>
          </w:tcPr>
          <w:p w14:paraId="46C9CF53">
            <w:pPr>
              <w:pStyle w:val="6"/>
              <w:spacing w:before="53" w:line="214" w:lineRule="auto"/>
              <w:ind w:left="618"/>
            </w:pPr>
            <w:r>
              <w:rPr>
                <w:spacing w:val="-2"/>
              </w:rPr>
              <w:t>排放量（</w:t>
            </w:r>
            <w:r>
              <w:rPr>
                <w:rFonts w:ascii="Times New Roman" w:hAnsi="Times New Roman" w:eastAsia="Times New Roman" w:cs="Times New Roman"/>
                <w:spacing w:val="-2"/>
              </w:rPr>
              <w:t>t</w:t>
            </w:r>
            <w:r>
              <w:rPr>
                <w:spacing w:val="-2"/>
              </w:rPr>
              <w:t>）</w:t>
            </w:r>
          </w:p>
        </w:tc>
        <w:tc>
          <w:tcPr>
            <w:tcW w:w="2448" w:type="dxa"/>
            <w:vAlign w:val="top"/>
          </w:tcPr>
          <w:p w14:paraId="73C7E2FE">
            <w:pPr>
              <w:pStyle w:val="6"/>
              <w:spacing w:before="53" w:line="214" w:lineRule="auto"/>
              <w:ind w:left="519"/>
            </w:pPr>
            <w:r>
              <w:rPr>
                <w:spacing w:val="-2"/>
              </w:rPr>
              <w:t>排放量（万</w:t>
            </w:r>
            <w:r>
              <w:rPr>
                <w:spacing w:val="-55"/>
              </w:rPr>
              <w:t xml:space="preserve"> </w:t>
            </w:r>
            <w:r>
              <w:rPr>
                <w:rFonts w:ascii="Times New Roman" w:hAnsi="Times New Roman" w:eastAsia="Times New Roman" w:cs="Times New Roman"/>
                <w:spacing w:val="-2"/>
              </w:rPr>
              <w:t>t</w:t>
            </w:r>
            <w:r>
              <w:rPr>
                <w:spacing w:val="-2"/>
              </w:rPr>
              <w:t>）</w:t>
            </w:r>
          </w:p>
        </w:tc>
        <w:tc>
          <w:tcPr>
            <w:tcW w:w="2218" w:type="dxa"/>
            <w:tcBorders>
              <w:right w:val="single" w:color="000000" w:sz="10" w:space="0"/>
            </w:tcBorders>
            <w:vAlign w:val="top"/>
          </w:tcPr>
          <w:p w14:paraId="6C67DD90">
            <w:pPr>
              <w:pStyle w:val="6"/>
              <w:spacing w:before="53" w:line="214" w:lineRule="auto"/>
              <w:ind w:left="408"/>
            </w:pPr>
            <w:r>
              <w:rPr>
                <w:spacing w:val="-3"/>
              </w:rPr>
              <w:t>产生量（万</w:t>
            </w:r>
            <w:r>
              <w:rPr>
                <w:spacing w:val="-52"/>
              </w:rPr>
              <w:t xml:space="preserve"> </w:t>
            </w:r>
            <w:r>
              <w:rPr>
                <w:rFonts w:ascii="Times New Roman" w:hAnsi="Times New Roman" w:eastAsia="Times New Roman" w:cs="Times New Roman"/>
                <w:spacing w:val="-3"/>
              </w:rPr>
              <w:t>t</w:t>
            </w:r>
            <w:r>
              <w:rPr>
                <w:spacing w:val="-3"/>
              </w:rPr>
              <w:t>）</w:t>
            </w:r>
          </w:p>
        </w:tc>
      </w:tr>
      <w:tr w14:paraId="7CD453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819" w:type="dxa"/>
            <w:tcBorders>
              <w:left w:val="single" w:color="000000" w:sz="10" w:space="0"/>
            </w:tcBorders>
            <w:vAlign w:val="top"/>
          </w:tcPr>
          <w:p w14:paraId="196FA104">
            <w:pPr>
              <w:pStyle w:val="6"/>
              <w:spacing w:before="63" w:line="216" w:lineRule="auto"/>
              <w:ind w:left="465"/>
            </w:pPr>
            <w:r>
              <w:rPr>
                <w:spacing w:val="-3"/>
              </w:rPr>
              <w:t>《规划》</w:t>
            </w:r>
          </w:p>
        </w:tc>
        <w:tc>
          <w:tcPr>
            <w:tcW w:w="2389" w:type="dxa"/>
            <w:vAlign w:val="top"/>
          </w:tcPr>
          <w:p w14:paraId="23456CAC">
            <w:pPr>
              <w:spacing w:before="101" w:line="189" w:lineRule="auto"/>
              <w:ind w:left="911"/>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150.95</w:t>
            </w:r>
          </w:p>
        </w:tc>
        <w:tc>
          <w:tcPr>
            <w:tcW w:w="2448" w:type="dxa"/>
            <w:vAlign w:val="top"/>
          </w:tcPr>
          <w:p w14:paraId="6D17A63B">
            <w:pPr>
              <w:spacing w:before="101" w:line="189" w:lineRule="auto"/>
              <w:ind w:left="92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47.055</w:t>
            </w:r>
          </w:p>
        </w:tc>
        <w:tc>
          <w:tcPr>
            <w:tcW w:w="2218" w:type="dxa"/>
            <w:tcBorders>
              <w:right w:val="single" w:color="000000" w:sz="10" w:space="0"/>
            </w:tcBorders>
            <w:vAlign w:val="top"/>
          </w:tcPr>
          <w:p w14:paraId="51312A42">
            <w:pPr>
              <w:spacing w:before="101" w:line="189" w:lineRule="auto"/>
              <w:ind w:left="87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57.58</w:t>
            </w:r>
          </w:p>
        </w:tc>
      </w:tr>
      <w:tr w14:paraId="4D0757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819" w:type="dxa"/>
            <w:tcBorders>
              <w:left w:val="single" w:color="000000" w:sz="10" w:space="0"/>
            </w:tcBorders>
            <w:vAlign w:val="top"/>
          </w:tcPr>
          <w:p w14:paraId="03003699">
            <w:pPr>
              <w:pStyle w:val="6"/>
              <w:spacing w:before="98" w:line="225" w:lineRule="auto"/>
              <w:ind w:left="244"/>
            </w:pPr>
            <w:r>
              <w:rPr>
                <w:spacing w:val="-2"/>
              </w:rPr>
              <w:t>《规划调整》</w:t>
            </w:r>
          </w:p>
        </w:tc>
        <w:tc>
          <w:tcPr>
            <w:tcW w:w="2389" w:type="dxa"/>
            <w:vAlign w:val="top"/>
          </w:tcPr>
          <w:p w14:paraId="5BA4365A">
            <w:pPr>
              <w:spacing w:before="137" w:line="189" w:lineRule="auto"/>
              <w:ind w:left="911"/>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150.95</w:t>
            </w:r>
          </w:p>
        </w:tc>
        <w:tc>
          <w:tcPr>
            <w:tcW w:w="2448" w:type="dxa"/>
            <w:vAlign w:val="top"/>
          </w:tcPr>
          <w:p w14:paraId="5181D081">
            <w:pPr>
              <w:spacing w:before="137" w:line="189" w:lineRule="auto"/>
              <w:ind w:left="92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47.055</w:t>
            </w:r>
          </w:p>
        </w:tc>
        <w:tc>
          <w:tcPr>
            <w:tcW w:w="2218" w:type="dxa"/>
            <w:tcBorders>
              <w:right w:val="single" w:color="000000" w:sz="10" w:space="0"/>
            </w:tcBorders>
            <w:vAlign w:val="top"/>
          </w:tcPr>
          <w:p w14:paraId="19C22905">
            <w:pPr>
              <w:spacing w:before="137" w:line="189" w:lineRule="auto"/>
              <w:ind w:left="87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57.58</w:t>
            </w:r>
          </w:p>
        </w:tc>
      </w:tr>
      <w:tr w14:paraId="541FA3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1819" w:type="dxa"/>
            <w:tcBorders>
              <w:left w:val="single" w:color="000000" w:sz="10" w:space="0"/>
              <w:bottom w:val="single" w:color="000000" w:sz="10" w:space="0"/>
            </w:tcBorders>
            <w:vAlign w:val="top"/>
          </w:tcPr>
          <w:p w14:paraId="02084D96">
            <w:pPr>
              <w:pStyle w:val="6"/>
              <w:spacing w:before="94" w:line="223" w:lineRule="auto"/>
              <w:ind w:left="476"/>
            </w:pPr>
            <w:r>
              <w:rPr>
                <w:spacing w:val="-6"/>
              </w:rPr>
              <w:t>变化情况</w:t>
            </w:r>
          </w:p>
        </w:tc>
        <w:tc>
          <w:tcPr>
            <w:tcW w:w="2389" w:type="dxa"/>
            <w:tcBorders>
              <w:bottom w:val="single" w:color="000000" w:sz="10" w:space="0"/>
            </w:tcBorders>
            <w:vAlign w:val="top"/>
          </w:tcPr>
          <w:p w14:paraId="5E9D63BA">
            <w:pPr>
              <w:spacing w:before="132" w:line="189" w:lineRule="auto"/>
              <w:ind w:left="1140"/>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2448" w:type="dxa"/>
            <w:tcBorders>
              <w:bottom w:val="single" w:color="000000" w:sz="10" w:space="0"/>
            </w:tcBorders>
            <w:vAlign w:val="top"/>
          </w:tcPr>
          <w:p w14:paraId="60EC062D">
            <w:pPr>
              <w:spacing w:before="132" w:line="189" w:lineRule="auto"/>
              <w:ind w:left="1177"/>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2218" w:type="dxa"/>
            <w:tcBorders>
              <w:bottom w:val="single" w:color="000000" w:sz="10" w:space="0"/>
              <w:right w:val="single" w:color="000000" w:sz="10" w:space="0"/>
            </w:tcBorders>
            <w:vAlign w:val="top"/>
          </w:tcPr>
          <w:p w14:paraId="4A40E0C8">
            <w:pPr>
              <w:spacing w:before="132" w:line="189" w:lineRule="auto"/>
              <w:ind w:left="1062"/>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r>
    </w:tbl>
    <w:p w14:paraId="34A00DC5">
      <w:pPr>
        <w:pStyle w:val="2"/>
      </w:pPr>
    </w:p>
    <w:p w14:paraId="1989FA45">
      <w:pPr>
        <w:sectPr>
          <w:headerReference r:id="rId207" w:type="default"/>
          <w:footerReference r:id="rId208" w:type="default"/>
          <w:pgSz w:w="11906" w:h="16839"/>
          <w:pgMar w:top="1116" w:right="1448" w:bottom="866" w:left="1557" w:header="683" w:footer="703" w:gutter="0"/>
          <w:cols w:space="720" w:num="1"/>
        </w:sectPr>
      </w:pPr>
    </w:p>
    <w:p w14:paraId="39F45E57">
      <w:pPr>
        <w:pStyle w:val="2"/>
        <w:spacing w:line="314" w:lineRule="auto"/>
      </w:pPr>
    </w:p>
    <w:p w14:paraId="635E5C06">
      <w:pPr>
        <w:spacing w:before="101" w:line="228" w:lineRule="auto"/>
        <w:ind w:left="1544"/>
        <w:outlineLvl w:val="0"/>
        <w:rPr>
          <w:rFonts w:ascii="仿宋" w:hAnsi="仿宋" w:eastAsia="仿宋" w:cs="仿宋"/>
          <w:sz w:val="31"/>
          <w:szCs w:val="31"/>
        </w:rPr>
      </w:pPr>
      <w:bookmarkStart w:id="35" w:name="bookmark31"/>
      <w:bookmarkEnd w:id="35"/>
      <w:bookmarkStart w:id="36" w:name="bookmark32"/>
      <w:bookmarkEnd w:id="36"/>
      <w:r>
        <w:rPr>
          <w:rFonts w:ascii="Times New Roman" w:hAnsi="Times New Roman" w:eastAsia="Times New Roman" w:cs="Times New Roman"/>
          <w:b/>
          <w:bCs/>
          <w:spacing w:val="6"/>
          <w:sz w:val="31"/>
          <w:szCs w:val="31"/>
        </w:rPr>
        <w:t xml:space="preserve">6  </w:t>
      </w:r>
      <w:r>
        <w:rPr>
          <w:rFonts w:ascii="仿宋" w:hAnsi="仿宋" w:eastAsia="仿宋" w:cs="仿宋"/>
          <w:b/>
          <w:bCs/>
          <w:spacing w:val="6"/>
          <w:sz w:val="31"/>
          <w:szCs w:val="31"/>
        </w:rPr>
        <w:t>规划调整方案综合论证和优化调整建议</w:t>
      </w:r>
    </w:p>
    <w:p w14:paraId="4EAEB0BD">
      <w:pPr>
        <w:spacing w:before="261" w:line="230" w:lineRule="auto"/>
        <w:ind w:left="8"/>
        <w:outlineLvl w:val="1"/>
        <w:rPr>
          <w:rFonts w:ascii="仿宋" w:hAnsi="仿宋" w:eastAsia="仿宋" w:cs="仿宋"/>
          <w:sz w:val="25"/>
          <w:szCs w:val="25"/>
        </w:rPr>
      </w:pPr>
      <w:bookmarkStart w:id="37" w:name="bookmark56"/>
      <w:bookmarkEnd w:id="37"/>
      <w:r>
        <w:rPr>
          <w:rFonts w:ascii="Times New Roman" w:hAnsi="Times New Roman" w:eastAsia="Times New Roman" w:cs="Times New Roman"/>
          <w:b/>
          <w:bCs/>
          <w:spacing w:val="6"/>
          <w:sz w:val="25"/>
          <w:szCs w:val="25"/>
        </w:rPr>
        <w:t xml:space="preserve">6.1  </w:t>
      </w:r>
      <w:r>
        <w:rPr>
          <w:rFonts w:ascii="仿宋" w:hAnsi="仿宋" w:eastAsia="仿宋" w:cs="仿宋"/>
          <w:b/>
          <w:bCs/>
          <w:spacing w:val="6"/>
          <w:sz w:val="25"/>
          <w:szCs w:val="25"/>
        </w:rPr>
        <w:t>规划调整方案综合论证</w:t>
      </w:r>
    </w:p>
    <w:p w14:paraId="59034AC8">
      <w:pPr>
        <w:spacing w:before="252" w:line="227" w:lineRule="auto"/>
        <w:ind w:left="8"/>
        <w:outlineLvl w:val="2"/>
        <w:rPr>
          <w:rFonts w:ascii="仿宋" w:hAnsi="仿宋" w:eastAsia="仿宋" w:cs="仿宋"/>
          <w:sz w:val="25"/>
          <w:szCs w:val="25"/>
        </w:rPr>
      </w:pPr>
      <w:r>
        <w:rPr>
          <w:rFonts w:ascii="Times New Roman" w:hAnsi="Times New Roman" w:eastAsia="Times New Roman" w:cs="Times New Roman"/>
          <w:b/>
          <w:bCs/>
          <w:spacing w:val="4"/>
          <w:sz w:val="25"/>
          <w:szCs w:val="25"/>
        </w:rPr>
        <w:t>6.1.1</w:t>
      </w:r>
      <w:r>
        <w:rPr>
          <w:rFonts w:ascii="Times New Roman" w:hAnsi="Times New Roman" w:eastAsia="Times New Roman" w:cs="Times New Roman"/>
          <w:b/>
          <w:bCs/>
          <w:spacing w:val="22"/>
          <w:sz w:val="25"/>
          <w:szCs w:val="25"/>
        </w:rPr>
        <w:t xml:space="preserve"> </w:t>
      </w:r>
      <w:r>
        <w:rPr>
          <w:rFonts w:ascii="仿宋" w:hAnsi="仿宋" w:eastAsia="仿宋" w:cs="仿宋"/>
          <w:b/>
          <w:bCs/>
          <w:spacing w:val="4"/>
          <w:sz w:val="25"/>
          <w:szCs w:val="25"/>
        </w:rPr>
        <w:t>环境合理性论证</w:t>
      </w:r>
    </w:p>
    <w:p w14:paraId="387E5C39">
      <w:pPr>
        <w:spacing w:before="273" w:line="227" w:lineRule="auto"/>
        <w:ind w:left="8"/>
        <w:outlineLvl w:val="3"/>
        <w:rPr>
          <w:rFonts w:ascii="仿宋" w:hAnsi="仿宋" w:eastAsia="仿宋" w:cs="仿宋"/>
          <w:sz w:val="25"/>
          <w:szCs w:val="25"/>
        </w:rPr>
      </w:pPr>
      <w:r>
        <w:rPr>
          <w:rFonts w:ascii="Times New Roman" w:hAnsi="Times New Roman" w:eastAsia="Times New Roman" w:cs="Times New Roman"/>
          <w:b/>
          <w:bCs/>
          <w:spacing w:val="5"/>
          <w:sz w:val="25"/>
          <w:szCs w:val="25"/>
        </w:rPr>
        <w:t>6.1.1.1</w:t>
      </w:r>
      <w:r>
        <w:rPr>
          <w:rFonts w:ascii="Times New Roman" w:hAnsi="Times New Roman" w:eastAsia="Times New Roman" w:cs="Times New Roman"/>
          <w:b/>
          <w:bCs/>
          <w:spacing w:val="35"/>
          <w:w w:val="101"/>
          <w:sz w:val="25"/>
          <w:szCs w:val="25"/>
        </w:rPr>
        <w:t xml:space="preserve"> </w:t>
      </w:r>
      <w:r>
        <w:rPr>
          <w:rFonts w:ascii="仿宋" w:hAnsi="仿宋" w:eastAsia="仿宋" w:cs="仿宋"/>
          <w:b/>
          <w:bCs/>
          <w:spacing w:val="5"/>
          <w:sz w:val="25"/>
          <w:szCs w:val="25"/>
        </w:rPr>
        <w:t>规划调整空间布局的环境合理性分析</w:t>
      </w:r>
    </w:p>
    <w:p w14:paraId="512E5C1B">
      <w:pPr>
        <w:spacing w:before="274" w:line="339" w:lineRule="auto"/>
        <w:ind w:left="15" w:right="105" w:firstLine="522"/>
        <w:jc w:val="both"/>
        <w:rPr>
          <w:rFonts w:ascii="仿宋" w:hAnsi="仿宋" w:eastAsia="仿宋" w:cs="仿宋"/>
          <w:sz w:val="25"/>
          <w:szCs w:val="25"/>
        </w:rPr>
      </w:pPr>
      <w:r>
        <w:rPr>
          <w:rFonts w:ascii="仿宋" w:hAnsi="仿宋" w:eastAsia="仿宋" w:cs="仿宋"/>
          <w:spacing w:val="7"/>
          <w:sz w:val="25"/>
          <w:szCs w:val="25"/>
        </w:rPr>
        <w:t>根据第五章评价结果，本次评价</w:t>
      </w:r>
      <w:r>
        <w:rPr>
          <w:rFonts w:ascii="仿宋" w:hAnsi="仿宋" w:eastAsia="仿宋" w:cs="仿宋"/>
          <w:spacing w:val="-49"/>
          <w:sz w:val="25"/>
          <w:szCs w:val="25"/>
        </w:rPr>
        <w:t xml:space="preserve"> </w:t>
      </w:r>
      <w:r>
        <w:rPr>
          <w:rFonts w:ascii="Times New Roman" w:hAnsi="Times New Roman" w:eastAsia="Times New Roman" w:cs="Times New Roman"/>
          <w:spacing w:val="7"/>
          <w:sz w:val="25"/>
          <w:szCs w:val="25"/>
        </w:rPr>
        <w:t>3</w:t>
      </w:r>
      <w:r>
        <w:rPr>
          <w:rFonts w:ascii="Times New Roman" w:hAnsi="Times New Roman" w:eastAsia="Times New Roman" w:cs="Times New Roman"/>
          <w:spacing w:val="23"/>
          <w:sz w:val="25"/>
          <w:szCs w:val="25"/>
        </w:rPr>
        <w:t xml:space="preserve"> </w:t>
      </w:r>
      <w:r>
        <w:rPr>
          <w:rFonts w:ascii="仿宋" w:hAnsi="仿宋" w:eastAsia="仿宋" w:cs="仿宋"/>
          <w:spacing w:val="7"/>
          <w:sz w:val="25"/>
          <w:szCs w:val="25"/>
        </w:rPr>
        <w:t>个勘查区块和</w:t>
      </w:r>
      <w:r>
        <w:rPr>
          <w:rFonts w:ascii="仿宋" w:hAnsi="仿宋" w:eastAsia="仿宋" w:cs="仿宋"/>
          <w:spacing w:val="-30"/>
          <w:sz w:val="25"/>
          <w:szCs w:val="25"/>
        </w:rPr>
        <w:t xml:space="preserve"> </w:t>
      </w:r>
      <w:r>
        <w:rPr>
          <w:rFonts w:ascii="Times New Roman" w:hAnsi="Times New Roman" w:eastAsia="Times New Roman" w:cs="Times New Roman"/>
          <w:spacing w:val="7"/>
          <w:sz w:val="25"/>
          <w:szCs w:val="25"/>
        </w:rPr>
        <w:t>1</w:t>
      </w:r>
      <w:r>
        <w:rPr>
          <w:rFonts w:ascii="Times New Roman" w:hAnsi="Times New Roman" w:eastAsia="Times New Roman" w:cs="Times New Roman"/>
          <w:spacing w:val="21"/>
          <w:sz w:val="25"/>
          <w:szCs w:val="25"/>
        </w:rPr>
        <w:t xml:space="preserve"> </w:t>
      </w:r>
      <w:r>
        <w:rPr>
          <w:rFonts w:ascii="仿宋" w:hAnsi="仿宋" w:eastAsia="仿宋" w:cs="仿宋"/>
          <w:spacing w:val="7"/>
          <w:sz w:val="25"/>
          <w:szCs w:val="25"/>
        </w:rPr>
        <w:t>个开</w:t>
      </w:r>
      <w:r>
        <w:rPr>
          <w:rFonts w:ascii="仿宋" w:hAnsi="仿宋" w:eastAsia="仿宋" w:cs="仿宋"/>
          <w:spacing w:val="6"/>
          <w:sz w:val="25"/>
          <w:szCs w:val="25"/>
        </w:rPr>
        <w:t>采区块，与生态保</w:t>
      </w:r>
      <w:r>
        <w:rPr>
          <w:rFonts w:ascii="仿宋" w:hAnsi="仿宋" w:eastAsia="仿宋" w:cs="仿宋"/>
          <w:sz w:val="25"/>
          <w:szCs w:val="25"/>
        </w:rPr>
        <w:t xml:space="preserve"> </w:t>
      </w:r>
      <w:r>
        <w:rPr>
          <w:rFonts w:ascii="仿宋" w:hAnsi="仿宋" w:eastAsia="仿宋" w:cs="仿宋"/>
          <w:spacing w:val="7"/>
          <w:sz w:val="25"/>
          <w:szCs w:val="25"/>
        </w:rPr>
        <w:t>护红线、一般生态空间、</w:t>
      </w:r>
      <w:r>
        <w:rPr>
          <w:rFonts w:ascii="仿宋" w:hAnsi="仿宋" w:eastAsia="仿宋" w:cs="仿宋"/>
          <w:spacing w:val="-37"/>
          <w:sz w:val="25"/>
          <w:szCs w:val="25"/>
        </w:rPr>
        <w:t xml:space="preserve"> </w:t>
      </w:r>
      <w:r>
        <w:rPr>
          <w:rFonts w:ascii="仿宋" w:hAnsi="仿宋" w:eastAsia="仿宋" w:cs="仿宋"/>
          <w:spacing w:val="7"/>
          <w:sz w:val="25"/>
          <w:szCs w:val="25"/>
        </w:rPr>
        <w:t>自然保护地、饮用水源保护区、城镇开发边界等环境</w:t>
      </w:r>
      <w:r>
        <w:rPr>
          <w:rFonts w:ascii="仿宋" w:hAnsi="仿宋" w:eastAsia="仿宋" w:cs="仿宋"/>
          <w:sz w:val="25"/>
          <w:szCs w:val="25"/>
        </w:rPr>
        <w:t xml:space="preserve"> </w:t>
      </w:r>
      <w:r>
        <w:rPr>
          <w:rFonts w:ascii="仿宋" w:hAnsi="仿宋" w:eastAsia="仿宋" w:cs="仿宋"/>
          <w:spacing w:val="5"/>
          <w:sz w:val="25"/>
          <w:szCs w:val="25"/>
        </w:rPr>
        <w:t>敏感区均不冲突。</w:t>
      </w:r>
      <w:r>
        <w:rPr>
          <w:rFonts w:ascii="Times New Roman" w:hAnsi="Times New Roman" w:eastAsia="Times New Roman" w:cs="Times New Roman"/>
          <w:spacing w:val="5"/>
          <w:sz w:val="25"/>
          <w:szCs w:val="25"/>
        </w:rPr>
        <w:t>1</w:t>
      </w:r>
      <w:r>
        <w:rPr>
          <w:rFonts w:ascii="Times New Roman" w:hAnsi="Times New Roman" w:eastAsia="Times New Roman" w:cs="Times New Roman"/>
          <w:spacing w:val="20"/>
          <w:sz w:val="25"/>
          <w:szCs w:val="25"/>
        </w:rPr>
        <w:t xml:space="preserve"> </w:t>
      </w:r>
      <w:r>
        <w:rPr>
          <w:rFonts w:ascii="仿宋" w:hAnsi="仿宋" w:eastAsia="仿宋" w:cs="仿宋"/>
          <w:spacing w:val="5"/>
          <w:sz w:val="25"/>
          <w:szCs w:val="25"/>
        </w:rPr>
        <w:t>个勘查区块（</w:t>
      </w:r>
      <w:r>
        <w:rPr>
          <w:rFonts w:ascii="Times New Roman" w:hAnsi="Times New Roman" w:eastAsia="Times New Roman" w:cs="Times New Roman"/>
          <w:sz w:val="25"/>
          <w:szCs w:val="25"/>
        </w:rPr>
        <w:t>KQ</w:t>
      </w:r>
      <w:r>
        <w:rPr>
          <w:rFonts w:ascii="Times New Roman" w:hAnsi="Times New Roman" w:eastAsia="Times New Roman" w:cs="Times New Roman"/>
          <w:spacing w:val="5"/>
          <w:sz w:val="25"/>
          <w:szCs w:val="25"/>
        </w:rPr>
        <w:t>004</w:t>
      </w:r>
      <w:r>
        <w:rPr>
          <w:rFonts w:ascii="仿宋" w:hAnsi="仿宋" w:eastAsia="仿宋" w:cs="仿宋"/>
          <w:spacing w:val="5"/>
          <w:sz w:val="25"/>
          <w:szCs w:val="25"/>
        </w:rPr>
        <w:t>）占用二级国家级公益林，</w:t>
      </w:r>
      <w:r>
        <w:rPr>
          <w:rFonts w:ascii="Times New Roman" w:hAnsi="Times New Roman" w:eastAsia="Times New Roman" w:cs="Times New Roman"/>
          <w:spacing w:val="5"/>
          <w:sz w:val="25"/>
          <w:szCs w:val="25"/>
        </w:rPr>
        <w:t>1</w:t>
      </w:r>
      <w:r>
        <w:rPr>
          <w:rFonts w:ascii="Times New Roman" w:hAnsi="Times New Roman" w:eastAsia="Times New Roman" w:cs="Times New Roman"/>
          <w:spacing w:val="20"/>
          <w:sz w:val="25"/>
          <w:szCs w:val="25"/>
        </w:rPr>
        <w:t xml:space="preserve"> </w:t>
      </w:r>
      <w:r>
        <w:rPr>
          <w:rFonts w:ascii="仿宋" w:hAnsi="仿宋" w:eastAsia="仿宋" w:cs="仿宋"/>
          <w:spacing w:val="5"/>
          <w:sz w:val="25"/>
          <w:szCs w:val="25"/>
        </w:rPr>
        <w:t>个勘查区</w:t>
      </w:r>
      <w:r>
        <w:rPr>
          <w:rFonts w:ascii="仿宋" w:hAnsi="仿宋" w:eastAsia="仿宋" w:cs="仿宋"/>
          <w:sz w:val="25"/>
          <w:szCs w:val="25"/>
        </w:rPr>
        <w:t xml:space="preserve"> </w:t>
      </w:r>
      <w:r>
        <w:rPr>
          <w:rFonts w:ascii="仿宋" w:hAnsi="仿宋" w:eastAsia="仿宋" w:cs="仿宋"/>
          <w:spacing w:val="6"/>
          <w:sz w:val="25"/>
          <w:szCs w:val="25"/>
        </w:rPr>
        <w:t>块（</w:t>
      </w:r>
      <w:r>
        <w:rPr>
          <w:rFonts w:ascii="Times New Roman" w:hAnsi="Times New Roman" w:eastAsia="Times New Roman" w:cs="Times New Roman"/>
          <w:sz w:val="25"/>
          <w:szCs w:val="25"/>
        </w:rPr>
        <w:t>KQ</w:t>
      </w:r>
      <w:r>
        <w:rPr>
          <w:rFonts w:ascii="Times New Roman" w:hAnsi="Times New Roman" w:eastAsia="Times New Roman" w:cs="Times New Roman"/>
          <w:spacing w:val="6"/>
          <w:sz w:val="25"/>
          <w:szCs w:val="25"/>
        </w:rPr>
        <w:t>009</w:t>
      </w:r>
      <w:r>
        <w:rPr>
          <w:rFonts w:ascii="仿宋" w:hAnsi="仿宋" w:eastAsia="仿宋" w:cs="仿宋"/>
          <w:spacing w:val="6"/>
          <w:sz w:val="25"/>
          <w:szCs w:val="25"/>
        </w:rPr>
        <w:t>）</w:t>
      </w:r>
      <w:r>
        <w:rPr>
          <w:rFonts w:ascii="仿宋" w:hAnsi="仿宋" w:eastAsia="仿宋" w:cs="仿宋"/>
          <w:spacing w:val="-44"/>
          <w:sz w:val="25"/>
          <w:szCs w:val="25"/>
        </w:rPr>
        <w:t xml:space="preserve"> </w:t>
      </w:r>
      <w:r>
        <w:rPr>
          <w:rFonts w:ascii="仿宋" w:hAnsi="仿宋" w:eastAsia="仿宋" w:cs="仿宋"/>
          <w:spacing w:val="6"/>
          <w:sz w:val="25"/>
          <w:szCs w:val="25"/>
        </w:rPr>
        <w:t>占用地方公益林，</w:t>
      </w:r>
      <w:r>
        <w:rPr>
          <w:rFonts w:ascii="Times New Roman" w:hAnsi="Times New Roman" w:eastAsia="Times New Roman" w:cs="Times New Roman"/>
          <w:spacing w:val="6"/>
          <w:sz w:val="25"/>
          <w:szCs w:val="25"/>
        </w:rPr>
        <w:t>2</w:t>
      </w:r>
      <w:r>
        <w:rPr>
          <w:rFonts w:ascii="Times New Roman" w:hAnsi="Times New Roman" w:eastAsia="Times New Roman" w:cs="Times New Roman"/>
          <w:spacing w:val="25"/>
          <w:w w:val="101"/>
          <w:sz w:val="25"/>
          <w:szCs w:val="25"/>
        </w:rPr>
        <w:t xml:space="preserve"> </w:t>
      </w:r>
      <w:r>
        <w:rPr>
          <w:rFonts w:ascii="仿宋" w:hAnsi="仿宋" w:eastAsia="仿宋" w:cs="仿宋"/>
          <w:spacing w:val="6"/>
          <w:sz w:val="25"/>
          <w:szCs w:val="25"/>
        </w:rPr>
        <w:t>个勘查区块（</w:t>
      </w:r>
      <w:r>
        <w:rPr>
          <w:rFonts w:ascii="Times New Roman" w:hAnsi="Times New Roman" w:eastAsia="Times New Roman" w:cs="Times New Roman"/>
          <w:sz w:val="25"/>
          <w:szCs w:val="25"/>
        </w:rPr>
        <w:t>KQ</w:t>
      </w:r>
      <w:r>
        <w:rPr>
          <w:rFonts w:ascii="Times New Roman" w:hAnsi="Times New Roman" w:eastAsia="Times New Roman" w:cs="Times New Roman"/>
          <w:spacing w:val="6"/>
          <w:sz w:val="25"/>
          <w:szCs w:val="25"/>
        </w:rPr>
        <w:t>004</w:t>
      </w:r>
      <w:r>
        <w:rPr>
          <w:rFonts w:ascii="Times New Roman" w:hAnsi="Times New Roman" w:eastAsia="Times New Roman" w:cs="Times New Roman"/>
          <w:spacing w:val="-21"/>
          <w:sz w:val="25"/>
          <w:szCs w:val="25"/>
        </w:rPr>
        <w:t xml:space="preserve"> </w:t>
      </w:r>
      <w:r>
        <w:rPr>
          <w:rFonts w:ascii="仿宋" w:hAnsi="仿宋" w:eastAsia="仿宋" w:cs="仿宋"/>
          <w:spacing w:val="6"/>
          <w:sz w:val="25"/>
          <w:szCs w:val="25"/>
        </w:rPr>
        <w:t>、</w:t>
      </w:r>
      <w:r>
        <w:rPr>
          <w:rFonts w:ascii="Times New Roman" w:hAnsi="Times New Roman" w:eastAsia="Times New Roman" w:cs="Times New Roman"/>
          <w:sz w:val="25"/>
          <w:szCs w:val="25"/>
        </w:rPr>
        <w:t>KQ</w:t>
      </w:r>
      <w:r>
        <w:rPr>
          <w:rFonts w:ascii="Times New Roman" w:hAnsi="Times New Roman" w:eastAsia="Times New Roman" w:cs="Times New Roman"/>
          <w:spacing w:val="6"/>
          <w:sz w:val="25"/>
          <w:szCs w:val="25"/>
        </w:rPr>
        <w:t>009</w:t>
      </w:r>
      <w:r>
        <w:rPr>
          <w:rFonts w:ascii="仿宋" w:hAnsi="仿宋" w:eastAsia="仿宋" w:cs="仿宋"/>
          <w:spacing w:val="6"/>
          <w:sz w:val="25"/>
          <w:szCs w:val="25"/>
        </w:rPr>
        <w:t>）</w:t>
      </w:r>
      <w:r>
        <w:rPr>
          <w:rFonts w:ascii="仿宋" w:hAnsi="仿宋" w:eastAsia="仿宋" w:cs="仿宋"/>
          <w:spacing w:val="-47"/>
          <w:sz w:val="25"/>
          <w:szCs w:val="25"/>
        </w:rPr>
        <w:t xml:space="preserve"> </w:t>
      </w:r>
      <w:r>
        <w:rPr>
          <w:rFonts w:ascii="仿宋" w:hAnsi="仿宋" w:eastAsia="仿宋" w:cs="仿宋"/>
          <w:spacing w:val="6"/>
          <w:sz w:val="25"/>
          <w:szCs w:val="25"/>
        </w:rPr>
        <w:t>占用永</w:t>
      </w:r>
      <w:r>
        <w:rPr>
          <w:rFonts w:ascii="仿宋" w:hAnsi="仿宋" w:eastAsia="仿宋" w:cs="仿宋"/>
          <w:spacing w:val="5"/>
          <w:sz w:val="25"/>
          <w:szCs w:val="25"/>
        </w:rPr>
        <w:t>久基</w:t>
      </w:r>
      <w:r>
        <w:rPr>
          <w:rFonts w:ascii="仿宋" w:hAnsi="仿宋" w:eastAsia="仿宋" w:cs="仿宋"/>
          <w:sz w:val="25"/>
          <w:szCs w:val="25"/>
        </w:rPr>
        <w:t xml:space="preserve"> </w:t>
      </w:r>
      <w:r>
        <w:rPr>
          <w:rFonts w:ascii="仿宋" w:hAnsi="仿宋" w:eastAsia="仿宋" w:cs="仿宋"/>
          <w:spacing w:val="-1"/>
          <w:sz w:val="25"/>
          <w:szCs w:val="25"/>
        </w:rPr>
        <w:t>本农田，需与国家级公益林、地方公益林、永久基本农田等进一步衔接，严守</w:t>
      </w:r>
      <w:r>
        <w:rPr>
          <w:rFonts w:ascii="Times New Roman" w:hAnsi="Times New Roman" w:eastAsia="Times New Roman" w:cs="Times New Roman"/>
          <w:spacing w:val="-1"/>
          <w:sz w:val="25"/>
          <w:szCs w:val="25"/>
        </w:rPr>
        <w:t>“</w:t>
      </w:r>
      <w:r>
        <w:rPr>
          <w:rFonts w:ascii="仿宋" w:hAnsi="仿宋" w:eastAsia="仿宋" w:cs="仿宋"/>
          <w:spacing w:val="-1"/>
          <w:sz w:val="25"/>
          <w:szCs w:val="25"/>
        </w:rPr>
        <w:t>三</w:t>
      </w:r>
      <w:r>
        <w:rPr>
          <w:rFonts w:ascii="仿宋" w:hAnsi="仿宋" w:eastAsia="仿宋" w:cs="仿宋"/>
          <w:spacing w:val="1"/>
          <w:sz w:val="25"/>
          <w:szCs w:val="25"/>
        </w:rPr>
        <w:t xml:space="preserve"> </w:t>
      </w:r>
      <w:r>
        <w:rPr>
          <w:rFonts w:ascii="仿宋" w:hAnsi="仿宋" w:eastAsia="仿宋" w:cs="仿宋"/>
          <w:spacing w:val="6"/>
          <w:sz w:val="25"/>
          <w:szCs w:val="25"/>
        </w:rPr>
        <w:t>线一单</w:t>
      </w:r>
      <w:r>
        <w:rPr>
          <w:rFonts w:ascii="Times New Roman" w:hAnsi="Times New Roman" w:eastAsia="Times New Roman" w:cs="Times New Roman"/>
          <w:spacing w:val="6"/>
          <w:sz w:val="25"/>
          <w:szCs w:val="25"/>
        </w:rPr>
        <w:t>”</w:t>
      </w:r>
      <w:r>
        <w:rPr>
          <w:rFonts w:ascii="仿宋" w:hAnsi="仿宋" w:eastAsia="仿宋" w:cs="仿宋"/>
          <w:spacing w:val="6"/>
          <w:sz w:val="25"/>
          <w:szCs w:val="25"/>
        </w:rPr>
        <w:t>中各管控单元的管控要求，严格执行依法设立的各级各类保护区域相关</w:t>
      </w:r>
      <w:r>
        <w:rPr>
          <w:rFonts w:ascii="仿宋" w:hAnsi="仿宋" w:eastAsia="仿宋" w:cs="仿宋"/>
          <w:spacing w:val="5"/>
          <w:sz w:val="25"/>
          <w:szCs w:val="25"/>
        </w:rPr>
        <w:t xml:space="preserve"> </w:t>
      </w:r>
      <w:r>
        <w:rPr>
          <w:rFonts w:ascii="仿宋" w:hAnsi="仿宋" w:eastAsia="仿宋" w:cs="仿宋"/>
          <w:spacing w:val="10"/>
          <w:sz w:val="25"/>
          <w:szCs w:val="25"/>
        </w:rPr>
        <w:t>规定和要求，严格空间管制，才能使规划开发</w:t>
      </w:r>
      <w:r>
        <w:rPr>
          <w:rFonts w:ascii="仿宋" w:hAnsi="仿宋" w:eastAsia="仿宋" w:cs="仿宋"/>
          <w:spacing w:val="9"/>
          <w:sz w:val="25"/>
          <w:szCs w:val="25"/>
        </w:rPr>
        <w:t>利用布局更加合理，从而实现黔</w:t>
      </w:r>
      <w:r>
        <w:rPr>
          <w:rFonts w:ascii="仿宋" w:hAnsi="仿宋" w:eastAsia="仿宋" w:cs="仿宋"/>
          <w:sz w:val="25"/>
          <w:szCs w:val="25"/>
        </w:rPr>
        <w:t xml:space="preserve"> </w:t>
      </w:r>
      <w:r>
        <w:rPr>
          <w:rFonts w:ascii="仿宋" w:hAnsi="仿宋" w:eastAsia="仿宋" w:cs="仿宋"/>
          <w:spacing w:val="7"/>
          <w:sz w:val="25"/>
          <w:szCs w:val="25"/>
        </w:rPr>
        <w:t>江区矿产资源开发利用与保护的可持续发展，以及矿业的绿色发展。</w:t>
      </w:r>
    </w:p>
    <w:p w14:paraId="47C14F57">
      <w:pPr>
        <w:spacing w:before="126" w:line="227" w:lineRule="auto"/>
        <w:ind w:left="8"/>
        <w:outlineLvl w:val="3"/>
        <w:rPr>
          <w:rFonts w:ascii="仿宋" w:hAnsi="仿宋" w:eastAsia="仿宋" w:cs="仿宋"/>
          <w:sz w:val="25"/>
          <w:szCs w:val="25"/>
        </w:rPr>
      </w:pPr>
      <w:r>
        <w:rPr>
          <w:rFonts w:ascii="Times New Roman" w:hAnsi="Times New Roman" w:eastAsia="Times New Roman" w:cs="Times New Roman"/>
          <w:b/>
          <w:bCs/>
          <w:spacing w:val="5"/>
          <w:sz w:val="25"/>
          <w:szCs w:val="25"/>
        </w:rPr>
        <w:t>6.1.1.2</w:t>
      </w:r>
      <w:r>
        <w:rPr>
          <w:rFonts w:ascii="Times New Roman" w:hAnsi="Times New Roman" w:eastAsia="Times New Roman" w:cs="Times New Roman"/>
          <w:b/>
          <w:bCs/>
          <w:spacing w:val="30"/>
          <w:sz w:val="25"/>
          <w:szCs w:val="25"/>
        </w:rPr>
        <w:t xml:space="preserve"> </w:t>
      </w:r>
      <w:r>
        <w:rPr>
          <w:rFonts w:ascii="仿宋" w:hAnsi="仿宋" w:eastAsia="仿宋" w:cs="仿宋"/>
          <w:b/>
          <w:bCs/>
          <w:spacing w:val="5"/>
          <w:sz w:val="25"/>
          <w:szCs w:val="25"/>
        </w:rPr>
        <w:t>规划调整规模的环境合理性论证</w:t>
      </w:r>
    </w:p>
    <w:p w14:paraId="26F611F1">
      <w:pPr>
        <w:spacing w:before="268" w:line="340" w:lineRule="auto"/>
        <w:ind w:left="15" w:firstLine="522"/>
        <w:jc w:val="both"/>
        <w:rPr>
          <w:rFonts w:ascii="仿宋" w:hAnsi="仿宋" w:eastAsia="仿宋" w:cs="仿宋"/>
          <w:sz w:val="25"/>
          <w:szCs w:val="25"/>
        </w:rPr>
      </w:pPr>
      <w:r>
        <w:rPr>
          <w:rFonts w:ascii="仿宋" w:hAnsi="仿宋" w:eastAsia="仿宋" w:cs="仿宋"/>
          <w:spacing w:val="-2"/>
          <w:sz w:val="25"/>
          <w:szCs w:val="25"/>
        </w:rPr>
        <w:t>根据前文</w:t>
      </w:r>
      <w:r>
        <w:rPr>
          <w:rFonts w:ascii="仿宋" w:hAnsi="仿宋" w:eastAsia="仿宋" w:cs="仿宋"/>
          <w:spacing w:val="-47"/>
          <w:sz w:val="25"/>
          <w:szCs w:val="25"/>
        </w:rPr>
        <w:t xml:space="preserve"> </w:t>
      </w:r>
      <w:r>
        <w:rPr>
          <w:rFonts w:ascii="Times New Roman" w:hAnsi="Times New Roman" w:eastAsia="Times New Roman" w:cs="Times New Roman"/>
          <w:spacing w:val="-2"/>
          <w:sz w:val="25"/>
          <w:szCs w:val="25"/>
        </w:rPr>
        <w:t>5.1</w:t>
      </w:r>
      <w:r>
        <w:rPr>
          <w:rFonts w:ascii="Times New Roman" w:hAnsi="Times New Roman" w:eastAsia="Times New Roman" w:cs="Times New Roman"/>
          <w:spacing w:val="28"/>
          <w:sz w:val="25"/>
          <w:szCs w:val="25"/>
        </w:rPr>
        <w:t xml:space="preserve"> </w:t>
      </w:r>
      <w:r>
        <w:rPr>
          <w:rFonts w:ascii="仿宋" w:hAnsi="仿宋" w:eastAsia="仿宋" w:cs="仿宋"/>
          <w:spacing w:val="-2"/>
          <w:sz w:val="25"/>
          <w:szCs w:val="25"/>
        </w:rPr>
        <w:t>节可知，规划露天开采区块（</w:t>
      </w:r>
      <w:r>
        <w:rPr>
          <w:rFonts w:ascii="Times New Roman" w:hAnsi="Times New Roman" w:eastAsia="Times New Roman" w:cs="Times New Roman"/>
          <w:spacing w:val="-2"/>
          <w:sz w:val="25"/>
          <w:szCs w:val="25"/>
        </w:rPr>
        <w:t>20</w:t>
      </w:r>
      <w:r>
        <w:rPr>
          <w:rFonts w:ascii="Times New Roman" w:hAnsi="Times New Roman" w:eastAsia="Times New Roman" w:cs="Times New Roman"/>
          <w:spacing w:val="23"/>
          <w:sz w:val="25"/>
          <w:szCs w:val="25"/>
        </w:rPr>
        <w:t xml:space="preserve"> </w:t>
      </w:r>
      <w:r>
        <w:rPr>
          <w:rFonts w:ascii="仿宋" w:hAnsi="仿宋" w:eastAsia="仿宋" w:cs="仿宋"/>
          <w:spacing w:val="-2"/>
          <w:sz w:val="25"/>
          <w:szCs w:val="25"/>
        </w:rPr>
        <w:t>个）占用耕地比例（</w:t>
      </w:r>
      <w:r>
        <w:rPr>
          <w:rFonts w:ascii="Times New Roman" w:hAnsi="Times New Roman" w:eastAsia="Times New Roman" w:cs="Times New Roman"/>
          <w:spacing w:val="-2"/>
          <w:sz w:val="25"/>
          <w:szCs w:val="25"/>
        </w:rPr>
        <w:t>0.</w:t>
      </w:r>
      <w:r>
        <w:rPr>
          <w:rFonts w:ascii="Times New Roman" w:hAnsi="Times New Roman" w:eastAsia="Times New Roman" w:cs="Times New Roman"/>
          <w:spacing w:val="-32"/>
          <w:sz w:val="25"/>
          <w:szCs w:val="25"/>
        </w:rPr>
        <w:t xml:space="preserve"> </w:t>
      </w:r>
      <w:r>
        <w:rPr>
          <w:rFonts w:ascii="Times New Roman" w:hAnsi="Times New Roman" w:eastAsia="Times New Roman" w:cs="Times New Roman"/>
          <w:spacing w:val="-2"/>
          <w:sz w:val="25"/>
          <w:szCs w:val="25"/>
        </w:rPr>
        <w:t>154</w:t>
      </w:r>
      <w:r>
        <w:rPr>
          <w:rFonts w:ascii="Times New Roman" w:hAnsi="Times New Roman" w:eastAsia="Times New Roman" w:cs="Times New Roman"/>
          <w:spacing w:val="-3"/>
          <w:sz w:val="25"/>
          <w:szCs w:val="25"/>
        </w:rPr>
        <w:t>5%</w:t>
      </w:r>
      <w:r>
        <w:rPr>
          <w:rFonts w:ascii="仿宋" w:hAnsi="仿宋" w:eastAsia="仿宋" w:cs="仿宋"/>
          <w:spacing w:val="-3"/>
          <w:sz w:val="25"/>
          <w:szCs w:val="25"/>
        </w:rPr>
        <w:t>）</w:t>
      </w:r>
      <w:r>
        <w:rPr>
          <w:rFonts w:ascii="仿宋" w:hAnsi="仿宋" w:eastAsia="仿宋" w:cs="仿宋"/>
          <w:sz w:val="25"/>
          <w:szCs w:val="25"/>
        </w:rPr>
        <w:t xml:space="preserve"> </w:t>
      </w:r>
      <w:r>
        <w:rPr>
          <w:rFonts w:ascii="仿宋" w:hAnsi="仿宋" w:eastAsia="仿宋" w:cs="仿宋"/>
          <w:spacing w:val="5"/>
          <w:sz w:val="25"/>
          <w:szCs w:val="25"/>
        </w:rPr>
        <w:t>很小，评价认为，土地资源可承载规划实施。到</w:t>
      </w:r>
      <w:r>
        <w:rPr>
          <w:rFonts w:ascii="仿宋" w:hAnsi="仿宋" w:eastAsia="仿宋" w:cs="仿宋"/>
          <w:spacing w:val="-54"/>
          <w:sz w:val="25"/>
          <w:szCs w:val="25"/>
        </w:rPr>
        <w:t xml:space="preserve"> </w:t>
      </w:r>
      <w:r>
        <w:rPr>
          <w:rFonts w:ascii="Times New Roman" w:hAnsi="Times New Roman" w:eastAsia="Times New Roman" w:cs="Times New Roman"/>
          <w:spacing w:val="5"/>
          <w:sz w:val="25"/>
          <w:szCs w:val="25"/>
        </w:rPr>
        <w:t>202</w:t>
      </w:r>
      <w:r>
        <w:rPr>
          <w:rFonts w:ascii="Times New Roman" w:hAnsi="Times New Roman" w:eastAsia="Times New Roman" w:cs="Times New Roman"/>
          <w:spacing w:val="4"/>
          <w:sz w:val="25"/>
          <w:szCs w:val="25"/>
        </w:rPr>
        <w:t>5</w:t>
      </w:r>
      <w:r>
        <w:rPr>
          <w:rFonts w:ascii="Times New Roman" w:hAnsi="Times New Roman" w:eastAsia="Times New Roman" w:cs="Times New Roman"/>
          <w:spacing w:val="27"/>
          <w:sz w:val="25"/>
          <w:szCs w:val="25"/>
        </w:rPr>
        <w:t xml:space="preserve"> </w:t>
      </w:r>
      <w:r>
        <w:rPr>
          <w:rFonts w:ascii="仿宋" w:hAnsi="仿宋" w:eastAsia="仿宋" w:cs="仿宋"/>
          <w:spacing w:val="4"/>
          <w:sz w:val="25"/>
          <w:szCs w:val="25"/>
        </w:rPr>
        <w:t>年，黔江区采矿业用水量</w:t>
      </w:r>
      <w:r>
        <w:rPr>
          <w:rFonts w:ascii="仿宋" w:hAnsi="仿宋" w:eastAsia="仿宋" w:cs="仿宋"/>
          <w:sz w:val="25"/>
          <w:szCs w:val="25"/>
        </w:rPr>
        <w:t xml:space="preserve">  </w:t>
      </w:r>
      <w:r>
        <w:rPr>
          <w:rFonts w:ascii="仿宋" w:hAnsi="仿宋" w:eastAsia="仿宋" w:cs="仿宋"/>
          <w:spacing w:val="-2"/>
          <w:sz w:val="25"/>
          <w:szCs w:val="25"/>
        </w:rPr>
        <w:t>约</w:t>
      </w:r>
      <w:r>
        <w:rPr>
          <w:rFonts w:ascii="仿宋" w:hAnsi="仿宋" w:eastAsia="仿宋" w:cs="仿宋"/>
          <w:spacing w:val="-35"/>
          <w:sz w:val="25"/>
          <w:szCs w:val="25"/>
        </w:rPr>
        <w:t xml:space="preserve"> </w:t>
      </w:r>
      <w:r>
        <w:rPr>
          <w:rFonts w:ascii="Times New Roman" w:hAnsi="Times New Roman" w:eastAsia="Times New Roman" w:cs="Times New Roman"/>
          <w:spacing w:val="-2"/>
          <w:sz w:val="25"/>
          <w:szCs w:val="25"/>
        </w:rPr>
        <w:t>47.055</w:t>
      </w:r>
      <w:r>
        <w:rPr>
          <w:rFonts w:ascii="Times New Roman" w:hAnsi="Times New Roman" w:eastAsia="Times New Roman" w:cs="Times New Roman"/>
          <w:spacing w:val="24"/>
          <w:sz w:val="25"/>
          <w:szCs w:val="25"/>
        </w:rPr>
        <w:t xml:space="preserve"> </w:t>
      </w:r>
      <w:r>
        <w:rPr>
          <w:rFonts w:ascii="仿宋" w:hAnsi="仿宋" w:eastAsia="仿宋" w:cs="仿宋"/>
          <w:spacing w:val="-2"/>
          <w:sz w:val="25"/>
          <w:szCs w:val="25"/>
        </w:rPr>
        <w:t>万</w:t>
      </w:r>
      <w:r>
        <w:rPr>
          <w:rFonts w:ascii="仿宋" w:hAnsi="仿宋" w:eastAsia="仿宋" w:cs="仿宋"/>
          <w:spacing w:val="-58"/>
          <w:sz w:val="25"/>
          <w:szCs w:val="25"/>
        </w:rPr>
        <w:t xml:space="preserve"> </w:t>
      </w:r>
      <w:r>
        <w:rPr>
          <w:rFonts w:ascii="Times New Roman" w:hAnsi="Times New Roman" w:eastAsia="Times New Roman" w:cs="Times New Roman"/>
          <w:spacing w:val="-2"/>
          <w:sz w:val="25"/>
          <w:szCs w:val="25"/>
        </w:rPr>
        <w:t>m</w:t>
      </w:r>
      <w:r>
        <w:rPr>
          <w:rFonts w:ascii="Times New Roman" w:hAnsi="Times New Roman" w:eastAsia="Times New Roman" w:cs="Times New Roman"/>
          <w:spacing w:val="-2"/>
          <w:position w:val="8"/>
          <w:sz w:val="16"/>
          <w:szCs w:val="16"/>
        </w:rPr>
        <w:t xml:space="preserve">3 </w:t>
      </w:r>
      <w:r>
        <w:rPr>
          <w:rFonts w:ascii="仿宋" w:hAnsi="仿宋" w:eastAsia="仿宋" w:cs="仿宋"/>
          <w:spacing w:val="-2"/>
          <w:sz w:val="25"/>
          <w:szCs w:val="25"/>
        </w:rPr>
        <w:t>，</w:t>
      </w:r>
      <w:r>
        <w:rPr>
          <w:rFonts w:ascii="仿宋" w:hAnsi="仿宋" w:eastAsia="仿宋" w:cs="仿宋"/>
          <w:spacing w:val="-57"/>
          <w:sz w:val="25"/>
          <w:szCs w:val="25"/>
        </w:rPr>
        <w:t xml:space="preserve"> </w:t>
      </w:r>
      <w:r>
        <w:rPr>
          <w:rFonts w:ascii="仿宋" w:hAnsi="仿宋" w:eastAsia="仿宋" w:cs="仿宋"/>
          <w:spacing w:val="-2"/>
          <w:sz w:val="25"/>
          <w:szCs w:val="25"/>
        </w:rPr>
        <w:t>占</w:t>
      </w:r>
      <w:r>
        <w:rPr>
          <w:rFonts w:ascii="仿宋" w:hAnsi="仿宋" w:eastAsia="仿宋" w:cs="仿宋"/>
          <w:spacing w:val="-52"/>
          <w:sz w:val="25"/>
          <w:szCs w:val="25"/>
        </w:rPr>
        <w:t xml:space="preserve"> </w:t>
      </w:r>
      <w:r>
        <w:rPr>
          <w:rFonts w:ascii="Times New Roman" w:hAnsi="Times New Roman" w:eastAsia="Times New Roman" w:cs="Times New Roman"/>
          <w:spacing w:val="-2"/>
          <w:sz w:val="25"/>
          <w:szCs w:val="25"/>
        </w:rPr>
        <w:t>2025</w:t>
      </w:r>
      <w:r>
        <w:rPr>
          <w:rFonts w:ascii="Times New Roman" w:hAnsi="Times New Roman" w:eastAsia="Times New Roman" w:cs="Times New Roman"/>
          <w:spacing w:val="27"/>
          <w:sz w:val="25"/>
          <w:szCs w:val="25"/>
        </w:rPr>
        <w:t xml:space="preserve"> </w:t>
      </w:r>
      <w:r>
        <w:rPr>
          <w:rFonts w:ascii="仿宋" w:hAnsi="仿宋" w:eastAsia="仿宋" w:cs="仿宋"/>
          <w:spacing w:val="-2"/>
          <w:sz w:val="25"/>
          <w:szCs w:val="25"/>
        </w:rPr>
        <w:t>年用水总量控制指标</w:t>
      </w:r>
      <w:r>
        <w:rPr>
          <w:rFonts w:ascii="仿宋" w:hAnsi="仿宋" w:eastAsia="仿宋" w:cs="仿宋"/>
          <w:spacing w:val="-30"/>
          <w:sz w:val="25"/>
          <w:szCs w:val="25"/>
        </w:rPr>
        <w:t xml:space="preserve"> </w:t>
      </w:r>
      <w:r>
        <w:rPr>
          <w:rFonts w:ascii="Times New Roman" w:hAnsi="Times New Roman" w:eastAsia="Times New Roman" w:cs="Times New Roman"/>
          <w:spacing w:val="-2"/>
          <w:sz w:val="25"/>
          <w:szCs w:val="25"/>
        </w:rPr>
        <w:t>10200</w:t>
      </w:r>
      <w:r>
        <w:rPr>
          <w:rFonts w:ascii="Times New Roman" w:hAnsi="Times New Roman" w:eastAsia="Times New Roman" w:cs="Times New Roman"/>
          <w:spacing w:val="24"/>
          <w:w w:val="101"/>
          <w:sz w:val="25"/>
          <w:szCs w:val="25"/>
        </w:rPr>
        <w:t xml:space="preserve"> </w:t>
      </w:r>
      <w:r>
        <w:rPr>
          <w:rFonts w:ascii="仿宋" w:hAnsi="仿宋" w:eastAsia="仿宋" w:cs="仿宋"/>
          <w:spacing w:val="-2"/>
          <w:sz w:val="25"/>
          <w:szCs w:val="25"/>
        </w:rPr>
        <w:t>万</w:t>
      </w:r>
      <w:r>
        <w:rPr>
          <w:rFonts w:ascii="仿宋" w:hAnsi="仿宋" w:eastAsia="仿宋" w:cs="仿宋"/>
          <w:spacing w:val="-58"/>
          <w:sz w:val="25"/>
          <w:szCs w:val="25"/>
        </w:rPr>
        <w:t xml:space="preserve"> </w:t>
      </w:r>
      <w:r>
        <w:rPr>
          <w:rFonts w:ascii="Times New Roman" w:hAnsi="Times New Roman" w:eastAsia="Times New Roman" w:cs="Times New Roman"/>
          <w:spacing w:val="-2"/>
          <w:sz w:val="25"/>
          <w:szCs w:val="25"/>
        </w:rPr>
        <w:t>m</w:t>
      </w:r>
      <w:r>
        <w:rPr>
          <w:rFonts w:ascii="Times New Roman" w:hAnsi="Times New Roman" w:eastAsia="Times New Roman" w:cs="Times New Roman"/>
          <w:spacing w:val="-2"/>
          <w:position w:val="8"/>
          <w:sz w:val="16"/>
          <w:szCs w:val="16"/>
        </w:rPr>
        <w:t>3</w:t>
      </w:r>
      <w:r>
        <w:rPr>
          <w:rFonts w:ascii="Times New Roman" w:hAnsi="Times New Roman" w:eastAsia="Times New Roman" w:cs="Times New Roman"/>
          <w:spacing w:val="35"/>
          <w:w w:val="102"/>
          <w:position w:val="8"/>
          <w:sz w:val="16"/>
          <w:szCs w:val="16"/>
        </w:rPr>
        <w:t xml:space="preserve"> </w:t>
      </w:r>
      <w:r>
        <w:rPr>
          <w:rFonts w:ascii="仿宋" w:hAnsi="仿宋" w:eastAsia="仿宋" w:cs="仿宋"/>
          <w:spacing w:val="-2"/>
          <w:sz w:val="25"/>
          <w:szCs w:val="25"/>
        </w:rPr>
        <w:t>的</w:t>
      </w:r>
      <w:r>
        <w:rPr>
          <w:rFonts w:ascii="仿宋" w:hAnsi="仿宋" w:eastAsia="仿宋" w:cs="仿宋"/>
          <w:spacing w:val="-51"/>
          <w:sz w:val="25"/>
          <w:szCs w:val="25"/>
        </w:rPr>
        <w:t xml:space="preserve"> </w:t>
      </w:r>
      <w:r>
        <w:rPr>
          <w:rFonts w:ascii="Times New Roman" w:hAnsi="Times New Roman" w:eastAsia="Times New Roman" w:cs="Times New Roman"/>
          <w:spacing w:val="-2"/>
          <w:sz w:val="25"/>
          <w:szCs w:val="25"/>
        </w:rPr>
        <w:t>0.46%</w:t>
      </w:r>
      <w:r>
        <w:rPr>
          <w:rFonts w:ascii="Times New Roman" w:hAnsi="Times New Roman" w:eastAsia="Times New Roman" w:cs="Times New Roman"/>
          <w:spacing w:val="-27"/>
          <w:sz w:val="25"/>
          <w:szCs w:val="25"/>
        </w:rPr>
        <w:t xml:space="preserve"> </w:t>
      </w:r>
      <w:r>
        <w:rPr>
          <w:rFonts w:ascii="仿宋" w:hAnsi="仿宋" w:eastAsia="仿宋" w:cs="仿宋"/>
          <w:spacing w:val="-2"/>
          <w:sz w:val="25"/>
          <w:szCs w:val="25"/>
        </w:rPr>
        <w:t>，</w:t>
      </w:r>
      <w:r>
        <w:rPr>
          <w:rFonts w:ascii="仿宋" w:hAnsi="仿宋" w:eastAsia="仿宋" w:cs="仿宋"/>
          <w:spacing w:val="-57"/>
          <w:sz w:val="25"/>
          <w:szCs w:val="25"/>
        </w:rPr>
        <w:t xml:space="preserve"> </w:t>
      </w:r>
      <w:r>
        <w:rPr>
          <w:rFonts w:ascii="仿宋" w:hAnsi="仿宋" w:eastAsia="仿宋" w:cs="仿宋"/>
          <w:spacing w:val="-2"/>
          <w:sz w:val="25"/>
          <w:szCs w:val="25"/>
        </w:rPr>
        <w:t>占比小，</w:t>
      </w:r>
      <w:r>
        <w:rPr>
          <w:rFonts w:ascii="仿宋" w:hAnsi="仿宋" w:eastAsia="仿宋" w:cs="仿宋"/>
          <w:sz w:val="25"/>
          <w:szCs w:val="25"/>
        </w:rPr>
        <w:t xml:space="preserve"> </w:t>
      </w:r>
      <w:r>
        <w:rPr>
          <w:rFonts w:ascii="仿宋" w:hAnsi="仿宋" w:eastAsia="仿宋" w:cs="仿宋"/>
          <w:spacing w:val="10"/>
          <w:sz w:val="25"/>
          <w:szCs w:val="25"/>
        </w:rPr>
        <w:t>黔江区水资源量能承载本规划实施。规划布局</w:t>
      </w:r>
      <w:r>
        <w:rPr>
          <w:rFonts w:ascii="仿宋" w:hAnsi="仿宋" w:eastAsia="仿宋" w:cs="仿宋"/>
          <w:spacing w:val="9"/>
          <w:sz w:val="25"/>
          <w:szCs w:val="25"/>
        </w:rPr>
        <w:t>优化调整与转型升级、小型非金</w:t>
      </w:r>
      <w:r>
        <w:rPr>
          <w:rFonts w:ascii="仿宋" w:hAnsi="仿宋" w:eastAsia="仿宋" w:cs="仿宋"/>
          <w:sz w:val="25"/>
          <w:szCs w:val="25"/>
        </w:rPr>
        <w:t xml:space="preserve">  </w:t>
      </w:r>
      <w:r>
        <w:rPr>
          <w:rFonts w:ascii="仿宋" w:hAnsi="仿宋" w:eastAsia="仿宋" w:cs="仿宋"/>
          <w:spacing w:val="10"/>
          <w:sz w:val="25"/>
          <w:szCs w:val="25"/>
        </w:rPr>
        <w:t>属矿产资源开发的规范、大中型矿山比例的提</w:t>
      </w:r>
      <w:r>
        <w:rPr>
          <w:rFonts w:ascii="仿宋" w:hAnsi="仿宋" w:eastAsia="仿宋" w:cs="仿宋"/>
          <w:spacing w:val="9"/>
          <w:sz w:val="25"/>
          <w:szCs w:val="25"/>
        </w:rPr>
        <w:t>高和绿色矿山建设，采取更加有</w:t>
      </w:r>
      <w:r>
        <w:rPr>
          <w:rFonts w:ascii="仿宋" w:hAnsi="仿宋" w:eastAsia="仿宋" w:cs="仿宋"/>
          <w:sz w:val="25"/>
          <w:szCs w:val="25"/>
        </w:rPr>
        <w:t xml:space="preserve">  </w:t>
      </w:r>
      <w:r>
        <w:rPr>
          <w:rFonts w:ascii="仿宋" w:hAnsi="仿宋" w:eastAsia="仿宋" w:cs="仿宋"/>
          <w:spacing w:val="5"/>
          <w:sz w:val="25"/>
          <w:szCs w:val="25"/>
        </w:rPr>
        <w:t>效的粉尘防治措施，有利于区域环境空气质量的改善和提升，黔江区</w:t>
      </w:r>
      <w:r>
        <w:rPr>
          <w:rFonts w:ascii="仿宋" w:hAnsi="仿宋" w:eastAsia="仿宋" w:cs="仿宋"/>
          <w:spacing w:val="-54"/>
          <w:sz w:val="25"/>
          <w:szCs w:val="25"/>
        </w:rPr>
        <w:t xml:space="preserve"> </w:t>
      </w:r>
      <w:r>
        <w:rPr>
          <w:rFonts w:ascii="Times New Roman" w:hAnsi="Times New Roman" w:eastAsia="Times New Roman" w:cs="Times New Roman"/>
          <w:sz w:val="25"/>
          <w:szCs w:val="25"/>
        </w:rPr>
        <w:t>PM</w:t>
      </w:r>
      <w:r>
        <w:rPr>
          <w:rFonts w:ascii="Times New Roman" w:hAnsi="Times New Roman" w:eastAsia="Times New Roman" w:cs="Times New Roman"/>
          <w:spacing w:val="5"/>
          <w:position w:val="-1"/>
          <w:sz w:val="16"/>
          <w:szCs w:val="16"/>
        </w:rPr>
        <w:t>10</w:t>
      </w:r>
      <w:r>
        <w:rPr>
          <w:rFonts w:ascii="Times New Roman" w:hAnsi="Times New Roman" w:eastAsia="Times New Roman" w:cs="Times New Roman"/>
          <w:spacing w:val="24"/>
          <w:position w:val="-1"/>
          <w:sz w:val="16"/>
          <w:szCs w:val="16"/>
        </w:rPr>
        <w:t xml:space="preserve"> </w:t>
      </w:r>
      <w:r>
        <w:rPr>
          <w:rFonts w:ascii="仿宋" w:hAnsi="仿宋" w:eastAsia="仿宋" w:cs="仿宋"/>
          <w:spacing w:val="5"/>
          <w:sz w:val="25"/>
          <w:szCs w:val="25"/>
        </w:rPr>
        <w:t>大气</w:t>
      </w:r>
      <w:r>
        <w:rPr>
          <w:rFonts w:ascii="仿宋" w:hAnsi="仿宋" w:eastAsia="仿宋" w:cs="仿宋"/>
          <w:sz w:val="25"/>
          <w:szCs w:val="25"/>
        </w:rPr>
        <w:t xml:space="preserve">  </w:t>
      </w:r>
      <w:r>
        <w:rPr>
          <w:rFonts w:ascii="仿宋" w:hAnsi="仿宋" w:eastAsia="仿宋" w:cs="仿宋"/>
          <w:spacing w:val="10"/>
          <w:sz w:val="25"/>
          <w:szCs w:val="25"/>
        </w:rPr>
        <w:t>环境容量能接纳黔江区矿产资源总体规划大气</w:t>
      </w:r>
      <w:r>
        <w:rPr>
          <w:rFonts w:ascii="仿宋" w:hAnsi="仿宋" w:eastAsia="仿宋" w:cs="仿宋"/>
          <w:spacing w:val="9"/>
          <w:sz w:val="25"/>
          <w:szCs w:val="25"/>
        </w:rPr>
        <w:t>污染物排放量。规划将严格执行</w:t>
      </w:r>
      <w:r>
        <w:rPr>
          <w:rFonts w:ascii="仿宋" w:hAnsi="仿宋" w:eastAsia="仿宋" w:cs="仿宋"/>
          <w:sz w:val="25"/>
          <w:szCs w:val="25"/>
        </w:rPr>
        <w:t xml:space="preserve">  </w:t>
      </w:r>
      <w:r>
        <w:rPr>
          <w:rFonts w:ascii="仿宋" w:hAnsi="仿宋" w:eastAsia="仿宋" w:cs="仿宋"/>
          <w:spacing w:val="10"/>
          <w:sz w:val="25"/>
          <w:szCs w:val="25"/>
        </w:rPr>
        <w:t>相关规划环保要求，污废水处理率和达标率均达</w:t>
      </w:r>
      <w:r>
        <w:rPr>
          <w:rFonts w:ascii="仿宋" w:hAnsi="仿宋" w:eastAsia="仿宋" w:cs="仿宋"/>
          <w:spacing w:val="-24"/>
          <w:sz w:val="25"/>
          <w:szCs w:val="25"/>
        </w:rPr>
        <w:t xml:space="preserve"> </w:t>
      </w:r>
      <w:r>
        <w:rPr>
          <w:rFonts w:ascii="Times New Roman" w:hAnsi="Times New Roman" w:eastAsia="Times New Roman" w:cs="Times New Roman"/>
          <w:spacing w:val="10"/>
          <w:sz w:val="25"/>
          <w:szCs w:val="25"/>
        </w:rPr>
        <w:t>100%</w:t>
      </w:r>
      <w:r>
        <w:rPr>
          <w:rFonts w:ascii="Times New Roman" w:hAnsi="Times New Roman" w:eastAsia="Times New Roman" w:cs="Times New Roman"/>
          <w:spacing w:val="-21"/>
          <w:sz w:val="25"/>
          <w:szCs w:val="25"/>
        </w:rPr>
        <w:t xml:space="preserve"> </w:t>
      </w:r>
      <w:r>
        <w:rPr>
          <w:rFonts w:ascii="仿宋" w:hAnsi="仿宋" w:eastAsia="仿宋" w:cs="仿宋"/>
          <w:spacing w:val="10"/>
          <w:sz w:val="25"/>
          <w:szCs w:val="25"/>
        </w:rPr>
        <w:t>。矿山企业废水尽量实</w:t>
      </w:r>
      <w:r>
        <w:rPr>
          <w:rFonts w:ascii="仿宋" w:hAnsi="仿宋" w:eastAsia="仿宋" w:cs="仿宋"/>
          <w:sz w:val="25"/>
          <w:szCs w:val="25"/>
        </w:rPr>
        <w:t xml:space="preserve">  </w:t>
      </w:r>
      <w:r>
        <w:rPr>
          <w:rFonts w:ascii="仿宋" w:hAnsi="仿宋" w:eastAsia="仿宋" w:cs="仿宋"/>
          <w:spacing w:val="10"/>
          <w:sz w:val="25"/>
          <w:szCs w:val="25"/>
        </w:rPr>
        <w:t>现综合利用，可以用作农业灌溉、景观用水和</w:t>
      </w:r>
      <w:r>
        <w:rPr>
          <w:rFonts w:ascii="仿宋" w:hAnsi="仿宋" w:eastAsia="仿宋" w:cs="仿宋"/>
          <w:spacing w:val="9"/>
          <w:sz w:val="25"/>
          <w:szCs w:val="25"/>
        </w:rPr>
        <w:t>一般工业用水等。在废水最大化</w:t>
      </w:r>
      <w:r>
        <w:rPr>
          <w:rFonts w:ascii="仿宋" w:hAnsi="仿宋" w:eastAsia="仿宋" w:cs="仿宋"/>
          <w:sz w:val="25"/>
          <w:szCs w:val="25"/>
        </w:rPr>
        <w:t xml:space="preserve">  </w:t>
      </w:r>
      <w:r>
        <w:rPr>
          <w:rFonts w:ascii="仿宋" w:hAnsi="仿宋" w:eastAsia="仿宋" w:cs="仿宋"/>
          <w:spacing w:val="10"/>
          <w:sz w:val="25"/>
          <w:szCs w:val="25"/>
        </w:rPr>
        <w:t>综合利用后，对地表水环境容量的压力较小。</w:t>
      </w:r>
      <w:r>
        <w:rPr>
          <w:rFonts w:ascii="仿宋" w:hAnsi="仿宋" w:eastAsia="仿宋" w:cs="仿宋"/>
          <w:spacing w:val="9"/>
          <w:sz w:val="25"/>
          <w:szCs w:val="25"/>
        </w:rPr>
        <w:t>评价认为，规划规模满足黔江区</w:t>
      </w:r>
      <w:r>
        <w:rPr>
          <w:rFonts w:ascii="仿宋" w:hAnsi="仿宋" w:eastAsia="仿宋" w:cs="仿宋"/>
          <w:sz w:val="25"/>
          <w:szCs w:val="25"/>
        </w:rPr>
        <w:t xml:space="preserve">  </w:t>
      </w:r>
      <w:r>
        <w:rPr>
          <w:rFonts w:ascii="仿宋" w:hAnsi="仿宋" w:eastAsia="仿宋" w:cs="仿宋"/>
          <w:spacing w:val="8"/>
          <w:sz w:val="25"/>
          <w:szCs w:val="25"/>
        </w:rPr>
        <w:t>区域资源承载力及环境承载力要求。</w:t>
      </w:r>
    </w:p>
    <w:p w14:paraId="506DD830">
      <w:pPr>
        <w:spacing w:before="3" w:line="339" w:lineRule="auto"/>
        <w:ind w:left="15" w:right="105" w:firstLine="524"/>
        <w:jc w:val="both"/>
        <w:rPr>
          <w:rFonts w:ascii="仿宋" w:hAnsi="仿宋" w:eastAsia="仿宋" w:cs="仿宋"/>
          <w:sz w:val="25"/>
          <w:szCs w:val="25"/>
        </w:rPr>
      </w:pPr>
      <w:r>
        <w:rPr>
          <w:rFonts w:ascii="仿宋" w:hAnsi="仿宋" w:eastAsia="仿宋" w:cs="仿宋"/>
          <w:spacing w:val="4"/>
          <w:sz w:val="25"/>
          <w:szCs w:val="25"/>
        </w:rPr>
        <w:t>综合分析主要矿产</w:t>
      </w:r>
      <w:r>
        <w:rPr>
          <w:rFonts w:ascii="仿宋" w:hAnsi="仿宋" w:eastAsia="仿宋" w:cs="仿宋"/>
          <w:spacing w:val="-47"/>
          <w:sz w:val="25"/>
          <w:szCs w:val="25"/>
        </w:rPr>
        <w:t xml:space="preserve"> </w:t>
      </w:r>
      <w:r>
        <w:rPr>
          <w:rFonts w:ascii="Times New Roman" w:hAnsi="Times New Roman" w:eastAsia="Times New Roman" w:cs="Times New Roman"/>
          <w:spacing w:val="4"/>
          <w:sz w:val="25"/>
          <w:szCs w:val="25"/>
        </w:rPr>
        <w:t>2025</w:t>
      </w:r>
      <w:r>
        <w:rPr>
          <w:rFonts w:ascii="Times New Roman" w:hAnsi="Times New Roman" w:eastAsia="Times New Roman" w:cs="Times New Roman"/>
          <w:spacing w:val="25"/>
          <w:sz w:val="25"/>
          <w:szCs w:val="25"/>
        </w:rPr>
        <w:t xml:space="preserve"> </w:t>
      </w:r>
      <w:r>
        <w:rPr>
          <w:rFonts w:ascii="仿宋" w:hAnsi="仿宋" w:eastAsia="仿宋" w:cs="仿宋"/>
          <w:spacing w:val="4"/>
          <w:sz w:val="25"/>
          <w:szCs w:val="25"/>
        </w:rPr>
        <w:t>年开发利用总量对全区矿产资源量、大气环境、地</w:t>
      </w:r>
      <w:r>
        <w:rPr>
          <w:rFonts w:ascii="仿宋" w:hAnsi="仿宋" w:eastAsia="仿宋" w:cs="仿宋"/>
          <w:sz w:val="25"/>
          <w:szCs w:val="25"/>
        </w:rPr>
        <w:t xml:space="preserve"> </w:t>
      </w:r>
      <w:r>
        <w:rPr>
          <w:rFonts w:ascii="仿宋" w:hAnsi="仿宋" w:eastAsia="仿宋" w:cs="仿宋"/>
          <w:spacing w:val="6"/>
          <w:sz w:val="25"/>
          <w:szCs w:val="25"/>
        </w:rPr>
        <w:t>表水环境、土壤环境，以及产生的固体废物预测评价和前文中</w:t>
      </w:r>
      <w:r>
        <w:rPr>
          <w:rFonts w:ascii="Times New Roman" w:hAnsi="Times New Roman" w:eastAsia="Times New Roman" w:cs="Times New Roman"/>
          <w:spacing w:val="6"/>
          <w:sz w:val="25"/>
          <w:szCs w:val="25"/>
        </w:rPr>
        <w:t>“</w:t>
      </w:r>
      <w:r>
        <w:rPr>
          <w:rFonts w:ascii="仿宋" w:hAnsi="仿宋" w:eastAsia="仿宋" w:cs="仿宋"/>
          <w:spacing w:val="6"/>
          <w:sz w:val="25"/>
          <w:szCs w:val="25"/>
        </w:rPr>
        <w:t>矿山最低开采规</w:t>
      </w:r>
      <w:r>
        <w:rPr>
          <w:rFonts w:ascii="仿宋" w:hAnsi="仿宋" w:eastAsia="仿宋" w:cs="仿宋"/>
          <w:spacing w:val="5"/>
          <w:sz w:val="25"/>
          <w:szCs w:val="25"/>
        </w:rPr>
        <w:t xml:space="preserve"> </w:t>
      </w:r>
      <w:r>
        <w:rPr>
          <w:rFonts w:ascii="仿宋" w:hAnsi="仿宋" w:eastAsia="仿宋" w:cs="仿宋"/>
          <w:spacing w:val="8"/>
          <w:sz w:val="25"/>
          <w:szCs w:val="25"/>
        </w:rPr>
        <w:t>模</w:t>
      </w:r>
      <w:r>
        <w:rPr>
          <w:rFonts w:ascii="Times New Roman" w:hAnsi="Times New Roman" w:eastAsia="Times New Roman" w:cs="Times New Roman"/>
          <w:spacing w:val="8"/>
          <w:sz w:val="25"/>
          <w:szCs w:val="25"/>
        </w:rPr>
        <w:t>”</w:t>
      </w:r>
      <w:r>
        <w:rPr>
          <w:rFonts w:ascii="仿宋" w:hAnsi="仿宋" w:eastAsia="仿宋" w:cs="仿宋"/>
          <w:spacing w:val="8"/>
          <w:sz w:val="25"/>
          <w:szCs w:val="25"/>
        </w:rPr>
        <w:t>等可知，《重庆市黔江区矿产资源总体规划（</w:t>
      </w:r>
      <w:r>
        <w:rPr>
          <w:rFonts w:ascii="Times New Roman" w:hAnsi="Times New Roman" w:eastAsia="Times New Roman" w:cs="Times New Roman"/>
          <w:spacing w:val="7"/>
          <w:sz w:val="25"/>
          <w:szCs w:val="25"/>
        </w:rPr>
        <w:t>2020-2025</w:t>
      </w:r>
      <w:r>
        <w:rPr>
          <w:rFonts w:ascii="Times New Roman" w:hAnsi="Times New Roman" w:eastAsia="Times New Roman" w:cs="Times New Roman"/>
          <w:spacing w:val="27"/>
          <w:sz w:val="25"/>
          <w:szCs w:val="25"/>
        </w:rPr>
        <w:t xml:space="preserve"> </w:t>
      </w:r>
      <w:r>
        <w:rPr>
          <w:rFonts w:ascii="仿宋" w:hAnsi="仿宋" w:eastAsia="仿宋" w:cs="仿宋"/>
          <w:spacing w:val="7"/>
          <w:sz w:val="25"/>
          <w:szCs w:val="25"/>
        </w:rPr>
        <w:t>年）》、《重庆市</w:t>
      </w:r>
    </w:p>
    <w:p w14:paraId="170B16EB">
      <w:pPr>
        <w:spacing w:line="339" w:lineRule="auto"/>
        <w:rPr>
          <w:rFonts w:ascii="仿宋" w:hAnsi="仿宋" w:eastAsia="仿宋" w:cs="仿宋"/>
          <w:sz w:val="25"/>
          <w:szCs w:val="25"/>
        </w:rPr>
        <w:sectPr>
          <w:headerReference r:id="rId209" w:type="default"/>
          <w:footerReference r:id="rId210" w:type="default"/>
          <w:pgSz w:w="11906" w:h="16839"/>
          <w:pgMar w:top="1116" w:right="1367" w:bottom="866" w:left="1587" w:header="683" w:footer="703" w:gutter="0"/>
          <w:cols w:space="720" w:num="1"/>
        </w:sectPr>
      </w:pPr>
    </w:p>
    <w:p w14:paraId="1C54C413">
      <w:pPr>
        <w:pStyle w:val="2"/>
        <w:spacing w:line="385" w:lineRule="auto"/>
      </w:pPr>
    </w:p>
    <w:p w14:paraId="4765B088">
      <w:pPr>
        <w:spacing w:before="81" w:line="341" w:lineRule="auto"/>
        <w:ind w:left="29" w:right="1" w:hanging="8"/>
        <w:rPr>
          <w:rFonts w:ascii="仿宋" w:hAnsi="仿宋" w:eastAsia="仿宋" w:cs="仿宋"/>
          <w:sz w:val="25"/>
          <w:szCs w:val="25"/>
        </w:rPr>
      </w:pPr>
      <w:r>
        <w:rPr>
          <w:rFonts w:ascii="仿宋" w:hAnsi="仿宋" w:eastAsia="仿宋" w:cs="仿宋"/>
          <w:spacing w:val="9"/>
          <w:sz w:val="25"/>
          <w:szCs w:val="25"/>
        </w:rPr>
        <w:t>黔江区矿产资源总体规划调整论证方案》对上述矿产开采规模调控合理，属于</w:t>
      </w:r>
      <w:r>
        <w:rPr>
          <w:rFonts w:ascii="仿宋" w:hAnsi="仿宋" w:eastAsia="仿宋" w:cs="仿宋"/>
          <w:spacing w:val="14"/>
          <w:sz w:val="25"/>
          <w:szCs w:val="25"/>
        </w:rPr>
        <w:t xml:space="preserve"> </w:t>
      </w:r>
      <w:r>
        <w:rPr>
          <w:rFonts w:ascii="仿宋" w:hAnsi="仿宋" w:eastAsia="仿宋" w:cs="仿宋"/>
          <w:spacing w:val="6"/>
          <w:sz w:val="25"/>
          <w:szCs w:val="25"/>
        </w:rPr>
        <w:t>资源和环境容量可承受范围。</w:t>
      </w:r>
    </w:p>
    <w:p w14:paraId="4BB7744F">
      <w:pPr>
        <w:spacing w:before="116" w:line="227" w:lineRule="auto"/>
        <w:ind w:left="8"/>
        <w:outlineLvl w:val="3"/>
        <w:rPr>
          <w:rFonts w:ascii="仿宋" w:hAnsi="仿宋" w:eastAsia="仿宋" w:cs="仿宋"/>
          <w:sz w:val="25"/>
          <w:szCs w:val="25"/>
        </w:rPr>
      </w:pPr>
      <w:r>
        <w:rPr>
          <w:rFonts w:ascii="Times New Roman" w:hAnsi="Times New Roman" w:eastAsia="Times New Roman" w:cs="Times New Roman"/>
          <w:b/>
          <w:bCs/>
          <w:spacing w:val="4"/>
          <w:sz w:val="25"/>
          <w:szCs w:val="25"/>
        </w:rPr>
        <w:t>6.1.1.3</w:t>
      </w:r>
      <w:r>
        <w:rPr>
          <w:rFonts w:ascii="Times New Roman" w:hAnsi="Times New Roman" w:eastAsia="Times New Roman" w:cs="Times New Roman"/>
          <w:b/>
          <w:bCs/>
          <w:spacing w:val="28"/>
          <w:w w:val="101"/>
          <w:sz w:val="25"/>
          <w:szCs w:val="25"/>
        </w:rPr>
        <w:t xml:space="preserve"> </w:t>
      </w:r>
      <w:r>
        <w:rPr>
          <w:rFonts w:ascii="仿宋" w:hAnsi="仿宋" w:eastAsia="仿宋" w:cs="仿宋"/>
          <w:b/>
          <w:bCs/>
          <w:spacing w:val="4"/>
          <w:sz w:val="25"/>
          <w:szCs w:val="25"/>
        </w:rPr>
        <w:t>环境目标可达性分析</w:t>
      </w:r>
    </w:p>
    <w:p w14:paraId="69CCDAA0">
      <w:pPr>
        <w:spacing w:before="272" w:line="340" w:lineRule="auto"/>
        <w:ind w:left="21" w:right="1" w:firstLine="516"/>
        <w:rPr>
          <w:rFonts w:ascii="仿宋" w:hAnsi="仿宋" w:eastAsia="仿宋" w:cs="仿宋"/>
          <w:sz w:val="25"/>
          <w:szCs w:val="25"/>
        </w:rPr>
      </w:pPr>
      <w:r>
        <w:rPr>
          <w:rFonts w:ascii="仿宋" w:hAnsi="仿宋" w:eastAsia="仿宋" w:cs="仿宋"/>
          <w:spacing w:val="10"/>
          <w:sz w:val="25"/>
          <w:szCs w:val="25"/>
        </w:rPr>
        <w:t>依据</w:t>
      </w:r>
      <w:r>
        <w:rPr>
          <w:rFonts w:ascii="仿宋" w:hAnsi="仿宋" w:eastAsia="仿宋" w:cs="仿宋"/>
          <w:spacing w:val="-54"/>
          <w:sz w:val="25"/>
          <w:szCs w:val="25"/>
        </w:rPr>
        <w:t xml:space="preserve"> </w:t>
      </w:r>
      <w:r>
        <w:rPr>
          <w:rFonts w:ascii="Times New Roman" w:hAnsi="Times New Roman" w:eastAsia="Times New Roman" w:cs="Times New Roman"/>
          <w:spacing w:val="10"/>
          <w:sz w:val="25"/>
          <w:szCs w:val="25"/>
        </w:rPr>
        <w:t>4.3</w:t>
      </w:r>
      <w:r>
        <w:rPr>
          <w:rFonts w:ascii="Times New Roman" w:hAnsi="Times New Roman" w:eastAsia="Times New Roman" w:cs="Times New Roman"/>
          <w:spacing w:val="28"/>
          <w:sz w:val="25"/>
          <w:szCs w:val="25"/>
        </w:rPr>
        <w:t xml:space="preserve"> </w:t>
      </w:r>
      <w:r>
        <w:rPr>
          <w:rFonts w:ascii="仿宋" w:hAnsi="仿宋" w:eastAsia="仿宋" w:cs="仿宋"/>
          <w:spacing w:val="10"/>
          <w:sz w:val="25"/>
          <w:szCs w:val="25"/>
        </w:rPr>
        <w:t>节建立的评价指标体系，结合前述环境影响预测与承载力等分析</w:t>
      </w:r>
      <w:r>
        <w:rPr>
          <w:rFonts w:ascii="仿宋" w:hAnsi="仿宋" w:eastAsia="仿宋" w:cs="仿宋"/>
          <w:sz w:val="25"/>
          <w:szCs w:val="25"/>
        </w:rPr>
        <w:t xml:space="preserve"> </w:t>
      </w:r>
      <w:r>
        <w:rPr>
          <w:rFonts w:ascii="仿宋" w:hAnsi="仿宋" w:eastAsia="仿宋" w:cs="仿宋"/>
          <w:spacing w:val="7"/>
          <w:sz w:val="25"/>
          <w:szCs w:val="25"/>
        </w:rPr>
        <w:t>结果，对环境目标的合理性可达性进行分析，具体见表</w:t>
      </w:r>
      <w:r>
        <w:rPr>
          <w:rFonts w:ascii="仿宋" w:hAnsi="仿宋" w:eastAsia="仿宋" w:cs="仿宋"/>
          <w:spacing w:val="-32"/>
          <w:sz w:val="25"/>
          <w:szCs w:val="25"/>
        </w:rPr>
        <w:t xml:space="preserve"> </w:t>
      </w:r>
      <w:r>
        <w:rPr>
          <w:rFonts w:ascii="Times New Roman" w:hAnsi="Times New Roman" w:eastAsia="Times New Roman" w:cs="Times New Roman"/>
          <w:spacing w:val="7"/>
          <w:sz w:val="25"/>
          <w:szCs w:val="25"/>
        </w:rPr>
        <w:t>6.1-1</w:t>
      </w:r>
      <w:r>
        <w:rPr>
          <w:rFonts w:ascii="仿宋" w:hAnsi="仿宋" w:eastAsia="仿宋" w:cs="仿宋"/>
          <w:spacing w:val="7"/>
          <w:sz w:val="25"/>
          <w:szCs w:val="25"/>
        </w:rPr>
        <w:t>。</w:t>
      </w:r>
    </w:p>
    <w:p w14:paraId="24E206C3">
      <w:pPr>
        <w:spacing w:line="340" w:lineRule="auto"/>
        <w:rPr>
          <w:rFonts w:ascii="仿宋" w:hAnsi="仿宋" w:eastAsia="仿宋" w:cs="仿宋"/>
          <w:sz w:val="25"/>
          <w:szCs w:val="25"/>
        </w:rPr>
        <w:sectPr>
          <w:headerReference r:id="rId211" w:type="default"/>
          <w:footerReference r:id="rId212" w:type="default"/>
          <w:pgSz w:w="11906" w:h="16839"/>
          <w:pgMar w:top="1116" w:right="1474" w:bottom="866" w:left="1587" w:header="683" w:footer="703" w:gutter="0"/>
          <w:cols w:space="720" w:num="1"/>
        </w:sectPr>
      </w:pPr>
    </w:p>
    <w:p w14:paraId="48CC3CD2">
      <w:pPr>
        <w:pStyle w:val="2"/>
        <w:spacing w:line="477" w:lineRule="auto"/>
      </w:pPr>
    </w:p>
    <w:p w14:paraId="5E467D7A">
      <w:pPr>
        <w:spacing w:before="65" w:line="229" w:lineRule="auto"/>
        <w:ind w:left="5449"/>
        <w:rPr>
          <w:rFonts w:ascii="仿宋" w:hAnsi="仿宋" w:eastAsia="仿宋" w:cs="仿宋"/>
          <w:sz w:val="20"/>
          <w:szCs w:val="20"/>
        </w:rPr>
      </w:pPr>
      <w:r>
        <w:rPr>
          <w:rFonts w:ascii="仿宋" w:hAnsi="仿宋" w:eastAsia="仿宋" w:cs="仿宋"/>
          <w:b/>
          <w:bCs/>
          <w:spacing w:val="5"/>
          <w:sz w:val="20"/>
          <w:szCs w:val="20"/>
        </w:rPr>
        <w:t>表</w:t>
      </w:r>
      <w:r>
        <w:rPr>
          <w:rFonts w:ascii="仿宋" w:hAnsi="仿宋" w:eastAsia="仿宋" w:cs="仿宋"/>
          <w:spacing w:val="-39"/>
          <w:sz w:val="20"/>
          <w:szCs w:val="20"/>
        </w:rPr>
        <w:t xml:space="preserve"> </w:t>
      </w:r>
      <w:r>
        <w:rPr>
          <w:rFonts w:ascii="Times New Roman" w:hAnsi="Times New Roman" w:eastAsia="Times New Roman" w:cs="Times New Roman"/>
          <w:b/>
          <w:bCs/>
          <w:spacing w:val="5"/>
          <w:sz w:val="20"/>
          <w:szCs w:val="20"/>
        </w:rPr>
        <w:t xml:space="preserve">6.1-2      </w:t>
      </w:r>
      <w:r>
        <w:rPr>
          <w:rFonts w:ascii="仿宋" w:hAnsi="仿宋" w:eastAsia="仿宋" w:cs="仿宋"/>
          <w:b/>
          <w:bCs/>
          <w:spacing w:val="5"/>
          <w:sz w:val="20"/>
          <w:szCs w:val="20"/>
        </w:rPr>
        <w:t>规划环境目标可达</w:t>
      </w:r>
      <w:r>
        <w:rPr>
          <w:rFonts w:ascii="仿宋" w:hAnsi="仿宋" w:eastAsia="仿宋" w:cs="仿宋"/>
          <w:b/>
          <w:bCs/>
          <w:spacing w:val="4"/>
          <w:sz w:val="20"/>
          <w:szCs w:val="20"/>
        </w:rPr>
        <w:t>性分析</w:t>
      </w:r>
    </w:p>
    <w:p w14:paraId="745D4B38">
      <w:pPr>
        <w:spacing w:line="24" w:lineRule="exact"/>
      </w:pPr>
    </w:p>
    <w:tbl>
      <w:tblPr>
        <w:tblStyle w:val="5"/>
        <w:tblW w:w="14177"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5"/>
        <w:gridCol w:w="980"/>
        <w:gridCol w:w="2449"/>
        <w:gridCol w:w="3265"/>
        <w:gridCol w:w="3475"/>
        <w:gridCol w:w="3243"/>
      </w:tblGrid>
      <w:tr w14:paraId="172BD4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765" w:type="dxa"/>
            <w:tcBorders>
              <w:top w:val="single" w:color="000000" w:sz="10" w:space="0"/>
              <w:left w:val="single" w:color="000000" w:sz="10" w:space="0"/>
            </w:tcBorders>
            <w:vAlign w:val="top"/>
          </w:tcPr>
          <w:p w14:paraId="1079CAC1">
            <w:pPr>
              <w:pStyle w:val="6"/>
              <w:spacing w:before="125" w:line="234" w:lineRule="auto"/>
              <w:ind w:left="174"/>
              <w:rPr>
                <w:sz w:val="20"/>
                <w:szCs w:val="20"/>
              </w:rPr>
            </w:pPr>
            <w:r>
              <w:rPr>
                <w:spacing w:val="-1"/>
                <w:sz w:val="20"/>
                <w:szCs w:val="20"/>
              </w:rPr>
              <w:t>主题</w:t>
            </w:r>
          </w:p>
        </w:tc>
        <w:tc>
          <w:tcPr>
            <w:tcW w:w="3429" w:type="dxa"/>
            <w:gridSpan w:val="2"/>
            <w:tcBorders>
              <w:top w:val="single" w:color="000000" w:sz="10" w:space="0"/>
            </w:tcBorders>
            <w:vAlign w:val="top"/>
          </w:tcPr>
          <w:p w14:paraId="589C29E1">
            <w:pPr>
              <w:pStyle w:val="6"/>
              <w:spacing w:before="125" w:line="231" w:lineRule="auto"/>
              <w:ind w:left="877"/>
              <w:rPr>
                <w:sz w:val="20"/>
                <w:szCs w:val="20"/>
              </w:rPr>
            </w:pPr>
            <w:r>
              <w:rPr>
                <w:spacing w:val="-4"/>
                <w:sz w:val="20"/>
                <w:szCs w:val="20"/>
              </w:rPr>
              <w:t>环境要素（</w:t>
            </w:r>
            <w:r>
              <w:rPr>
                <w:spacing w:val="-14"/>
                <w:sz w:val="20"/>
                <w:szCs w:val="20"/>
              </w:rPr>
              <w:t xml:space="preserve"> </w:t>
            </w:r>
            <w:r>
              <w:rPr>
                <w:spacing w:val="-4"/>
                <w:sz w:val="20"/>
                <w:szCs w:val="20"/>
              </w:rPr>
              <w:t>目标）</w:t>
            </w:r>
          </w:p>
        </w:tc>
        <w:tc>
          <w:tcPr>
            <w:tcW w:w="3265" w:type="dxa"/>
            <w:tcBorders>
              <w:top w:val="single" w:color="000000" w:sz="10" w:space="0"/>
            </w:tcBorders>
            <w:vAlign w:val="top"/>
          </w:tcPr>
          <w:p w14:paraId="352D28C5">
            <w:pPr>
              <w:pStyle w:val="6"/>
              <w:spacing w:before="125" w:line="231" w:lineRule="auto"/>
              <w:ind w:left="1222"/>
              <w:rPr>
                <w:sz w:val="20"/>
                <w:szCs w:val="20"/>
              </w:rPr>
            </w:pPr>
            <w:r>
              <w:rPr>
                <w:spacing w:val="5"/>
                <w:sz w:val="20"/>
                <w:szCs w:val="20"/>
              </w:rPr>
              <w:t>评价指标</w:t>
            </w:r>
          </w:p>
        </w:tc>
        <w:tc>
          <w:tcPr>
            <w:tcW w:w="3475" w:type="dxa"/>
            <w:tcBorders>
              <w:top w:val="single" w:color="000000" w:sz="10" w:space="0"/>
            </w:tcBorders>
            <w:vAlign w:val="top"/>
          </w:tcPr>
          <w:p w14:paraId="2F6AA912">
            <w:pPr>
              <w:pStyle w:val="6"/>
              <w:spacing w:before="125" w:line="231" w:lineRule="auto"/>
              <w:ind w:left="923"/>
              <w:rPr>
                <w:sz w:val="20"/>
                <w:szCs w:val="20"/>
              </w:rPr>
            </w:pPr>
            <w:r>
              <w:rPr>
                <w:spacing w:val="-1"/>
                <w:sz w:val="20"/>
                <w:szCs w:val="20"/>
              </w:rPr>
              <w:t>目标值（</w:t>
            </w:r>
            <w:r>
              <w:rPr>
                <w:rFonts w:ascii="Times New Roman" w:hAnsi="Times New Roman" w:eastAsia="Times New Roman" w:cs="Times New Roman"/>
                <w:spacing w:val="-1"/>
                <w:sz w:val="20"/>
                <w:szCs w:val="20"/>
              </w:rPr>
              <w:t>2025</w:t>
            </w:r>
            <w:r>
              <w:rPr>
                <w:rFonts w:ascii="Times New Roman" w:hAnsi="Times New Roman" w:eastAsia="Times New Roman" w:cs="Times New Roman"/>
                <w:spacing w:val="27"/>
                <w:w w:val="101"/>
                <w:sz w:val="20"/>
                <w:szCs w:val="20"/>
              </w:rPr>
              <w:t xml:space="preserve"> </w:t>
            </w:r>
            <w:r>
              <w:rPr>
                <w:spacing w:val="-1"/>
                <w:sz w:val="20"/>
                <w:szCs w:val="20"/>
              </w:rPr>
              <w:t>年）</w:t>
            </w:r>
          </w:p>
        </w:tc>
        <w:tc>
          <w:tcPr>
            <w:tcW w:w="3243" w:type="dxa"/>
            <w:tcBorders>
              <w:top w:val="single" w:color="000000" w:sz="10" w:space="0"/>
              <w:right w:val="single" w:color="000000" w:sz="10" w:space="0"/>
            </w:tcBorders>
            <w:vAlign w:val="top"/>
          </w:tcPr>
          <w:p w14:paraId="420843E0">
            <w:pPr>
              <w:pStyle w:val="6"/>
              <w:spacing w:before="125" w:line="229" w:lineRule="auto"/>
              <w:ind w:left="1147"/>
              <w:rPr>
                <w:sz w:val="20"/>
                <w:szCs w:val="20"/>
              </w:rPr>
            </w:pPr>
            <w:r>
              <w:rPr>
                <w:spacing w:val="-1"/>
                <w:sz w:val="20"/>
                <w:szCs w:val="20"/>
              </w:rPr>
              <w:t>目标可达性</w:t>
            </w:r>
          </w:p>
        </w:tc>
      </w:tr>
      <w:tr w14:paraId="3D2907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765" w:type="dxa"/>
            <w:vMerge w:val="restart"/>
            <w:tcBorders>
              <w:left w:val="single" w:color="000000" w:sz="10" w:space="0"/>
              <w:bottom w:val="nil"/>
            </w:tcBorders>
            <w:vAlign w:val="top"/>
          </w:tcPr>
          <w:p w14:paraId="639E48BF">
            <w:pPr>
              <w:spacing w:line="248" w:lineRule="auto"/>
              <w:rPr>
                <w:rFonts w:ascii="Arial"/>
                <w:sz w:val="21"/>
              </w:rPr>
            </w:pPr>
          </w:p>
          <w:p w14:paraId="7ABFEAC0">
            <w:pPr>
              <w:spacing w:line="248" w:lineRule="auto"/>
              <w:rPr>
                <w:rFonts w:ascii="Arial"/>
                <w:sz w:val="21"/>
              </w:rPr>
            </w:pPr>
          </w:p>
          <w:p w14:paraId="3BFCAFC2">
            <w:pPr>
              <w:spacing w:line="248" w:lineRule="auto"/>
              <w:rPr>
                <w:rFonts w:ascii="Arial"/>
                <w:sz w:val="21"/>
              </w:rPr>
            </w:pPr>
          </w:p>
          <w:p w14:paraId="2E3C4B27">
            <w:pPr>
              <w:spacing w:line="248" w:lineRule="auto"/>
              <w:rPr>
                <w:rFonts w:ascii="Arial"/>
                <w:sz w:val="21"/>
              </w:rPr>
            </w:pPr>
          </w:p>
          <w:p w14:paraId="1351687D">
            <w:pPr>
              <w:spacing w:line="248" w:lineRule="auto"/>
              <w:rPr>
                <w:rFonts w:ascii="Arial"/>
                <w:sz w:val="21"/>
              </w:rPr>
            </w:pPr>
          </w:p>
          <w:p w14:paraId="2A7A6C5A">
            <w:pPr>
              <w:spacing w:line="248" w:lineRule="auto"/>
              <w:rPr>
                <w:rFonts w:ascii="Arial"/>
                <w:sz w:val="21"/>
              </w:rPr>
            </w:pPr>
          </w:p>
          <w:p w14:paraId="5F716EA0">
            <w:pPr>
              <w:spacing w:line="248" w:lineRule="auto"/>
              <w:rPr>
                <w:rFonts w:ascii="Arial"/>
                <w:sz w:val="21"/>
              </w:rPr>
            </w:pPr>
          </w:p>
          <w:p w14:paraId="420599EB">
            <w:pPr>
              <w:pStyle w:val="6"/>
              <w:spacing w:before="65" w:line="234" w:lineRule="auto"/>
              <w:ind w:left="181"/>
              <w:rPr>
                <w:sz w:val="20"/>
                <w:szCs w:val="20"/>
              </w:rPr>
            </w:pPr>
            <w:r>
              <w:rPr>
                <w:spacing w:val="-5"/>
                <w:sz w:val="20"/>
                <w:szCs w:val="20"/>
              </w:rPr>
              <w:t>生态</w:t>
            </w:r>
          </w:p>
          <w:p w14:paraId="279D0284">
            <w:pPr>
              <w:pStyle w:val="6"/>
              <w:spacing w:before="20" w:line="229" w:lineRule="auto"/>
              <w:ind w:left="169"/>
              <w:rPr>
                <w:sz w:val="20"/>
                <w:szCs w:val="20"/>
              </w:rPr>
            </w:pPr>
            <w:r>
              <w:rPr>
                <w:spacing w:val="1"/>
                <w:sz w:val="20"/>
                <w:szCs w:val="20"/>
              </w:rPr>
              <w:t>保护</w:t>
            </w:r>
          </w:p>
        </w:tc>
        <w:tc>
          <w:tcPr>
            <w:tcW w:w="980" w:type="dxa"/>
            <w:vAlign w:val="top"/>
          </w:tcPr>
          <w:p w14:paraId="419013BE">
            <w:pPr>
              <w:pStyle w:val="6"/>
              <w:spacing w:before="183" w:line="252" w:lineRule="auto"/>
              <w:ind w:left="280" w:right="79" w:hanging="197"/>
              <w:rPr>
                <w:sz w:val="20"/>
                <w:szCs w:val="20"/>
              </w:rPr>
            </w:pPr>
            <w:r>
              <w:rPr>
                <w:spacing w:val="2"/>
                <w:sz w:val="20"/>
                <w:szCs w:val="20"/>
              </w:rPr>
              <w:t xml:space="preserve">生态保护 </w:t>
            </w:r>
            <w:r>
              <w:rPr>
                <w:spacing w:val="1"/>
                <w:sz w:val="20"/>
                <w:szCs w:val="20"/>
              </w:rPr>
              <w:t>红线</w:t>
            </w:r>
          </w:p>
        </w:tc>
        <w:tc>
          <w:tcPr>
            <w:tcW w:w="2449" w:type="dxa"/>
            <w:vAlign w:val="top"/>
          </w:tcPr>
          <w:p w14:paraId="4455EEB2">
            <w:pPr>
              <w:spacing w:line="254" w:lineRule="auto"/>
              <w:rPr>
                <w:rFonts w:ascii="Arial"/>
                <w:sz w:val="21"/>
              </w:rPr>
            </w:pPr>
          </w:p>
          <w:p w14:paraId="318D70F1">
            <w:pPr>
              <w:pStyle w:val="6"/>
              <w:spacing w:before="65" w:line="229" w:lineRule="auto"/>
              <w:ind w:left="74"/>
              <w:rPr>
                <w:sz w:val="20"/>
                <w:szCs w:val="20"/>
              </w:rPr>
            </w:pPr>
            <w:r>
              <w:rPr>
                <w:spacing w:val="8"/>
                <w:sz w:val="20"/>
                <w:szCs w:val="20"/>
              </w:rPr>
              <w:t>严守划定的生态保护红线</w:t>
            </w:r>
          </w:p>
        </w:tc>
        <w:tc>
          <w:tcPr>
            <w:tcW w:w="3265" w:type="dxa"/>
            <w:vAlign w:val="top"/>
          </w:tcPr>
          <w:p w14:paraId="76B3CDFD">
            <w:pPr>
              <w:pStyle w:val="6"/>
              <w:spacing w:before="183" w:line="251" w:lineRule="auto"/>
              <w:ind w:left="802" w:right="163" w:hanging="633"/>
              <w:rPr>
                <w:sz w:val="20"/>
                <w:szCs w:val="20"/>
              </w:rPr>
            </w:pPr>
            <w:r>
              <w:rPr>
                <w:spacing w:val="9"/>
                <w:sz w:val="20"/>
                <w:szCs w:val="20"/>
              </w:rPr>
              <w:t>规划区块与生态保护红线重叠面</w:t>
            </w:r>
            <w:r>
              <w:rPr>
                <w:sz w:val="20"/>
                <w:szCs w:val="20"/>
              </w:rPr>
              <w:t xml:space="preserve"> </w:t>
            </w:r>
            <w:r>
              <w:rPr>
                <w:spacing w:val="7"/>
                <w:sz w:val="20"/>
                <w:szCs w:val="20"/>
              </w:rPr>
              <w:t>积、所占红线比例</w:t>
            </w:r>
          </w:p>
        </w:tc>
        <w:tc>
          <w:tcPr>
            <w:tcW w:w="3475" w:type="dxa"/>
            <w:vAlign w:val="top"/>
          </w:tcPr>
          <w:p w14:paraId="36161330">
            <w:pPr>
              <w:spacing w:line="254" w:lineRule="auto"/>
              <w:rPr>
                <w:rFonts w:ascii="Arial"/>
                <w:sz w:val="21"/>
              </w:rPr>
            </w:pPr>
          </w:p>
          <w:p w14:paraId="0560864F">
            <w:pPr>
              <w:pStyle w:val="6"/>
              <w:spacing w:before="65" w:line="232" w:lineRule="auto"/>
              <w:ind w:left="1441"/>
              <w:rPr>
                <w:sz w:val="20"/>
                <w:szCs w:val="20"/>
              </w:rPr>
            </w:pPr>
            <w:r>
              <w:rPr>
                <w:spacing w:val="3"/>
                <w:sz w:val="20"/>
                <w:szCs w:val="20"/>
              </w:rPr>
              <w:t>不占用</w:t>
            </w:r>
          </w:p>
        </w:tc>
        <w:tc>
          <w:tcPr>
            <w:tcW w:w="3243" w:type="dxa"/>
            <w:tcBorders>
              <w:right w:val="single" w:color="000000" w:sz="10" w:space="0"/>
            </w:tcBorders>
            <w:vAlign w:val="top"/>
          </w:tcPr>
          <w:p w14:paraId="521A4780">
            <w:pPr>
              <w:pStyle w:val="6"/>
              <w:spacing w:before="47" w:line="231" w:lineRule="auto"/>
              <w:ind w:left="72"/>
              <w:rPr>
                <w:sz w:val="20"/>
                <w:szCs w:val="20"/>
              </w:rPr>
            </w:pPr>
            <w:r>
              <w:rPr>
                <w:spacing w:val="4"/>
                <w:sz w:val="20"/>
                <w:szCs w:val="20"/>
              </w:rPr>
              <w:t>本次评价的</w:t>
            </w:r>
            <w:r>
              <w:rPr>
                <w:spacing w:val="-29"/>
                <w:sz w:val="20"/>
                <w:szCs w:val="20"/>
              </w:rPr>
              <w:t xml:space="preserve"> </w:t>
            </w:r>
            <w:r>
              <w:rPr>
                <w:rFonts w:ascii="Times New Roman" w:hAnsi="Times New Roman" w:eastAsia="Times New Roman" w:cs="Times New Roman"/>
                <w:spacing w:val="4"/>
                <w:sz w:val="20"/>
                <w:szCs w:val="20"/>
              </w:rPr>
              <w:t xml:space="preserve">3 </w:t>
            </w:r>
            <w:r>
              <w:rPr>
                <w:spacing w:val="4"/>
                <w:sz w:val="20"/>
                <w:szCs w:val="20"/>
              </w:rPr>
              <w:t>个勘查区块和</w:t>
            </w:r>
            <w:r>
              <w:rPr>
                <w:spacing w:val="-28"/>
                <w:sz w:val="20"/>
                <w:szCs w:val="20"/>
              </w:rPr>
              <w:t xml:space="preserve"> </w:t>
            </w:r>
            <w:r>
              <w:rPr>
                <w:rFonts w:ascii="Times New Roman" w:hAnsi="Times New Roman" w:eastAsia="Times New Roman" w:cs="Times New Roman"/>
                <w:spacing w:val="4"/>
                <w:sz w:val="20"/>
                <w:szCs w:val="20"/>
              </w:rPr>
              <w:t xml:space="preserve">1 </w:t>
            </w:r>
            <w:r>
              <w:rPr>
                <w:spacing w:val="4"/>
                <w:sz w:val="20"/>
                <w:szCs w:val="20"/>
              </w:rPr>
              <w:t>个开</w:t>
            </w:r>
          </w:p>
          <w:p w14:paraId="4707166E">
            <w:pPr>
              <w:pStyle w:val="6"/>
              <w:spacing w:before="21" w:line="229" w:lineRule="auto"/>
              <w:ind w:right="1"/>
              <w:jc w:val="right"/>
              <w:rPr>
                <w:sz w:val="20"/>
                <w:szCs w:val="20"/>
              </w:rPr>
            </w:pPr>
            <w:r>
              <w:rPr>
                <w:spacing w:val="10"/>
                <w:sz w:val="20"/>
                <w:szCs w:val="20"/>
              </w:rPr>
              <w:t>采区块与生态保护红线无重叠，目</w:t>
            </w:r>
          </w:p>
          <w:p w14:paraId="01E6C38C">
            <w:pPr>
              <w:pStyle w:val="6"/>
              <w:spacing w:before="24" w:line="228" w:lineRule="auto"/>
              <w:ind w:left="1318"/>
              <w:rPr>
                <w:sz w:val="20"/>
                <w:szCs w:val="20"/>
              </w:rPr>
            </w:pPr>
            <w:r>
              <w:rPr>
                <w:spacing w:val="5"/>
                <w:sz w:val="20"/>
                <w:szCs w:val="20"/>
              </w:rPr>
              <w:t>标可达</w:t>
            </w:r>
          </w:p>
        </w:tc>
      </w:tr>
      <w:tr w14:paraId="011976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0" w:hRule="atLeast"/>
        </w:trPr>
        <w:tc>
          <w:tcPr>
            <w:tcW w:w="765" w:type="dxa"/>
            <w:vMerge w:val="continue"/>
            <w:tcBorders>
              <w:top w:val="nil"/>
              <w:left w:val="single" w:color="000000" w:sz="10" w:space="0"/>
              <w:bottom w:val="nil"/>
            </w:tcBorders>
            <w:vAlign w:val="top"/>
          </w:tcPr>
          <w:p w14:paraId="2CCBCA2C">
            <w:pPr>
              <w:rPr>
                <w:rFonts w:ascii="Arial"/>
                <w:sz w:val="21"/>
              </w:rPr>
            </w:pPr>
          </w:p>
        </w:tc>
        <w:tc>
          <w:tcPr>
            <w:tcW w:w="980" w:type="dxa"/>
            <w:vAlign w:val="top"/>
          </w:tcPr>
          <w:p w14:paraId="6BA7E0B7">
            <w:pPr>
              <w:pStyle w:val="6"/>
              <w:spacing w:before="283" w:line="233" w:lineRule="auto"/>
              <w:ind w:left="74"/>
              <w:rPr>
                <w:sz w:val="20"/>
                <w:szCs w:val="20"/>
              </w:rPr>
            </w:pPr>
            <w:r>
              <w:rPr>
                <w:spacing w:val="5"/>
                <w:sz w:val="20"/>
                <w:szCs w:val="20"/>
              </w:rPr>
              <w:t>一般生态</w:t>
            </w:r>
          </w:p>
          <w:p w14:paraId="38BDD71C">
            <w:pPr>
              <w:pStyle w:val="6"/>
              <w:spacing w:before="18" w:line="232" w:lineRule="auto"/>
              <w:ind w:left="291"/>
              <w:rPr>
                <w:sz w:val="20"/>
                <w:szCs w:val="20"/>
              </w:rPr>
            </w:pPr>
            <w:r>
              <w:rPr>
                <w:spacing w:val="-4"/>
                <w:sz w:val="20"/>
                <w:szCs w:val="20"/>
              </w:rPr>
              <w:t>空间</w:t>
            </w:r>
          </w:p>
        </w:tc>
        <w:tc>
          <w:tcPr>
            <w:tcW w:w="2449" w:type="dxa"/>
            <w:vAlign w:val="top"/>
          </w:tcPr>
          <w:p w14:paraId="10A98064">
            <w:pPr>
              <w:pStyle w:val="6"/>
              <w:spacing w:before="146" w:line="230" w:lineRule="auto"/>
              <w:ind w:left="74"/>
              <w:rPr>
                <w:sz w:val="20"/>
                <w:szCs w:val="20"/>
              </w:rPr>
            </w:pPr>
            <w:r>
              <w:rPr>
                <w:spacing w:val="8"/>
                <w:sz w:val="20"/>
                <w:szCs w:val="20"/>
              </w:rPr>
              <w:t>严格控制新增建设占用生</w:t>
            </w:r>
          </w:p>
          <w:p w14:paraId="74E6E8F7">
            <w:pPr>
              <w:pStyle w:val="6"/>
              <w:spacing w:before="22" w:line="229" w:lineRule="auto"/>
              <w:ind w:left="186"/>
              <w:rPr>
                <w:sz w:val="20"/>
                <w:szCs w:val="20"/>
              </w:rPr>
            </w:pPr>
            <w:r>
              <w:rPr>
                <w:spacing w:val="7"/>
                <w:sz w:val="20"/>
                <w:szCs w:val="20"/>
              </w:rPr>
              <w:t>态保护红线外的生态空</w:t>
            </w:r>
          </w:p>
          <w:p w14:paraId="07764338">
            <w:pPr>
              <w:pStyle w:val="6"/>
              <w:spacing w:before="22" w:line="232" w:lineRule="auto"/>
              <w:ind w:left="1038"/>
              <w:rPr>
                <w:sz w:val="20"/>
                <w:szCs w:val="20"/>
              </w:rPr>
            </w:pPr>
            <w:r>
              <w:rPr>
                <w:spacing w:val="-13"/>
                <w:sz w:val="20"/>
                <w:szCs w:val="20"/>
              </w:rPr>
              <w:t>间。</w:t>
            </w:r>
          </w:p>
        </w:tc>
        <w:tc>
          <w:tcPr>
            <w:tcW w:w="3265" w:type="dxa"/>
            <w:vAlign w:val="top"/>
          </w:tcPr>
          <w:p w14:paraId="71D22B67">
            <w:pPr>
              <w:spacing w:line="349" w:lineRule="auto"/>
              <w:rPr>
                <w:rFonts w:ascii="Arial"/>
                <w:sz w:val="21"/>
              </w:rPr>
            </w:pPr>
          </w:p>
          <w:p w14:paraId="5CB111B3">
            <w:pPr>
              <w:pStyle w:val="6"/>
              <w:spacing w:before="65" w:line="232" w:lineRule="auto"/>
              <w:ind w:left="311"/>
              <w:rPr>
                <w:sz w:val="20"/>
                <w:szCs w:val="20"/>
              </w:rPr>
            </w:pPr>
            <w:r>
              <w:rPr>
                <w:spacing w:val="6"/>
                <w:sz w:val="20"/>
                <w:szCs w:val="20"/>
              </w:rPr>
              <w:t>占用一般生态空间类型、面积</w:t>
            </w:r>
          </w:p>
        </w:tc>
        <w:tc>
          <w:tcPr>
            <w:tcW w:w="3475" w:type="dxa"/>
            <w:vAlign w:val="top"/>
          </w:tcPr>
          <w:p w14:paraId="01D5CC2A">
            <w:pPr>
              <w:pStyle w:val="6"/>
              <w:spacing w:before="34" w:line="231" w:lineRule="auto"/>
              <w:ind w:left="153"/>
              <w:rPr>
                <w:sz w:val="19"/>
                <w:szCs w:val="19"/>
              </w:rPr>
            </w:pPr>
            <w:r>
              <w:rPr>
                <w:spacing w:val="9"/>
                <w:sz w:val="19"/>
                <w:szCs w:val="19"/>
              </w:rPr>
              <w:t>严格控制各类开发利用活动对生态空</w:t>
            </w:r>
          </w:p>
          <w:p w14:paraId="34520C7D">
            <w:pPr>
              <w:pStyle w:val="6"/>
              <w:spacing w:before="22" w:line="231" w:lineRule="auto"/>
              <w:ind w:left="84"/>
              <w:rPr>
                <w:sz w:val="19"/>
                <w:szCs w:val="19"/>
              </w:rPr>
            </w:pPr>
            <w:r>
              <w:rPr>
                <w:spacing w:val="6"/>
                <w:sz w:val="19"/>
                <w:szCs w:val="19"/>
              </w:rPr>
              <w:t>间的占用和扰动，避免资源勘探开发活</w:t>
            </w:r>
          </w:p>
          <w:p w14:paraId="69C988B6">
            <w:pPr>
              <w:pStyle w:val="6"/>
              <w:spacing w:before="21" w:line="231" w:lineRule="auto"/>
              <w:ind w:left="154"/>
              <w:rPr>
                <w:sz w:val="19"/>
                <w:szCs w:val="19"/>
              </w:rPr>
            </w:pPr>
            <w:r>
              <w:rPr>
                <w:spacing w:val="8"/>
                <w:sz w:val="19"/>
                <w:szCs w:val="19"/>
              </w:rPr>
              <w:t>动损害一般生态空间的主导生态服务</w:t>
            </w:r>
          </w:p>
          <w:p w14:paraId="2E4E5F9B">
            <w:pPr>
              <w:pStyle w:val="6"/>
              <w:spacing w:before="23" w:line="209" w:lineRule="auto"/>
              <w:ind w:left="1454"/>
              <w:rPr>
                <w:sz w:val="19"/>
                <w:szCs w:val="19"/>
              </w:rPr>
            </w:pPr>
            <w:r>
              <w:rPr>
                <w:sz w:val="19"/>
                <w:szCs w:val="19"/>
              </w:rPr>
              <w:t>功能。</w:t>
            </w:r>
          </w:p>
        </w:tc>
        <w:tc>
          <w:tcPr>
            <w:tcW w:w="3243" w:type="dxa"/>
            <w:tcBorders>
              <w:right w:val="single" w:color="000000" w:sz="10" w:space="0"/>
            </w:tcBorders>
            <w:vAlign w:val="top"/>
          </w:tcPr>
          <w:p w14:paraId="7947C066">
            <w:pPr>
              <w:pStyle w:val="6"/>
              <w:spacing w:before="146" w:line="231" w:lineRule="auto"/>
              <w:ind w:left="165"/>
              <w:rPr>
                <w:sz w:val="20"/>
                <w:szCs w:val="20"/>
              </w:rPr>
            </w:pPr>
            <w:r>
              <w:rPr>
                <w:spacing w:val="3"/>
                <w:sz w:val="20"/>
                <w:szCs w:val="20"/>
              </w:rPr>
              <w:t>本次评价的</w:t>
            </w:r>
            <w:r>
              <w:rPr>
                <w:spacing w:val="-29"/>
                <w:sz w:val="20"/>
                <w:szCs w:val="20"/>
              </w:rPr>
              <w:t xml:space="preserve"> </w:t>
            </w:r>
            <w:r>
              <w:rPr>
                <w:rFonts w:ascii="Times New Roman" w:hAnsi="Times New Roman" w:eastAsia="Times New Roman" w:cs="Times New Roman"/>
                <w:spacing w:val="3"/>
                <w:sz w:val="20"/>
                <w:szCs w:val="20"/>
              </w:rPr>
              <w:t>3</w:t>
            </w:r>
            <w:r>
              <w:rPr>
                <w:rFonts w:ascii="Times New Roman" w:hAnsi="Times New Roman" w:eastAsia="Times New Roman" w:cs="Times New Roman"/>
                <w:spacing w:val="19"/>
                <w:sz w:val="20"/>
                <w:szCs w:val="20"/>
              </w:rPr>
              <w:t xml:space="preserve"> </w:t>
            </w:r>
            <w:r>
              <w:rPr>
                <w:spacing w:val="3"/>
                <w:sz w:val="20"/>
                <w:szCs w:val="20"/>
              </w:rPr>
              <w:t>个勘查区块和</w:t>
            </w:r>
            <w:r>
              <w:rPr>
                <w:spacing w:val="-21"/>
                <w:sz w:val="20"/>
                <w:szCs w:val="20"/>
              </w:rPr>
              <w:t xml:space="preserve"> </w:t>
            </w:r>
            <w:r>
              <w:rPr>
                <w:rFonts w:ascii="Times New Roman" w:hAnsi="Times New Roman" w:eastAsia="Times New Roman" w:cs="Times New Roman"/>
                <w:spacing w:val="3"/>
                <w:sz w:val="20"/>
                <w:szCs w:val="20"/>
              </w:rPr>
              <w:t>1</w:t>
            </w:r>
            <w:r>
              <w:rPr>
                <w:rFonts w:ascii="Times New Roman" w:hAnsi="Times New Roman" w:eastAsia="Times New Roman" w:cs="Times New Roman"/>
                <w:spacing w:val="19"/>
                <w:sz w:val="20"/>
                <w:szCs w:val="20"/>
              </w:rPr>
              <w:t xml:space="preserve"> </w:t>
            </w:r>
            <w:r>
              <w:rPr>
                <w:spacing w:val="3"/>
                <w:sz w:val="20"/>
                <w:szCs w:val="20"/>
              </w:rPr>
              <w:t>个</w:t>
            </w:r>
          </w:p>
          <w:p w14:paraId="16CFF2AA">
            <w:pPr>
              <w:pStyle w:val="6"/>
              <w:spacing w:before="20" w:line="231" w:lineRule="auto"/>
              <w:ind w:left="270"/>
              <w:rPr>
                <w:sz w:val="20"/>
                <w:szCs w:val="20"/>
              </w:rPr>
            </w:pPr>
            <w:r>
              <w:rPr>
                <w:spacing w:val="8"/>
                <w:sz w:val="20"/>
                <w:szCs w:val="20"/>
              </w:rPr>
              <w:t>开采区块与一般生态空间无重</w:t>
            </w:r>
          </w:p>
          <w:p w14:paraId="4D925D5F">
            <w:pPr>
              <w:pStyle w:val="6"/>
              <w:spacing w:before="20" w:line="231" w:lineRule="auto"/>
              <w:ind w:left="1011"/>
              <w:rPr>
                <w:sz w:val="20"/>
                <w:szCs w:val="20"/>
              </w:rPr>
            </w:pPr>
            <w:r>
              <w:rPr>
                <w:spacing w:val="-4"/>
                <w:sz w:val="20"/>
                <w:szCs w:val="20"/>
              </w:rPr>
              <w:t>叠，</w:t>
            </w:r>
            <w:r>
              <w:rPr>
                <w:spacing w:val="-40"/>
                <w:sz w:val="20"/>
                <w:szCs w:val="20"/>
              </w:rPr>
              <w:t xml:space="preserve"> </w:t>
            </w:r>
            <w:r>
              <w:rPr>
                <w:spacing w:val="-4"/>
                <w:sz w:val="20"/>
                <w:szCs w:val="20"/>
              </w:rPr>
              <w:t>目标可达</w:t>
            </w:r>
          </w:p>
        </w:tc>
      </w:tr>
      <w:tr w14:paraId="0C07D5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9" w:hRule="atLeast"/>
        </w:trPr>
        <w:tc>
          <w:tcPr>
            <w:tcW w:w="765" w:type="dxa"/>
            <w:vMerge w:val="continue"/>
            <w:tcBorders>
              <w:top w:val="nil"/>
              <w:left w:val="single" w:color="000000" w:sz="10" w:space="0"/>
              <w:bottom w:val="nil"/>
            </w:tcBorders>
            <w:vAlign w:val="top"/>
          </w:tcPr>
          <w:p w14:paraId="30C7D7F1">
            <w:pPr>
              <w:rPr>
                <w:rFonts w:ascii="Arial"/>
                <w:sz w:val="21"/>
              </w:rPr>
            </w:pPr>
          </w:p>
        </w:tc>
        <w:tc>
          <w:tcPr>
            <w:tcW w:w="980" w:type="dxa"/>
            <w:vAlign w:val="top"/>
          </w:tcPr>
          <w:p w14:paraId="6E3A76D8">
            <w:pPr>
              <w:pStyle w:val="6"/>
              <w:spacing w:before="174" w:line="229" w:lineRule="auto"/>
              <w:ind w:left="110"/>
              <w:rPr>
                <w:sz w:val="20"/>
                <w:szCs w:val="20"/>
              </w:rPr>
            </w:pPr>
            <w:r>
              <w:rPr>
                <w:spacing w:val="-4"/>
                <w:sz w:val="20"/>
                <w:szCs w:val="20"/>
              </w:rPr>
              <w:t>自然保护</w:t>
            </w:r>
          </w:p>
          <w:p w14:paraId="2C1700DE">
            <w:pPr>
              <w:pStyle w:val="6"/>
              <w:spacing w:before="22"/>
              <w:ind w:left="386"/>
              <w:rPr>
                <w:sz w:val="20"/>
                <w:szCs w:val="20"/>
              </w:rPr>
            </w:pPr>
            <w:r>
              <w:rPr>
                <w:sz w:val="20"/>
                <w:szCs w:val="20"/>
              </w:rPr>
              <w:t>地</w:t>
            </w:r>
          </w:p>
        </w:tc>
        <w:tc>
          <w:tcPr>
            <w:tcW w:w="2449" w:type="dxa"/>
            <w:vAlign w:val="top"/>
          </w:tcPr>
          <w:p w14:paraId="46335C93">
            <w:pPr>
              <w:pStyle w:val="6"/>
              <w:spacing w:before="37" w:line="229" w:lineRule="auto"/>
              <w:ind w:left="109"/>
              <w:rPr>
                <w:sz w:val="20"/>
                <w:szCs w:val="20"/>
              </w:rPr>
            </w:pPr>
            <w:r>
              <w:rPr>
                <w:spacing w:val="2"/>
                <w:sz w:val="20"/>
                <w:szCs w:val="20"/>
              </w:rPr>
              <w:t>保护自然保护地，减少可</w:t>
            </w:r>
          </w:p>
          <w:p w14:paraId="56F1998C">
            <w:pPr>
              <w:pStyle w:val="6"/>
              <w:spacing w:before="25" w:line="230" w:lineRule="auto"/>
              <w:ind w:left="190"/>
              <w:rPr>
                <w:sz w:val="20"/>
                <w:szCs w:val="20"/>
              </w:rPr>
            </w:pPr>
            <w:r>
              <w:rPr>
                <w:spacing w:val="7"/>
                <w:sz w:val="20"/>
                <w:szCs w:val="20"/>
              </w:rPr>
              <w:t>能对敏感资源造成的危</w:t>
            </w:r>
          </w:p>
          <w:p w14:paraId="0FFF0A47">
            <w:pPr>
              <w:pStyle w:val="6"/>
              <w:spacing w:before="22" w:line="209" w:lineRule="auto"/>
              <w:ind w:left="1124"/>
              <w:rPr>
                <w:sz w:val="20"/>
                <w:szCs w:val="20"/>
              </w:rPr>
            </w:pPr>
            <w:r>
              <w:rPr>
                <w:sz w:val="20"/>
                <w:szCs w:val="20"/>
              </w:rPr>
              <w:t>害</w:t>
            </w:r>
          </w:p>
        </w:tc>
        <w:tc>
          <w:tcPr>
            <w:tcW w:w="3265" w:type="dxa"/>
            <w:vAlign w:val="top"/>
          </w:tcPr>
          <w:p w14:paraId="44CB5947">
            <w:pPr>
              <w:pStyle w:val="6"/>
              <w:spacing w:before="37" w:line="231" w:lineRule="auto"/>
              <w:ind w:left="169"/>
              <w:rPr>
                <w:sz w:val="20"/>
                <w:szCs w:val="20"/>
              </w:rPr>
            </w:pPr>
            <w:r>
              <w:rPr>
                <w:spacing w:val="8"/>
                <w:sz w:val="20"/>
                <w:szCs w:val="20"/>
              </w:rPr>
              <w:t>规划区块与风景名胜区、森林公</w:t>
            </w:r>
          </w:p>
          <w:p w14:paraId="442CDFD1">
            <w:pPr>
              <w:pStyle w:val="6"/>
              <w:spacing w:before="23" w:line="231" w:lineRule="auto"/>
              <w:ind w:left="135"/>
              <w:rPr>
                <w:sz w:val="20"/>
                <w:szCs w:val="20"/>
              </w:rPr>
            </w:pPr>
            <w:r>
              <w:rPr>
                <w:spacing w:val="1"/>
                <w:sz w:val="20"/>
                <w:szCs w:val="20"/>
              </w:rPr>
              <w:t>园、地质公园等重叠面积、所占比</w:t>
            </w:r>
          </w:p>
          <w:p w14:paraId="2BB3E08E">
            <w:pPr>
              <w:pStyle w:val="6"/>
              <w:spacing w:before="21" w:line="209" w:lineRule="auto"/>
              <w:ind w:left="1535"/>
              <w:rPr>
                <w:sz w:val="20"/>
                <w:szCs w:val="20"/>
              </w:rPr>
            </w:pPr>
            <w:r>
              <w:rPr>
                <w:sz w:val="20"/>
                <w:szCs w:val="20"/>
              </w:rPr>
              <w:t>例</w:t>
            </w:r>
          </w:p>
        </w:tc>
        <w:tc>
          <w:tcPr>
            <w:tcW w:w="3475" w:type="dxa"/>
            <w:vAlign w:val="top"/>
          </w:tcPr>
          <w:p w14:paraId="29335446">
            <w:pPr>
              <w:spacing w:before="73" w:line="195" w:lineRule="auto"/>
              <w:ind w:left="169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p w14:paraId="338042DF">
            <w:pPr>
              <w:pStyle w:val="6"/>
              <w:spacing w:before="34" w:line="229" w:lineRule="auto"/>
              <w:ind w:left="123"/>
              <w:rPr>
                <w:sz w:val="20"/>
                <w:szCs w:val="20"/>
              </w:rPr>
            </w:pPr>
            <w:r>
              <w:rPr>
                <w:spacing w:val="3"/>
                <w:sz w:val="20"/>
                <w:szCs w:val="20"/>
              </w:rPr>
              <w:t>（规划区块与自然保护地不重叠，无</w:t>
            </w:r>
          </w:p>
          <w:p w14:paraId="60714119">
            <w:pPr>
              <w:pStyle w:val="6"/>
              <w:spacing w:before="22" w:line="225" w:lineRule="auto"/>
              <w:ind w:left="1439"/>
              <w:rPr>
                <w:sz w:val="20"/>
                <w:szCs w:val="20"/>
              </w:rPr>
            </w:pPr>
            <w:r>
              <w:rPr>
                <w:sz w:val="20"/>
                <w:szCs w:val="20"/>
              </w:rPr>
              <w:t>冲突）</w:t>
            </w:r>
          </w:p>
        </w:tc>
        <w:tc>
          <w:tcPr>
            <w:tcW w:w="3243" w:type="dxa"/>
            <w:tcBorders>
              <w:right w:val="single" w:color="000000" w:sz="10" w:space="0"/>
            </w:tcBorders>
            <w:vAlign w:val="top"/>
          </w:tcPr>
          <w:p w14:paraId="238CA5DC">
            <w:pPr>
              <w:pStyle w:val="6"/>
              <w:spacing w:before="173" w:line="251" w:lineRule="auto"/>
              <w:ind w:left="1005" w:right="242" w:hanging="734"/>
              <w:rPr>
                <w:sz w:val="20"/>
                <w:szCs w:val="20"/>
              </w:rPr>
            </w:pPr>
            <w:r>
              <w:rPr>
                <w:spacing w:val="8"/>
                <w:sz w:val="20"/>
                <w:szCs w:val="20"/>
              </w:rPr>
              <w:t>本次评价区块不占用自然保护</w:t>
            </w:r>
            <w:r>
              <w:rPr>
                <w:spacing w:val="9"/>
                <w:sz w:val="20"/>
                <w:szCs w:val="20"/>
              </w:rPr>
              <w:t xml:space="preserve"> </w:t>
            </w:r>
            <w:r>
              <w:rPr>
                <w:spacing w:val="-3"/>
                <w:sz w:val="20"/>
                <w:szCs w:val="20"/>
              </w:rPr>
              <w:t>地，</w:t>
            </w:r>
            <w:r>
              <w:rPr>
                <w:spacing w:val="-40"/>
                <w:sz w:val="20"/>
                <w:szCs w:val="20"/>
              </w:rPr>
              <w:t xml:space="preserve"> </w:t>
            </w:r>
            <w:r>
              <w:rPr>
                <w:spacing w:val="-3"/>
                <w:sz w:val="20"/>
                <w:szCs w:val="20"/>
              </w:rPr>
              <w:t>目标可达</w:t>
            </w:r>
          </w:p>
        </w:tc>
      </w:tr>
      <w:tr w14:paraId="081C85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765" w:type="dxa"/>
            <w:vMerge w:val="continue"/>
            <w:tcBorders>
              <w:top w:val="nil"/>
              <w:left w:val="single" w:color="000000" w:sz="10" w:space="0"/>
              <w:bottom w:val="nil"/>
            </w:tcBorders>
            <w:vAlign w:val="top"/>
          </w:tcPr>
          <w:p w14:paraId="38A517F9">
            <w:pPr>
              <w:rPr>
                <w:rFonts w:ascii="Arial"/>
                <w:sz w:val="21"/>
              </w:rPr>
            </w:pPr>
          </w:p>
        </w:tc>
        <w:tc>
          <w:tcPr>
            <w:tcW w:w="980" w:type="dxa"/>
            <w:vMerge w:val="restart"/>
            <w:tcBorders>
              <w:bottom w:val="nil"/>
            </w:tcBorders>
            <w:vAlign w:val="top"/>
          </w:tcPr>
          <w:p w14:paraId="662AF473">
            <w:pPr>
              <w:spacing w:line="250" w:lineRule="auto"/>
              <w:rPr>
                <w:rFonts w:ascii="Arial"/>
                <w:sz w:val="21"/>
              </w:rPr>
            </w:pPr>
          </w:p>
          <w:p w14:paraId="5D04D0D7">
            <w:pPr>
              <w:pStyle w:val="6"/>
              <w:spacing w:before="65" w:line="229" w:lineRule="auto"/>
              <w:ind w:left="83"/>
              <w:rPr>
                <w:sz w:val="20"/>
                <w:szCs w:val="20"/>
              </w:rPr>
            </w:pPr>
            <w:r>
              <w:rPr>
                <w:spacing w:val="2"/>
                <w:sz w:val="20"/>
                <w:szCs w:val="20"/>
              </w:rPr>
              <w:t>生态恢复</w:t>
            </w:r>
          </w:p>
          <w:p w14:paraId="795CAD31">
            <w:pPr>
              <w:pStyle w:val="6"/>
              <w:spacing w:before="22" w:line="232" w:lineRule="auto"/>
              <w:ind w:left="71"/>
              <w:rPr>
                <w:sz w:val="20"/>
                <w:szCs w:val="20"/>
              </w:rPr>
            </w:pPr>
            <w:r>
              <w:rPr>
                <w:spacing w:val="5"/>
                <w:sz w:val="20"/>
                <w:szCs w:val="20"/>
              </w:rPr>
              <w:t>和土地复</w:t>
            </w:r>
          </w:p>
          <w:p w14:paraId="078BC5E4">
            <w:pPr>
              <w:pStyle w:val="6"/>
              <w:spacing w:before="22" w:line="238" w:lineRule="auto"/>
              <w:ind w:left="390"/>
              <w:rPr>
                <w:sz w:val="20"/>
                <w:szCs w:val="20"/>
              </w:rPr>
            </w:pPr>
            <w:r>
              <w:rPr>
                <w:sz w:val="20"/>
                <w:szCs w:val="20"/>
              </w:rPr>
              <w:t>垦</w:t>
            </w:r>
          </w:p>
        </w:tc>
        <w:tc>
          <w:tcPr>
            <w:tcW w:w="2449" w:type="dxa"/>
            <w:vMerge w:val="restart"/>
            <w:tcBorders>
              <w:bottom w:val="nil"/>
            </w:tcBorders>
            <w:vAlign w:val="top"/>
          </w:tcPr>
          <w:p w14:paraId="6BF76231">
            <w:pPr>
              <w:pStyle w:val="6"/>
              <w:spacing w:before="180" w:line="230" w:lineRule="auto"/>
              <w:ind w:left="177"/>
              <w:rPr>
                <w:sz w:val="20"/>
                <w:szCs w:val="20"/>
              </w:rPr>
            </w:pPr>
            <w:r>
              <w:rPr>
                <w:spacing w:val="8"/>
                <w:sz w:val="20"/>
                <w:szCs w:val="20"/>
              </w:rPr>
              <w:t>新建和生产矿山闭坑后</w:t>
            </w:r>
          </w:p>
          <w:p w14:paraId="76C14F6B">
            <w:pPr>
              <w:pStyle w:val="6"/>
              <w:spacing w:before="24" w:line="230" w:lineRule="auto"/>
              <w:ind w:left="114"/>
              <w:rPr>
                <w:sz w:val="20"/>
                <w:szCs w:val="20"/>
              </w:rPr>
            </w:pPr>
            <w:r>
              <w:rPr>
                <w:spacing w:val="1"/>
                <w:sz w:val="20"/>
                <w:szCs w:val="20"/>
              </w:rPr>
              <w:t>全面治理，关闭矿山和历</w:t>
            </w:r>
          </w:p>
          <w:p w14:paraId="7A15B63B">
            <w:pPr>
              <w:pStyle w:val="6"/>
              <w:spacing w:before="21" w:line="231" w:lineRule="auto"/>
              <w:ind w:left="182"/>
              <w:rPr>
                <w:sz w:val="20"/>
                <w:szCs w:val="20"/>
              </w:rPr>
            </w:pPr>
            <w:r>
              <w:rPr>
                <w:spacing w:val="7"/>
                <w:sz w:val="20"/>
                <w:szCs w:val="20"/>
              </w:rPr>
              <w:t>史遗留矿山按地方要求</w:t>
            </w:r>
          </w:p>
          <w:p w14:paraId="041AFF4B">
            <w:pPr>
              <w:pStyle w:val="6"/>
              <w:spacing w:before="23" w:line="231" w:lineRule="auto"/>
              <w:ind w:left="1022"/>
              <w:rPr>
                <w:sz w:val="20"/>
                <w:szCs w:val="20"/>
              </w:rPr>
            </w:pPr>
            <w:r>
              <w:rPr>
                <w:spacing w:val="-1"/>
                <w:sz w:val="20"/>
                <w:szCs w:val="20"/>
              </w:rPr>
              <w:t>实施</w:t>
            </w:r>
          </w:p>
        </w:tc>
        <w:tc>
          <w:tcPr>
            <w:tcW w:w="3265" w:type="dxa"/>
            <w:vAlign w:val="top"/>
          </w:tcPr>
          <w:p w14:paraId="546A938E">
            <w:pPr>
              <w:pStyle w:val="6"/>
              <w:spacing w:before="175" w:line="231" w:lineRule="auto"/>
              <w:ind w:left="906"/>
              <w:rPr>
                <w:sz w:val="20"/>
                <w:szCs w:val="20"/>
              </w:rPr>
            </w:pPr>
            <w:r>
              <w:rPr>
                <w:spacing w:val="7"/>
                <w:sz w:val="20"/>
                <w:szCs w:val="20"/>
              </w:rPr>
              <w:t>新建和生产矿山</w:t>
            </w:r>
          </w:p>
        </w:tc>
        <w:tc>
          <w:tcPr>
            <w:tcW w:w="3475" w:type="dxa"/>
            <w:vAlign w:val="top"/>
          </w:tcPr>
          <w:p w14:paraId="7030A502">
            <w:pPr>
              <w:pStyle w:val="6"/>
              <w:spacing w:before="41" w:line="230" w:lineRule="auto"/>
              <w:ind w:left="124"/>
              <w:rPr>
                <w:sz w:val="20"/>
                <w:szCs w:val="20"/>
              </w:rPr>
            </w:pPr>
            <w:r>
              <w:rPr>
                <w:spacing w:val="2"/>
                <w:sz w:val="20"/>
                <w:szCs w:val="20"/>
              </w:rPr>
              <w:t>露天矿山边开采边治理，闭坑后全面</w:t>
            </w:r>
          </w:p>
          <w:p w14:paraId="2B1D3653">
            <w:pPr>
              <w:pStyle w:val="6"/>
              <w:spacing w:before="22" w:line="207" w:lineRule="auto"/>
              <w:ind w:left="1545"/>
              <w:rPr>
                <w:sz w:val="20"/>
                <w:szCs w:val="20"/>
              </w:rPr>
            </w:pPr>
            <w:r>
              <w:rPr>
                <w:sz w:val="20"/>
                <w:szCs w:val="20"/>
              </w:rPr>
              <w:t>治理</w:t>
            </w:r>
          </w:p>
        </w:tc>
        <w:tc>
          <w:tcPr>
            <w:tcW w:w="3243" w:type="dxa"/>
            <w:tcBorders>
              <w:right w:val="single" w:color="000000" w:sz="10" w:space="0"/>
            </w:tcBorders>
            <w:vAlign w:val="top"/>
          </w:tcPr>
          <w:p w14:paraId="061B1474">
            <w:pPr>
              <w:pStyle w:val="6"/>
              <w:spacing w:before="176" w:line="229" w:lineRule="auto"/>
              <w:ind w:left="900"/>
              <w:rPr>
                <w:sz w:val="20"/>
                <w:szCs w:val="20"/>
              </w:rPr>
            </w:pPr>
            <w:r>
              <w:rPr>
                <w:spacing w:val="7"/>
                <w:sz w:val="20"/>
                <w:szCs w:val="20"/>
              </w:rPr>
              <w:t>严格执行后可达</w:t>
            </w:r>
          </w:p>
        </w:tc>
      </w:tr>
      <w:tr w14:paraId="2ED3FD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765" w:type="dxa"/>
            <w:vMerge w:val="continue"/>
            <w:tcBorders>
              <w:top w:val="nil"/>
              <w:left w:val="single" w:color="000000" w:sz="10" w:space="0"/>
            </w:tcBorders>
            <w:vAlign w:val="top"/>
          </w:tcPr>
          <w:p w14:paraId="7DE97A0C">
            <w:pPr>
              <w:rPr>
                <w:rFonts w:ascii="Arial"/>
                <w:sz w:val="21"/>
              </w:rPr>
            </w:pPr>
          </w:p>
        </w:tc>
        <w:tc>
          <w:tcPr>
            <w:tcW w:w="980" w:type="dxa"/>
            <w:vMerge w:val="continue"/>
            <w:tcBorders>
              <w:top w:val="nil"/>
            </w:tcBorders>
            <w:vAlign w:val="top"/>
          </w:tcPr>
          <w:p w14:paraId="23B11CB2">
            <w:pPr>
              <w:rPr>
                <w:rFonts w:ascii="Arial"/>
                <w:sz w:val="21"/>
              </w:rPr>
            </w:pPr>
          </w:p>
        </w:tc>
        <w:tc>
          <w:tcPr>
            <w:tcW w:w="2449" w:type="dxa"/>
            <w:vMerge w:val="continue"/>
            <w:tcBorders>
              <w:top w:val="nil"/>
            </w:tcBorders>
            <w:vAlign w:val="top"/>
          </w:tcPr>
          <w:p w14:paraId="370E1250">
            <w:pPr>
              <w:rPr>
                <w:rFonts w:ascii="Arial"/>
                <w:sz w:val="21"/>
              </w:rPr>
            </w:pPr>
          </w:p>
        </w:tc>
        <w:tc>
          <w:tcPr>
            <w:tcW w:w="3265" w:type="dxa"/>
            <w:vAlign w:val="top"/>
          </w:tcPr>
          <w:p w14:paraId="40F13438">
            <w:pPr>
              <w:spacing w:line="250" w:lineRule="auto"/>
              <w:rPr>
                <w:rFonts w:ascii="Arial"/>
                <w:sz w:val="21"/>
              </w:rPr>
            </w:pPr>
          </w:p>
          <w:p w14:paraId="30C3E950">
            <w:pPr>
              <w:pStyle w:val="6"/>
              <w:spacing w:before="65" w:line="230" w:lineRule="auto"/>
              <w:ind w:left="596"/>
              <w:rPr>
                <w:sz w:val="20"/>
                <w:szCs w:val="20"/>
              </w:rPr>
            </w:pPr>
            <w:r>
              <w:rPr>
                <w:spacing w:val="7"/>
                <w:sz w:val="20"/>
                <w:szCs w:val="20"/>
              </w:rPr>
              <w:t>关闭矿山和历史留矿山</w:t>
            </w:r>
          </w:p>
        </w:tc>
        <w:tc>
          <w:tcPr>
            <w:tcW w:w="3475" w:type="dxa"/>
            <w:vAlign w:val="top"/>
          </w:tcPr>
          <w:p w14:paraId="5C1E47EF">
            <w:pPr>
              <w:pStyle w:val="6"/>
              <w:spacing w:before="43" w:line="229" w:lineRule="auto"/>
              <w:ind w:left="180"/>
              <w:rPr>
                <w:sz w:val="20"/>
                <w:szCs w:val="20"/>
              </w:rPr>
            </w:pPr>
            <w:r>
              <w:rPr>
                <w:spacing w:val="8"/>
                <w:sz w:val="20"/>
                <w:szCs w:val="20"/>
              </w:rPr>
              <w:t>完成市级每年下达的年度生态恢复</w:t>
            </w:r>
          </w:p>
          <w:p w14:paraId="75127DBD">
            <w:pPr>
              <w:pStyle w:val="6"/>
              <w:spacing w:before="25" w:line="228" w:lineRule="auto"/>
              <w:ind w:left="126"/>
              <w:rPr>
                <w:sz w:val="20"/>
                <w:szCs w:val="20"/>
              </w:rPr>
            </w:pPr>
            <w:r>
              <w:rPr>
                <w:spacing w:val="7"/>
                <w:sz w:val="20"/>
                <w:szCs w:val="20"/>
              </w:rPr>
              <w:t>和土地复垦计划和任务，在</w:t>
            </w:r>
            <w:r>
              <w:rPr>
                <w:spacing w:val="-43"/>
                <w:sz w:val="20"/>
                <w:szCs w:val="20"/>
              </w:rPr>
              <w:t xml:space="preserve"> </w:t>
            </w:r>
            <w:r>
              <w:rPr>
                <w:rFonts w:ascii="Times New Roman" w:hAnsi="Times New Roman" w:eastAsia="Times New Roman" w:cs="Times New Roman"/>
                <w:spacing w:val="7"/>
                <w:sz w:val="20"/>
                <w:szCs w:val="20"/>
              </w:rPr>
              <w:t>2030</w:t>
            </w:r>
            <w:r>
              <w:rPr>
                <w:rFonts w:ascii="Times New Roman" w:hAnsi="Times New Roman" w:eastAsia="Times New Roman" w:cs="Times New Roman"/>
                <w:spacing w:val="20"/>
                <w:sz w:val="20"/>
                <w:szCs w:val="20"/>
              </w:rPr>
              <w:t xml:space="preserve"> </w:t>
            </w:r>
            <w:r>
              <w:rPr>
                <w:spacing w:val="7"/>
                <w:sz w:val="20"/>
                <w:szCs w:val="20"/>
              </w:rPr>
              <w:t>年</w:t>
            </w:r>
          </w:p>
          <w:p w14:paraId="4645F1F5">
            <w:pPr>
              <w:pStyle w:val="6"/>
              <w:spacing w:before="24" w:line="204" w:lineRule="auto"/>
              <w:ind w:left="1230"/>
              <w:rPr>
                <w:sz w:val="20"/>
                <w:szCs w:val="20"/>
              </w:rPr>
            </w:pPr>
            <w:r>
              <w:rPr>
                <w:spacing w:val="6"/>
                <w:sz w:val="20"/>
                <w:szCs w:val="20"/>
              </w:rPr>
              <w:t>前全部完成</w:t>
            </w:r>
          </w:p>
        </w:tc>
        <w:tc>
          <w:tcPr>
            <w:tcW w:w="3243" w:type="dxa"/>
            <w:tcBorders>
              <w:right w:val="single" w:color="000000" w:sz="10" w:space="0"/>
            </w:tcBorders>
            <w:vAlign w:val="top"/>
          </w:tcPr>
          <w:p w14:paraId="446AA35C">
            <w:pPr>
              <w:spacing w:line="251" w:lineRule="auto"/>
              <w:rPr>
                <w:rFonts w:ascii="Arial"/>
                <w:sz w:val="21"/>
              </w:rPr>
            </w:pPr>
          </w:p>
          <w:p w14:paraId="511C5CE2">
            <w:pPr>
              <w:pStyle w:val="6"/>
              <w:spacing w:before="65" w:line="229" w:lineRule="auto"/>
              <w:ind w:left="900"/>
              <w:rPr>
                <w:sz w:val="20"/>
                <w:szCs w:val="20"/>
              </w:rPr>
            </w:pPr>
            <w:r>
              <w:rPr>
                <w:spacing w:val="7"/>
                <w:sz w:val="20"/>
                <w:szCs w:val="20"/>
              </w:rPr>
              <w:t>严格执行后可达</w:t>
            </w:r>
          </w:p>
        </w:tc>
      </w:tr>
      <w:tr w14:paraId="42B201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765" w:type="dxa"/>
            <w:vMerge w:val="restart"/>
            <w:tcBorders>
              <w:left w:val="single" w:color="000000" w:sz="10" w:space="0"/>
              <w:bottom w:val="nil"/>
            </w:tcBorders>
            <w:vAlign w:val="top"/>
          </w:tcPr>
          <w:p w14:paraId="3F62C411">
            <w:pPr>
              <w:spacing w:line="283" w:lineRule="auto"/>
              <w:rPr>
                <w:rFonts w:ascii="Arial"/>
                <w:sz w:val="21"/>
              </w:rPr>
            </w:pPr>
          </w:p>
          <w:p w14:paraId="20617D7B">
            <w:pPr>
              <w:spacing w:line="283" w:lineRule="auto"/>
              <w:rPr>
                <w:rFonts w:ascii="Arial"/>
                <w:sz w:val="21"/>
              </w:rPr>
            </w:pPr>
          </w:p>
          <w:p w14:paraId="23987F98">
            <w:pPr>
              <w:spacing w:line="283" w:lineRule="auto"/>
              <w:rPr>
                <w:rFonts w:ascii="Arial"/>
                <w:sz w:val="21"/>
              </w:rPr>
            </w:pPr>
          </w:p>
          <w:p w14:paraId="6EB6AC2D">
            <w:pPr>
              <w:spacing w:line="284" w:lineRule="auto"/>
              <w:rPr>
                <w:rFonts w:ascii="Arial"/>
                <w:sz w:val="21"/>
              </w:rPr>
            </w:pPr>
          </w:p>
          <w:p w14:paraId="1FA3F085">
            <w:pPr>
              <w:spacing w:line="284" w:lineRule="auto"/>
              <w:rPr>
                <w:rFonts w:ascii="Arial"/>
                <w:sz w:val="21"/>
              </w:rPr>
            </w:pPr>
          </w:p>
          <w:p w14:paraId="0659DFD3">
            <w:pPr>
              <w:pStyle w:val="6"/>
              <w:spacing w:before="65" w:line="231" w:lineRule="auto"/>
              <w:ind w:left="168"/>
              <w:rPr>
                <w:sz w:val="20"/>
                <w:szCs w:val="20"/>
              </w:rPr>
            </w:pPr>
            <w:r>
              <w:rPr>
                <w:spacing w:val="2"/>
                <w:sz w:val="20"/>
                <w:szCs w:val="20"/>
              </w:rPr>
              <w:t>环境</w:t>
            </w:r>
          </w:p>
          <w:p w14:paraId="6E6EEAEB">
            <w:pPr>
              <w:pStyle w:val="6"/>
              <w:spacing w:before="23" w:line="234" w:lineRule="auto"/>
              <w:ind w:left="173"/>
              <w:rPr>
                <w:sz w:val="20"/>
                <w:szCs w:val="20"/>
              </w:rPr>
            </w:pPr>
            <w:r>
              <w:rPr>
                <w:spacing w:val="-1"/>
                <w:sz w:val="20"/>
                <w:szCs w:val="20"/>
              </w:rPr>
              <w:t>质量</w:t>
            </w:r>
          </w:p>
        </w:tc>
        <w:tc>
          <w:tcPr>
            <w:tcW w:w="980" w:type="dxa"/>
            <w:vMerge w:val="restart"/>
            <w:tcBorders>
              <w:bottom w:val="nil"/>
            </w:tcBorders>
            <w:vAlign w:val="top"/>
          </w:tcPr>
          <w:p w14:paraId="4393D1B2">
            <w:pPr>
              <w:spacing w:line="377" w:lineRule="auto"/>
              <w:rPr>
                <w:rFonts w:ascii="Arial"/>
                <w:sz w:val="21"/>
              </w:rPr>
            </w:pPr>
          </w:p>
          <w:p w14:paraId="2F10D4E9">
            <w:pPr>
              <w:pStyle w:val="6"/>
              <w:spacing w:before="65" w:line="231" w:lineRule="auto"/>
              <w:ind w:left="176"/>
              <w:rPr>
                <w:sz w:val="20"/>
                <w:szCs w:val="20"/>
              </w:rPr>
            </w:pPr>
            <w:r>
              <w:rPr>
                <w:spacing w:val="5"/>
                <w:sz w:val="20"/>
                <w:szCs w:val="20"/>
              </w:rPr>
              <w:t>环境空</w:t>
            </w:r>
          </w:p>
          <w:p w14:paraId="1D942306">
            <w:pPr>
              <w:pStyle w:val="6"/>
              <w:spacing w:before="21" w:line="233" w:lineRule="auto"/>
              <w:ind w:left="393"/>
              <w:rPr>
                <w:sz w:val="20"/>
                <w:szCs w:val="20"/>
              </w:rPr>
            </w:pPr>
            <w:r>
              <w:rPr>
                <w:sz w:val="20"/>
                <w:szCs w:val="20"/>
              </w:rPr>
              <w:t>气</w:t>
            </w:r>
          </w:p>
        </w:tc>
        <w:tc>
          <w:tcPr>
            <w:tcW w:w="2449" w:type="dxa"/>
            <w:vMerge w:val="restart"/>
            <w:tcBorders>
              <w:bottom w:val="nil"/>
            </w:tcBorders>
            <w:vAlign w:val="top"/>
          </w:tcPr>
          <w:p w14:paraId="5608E88E">
            <w:pPr>
              <w:spacing w:line="376" w:lineRule="auto"/>
              <w:rPr>
                <w:rFonts w:ascii="Arial"/>
                <w:sz w:val="21"/>
              </w:rPr>
            </w:pPr>
          </w:p>
          <w:p w14:paraId="029F2A03">
            <w:pPr>
              <w:pStyle w:val="6"/>
              <w:spacing w:before="65" w:line="251" w:lineRule="auto"/>
              <w:ind w:left="500" w:right="111" w:hanging="391"/>
              <w:rPr>
                <w:sz w:val="20"/>
                <w:szCs w:val="20"/>
              </w:rPr>
            </w:pPr>
            <w:r>
              <w:rPr>
                <w:spacing w:val="2"/>
                <w:sz w:val="20"/>
                <w:szCs w:val="20"/>
              </w:rPr>
              <w:t>控制污染物排放，确保大</w:t>
            </w:r>
            <w:r>
              <w:rPr>
                <w:sz w:val="20"/>
                <w:szCs w:val="20"/>
              </w:rPr>
              <w:t xml:space="preserve"> </w:t>
            </w:r>
            <w:r>
              <w:rPr>
                <w:spacing w:val="6"/>
                <w:sz w:val="20"/>
                <w:szCs w:val="20"/>
              </w:rPr>
              <w:t>气环境质量达标</w:t>
            </w:r>
          </w:p>
        </w:tc>
        <w:tc>
          <w:tcPr>
            <w:tcW w:w="3265" w:type="dxa"/>
            <w:vAlign w:val="top"/>
          </w:tcPr>
          <w:p w14:paraId="51A49BB5">
            <w:pPr>
              <w:spacing w:line="251" w:lineRule="auto"/>
              <w:rPr>
                <w:rFonts w:ascii="Arial"/>
                <w:sz w:val="21"/>
              </w:rPr>
            </w:pPr>
          </w:p>
          <w:p w14:paraId="1528BEBB">
            <w:pPr>
              <w:pStyle w:val="6"/>
              <w:spacing w:before="65" w:line="231" w:lineRule="auto"/>
              <w:ind w:left="487"/>
              <w:rPr>
                <w:sz w:val="20"/>
                <w:szCs w:val="20"/>
              </w:rPr>
            </w:pPr>
            <w:r>
              <w:rPr>
                <w:spacing w:val="8"/>
                <w:sz w:val="20"/>
                <w:szCs w:val="20"/>
              </w:rPr>
              <w:t>矿区及周边环境空气质量</w:t>
            </w:r>
          </w:p>
        </w:tc>
        <w:tc>
          <w:tcPr>
            <w:tcW w:w="3475" w:type="dxa"/>
            <w:vAlign w:val="top"/>
          </w:tcPr>
          <w:p w14:paraId="294BB550">
            <w:pPr>
              <w:pStyle w:val="6"/>
              <w:spacing w:before="46" w:line="229" w:lineRule="auto"/>
              <w:ind w:left="98"/>
              <w:rPr>
                <w:sz w:val="20"/>
                <w:szCs w:val="20"/>
              </w:rPr>
            </w:pPr>
            <w:r>
              <w:rPr>
                <w:spacing w:val="6"/>
                <w:sz w:val="20"/>
                <w:szCs w:val="20"/>
              </w:rPr>
              <w:t>一类功能区及其</w:t>
            </w:r>
            <w:r>
              <w:rPr>
                <w:spacing w:val="-34"/>
                <w:sz w:val="20"/>
                <w:szCs w:val="20"/>
              </w:rPr>
              <w:t xml:space="preserve"> </w:t>
            </w:r>
            <w:r>
              <w:rPr>
                <w:rFonts w:ascii="Times New Roman" w:hAnsi="Times New Roman" w:eastAsia="Times New Roman" w:cs="Times New Roman"/>
                <w:spacing w:val="6"/>
                <w:sz w:val="20"/>
                <w:szCs w:val="20"/>
              </w:rPr>
              <w:t>300m</w:t>
            </w:r>
            <w:r>
              <w:rPr>
                <w:rFonts w:ascii="Times New Roman" w:hAnsi="Times New Roman" w:eastAsia="Times New Roman" w:cs="Times New Roman"/>
                <w:spacing w:val="20"/>
                <w:sz w:val="20"/>
                <w:szCs w:val="20"/>
              </w:rPr>
              <w:t xml:space="preserve"> </w:t>
            </w:r>
            <w:r>
              <w:rPr>
                <w:spacing w:val="6"/>
                <w:sz w:val="20"/>
                <w:szCs w:val="20"/>
              </w:rPr>
              <w:t>缓冲带内空气</w:t>
            </w:r>
          </w:p>
          <w:p w14:paraId="431AB961">
            <w:pPr>
              <w:pStyle w:val="6"/>
              <w:spacing w:before="23" w:line="230" w:lineRule="auto"/>
              <w:ind w:left="76"/>
              <w:rPr>
                <w:sz w:val="20"/>
                <w:szCs w:val="20"/>
              </w:rPr>
            </w:pPr>
            <w:r>
              <w:rPr>
                <w:spacing w:val="9"/>
                <w:sz w:val="20"/>
                <w:szCs w:val="20"/>
              </w:rPr>
              <w:t>质量满足一类区标准；其他区域二类</w:t>
            </w:r>
          </w:p>
          <w:p w14:paraId="48F06291">
            <w:pPr>
              <w:pStyle w:val="6"/>
              <w:spacing w:before="24" w:line="202" w:lineRule="auto"/>
              <w:ind w:left="1454"/>
              <w:rPr>
                <w:sz w:val="20"/>
                <w:szCs w:val="20"/>
              </w:rPr>
            </w:pPr>
            <w:r>
              <w:rPr>
                <w:spacing w:val="-1"/>
                <w:sz w:val="20"/>
                <w:szCs w:val="20"/>
              </w:rPr>
              <w:t>区标准</w:t>
            </w:r>
          </w:p>
        </w:tc>
        <w:tc>
          <w:tcPr>
            <w:tcW w:w="3243" w:type="dxa"/>
            <w:vMerge w:val="restart"/>
            <w:tcBorders>
              <w:bottom w:val="nil"/>
              <w:right w:val="single" w:color="000000" w:sz="10" w:space="0"/>
            </w:tcBorders>
            <w:vAlign w:val="top"/>
          </w:tcPr>
          <w:p w14:paraId="6D3F57BA">
            <w:pPr>
              <w:spacing w:line="255" w:lineRule="auto"/>
              <w:rPr>
                <w:rFonts w:ascii="Arial"/>
                <w:sz w:val="21"/>
              </w:rPr>
            </w:pPr>
          </w:p>
          <w:p w14:paraId="562E4FBE">
            <w:pPr>
              <w:spacing w:line="256" w:lineRule="auto"/>
              <w:rPr>
                <w:rFonts w:ascii="Arial"/>
                <w:sz w:val="21"/>
              </w:rPr>
            </w:pPr>
          </w:p>
          <w:p w14:paraId="5693CAAE">
            <w:pPr>
              <w:pStyle w:val="6"/>
              <w:spacing w:before="65" w:line="231" w:lineRule="auto"/>
              <w:ind w:left="166"/>
              <w:rPr>
                <w:sz w:val="20"/>
                <w:szCs w:val="20"/>
              </w:rPr>
            </w:pPr>
            <w:r>
              <w:rPr>
                <w:spacing w:val="8"/>
                <w:sz w:val="20"/>
                <w:szCs w:val="20"/>
              </w:rPr>
              <w:t>采取大气污染防治措施后，可达</w:t>
            </w:r>
          </w:p>
        </w:tc>
      </w:tr>
      <w:tr w14:paraId="4C3585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765" w:type="dxa"/>
            <w:vMerge w:val="continue"/>
            <w:tcBorders>
              <w:top w:val="nil"/>
              <w:left w:val="single" w:color="000000" w:sz="10" w:space="0"/>
              <w:bottom w:val="nil"/>
            </w:tcBorders>
            <w:vAlign w:val="top"/>
          </w:tcPr>
          <w:p w14:paraId="65F004C1">
            <w:pPr>
              <w:rPr>
                <w:rFonts w:ascii="Arial"/>
                <w:sz w:val="21"/>
              </w:rPr>
            </w:pPr>
          </w:p>
        </w:tc>
        <w:tc>
          <w:tcPr>
            <w:tcW w:w="980" w:type="dxa"/>
            <w:vMerge w:val="continue"/>
            <w:tcBorders>
              <w:top w:val="nil"/>
            </w:tcBorders>
            <w:vAlign w:val="top"/>
          </w:tcPr>
          <w:p w14:paraId="76D04D13">
            <w:pPr>
              <w:rPr>
                <w:rFonts w:ascii="Arial"/>
                <w:sz w:val="21"/>
              </w:rPr>
            </w:pPr>
          </w:p>
        </w:tc>
        <w:tc>
          <w:tcPr>
            <w:tcW w:w="2449" w:type="dxa"/>
            <w:vMerge w:val="continue"/>
            <w:tcBorders>
              <w:top w:val="nil"/>
            </w:tcBorders>
            <w:vAlign w:val="top"/>
          </w:tcPr>
          <w:p w14:paraId="30EAA347">
            <w:pPr>
              <w:rPr>
                <w:rFonts w:ascii="Arial"/>
                <w:sz w:val="21"/>
              </w:rPr>
            </w:pPr>
          </w:p>
        </w:tc>
        <w:tc>
          <w:tcPr>
            <w:tcW w:w="3265" w:type="dxa"/>
            <w:vAlign w:val="top"/>
          </w:tcPr>
          <w:p w14:paraId="4BD5C063">
            <w:pPr>
              <w:pStyle w:val="6"/>
              <w:spacing w:before="167" w:line="231" w:lineRule="auto"/>
              <w:ind w:left="909"/>
              <w:rPr>
                <w:sz w:val="20"/>
                <w:szCs w:val="20"/>
              </w:rPr>
            </w:pPr>
            <w:r>
              <w:rPr>
                <w:spacing w:val="7"/>
                <w:sz w:val="20"/>
                <w:szCs w:val="20"/>
              </w:rPr>
              <w:t>废气排放达标率</w:t>
            </w:r>
          </w:p>
        </w:tc>
        <w:tc>
          <w:tcPr>
            <w:tcW w:w="3475" w:type="dxa"/>
            <w:vAlign w:val="top"/>
          </w:tcPr>
          <w:p w14:paraId="50000D04">
            <w:pPr>
              <w:spacing w:before="205" w:line="195" w:lineRule="auto"/>
              <w:ind w:left="15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w:t>
            </w:r>
          </w:p>
        </w:tc>
        <w:tc>
          <w:tcPr>
            <w:tcW w:w="3243" w:type="dxa"/>
            <w:vMerge w:val="continue"/>
            <w:tcBorders>
              <w:top w:val="nil"/>
              <w:right w:val="single" w:color="000000" w:sz="10" w:space="0"/>
            </w:tcBorders>
            <w:vAlign w:val="top"/>
          </w:tcPr>
          <w:p w14:paraId="26AB7028">
            <w:pPr>
              <w:rPr>
                <w:rFonts w:ascii="Arial"/>
                <w:sz w:val="21"/>
              </w:rPr>
            </w:pPr>
          </w:p>
        </w:tc>
      </w:tr>
      <w:tr w14:paraId="2A3EE8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65" w:type="dxa"/>
            <w:vMerge w:val="continue"/>
            <w:tcBorders>
              <w:top w:val="nil"/>
              <w:left w:val="single" w:color="000000" w:sz="10" w:space="0"/>
              <w:bottom w:val="nil"/>
            </w:tcBorders>
            <w:vAlign w:val="top"/>
          </w:tcPr>
          <w:p w14:paraId="6F4A254F">
            <w:pPr>
              <w:rPr>
                <w:rFonts w:ascii="Arial"/>
                <w:sz w:val="21"/>
              </w:rPr>
            </w:pPr>
          </w:p>
        </w:tc>
        <w:tc>
          <w:tcPr>
            <w:tcW w:w="980" w:type="dxa"/>
            <w:vMerge w:val="restart"/>
            <w:tcBorders>
              <w:bottom w:val="nil"/>
            </w:tcBorders>
            <w:vAlign w:val="top"/>
          </w:tcPr>
          <w:p w14:paraId="027DDFA4">
            <w:pPr>
              <w:spacing w:line="305" w:lineRule="auto"/>
              <w:rPr>
                <w:rFonts w:ascii="Arial"/>
                <w:sz w:val="21"/>
              </w:rPr>
            </w:pPr>
          </w:p>
          <w:p w14:paraId="4D96ADE2">
            <w:pPr>
              <w:spacing w:line="305" w:lineRule="auto"/>
              <w:rPr>
                <w:rFonts w:ascii="Arial"/>
                <w:sz w:val="21"/>
              </w:rPr>
            </w:pPr>
          </w:p>
          <w:p w14:paraId="4F2C4A42">
            <w:pPr>
              <w:pStyle w:val="6"/>
              <w:spacing w:before="65" w:line="231" w:lineRule="auto"/>
              <w:ind w:left="176"/>
              <w:rPr>
                <w:sz w:val="20"/>
                <w:szCs w:val="20"/>
              </w:rPr>
            </w:pPr>
            <w:r>
              <w:rPr>
                <w:spacing w:val="5"/>
                <w:sz w:val="20"/>
                <w:szCs w:val="20"/>
              </w:rPr>
              <w:t>水环境</w:t>
            </w:r>
          </w:p>
        </w:tc>
        <w:tc>
          <w:tcPr>
            <w:tcW w:w="2449" w:type="dxa"/>
            <w:vMerge w:val="restart"/>
            <w:tcBorders>
              <w:bottom w:val="nil"/>
            </w:tcBorders>
            <w:vAlign w:val="top"/>
          </w:tcPr>
          <w:p w14:paraId="651BC3A6">
            <w:pPr>
              <w:pStyle w:val="6"/>
              <w:spacing w:before="129" w:line="231" w:lineRule="auto"/>
              <w:ind w:left="108"/>
              <w:rPr>
                <w:sz w:val="20"/>
                <w:szCs w:val="20"/>
              </w:rPr>
            </w:pPr>
            <w:r>
              <w:rPr>
                <w:spacing w:val="2"/>
                <w:sz w:val="20"/>
                <w:szCs w:val="20"/>
              </w:rPr>
              <w:t>加强废水综合利用，减少</w:t>
            </w:r>
          </w:p>
          <w:p w14:paraId="5B169244">
            <w:pPr>
              <w:pStyle w:val="6"/>
              <w:spacing w:before="21" w:line="229" w:lineRule="auto"/>
              <w:ind w:left="113"/>
              <w:rPr>
                <w:sz w:val="20"/>
                <w:szCs w:val="20"/>
              </w:rPr>
            </w:pPr>
            <w:r>
              <w:rPr>
                <w:spacing w:val="1"/>
                <w:sz w:val="20"/>
                <w:szCs w:val="20"/>
              </w:rPr>
              <w:t>污染物排放，控制水体污</w:t>
            </w:r>
          </w:p>
          <w:p w14:paraId="7A9A182A">
            <w:pPr>
              <w:pStyle w:val="6"/>
              <w:spacing w:before="22" w:line="231" w:lineRule="auto"/>
              <w:ind w:left="1126"/>
              <w:rPr>
                <w:sz w:val="20"/>
                <w:szCs w:val="20"/>
              </w:rPr>
            </w:pPr>
            <w:r>
              <w:rPr>
                <w:sz w:val="20"/>
                <w:szCs w:val="20"/>
              </w:rPr>
              <w:t>染</w:t>
            </w:r>
          </w:p>
        </w:tc>
        <w:tc>
          <w:tcPr>
            <w:tcW w:w="3265" w:type="dxa"/>
            <w:vAlign w:val="top"/>
          </w:tcPr>
          <w:p w14:paraId="1D1DCE41">
            <w:pPr>
              <w:pStyle w:val="6"/>
              <w:spacing w:before="110" w:line="228" w:lineRule="auto"/>
              <w:ind w:left="381"/>
              <w:rPr>
                <w:sz w:val="20"/>
                <w:szCs w:val="20"/>
              </w:rPr>
            </w:pPr>
            <w:r>
              <w:rPr>
                <w:spacing w:val="8"/>
                <w:sz w:val="20"/>
                <w:szCs w:val="20"/>
              </w:rPr>
              <w:t>矿权所在地地表水环境质量</w:t>
            </w:r>
          </w:p>
        </w:tc>
        <w:tc>
          <w:tcPr>
            <w:tcW w:w="3475" w:type="dxa"/>
            <w:vAlign w:val="top"/>
          </w:tcPr>
          <w:p w14:paraId="644C1E65">
            <w:pPr>
              <w:pStyle w:val="6"/>
              <w:spacing w:before="111" w:line="229" w:lineRule="auto"/>
              <w:ind w:left="916"/>
              <w:rPr>
                <w:sz w:val="20"/>
                <w:szCs w:val="20"/>
              </w:rPr>
            </w:pPr>
            <w:r>
              <w:rPr>
                <w:spacing w:val="7"/>
                <w:sz w:val="20"/>
                <w:szCs w:val="20"/>
              </w:rPr>
              <w:t>符合环境功能要求</w:t>
            </w:r>
          </w:p>
        </w:tc>
        <w:tc>
          <w:tcPr>
            <w:tcW w:w="3243" w:type="dxa"/>
            <w:vMerge w:val="restart"/>
            <w:tcBorders>
              <w:bottom w:val="nil"/>
              <w:right w:val="single" w:color="000000" w:sz="10" w:space="0"/>
            </w:tcBorders>
            <w:vAlign w:val="top"/>
          </w:tcPr>
          <w:p w14:paraId="774CB46F">
            <w:pPr>
              <w:pStyle w:val="6"/>
              <w:spacing w:before="129" w:line="231" w:lineRule="auto"/>
              <w:ind w:left="166"/>
              <w:rPr>
                <w:sz w:val="20"/>
                <w:szCs w:val="20"/>
              </w:rPr>
            </w:pPr>
            <w:r>
              <w:rPr>
                <w:spacing w:val="8"/>
                <w:sz w:val="20"/>
                <w:szCs w:val="20"/>
              </w:rPr>
              <w:t>采用规划环评提出的分类处置后</w:t>
            </w:r>
          </w:p>
          <w:p w14:paraId="16DFC1B9">
            <w:pPr>
              <w:pStyle w:val="6"/>
              <w:spacing w:before="20" w:line="231" w:lineRule="auto"/>
              <w:ind w:left="167"/>
              <w:rPr>
                <w:sz w:val="20"/>
                <w:szCs w:val="20"/>
              </w:rPr>
            </w:pPr>
            <w:r>
              <w:rPr>
                <w:spacing w:val="8"/>
                <w:sz w:val="20"/>
                <w:szCs w:val="20"/>
              </w:rPr>
              <w:t>综合利用或达标排放，处理及达</w:t>
            </w:r>
          </w:p>
          <w:p w14:paraId="65838DF2">
            <w:pPr>
              <w:pStyle w:val="6"/>
              <w:spacing w:before="20" w:line="231" w:lineRule="auto"/>
              <w:ind w:left="627"/>
              <w:rPr>
                <w:sz w:val="20"/>
                <w:szCs w:val="20"/>
              </w:rPr>
            </w:pPr>
            <w:r>
              <w:rPr>
                <w:spacing w:val="4"/>
                <w:sz w:val="20"/>
                <w:szCs w:val="20"/>
              </w:rPr>
              <w:t>标排放率可达</w:t>
            </w:r>
            <w:r>
              <w:rPr>
                <w:spacing w:val="-21"/>
                <w:sz w:val="20"/>
                <w:szCs w:val="20"/>
              </w:rPr>
              <w:t xml:space="preserve"> </w:t>
            </w:r>
            <w:r>
              <w:rPr>
                <w:rFonts w:ascii="Times New Roman" w:hAnsi="Times New Roman" w:eastAsia="Times New Roman" w:cs="Times New Roman"/>
                <w:spacing w:val="4"/>
                <w:sz w:val="20"/>
                <w:szCs w:val="20"/>
              </w:rPr>
              <w:t>100%</w:t>
            </w:r>
            <w:r>
              <w:rPr>
                <w:spacing w:val="4"/>
                <w:sz w:val="20"/>
                <w:szCs w:val="20"/>
              </w:rPr>
              <w:t>。</w:t>
            </w:r>
          </w:p>
        </w:tc>
      </w:tr>
      <w:tr w14:paraId="0E5350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765" w:type="dxa"/>
            <w:vMerge w:val="continue"/>
            <w:tcBorders>
              <w:top w:val="nil"/>
              <w:left w:val="single" w:color="000000" w:sz="10" w:space="0"/>
              <w:bottom w:val="nil"/>
            </w:tcBorders>
            <w:vAlign w:val="top"/>
          </w:tcPr>
          <w:p w14:paraId="3FF4F163">
            <w:pPr>
              <w:rPr>
                <w:rFonts w:ascii="Arial"/>
                <w:sz w:val="21"/>
              </w:rPr>
            </w:pPr>
          </w:p>
        </w:tc>
        <w:tc>
          <w:tcPr>
            <w:tcW w:w="980" w:type="dxa"/>
            <w:vMerge w:val="continue"/>
            <w:tcBorders>
              <w:top w:val="nil"/>
              <w:bottom w:val="nil"/>
            </w:tcBorders>
            <w:vAlign w:val="top"/>
          </w:tcPr>
          <w:p w14:paraId="3BE66EC4">
            <w:pPr>
              <w:rPr>
                <w:rFonts w:ascii="Arial"/>
                <w:sz w:val="21"/>
              </w:rPr>
            </w:pPr>
          </w:p>
        </w:tc>
        <w:tc>
          <w:tcPr>
            <w:tcW w:w="2449" w:type="dxa"/>
            <w:vMerge w:val="continue"/>
            <w:tcBorders>
              <w:top w:val="nil"/>
            </w:tcBorders>
            <w:vAlign w:val="top"/>
          </w:tcPr>
          <w:p w14:paraId="4C58229C">
            <w:pPr>
              <w:rPr>
                <w:rFonts w:ascii="Arial"/>
                <w:sz w:val="21"/>
              </w:rPr>
            </w:pPr>
          </w:p>
        </w:tc>
        <w:tc>
          <w:tcPr>
            <w:tcW w:w="3265" w:type="dxa"/>
            <w:vAlign w:val="top"/>
          </w:tcPr>
          <w:p w14:paraId="01AE60EC">
            <w:pPr>
              <w:pStyle w:val="6"/>
              <w:spacing w:before="200" w:line="231" w:lineRule="auto"/>
              <w:ind w:left="594"/>
              <w:rPr>
                <w:sz w:val="20"/>
                <w:szCs w:val="20"/>
              </w:rPr>
            </w:pPr>
            <w:r>
              <w:rPr>
                <w:spacing w:val="7"/>
                <w:sz w:val="20"/>
                <w:szCs w:val="20"/>
              </w:rPr>
              <w:t>污废水处理率和达标率</w:t>
            </w:r>
          </w:p>
        </w:tc>
        <w:tc>
          <w:tcPr>
            <w:tcW w:w="3475" w:type="dxa"/>
            <w:vAlign w:val="top"/>
          </w:tcPr>
          <w:p w14:paraId="33AECFB3">
            <w:pPr>
              <w:spacing w:before="239" w:line="195" w:lineRule="auto"/>
              <w:ind w:left="15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w:t>
            </w:r>
          </w:p>
        </w:tc>
        <w:tc>
          <w:tcPr>
            <w:tcW w:w="3243" w:type="dxa"/>
            <w:vMerge w:val="continue"/>
            <w:tcBorders>
              <w:top w:val="nil"/>
              <w:right w:val="single" w:color="000000" w:sz="10" w:space="0"/>
            </w:tcBorders>
            <w:vAlign w:val="top"/>
          </w:tcPr>
          <w:p w14:paraId="5782069F">
            <w:pPr>
              <w:rPr>
                <w:rFonts w:ascii="Arial"/>
                <w:sz w:val="21"/>
              </w:rPr>
            </w:pPr>
          </w:p>
        </w:tc>
      </w:tr>
      <w:tr w14:paraId="0ECA75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765" w:type="dxa"/>
            <w:vMerge w:val="continue"/>
            <w:tcBorders>
              <w:top w:val="nil"/>
              <w:left w:val="single" w:color="000000" w:sz="10" w:space="0"/>
              <w:bottom w:val="nil"/>
            </w:tcBorders>
            <w:vAlign w:val="top"/>
          </w:tcPr>
          <w:p w14:paraId="02B6BB0C">
            <w:pPr>
              <w:rPr>
                <w:rFonts w:ascii="Arial"/>
                <w:sz w:val="21"/>
              </w:rPr>
            </w:pPr>
          </w:p>
        </w:tc>
        <w:tc>
          <w:tcPr>
            <w:tcW w:w="980" w:type="dxa"/>
            <w:vMerge w:val="continue"/>
            <w:tcBorders>
              <w:top w:val="nil"/>
            </w:tcBorders>
            <w:vAlign w:val="top"/>
          </w:tcPr>
          <w:p w14:paraId="22D7672B">
            <w:pPr>
              <w:rPr>
                <w:rFonts w:ascii="Arial"/>
                <w:sz w:val="21"/>
              </w:rPr>
            </w:pPr>
          </w:p>
        </w:tc>
        <w:tc>
          <w:tcPr>
            <w:tcW w:w="2449" w:type="dxa"/>
            <w:vAlign w:val="top"/>
          </w:tcPr>
          <w:p w14:paraId="110464CF">
            <w:pPr>
              <w:pStyle w:val="6"/>
              <w:spacing w:before="188" w:line="229" w:lineRule="auto"/>
              <w:ind w:left="73"/>
              <w:rPr>
                <w:sz w:val="20"/>
                <w:szCs w:val="20"/>
              </w:rPr>
            </w:pPr>
            <w:r>
              <w:rPr>
                <w:spacing w:val="8"/>
                <w:sz w:val="20"/>
                <w:szCs w:val="20"/>
              </w:rPr>
              <w:t>保护饮用水水源环境安全</w:t>
            </w:r>
          </w:p>
        </w:tc>
        <w:tc>
          <w:tcPr>
            <w:tcW w:w="3265" w:type="dxa"/>
            <w:vAlign w:val="top"/>
          </w:tcPr>
          <w:p w14:paraId="4EB1012D">
            <w:pPr>
              <w:pStyle w:val="6"/>
              <w:spacing w:before="188" w:line="229" w:lineRule="auto"/>
              <w:ind w:left="906"/>
              <w:rPr>
                <w:sz w:val="20"/>
                <w:szCs w:val="20"/>
              </w:rPr>
            </w:pPr>
            <w:r>
              <w:rPr>
                <w:spacing w:val="7"/>
                <w:sz w:val="20"/>
                <w:szCs w:val="20"/>
              </w:rPr>
              <w:t>饮用水源保护区</w:t>
            </w:r>
          </w:p>
        </w:tc>
        <w:tc>
          <w:tcPr>
            <w:tcW w:w="3475" w:type="dxa"/>
            <w:vAlign w:val="top"/>
          </w:tcPr>
          <w:p w14:paraId="06A42A7E">
            <w:pPr>
              <w:pStyle w:val="6"/>
              <w:spacing w:before="187" w:line="232" w:lineRule="auto"/>
              <w:ind w:left="1441"/>
              <w:rPr>
                <w:sz w:val="20"/>
                <w:szCs w:val="20"/>
              </w:rPr>
            </w:pPr>
            <w:r>
              <w:rPr>
                <w:spacing w:val="3"/>
                <w:sz w:val="20"/>
                <w:szCs w:val="20"/>
              </w:rPr>
              <w:t>不占用</w:t>
            </w:r>
          </w:p>
        </w:tc>
        <w:tc>
          <w:tcPr>
            <w:tcW w:w="3243" w:type="dxa"/>
            <w:tcBorders>
              <w:right w:val="single" w:color="000000" w:sz="10" w:space="0"/>
            </w:tcBorders>
            <w:vAlign w:val="top"/>
          </w:tcPr>
          <w:p w14:paraId="2E678D23">
            <w:pPr>
              <w:pStyle w:val="6"/>
              <w:spacing w:before="53" w:line="229" w:lineRule="auto"/>
              <w:ind w:left="164"/>
              <w:rPr>
                <w:sz w:val="20"/>
                <w:szCs w:val="20"/>
              </w:rPr>
            </w:pPr>
            <w:r>
              <w:rPr>
                <w:spacing w:val="9"/>
                <w:sz w:val="20"/>
                <w:szCs w:val="20"/>
              </w:rPr>
              <w:t>调整区块不占用饮用水水源保护</w:t>
            </w:r>
          </w:p>
          <w:p w14:paraId="3A311A82">
            <w:pPr>
              <w:pStyle w:val="6"/>
              <w:spacing w:before="22" w:line="197" w:lineRule="auto"/>
              <w:ind w:left="1022"/>
              <w:rPr>
                <w:sz w:val="20"/>
                <w:szCs w:val="20"/>
              </w:rPr>
            </w:pPr>
            <w:r>
              <w:rPr>
                <w:spacing w:val="-6"/>
                <w:sz w:val="20"/>
                <w:szCs w:val="20"/>
              </w:rPr>
              <w:t>区，</w:t>
            </w:r>
            <w:r>
              <w:rPr>
                <w:spacing w:val="-40"/>
                <w:sz w:val="20"/>
                <w:szCs w:val="20"/>
              </w:rPr>
              <w:t xml:space="preserve"> </w:t>
            </w:r>
            <w:r>
              <w:rPr>
                <w:spacing w:val="-6"/>
                <w:sz w:val="20"/>
                <w:szCs w:val="20"/>
              </w:rPr>
              <w:t>目标可达</w:t>
            </w:r>
          </w:p>
        </w:tc>
      </w:tr>
      <w:tr w14:paraId="2F4E6E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765" w:type="dxa"/>
            <w:vMerge w:val="continue"/>
            <w:tcBorders>
              <w:top w:val="nil"/>
              <w:left w:val="single" w:color="000000" w:sz="10" w:space="0"/>
              <w:bottom w:val="single" w:color="000000" w:sz="10" w:space="0"/>
            </w:tcBorders>
            <w:vAlign w:val="top"/>
          </w:tcPr>
          <w:p w14:paraId="2E07E430">
            <w:pPr>
              <w:rPr>
                <w:rFonts w:ascii="Arial"/>
                <w:sz w:val="21"/>
              </w:rPr>
            </w:pPr>
          </w:p>
        </w:tc>
        <w:tc>
          <w:tcPr>
            <w:tcW w:w="980" w:type="dxa"/>
            <w:tcBorders>
              <w:bottom w:val="single" w:color="000000" w:sz="10" w:space="0"/>
            </w:tcBorders>
            <w:vAlign w:val="top"/>
          </w:tcPr>
          <w:p w14:paraId="15F7F075">
            <w:pPr>
              <w:pStyle w:val="6"/>
              <w:spacing w:before="188" w:line="231" w:lineRule="auto"/>
              <w:ind w:left="176"/>
              <w:rPr>
                <w:sz w:val="20"/>
                <w:szCs w:val="20"/>
              </w:rPr>
            </w:pPr>
            <w:r>
              <w:rPr>
                <w:spacing w:val="5"/>
                <w:sz w:val="20"/>
                <w:szCs w:val="20"/>
              </w:rPr>
              <w:t>声环境</w:t>
            </w:r>
          </w:p>
        </w:tc>
        <w:tc>
          <w:tcPr>
            <w:tcW w:w="2449" w:type="dxa"/>
            <w:tcBorders>
              <w:bottom w:val="single" w:color="000000" w:sz="10" w:space="0"/>
            </w:tcBorders>
            <w:vAlign w:val="top"/>
          </w:tcPr>
          <w:p w14:paraId="4DCC17A0">
            <w:pPr>
              <w:pStyle w:val="6"/>
              <w:spacing w:before="54" w:line="230" w:lineRule="auto"/>
              <w:ind w:left="72"/>
              <w:rPr>
                <w:sz w:val="20"/>
                <w:szCs w:val="20"/>
              </w:rPr>
            </w:pPr>
            <w:r>
              <w:rPr>
                <w:spacing w:val="8"/>
                <w:sz w:val="20"/>
                <w:szCs w:val="20"/>
              </w:rPr>
              <w:t>声环境满足区域环境功能</w:t>
            </w:r>
          </w:p>
          <w:p w14:paraId="1E4E187B">
            <w:pPr>
              <w:pStyle w:val="6"/>
              <w:spacing w:before="22" w:line="216" w:lineRule="auto"/>
              <w:ind w:left="1036"/>
              <w:rPr>
                <w:sz w:val="20"/>
                <w:szCs w:val="20"/>
              </w:rPr>
            </w:pPr>
            <w:r>
              <w:rPr>
                <w:spacing w:val="-7"/>
                <w:sz w:val="20"/>
                <w:szCs w:val="20"/>
              </w:rPr>
              <w:t>区划</w:t>
            </w:r>
          </w:p>
        </w:tc>
        <w:tc>
          <w:tcPr>
            <w:tcW w:w="3265" w:type="dxa"/>
            <w:tcBorders>
              <w:bottom w:val="single" w:color="000000" w:sz="10" w:space="0"/>
            </w:tcBorders>
            <w:vAlign w:val="top"/>
          </w:tcPr>
          <w:p w14:paraId="771250A4">
            <w:pPr>
              <w:pStyle w:val="6"/>
              <w:spacing w:before="188" w:line="231" w:lineRule="auto"/>
              <w:ind w:left="275"/>
              <w:rPr>
                <w:sz w:val="20"/>
                <w:szCs w:val="20"/>
              </w:rPr>
            </w:pPr>
            <w:r>
              <w:rPr>
                <w:spacing w:val="8"/>
                <w:sz w:val="20"/>
                <w:szCs w:val="20"/>
              </w:rPr>
              <w:t>厂界及周边居民点噪声达标率</w:t>
            </w:r>
          </w:p>
        </w:tc>
        <w:tc>
          <w:tcPr>
            <w:tcW w:w="3475" w:type="dxa"/>
            <w:tcBorders>
              <w:bottom w:val="single" w:color="000000" w:sz="10" w:space="0"/>
            </w:tcBorders>
            <w:vAlign w:val="top"/>
          </w:tcPr>
          <w:p w14:paraId="7E795CD0">
            <w:pPr>
              <w:spacing w:before="227" w:line="195" w:lineRule="auto"/>
              <w:ind w:left="15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w:t>
            </w:r>
          </w:p>
        </w:tc>
        <w:tc>
          <w:tcPr>
            <w:tcW w:w="3243" w:type="dxa"/>
            <w:tcBorders>
              <w:bottom w:val="single" w:color="000000" w:sz="10" w:space="0"/>
              <w:right w:val="single" w:color="000000" w:sz="10" w:space="0"/>
            </w:tcBorders>
            <w:vAlign w:val="top"/>
          </w:tcPr>
          <w:p w14:paraId="3AD2864A">
            <w:pPr>
              <w:pStyle w:val="6"/>
              <w:spacing w:before="54" w:line="229" w:lineRule="auto"/>
              <w:ind w:left="166"/>
              <w:rPr>
                <w:sz w:val="20"/>
                <w:szCs w:val="20"/>
              </w:rPr>
            </w:pPr>
            <w:r>
              <w:rPr>
                <w:spacing w:val="8"/>
                <w:sz w:val="20"/>
                <w:szCs w:val="20"/>
              </w:rPr>
              <w:t>采取合理布局、设备减震降噪；</w:t>
            </w:r>
          </w:p>
          <w:p w14:paraId="63DB6C37">
            <w:pPr>
              <w:pStyle w:val="6"/>
              <w:spacing w:before="23" w:line="216" w:lineRule="auto"/>
              <w:ind w:left="1252"/>
              <w:rPr>
                <w:sz w:val="20"/>
                <w:szCs w:val="20"/>
              </w:rPr>
            </w:pPr>
            <w:r>
              <w:rPr>
                <w:spacing w:val="-4"/>
                <w:sz w:val="20"/>
                <w:szCs w:val="20"/>
              </w:rPr>
              <w:t>目标可达</w:t>
            </w:r>
          </w:p>
        </w:tc>
      </w:tr>
    </w:tbl>
    <w:p w14:paraId="36C50731">
      <w:pPr>
        <w:pStyle w:val="2"/>
      </w:pPr>
    </w:p>
    <w:p w14:paraId="3BE0476F">
      <w:pPr>
        <w:sectPr>
          <w:headerReference r:id="rId213" w:type="default"/>
          <w:footerReference r:id="rId214" w:type="default"/>
          <w:pgSz w:w="16839" w:h="11906"/>
          <w:pgMar w:top="1116" w:right="1317" w:bottom="866" w:left="1317" w:header="683" w:footer="703" w:gutter="0"/>
          <w:cols w:space="720" w:num="1"/>
        </w:sectPr>
      </w:pPr>
    </w:p>
    <w:p w14:paraId="08A91153">
      <w:pPr>
        <w:spacing w:before="116"/>
      </w:pPr>
    </w:p>
    <w:tbl>
      <w:tblPr>
        <w:tblStyle w:val="5"/>
        <w:tblW w:w="14177"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5"/>
        <w:gridCol w:w="980"/>
        <w:gridCol w:w="2449"/>
        <w:gridCol w:w="3265"/>
        <w:gridCol w:w="3475"/>
        <w:gridCol w:w="3243"/>
      </w:tblGrid>
      <w:tr w14:paraId="16F09A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765" w:type="dxa"/>
            <w:tcBorders>
              <w:top w:val="single" w:color="000000" w:sz="10" w:space="0"/>
              <w:left w:val="single" w:color="000000" w:sz="10" w:space="0"/>
            </w:tcBorders>
            <w:vAlign w:val="top"/>
          </w:tcPr>
          <w:p w14:paraId="7F7DCB6C">
            <w:pPr>
              <w:pStyle w:val="6"/>
              <w:spacing w:before="126" w:line="234" w:lineRule="auto"/>
              <w:ind w:left="174"/>
              <w:rPr>
                <w:sz w:val="20"/>
                <w:szCs w:val="20"/>
              </w:rPr>
            </w:pPr>
            <w:r>
              <w:rPr>
                <w:spacing w:val="-1"/>
                <w:sz w:val="20"/>
                <w:szCs w:val="20"/>
              </w:rPr>
              <w:t>主题</w:t>
            </w:r>
          </w:p>
        </w:tc>
        <w:tc>
          <w:tcPr>
            <w:tcW w:w="3429" w:type="dxa"/>
            <w:gridSpan w:val="2"/>
            <w:tcBorders>
              <w:top w:val="single" w:color="000000" w:sz="10" w:space="0"/>
            </w:tcBorders>
            <w:vAlign w:val="top"/>
          </w:tcPr>
          <w:p w14:paraId="3B8E14B0">
            <w:pPr>
              <w:pStyle w:val="6"/>
              <w:spacing w:before="127" w:line="231" w:lineRule="auto"/>
              <w:ind w:left="877"/>
              <w:rPr>
                <w:sz w:val="20"/>
                <w:szCs w:val="20"/>
              </w:rPr>
            </w:pPr>
            <w:r>
              <w:rPr>
                <w:spacing w:val="-4"/>
                <w:sz w:val="20"/>
                <w:szCs w:val="20"/>
              </w:rPr>
              <w:t>环境要素（</w:t>
            </w:r>
            <w:r>
              <w:rPr>
                <w:spacing w:val="-14"/>
                <w:sz w:val="20"/>
                <w:szCs w:val="20"/>
              </w:rPr>
              <w:t xml:space="preserve"> </w:t>
            </w:r>
            <w:r>
              <w:rPr>
                <w:spacing w:val="-4"/>
                <w:sz w:val="20"/>
                <w:szCs w:val="20"/>
              </w:rPr>
              <w:t>目标）</w:t>
            </w:r>
          </w:p>
        </w:tc>
        <w:tc>
          <w:tcPr>
            <w:tcW w:w="3265" w:type="dxa"/>
            <w:tcBorders>
              <w:top w:val="single" w:color="000000" w:sz="10" w:space="0"/>
            </w:tcBorders>
            <w:vAlign w:val="top"/>
          </w:tcPr>
          <w:p w14:paraId="489D0E4F">
            <w:pPr>
              <w:pStyle w:val="6"/>
              <w:spacing w:before="127" w:line="231" w:lineRule="auto"/>
              <w:ind w:left="1222"/>
              <w:rPr>
                <w:sz w:val="20"/>
                <w:szCs w:val="20"/>
              </w:rPr>
            </w:pPr>
            <w:r>
              <w:rPr>
                <w:spacing w:val="5"/>
                <w:sz w:val="20"/>
                <w:szCs w:val="20"/>
              </w:rPr>
              <w:t>评价指标</w:t>
            </w:r>
          </w:p>
        </w:tc>
        <w:tc>
          <w:tcPr>
            <w:tcW w:w="3475" w:type="dxa"/>
            <w:tcBorders>
              <w:top w:val="single" w:color="000000" w:sz="10" w:space="0"/>
            </w:tcBorders>
            <w:vAlign w:val="top"/>
          </w:tcPr>
          <w:p w14:paraId="3BD1BF99">
            <w:pPr>
              <w:pStyle w:val="6"/>
              <w:spacing w:before="127" w:line="231" w:lineRule="auto"/>
              <w:ind w:left="923"/>
              <w:rPr>
                <w:sz w:val="20"/>
                <w:szCs w:val="20"/>
              </w:rPr>
            </w:pPr>
            <w:r>
              <w:rPr>
                <w:spacing w:val="-1"/>
                <w:sz w:val="20"/>
                <w:szCs w:val="20"/>
              </w:rPr>
              <w:t>目标值（</w:t>
            </w:r>
            <w:r>
              <w:rPr>
                <w:rFonts w:ascii="Times New Roman" w:hAnsi="Times New Roman" w:eastAsia="Times New Roman" w:cs="Times New Roman"/>
                <w:spacing w:val="-1"/>
                <w:sz w:val="20"/>
                <w:szCs w:val="20"/>
              </w:rPr>
              <w:t>2025</w:t>
            </w:r>
            <w:r>
              <w:rPr>
                <w:rFonts w:ascii="Times New Roman" w:hAnsi="Times New Roman" w:eastAsia="Times New Roman" w:cs="Times New Roman"/>
                <w:spacing w:val="27"/>
                <w:w w:val="101"/>
                <w:sz w:val="20"/>
                <w:szCs w:val="20"/>
              </w:rPr>
              <w:t xml:space="preserve"> </w:t>
            </w:r>
            <w:r>
              <w:rPr>
                <w:spacing w:val="-1"/>
                <w:sz w:val="20"/>
                <w:szCs w:val="20"/>
              </w:rPr>
              <w:t>年）</w:t>
            </w:r>
          </w:p>
        </w:tc>
        <w:tc>
          <w:tcPr>
            <w:tcW w:w="3243" w:type="dxa"/>
            <w:tcBorders>
              <w:top w:val="single" w:color="000000" w:sz="10" w:space="0"/>
              <w:right w:val="single" w:color="000000" w:sz="10" w:space="0"/>
            </w:tcBorders>
            <w:vAlign w:val="top"/>
          </w:tcPr>
          <w:p w14:paraId="6C57ADBC">
            <w:pPr>
              <w:pStyle w:val="6"/>
              <w:spacing w:before="126" w:line="229" w:lineRule="auto"/>
              <w:ind w:left="1147"/>
              <w:rPr>
                <w:sz w:val="20"/>
                <w:szCs w:val="20"/>
              </w:rPr>
            </w:pPr>
            <w:r>
              <w:rPr>
                <w:spacing w:val="-1"/>
                <w:sz w:val="20"/>
                <w:szCs w:val="20"/>
              </w:rPr>
              <w:t>目标可达性</w:t>
            </w:r>
          </w:p>
        </w:tc>
      </w:tr>
      <w:tr w14:paraId="2F3774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1" w:hRule="atLeast"/>
        </w:trPr>
        <w:tc>
          <w:tcPr>
            <w:tcW w:w="765" w:type="dxa"/>
            <w:vMerge w:val="restart"/>
            <w:tcBorders>
              <w:left w:val="single" w:color="000000" w:sz="10" w:space="0"/>
              <w:bottom w:val="nil"/>
            </w:tcBorders>
            <w:vAlign w:val="top"/>
          </w:tcPr>
          <w:p w14:paraId="33158650">
            <w:pPr>
              <w:rPr>
                <w:rFonts w:ascii="Arial"/>
                <w:sz w:val="21"/>
              </w:rPr>
            </w:pPr>
          </w:p>
        </w:tc>
        <w:tc>
          <w:tcPr>
            <w:tcW w:w="980" w:type="dxa"/>
            <w:vMerge w:val="restart"/>
            <w:tcBorders>
              <w:bottom w:val="nil"/>
            </w:tcBorders>
            <w:vAlign w:val="top"/>
          </w:tcPr>
          <w:p w14:paraId="7EC50F9D">
            <w:pPr>
              <w:spacing w:line="324" w:lineRule="auto"/>
              <w:rPr>
                <w:rFonts w:ascii="Arial"/>
                <w:sz w:val="21"/>
              </w:rPr>
            </w:pPr>
          </w:p>
          <w:p w14:paraId="65E1E146">
            <w:pPr>
              <w:spacing w:line="325" w:lineRule="auto"/>
              <w:rPr>
                <w:rFonts w:ascii="Arial"/>
                <w:sz w:val="21"/>
              </w:rPr>
            </w:pPr>
          </w:p>
          <w:p w14:paraId="3CB2C7C2">
            <w:pPr>
              <w:pStyle w:val="6"/>
              <w:spacing w:before="65" w:line="250" w:lineRule="auto"/>
              <w:ind w:left="386" w:right="182" w:hanging="187"/>
              <w:rPr>
                <w:sz w:val="20"/>
                <w:szCs w:val="20"/>
              </w:rPr>
            </w:pPr>
            <w:r>
              <w:rPr>
                <w:spacing w:val="-3"/>
                <w:sz w:val="20"/>
                <w:szCs w:val="20"/>
              </w:rPr>
              <w:t>固体废</w:t>
            </w:r>
            <w:r>
              <w:rPr>
                <w:spacing w:val="1"/>
                <w:sz w:val="20"/>
                <w:szCs w:val="20"/>
              </w:rPr>
              <w:t xml:space="preserve"> </w:t>
            </w:r>
            <w:r>
              <w:rPr>
                <w:sz w:val="20"/>
                <w:szCs w:val="20"/>
              </w:rPr>
              <w:t>物</w:t>
            </w:r>
          </w:p>
        </w:tc>
        <w:tc>
          <w:tcPr>
            <w:tcW w:w="2449" w:type="dxa"/>
            <w:vMerge w:val="restart"/>
            <w:tcBorders>
              <w:bottom w:val="nil"/>
            </w:tcBorders>
            <w:vAlign w:val="top"/>
          </w:tcPr>
          <w:p w14:paraId="4C45F2B7">
            <w:pPr>
              <w:spacing w:line="325" w:lineRule="auto"/>
              <w:rPr>
                <w:rFonts w:ascii="Arial"/>
                <w:sz w:val="21"/>
              </w:rPr>
            </w:pPr>
          </w:p>
          <w:p w14:paraId="0212A63A">
            <w:pPr>
              <w:spacing w:line="325" w:lineRule="auto"/>
              <w:rPr>
                <w:rFonts w:ascii="Arial"/>
                <w:sz w:val="21"/>
              </w:rPr>
            </w:pPr>
          </w:p>
          <w:p w14:paraId="167A51BB">
            <w:pPr>
              <w:pStyle w:val="6"/>
              <w:spacing w:before="65" w:line="229" w:lineRule="auto"/>
              <w:ind w:left="183"/>
              <w:rPr>
                <w:sz w:val="20"/>
                <w:szCs w:val="20"/>
              </w:rPr>
            </w:pPr>
            <w:r>
              <w:rPr>
                <w:spacing w:val="7"/>
                <w:sz w:val="20"/>
                <w:szCs w:val="20"/>
              </w:rPr>
              <w:t>工业固体废物得到合理</w:t>
            </w:r>
          </w:p>
          <w:p w14:paraId="4177B0A8">
            <w:pPr>
              <w:pStyle w:val="6"/>
              <w:spacing w:before="22" w:line="237" w:lineRule="auto"/>
              <w:ind w:left="1019"/>
              <w:rPr>
                <w:sz w:val="20"/>
                <w:szCs w:val="20"/>
              </w:rPr>
            </w:pPr>
            <w:r>
              <w:rPr>
                <w:spacing w:val="1"/>
                <w:sz w:val="20"/>
                <w:szCs w:val="20"/>
              </w:rPr>
              <w:t>处置</w:t>
            </w:r>
          </w:p>
        </w:tc>
        <w:tc>
          <w:tcPr>
            <w:tcW w:w="3265" w:type="dxa"/>
            <w:vAlign w:val="top"/>
          </w:tcPr>
          <w:p w14:paraId="6E6B12B2">
            <w:pPr>
              <w:pStyle w:val="6"/>
              <w:spacing w:before="306" w:line="229" w:lineRule="auto"/>
              <w:ind w:left="173"/>
              <w:rPr>
                <w:sz w:val="20"/>
                <w:szCs w:val="20"/>
              </w:rPr>
            </w:pPr>
            <w:r>
              <w:rPr>
                <w:spacing w:val="8"/>
                <w:sz w:val="20"/>
                <w:szCs w:val="20"/>
              </w:rPr>
              <w:t>一般固体废物综合利用率和安全</w:t>
            </w:r>
          </w:p>
          <w:p w14:paraId="0EC50D4E">
            <w:pPr>
              <w:pStyle w:val="6"/>
              <w:spacing w:before="22" w:line="232" w:lineRule="auto"/>
              <w:ind w:left="1328"/>
              <w:rPr>
                <w:sz w:val="20"/>
                <w:szCs w:val="20"/>
              </w:rPr>
            </w:pPr>
            <w:r>
              <w:rPr>
                <w:spacing w:val="4"/>
                <w:sz w:val="20"/>
                <w:szCs w:val="20"/>
              </w:rPr>
              <w:t>处置率</w:t>
            </w:r>
          </w:p>
        </w:tc>
        <w:tc>
          <w:tcPr>
            <w:tcW w:w="3475" w:type="dxa"/>
            <w:vAlign w:val="top"/>
          </w:tcPr>
          <w:p w14:paraId="5767D9BF">
            <w:pPr>
              <w:spacing w:line="416" w:lineRule="auto"/>
              <w:rPr>
                <w:rFonts w:ascii="Arial"/>
                <w:sz w:val="21"/>
              </w:rPr>
            </w:pPr>
          </w:p>
          <w:p w14:paraId="622A1FB9">
            <w:pPr>
              <w:spacing w:before="57" w:line="195" w:lineRule="auto"/>
              <w:ind w:left="15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w:t>
            </w:r>
          </w:p>
        </w:tc>
        <w:tc>
          <w:tcPr>
            <w:tcW w:w="3243" w:type="dxa"/>
            <w:tcBorders>
              <w:right w:val="single" w:color="000000" w:sz="10" w:space="0"/>
            </w:tcBorders>
            <w:vAlign w:val="top"/>
          </w:tcPr>
          <w:p w14:paraId="66C73ADB">
            <w:pPr>
              <w:pStyle w:val="6"/>
              <w:spacing w:before="32" w:line="229" w:lineRule="auto"/>
              <w:ind w:left="166"/>
              <w:rPr>
                <w:sz w:val="20"/>
                <w:szCs w:val="20"/>
              </w:rPr>
            </w:pPr>
            <w:r>
              <w:rPr>
                <w:spacing w:val="8"/>
                <w:sz w:val="20"/>
                <w:szCs w:val="20"/>
              </w:rPr>
              <w:t>表土分开堆放，用于后期复垦；</w:t>
            </w:r>
          </w:p>
          <w:p w14:paraId="60A77B05">
            <w:pPr>
              <w:pStyle w:val="6"/>
              <w:spacing w:before="25" w:line="228" w:lineRule="auto"/>
              <w:ind w:left="167"/>
              <w:rPr>
                <w:sz w:val="20"/>
                <w:szCs w:val="20"/>
              </w:rPr>
            </w:pPr>
            <w:r>
              <w:rPr>
                <w:spacing w:val="8"/>
                <w:sz w:val="20"/>
                <w:szCs w:val="20"/>
              </w:rPr>
              <w:t>废石临时堆放在弃渣场，可充分</w:t>
            </w:r>
          </w:p>
          <w:p w14:paraId="4EEC4310">
            <w:pPr>
              <w:pStyle w:val="6"/>
              <w:spacing w:before="24" w:line="231" w:lineRule="auto"/>
              <w:ind w:left="164"/>
              <w:rPr>
                <w:sz w:val="20"/>
                <w:szCs w:val="20"/>
              </w:rPr>
            </w:pPr>
            <w:r>
              <w:rPr>
                <w:spacing w:val="8"/>
                <w:sz w:val="20"/>
                <w:szCs w:val="20"/>
              </w:rPr>
              <w:t>利用原有采空区，表土和废石均</w:t>
            </w:r>
          </w:p>
          <w:p w14:paraId="0B09F405">
            <w:pPr>
              <w:pStyle w:val="6"/>
              <w:spacing w:before="23" w:line="213" w:lineRule="auto"/>
              <w:ind w:left="900"/>
              <w:rPr>
                <w:sz w:val="20"/>
                <w:szCs w:val="20"/>
              </w:rPr>
            </w:pPr>
            <w:r>
              <w:rPr>
                <w:spacing w:val="6"/>
                <w:sz w:val="20"/>
                <w:szCs w:val="20"/>
              </w:rPr>
              <w:t>得到合理处置。</w:t>
            </w:r>
          </w:p>
        </w:tc>
      </w:tr>
      <w:tr w14:paraId="46FB7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765" w:type="dxa"/>
            <w:vMerge w:val="continue"/>
            <w:tcBorders>
              <w:top w:val="nil"/>
              <w:left w:val="single" w:color="000000" w:sz="10" w:space="0"/>
              <w:bottom w:val="nil"/>
            </w:tcBorders>
            <w:vAlign w:val="top"/>
          </w:tcPr>
          <w:p w14:paraId="3B42CABE">
            <w:pPr>
              <w:rPr>
                <w:rFonts w:ascii="Arial"/>
                <w:sz w:val="21"/>
              </w:rPr>
            </w:pPr>
          </w:p>
        </w:tc>
        <w:tc>
          <w:tcPr>
            <w:tcW w:w="980" w:type="dxa"/>
            <w:vMerge w:val="continue"/>
            <w:tcBorders>
              <w:top w:val="nil"/>
            </w:tcBorders>
            <w:vAlign w:val="top"/>
          </w:tcPr>
          <w:p w14:paraId="4AEAB476">
            <w:pPr>
              <w:rPr>
                <w:rFonts w:ascii="Arial"/>
                <w:sz w:val="21"/>
              </w:rPr>
            </w:pPr>
          </w:p>
        </w:tc>
        <w:tc>
          <w:tcPr>
            <w:tcW w:w="2449" w:type="dxa"/>
            <w:vMerge w:val="continue"/>
            <w:tcBorders>
              <w:top w:val="nil"/>
            </w:tcBorders>
            <w:vAlign w:val="top"/>
          </w:tcPr>
          <w:p w14:paraId="600E3BE1">
            <w:pPr>
              <w:rPr>
                <w:rFonts w:ascii="Arial"/>
                <w:sz w:val="21"/>
              </w:rPr>
            </w:pPr>
          </w:p>
        </w:tc>
        <w:tc>
          <w:tcPr>
            <w:tcW w:w="3265" w:type="dxa"/>
            <w:vAlign w:val="top"/>
          </w:tcPr>
          <w:p w14:paraId="1DE83B42">
            <w:pPr>
              <w:spacing w:line="242" w:lineRule="auto"/>
              <w:rPr>
                <w:rFonts w:ascii="Arial"/>
                <w:sz w:val="21"/>
              </w:rPr>
            </w:pPr>
          </w:p>
          <w:p w14:paraId="7441D21C">
            <w:pPr>
              <w:pStyle w:val="6"/>
              <w:spacing w:before="65" w:line="229" w:lineRule="auto"/>
              <w:ind w:left="492"/>
              <w:rPr>
                <w:sz w:val="20"/>
                <w:szCs w:val="20"/>
              </w:rPr>
            </w:pPr>
            <w:r>
              <w:rPr>
                <w:spacing w:val="8"/>
                <w:sz w:val="20"/>
                <w:szCs w:val="20"/>
              </w:rPr>
              <w:t>危险废物安全处理处置率</w:t>
            </w:r>
          </w:p>
        </w:tc>
        <w:tc>
          <w:tcPr>
            <w:tcW w:w="3475" w:type="dxa"/>
            <w:vAlign w:val="top"/>
          </w:tcPr>
          <w:p w14:paraId="4F230FA8">
            <w:pPr>
              <w:spacing w:line="285" w:lineRule="auto"/>
              <w:rPr>
                <w:rFonts w:ascii="Arial"/>
                <w:sz w:val="21"/>
              </w:rPr>
            </w:pPr>
          </w:p>
          <w:p w14:paraId="4335676D">
            <w:pPr>
              <w:spacing w:before="58" w:line="195" w:lineRule="auto"/>
              <w:ind w:left="15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w:t>
            </w:r>
          </w:p>
        </w:tc>
        <w:tc>
          <w:tcPr>
            <w:tcW w:w="3243" w:type="dxa"/>
            <w:tcBorders>
              <w:right w:val="single" w:color="000000" w:sz="10" w:space="0"/>
            </w:tcBorders>
            <w:vAlign w:val="top"/>
          </w:tcPr>
          <w:p w14:paraId="6C2E11D7">
            <w:pPr>
              <w:pStyle w:val="6"/>
              <w:spacing w:before="35" w:line="228" w:lineRule="auto"/>
              <w:ind w:left="164"/>
              <w:rPr>
                <w:sz w:val="20"/>
                <w:szCs w:val="20"/>
              </w:rPr>
            </w:pPr>
            <w:r>
              <w:rPr>
                <w:spacing w:val="8"/>
                <w:sz w:val="20"/>
                <w:szCs w:val="20"/>
              </w:rPr>
              <w:t>设临时储存间，做好防渗，及时</w:t>
            </w:r>
          </w:p>
          <w:p w14:paraId="6DE58A4C">
            <w:pPr>
              <w:pStyle w:val="6"/>
              <w:spacing w:before="27" w:line="229" w:lineRule="auto"/>
              <w:ind w:left="191"/>
              <w:rPr>
                <w:sz w:val="20"/>
                <w:szCs w:val="20"/>
              </w:rPr>
            </w:pPr>
            <w:r>
              <w:rPr>
                <w:spacing w:val="6"/>
                <w:sz w:val="20"/>
                <w:szCs w:val="20"/>
              </w:rPr>
              <w:t>由有资质的单位接收，能得到安</w:t>
            </w:r>
          </w:p>
          <w:p w14:paraId="1936B4B7">
            <w:pPr>
              <w:pStyle w:val="6"/>
              <w:spacing w:before="22" w:line="212" w:lineRule="auto"/>
              <w:ind w:left="1221"/>
              <w:rPr>
                <w:sz w:val="20"/>
                <w:szCs w:val="20"/>
              </w:rPr>
            </w:pPr>
            <w:r>
              <w:rPr>
                <w:spacing w:val="2"/>
                <w:sz w:val="20"/>
                <w:szCs w:val="20"/>
              </w:rPr>
              <w:t>全处置。</w:t>
            </w:r>
          </w:p>
        </w:tc>
      </w:tr>
      <w:tr w14:paraId="734091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765" w:type="dxa"/>
            <w:vMerge w:val="continue"/>
            <w:tcBorders>
              <w:top w:val="nil"/>
              <w:left w:val="single" w:color="000000" w:sz="10" w:space="0"/>
            </w:tcBorders>
            <w:vAlign w:val="top"/>
          </w:tcPr>
          <w:p w14:paraId="069B79F2">
            <w:pPr>
              <w:rPr>
                <w:rFonts w:ascii="Arial"/>
                <w:sz w:val="21"/>
              </w:rPr>
            </w:pPr>
          </w:p>
        </w:tc>
        <w:tc>
          <w:tcPr>
            <w:tcW w:w="980" w:type="dxa"/>
            <w:vAlign w:val="top"/>
          </w:tcPr>
          <w:p w14:paraId="49483807">
            <w:pPr>
              <w:pStyle w:val="6"/>
              <w:spacing w:before="175" w:line="251" w:lineRule="auto"/>
              <w:ind w:left="387" w:right="182" w:hanging="208"/>
              <w:rPr>
                <w:sz w:val="20"/>
                <w:szCs w:val="20"/>
              </w:rPr>
            </w:pPr>
            <w:r>
              <w:rPr>
                <w:spacing w:val="4"/>
                <w:sz w:val="20"/>
                <w:szCs w:val="20"/>
              </w:rPr>
              <w:t>土壤环</w:t>
            </w:r>
            <w:r>
              <w:rPr>
                <w:sz w:val="20"/>
                <w:szCs w:val="20"/>
              </w:rPr>
              <w:t xml:space="preserve"> 境</w:t>
            </w:r>
          </w:p>
        </w:tc>
        <w:tc>
          <w:tcPr>
            <w:tcW w:w="2449" w:type="dxa"/>
            <w:vAlign w:val="top"/>
          </w:tcPr>
          <w:p w14:paraId="7B9CA0BD">
            <w:pPr>
              <w:pStyle w:val="6"/>
              <w:spacing w:before="174" w:line="251" w:lineRule="auto"/>
              <w:ind w:left="178" w:right="111" w:hanging="69"/>
              <w:rPr>
                <w:sz w:val="20"/>
                <w:szCs w:val="20"/>
              </w:rPr>
            </w:pPr>
            <w:r>
              <w:rPr>
                <w:spacing w:val="2"/>
                <w:sz w:val="20"/>
                <w:szCs w:val="20"/>
              </w:rPr>
              <w:t>保护农用地土壤环境，管</w:t>
            </w:r>
            <w:r>
              <w:rPr>
                <w:sz w:val="20"/>
                <w:szCs w:val="20"/>
              </w:rPr>
              <w:t xml:space="preserve"> </w:t>
            </w:r>
            <w:r>
              <w:rPr>
                <w:spacing w:val="8"/>
                <w:sz w:val="20"/>
                <w:szCs w:val="20"/>
              </w:rPr>
              <w:t>控农用地土壤环境风险</w:t>
            </w:r>
          </w:p>
        </w:tc>
        <w:tc>
          <w:tcPr>
            <w:tcW w:w="3265" w:type="dxa"/>
            <w:vAlign w:val="top"/>
          </w:tcPr>
          <w:p w14:paraId="53523FCE">
            <w:pPr>
              <w:spacing w:line="242" w:lineRule="auto"/>
              <w:rPr>
                <w:rFonts w:ascii="Arial"/>
                <w:sz w:val="21"/>
              </w:rPr>
            </w:pPr>
          </w:p>
          <w:p w14:paraId="6C2547E7">
            <w:pPr>
              <w:pStyle w:val="6"/>
              <w:spacing w:before="65" w:line="231" w:lineRule="auto"/>
              <w:ind w:left="170"/>
              <w:rPr>
                <w:sz w:val="20"/>
                <w:szCs w:val="20"/>
              </w:rPr>
            </w:pPr>
            <w:r>
              <w:rPr>
                <w:spacing w:val="8"/>
                <w:sz w:val="20"/>
                <w:szCs w:val="20"/>
              </w:rPr>
              <w:t>矿区及周边农用地土壤环境质量</w:t>
            </w:r>
          </w:p>
        </w:tc>
        <w:tc>
          <w:tcPr>
            <w:tcW w:w="3475" w:type="dxa"/>
            <w:vAlign w:val="top"/>
          </w:tcPr>
          <w:p w14:paraId="661E9C1D">
            <w:pPr>
              <w:spacing w:line="242" w:lineRule="auto"/>
              <w:rPr>
                <w:rFonts w:ascii="Arial"/>
                <w:sz w:val="21"/>
              </w:rPr>
            </w:pPr>
          </w:p>
          <w:p w14:paraId="6E0A1A40">
            <w:pPr>
              <w:pStyle w:val="6"/>
              <w:spacing w:before="65" w:line="232" w:lineRule="auto"/>
              <w:ind w:left="1232"/>
              <w:rPr>
                <w:sz w:val="20"/>
                <w:szCs w:val="20"/>
              </w:rPr>
            </w:pPr>
            <w:r>
              <w:rPr>
                <w:spacing w:val="6"/>
                <w:sz w:val="20"/>
                <w:szCs w:val="20"/>
              </w:rPr>
              <w:t>不低于现状</w:t>
            </w:r>
          </w:p>
        </w:tc>
        <w:tc>
          <w:tcPr>
            <w:tcW w:w="3243" w:type="dxa"/>
            <w:tcBorders>
              <w:right w:val="single" w:color="000000" w:sz="10" w:space="0"/>
            </w:tcBorders>
            <w:vAlign w:val="top"/>
          </w:tcPr>
          <w:p w14:paraId="39A78ABF">
            <w:pPr>
              <w:pStyle w:val="6"/>
              <w:spacing w:before="38" w:line="231" w:lineRule="auto"/>
              <w:ind w:left="270"/>
              <w:rPr>
                <w:sz w:val="20"/>
                <w:szCs w:val="20"/>
              </w:rPr>
            </w:pPr>
            <w:r>
              <w:rPr>
                <w:spacing w:val="8"/>
                <w:sz w:val="20"/>
                <w:szCs w:val="20"/>
              </w:rPr>
              <w:t>矿山开采过程中要严控工矿污</w:t>
            </w:r>
          </w:p>
          <w:p w14:paraId="4722F1EC">
            <w:pPr>
              <w:pStyle w:val="6"/>
              <w:spacing w:before="20" w:line="231" w:lineRule="auto"/>
              <w:ind w:left="167"/>
              <w:rPr>
                <w:sz w:val="20"/>
                <w:szCs w:val="20"/>
              </w:rPr>
            </w:pPr>
            <w:r>
              <w:rPr>
                <w:spacing w:val="8"/>
                <w:sz w:val="20"/>
                <w:szCs w:val="20"/>
              </w:rPr>
              <w:t>染，加强日常环境监管，有效防</w:t>
            </w:r>
          </w:p>
          <w:p w14:paraId="45534552">
            <w:pPr>
              <w:pStyle w:val="6"/>
              <w:spacing w:before="23" w:line="209" w:lineRule="auto"/>
              <w:ind w:left="375"/>
              <w:rPr>
                <w:sz w:val="20"/>
                <w:szCs w:val="20"/>
              </w:rPr>
            </w:pPr>
            <w:r>
              <w:rPr>
                <w:spacing w:val="7"/>
                <w:sz w:val="20"/>
                <w:szCs w:val="20"/>
              </w:rPr>
              <w:t>止矿产资源开发污染土壤。</w:t>
            </w:r>
          </w:p>
        </w:tc>
      </w:tr>
      <w:tr w14:paraId="63FB6C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765" w:type="dxa"/>
            <w:vMerge w:val="restart"/>
            <w:tcBorders>
              <w:left w:val="single" w:color="000000" w:sz="10" w:space="0"/>
              <w:bottom w:val="nil"/>
            </w:tcBorders>
            <w:vAlign w:val="top"/>
          </w:tcPr>
          <w:p w14:paraId="314E0A61">
            <w:pPr>
              <w:spacing w:line="262" w:lineRule="auto"/>
              <w:rPr>
                <w:rFonts w:ascii="Arial"/>
                <w:sz w:val="21"/>
              </w:rPr>
            </w:pPr>
          </w:p>
          <w:p w14:paraId="7F45DB63">
            <w:pPr>
              <w:spacing w:line="262" w:lineRule="auto"/>
              <w:rPr>
                <w:rFonts w:ascii="Arial"/>
                <w:sz w:val="21"/>
              </w:rPr>
            </w:pPr>
          </w:p>
          <w:p w14:paraId="045FF3C8">
            <w:pPr>
              <w:spacing w:line="262" w:lineRule="auto"/>
              <w:rPr>
                <w:rFonts w:ascii="Arial"/>
                <w:sz w:val="21"/>
              </w:rPr>
            </w:pPr>
          </w:p>
          <w:p w14:paraId="66DA6296">
            <w:pPr>
              <w:spacing w:line="262" w:lineRule="auto"/>
              <w:rPr>
                <w:rFonts w:ascii="Arial"/>
                <w:sz w:val="21"/>
              </w:rPr>
            </w:pPr>
          </w:p>
          <w:p w14:paraId="3DD85351">
            <w:pPr>
              <w:spacing w:line="263" w:lineRule="auto"/>
              <w:rPr>
                <w:rFonts w:ascii="Arial"/>
                <w:sz w:val="21"/>
              </w:rPr>
            </w:pPr>
          </w:p>
          <w:p w14:paraId="1D3BFCA6">
            <w:pPr>
              <w:spacing w:line="263" w:lineRule="auto"/>
              <w:rPr>
                <w:rFonts w:ascii="Arial"/>
                <w:sz w:val="21"/>
              </w:rPr>
            </w:pPr>
          </w:p>
          <w:p w14:paraId="2353A553">
            <w:pPr>
              <w:spacing w:line="263" w:lineRule="auto"/>
              <w:rPr>
                <w:rFonts w:ascii="Arial"/>
                <w:sz w:val="21"/>
              </w:rPr>
            </w:pPr>
          </w:p>
          <w:p w14:paraId="76A4DF8E">
            <w:pPr>
              <w:pStyle w:val="6"/>
              <w:spacing w:before="65" w:line="232" w:lineRule="auto"/>
              <w:ind w:left="179"/>
              <w:rPr>
                <w:sz w:val="20"/>
                <w:szCs w:val="20"/>
              </w:rPr>
            </w:pPr>
            <w:r>
              <w:rPr>
                <w:spacing w:val="-4"/>
                <w:sz w:val="20"/>
                <w:szCs w:val="20"/>
              </w:rPr>
              <w:t>资源</w:t>
            </w:r>
          </w:p>
          <w:p w14:paraId="078C6919">
            <w:pPr>
              <w:pStyle w:val="6"/>
              <w:spacing w:before="21" w:line="231" w:lineRule="auto"/>
              <w:ind w:left="168"/>
              <w:rPr>
                <w:sz w:val="20"/>
                <w:szCs w:val="20"/>
              </w:rPr>
            </w:pPr>
            <w:r>
              <w:rPr>
                <w:spacing w:val="2"/>
                <w:sz w:val="20"/>
                <w:szCs w:val="20"/>
              </w:rPr>
              <w:t>利用</w:t>
            </w:r>
          </w:p>
        </w:tc>
        <w:tc>
          <w:tcPr>
            <w:tcW w:w="980" w:type="dxa"/>
            <w:vMerge w:val="restart"/>
            <w:tcBorders>
              <w:bottom w:val="nil"/>
            </w:tcBorders>
            <w:vAlign w:val="top"/>
          </w:tcPr>
          <w:p w14:paraId="17E21749">
            <w:pPr>
              <w:spacing w:line="305" w:lineRule="auto"/>
              <w:rPr>
                <w:rFonts w:ascii="Arial"/>
                <w:sz w:val="21"/>
              </w:rPr>
            </w:pPr>
          </w:p>
          <w:p w14:paraId="317B0403">
            <w:pPr>
              <w:spacing w:line="305" w:lineRule="auto"/>
              <w:rPr>
                <w:rFonts w:ascii="Arial"/>
                <w:sz w:val="21"/>
              </w:rPr>
            </w:pPr>
          </w:p>
          <w:p w14:paraId="14A41A12">
            <w:pPr>
              <w:pStyle w:val="6"/>
              <w:spacing w:before="65" w:line="253" w:lineRule="auto"/>
              <w:ind w:left="388" w:right="182" w:hanging="212"/>
              <w:rPr>
                <w:sz w:val="20"/>
                <w:szCs w:val="20"/>
              </w:rPr>
            </w:pPr>
            <w:r>
              <w:rPr>
                <w:spacing w:val="5"/>
                <w:sz w:val="20"/>
                <w:szCs w:val="20"/>
              </w:rPr>
              <w:t>矿产资</w:t>
            </w:r>
            <w:r>
              <w:rPr>
                <w:sz w:val="20"/>
                <w:szCs w:val="20"/>
              </w:rPr>
              <w:t xml:space="preserve"> 源</w:t>
            </w:r>
          </w:p>
        </w:tc>
        <w:tc>
          <w:tcPr>
            <w:tcW w:w="2449" w:type="dxa"/>
            <w:vMerge w:val="restart"/>
            <w:tcBorders>
              <w:bottom w:val="nil"/>
            </w:tcBorders>
            <w:vAlign w:val="top"/>
          </w:tcPr>
          <w:p w14:paraId="5CA70E2C">
            <w:pPr>
              <w:spacing w:line="305" w:lineRule="auto"/>
              <w:rPr>
                <w:rFonts w:ascii="Arial"/>
                <w:sz w:val="21"/>
              </w:rPr>
            </w:pPr>
          </w:p>
          <w:p w14:paraId="0E30972B">
            <w:pPr>
              <w:spacing w:line="305" w:lineRule="auto"/>
              <w:rPr>
                <w:rFonts w:ascii="Arial"/>
                <w:sz w:val="21"/>
              </w:rPr>
            </w:pPr>
          </w:p>
          <w:p w14:paraId="0A3A2696">
            <w:pPr>
              <w:pStyle w:val="6"/>
              <w:spacing w:before="65" w:line="251" w:lineRule="auto"/>
              <w:ind w:left="287" w:right="77" w:hanging="168"/>
              <w:rPr>
                <w:sz w:val="20"/>
                <w:szCs w:val="20"/>
              </w:rPr>
            </w:pPr>
            <w:r>
              <w:rPr>
                <w:spacing w:val="4"/>
                <w:sz w:val="20"/>
                <w:szCs w:val="20"/>
              </w:rPr>
              <w:t>资源有保障、布局合理、</w:t>
            </w:r>
            <w:r>
              <w:rPr>
                <w:spacing w:val="1"/>
                <w:sz w:val="20"/>
                <w:szCs w:val="20"/>
              </w:rPr>
              <w:t xml:space="preserve"> </w:t>
            </w:r>
            <w:r>
              <w:rPr>
                <w:spacing w:val="7"/>
                <w:sz w:val="20"/>
                <w:szCs w:val="20"/>
              </w:rPr>
              <w:t>结构优化、规模调控</w:t>
            </w:r>
          </w:p>
        </w:tc>
        <w:tc>
          <w:tcPr>
            <w:tcW w:w="3265" w:type="dxa"/>
            <w:vAlign w:val="top"/>
          </w:tcPr>
          <w:p w14:paraId="0294FF6F">
            <w:pPr>
              <w:pStyle w:val="6"/>
              <w:spacing w:before="72" w:line="231" w:lineRule="auto"/>
              <w:ind w:left="909"/>
              <w:rPr>
                <w:sz w:val="20"/>
                <w:szCs w:val="20"/>
              </w:rPr>
            </w:pPr>
            <w:r>
              <w:rPr>
                <w:spacing w:val="7"/>
                <w:sz w:val="20"/>
                <w:szCs w:val="20"/>
              </w:rPr>
              <w:t>大中型矿山比例</w:t>
            </w:r>
          </w:p>
        </w:tc>
        <w:tc>
          <w:tcPr>
            <w:tcW w:w="3475" w:type="dxa"/>
            <w:vAlign w:val="top"/>
          </w:tcPr>
          <w:p w14:paraId="3513B95A">
            <w:pPr>
              <w:spacing w:before="108" w:line="196" w:lineRule="auto"/>
              <w:ind w:left="1490"/>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≥60%</w:t>
            </w:r>
          </w:p>
        </w:tc>
        <w:tc>
          <w:tcPr>
            <w:tcW w:w="3243" w:type="dxa"/>
            <w:vMerge w:val="restart"/>
            <w:tcBorders>
              <w:bottom w:val="nil"/>
              <w:right w:val="single" w:color="000000" w:sz="10" w:space="0"/>
            </w:tcBorders>
            <w:vAlign w:val="top"/>
          </w:tcPr>
          <w:p w14:paraId="24B9A141">
            <w:pPr>
              <w:spacing w:line="248" w:lineRule="auto"/>
              <w:rPr>
                <w:rFonts w:ascii="Arial"/>
                <w:sz w:val="21"/>
              </w:rPr>
            </w:pPr>
          </w:p>
          <w:p w14:paraId="20071EE5">
            <w:pPr>
              <w:spacing w:line="248" w:lineRule="auto"/>
              <w:rPr>
                <w:rFonts w:ascii="Arial"/>
                <w:sz w:val="21"/>
              </w:rPr>
            </w:pPr>
          </w:p>
          <w:p w14:paraId="113A03B2">
            <w:pPr>
              <w:spacing w:line="248" w:lineRule="auto"/>
              <w:rPr>
                <w:rFonts w:ascii="Arial"/>
                <w:sz w:val="21"/>
              </w:rPr>
            </w:pPr>
          </w:p>
          <w:p w14:paraId="39127B11">
            <w:pPr>
              <w:pStyle w:val="6"/>
              <w:spacing w:before="65" w:line="231" w:lineRule="auto"/>
              <w:ind w:left="272"/>
              <w:rPr>
                <w:sz w:val="20"/>
                <w:szCs w:val="20"/>
              </w:rPr>
            </w:pPr>
            <w:r>
              <w:rPr>
                <w:spacing w:val="8"/>
                <w:sz w:val="20"/>
                <w:szCs w:val="20"/>
              </w:rPr>
              <w:t>严格落实《规划》要求，可达</w:t>
            </w:r>
          </w:p>
        </w:tc>
      </w:tr>
      <w:tr w14:paraId="0C1FF4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65" w:type="dxa"/>
            <w:vMerge w:val="continue"/>
            <w:tcBorders>
              <w:top w:val="nil"/>
              <w:left w:val="single" w:color="000000" w:sz="10" w:space="0"/>
              <w:bottom w:val="nil"/>
            </w:tcBorders>
            <w:vAlign w:val="top"/>
          </w:tcPr>
          <w:p w14:paraId="1245555F">
            <w:pPr>
              <w:rPr>
                <w:rFonts w:ascii="Arial"/>
                <w:sz w:val="21"/>
              </w:rPr>
            </w:pPr>
          </w:p>
        </w:tc>
        <w:tc>
          <w:tcPr>
            <w:tcW w:w="980" w:type="dxa"/>
            <w:vMerge w:val="continue"/>
            <w:tcBorders>
              <w:top w:val="nil"/>
              <w:bottom w:val="nil"/>
            </w:tcBorders>
            <w:vAlign w:val="top"/>
          </w:tcPr>
          <w:p w14:paraId="4F5CCEC3">
            <w:pPr>
              <w:rPr>
                <w:rFonts w:ascii="Arial"/>
                <w:sz w:val="21"/>
              </w:rPr>
            </w:pPr>
          </w:p>
        </w:tc>
        <w:tc>
          <w:tcPr>
            <w:tcW w:w="2449" w:type="dxa"/>
            <w:vMerge w:val="continue"/>
            <w:tcBorders>
              <w:top w:val="nil"/>
              <w:bottom w:val="nil"/>
            </w:tcBorders>
            <w:vAlign w:val="top"/>
          </w:tcPr>
          <w:p w14:paraId="34904B16">
            <w:pPr>
              <w:rPr>
                <w:rFonts w:ascii="Arial"/>
                <w:sz w:val="21"/>
              </w:rPr>
            </w:pPr>
          </w:p>
        </w:tc>
        <w:tc>
          <w:tcPr>
            <w:tcW w:w="3265" w:type="dxa"/>
            <w:vAlign w:val="top"/>
          </w:tcPr>
          <w:p w14:paraId="3423183F">
            <w:pPr>
              <w:pStyle w:val="6"/>
              <w:spacing w:before="42" w:line="207" w:lineRule="auto"/>
              <w:ind w:left="1221"/>
              <w:rPr>
                <w:sz w:val="20"/>
                <w:szCs w:val="20"/>
              </w:rPr>
            </w:pPr>
            <w:r>
              <w:rPr>
                <w:spacing w:val="5"/>
                <w:sz w:val="20"/>
                <w:szCs w:val="20"/>
              </w:rPr>
              <w:t>矿山数量</w:t>
            </w:r>
          </w:p>
        </w:tc>
        <w:tc>
          <w:tcPr>
            <w:tcW w:w="3475" w:type="dxa"/>
            <w:vAlign w:val="top"/>
          </w:tcPr>
          <w:p w14:paraId="4A0BCF00">
            <w:pPr>
              <w:pStyle w:val="6"/>
              <w:spacing w:before="42" w:line="207" w:lineRule="auto"/>
              <w:ind w:left="1446"/>
              <w:rPr>
                <w:sz w:val="20"/>
                <w:szCs w:val="20"/>
              </w:rPr>
            </w:pPr>
            <w:r>
              <w:rPr>
                <w:rFonts w:ascii="Times New Roman" w:hAnsi="Times New Roman" w:eastAsia="Times New Roman" w:cs="Times New Roman"/>
                <w:spacing w:val="3"/>
                <w:sz w:val="20"/>
                <w:szCs w:val="20"/>
              </w:rPr>
              <w:t>≤28</w:t>
            </w:r>
            <w:r>
              <w:rPr>
                <w:rFonts w:ascii="Times New Roman" w:hAnsi="Times New Roman" w:eastAsia="Times New Roman" w:cs="Times New Roman"/>
                <w:spacing w:val="16"/>
                <w:sz w:val="20"/>
                <w:szCs w:val="20"/>
              </w:rPr>
              <w:t xml:space="preserve"> </w:t>
            </w:r>
            <w:r>
              <w:rPr>
                <w:spacing w:val="3"/>
                <w:sz w:val="20"/>
                <w:szCs w:val="20"/>
              </w:rPr>
              <w:t>个</w:t>
            </w:r>
          </w:p>
        </w:tc>
        <w:tc>
          <w:tcPr>
            <w:tcW w:w="3243" w:type="dxa"/>
            <w:vMerge w:val="continue"/>
            <w:tcBorders>
              <w:top w:val="nil"/>
              <w:bottom w:val="nil"/>
              <w:right w:val="single" w:color="000000" w:sz="10" w:space="0"/>
            </w:tcBorders>
            <w:vAlign w:val="top"/>
          </w:tcPr>
          <w:p w14:paraId="1A5F4494">
            <w:pPr>
              <w:rPr>
                <w:rFonts w:ascii="Arial"/>
                <w:sz w:val="21"/>
              </w:rPr>
            </w:pPr>
          </w:p>
        </w:tc>
      </w:tr>
      <w:tr w14:paraId="74C43C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765" w:type="dxa"/>
            <w:vMerge w:val="continue"/>
            <w:tcBorders>
              <w:top w:val="nil"/>
              <w:left w:val="single" w:color="000000" w:sz="10" w:space="0"/>
              <w:bottom w:val="nil"/>
            </w:tcBorders>
            <w:vAlign w:val="top"/>
          </w:tcPr>
          <w:p w14:paraId="0B6E29DA">
            <w:pPr>
              <w:rPr>
                <w:rFonts w:ascii="Arial"/>
                <w:sz w:val="21"/>
              </w:rPr>
            </w:pPr>
          </w:p>
        </w:tc>
        <w:tc>
          <w:tcPr>
            <w:tcW w:w="980" w:type="dxa"/>
            <w:vMerge w:val="continue"/>
            <w:tcBorders>
              <w:top w:val="nil"/>
              <w:bottom w:val="nil"/>
            </w:tcBorders>
            <w:vAlign w:val="top"/>
          </w:tcPr>
          <w:p w14:paraId="477FCEF1">
            <w:pPr>
              <w:rPr>
                <w:rFonts w:ascii="Arial"/>
                <w:sz w:val="21"/>
              </w:rPr>
            </w:pPr>
          </w:p>
        </w:tc>
        <w:tc>
          <w:tcPr>
            <w:tcW w:w="2449" w:type="dxa"/>
            <w:vMerge w:val="continue"/>
            <w:tcBorders>
              <w:top w:val="nil"/>
              <w:bottom w:val="nil"/>
            </w:tcBorders>
            <w:vAlign w:val="top"/>
          </w:tcPr>
          <w:p w14:paraId="7679B214">
            <w:pPr>
              <w:rPr>
                <w:rFonts w:ascii="Arial"/>
                <w:sz w:val="21"/>
              </w:rPr>
            </w:pPr>
          </w:p>
        </w:tc>
        <w:tc>
          <w:tcPr>
            <w:tcW w:w="3265" w:type="dxa"/>
            <w:vAlign w:val="top"/>
          </w:tcPr>
          <w:p w14:paraId="4FFD0BCE">
            <w:pPr>
              <w:pStyle w:val="6"/>
              <w:spacing w:before="67" w:line="232" w:lineRule="auto"/>
              <w:ind w:left="1013"/>
              <w:rPr>
                <w:sz w:val="20"/>
                <w:szCs w:val="20"/>
              </w:rPr>
            </w:pPr>
            <w:r>
              <w:rPr>
                <w:spacing w:val="6"/>
                <w:sz w:val="20"/>
                <w:szCs w:val="20"/>
              </w:rPr>
              <w:t>绿色矿山建设</w:t>
            </w:r>
          </w:p>
        </w:tc>
        <w:tc>
          <w:tcPr>
            <w:tcW w:w="3475" w:type="dxa"/>
            <w:vAlign w:val="top"/>
          </w:tcPr>
          <w:p w14:paraId="4D11CBF5">
            <w:pPr>
              <w:pStyle w:val="6"/>
              <w:spacing w:before="67" w:line="231" w:lineRule="auto"/>
              <w:ind w:left="388"/>
              <w:rPr>
                <w:sz w:val="20"/>
                <w:szCs w:val="20"/>
              </w:rPr>
            </w:pPr>
            <w:r>
              <w:rPr>
                <w:spacing w:val="8"/>
                <w:sz w:val="20"/>
                <w:szCs w:val="20"/>
              </w:rPr>
              <w:t>满足绿色矿山建设和管理要求</w:t>
            </w:r>
          </w:p>
        </w:tc>
        <w:tc>
          <w:tcPr>
            <w:tcW w:w="3243" w:type="dxa"/>
            <w:vMerge w:val="continue"/>
            <w:tcBorders>
              <w:top w:val="nil"/>
              <w:bottom w:val="nil"/>
              <w:right w:val="single" w:color="000000" w:sz="10" w:space="0"/>
            </w:tcBorders>
            <w:vAlign w:val="top"/>
          </w:tcPr>
          <w:p w14:paraId="67588031">
            <w:pPr>
              <w:rPr>
                <w:rFonts w:ascii="Arial"/>
                <w:sz w:val="21"/>
              </w:rPr>
            </w:pPr>
          </w:p>
        </w:tc>
      </w:tr>
      <w:tr w14:paraId="328E80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765" w:type="dxa"/>
            <w:vMerge w:val="continue"/>
            <w:tcBorders>
              <w:top w:val="nil"/>
              <w:left w:val="single" w:color="000000" w:sz="10" w:space="0"/>
              <w:bottom w:val="nil"/>
            </w:tcBorders>
            <w:vAlign w:val="top"/>
          </w:tcPr>
          <w:p w14:paraId="1EE9D721">
            <w:pPr>
              <w:rPr>
                <w:rFonts w:ascii="Arial"/>
                <w:sz w:val="21"/>
              </w:rPr>
            </w:pPr>
          </w:p>
        </w:tc>
        <w:tc>
          <w:tcPr>
            <w:tcW w:w="980" w:type="dxa"/>
            <w:vMerge w:val="continue"/>
            <w:tcBorders>
              <w:top w:val="nil"/>
              <w:bottom w:val="nil"/>
            </w:tcBorders>
            <w:vAlign w:val="top"/>
          </w:tcPr>
          <w:p w14:paraId="66A80134">
            <w:pPr>
              <w:rPr>
                <w:rFonts w:ascii="Arial"/>
                <w:sz w:val="21"/>
              </w:rPr>
            </w:pPr>
          </w:p>
        </w:tc>
        <w:tc>
          <w:tcPr>
            <w:tcW w:w="2449" w:type="dxa"/>
            <w:vMerge w:val="continue"/>
            <w:tcBorders>
              <w:top w:val="nil"/>
              <w:bottom w:val="nil"/>
            </w:tcBorders>
            <w:vAlign w:val="top"/>
          </w:tcPr>
          <w:p w14:paraId="174ADA56">
            <w:pPr>
              <w:rPr>
                <w:rFonts w:ascii="Arial"/>
                <w:sz w:val="21"/>
              </w:rPr>
            </w:pPr>
          </w:p>
        </w:tc>
        <w:tc>
          <w:tcPr>
            <w:tcW w:w="3265" w:type="dxa"/>
            <w:vAlign w:val="top"/>
          </w:tcPr>
          <w:p w14:paraId="67D40639">
            <w:pPr>
              <w:pStyle w:val="6"/>
              <w:spacing w:before="56" w:line="221" w:lineRule="auto"/>
              <w:ind w:left="801"/>
              <w:rPr>
                <w:sz w:val="20"/>
                <w:szCs w:val="20"/>
              </w:rPr>
            </w:pPr>
            <w:r>
              <w:rPr>
                <w:spacing w:val="7"/>
                <w:sz w:val="20"/>
                <w:szCs w:val="20"/>
              </w:rPr>
              <w:t>矿山最低开采规模</w:t>
            </w:r>
          </w:p>
        </w:tc>
        <w:tc>
          <w:tcPr>
            <w:tcW w:w="3475" w:type="dxa"/>
            <w:vAlign w:val="top"/>
          </w:tcPr>
          <w:p w14:paraId="50FD358B">
            <w:pPr>
              <w:pStyle w:val="6"/>
              <w:spacing w:before="56" w:line="221" w:lineRule="auto"/>
              <w:ind w:left="601"/>
              <w:rPr>
                <w:sz w:val="20"/>
                <w:szCs w:val="20"/>
              </w:rPr>
            </w:pPr>
            <w:r>
              <w:rPr>
                <w:spacing w:val="8"/>
                <w:sz w:val="20"/>
                <w:szCs w:val="20"/>
              </w:rPr>
              <w:t>符合国家及地方规划要求</w:t>
            </w:r>
          </w:p>
        </w:tc>
        <w:tc>
          <w:tcPr>
            <w:tcW w:w="3243" w:type="dxa"/>
            <w:vMerge w:val="continue"/>
            <w:tcBorders>
              <w:top w:val="nil"/>
              <w:bottom w:val="nil"/>
              <w:right w:val="single" w:color="000000" w:sz="10" w:space="0"/>
            </w:tcBorders>
            <w:vAlign w:val="top"/>
          </w:tcPr>
          <w:p w14:paraId="1CC21D22">
            <w:pPr>
              <w:rPr>
                <w:rFonts w:ascii="Arial"/>
                <w:sz w:val="21"/>
              </w:rPr>
            </w:pPr>
          </w:p>
        </w:tc>
      </w:tr>
      <w:tr w14:paraId="00C7ED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765" w:type="dxa"/>
            <w:vMerge w:val="continue"/>
            <w:tcBorders>
              <w:top w:val="nil"/>
              <w:left w:val="single" w:color="000000" w:sz="10" w:space="0"/>
              <w:bottom w:val="nil"/>
            </w:tcBorders>
            <w:vAlign w:val="top"/>
          </w:tcPr>
          <w:p w14:paraId="4134BECB">
            <w:pPr>
              <w:rPr>
                <w:rFonts w:ascii="Arial"/>
                <w:sz w:val="21"/>
              </w:rPr>
            </w:pPr>
          </w:p>
        </w:tc>
        <w:tc>
          <w:tcPr>
            <w:tcW w:w="980" w:type="dxa"/>
            <w:vMerge w:val="continue"/>
            <w:tcBorders>
              <w:top w:val="nil"/>
            </w:tcBorders>
            <w:vAlign w:val="top"/>
          </w:tcPr>
          <w:p w14:paraId="012C1A6F">
            <w:pPr>
              <w:rPr>
                <w:rFonts w:ascii="Arial"/>
                <w:sz w:val="21"/>
              </w:rPr>
            </w:pPr>
          </w:p>
        </w:tc>
        <w:tc>
          <w:tcPr>
            <w:tcW w:w="2449" w:type="dxa"/>
            <w:vMerge w:val="continue"/>
            <w:tcBorders>
              <w:top w:val="nil"/>
            </w:tcBorders>
            <w:vAlign w:val="top"/>
          </w:tcPr>
          <w:p w14:paraId="3B0A97E3">
            <w:pPr>
              <w:rPr>
                <w:rFonts w:ascii="Arial"/>
                <w:sz w:val="21"/>
              </w:rPr>
            </w:pPr>
          </w:p>
        </w:tc>
        <w:tc>
          <w:tcPr>
            <w:tcW w:w="3265" w:type="dxa"/>
            <w:vAlign w:val="top"/>
          </w:tcPr>
          <w:p w14:paraId="021CFC7B">
            <w:pPr>
              <w:pStyle w:val="6"/>
              <w:spacing w:before="177" w:line="231" w:lineRule="auto"/>
              <w:ind w:left="762"/>
              <w:rPr>
                <w:sz w:val="20"/>
                <w:szCs w:val="20"/>
              </w:rPr>
            </w:pPr>
            <w:r>
              <w:rPr>
                <w:rFonts w:ascii="Times New Roman" w:hAnsi="Times New Roman" w:eastAsia="Times New Roman" w:cs="Times New Roman"/>
                <w:spacing w:val="10"/>
                <w:sz w:val="20"/>
                <w:szCs w:val="20"/>
              </w:rPr>
              <w:t>“</w:t>
            </w:r>
            <w:r>
              <w:rPr>
                <w:rFonts w:ascii="Times New Roman" w:hAnsi="Times New Roman" w:eastAsia="Times New Roman" w:cs="Times New Roman"/>
                <w:spacing w:val="-28"/>
                <w:sz w:val="20"/>
                <w:szCs w:val="20"/>
              </w:rPr>
              <w:t xml:space="preserve"> </w:t>
            </w:r>
            <w:r>
              <w:rPr>
                <w:spacing w:val="10"/>
                <w:sz w:val="20"/>
                <w:szCs w:val="20"/>
              </w:rPr>
              <w:t>三率</w:t>
            </w:r>
            <w:r>
              <w:rPr>
                <w:rFonts w:ascii="Times New Roman" w:hAnsi="Times New Roman" w:eastAsia="Times New Roman" w:cs="Times New Roman"/>
                <w:spacing w:val="10"/>
                <w:sz w:val="20"/>
                <w:szCs w:val="20"/>
              </w:rPr>
              <w:t>”</w:t>
            </w:r>
            <w:r>
              <w:rPr>
                <w:spacing w:val="10"/>
                <w:sz w:val="20"/>
                <w:szCs w:val="20"/>
              </w:rPr>
              <w:t>水平达标率</w:t>
            </w:r>
          </w:p>
        </w:tc>
        <w:tc>
          <w:tcPr>
            <w:tcW w:w="3475" w:type="dxa"/>
            <w:vAlign w:val="top"/>
          </w:tcPr>
          <w:p w14:paraId="3CFBFF67">
            <w:pPr>
              <w:pStyle w:val="6"/>
              <w:spacing w:before="43" w:line="228" w:lineRule="auto"/>
              <w:ind w:left="399" w:right="158" w:hanging="222"/>
              <w:rPr>
                <w:sz w:val="20"/>
                <w:szCs w:val="20"/>
              </w:rPr>
            </w:pPr>
            <w:r>
              <w:rPr>
                <w:spacing w:val="8"/>
                <w:sz w:val="20"/>
                <w:szCs w:val="20"/>
              </w:rPr>
              <w:t>满足国家和重庆市的矿产资源合理</w:t>
            </w:r>
            <w:r>
              <w:rPr>
                <w:spacing w:val="13"/>
                <w:sz w:val="20"/>
                <w:szCs w:val="20"/>
              </w:rPr>
              <w:t xml:space="preserve"> </w:t>
            </w:r>
            <w:r>
              <w:rPr>
                <w:spacing w:val="7"/>
                <w:sz w:val="20"/>
                <w:szCs w:val="20"/>
              </w:rPr>
              <w:t>开发利用</w:t>
            </w:r>
            <w:r>
              <w:rPr>
                <w:rFonts w:ascii="Times New Roman" w:hAnsi="Times New Roman" w:eastAsia="Times New Roman" w:cs="Times New Roman"/>
                <w:spacing w:val="7"/>
                <w:sz w:val="20"/>
                <w:szCs w:val="20"/>
              </w:rPr>
              <w:t>“</w:t>
            </w:r>
            <w:r>
              <w:rPr>
                <w:spacing w:val="7"/>
                <w:sz w:val="20"/>
                <w:szCs w:val="20"/>
              </w:rPr>
              <w:t>三率</w:t>
            </w:r>
            <w:r>
              <w:rPr>
                <w:rFonts w:ascii="Times New Roman" w:hAnsi="Times New Roman" w:eastAsia="Times New Roman" w:cs="Times New Roman"/>
                <w:spacing w:val="7"/>
                <w:sz w:val="20"/>
                <w:szCs w:val="20"/>
              </w:rPr>
              <w:t>”</w:t>
            </w:r>
            <w:r>
              <w:rPr>
                <w:spacing w:val="7"/>
                <w:sz w:val="20"/>
                <w:szCs w:val="20"/>
              </w:rPr>
              <w:t>最低指标要求</w:t>
            </w:r>
          </w:p>
        </w:tc>
        <w:tc>
          <w:tcPr>
            <w:tcW w:w="3243" w:type="dxa"/>
            <w:vMerge w:val="continue"/>
            <w:tcBorders>
              <w:top w:val="nil"/>
              <w:right w:val="single" w:color="000000" w:sz="10" w:space="0"/>
            </w:tcBorders>
            <w:vAlign w:val="top"/>
          </w:tcPr>
          <w:p w14:paraId="5DDA72BD">
            <w:pPr>
              <w:rPr>
                <w:rFonts w:ascii="Arial"/>
                <w:sz w:val="21"/>
              </w:rPr>
            </w:pPr>
          </w:p>
        </w:tc>
      </w:tr>
      <w:tr w14:paraId="3C7873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765" w:type="dxa"/>
            <w:vMerge w:val="continue"/>
            <w:tcBorders>
              <w:top w:val="nil"/>
              <w:left w:val="single" w:color="000000" w:sz="10" w:space="0"/>
              <w:bottom w:val="nil"/>
            </w:tcBorders>
            <w:vAlign w:val="top"/>
          </w:tcPr>
          <w:p w14:paraId="01668CCE">
            <w:pPr>
              <w:rPr>
                <w:rFonts w:ascii="Arial"/>
                <w:sz w:val="21"/>
              </w:rPr>
            </w:pPr>
          </w:p>
        </w:tc>
        <w:tc>
          <w:tcPr>
            <w:tcW w:w="980" w:type="dxa"/>
            <w:vAlign w:val="top"/>
          </w:tcPr>
          <w:p w14:paraId="3298D72E">
            <w:pPr>
              <w:spacing w:line="386" w:lineRule="auto"/>
              <w:rPr>
                <w:rFonts w:ascii="Arial"/>
                <w:sz w:val="21"/>
              </w:rPr>
            </w:pPr>
          </w:p>
          <w:p w14:paraId="14325D9F">
            <w:pPr>
              <w:pStyle w:val="6"/>
              <w:spacing w:before="65" w:line="255" w:lineRule="auto"/>
              <w:ind w:left="389" w:right="182" w:hanging="210"/>
              <w:rPr>
                <w:sz w:val="20"/>
                <w:szCs w:val="20"/>
              </w:rPr>
            </w:pPr>
            <w:r>
              <w:rPr>
                <w:spacing w:val="4"/>
                <w:sz w:val="20"/>
                <w:szCs w:val="20"/>
              </w:rPr>
              <w:t>土地资</w:t>
            </w:r>
            <w:r>
              <w:rPr>
                <w:sz w:val="20"/>
                <w:szCs w:val="20"/>
              </w:rPr>
              <w:t xml:space="preserve"> 源</w:t>
            </w:r>
          </w:p>
        </w:tc>
        <w:tc>
          <w:tcPr>
            <w:tcW w:w="2449" w:type="dxa"/>
            <w:vAlign w:val="top"/>
          </w:tcPr>
          <w:p w14:paraId="41C508AF">
            <w:pPr>
              <w:pStyle w:val="6"/>
              <w:spacing w:before="46" w:line="229" w:lineRule="auto"/>
              <w:ind w:left="179"/>
              <w:rPr>
                <w:sz w:val="20"/>
                <w:szCs w:val="20"/>
              </w:rPr>
            </w:pPr>
            <w:r>
              <w:rPr>
                <w:spacing w:val="8"/>
                <w:sz w:val="20"/>
                <w:szCs w:val="20"/>
              </w:rPr>
              <w:t>确保土地资源有效利用</w:t>
            </w:r>
          </w:p>
          <w:p w14:paraId="3A688A92">
            <w:pPr>
              <w:pStyle w:val="6"/>
              <w:spacing w:before="24" w:line="231" w:lineRule="auto"/>
              <w:ind w:left="117"/>
              <w:rPr>
                <w:sz w:val="20"/>
                <w:szCs w:val="20"/>
              </w:rPr>
            </w:pPr>
            <w:r>
              <w:rPr>
                <w:spacing w:val="1"/>
                <w:sz w:val="20"/>
                <w:szCs w:val="20"/>
              </w:rPr>
              <w:t>与管理；最大限度减少矿</w:t>
            </w:r>
          </w:p>
          <w:p w14:paraId="59E5504A">
            <w:pPr>
              <w:pStyle w:val="6"/>
              <w:spacing w:before="20" w:line="231" w:lineRule="auto"/>
              <w:ind w:left="110"/>
              <w:rPr>
                <w:sz w:val="20"/>
                <w:szCs w:val="20"/>
              </w:rPr>
            </w:pPr>
            <w:r>
              <w:rPr>
                <w:spacing w:val="1"/>
                <w:sz w:val="20"/>
                <w:szCs w:val="20"/>
              </w:rPr>
              <w:t>产资源规划对耕地、林地</w:t>
            </w:r>
          </w:p>
          <w:p w14:paraId="4D09864E">
            <w:pPr>
              <w:pStyle w:val="6"/>
              <w:spacing w:before="23" w:line="231" w:lineRule="auto"/>
              <w:ind w:left="111"/>
              <w:rPr>
                <w:sz w:val="20"/>
                <w:szCs w:val="20"/>
              </w:rPr>
            </w:pPr>
            <w:r>
              <w:rPr>
                <w:spacing w:val="1"/>
                <w:sz w:val="20"/>
                <w:szCs w:val="20"/>
              </w:rPr>
              <w:t>及草地的占用，满足可持</w:t>
            </w:r>
          </w:p>
          <w:p w14:paraId="239AE945">
            <w:pPr>
              <w:pStyle w:val="6"/>
              <w:spacing w:before="21" w:line="201" w:lineRule="auto"/>
              <w:ind w:left="598"/>
              <w:rPr>
                <w:sz w:val="20"/>
                <w:szCs w:val="20"/>
              </w:rPr>
            </w:pPr>
            <w:r>
              <w:rPr>
                <w:spacing w:val="7"/>
                <w:sz w:val="20"/>
                <w:szCs w:val="20"/>
              </w:rPr>
              <w:t>续发展的要求</w:t>
            </w:r>
          </w:p>
        </w:tc>
        <w:tc>
          <w:tcPr>
            <w:tcW w:w="3265" w:type="dxa"/>
            <w:vAlign w:val="top"/>
          </w:tcPr>
          <w:p w14:paraId="61E7E650">
            <w:pPr>
              <w:spacing w:line="386" w:lineRule="auto"/>
              <w:rPr>
                <w:rFonts w:ascii="Arial"/>
                <w:sz w:val="21"/>
              </w:rPr>
            </w:pPr>
          </w:p>
          <w:p w14:paraId="68CF1374">
            <w:pPr>
              <w:pStyle w:val="6"/>
              <w:spacing w:before="65" w:line="231" w:lineRule="auto"/>
              <w:ind w:left="151"/>
              <w:rPr>
                <w:sz w:val="20"/>
                <w:szCs w:val="20"/>
              </w:rPr>
            </w:pPr>
            <w:r>
              <w:rPr>
                <w:sz w:val="20"/>
                <w:szCs w:val="20"/>
              </w:rPr>
              <w:t>占用永久基本农田（地热、矿泉水</w:t>
            </w:r>
          </w:p>
          <w:p w14:paraId="2EB36D8C">
            <w:pPr>
              <w:pStyle w:val="6"/>
              <w:spacing w:before="23" w:line="232" w:lineRule="auto"/>
              <w:ind w:left="1337"/>
              <w:rPr>
                <w:sz w:val="20"/>
                <w:szCs w:val="20"/>
              </w:rPr>
            </w:pPr>
            <w:r>
              <w:rPr>
                <w:spacing w:val="-2"/>
                <w:sz w:val="20"/>
                <w:szCs w:val="20"/>
              </w:rPr>
              <w:t>除外）</w:t>
            </w:r>
          </w:p>
        </w:tc>
        <w:tc>
          <w:tcPr>
            <w:tcW w:w="3475" w:type="dxa"/>
            <w:vAlign w:val="top"/>
          </w:tcPr>
          <w:p w14:paraId="6D5B90BD">
            <w:pPr>
              <w:spacing w:line="261" w:lineRule="auto"/>
              <w:rPr>
                <w:rFonts w:ascii="Arial"/>
                <w:sz w:val="21"/>
              </w:rPr>
            </w:pPr>
          </w:p>
          <w:p w14:paraId="183B6D06">
            <w:pPr>
              <w:spacing w:line="261" w:lineRule="auto"/>
              <w:rPr>
                <w:rFonts w:ascii="Arial"/>
                <w:sz w:val="21"/>
              </w:rPr>
            </w:pPr>
          </w:p>
          <w:p w14:paraId="04DE2D50">
            <w:pPr>
              <w:pStyle w:val="6"/>
              <w:spacing w:before="65" w:line="232" w:lineRule="auto"/>
              <w:ind w:left="1441"/>
              <w:rPr>
                <w:sz w:val="20"/>
                <w:szCs w:val="20"/>
              </w:rPr>
            </w:pPr>
            <w:r>
              <w:rPr>
                <w:spacing w:val="3"/>
                <w:sz w:val="20"/>
                <w:szCs w:val="20"/>
              </w:rPr>
              <w:t>不占用</w:t>
            </w:r>
          </w:p>
        </w:tc>
        <w:tc>
          <w:tcPr>
            <w:tcW w:w="3243" w:type="dxa"/>
            <w:tcBorders>
              <w:right w:val="single" w:color="000000" w:sz="10" w:space="0"/>
            </w:tcBorders>
            <w:vAlign w:val="top"/>
          </w:tcPr>
          <w:p w14:paraId="390A2702">
            <w:pPr>
              <w:spacing w:line="386" w:lineRule="auto"/>
              <w:rPr>
                <w:rFonts w:ascii="Arial"/>
                <w:sz w:val="21"/>
              </w:rPr>
            </w:pPr>
          </w:p>
          <w:p w14:paraId="20B99CB5">
            <w:pPr>
              <w:pStyle w:val="6"/>
              <w:spacing w:before="65" w:line="231" w:lineRule="auto"/>
              <w:ind w:left="164"/>
              <w:rPr>
                <w:sz w:val="20"/>
                <w:szCs w:val="20"/>
              </w:rPr>
            </w:pPr>
            <w:r>
              <w:rPr>
                <w:spacing w:val="8"/>
                <w:sz w:val="20"/>
                <w:szCs w:val="20"/>
              </w:rPr>
              <w:t>调整区块不占用永久基本农田，</w:t>
            </w:r>
          </w:p>
          <w:p w14:paraId="1E5EEC80">
            <w:pPr>
              <w:pStyle w:val="6"/>
              <w:spacing w:before="23" w:line="231" w:lineRule="auto"/>
              <w:ind w:left="1252"/>
              <w:rPr>
                <w:sz w:val="20"/>
                <w:szCs w:val="20"/>
              </w:rPr>
            </w:pPr>
            <w:r>
              <w:rPr>
                <w:spacing w:val="-4"/>
                <w:sz w:val="20"/>
                <w:szCs w:val="20"/>
              </w:rPr>
              <w:t>目标可达</w:t>
            </w:r>
          </w:p>
        </w:tc>
      </w:tr>
      <w:tr w14:paraId="10AF3B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765" w:type="dxa"/>
            <w:vMerge w:val="continue"/>
            <w:tcBorders>
              <w:top w:val="nil"/>
              <w:left w:val="single" w:color="000000" w:sz="10" w:space="0"/>
              <w:bottom w:val="nil"/>
            </w:tcBorders>
            <w:vAlign w:val="top"/>
          </w:tcPr>
          <w:p w14:paraId="2E5EC27F">
            <w:pPr>
              <w:rPr>
                <w:rFonts w:ascii="Arial"/>
                <w:sz w:val="21"/>
              </w:rPr>
            </w:pPr>
          </w:p>
        </w:tc>
        <w:tc>
          <w:tcPr>
            <w:tcW w:w="980" w:type="dxa"/>
            <w:vMerge w:val="restart"/>
            <w:tcBorders>
              <w:bottom w:val="nil"/>
            </w:tcBorders>
            <w:vAlign w:val="top"/>
          </w:tcPr>
          <w:p w14:paraId="699B195D">
            <w:pPr>
              <w:spacing w:line="390" w:lineRule="auto"/>
              <w:rPr>
                <w:rFonts w:ascii="Arial"/>
                <w:sz w:val="21"/>
              </w:rPr>
            </w:pPr>
          </w:p>
          <w:p w14:paraId="18B7EE6B">
            <w:pPr>
              <w:pStyle w:val="6"/>
              <w:spacing w:before="65" w:line="232" w:lineRule="auto"/>
              <w:ind w:left="176"/>
              <w:rPr>
                <w:sz w:val="20"/>
                <w:szCs w:val="20"/>
              </w:rPr>
            </w:pPr>
            <w:r>
              <w:rPr>
                <w:spacing w:val="5"/>
                <w:sz w:val="20"/>
                <w:szCs w:val="20"/>
              </w:rPr>
              <w:t>水资源</w:t>
            </w:r>
          </w:p>
        </w:tc>
        <w:tc>
          <w:tcPr>
            <w:tcW w:w="2449" w:type="dxa"/>
            <w:vMerge w:val="restart"/>
            <w:tcBorders>
              <w:bottom w:val="nil"/>
            </w:tcBorders>
            <w:vAlign w:val="top"/>
          </w:tcPr>
          <w:p w14:paraId="7F517A64">
            <w:pPr>
              <w:spacing w:line="254" w:lineRule="auto"/>
              <w:rPr>
                <w:rFonts w:ascii="Arial"/>
                <w:sz w:val="21"/>
              </w:rPr>
            </w:pPr>
          </w:p>
          <w:p w14:paraId="20CDA801">
            <w:pPr>
              <w:pStyle w:val="6"/>
              <w:spacing w:before="65" w:line="253" w:lineRule="auto"/>
              <w:ind w:left="290" w:right="181" w:hanging="112"/>
              <w:rPr>
                <w:sz w:val="20"/>
                <w:szCs w:val="20"/>
              </w:rPr>
            </w:pPr>
            <w:r>
              <w:rPr>
                <w:spacing w:val="8"/>
                <w:sz w:val="20"/>
                <w:szCs w:val="20"/>
              </w:rPr>
              <w:t>矿产资源勘查开发不影</w:t>
            </w:r>
            <w:r>
              <w:rPr>
                <w:spacing w:val="2"/>
                <w:sz w:val="20"/>
                <w:szCs w:val="20"/>
              </w:rPr>
              <w:t xml:space="preserve"> </w:t>
            </w:r>
            <w:r>
              <w:rPr>
                <w:spacing w:val="7"/>
                <w:sz w:val="20"/>
                <w:szCs w:val="20"/>
              </w:rPr>
              <w:t>响区域流域用水要求</w:t>
            </w:r>
          </w:p>
        </w:tc>
        <w:tc>
          <w:tcPr>
            <w:tcW w:w="3265" w:type="dxa"/>
            <w:vAlign w:val="top"/>
          </w:tcPr>
          <w:p w14:paraId="25FEEB13">
            <w:pPr>
              <w:pStyle w:val="6"/>
              <w:spacing w:before="138" w:line="232" w:lineRule="auto"/>
              <w:ind w:left="868"/>
              <w:rPr>
                <w:sz w:val="20"/>
                <w:szCs w:val="20"/>
              </w:rPr>
            </w:pPr>
            <w:r>
              <w:rPr>
                <w:spacing w:val="5"/>
                <w:sz w:val="20"/>
                <w:szCs w:val="20"/>
              </w:rPr>
              <w:t>用水量（万</w:t>
            </w:r>
            <w:r>
              <w:rPr>
                <w:spacing w:val="-43"/>
                <w:sz w:val="20"/>
                <w:szCs w:val="20"/>
              </w:rPr>
              <w:t xml:space="preserve"> </w:t>
            </w:r>
            <w:r>
              <w:rPr>
                <w:rFonts w:ascii="Times New Roman" w:hAnsi="Times New Roman" w:eastAsia="Times New Roman" w:cs="Times New Roman"/>
                <w:spacing w:val="5"/>
                <w:sz w:val="20"/>
                <w:szCs w:val="20"/>
              </w:rPr>
              <w:t>m</w:t>
            </w:r>
            <w:r>
              <w:rPr>
                <w:rFonts w:ascii="Times New Roman" w:hAnsi="Times New Roman" w:eastAsia="Times New Roman" w:cs="Times New Roman"/>
                <w:spacing w:val="5"/>
                <w:position w:val="6"/>
                <w:sz w:val="13"/>
                <w:szCs w:val="13"/>
              </w:rPr>
              <w:t>3</w:t>
            </w:r>
            <w:r>
              <w:rPr>
                <w:spacing w:val="5"/>
                <w:sz w:val="20"/>
                <w:szCs w:val="20"/>
              </w:rPr>
              <w:t>）</w:t>
            </w:r>
          </w:p>
        </w:tc>
        <w:tc>
          <w:tcPr>
            <w:tcW w:w="3475" w:type="dxa"/>
            <w:vAlign w:val="top"/>
          </w:tcPr>
          <w:p w14:paraId="2D1227A5">
            <w:pPr>
              <w:spacing w:before="178" w:line="195" w:lineRule="auto"/>
              <w:ind w:left="139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≤47.055</w:t>
            </w:r>
          </w:p>
        </w:tc>
        <w:tc>
          <w:tcPr>
            <w:tcW w:w="3243" w:type="dxa"/>
            <w:vMerge w:val="restart"/>
            <w:tcBorders>
              <w:bottom w:val="nil"/>
              <w:right w:val="single" w:color="000000" w:sz="10" w:space="0"/>
            </w:tcBorders>
            <w:vAlign w:val="top"/>
          </w:tcPr>
          <w:p w14:paraId="407F43DD">
            <w:pPr>
              <w:pStyle w:val="6"/>
              <w:spacing w:before="50" w:line="230" w:lineRule="auto"/>
              <w:ind w:left="164"/>
              <w:rPr>
                <w:sz w:val="20"/>
                <w:szCs w:val="20"/>
              </w:rPr>
            </w:pPr>
            <w:r>
              <w:rPr>
                <w:spacing w:val="8"/>
                <w:sz w:val="20"/>
                <w:szCs w:val="20"/>
              </w:rPr>
              <w:t>优先利用采区汇水、井下涌水，</w:t>
            </w:r>
          </w:p>
          <w:p w14:paraId="65B92AEA">
            <w:pPr>
              <w:pStyle w:val="6"/>
              <w:spacing w:before="21" w:line="228" w:lineRule="auto"/>
              <w:ind w:left="166"/>
              <w:rPr>
                <w:sz w:val="20"/>
                <w:szCs w:val="20"/>
              </w:rPr>
            </w:pPr>
            <w:r>
              <w:rPr>
                <w:spacing w:val="8"/>
                <w:sz w:val="20"/>
                <w:szCs w:val="20"/>
              </w:rPr>
              <w:t>运输车辆冲洗废水处理后可综合</w:t>
            </w:r>
          </w:p>
          <w:p w14:paraId="1FB925AB">
            <w:pPr>
              <w:pStyle w:val="6"/>
              <w:spacing w:before="26" w:line="231" w:lineRule="auto"/>
              <w:ind w:left="164"/>
              <w:rPr>
                <w:sz w:val="20"/>
                <w:szCs w:val="20"/>
              </w:rPr>
            </w:pPr>
            <w:r>
              <w:rPr>
                <w:spacing w:val="4"/>
                <w:sz w:val="20"/>
                <w:szCs w:val="20"/>
              </w:rPr>
              <w:t>利用，减少新鲜水的耗量，</w:t>
            </w:r>
            <w:r>
              <w:rPr>
                <w:spacing w:val="-33"/>
                <w:sz w:val="20"/>
                <w:szCs w:val="20"/>
              </w:rPr>
              <w:t xml:space="preserve"> </w:t>
            </w:r>
            <w:r>
              <w:rPr>
                <w:spacing w:val="4"/>
                <w:sz w:val="20"/>
                <w:szCs w:val="20"/>
              </w:rPr>
              <w:t>目标</w:t>
            </w:r>
          </w:p>
          <w:p w14:paraId="3376071E">
            <w:pPr>
              <w:pStyle w:val="6"/>
              <w:spacing w:before="21" w:line="199" w:lineRule="auto"/>
              <w:ind w:left="1428"/>
              <w:rPr>
                <w:sz w:val="20"/>
                <w:szCs w:val="20"/>
              </w:rPr>
            </w:pPr>
            <w:r>
              <w:rPr>
                <w:sz w:val="20"/>
                <w:szCs w:val="20"/>
              </w:rPr>
              <w:t>可达</w:t>
            </w:r>
          </w:p>
        </w:tc>
      </w:tr>
      <w:tr w14:paraId="72DC1B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65" w:type="dxa"/>
            <w:vMerge w:val="continue"/>
            <w:tcBorders>
              <w:top w:val="nil"/>
              <w:left w:val="single" w:color="000000" w:sz="10" w:space="0"/>
            </w:tcBorders>
            <w:vAlign w:val="top"/>
          </w:tcPr>
          <w:p w14:paraId="5C898FC7">
            <w:pPr>
              <w:rPr>
                <w:rFonts w:ascii="Arial"/>
                <w:sz w:val="21"/>
              </w:rPr>
            </w:pPr>
          </w:p>
        </w:tc>
        <w:tc>
          <w:tcPr>
            <w:tcW w:w="980" w:type="dxa"/>
            <w:vMerge w:val="continue"/>
            <w:tcBorders>
              <w:top w:val="nil"/>
            </w:tcBorders>
            <w:vAlign w:val="top"/>
          </w:tcPr>
          <w:p w14:paraId="1186B864">
            <w:pPr>
              <w:rPr>
                <w:rFonts w:ascii="Arial"/>
                <w:sz w:val="21"/>
              </w:rPr>
            </w:pPr>
          </w:p>
        </w:tc>
        <w:tc>
          <w:tcPr>
            <w:tcW w:w="2449" w:type="dxa"/>
            <w:vMerge w:val="continue"/>
            <w:tcBorders>
              <w:top w:val="nil"/>
            </w:tcBorders>
            <w:vAlign w:val="top"/>
          </w:tcPr>
          <w:p w14:paraId="49D19B5C">
            <w:pPr>
              <w:rPr>
                <w:rFonts w:ascii="Arial"/>
                <w:sz w:val="21"/>
              </w:rPr>
            </w:pPr>
          </w:p>
        </w:tc>
        <w:tc>
          <w:tcPr>
            <w:tcW w:w="3265" w:type="dxa"/>
            <w:vAlign w:val="top"/>
          </w:tcPr>
          <w:p w14:paraId="07BB780E">
            <w:pPr>
              <w:pStyle w:val="6"/>
              <w:spacing w:before="228" w:line="230" w:lineRule="auto"/>
              <w:ind w:left="417"/>
              <w:rPr>
                <w:sz w:val="20"/>
                <w:szCs w:val="20"/>
              </w:rPr>
            </w:pPr>
            <w:r>
              <w:rPr>
                <w:spacing w:val="5"/>
                <w:sz w:val="20"/>
                <w:szCs w:val="20"/>
              </w:rPr>
              <w:t>占用水总量控制指标的比例</w:t>
            </w:r>
          </w:p>
        </w:tc>
        <w:tc>
          <w:tcPr>
            <w:tcW w:w="3475" w:type="dxa"/>
            <w:vAlign w:val="top"/>
          </w:tcPr>
          <w:p w14:paraId="4209C4E8">
            <w:pPr>
              <w:spacing w:before="263" w:line="196" w:lineRule="auto"/>
              <w:ind w:left="141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≤0.46%</w:t>
            </w:r>
          </w:p>
        </w:tc>
        <w:tc>
          <w:tcPr>
            <w:tcW w:w="3243" w:type="dxa"/>
            <w:vMerge w:val="continue"/>
            <w:tcBorders>
              <w:top w:val="nil"/>
              <w:right w:val="single" w:color="000000" w:sz="10" w:space="0"/>
            </w:tcBorders>
            <w:vAlign w:val="top"/>
          </w:tcPr>
          <w:p w14:paraId="33FA06CE">
            <w:pPr>
              <w:rPr>
                <w:rFonts w:ascii="Arial"/>
                <w:sz w:val="21"/>
              </w:rPr>
            </w:pPr>
          </w:p>
        </w:tc>
      </w:tr>
      <w:tr w14:paraId="28C6AE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765" w:type="dxa"/>
            <w:vMerge w:val="restart"/>
            <w:tcBorders>
              <w:left w:val="single" w:color="000000" w:sz="10" w:space="0"/>
              <w:bottom w:val="nil"/>
            </w:tcBorders>
            <w:vAlign w:val="top"/>
          </w:tcPr>
          <w:p w14:paraId="0A7CF84A">
            <w:pPr>
              <w:spacing w:line="261" w:lineRule="auto"/>
              <w:rPr>
                <w:rFonts w:ascii="Arial"/>
                <w:sz w:val="21"/>
              </w:rPr>
            </w:pPr>
          </w:p>
          <w:p w14:paraId="040E55B5">
            <w:pPr>
              <w:pStyle w:val="6"/>
              <w:spacing w:before="65" w:line="231" w:lineRule="auto"/>
              <w:ind w:left="168"/>
              <w:rPr>
                <w:sz w:val="20"/>
                <w:szCs w:val="20"/>
              </w:rPr>
            </w:pPr>
            <w:r>
              <w:rPr>
                <w:spacing w:val="2"/>
                <w:sz w:val="20"/>
                <w:szCs w:val="20"/>
              </w:rPr>
              <w:t>环境</w:t>
            </w:r>
          </w:p>
          <w:p w14:paraId="7F6C9D96">
            <w:pPr>
              <w:pStyle w:val="6"/>
              <w:spacing w:before="23" w:line="232" w:lineRule="auto"/>
              <w:ind w:left="180"/>
              <w:rPr>
                <w:sz w:val="20"/>
                <w:szCs w:val="20"/>
              </w:rPr>
            </w:pPr>
            <w:r>
              <w:rPr>
                <w:spacing w:val="-4"/>
                <w:sz w:val="20"/>
                <w:szCs w:val="20"/>
              </w:rPr>
              <w:t>管理</w:t>
            </w:r>
          </w:p>
        </w:tc>
        <w:tc>
          <w:tcPr>
            <w:tcW w:w="6694" w:type="dxa"/>
            <w:gridSpan w:val="3"/>
            <w:vAlign w:val="top"/>
          </w:tcPr>
          <w:p w14:paraId="7896045E">
            <w:pPr>
              <w:pStyle w:val="6"/>
              <w:spacing w:before="187" w:line="229" w:lineRule="auto"/>
              <w:ind w:left="2408"/>
              <w:rPr>
                <w:sz w:val="20"/>
                <w:szCs w:val="20"/>
              </w:rPr>
            </w:pPr>
            <w:r>
              <w:rPr>
                <w:spacing w:val="8"/>
                <w:sz w:val="20"/>
                <w:szCs w:val="20"/>
              </w:rPr>
              <w:t>矿山项目环评执行率</w:t>
            </w:r>
          </w:p>
        </w:tc>
        <w:tc>
          <w:tcPr>
            <w:tcW w:w="3475" w:type="dxa"/>
            <w:vAlign w:val="top"/>
          </w:tcPr>
          <w:p w14:paraId="552753BD">
            <w:pPr>
              <w:spacing w:before="225" w:line="195" w:lineRule="auto"/>
              <w:ind w:left="15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w:t>
            </w:r>
          </w:p>
        </w:tc>
        <w:tc>
          <w:tcPr>
            <w:tcW w:w="3243" w:type="dxa"/>
            <w:tcBorders>
              <w:right w:val="single" w:color="000000" w:sz="10" w:space="0"/>
            </w:tcBorders>
            <w:vAlign w:val="top"/>
          </w:tcPr>
          <w:p w14:paraId="0AA829BA">
            <w:pPr>
              <w:pStyle w:val="6"/>
              <w:spacing w:before="51" w:line="224" w:lineRule="auto"/>
              <w:ind w:left="231" w:right="242" w:firstLine="52"/>
              <w:rPr>
                <w:sz w:val="20"/>
                <w:szCs w:val="20"/>
              </w:rPr>
            </w:pPr>
            <w:r>
              <w:rPr>
                <w:spacing w:val="7"/>
                <w:sz w:val="20"/>
                <w:szCs w:val="20"/>
              </w:rPr>
              <w:t>明确严格执行环境影响评价和</w:t>
            </w:r>
            <w:r>
              <w:rPr>
                <w:spacing w:val="9"/>
                <w:sz w:val="20"/>
                <w:szCs w:val="20"/>
              </w:rPr>
              <w:t xml:space="preserve"> </w:t>
            </w:r>
            <w:r>
              <w:rPr>
                <w:rFonts w:ascii="Times New Roman" w:hAnsi="Times New Roman" w:eastAsia="Times New Roman" w:cs="Times New Roman"/>
                <w:spacing w:val="9"/>
                <w:sz w:val="20"/>
                <w:szCs w:val="20"/>
              </w:rPr>
              <w:t>“</w:t>
            </w:r>
            <w:r>
              <w:rPr>
                <w:rFonts w:ascii="Times New Roman" w:hAnsi="Times New Roman" w:eastAsia="Times New Roman" w:cs="Times New Roman"/>
                <w:spacing w:val="-24"/>
                <w:sz w:val="20"/>
                <w:szCs w:val="20"/>
              </w:rPr>
              <w:t xml:space="preserve"> </w:t>
            </w:r>
            <w:r>
              <w:rPr>
                <w:spacing w:val="9"/>
                <w:sz w:val="20"/>
                <w:szCs w:val="20"/>
              </w:rPr>
              <w:t>三同时</w:t>
            </w:r>
            <w:r>
              <w:rPr>
                <w:rFonts w:ascii="Times New Roman" w:hAnsi="Times New Roman" w:eastAsia="Times New Roman" w:cs="Times New Roman"/>
                <w:spacing w:val="9"/>
                <w:sz w:val="20"/>
                <w:szCs w:val="20"/>
              </w:rPr>
              <w:t>”</w:t>
            </w:r>
            <w:r>
              <w:rPr>
                <w:spacing w:val="9"/>
                <w:sz w:val="20"/>
                <w:szCs w:val="20"/>
              </w:rPr>
              <w:t>制度，落实后可达。</w:t>
            </w:r>
          </w:p>
        </w:tc>
      </w:tr>
      <w:tr w14:paraId="1E2663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65" w:type="dxa"/>
            <w:vMerge w:val="continue"/>
            <w:tcBorders>
              <w:top w:val="nil"/>
              <w:left w:val="single" w:color="000000" w:sz="10" w:space="0"/>
              <w:bottom w:val="single" w:color="000000" w:sz="10" w:space="0"/>
            </w:tcBorders>
            <w:vAlign w:val="top"/>
          </w:tcPr>
          <w:p w14:paraId="1FFE2FFE">
            <w:pPr>
              <w:rPr>
                <w:rFonts w:ascii="Arial"/>
                <w:sz w:val="21"/>
              </w:rPr>
            </w:pPr>
          </w:p>
        </w:tc>
        <w:tc>
          <w:tcPr>
            <w:tcW w:w="6694" w:type="dxa"/>
            <w:gridSpan w:val="3"/>
            <w:tcBorders>
              <w:bottom w:val="single" w:color="000000" w:sz="10" w:space="0"/>
            </w:tcBorders>
            <w:vAlign w:val="top"/>
          </w:tcPr>
          <w:p w14:paraId="29411223">
            <w:pPr>
              <w:pStyle w:val="6"/>
              <w:spacing w:before="189" w:line="231" w:lineRule="auto"/>
              <w:ind w:left="2929"/>
              <w:rPr>
                <w:sz w:val="20"/>
                <w:szCs w:val="20"/>
              </w:rPr>
            </w:pPr>
            <w:r>
              <w:rPr>
                <w:spacing w:val="6"/>
                <w:sz w:val="20"/>
                <w:szCs w:val="20"/>
              </w:rPr>
              <w:t>排污许可</w:t>
            </w:r>
          </w:p>
        </w:tc>
        <w:tc>
          <w:tcPr>
            <w:tcW w:w="3475" w:type="dxa"/>
            <w:tcBorders>
              <w:bottom w:val="single" w:color="000000" w:sz="10" w:space="0"/>
            </w:tcBorders>
            <w:vAlign w:val="top"/>
          </w:tcPr>
          <w:p w14:paraId="358B1ABF">
            <w:pPr>
              <w:spacing w:before="227" w:line="195" w:lineRule="auto"/>
              <w:ind w:left="15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w:t>
            </w:r>
          </w:p>
        </w:tc>
        <w:tc>
          <w:tcPr>
            <w:tcW w:w="3243" w:type="dxa"/>
            <w:tcBorders>
              <w:bottom w:val="single" w:color="000000" w:sz="10" w:space="0"/>
              <w:right w:val="single" w:color="000000" w:sz="10" w:space="0"/>
            </w:tcBorders>
            <w:vAlign w:val="top"/>
          </w:tcPr>
          <w:p w14:paraId="53A61B92">
            <w:pPr>
              <w:pStyle w:val="6"/>
              <w:spacing w:before="55" w:line="229" w:lineRule="auto"/>
              <w:ind w:left="164"/>
              <w:rPr>
                <w:sz w:val="20"/>
                <w:szCs w:val="20"/>
              </w:rPr>
            </w:pPr>
            <w:r>
              <w:rPr>
                <w:spacing w:val="8"/>
                <w:sz w:val="20"/>
                <w:szCs w:val="20"/>
              </w:rPr>
              <w:t>按照环评要求落实环保措施后，</w:t>
            </w:r>
          </w:p>
          <w:p w14:paraId="05C8A98B">
            <w:pPr>
              <w:pStyle w:val="6"/>
              <w:spacing w:before="22" w:line="218" w:lineRule="auto"/>
              <w:ind w:left="1147"/>
              <w:rPr>
                <w:sz w:val="20"/>
                <w:szCs w:val="20"/>
              </w:rPr>
            </w:pPr>
            <w:r>
              <w:rPr>
                <w:spacing w:val="-3"/>
                <w:sz w:val="20"/>
                <w:szCs w:val="20"/>
              </w:rPr>
              <w:t>目标可达。</w:t>
            </w:r>
          </w:p>
        </w:tc>
      </w:tr>
    </w:tbl>
    <w:p w14:paraId="34EDE9FD">
      <w:pPr>
        <w:pStyle w:val="2"/>
      </w:pPr>
    </w:p>
    <w:p w14:paraId="21D80335">
      <w:pPr>
        <w:sectPr>
          <w:footerReference r:id="rId215" w:type="default"/>
          <w:pgSz w:w="16839" w:h="11906"/>
          <w:pgMar w:top="1116" w:right="1317" w:bottom="866" w:left="1317" w:header="683" w:footer="703" w:gutter="0"/>
          <w:cols w:space="720" w:num="1"/>
        </w:sectPr>
      </w:pPr>
    </w:p>
    <w:p w14:paraId="4C29F2CB">
      <w:pPr>
        <w:pStyle w:val="2"/>
        <w:spacing w:line="400" w:lineRule="auto"/>
      </w:pPr>
    </w:p>
    <w:p w14:paraId="4D7BC31E">
      <w:pPr>
        <w:spacing w:before="81" w:line="229" w:lineRule="auto"/>
        <w:ind w:left="129"/>
        <w:outlineLvl w:val="1"/>
        <w:rPr>
          <w:rFonts w:ascii="仿宋" w:hAnsi="仿宋" w:eastAsia="仿宋" w:cs="仿宋"/>
          <w:sz w:val="25"/>
          <w:szCs w:val="25"/>
        </w:rPr>
      </w:pPr>
      <w:bookmarkStart w:id="38" w:name="bookmark33"/>
      <w:bookmarkEnd w:id="38"/>
      <w:r>
        <w:rPr>
          <w:rFonts w:ascii="Times New Roman" w:hAnsi="Times New Roman" w:eastAsia="Times New Roman" w:cs="Times New Roman"/>
          <w:b/>
          <w:bCs/>
          <w:spacing w:val="5"/>
          <w:sz w:val="25"/>
          <w:szCs w:val="25"/>
        </w:rPr>
        <w:t>6.2</w:t>
      </w:r>
      <w:r>
        <w:rPr>
          <w:rFonts w:ascii="Times New Roman" w:hAnsi="Times New Roman" w:eastAsia="Times New Roman" w:cs="Times New Roman"/>
          <w:b/>
          <w:bCs/>
          <w:spacing w:val="28"/>
          <w:sz w:val="25"/>
          <w:szCs w:val="25"/>
        </w:rPr>
        <w:t xml:space="preserve"> </w:t>
      </w:r>
      <w:r>
        <w:rPr>
          <w:rFonts w:ascii="仿宋" w:hAnsi="仿宋" w:eastAsia="仿宋" w:cs="仿宋"/>
          <w:b/>
          <w:bCs/>
          <w:spacing w:val="5"/>
          <w:sz w:val="25"/>
          <w:szCs w:val="25"/>
        </w:rPr>
        <w:t>规划调整方案优化调整建议</w:t>
      </w:r>
    </w:p>
    <w:p w14:paraId="6E4A1B74">
      <w:pPr>
        <w:spacing w:before="251" w:line="229" w:lineRule="auto"/>
        <w:ind w:left="129"/>
        <w:outlineLvl w:val="2"/>
        <w:rPr>
          <w:rFonts w:ascii="仿宋" w:hAnsi="仿宋" w:eastAsia="仿宋" w:cs="仿宋"/>
          <w:sz w:val="25"/>
          <w:szCs w:val="25"/>
        </w:rPr>
      </w:pPr>
      <w:r>
        <w:rPr>
          <w:rFonts w:ascii="Times New Roman" w:hAnsi="Times New Roman" w:eastAsia="Times New Roman" w:cs="Times New Roman"/>
          <w:b/>
          <w:bCs/>
          <w:spacing w:val="4"/>
          <w:sz w:val="25"/>
          <w:szCs w:val="25"/>
        </w:rPr>
        <w:t>6.2.1</w:t>
      </w:r>
      <w:r>
        <w:rPr>
          <w:rFonts w:ascii="Times New Roman" w:hAnsi="Times New Roman" w:eastAsia="Times New Roman" w:cs="Times New Roman"/>
          <w:b/>
          <w:bCs/>
          <w:spacing w:val="34"/>
          <w:w w:val="101"/>
          <w:sz w:val="25"/>
          <w:szCs w:val="25"/>
        </w:rPr>
        <w:t xml:space="preserve"> </w:t>
      </w:r>
      <w:r>
        <w:rPr>
          <w:rFonts w:ascii="仿宋" w:hAnsi="仿宋" w:eastAsia="仿宋" w:cs="仿宋"/>
          <w:b/>
          <w:bCs/>
          <w:spacing w:val="4"/>
          <w:sz w:val="25"/>
          <w:szCs w:val="25"/>
        </w:rPr>
        <w:t>对规划目标的反馈建议</w:t>
      </w:r>
    </w:p>
    <w:p w14:paraId="78B780B9">
      <w:pPr>
        <w:spacing w:before="269" w:line="340" w:lineRule="auto"/>
        <w:ind w:left="136" w:right="121" w:firstLine="521"/>
        <w:rPr>
          <w:rFonts w:ascii="仿宋" w:hAnsi="仿宋" w:eastAsia="仿宋" w:cs="仿宋"/>
          <w:sz w:val="25"/>
          <w:szCs w:val="25"/>
        </w:rPr>
      </w:pPr>
      <w:r>
        <w:rPr>
          <w:rFonts w:ascii="仿宋" w:hAnsi="仿宋" w:eastAsia="仿宋" w:cs="仿宋"/>
          <w:spacing w:val="9"/>
          <w:sz w:val="25"/>
          <w:szCs w:val="25"/>
        </w:rPr>
        <w:t>评价建议将历史遗留和关闭矿山地质环境恢复治理和矿区土地复垦指标纳</w:t>
      </w:r>
      <w:r>
        <w:rPr>
          <w:rFonts w:ascii="仿宋" w:hAnsi="仿宋" w:eastAsia="仿宋" w:cs="仿宋"/>
          <w:spacing w:val="15"/>
          <w:sz w:val="25"/>
          <w:szCs w:val="25"/>
        </w:rPr>
        <w:t xml:space="preserve"> </w:t>
      </w:r>
      <w:r>
        <w:rPr>
          <w:rFonts w:ascii="仿宋" w:hAnsi="仿宋" w:eastAsia="仿宋" w:cs="仿宋"/>
          <w:spacing w:val="8"/>
          <w:sz w:val="25"/>
          <w:szCs w:val="25"/>
        </w:rPr>
        <w:t>入到规划目标中，作为《规划》实施的硬约束。</w:t>
      </w:r>
    </w:p>
    <w:p w14:paraId="2F6879A6">
      <w:pPr>
        <w:spacing w:before="119" w:line="227" w:lineRule="auto"/>
        <w:ind w:left="129"/>
        <w:outlineLvl w:val="2"/>
        <w:rPr>
          <w:rFonts w:ascii="仿宋" w:hAnsi="仿宋" w:eastAsia="仿宋" w:cs="仿宋"/>
          <w:sz w:val="25"/>
          <w:szCs w:val="25"/>
        </w:rPr>
      </w:pPr>
      <w:r>
        <w:rPr>
          <w:rFonts w:ascii="Times New Roman" w:hAnsi="Times New Roman" w:eastAsia="Times New Roman" w:cs="Times New Roman"/>
          <w:b/>
          <w:bCs/>
          <w:spacing w:val="5"/>
          <w:sz w:val="25"/>
          <w:szCs w:val="25"/>
        </w:rPr>
        <w:t>6.2.2</w:t>
      </w:r>
      <w:r>
        <w:rPr>
          <w:rFonts w:ascii="Times New Roman" w:hAnsi="Times New Roman" w:eastAsia="Times New Roman" w:cs="Times New Roman"/>
          <w:b/>
          <w:bCs/>
          <w:spacing w:val="25"/>
          <w:sz w:val="25"/>
          <w:szCs w:val="25"/>
        </w:rPr>
        <w:t xml:space="preserve"> </w:t>
      </w:r>
      <w:r>
        <w:rPr>
          <w:rFonts w:ascii="仿宋" w:hAnsi="仿宋" w:eastAsia="仿宋" w:cs="仿宋"/>
          <w:b/>
          <w:bCs/>
          <w:spacing w:val="5"/>
          <w:sz w:val="25"/>
          <w:szCs w:val="25"/>
        </w:rPr>
        <w:t>对空间布局的优化调整建议</w:t>
      </w:r>
    </w:p>
    <w:p w14:paraId="1EEDDA82">
      <w:pPr>
        <w:spacing w:before="273" w:line="312" w:lineRule="auto"/>
        <w:ind w:left="137" w:right="49" w:firstLine="524"/>
        <w:rPr>
          <w:rFonts w:ascii="仿宋" w:hAnsi="仿宋" w:eastAsia="仿宋" w:cs="仿宋"/>
          <w:sz w:val="25"/>
          <w:szCs w:val="25"/>
        </w:rPr>
      </w:pPr>
      <w:r>
        <w:rPr>
          <w:rFonts w:ascii="仿宋" w:hAnsi="仿宋" w:eastAsia="仿宋" w:cs="仿宋"/>
          <w:spacing w:val="-1"/>
          <w:sz w:val="25"/>
          <w:szCs w:val="25"/>
        </w:rPr>
        <w:t>（</w:t>
      </w:r>
      <w:r>
        <w:rPr>
          <w:rFonts w:ascii="Times New Roman" w:hAnsi="Times New Roman" w:eastAsia="Times New Roman" w:cs="Times New Roman"/>
          <w:spacing w:val="-1"/>
          <w:sz w:val="25"/>
          <w:szCs w:val="25"/>
        </w:rPr>
        <w:t>1</w:t>
      </w:r>
      <w:r>
        <w:rPr>
          <w:rFonts w:ascii="仿宋" w:hAnsi="仿宋" w:eastAsia="仿宋" w:cs="仿宋"/>
          <w:spacing w:val="-1"/>
          <w:sz w:val="25"/>
          <w:szCs w:val="25"/>
        </w:rPr>
        <w:t>）勘查区块</w:t>
      </w:r>
      <w:r>
        <w:rPr>
          <w:rFonts w:ascii="仿宋" w:hAnsi="仿宋" w:eastAsia="仿宋" w:cs="仿宋"/>
          <w:spacing w:val="-56"/>
          <w:sz w:val="25"/>
          <w:szCs w:val="25"/>
        </w:rPr>
        <w:t xml:space="preserve"> </w:t>
      </w:r>
      <w:r>
        <w:rPr>
          <w:rFonts w:ascii="Times New Roman" w:hAnsi="Times New Roman" w:eastAsia="Times New Roman" w:cs="Times New Roman"/>
          <w:spacing w:val="-1"/>
          <w:sz w:val="25"/>
          <w:szCs w:val="25"/>
        </w:rPr>
        <w:t xml:space="preserve">KQ004  </w:t>
      </w:r>
      <w:r>
        <w:rPr>
          <w:rFonts w:ascii="仿宋" w:hAnsi="仿宋" w:eastAsia="仿宋" w:cs="仿宋"/>
          <w:spacing w:val="-1"/>
          <w:sz w:val="25"/>
          <w:szCs w:val="25"/>
        </w:rPr>
        <w:t>占用二级国家级公益林地，</w:t>
      </w:r>
      <w:r>
        <w:rPr>
          <w:rFonts w:ascii="Times New Roman" w:hAnsi="Times New Roman" w:eastAsia="Times New Roman" w:cs="Times New Roman"/>
          <w:spacing w:val="-1"/>
          <w:sz w:val="25"/>
          <w:szCs w:val="25"/>
        </w:rPr>
        <w:t xml:space="preserve">KQ009  </w:t>
      </w:r>
      <w:r>
        <w:rPr>
          <w:rFonts w:ascii="仿宋" w:hAnsi="仿宋" w:eastAsia="仿宋" w:cs="仿宋"/>
          <w:spacing w:val="-1"/>
          <w:sz w:val="25"/>
          <w:szCs w:val="25"/>
        </w:rPr>
        <w:t>占用地方</w:t>
      </w:r>
      <w:r>
        <w:rPr>
          <w:rFonts w:ascii="仿宋" w:hAnsi="仿宋" w:eastAsia="仿宋" w:cs="仿宋"/>
          <w:spacing w:val="-2"/>
          <w:sz w:val="25"/>
          <w:szCs w:val="25"/>
        </w:rPr>
        <w:t>公益林，</w:t>
      </w:r>
      <w:r>
        <w:rPr>
          <w:rFonts w:ascii="仿宋" w:hAnsi="仿宋" w:eastAsia="仿宋" w:cs="仿宋"/>
          <w:sz w:val="25"/>
          <w:szCs w:val="25"/>
        </w:rPr>
        <w:t xml:space="preserve"> </w:t>
      </w:r>
      <w:r>
        <w:rPr>
          <w:rFonts w:ascii="仿宋" w:hAnsi="仿宋" w:eastAsia="仿宋" w:cs="仿宋"/>
          <w:spacing w:val="9"/>
          <w:sz w:val="25"/>
          <w:szCs w:val="25"/>
        </w:rPr>
        <w:t>评价建议：勘查时尽量避让公益林地，开采前应优先优化布局，地面工程不占</w:t>
      </w:r>
      <w:r>
        <w:rPr>
          <w:rFonts w:ascii="仿宋" w:hAnsi="仿宋" w:eastAsia="仿宋" w:cs="仿宋"/>
          <w:spacing w:val="18"/>
          <w:sz w:val="25"/>
          <w:szCs w:val="25"/>
        </w:rPr>
        <w:t xml:space="preserve"> </w:t>
      </w:r>
      <w:r>
        <w:rPr>
          <w:rFonts w:ascii="仿宋" w:hAnsi="仿宋" w:eastAsia="仿宋" w:cs="仿宋"/>
          <w:spacing w:val="10"/>
          <w:sz w:val="25"/>
          <w:szCs w:val="25"/>
        </w:rPr>
        <w:t>或者少占公益林地，确需占用的，严格按照《</w:t>
      </w:r>
      <w:r>
        <w:rPr>
          <w:rFonts w:ascii="仿宋" w:hAnsi="仿宋" w:eastAsia="仿宋" w:cs="仿宋"/>
          <w:spacing w:val="9"/>
          <w:sz w:val="25"/>
          <w:szCs w:val="25"/>
        </w:rPr>
        <w:t>建设项目使用林地审核审批管理</w:t>
      </w:r>
      <w:r>
        <w:rPr>
          <w:rFonts w:ascii="仿宋" w:hAnsi="仿宋" w:eastAsia="仿宋" w:cs="仿宋"/>
          <w:sz w:val="25"/>
          <w:szCs w:val="25"/>
        </w:rPr>
        <w:t xml:space="preserve"> </w:t>
      </w:r>
      <w:r>
        <w:rPr>
          <w:rFonts w:ascii="仿宋" w:hAnsi="仿宋" w:eastAsia="仿宋" w:cs="仿宋"/>
          <w:spacing w:val="8"/>
          <w:sz w:val="25"/>
          <w:szCs w:val="25"/>
        </w:rPr>
        <w:t>办法》有关规定办理使用林地手续。</w:t>
      </w:r>
    </w:p>
    <w:p w14:paraId="17A0E812">
      <w:pPr>
        <w:spacing w:before="147" w:line="326" w:lineRule="auto"/>
        <w:ind w:left="136" w:right="121" w:firstLine="533"/>
        <w:rPr>
          <w:rFonts w:ascii="仿宋" w:hAnsi="仿宋" w:eastAsia="仿宋" w:cs="仿宋"/>
          <w:sz w:val="25"/>
          <w:szCs w:val="25"/>
        </w:rPr>
      </w:pPr>
      <w:r>
        <w:rPr>
          <w:rFonts w:ascii="仿宋" w:hAnsi="仿宋" w:eastAsia="仿宋" w:cs="仿宋"/>
          <w:spacing w:val="3"/>
          <w:sz w:val="25"/>
          <w:szCs w:val="25"/>
        </w:rPr>
        <w:t>（</w:t>
      </w:r>
      <w:r>
        <w:rPr>
          <w:rFonts w:ascii="Times New Roman" w:hAnsi="Times New Roman" w:eastAsia="Times New Roman" w:cs="Times New Roman"/>
          <w:spacing w:val="3"/>
          <w:sz w:val="25"/>
          <w:szCs w:val="25"/>
        </w:rPr>
        <w:t>2</w:t>
      </w:r>
      <w:r>
        <w:rPr>
          <w:rFonts w:ascii="仿宋" w:hAnsi="仿宋" w:eastAsia="仿宋" w:cs="仿宋"/>
          <w:spacing w:val="3"/>
          <w:sz w:val="25"/>
          <w:szCs w:val="25"/>
        </w:rPr>
        <w:t>）勘查区块</w:t>
      </w:r>
      <w:r>
        <w:rPr>
          <w:rFonts w:ascii="仿宋" w:hAnsi="仿宋" w:eastAsia="仿宋" w:cs="仿宋"/>
          <w:spacing w:val="-56"/>
          <w:sz w:val="25"/>
          <w:szCs w:val="25"/>
        </w:rPr>
        <w:t xml:space="preserve"> </w:t>
      </w:r>
      <w:r>
        <w:rPr>
          <w:rFonts w:ascii="Times New Roman" w:hAnsi="Times New Roman" w:eastAsia="Times New Roman" w:cs="Times New Roman"/>
          <w:sz w:val="25"/>
          <w:szCs w:val="25"/>
        </w:rPr>
        <w:t>KQ</w:t>
      </w:r>
      <w:r>
        <w:rPr>
          <w:rFonts w:ascii="Times New Roman" w:hAnsi="Times New Roman" w:eastAsia="Times New Roman" w:cs="Times New Roman"/>
          <w:spacing w:val="3"/>
          <w:sz w:val="25"/>
          <w:szCs w:val="25"/>
        </w:rPr>
        <w:t>004</w:t>
      </w:r>
      <w:r>
        <w:rPr>
          <w:rFonts w:ascii="Times New Roman" w:hAnsi="Times New Roman" w:eastAsia="Times New Roman" w:cs="Times New Roman"/>
          <w:spacing w:val="25"/>
          <w:sz w:val="25"/>
          <w:szCs w:val="25"/>
        </w:rPr>
        <w:t xml:space="preserve"> </w:t>
      </w:r>
      <w:r>
        <w:rPr>
          <w:rFonts w:ascii="仿宋" w:hAnsi="仿宋" w:eastAsia="仿宋" w:cs="仿宋"/>
          <w:spacing w:val="3"/>
          <w:sz w:val="25"/>
          <w:szCs w:val="25"/>
        </w:rPr>
        <w:t>和</w:t>
      </w:r>
      <w:r>
        <w:rPr>
          <w:rFonts w:ascii="仿宋" w:hAnsi="仿宋" w:eastAsia="仿宋" w:cs="仿宋"/>
          <w:spacing w:val="-56"/>
          <w:sz w:val="25"/>
          <w:szCs w:val="25"/>
        </w:rPr>
        <w:t xml:space="preserve"> </w:t>
      </w:r>
      <w:r>
        <w:rPr>
          <w:rFonts w:ascii="Times New Roman" w:hAnsi="Times New Roman" w:eastAsia="Times New Roman" w:cs="Times New Roman"/>
          <w:sz w:val="25"/>
          <w:szCs w:val="25"/>
        </w:rPr>
        <w:t>KQ</w:t>
      </w:r>
      <w:r>
        <w:rPr>
          <w:rFonts w:ascii="Times New Roman" w:hAnsi="Times New Roman" w:eastAsia="Times New Roman" w:cs="Times New Roman"/>
          <w:spacing w:val="3"/>
          <w:sz w:val="25"/>
          <w:szCs w:val="25"/>
        </w:rPr>
        <w:t xml:space="preserve">009  </w:t>
      </w:r>
      <w:r>
        <w:rPr>
          <w:rFonts w:ascii="仿宋" w:hAnsi="仿宋" w:eastAsia="仿宋" w:cs="仿宋"/>
          <w:spacing w:val="3"/>
          <w:sz w:val="25"/>
          <w:szCs w:val="25"/>
        </w:rPr>
        <w:t>占用永久基本农田，评价</w:t>
      </w:r>
      <w:r>
        <w:rPr>
          <w:rFonts w:ascii="仿宋" w:hAnsi="仿宋" w:eastAsia="仿宋" w:cs="仿宋"/>
          <w:spacing w:val="2"/>
          <w:sz w:val="25"/>
          <w:szCs w:val="25"/>
        </w:rPr>
        <w:t>建议：在进行地</w:t>
      </w:r>
      <w:r>
        <w:rPr>
          <w:rFonts w:ascii="仿宋" w:hAnsi="仿宋" w:eastAsia="仿宋" w:cs="仿宋"/>
          <w:sz w:val="25"/>
          <w:szCs w:val="25"/>
        </w:rPr>
        <w:t xml:space="preserve"> </w:t>
      </w:r>
      <w:r>
        <w:rPr>
          <w:rFonts w:ascii="仿宋" w:hAnsi="仿宋" w:eastAsia="仿宋" w:cs="仿宋"/>
          <w:spacing w:val="10"/>
          <w:sz w:val="25"/>
          <w:szCs w:val="25"/>
        </w:rPr>
        <w:t>质勘查活动时应主动避让永久基本农田，确实</w:t>
      </w:r>
      <w:r>
        <w:rPr>
          <w:rFonts w:ascii="仿宋" w:hAnsi="仿宋" w:eastAsia="仿宋" w:cs="仿宋"/>
          <w:spacing w:val="9"/>
          <w:sz w:val="25"/>
          <w:szCs w:val="25"/>
        </w:rPr>
        <w:t>无法避让永久基本农田的，在不</w:t>
      </w:r>
      <w:r>
        <w:rPr>
          <w:rFonts w:ascii="仿宋" w:hAnsi="仿宋" w:eastAsia="仿宋" w:cs="仿宋"/>
          <w:sz w:val="25"/>
          <w:szCs w:val="25"/>
        </w:rPr>
        <w:t xml:space="preserve"> </w:t>
      </w:r>
      <w:r>
        <w:rPr>
          <w:rFonts w:ascii="仿宋" w:hAnsi="仿宋" w:eastAsia="仿宋" w:cs="仿宋"/>
          <w:spacing w:val="10"/>
          <w:sz w:val="25"/>
          <w:szCs w:val="25"/>
        </w:rPr>
        <w:t>修建永久建（构）筑物、经复垦能恢复原种植</w:t>
      </w:r>
      <w:r>
        <w:rPr>
          <w:rFonts w:ascii="仿宋" w:hAnsi="仿宋" w:eastAsia="仿宋" w:cs="仿宋"/>
          <w:spacing w:val="9"/>
          <w:sz w:val="25"/>
          <w:szCs w:val="25"/>
        </w:rPr>
        <w:t>条件的前提下，土地使用者按法</w:t>
      </w:r>
      <w:r>
        <w:rPr>
          <w:rFonts w:ascii="仿宋" w:hAnsi="仿宋" w:eastAsia="仿宋" w:cs="仿宋"/>
          <w:sz w:val="25"/>
          <w:szCs w:val="25"/>
        </w:rPr>
        <w:t xml:space="preserve"> </w:t>
      </w:r>
      <w:r>
        <w:rPr>
          <w:rFonts w:ascii="仿宋" w:hAnsi="仿宋" w:eastAsia="仿宋" w:cs="仿宋"/>
          <w:spacing w:val="10"/>
          <w:sz w:val="25"/>
          <w:szCs w:val="25"/>
        </w:rPr>
        <w:t>定程序申请临时用地并编制土地复垦方案。临</w:t>
      </w:r>
      <w:r>
        <w:rPr>
          <w:rFonts w:ascii="仿宋" w:hAnsi="仿宋" w:eastAsia="仿宋" w:cs="仿宋"/>
          <w:spacing w:val="9"/>
          <w:sz w:val="25"/>
          <w:szCs w:val="25"/>
        </w:rPr>
        <w:t>时用地使用前，应通过耕地耕作</w:t>
      </w:r>
      <w:r>
        <w:rPr>
          <w:rFonts w:ascii="仿宋" w:hAnsi="仿宋" w:eastAsia="仿宋" w:cs="仿宋"/>
          <w:sz w:val="25"/>
          <w:szCs w:val="25"/>
        </w:rPr>
        <w:t xml:space="preserve"> </w:t>
      </w:r>
      <w:r>
        <w:rPr>
          <w:rFonts w:ascii="仿宋" w:hAnsi="仿宋" w:eastAsia="仿宋" w:cs="仿宋"/>
          <w:spacing w:val="8"/>
          <w:sz w:val="25"/>
          <w:szCs w:val="25"/>
        </w:rPr>
        <w:t>层土壤剥离再利用等工程技术措施，减少对耕作层的破坏，</w:t>
      </w:r>
      <w:r>
        <w:rPr>
          <w:rFonts w:ascii="仿宋" w:hAnsi="仿宋" w:eastAsia="仿宋" w:cs="仿宋"/>
          <w:spacing w:val="-71"/>
          <w:sz w:val="25"/>
          <w:szCs w:val="25"/>
        </w:rPr>
        <w:t xml:space="preserve"> </w:t>
      </w:r>
      <w:r>
        <w:rPr>
          <w:rFonts w:ascii="仿宋" w:hAnsi="仿宋" w:eastAsia="仿宋" w:cs="仿宋"/>
          <w:spacing w:val="8"/>
          <w:sz w:val="25"/>
          <w:szCs w:val="25"/>
        </w:rPr>
        <w:t>同时采用绿色勘查</w:t>
      </w:r>
      <w:r>
        <w:rPr>
          <w:rFonts w:ascii="仿宋" w:hAnsi="仿宋" w:eastAsia="仿宋" w:cs="仿宋"/>
          <w:sz w:val="25"/>
          <w:szCs w:val="25"/>
        </w:rPr>
        <w:t xml:space="preserve"> </w:t>
      </w:r>
      <w:r>
        <w:rPr>
          <w:rFonts w:ascii="仿宋" w:hAnsi="仿宋" w:eastAsia="仿宋" w:cs="仿宋"/>
          <w:spacing w:val="7"/>
          <w:sz w:val="25"/>
          <w:szCs w:val="25"/>
        </w:rPr>
        <w:t>方式，勘查时尽量少占或不占永久基本农田。</w:t>
      </w:r>
      <w:r>
        <w:rPr>
          <w:rFonts w:ascii="Times New Roman" w:hAnsi="Times New Roman" w:eastAsia="Times New Roman" w:cs="Times New Roman"/>
          <w:sz w:val="25"/>
          <w:szCs w:val="25"/>
        </w:rPr>
        <w:t>KQ</w:t>
      </w:r>
      <w:r>
        <w:rPr>
          <w:rFonts w:ascii="Times New Roman" w:hAnsi="Times New Roman" w:eastAsia="Times New Roman" w:cs="Times New Roman"/>
          <w:spacing w:val="7"/>
          <w:sz w:val="25"/>
          <w:szCs w:val="25"/>
        </w:rPr>
        <w:t>004</w:t>
      </w:r>
      <w:r>
        <w:rPr>
          <w:rFonts w:ascii="Times New Roman" w:hAnsi="Times New Roman" w:eastAsia="Times New Roman" w:cs="Times New Roman"/>
          <w:spacing w:val="-26"/>
          <w:sz w:val="25"/>
          <w:szCs w:val="25"/>
        </w:rPr>
        <w:t xml:space="preserve"> </w:t>
      </w:r>
      <w:r>
        <w:rPr>
          <w:rFonts w:ascii="仿宋" w:hAnsi="仿宋" w:eastAsia="仿宋" w:cs="仿宋"/>
          <w:spacing w:val="7"/>
          <w:sz w:val="25"/>
          <w:szCs w:val="25"/>
        </w:rPr>
        <w:t>、</w:t>
      </w:r>
      <w:r>
        <w:rPr>
          <w:rFonts w:ascii="Times New Roman" w:hAnsi="Times New Roman" w:eastAsia="Times New Roman" w:cs="Times New Roman"/>
          <w:sz w:val="25"/>
          <w:szCs w:val="25"/>
        </w:rPr>
        <w:t>KQ</w:t>
      </w:r>
      <w:r>
        <w:rPr>
          <w:rFonts w:ascii="Times New Roman" w:hAnsi="Times New Roman" w:eastAsia="Times New Roman" w:cs="Times New Roman"/>
          <w:spacing w:val="7"/>
          <w:sz w:val="25"/>
          <w:szCs w:val="25"/>
        </w:rPr>
        <w:t>009</w:t>
      </w:r>
      <w:r>
        <w:rPr>
          <w:rFonts w:ascii="Times New Roman" w:hAnsi="Times New Roman" w:eastAsia="Times New Roman" w:cs="Times New Roman"/>
          <w:spacing w:val="22"/>
          <w:sz w:val="25"/>
          <w:szCs w:val="25"/>
        </w:rPr>
        <w:t xml:space="preserve"> </w:t>
      </w:r>
      <w:r>
        <w:rPr>
          <w:rFonts w:ascii="仿宋" w:hAnsi="仿宋" w:eastAsia="仿宋" w:cs="仿宋"/>
          <w:spacing w:val="7"/>
          <w:sz w:val="25"/>
          <w:szCs w:val="25"/>
        </w:rPr>
        <w:t>如需</w:t>
      </w:r>
      <w:r>
        <w:rPr>
          <w:rFonts w:ascii="仿宋" w:hAnsi="仿宋" w:eastAsia="仿宋" w:cs="仿宋"/>
          <w:spacing w:val="6"/>
          <w:sz w:val="25"/>
          <w:szCs w:val="25"/>
        </w:rPr>
        <w:t>转为开采区</w:t>
      </w:r>
      <w:r>
        <w:rPr>
          <w:rFonts w:ascii="仿宋" w:hAnsi="仿宋" w:eastAsia="仿宋" w:cs="仿宋"/>
          <w:sz w:val="25"/>
          <w:szCs w:val="25"/>
        </w:rPr>
        <w:t xml:space="preserve"> </w:t>
      </w:r>
      <w:r>
        <w:rPr>
          <w:rFonts w:ascii="仿宋" w:hAnsi="仿宋" w:eastAsia="仿宋" w:cs="仿宋"/>
          <w:spacing w:val="10"/>
          <w:sz w:val="25"/>
          <w:szCs w:val="25"/>
        </w:rPr>
        <w:t>块，则应优化矿区布局，地面工程避让永久基</w:t>
      </w:r>
      <w:r>
        <w:rPr>
          <w:rFonts w:ascii="仿宋" w:hAnsi="仿宋" w:eastAsia="仿宋" w:cs="仿宋"/>
          <w:spacing w:val="9"/>
          <w:sz w:val="25"/>
          <w:szCs w:val="25"/>
        </w:rPr>
        <w:t>本农田，确保不造成永久基本农</w:t>
      </w:r>
      <w:r>
        <w:rPr>
          <w:rFonts w:ascii="仿宋" w:hAnsi="仿宋" w:eastAsia="仿宋" w:cs="仿宋"/>
          <w:sz w:val="25"/>
          <w:szCs w:val="25"/>
        </w:rPr>
        <w:t xml:space="preserve"> </w:t>
      </w:r>
      <w:r>
        <w:rPr>
          <w:rFonts w:ascii="仿宋" w:hAnsi="仿宋" w:eastAsia="仿宋" w:cs="仿宋"/>
          <w:spacing w:val="6"/>
          <w:sz w:val="25"/>
          <w:szCs w:val="25"/>
        </w:rPr>
        <w:t>田损毁、塌陷破坏。</w:t>
      </w:r>
    </w:p>
    <w:p w14:paraId="441C786C">
      <w:pPr>
        <w:spacing w:before="152" w:line="339" w:lineRule="auto"/>
        <w:ind w:left="136" w:right="49" w:firstLine="521"/>
        <w:jc w:val="both"/>
        <w:rPr>
          <w:rFonts w:ascii="仿宋" w:hAnsi="仿宋" w:eastAsia="仿宋" w:cs="仿宋"/>
          <w:sz w:val="25"/>
          <w:szCs w:val="25"/>
        </w:rPr>
      </w:pPr>
      <w:r>
        <w:rPr>
          <w:rFonts w:ascii="仿宋" w:hAnsi="仿宋" w:eastAsia="仿宋" w:cs="仿宋"/>
          <w:spacing w:val="9"/>
          <w:sz w:val="25"/>
          <w:szCs w:val="25"/>
        </w:rPr>
        <w:t>根据各类法定保护区域相关生态空间管控要求，再结合调整区块布局生态</w:t>
      </w:r>
      <w:r>
        <w:rPr>
          <w:rFonts w:ascii="仿宋" w:hAnsi="仿宋" w:eastAsia="仿宋" w:cs="仿宋"/>
          <w:spacing w:val="15"/>
          <w:sz w:val="25"/>
          <w:szCs w:val="25"/>
        </w:rPr>
        <w:t xml:space="preserve"> </w:t>
      </w:r>
      <w:r>
        <w:rPr>
          <w:rFonts w:ascii="仿宋" w:hAnsi="仿宋" w:eastAsia="仿宋" w:cs="仿宋"/>
          <w:spacing w:val="4"/>
          <w:sz w:val="25"/>
          <w:szCs w:val="25"/>
        </w:rPr>
        <w:t>环境影响评价结果的基础上，重点针对勘查开采区块提出了具体优化调整建议，</w:t>
      </w:r>
      <w:r>
        <w:rPr>
          <w:rFonts w:ascii="仿宋" w:hAnsi="仿宋" w:eastAsia="仿宋" w:cs="仿宋"/>
          <w:spacing w:val="7"/>
          <w:sz w:val="25"/>
          <w:szCs w:val="25"/>
        </w:rPr>
        <w:t xml:space="preserve"> </w:t>
      </w:r>
      <w:r>
        <w:rPr>
          <w:rFonts w:ascii="仿宋" w:hAnsi="仿宋" w:eastAsia="仿宋" w:cs="仿宋"/>
          <w:spacing w:val="5"/>
          <w:sz w:val="25"/>
          <w:szCs w:val="25"/>
        </w:rPr>
        <w:t>详见表</w:t>
      </w:r>
      <w:r>
        <w:rPr>
          <w:rFonts w:ascii="仿宋" w:hAnsi="仿宋" w:eastAsia="仿宋" w:cs="仿宋"/>
          <w:spacing w:val="-49"/>
          <w:sz w:val="25"/>
          <w:szCs w:val="25"/>
        </w:rPr>
        <w:t xml:space="preserve"> </w:t>
      </w:r>
      <w:r>
        <w:rPr>
          <w:rFonts w:ascii="Times New Roman" w:hAnsi="Times New Roman" w:eastAsia="Times New Roman" w:cs="Times New Roman"/>
          <w:spacing w:val="5"/>
          <w:sz w:val="25"/>
          <w:szCs w:val="25"/>
        </w:rPr>
        <w:t>6.2-1</w:t>
      </w:r>
      <w:r>
        <w:rPr>
          <w:rFonts w:ascii="Times New Roman" w:hAnsi="Times New Roman" w:eastAsia="Times New Roman" w:cs="Times New Roman"/>
          <w:spacing w:val="-23"/>
          <w:sz w:val="25"/>
          <w:szCs w:val="25"/>
        </w:rPr>
        <w:t xml:space="preserve"> </w:t>
      </w:r>
      <w:r>
        <w:rPr>
          <w:rFonts w:ascii="仿宋" w:hAnsi="仿宋" w:eastAsia="仿宋" w:cs="仿宋"/>
          <w:spacing w:val="5"/>
          <w:sz w:val="25"/>
          <w:szCs w:val="25"/>
        </w:rPr>
        <w:t>。调整区块优化调整建议图见附图</w:t>
      </w:r>
      <w:r>
        <w:rPr>
          <w:rFonts w:ascii="仿宋" w:hAnsi="仿宋" w:eastAsia="仿宋" w:cs="仿宋"/>
          <w:spacing w:val="-47"/>
          <w:sz w:val="25"/>
          <w:szCs w:val="25"/>
        </w:rPr>
        <w:t xml:space="preserve"> </w:t>
      </w:r>
      <w:r>
        <w:rPr>
          <w:rFonts w:ascii="Times New Roman" w:hAnsi="Times New Roman" w:eastAsia="Times New Roman" w:cs="Times New Roman"/>
          <w:spacing w:val="4"/>
          <w:sz w:val="25"/>
          <w:szCs w:val="25"/>
        </w:rPr>
        <w:t>6-1</w:t>
      </w:r>
      <w:r>
        <w:rPr>
          <w:rFonts w:ascii="仿宋" w:hAnsi="仿宋" w:eastAsia="仿宋" w:cs="仿宋"/>
          <w:spacing w:val="4"/>
          <w:sz w:val="25"/>
          <w:szCs w:val="25"/>
        </w:rPr>
        <w:t>。</w:t>
      </w:r>
    </w:p>
    <w:p w14:paraId="4D698757">
      <w:pPr>
        <w:spacing w:before="45" w:line="229" w:lineRule="auto"/>
        <w:ind w:left="2446"/>
        <w:rPr>
          <w:rFonts w:ascii="仿宋" w:hAnsi="仿宋" w:eastAsia="仿宋" w:cs="仿宋"/>
          <w:sz w:val="20"/>
          <w:szCs w:val="20"/>
        </w:rPr>
      </w:pPr>
      <w:r>
        <w:rPr>
          <w:rFonts w:ascii="仿宋" w:hAnsi="仿宋" w:eastAsia="仿宋" w:cs="仿宋"/>
          <w:b/>
          <w:bCs/>
          <w:spacing w:val="5"/>
          <w:sz w:val="20"/>
          <w:szCs w:val="20"/>
        </w:rPr>
        <w:t>表</w:t>
      </w:r>
      <w:r>
        <w:rPr>
          <w:rFonts w:ascii="仿宋" w:hAnsi="仿宋" w:eastAsia="仿宋" w:cs="仿宋"/>
          <w:spacing w:val="-30"/>
          <w:sz w:val="20"/>
          <w:szCs w:val="20"/>
        </w:rPr>
        <w:t xml:space="preserve"> </w:t>
      </w:r>
      <w:r>
        <w:rPr>
          <w:rFonts w:ascii="Times New Roman" w:hAnsi="Times New Roman" w:eastAsia="Times New Roman" w:cs="Times New Roman"/>
          <w:b/>
          <w:bCs/>
          <w:spacing w:val="5"/>
          <w:sz w:val="20"/>
          <w:szCs w:val="20"/>
        </w:rPr>
        <w:t xml:space="preserve">6.2-1  </w:t>
      </w:r>
      <w:r>
        <w:rPr>
          <w:rFonts w:ascii="仿宋" w:hAnsi="仿宋" w:eastAsia="仿宋" w:cs="仿宋"/>
          <w:b/>
          <w:bCs/>
          <w:spacing w:val="5"/>
          <w:sz w:val="20"/>
          <w:szCs w:val="20"/>
        </w:rPr>
        <w:t>开采规划布局优化调整建议</w:t>
      </w:r>
    </w:p>
    <w:p w14:paraId="3E2737B3">
      <w:pPr>
        <w:spacing w:line="23" w:lineRule="exact"/>
      </w:pPr>
    </w:p>
    <w:tbl>
      <w:tblPr>
        <w:tblStyle w:val="5"/>
        <w:tblW w:w="905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0"/>
        <w:gridCol w:w="1054"/>
        <w:gridCol w:w="1986"/>
        <w:gridCol w:w="2147"/>
        <w:gridCol w:w="2044"/>
        <w:gridCol w:w="1018"/>
      </w:tblGrid>
      <w:tr w14:paraId="1E82EF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810" w:type="dxa"/>
            <w:tcBorders>
              <w:top w:val="single" w:color="000000" w:sz="10" w:space="0"/>
              <w:left w:val="single" w:color="000000" w:sz="10" w:space="0"/>
            </w:tcBorders>
            <w:vAlign w:val="top"/>
          </w:tcPr>
          <w:p w14:paraId="7E820150">
            <w:pPr>
              <w:pStyle w:val="6"/>
              <w:spacing w:before="35" w:line="233" w:lineRule="auto"/>
              <w:ind w:left="200"/>
              <w:rPr>
                <w:sz w:val="19"/>
                <w:szCs w:val="19"/>
              </w:rPr>
            </w:pPr>
            <w:r>
              <w:rPr>
                <w:spacing w:val="2"/>
                <w:sz w:val="19"/>
                <w:szCs w:val="19"/>
              </w:rPr>
              <w:t>规划</w:t>
            </w:r>
          </w:p>
          <w:p w14:paraId="22B9F7BC">
            <w:pPr>
              <w:pStyle w:val="6"/>
              <w:spacing w:before="19" w:line="211" w:lineRule="auto"/>
              <w:ind w:left="203"/>
              <w:rPr>
                <w:sz w:val="19"/>
                <w:szCs w:val="19"/>
              </w:rPr>
            </w:pPr>
            <w:r>
              <w:rPr>
                <w:spacing w:val="1"/>
                <w:sz w:val="19"/>
                <w:szCs w:val="19"/>
              </w:rPr>
              <w:t>分区</w:t>
            </w:r>
          </w:p>
        </w:tc>
        <w:tc>
          <w:tcPr>
            <w:tcW w:w="1054" w:type="dxa"/>
            <w:tcBorders>
              <w:top w:val="single" w:color="000000" w:sz="10" w:space="0"/>
            </w:tcBorders>
            <w:vAlign w:val="top"/>
          </w:tcPr>
          <w:p w14:paraId="18A55E7D">
            <w:pPr>
              <w:pStyle w:val="6"/>
              <w:spacing w:before="165" w:line="230" w:lineRule="auto"/>
              <w:ind w:left="327"/>
              <w:rPr>
                <w:sz w:val="19"/>
                <w:szCs w:val="19"/>
              </w:rPr>
            </w:pPr>
            <w:r>
              <w:rPr>
                <w:spacing w:val="2"/>
                <w:sz w:val="19"/>
                <w:szCs w:val="19"/>
              </w:rPr>
              <w:t>矿种</w:t>
            </w:r>
          </w:p>
        </w:tc>
        <w:tc>
          <w:tcPr>
            <w:tcW w:w="1986" w:type="dxa"/>
            <w:tcBorders>
              <w:top w:val="single" w:color="000000" w:sz="10" w:space="0"/>
            </w:tcBorders>
            <w:vAlign w:val="top"/>
          </w:tcPr>
          <w:p w14:paraId="018F3801">
            <w:pPr>
              <w:pStyle w:val="6"/>
              <w:spacing w:before="165" w:line="230" w:lineRule="auto"/>
              <w:ind w:left="315"/>
              <w:rPr>
                <w:sz w:val="19"/>
                <w:szCs w:val="19"/>
              </w:rPr>
            </w:pPr>
            <w:r>
              <w:rPr>
                <w:spacing w:val="5"/>
                <w:sz w:val="19"/>
                <w:szCs w:val="19"/>
              </w:rPr>
              <w:t>区块编号及名称</w:t>
            </w:r>
          </w:p>
        </w:tc>
        <w:tc>
          <w:tcPr>
            <w:tcW w:w="2147" w:type="dxa"/>
            <w:tcBorders>
              <w:top w:val="single" w:color="000000" w:sz="10" w:space="0"/>
            </w:tcBorders>
            <w:vAlign w:val="top"/>
          </w:tcPr>
          <w:p w14:paraId="072A9C2B">
            <w:pPr>
              <w:pStyle w:val="6"/>
              <w:spacing w:before="165" w:line="233" w:lineRule="auto"/>
              <w:ind w:left="686"/>
              <w:rPr>
                <w:sz w:val="19"/>
                <w:szCs w:val="19"/>
              </w:rPr>
            </w:pPr>
            <w:r>
              <w:rPr>
                <w:spacing w:val="6"/>
                <w:sz w:val="19"/>
                <w:szCs w:val="19"/>
              </w:rPr>
              <w:t>调整建议</w:t>
            </w:r>
          </w:p>
        </w:tc>
        <w:tc>
          <w:tcPr>
            <w:tcW w:w="2044" w:type="dxa"/>
            <w:tcBorders>
              <w:top w:val="single" w:color="000000" w:sz="10" w:space="0"/>
            </w:tcBorders>
            <w:vAlign w:val="top"/>
          </w:tcPr>
          <w:p w14:paraId="092EEB04">
            <w:pPr>
              <w:pStyle w:val="6"/>
              <w:spacing w:before="165" w:line="232" w:lineRule="auto"/>
              <w:ind w:left="339"/>
              <w:rPr>
                <w:sz w:val="19"/>
                <w:szCs w:val="19"/>
              </w:rPr>
            </w:pPr>
            <w:r>
              <w:rPr>
                <w:spacing w:val="7"/>
                <w:sz w:val="19"/>
                <w:szCs w:val="19"/>
              </w:rPr>
              <w:t>调整依据或原因</w:t>
            </w:r>
          </w:p>
        </w:tc>
        <w:tc>
          <w:tcPr>
            <w:tcW w:w="1018" w:type="dxa"/>
            <w:tcBorders>
              <w:top w:val="single" w:color="000000" w:sz="10" w:space="0"/>
              <w:right w:val="single" w:color="000000" w:sz="10" w:space="0"/>
            </w:tcBorders>
            <w:vAlign w:val="top"/>
          </w:tcPr>
          <w:p w14:paraId="3072177F">
            <w:pPr>
              <w:pStyle w:val="6"/>
              <w:spacing w:before="166" w:line="233" w:lineRule="auto"/>
              <w:ind w:left="324"/>
              <w:rPr>
                <w:sz w:val="19"/>
                <w:szCs w:val="19"/>
              </w:rPr>
            </w:pPr>
            <w:r>
              <w:rPr>
                <w:spacing w:val="1"/>
                <w:sz w:val="19"/>
                <w:szCs w:val="19"/>
              </w:rPr>
              <w:t>备注</w:t>
            </w:r>
          </w:p>
        </w:tc>
      </w:tr>
      <w:tr w14:paraId="7626E1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810" w:type="dxa"/>
            <w:tcBorders>
              <w:left w:val="single" w:color="000000" w:sz="10" w:space="0"/>
              <w:bottom w:val="single" w:color="000000" w:sz="10" w:space="0"/>
            </w:tcBorders>
            <w:vAlign w:val="top"/>
          </w:tcPr>
          <w:p w14:paraId="5A478E24">
            <w:pPr>
              <w:spacing w:line="362" w:lineRule="auto"/>
              <w:rPr>
                <w:rFonts w:ascii="Arial"/>
                <w:sz w:val="21"/>
              </w:rPr>
            </w:pPr>
          </w:p>
          <w:p w14:paraId="73929CA8">
            <w:pPr>
              <w:pStyle w:val="6"/>
              <w:spacing w:before="62" w:line="233" w:lineRule="auto"/>
              <w:ind w:left="200"/>
              <w:rPr>
                <w:sz w:val="19"/>
                <w:szCs w:val="19"/>
              </w:rPr>
            </w:pPr>
            <w:r>
              <w:rPr>
                <w:spacing w:val="2"/>
                <w:sz w:val="19"/>
                <w:szCs w:val="19"/>
              </w:rPr>
              <w:t>勘查</w:t>
            </w:r>
          </w:p>
          <w:p w14:paraId="393EB858">
            <w:pPr>
              <w:pStyle w:val="6"/>
              <w:spacing w:before="18" w:line="233" w:lineRule="auto"/>
              <w:ind w:left="200"/>
              <w:rPr>
                <w:sz w:val="19"/>
                <w:szCs w:val="19"/>
              </w:rPr>
            </w:pPr>
            <w:r>
              <w:rPr>
                <w:spacing w:val="2"/>
                <w:sz w:val="19"/>
                <w:szCs w:val="19"/>
              </w:rPr>
              <w:t>规划</w:t>
            </w:r>
          </w:p>
          <w:p w14:paraId="4CC1E988">
            <w:pPr>
              <w:pStyle w:val="6"/>
              <w:spacing w:before="17" w:line="232" w:lineRule="auto"/>
              <w:ind w:left="218"/>
              <w:rPr>
                <w:sz w:val="19"/>
                <w:szCs w:val="19"/>
              </w:rPr>
            </w:pPr>
            <w:r>
              <w:rPr>
                <w:spacing w:val="-7"/>
                <w:sz w:val="19"/>
                <w:szCs w:val="19"/>
              </w:rPr>
              <w:t>区块</w:t>
            </w:r>
          </w:p>
        </w:tc>
        <w:tc>
          <w:tcPr>
            <w:tcW w:w="1054" w:type="dxa"/>
            <w:tcBorders>
              <w:bottom w:val="single" w:color="000000" w:sz="10" w:space="0"/>
            </w:tcBorders>
            <w:vAlign w:val="top"/>
          </w:tcPr>
          <w:p w14:paraId="27C9DB2D">
            <w:pPr>
              <w:spacing w:line="309" w:lineRule="auto"/>
              <w:rPr>
                <w:rFonts w:ascii="Arial"/>
                <w:sz w:val="21"/>
              </w:rPr>
            </w:pPr>
          </w:p>
          <w:p w14:paraId="525FBF28">
            <w:pPr>
              <w:spacing w:line="310" w:lineRule="auto"/>
              <w:rPr>
                <w:rFonts w:ascii="Arial"/>
                <w:sz w:val="21"/>
              </w:rPr>
            </w:pPr>
          </w:p>
          <w:p w14:paraId="65AB603C">
            <w:pPr>
              <w:pStyle w:val="6"/>
              <w:spacing w:before="61" w:line="233" w:lineRule="auto"/>
              <w:ind w:left="230"/>
              <w:rPr>
                <w:sz w:val="19"/>
                <w:szCs w:val="19"/>
              </w:rPr>
            </w:pPr>
            <w:r>
              <w:rPr>
                <w:spacing w:val="5"/>
                <w:sz w:val="19"/>
                <w:szCs w:val="19"/>
              </w:rPr>
              <w:t>铝土矿</w:t>
            </w:r>
          </w:p>
        </w:tc>
        <w:tc>
          <w:tcPr>
            <w:tcW w:w="1986" w:type="dxa"/>
            <w:tcBorders>
              <w:bottom w:val="single" w:color="000000" w:sz="10" w:space="0"/>
            </w:tcBorders>
            <w:vAlign w:val="top"/>
          </w:tcPr>
          <w:p w14:paraId="356325FB">
            <w:pPr>
              <w:spacing w:line="362" w:lineRule="auto"/>
              <w:rPr>
                <w:rFonts w:ascii="Arial"/>
                <w:sz w:val="21"/>
              </w:rPr>
            </w:pPr>
          </w:p>
          <w:p w14:paraId="6567BF29">
            <w:pPr>
              <w:pStyle w:val="6"/>
              <w:spacing w:before="62" w:line="250" w:lineRule="auto"/>
              <w:ind w:left="180" w:right="164" w:hanging="12"/>
              <w:jc w:val="both"/>
              <w:rPr>
                <w:sz w:val="19"/>
                <w:szCs w:val="19"/>
              </w:rPr>
            </w:pPr>
            <w:r>
              <w:rPr>
                <w:rFonts w:ascii="Times New Roman" w:hAnsi="Times New Roman" w:eastAsia="Times New Roman" w:cs="Times New Roman"/>
                <w:sz w:val="19"/>
                <w:szCs w:val="19"/>
              </w:rPr>
              <w:t>KQ</w:t>
            </w:r>
            <w:r>
              <w:rPr>
                <w:rFonts w:ascii="Times New Roman" w:hAnsi="Times New Roman" w:eastAsia="Times New Roman" w:cs="Times New Roman"/>
                <w:spacing w:val="6"/>
                <w:sz w:val="19"/>
                <w:szCs w:val="19"/>
              </w:rPr>
              <w:t>004</w:t>
            </w:r>
            <w:r>
              <w:rPr>
                <w:rFonts w:ascii="Times New Roman" w:hAnsi="Times New Roman" w:eastAsia="Times New Roman" w:cs="Times New Roman"/>
                <w:spacing w:val="27"/>
                <w:sz w:val="19"/>
                <w:szCs w:val="19"/>
              </w:rPr>
              <w:t xml:space="preserve"> </w:t>
            </w:r>
            <w:r>
              <w:rPr>
                <w:spacing w:val="6"/>
                <w:sz w:val="19"/>
                <w:szCs w:val="19"/>
              </w:rPr>
              <w:t>重庆市黔江</w:t>
            </w:r>
            <w:r>
              <w:rPr>
                <w:sz w:val="19"/>
                <w:szCs w:val="19"/>
              </w:rPr>
              <w:t xml:space="preserve"> </w:t>
            </w:r>
            <w:r>
              <w:rPr>
                <w:spacing w:val="5"/>
                <w:sz w:val="19"/>
                <w:szCs w:val="19"/>
              </w:rPr>
              <w:t>区中塘镇水田坝</w:t>
            </w:r>
            <w:r>
              <w:rPr>
                <w:rFonts w:ascii="Times New Roman" w:hAnsi="Times New Roman" w:eastAsia="Times New Roman" w:cs="Times New Roman"/>
                <w:spacing w:val="5"/>
                <w:sz w:val="19"/>
                <w:szCs w:val="19"/>
              </w:rPr>
              <w:t>-</w:t>
            </w:r>
            <w:r>
              <w:rPr>
                <w:spacing w:val="5"/>
                <w:sz w:val="19"/>
                <w:szCs w:val="19"/>
              </w:rPr>
              <w:t xml:space="preserve">二 </w:t>
            </w:r>
            <w:r>
              <w:rPr>
                <w:spacing w:val="10"/>
                <w:sz w:val="19"/>
                <w:szCs w:val="19"/>
              </w:rPr>
              <w:t>坪铝土矿勘查区块</w:t>
            </w:r>
          </w:p>
        </w:tc>
        <w:tc>
          <w:tcPr>
            <w:tcW w:w="2147" w:type="dxa"/>
            <w:tcBorders>
              <w:bottom w:val="single" w:color="000000" w:sz="10" w:space="0"/>
            </w:tcBorders>
            <w:vAlign w:val="top"/>
          </w:tcPr>
          <w:p w14:paraId="77C4776F">
            <w:pPr>
              <w:pStyle w:val="6"/>
              <w:spacing w:before="166" w:line="252" w:lineRule="auto"/>
              <w:ind w:left="117" w:right="84" w:firstLine="10"/>
              <w:jc w:val="both"/>
              <w:rPr>
                <w:sz w:val="19"/>
                <w:szCs w:val="19"/>
              </w:rPr>
            </w:pPr>
            <w:r>
              <w:rPr>
                <w:rFonts w:ascii="Times New Roman" w:hAnsi="Times New Roman" w:eastAsia="Times New Roman" w:cs="Times New Roman"/>
                <w:spacing w:val="7"/>
                <w:sz w:val="19"/>
                <w:szCs w:val="19"/>
              </w:rPr>
              <w:t>1</w:t>
            </w:r>
            <w:r>
              <w:rPr>
                <w:rFonts w:ascii="Times New Roman" w:hAnsi="Times New Roman" w:eastAsia="Times New Roman" w:cs="Times New Roman"/>
                <w:spacing w:val="-11"/>
                <w:sz w:val="19"/>
                <w:szCs w:val="19"/>
              </w:rPr>
              <w:t xml:space="preserve"> </w:t>
            </w:r>
            <w:r>
              <w:rPr>
                <w:spacing w:val="7"/>
                <w:sz w:val="19"/>
                <w:szCs w:val="19"/>
              </w:rPr>
              <w:t>、勘查时尽量避让公</w:t>
            </w:r>
            <w:r>
              <w:rPr>
                <w:sz w:val="19"/>
                <w:szCs w:val="19"/>
              </w:rPr>
              <w:t xml:space="preserve"> </w:t>
            </w:r>
            <w:r>
              <w:rPr>
                <w:spacing w:val="2"/>
                <w:sz w:val="19"/>
                <w:szCs w:val="19"/>
              </w:rPr>
              <w:t>益林地，开采前应优先</w:t>
            </w:r>
            <w:r>
              <w:rPr>
                <w:sz w:val="19"/>
                <w:szCs w:val="19"/>
              </w:rPr>
              <w:t xml:space="preserve"> </w:t>
            </w:r>
            <w:r>
              <w:rPr>
                <w:spacing w:val="2"/>
                <w:sz w:val="19"/>
                <w:szCs w:val="19"/>
              </w:rPr>
              <w:t xml:space="preserve">优化布局，地面工程不 </w:t>
            </w:r>
            <w:r>
              <w:rPr>
                <w:spacing w:val="4"/>
                <w:sz w:val="19"/>
                <w:szCs w:val="19"/>
              </w:rPr>
              <w:t>占或者少占公益林地，</w:t>
            </w:r>
            <w:r>
              <w:rPr>
                <w:sz w:val="19"/>
                <w:szCs w:val="19"/>
              </w:rPr>
              <w:t xml:space="preserve"> </w:t>
            </w:r>
            <w:r>
              <w:rPr>
                <w:spacing w:val="2"/>
                <w:sz w:val="19"/>
                <w:szCs w:val="19"/>
              </w:rPr>
              <w:t>确需占用的，严格按照</w:t>
            </w:r>
          </w:p>
        </w:tc>
        <w:tc>
          <w:tcPr>
            <w:tcW w:w="2044" w:type="dxa"/>
            <w:tcBorders>
              <w:bottom w:val="single" w:color="000000" w:sz="10" w:space="0"/>
            </w:tcBorders>
            <w:vAlign w:val="top"/>
          </w:tcPr>
          <w:p w14:paraId="2EA8D03D">
            <w:pPr>
              <w:pStyle w:val="6"/>
              <w:spacing w:before="37" w:line="231" w:lineRule="auto"/>
              <w:ind w:left="147"/>
              <w:rPr>
                <w:sz w:val="19"/>
                <w:szCs w:val="19"/>
              </w:rPr>
            </w:pPr>
            <w:r>
              <w:rPr>
                <w:spacing w:val="7"/>
                <w:sz w:val="19"/>
                <w:szCs w:val="19"/>
              </w:rPr>
              <w:t>与二级国家级公益林</w:t>
            </w:r>
          </w:p>
          <w:p w14:paraId="27D7446E">
            <w:pPr>
              <w:pStyle w:val="6"/>
              <w:spacing w:before="20" w:line="236" w:lineRule="auto"/>
              <w:ind w:left="129"/>
              <w:rPr>
                <w:sz w:val="19"/>
                <w:szCs w:val="19"/>
              </w:rPr>
            </w:pPr>
            <w:r>
              <w:rPr>
                <w:spacing w:val="-2"/>
                <w:sz w:val="19"/>
                <w:szCs w:val="19"/>
              </w:rPr>
              <w:t>重叠</w:t>
            </w:r>
            <w:r>
              <w:rPr>
                <w:spacing w:val="-30"/>
                <w:sz w:val="19"/>
                <w:szCs w:val="19"/>
              </w:rPr>
              <w:t xml:space="preserve"> </w:t>
            </w:r>
            <w:r>
              <w:rPr>
                <w:rFonts w:ascii="Times New Roman" w:hAnsi="Times New Roman" w:eastAsia="Times New Roman" w:cs="Times New Roman"/>
                <w:spacing w:val="-2"/>
                <w:sz w:val="19"/>
                <w:szCs w:val="19"/>
              </w:rPr>
              <w:t>2.7963km</w:t>
            </w:r>
            <w:r>
              <w:rPr>
                <w:rFonts w:ascii="Times New Roman" w:hAnsi="Times New Roman" w:eastAsia="Times New Roman" w:cs="Times New Roman"/>
                <w:spacing w:val="-2"/>
                <w:position w:val="6"/>
                <w:sz w:val="12"/>
                <w:szCs w:val="12"/>
              </w:rPr>
              <w:t>2</w:t>
            </w:r>
            <w:r>
              <w:rPr>
                <w:spacing w:val="-2"/>
                <w:sz w:val="19"/>
                <w:szCs w:val="19"/>
              </w:rPr>
              <w:t>，重叠</w:t>
            </w:r>
          </w:p>
          <w:p w14:paraId="489C7544">
            <w:pPr>
              <w:pStyle w:val="6"/>
              <w:spacing w:before="16" w:line="232" w:lineRule="auto"/>
              <w:ind w:left="479"/>
              <w:rPr>
                <w:sz w:val="19"/>
                <w:szCs w:val="19"/>
              </w:rPr>
            </w:pPr>
            <w:r>
              <w:rPr>
                <w:spacing w:val="-2"/>
                <w:sz w:val="19"/>
                <w:szCs w:val="19"/>
              </w:rPr>
              <w:t>比例</w:t>
            </w:r>
            <w:r>
              <w:rPr>
                <w:spacing w:val="-22"/>
                <w:sz w:val="19"/>
                <w:szCs w:val="19"/>
              </w:rPr>
              <w:t xml:space="preserve"> </w:t>
            </w:r>
            <w:r>
              <w:rPr>
                <w:rFonts w:ascii="Times New Roman" w:hAnsi="Times New Roman" w:eastAsia="Times New Roman" w:cs="Times New Roman"/>
                <w:spacing w:val="-2"/>
                <w:sz w:val="19"/>
                <w:szCs w:val="19"/>
              </w:rPr>
              <w:t>16.2%</w:t>
            </w:r>
            <w:r>
              <w:rPr>
                <w:spacing w:val="-2"/>
                <w:sz w:val="19"/>
                <w:szCs w:val="19"/>
              </w:rPr>
              <w:t>。</w:t>
            </w:r>
          </w:p>
          <w:p w14:paraId="69D3F8D9">
            <w:pPr>
              <w:pStyle w:val="6"/>
              <w:spacing w:before="20" w:line="231" w:lineRule="auto"/>
              <w:ind w:left="131"/>
              <w:rPr>
                <w:sz w:val="19"/>
                <w:szCs w:val="19"/>
              </w:rPr>
            </w:pPr>
            <w:r>
              <w:rPr>
                <w:spacing w:val="7"/>
                <w:sz w:val="19"/>
                <w:szCs w:val="19"/>
              </w:rPr>
              <w:t>与永久基本农田重叠</w:t>
            </w:r>
          </w:p>
          <w:p w14:paraId="3F3953FE">
            <w:pPr>
              <w:pStyle w:val="6"/>
              <w:spacing w:before="21" w:line="232" w:lineRule="auto"/>
              <w:ind w:left="114"/>
              <w:rPr>
                <w:sz w:val="19"/>
                <w:szCs w:val="19"/>
              </w:rPr>
            </w:pPr>
            <w:r>
              <w:rPr>
                <w:rFonts w:ascii="Times New Roman" w:hAnsi="Times New Roman" w:eastAsia="Times New Roman" w:cs="Times New Roman"/>
                <w:spacing w:val="4"/>
                <w:sz w:val="19"/>
                <w:szCs w:val="19"/>
              </w:rPr>
              <w:t>2.9654</w:t>
            </w:r>
            <w:r>
              <w:rPr>
                <w:rFonts w:ascii="Times New Roman" w:hAnsi="Times New Roman" w:eastAsia="Times New Roman" w:cs="Times New Roman"/>
                <w:sz w:val="19"/>
                <w:szCs w:val="19"/>
              </w:rPr>
              <w:t>km</w:t>
            </w:r>
            <w:r>
              <w:rPr>
                <w:rFonts w:ascii="Times New Roman" w:hAnsi="Times New Roman" w:eastAsia="Times New Roman" w:cs="Times New Roman"/>
                <w:spacing w:val="4"/>
                <w:position w:val="6"/>
                <w:sz w:val="12"/>
                <w:szCs w:val="12"/>
              </w:rPr>
              <w:t>2</w:t>
            </w:r>
            <w:r>
              <w:rPr>
                <w:spacing w:val="4"/>
                <w:sz w:val="19"/>
                <w:szCs w:val="19"/>
              </w:rPr>
              <w:t>，重叠比例</w:t>
            </w:r>
          </w:p>
          <w:p w14:paraId="26E3D535">
            <w:pPr>
              <w:pStyle w:val="6"/>
              <w:spacing w:before="55" w:line="181" w:lineRule="auto"/>
              <w:ind w:left="642"/>
              <w:rPr>
                <w:sz w:val="19"/>
                <w:szCs w:val="19"/>
              </w:rPr>
            </w:pPr>
            <w:r>
              <w:rPr>
                <w:rFonts w:ascii="Times New Roman" w:hAnsi="Times New Roman" w:eastAsia="Times New Roman" w:cs="Times New Roman"/>
                <w:spacing w:val="-2"/>
                <w:sz w:val="19"/>
                <w:szCs w:val="19"/>
              </w:rPr>
              <w:t>17.</w:t>
            </w:r>
            <w:r>
              <w:rPr>
                <w:rFonts w:ascii="Times New Roman" w:hAnsi="Times New Roman" w:eastAsia="Times New Roman" w:cs="Times New Roman"/>
                <w:spacing w:val="-26"/>
                <w:sz w:val="19"/>
                <w:szCs w:val="19"/>
              </w:rPr>
              <w:t xml:space="preserve"> </w:t>
            </w:r>
            <w:r>
              <w:rPr>
                <w:rFonts w:ascii="Times New Roman" w:hAnsi="Times New Roman" w:eastAsia="Times New Roman" w:cs="Times New Roman"/>
                <w:spacing w:val="-2"/>
                <w:sz w:val="19"/>
                <w:szCs w:val="19"/>
              </w:rPr>
              <w:t>18%</w:t>
            </w:r>
            <w:r>
              <w:rPr>
                <w:spacing w:val="-2"/>
                <w:sz w:val="19"/>
                <w:szCs w:val="19"/>
              </w:rPr>
              <w:t>。</w:t>
            </w:r>
          </w:p>
        </w:tc>
        <w:tc>
          <w:tcPr>
            <w:tcW w:w="1018" w:type="dxa"/>
            <w:tcBorders>
              <w:bottom w:val="single" w:color="000000" w:sz="10" w:space="0"/>
              <w:right w:val="single" w:color="000000" w:sz="10" w:space="0"/>
            </w:tcBorders>
            <w:vAlign w:val="top"/>
          </w:tcPr>
          <w:p w14:paraId="75F6A048">
            <w:pPr>
              <w:spacing w:line="245" w:lineRule="auto"/>
              <w:rPr>
                <w:rFonts w:ascii="Arial"/>
                <w:sz w:val="21"/>
              </w:rPr>
            </w:pPr>
          </w:p>
          <w:p w14:paraId="3F566160">
            <w:pPr>
              <w:spacing w:line="246" w:lineRule="auto"/>
              <w:rPr>
                <w:rFonts w:ascii="Arial"/>
                <w:sz w:val="21"/>
              </w:rPr>
            </w:pPr>
          </w:p>
          <w:p w14:paraId="1BF2086F">
            <w:pPr>
              <w:pStyle w:val="6"/>
              <w:spacing w:before="62" w:line="252" w:lineRule="auto"/>
              <w:ind w:left="422" w:right="193" w:hanging="198"/>
              <w:rPr>
                <w:sz w:val="19"/>
                <w:szCs w:val="19"/>
              </w:rPr>
            </w:pPr>
            <w:r>
              <w:rPr>
                <w:spacing w:val="4"/>
                <w:sz w:val="19"/>
                <w:szCs w:val="19"/>
              </w:rPr>
              <w:t>调整区</w:t>
            </w:r>
            <w:r>
              <w:rPr>
                <w:spacing w:val="1"/>
                <w:sz w:val="19"/>
                <w:szCs w:val="19"/>
              </w:rPr>
              <w:t xml:space="preserve"> </w:t>
            </w:r>
            <w:r>
              <w:rPr>
                <w:sz w:val="19"/>
                <w:szCs w:val="19"/>
              </w:rPr>
              <w:t>块</w:t>
            </w:r>
          </w:p>
        </w:tc>
      </w:tr>
    </w:tbl>
    <w:p w14:paraId="3AC497F6">
      <w:pPr>
        <w:pStyle w:val="2"/>
      </w:pPr>
    </w:p>
    <w:p w14:paraId="2B4BAC44">
      <w:pPr>
        <w:sectPr>
          <w:headerReference r:id="rId216" w:type="default"/>
          <w:footerReference r:id="rId217" w:type="default"/>
          <w:pgSz w:w="11906" w:h="16839"/>
          <w:pgMar w:top="1116" w:right="1354" w:bottom="866" w:left="1466" w:header="683" w:footer="703" w:gutter="0"/>
          <w:cols w:space="720" w:num="1"/>
        </w:sectPr>
      </w:pPr>
    </w:p>
    <w:p w14:paraId="43F59432">
      <w:pPr>
        <w:spacing w:before="82"/>
      </w:pPr>
    </w:p>
    <w:tbl>
      <w:tblPr>
        <w:tblStyle w:val="5"/>
        <w:tblW w:w="9059"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810"/>
        <w:gridCol w:w="1054"/>
        <w:gridCol w:w="1986"/>
        <w:gridCol w:w="2147"/>
        <w:gridCol w:w="2044"/>
        <w:gridCol w:w="1018"/>
      </w:tblGrid>
      <w:tr w14:paraId="67EF4E92">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7221" w:hRule="atLeast"/>
        </w:trPr>
        <w:tc>
          <w:tcPr>
            <w:tcW w:w="810" w:type="dxa"/>
            <w:tcBorders>
              <w:right w:val="single" w:color="000000" w:sz="2" w:space="0"/>
            </w:tcBorders>
            <w:vAlign w:val="top"/>
          </w:tcPr>
          <w:p w14:paraId="5DD3ABFB">
            <w:pPr>
              <w:rPr>
                <w:rFonts w:ascii="Arial"/>
                <w:sz w:val="21"/>
              </w:rPr>
            </w:pPr>
          </w:p>
        </w:tc>
        <w:tc>
          <w:tcPr>
            <w:tcW w:w="1054" w:type="dxa"/>
            <w:tcBorders>
              <w:left w:val="single" w:color="000000" w:sz="2" w:space="0"/>
              <w:right w:val="single" w:color="000000" w:sz="2" w:space="0"/>
            </w:tcBorders>
            <w:vAlign w:val="top"/>
          </w:tcPr>
          <w:p w14:paraId="30630C97">
            <w:pPr>
              <w:spacing w:line="253" w:lineRule="auto"/>
              <w:rPr>
                <w:rFonts w:ascii="Arial"/>
                <w:sz w:val="21"/>
              </w:rPr>
            </w:pPr>
          </w:p>
          <w:p w14:paraId="6AD727F2">
            <w:pPr>
              <w:spacing w:line="253" w:lineRule="auto"/>
              <w:rPr>
                <w:rFonts w:ascii="Arial"/>
                <w:sz w:val="21"/>
              </w:rPr>
            </w:pPr>
          </w:p>
          <w:p w14:paraId="274E160D">
            <w:pPr>
              <w:spacing w:line="253" w:lineRule="auto"/>
              <w:rPr>
                <w:rFonts w:ascii="Arial"/>
                <w:sz w:val="21"/>
              </w:rPr>
            </w:pPr>
          </w:p>
          <w:p w14:paraId="07C1B59C">
            <w:pPr>
              <w:spacing w:line="253" w:lineRule="auto"/>
              <w:rPr>
                <w:rFonts w:ascii="Arial"/>
                <w:sz w:val="21"/>
              </w:rPr>
            </w:pPr>
          </w:p>
          <w:p w14:paraId="19231B88">
            <w:pPr>
              <w:spacing w:line="253" w:lineRule="auto"/>
              <w:rPr>
                <w:rFonts w:ascii="Arial"/>
                <w:sz w:val="21"/>
              </w:rPr>
            </w:pPr>
          </w:p>
          <w:p w14:paraId="6C0D4C57">
            <w:pPr>
              <w:spacing w:line="253" w:lineRule="auto"/>
              <w:rPr>
                <w:rFonts w:ascii="Arial"/>
                <w:sz w:val="21"/>
              </w:rPr>
            </w:pPr>
          </w:p>
          <w:p w14:paraId="200A19C8">
            <w:pPr>
              <w:spacing w:line="253" w:lineRule="auto"/>
              <w:rPr>
                <w:rFonts w:ascii="Arial"/>
                <w:sz w:val="21"/>
              </w:rPr>
            </w:pPr>
          </w:p>
          <w:p w14:paraId="572B455B">
            <w:pPr>
              <w:spacing w:line="253" w:lineRule="auto"/>
              <w:rPr>
                <w:rFonts w:ascii="Arial"/>
                <w:sz w:val="21"/>
              </w:rPr>
            </w:pPr>
          </w:p>
          <w:p w14:paraId="46022E5B">
            <w:pPr>
              <w:spacing w:line="253" w:lineRule="auto"/>
              <w:rPr>
                <w:rFonts w:ascii="Arial"/>
                <w:sz w:val="21"/>
              </w:rPr>
            </w:pPr>
          </w:p>
          <w:p w14:paraId="6FC409E8">
            <w:pPr>
              <w:spacing w:line="253" w:lineRule="auto"/>
              <w:rPr>
                <w:rFonts w:ascii="Arial"/>
                <w:sz w:val="21"/>
              </w:rPr>
            </w:pPr>
          </w:p>
          <w:p w14:paraId="5AE2D759">
            <w:pPr>
              <w:spacing w:line="253" w:lineRule="auto"/>
              <w:rPr>
                <w:rFonts w:ascii="Arial"/>
                <w:sz w:val="21"/>
              </w:rPr>
            </w:pPr>
          </w:p>
          <w:p w14:paraId="6A3CBBA6">
            <w:pPr>
              <w:spacing w:line="254" w:lineRule="auto"/>
              <w:rPr>
                <w:rFonts w:ascii="Arial"/>
                <w:sz w:val="21"/>
              </w:rPr>
            </w:pPr>
          </w:p>
          <w:p w14:paraId="1A8B1D2A">
            <w:pPr>
              <w:spacing w:line="254" w:lineRule="auto"/>
              <w:rPr>
                <w:rFonts w:ascii="Arial"/>
                <w:sz w:val="21"/>
              </w:rPr>
            </w:pPr>
          </w:p>
          <w:p w14:paraId="575955BD">
            <w:pPr>
              <w:pStyle w:val="6"/>
              <w:spacing w:before="62" w:line="232" w:lineRule="auto"/>
              <w:ind w:left="128"/>
              <w:rPr>
                <w:sz w:val="19"/>
                <w:szCs w:val="19"/>
              </w:rPr>
            </w:pPr>
            <w:r>
              <w:rPr>
                <w:spacing w:val="6"/>
                <w:sz w:val="19"/>
                <w:szCs w:val="19"/>
              </w:rPr>
              <w:t>铸型用砂</w:t>
            </w:r>
          </w:p>
          <w:p w14:paraId="61EDA19B">
            <w:pPr>
              <w:pStyle w:val="6"/>
              <w:spacing w:before="20" w:line="235" w:lineRule="auto"/>
              <w:ind w:left="426"/>
              <w:rPr>
                <w:sz w:val="19"/>
                <w:szCs w:val="19"/>
              </w:rPr>
            </w:pPr>
            <w:r>
              <w:rPr>
                <w:sz w:val="19"/>
                <w:szCs w:val="19"/>
              </w:rPr>
              <w:t>岩</w:t>
            </w:r>
          </w:p>
        </w:tc>
        <w:tc>
          <w:tcPr>
            <w:tcW w:w="1986" w:type="dxa"/>
            <w:tcBorders>
              <w:left w:val="single" w:color="000000" w:sz="2" w:space="0"/>
              <w:right w:val="single" w:color="000000" w:sz="2" w:space="0"/>
            </w:tcBorders>
            <w:vAlign w:val="top"/>
          </w:tcPr>
          <w:p w14:paraId="498A7323">
            <w:pPr>
              <w:spacing w:line="252" w:lineRule="auto"/>
              <w:rPr>
                <w:rFonts w:ascii="Arial"/>
                <w:sz w:val="21"/>
              </w:rPr>
            </w:pPr>
          </w:p>
          <w:p w14:paraId="2D4CB7F3">
            <w:pPr>
              <w:spacing w:line="252" w:lineRule="auto"/>
              <w:rPr>
                <w:rFonts w:ascii="Arial"/>
                <w:sz w:val="21"/>
              </w:rPr>
            </w:pPr>
          </w:p>
          <w:p w14:paraId="43E1B30F">
            <w:pPr>
              <w:spacing w:line="252" w:lineRule="auto"/>
              <w:rPr>
                <w:rFonts w:ascii="Arial"/>
                <w:sz w:val="21"/>
              </w:rPr>
            </w:pPr>
          </w:p>
          <w:p w14:paraId="6977878A">
            <w:pPr>
              <w:spacing w:line="252" w:lineRule="auto"/>
              <w:rPr>
                <w:rFonts w:ascii="Arial"/>
                <w:sz w:val="21"/>
              </w:rPr>
            </w:pPr>
          </w:p>
          <w:p w14:paraId="3F627903">
            <w:pPr>
              <w:spacing w:line="253" w:lineRule="auto"/>
              <w:rPr>
                <w:rFonts w:ascii="Arial"/>
                <w:sz w:val="21"/>
              </w:rPr>
            </w:pPr>
          </w:p>
          <w:p w14:paraId="1DEB302E">
            <w:pPr>
              <w:spacing w:line="253" w:lineRule="auto"/>
              <w:rPr>
                <w:rFonts w:ascii="Arial"/>
                <w:sz w:val="21"/>
              </w:rPr>
            </w:pPr>
          </w:p>
          <w:p w14:paraId="18E922ED">
            <w:pPr>
              <w:spacing w:line="253" w:lineRule="auto"/>
              <w:rPr>
                <w:rFonts w:ascii="Arial"/>
                <w:sz w:val="21"/>
              </w:rPr>
            </w:pPr>
          </w:p>
          <w:p w14:paraId="69AF96DE">
            <w:pPr>
              <w:spacing w:line="253" w:lineRule="auto"/>
              <w:rPr>
                <w:rFonts w:ascii="Arial"/>
                <w:sz w:val="21"/>
              </w:rPr>
            </w:pPr>
          </w:p>
          <w:p w14:paraId="4F10F4FE">
            <w:pPr>
              <w:spacing w:line="253" w:lineRule="auto"/>
              <w:rPr>
                <w:rFonts w:ascii="Arial"/>
                <w:sz w:val="21"/>
              </w:rPr>
            </w:pPr>
          </w:p>
          <w:p w14:paraId="050ADBAB">
            <w:pPr>
              <w:spacing w:line="253" w:lineRule="auto"/>
              <w:rPr>
                <w:rFonts w:ascii="Arial"/>
                <w:sz w:val="21"/>
              </w:rPr>
            </w:pPr>
          </w:p>
          <w:p w14:paraId="09E6C261">
            <w:pPr>
              <w:spacing w:line="253" w:lineRule="auto"/>
              <w:rPr>
                <w:rFonts w:ascii="Arial"/>
                <w:sz w:val="21"/>
              </w:rPr>
            </w:pPr>
          </w:p>
          <w:p w14:paraId="47C46E5F">
            <w:pPr>
              <w:spacing w:line="253" w:lineRule="auto"/>
              <w:rPr>
                <w:rFonts w:ascii="Arial"/>
                <w:sz w:val="21"/>
              </w:rPr>
            </w:pPr>
          </w:p>
          <w:p w14:paraId="2CE2E55D">
            <w:pPr>
              <w:pStyle w:val="6"/>
              <w:spacing w:before="61" w:line="221" w:lineRule="auto"/>
              <w:ind w:left="168"/>
              <w:rPr>
                <w:sz w:val="19"/>
                <w:szCs w:val="19"/>
              </w:rPr>
            </w:pPr>
            <w:r>
              <w:rPr>
                <w:rFonts w:ascii="Times New Roman" w:hAnsi="Times New Roman" w:eastAsia="Times New Roman" w:cs="Times New Roman"/>
                <w:sz w:val="19"/>
                <w:szCs w:val="19"/>
              </w:rPr>
              <w:t>KQ</w:t>
            </w:r>
            <w:r>
              <w:rPr>
                <w:rFonts w:ascii="Times New Roman" w:hAnsi="Times New Roman" w:eastAsia="Times New Roman" w:cs="Times New Roman"/>
                <w:spacing w:val="6"/>
                <w:sz w:val="19"/>
                <w:szCs w:val="19"/>
              </w:rPr>
              <w:t>009</w:t>
            </w:r>
            <w:r>
              <w:rPr>
                <w:rFonts w:ascii="Times New Roman" w:hAnsi="Times New Roman" w:eastAsia="Times New Roman" w:cs="Times New Roman"/>
                <w:spacing w:val="27"/>
                <w:sz w:val="19"/>
                <w:szCs w:val="19"/>
              </w:rPr>
              <w:t xml:space="preserve"> </w:t>
            </w:r>
            <w:r>
              <w:rPr>
                <w:spacing w:val="6"/>
                <w:sz w:val="19"/>
                <w:szCs w:val="19"/>
              </w:rPr>
              <w:t>重庆市黔江</w:t>
            </w:r>
          </w:p>
          <w:p w14:paraId="27A4F2B6">
            <w:pPr>
              <w:pStyle w:val="6"/>
              <w:spacing w:before="30" w:line="231" w:lineRule="auto"/>
              <w:ind w:left="217"/>
              <w:rPr>
                <w:sz w:val="19"/>
                <w:szCs w:val="19"/>
              </w:rPr>
            </w:pPr>
            <w:r>
              <w:rPr>
                <w:spacing w:val="5"/>
                <w:sz w:val="19"/>
                <w:szCs w:val="19"/>
              </w:rPr>
              <w:t>区黑溪镇光明村和</w:t>
            </w:r>
          </w:p>
          <w:p w14:paraId="484F7E18">
            <w:pPr>
              <w:pStyle w:val="6"/>
              <w:spacing w:before="22" w:line="231" w:lineRule="auto"/>
              <w:ind w:left="222"/>
              <w:rPr>
                <w:sz w:val="19"/>
                <w:szCs w:val="19"/>
              </w:rPr>
            </w:pPr>
            <w:r>
              <w:rPr>
                <w:spacing w:val="5"/>
                <w:sz w:val="19"/>
                <w:szCs w:val="19"/>
              </w:rPr>
              <w:t>尚坪铸型用砂岩勘</w:t>
            </w:r>
          </w:p>
          <w:p w14:paraId="349A4D32">
            <w:pPr>
              <w:pStyle w:val="6"/>
              <w:spacing w:before="21" w:line="232" w:lineRule="auto"/>
              <w:ind w:left="701"/>
              <w:rPr>
                <w:sz w:val="19"/>
                <w:szCs w:val="19"/>
              </w:rPr>
            </w:pPr>
            <w:r>
              <w:rPr>
                <w:spacing w:val="5"/>
                <w:sz w:val="19"/>
                <w:szCs w:val="19"/>
              </w:rPr>
              <w:t>查区块</w:t>
            </w:r>
          </w:p>
        </w:tc>
        <w:tc>
          <w:tcPr>
            <w:tcW w:w="2147" w:type="dxa"/>
            <w:tcBorders>
              <w:left w:val="single" w:color="000000" w:sz="2" w:space="0"/>
              <w:right w:val="single" w:color="000000" w:sz="2" w:space="0"/>
            </w:tcBorders>
            <w:vAlign w:val="top"/>
          </w:tcPr>
          <w:p w14:paraId="2823AB46">
            <w:pPr>
              <w:pStyle w:val="6"/>
              <w:spacing w:before="15" w:line="252" w:lineRule="auto"/>
              <w:ind w:left="119" w:right="101" w:hanging="2"/>
              <w:jc w:val="both"/>
              <w:rPr>
                <w:sz w:val="19"/>
                <w:szCs w:val="19"/>
              </w:rPr>
            </w:pPr>
            <w:r>
              <w:rPr>
                <w:spacing w:val="16"/>
                <w:sz w:val="19"/>
                <w:szCs w:val="19"/>
              </w:rPr>
              <w:t>《建设项</w:t>
            </w:r>
            <w:r>
              <w:rPr>
                <w:spacing w:val="-27"/>
                <w:sz w:val="19"/>
                <w:szCs w:val="19"/>
              </w:rPr>
              <w:t xml:space="preserve"> </w:t>
            </w:r>
            <w:r>
              <w:rPr>
                <w:spacing w:val="16"/>
                <w:sz w:val="19"/>
                <w:szCs w:val="19"/>
              </w:rPr>
              <w:t>目使用林地</w:t>
            </w:r>
            <w:r>
              <w:rPr>
                <w:sz w:val="19"/>
                <w:szCs w:val="19"/>
              </w:rPr>
              <w:t xml:space="preserve"> </w:t>
            </w:r>
            <w:r>
              <w:rPr>
                <w:spacing w:val="2"/>
                <w:sz w:val="19"/>
                <w:szCs w:val="19"/>
              </w:rPr>
              <w:t>审核审批管理办法》有</w:t>
            </w:r>
            <w:r>
              <w:rPr>
                <w:sz w:val="19"/>
                <w:szCs w:val="19"/>
              </w:rPr>
              <w:t xml:space="preserve"> </w:t>
            </w:r>
            <w:r>
              <w:rPr>
                <w:spacing w:val="23"/>
                <w:sz w:val="19"/>
                <w:szCs w:val="19"/>
              </w:rPr>
              <w:t>关规定办理使用林地</w:t>
            </w:r>
            <w:r>
              <w:rPr>
                <w:spacing w:val="3"/>
                <w:sz w:val="19"/>
                <w:szCs w:val="19"/>
              </w:rPr>
              <w:t xml:space="preserve"> </w:t>
            </w:r>
            <w:r>
              <w:rPr>
                <w:sz w:val="19"/>
                <w:szCs w:val="19"/>
              </w:rPr>
              <w:t>手续。</w:t>
            </w:r>
          </w:p>
          <w:p w14:paraId="2C0B9FBA">
            <w:pPr>
              <w:pStyle w:val="6"/>
              <w:spacing w:before="22" w:line="251" w:lineRule="auto"/>
              <w:ind w:left="107" w:right="101"/>
              <w:rPr>
                <w:sz w:val="19"/>
                <w:szCs w:val="19"/>
              </w:rPr>
            </w:pPr>
            <w:r>
              <w:rPr>
                <w:rFonts w:ascii="Times New Roman" w:hAnsi="Times New Roman" w:eastAsia="Times New Roman" w:cs="Times New Roman"/>
                <w:spacing w:val="9"/>
                <w:sz w:val="19"/>
                <w:szCs w:val="19"/>
              </w:rPr>
              <w:t>2</w:t>
            </w:r>
            <w:r>
              <w:rPr>
                <w:rFonts w:ascii="Times New Roman" w:hAnsi="Times New Roman" w:eastAsia="Times New Roman" w:cs="Times New Roman"/>
                <w:spacing w:val="-12"/>
                <w:sz w:val="19"/>
                <w:szCs w:val="19"/>
              </w:rPr>
              <w:t xml:space="preserve"> </w:t>
            </w:r>
            <w:r>
              <w:rPr>
                <w:spacing w:val="9"/>
                <w:sz w:val="19"/>
                <w:szCs w:val="19"/>
              </w:rPr>
              <w:t>、在进行地质勘查活</w:t>
            </w:r>
            <w:r>
              <w:rPr>
                <w:sz w:val="19"/>
                <w:szCs w:val="19"/>
              </w:rPr>
              <w:t xml:space="preserve"> </w:t>
            </w:r>
            <w:r>
              <w:rPr>
                <w:spacing w:val="24"/>
                <w:sz w:val="19"/>
                <w:szCs w:val="19"/>
              </w:rPr>
              <w:t>动时应主动避让永久</w:t>
            </w:r>
            <w:r>
              <w:rPr>
                <w:spacing w:val="6"/>
                <w:sz w:val="19"/>
                <w:szCs w:val="19"/>
              </w:rPr>
              <w:t xml:space="preserve"> </w:t>
            </w:r>
            <w:r>
              <w:rPr>
                <w:spacing w:val="3"/>
                <w:sz w:val="19"/>
                <w:szCs w:val="19"/>
              </w:rPr>
              <w:t>基本农田，确实无法避</w:t>
            </w:r>
            <w:r>
              <w:rPr>
                <w:sz w:val="19"/>
                <w:szCs w:val="19"/>
              </w:rPr>
              <w:t xml:space="preserve"> </w:t>
            </w:r>
            <w:r>
              <w:rPr>
                <w:spacing w:val="3"/>
                <w:sz w:val="19"/>
                <w:szCs w:val="19"/>
              </w:rPr>
              <w:t>让永久基本农田的，在</w:t>
            </w:r>
            <w:r>
              <w:rPr>
                <w:spacing w:val="2"/>
                <w:sz w:val="19"/>
                <w:szCs w:val="19"/>
              </w:rPr>
              <w:t xml:space="preserve"> </w:t>
            </w:r>
            <w:r>
              <w:rPr>
                <w:spacing w:val="3"/>
                <w:sz w:val="19"/>
                <w:szCs w:val="19"/>
              </w:rPr>
              <w:t>不修建永久建（构）筑</w:t>
            </w:r>
            <w:r>
              <w:rPr>
                <w:spacing w:val="2"/>
                <w:sz w:val="19"/>
                <w:szCs w:val="19"/>
              </w:rPr>
              <w:t xml:space="preserve"> </w:t>
            </w:r>
            <w:r>
              <w:rPr>
                <w:spacing w:val="3"/>
                <w:sz w:val="19"/>
                <w:szCs w:val="19"/>
              </w:rPr>
              <w:t>物、经复垦能恢复原种</w:t>
            </w:r>
            <w:r>
              <w:rPr>
                <w:sz w:val="19"/>
                <w:szCs w:val="19"/>
              </w:rPr>
              <w:t xml:space="preserve"> </w:t>
            </w:r>
            <w:r>
              <w:rPr>
                <w:spacing w:val="3"/>
                <w:sz w:val="19"/>
                <w:szCs w:val="19"/>
              </w:rPr>
              <w:t>植条件的前提下，土地</w:t>
            </w:r>
            <w:r>
              <w:rPr>
                <w:sz w:val="19"/>
                <w:szCs w:val="19"/>
              </w:rPr>
              <w:t xml:space="preserve"> </w:t>
            </w:r>
            <w:r>
              <w:rPr>
                <w:spacing w:val="24"/>
                <w:sz w:val="19"/>
                <w:szCs w:val="19"/>
              </w:rPr>
              <w:t>使用者按法定程序申</w:t>
            </w:r>
            <w:r>
              <w:rPr>
                <w:spacing w:val="6"/>
                <w:sz w:val="19"/>
                <w:szCs w:val="19"/>
              </w:rPr>
              <w:t xml:space="preserve"> </w:t>
            </w:r>
            <w:r>
              <w:rPr>
                <w:spacing w:val="24"/>
                <w:sz w:val="19"/>
                <w:szCs w:val="19"/>
              </w:rPr>
              <w:t>请临时用地并编制土</w:t>
            </w:r>
            <w:r>
              <w:rPr>
                <w:spacing w:val="6"/>
                <w:sz w:val="19"/>
                <w:szCs w:val="19"/>
              </w:rPr>
              <w:t xml:space="preserve"> </w:t>
            </w:r>
            <w:r>
              <w:rPr>
                <w:spacing w:val="3"/>
                <w:sz w:val="19"/>
                <w:szCs w:val="19"/>
              </w:rPr>
              <w:t>地复垦方案。临时用地</w:t>
            </w:r>
            <w:r>
              <w:rPr>
                <w:spacing w:val="2"/>
                <w:sz w:val="19"/>
                <w:szCs w:val="19"/>
              </w:rPr>
              <w:t xml:space="preserve"> </w:t>
            </w:r>
            <w:r>
              <w:rPr>
                <w:spacing w:val="3"/>
                <w:sz w:val="19"/>
                <w:szCs w:val="19"/>
              </w:rPr>
              <w:t>使用前，应通过耕地耕</w:t>
            </w:r>
            <w:r>
              <w:rPr>
                <w:spacing w:val="2"/>
                <w:sz w:val="19"/>
                <w:szCs w:val="19"/>
              </w:rPr>
              <w:t xml:space="preserve"> </w:t>
            </w:r>
            <w:r>
              <w:rPr>
                <w:spacing w:val="24"/>
                <w:sz w:val="19"/>
                <w:szCs w:val="19"/>
              </w:rPr>
              <w:t>作层土壤剥离再利用</w:t>
            </w:r>
            <w:r>
              <w:rPr>
                <w:spacing w:val="6"/>
                <w:sz w:val="19"/>
                <w:szCs w:val="19"/>
              </w:rPr>
              <w:t xml:space="preserve"> </w:t>
            </w:r>
            <w:r>
              <w:rPr>
                <w:spacing w:val="3"/>
                <w:sz w:val="19"/>
                <w:szCs w:val="19"/>
              </w:rPr>
              <w:t>等工程技术措施，减少</w:t>
            </w:r>
            <w:r>
              <w:rPr>
                <w:sz w:val="19"/>
                <w:szCs w:val="19"/>
              </w:rPr>
              <w:t xml:space="preserve"> </w:t>
            </w:r>
            <w:r>
              <w:rPr>
                <w:spacing w:val="3"/>
                <w:sz w:val="19"/>
                <w:szCs w:val="19"/>
              </w:rPr>
              <w:t>对耕作层的破坏，同时</w:t>
            </w:r>
            <w:r>
              <w:rPr>
                <w:sz w:val="19"/>
                <w:szCs w:val="19"/>
              </w:rPr>
              <w:t xml:space="preserve"> </w:t>
            </w:r>
            <w:r>
              <w:rPr>
                <w:spacing w:val="3"/>
                <w:sz w:val="19"/>
                <w:szCs w:val="19"/>
              </w:rPr>
              <w:t>采用绿色勘查方式，勘</w:t>
            </w:r>
            <w:r>
              <w:rPr>
                <w:spacing w:val="2"/>
                <w:sz w:val="19"/>
                <w:szCs w:val="19"/>
              </w:rPr>
              <w:t xml:space="preserve"> </w:t>
            </w:r>
            <w:r>
              <w:rPr>
                <w:spacing w:val="10"/>
                <w:sz w:val="19"/>
                <w:szCs w:val="19"/>
              </w:rPr>
              <w:t>查时尽量少</w:t>
            </w:r>
            <w:r>
              <w:rPr>
                <w:spacing w:val="-30"/>
                <w:sz w:val="19"/>
                <w:szCs w:val="19"/>
              </w:rPr>
              <w:t xml:space="preserve"> </w:t>
            </w:r>
            <w:r>
              <w:rPr>
                <w:spacing w:val="10"/>
                <w:sz w:val="19"/>
                <w:szCs w:val="19"/>
              </w:rPr>
              <w:t>占或不</w:t>
            </w:r>
            <w:r>
              <w:rPr>
                <w:spacing w:val="-28"/>
                <w:sz w:val="19"/>
                <w:szCs w:val="19"/>
              </w:rPr>
              <w:t xml:space="preserve"> </w:t>
            </w:r>
            <w:r>
              <w:rPr>
                <w:spacing w:val="10"/>
                <w:sz w:val="19"/>
                <w:szCs w:val="19"/>
              </w:rPr>
              <w:t>占</w:t>
            </w:r>
            <w:r>
              <w:rPr>
                <w:sz w:val="19"/>
                <w:szCs w:val="19"/>
              </w:rPr>
              <w:t xml:space="preserve"> </w:t>
            </w:r>
            <w:r>
              <w:rPr>
                <w:spacing w:val="-8"/>
                <w:sz w:val="19"/>
                <w:szCs w:val="19"/>
              </w:rPr>
              <w:t>永</w:t>
            </w:r>
            <w:r>
              <w:rPr>
                <w:spacing w:val="15"/>
                <w:sz w:val="19"/>
                <w:szCs w:val="19"/>
              </w:rPr>
              <w:t xml:space="preserve"> </w:t>
            </w:r>
            <w:r>
              <w:rPr>
                <w:spacing w:val="-8"/>
                <w:sz w:val="19"/>
                <w:szCs w:val="19"/>
              </w:rPr>
              <w:t>久 基</w:t>
            </w:r>
            <w:r>
              <w:rPr>
                <w:spacing w:val="11"/>
                <w:sz w:val="19"/>
                <w:szCs w:val="19"/>
              </w:rPr>
              <w:t xml:space="preserve"> </w:t>
            </w:r>
            <w:r>
              <w:rPr>
                <w:spacing w:val="-8"/>
                <w:sz w:val="19"/>
                <w:szCs w:val="19"/>
              </w:rPr>
              <w:t>本</w:t>
            </w:r>
            <w:r>
              <w:rPr>
                <w:spacing w:val="8"/>
                <w:sz w:val="19"/>
                <w:szCs w:val="19"/>
              </w:rPr>
              <w:t xml:space="preserve"> </w:t>
            </w:r>
            <w:r>
              <w:rPr>
                <w:spacing w:val="-8"/>
                <w:sz w:val="19"/>
                <w:szCs w:val="19"/>
              </w:rPr>
              <w:t>农</w:t>
            </w:r>
            <w:r>
              <w:rPr>
                <w:spacing w:val="37"/>
                <w:sz w:val="19"/>
                <w:szCs w:val="19"/>
              </w:rPr>
              <w:t xml:space="preserve"> </w:t>
            </w:r>
            <w:r>
              <w:rPr>
                <w:spacing w:val="-8"/>
                <w:sz w:val="19"/>
                <w:szCs w:val="19"/>
              </w:rPr>
              <w:t>田</w:t>
            </w:r>
            <w:r>
              <w:rPr>
                <w:spacing w:val="25"/>
                <w:sz w:val="19"/>
                <w:szCs w:val="19"/>
              </w:rPr>
              <w:t xml:space="preserve"> </w:t>
            </w:r>
            <w:r>
              <w:rPr>
                <w:spacing w:val="-8"/>
                <w:sz w:val="19"/>
                <w:szCs w:val="19"/>
              </w:rPr>
              <w:t>。</w:t>
            </w:r>
            <w:r>
              <w:rPr>
                <w:sz w:val="19"/>
                <w:szCs w:val="19"/>
              </w:rPr>
              <w:t xml:space="preserve"> </w:t>
            </w:r>
            <w:r>
              <w:rPr>
                <w:rFonts w:ascii="Times New Roman" w:hAnsi="Times New Roman" w:eastAsia="Times New Roman" w:cs="Times New Roman"/>
                <w:spacing w:val="-1"/>
                <w:sz w:val="19"/>
                <w:szCs w:val="19"/>
              </w:rPr>
              <w:t>KQ004</w:t>
            </w:r>
            <w:r>
              <w:rPr>
                <w:spacing w:val="-1"/>
                <w:sz w:val="19"/>
                <w:szCs w:val="19"/>
              </w:rPr>
              <w:t>、</w:t>
            </w:r>
            <w:r>
              <w:rPr>
                <w:rFonts w:ascii="Times New Roman" w:hAnsi="Times New Roman" w:eastAsia="Times New Roman" w:cs="Times New Roman"/>
                <w:spacing w:val="-1"/>
                <w:sz w:val="19"/>
                <w:szCs w:val="19"/>
              </w:rPr>
              <w:t>KQ009</w:t>
            </w:r>
            <w:r>
              <w:rPr>
                <w:rFonts w:ascii="Times New Roman" w:hAnsi="Times New Roman" w:eastAsia="Times New Roman" w:cs="Times New Roman"/>
                <w:spacing w:val="19"/>
                <w:w w:val="101"/>
                <w:sz w:val="19"/>
                <w:szCs w:val="19"/>
              </w:rPr>
              <w:t xml:space="preserve"> </w:t>
            </w:r>
            <w:r>
              <w:rPr>
                <w:spacing w:val="-1"/>
                <w:sz w:val="19"/>
                <w:szCs w:val="19"/>
              </w:rPr>
              <w:t>如需转</w:t>
            </w:r>
            <w:r>
              <w:rPr>
                <w:sz w:val="19"/>
                <w:szCs w:val="19"/>
              </w:rPr>
              <w:t xml:space="preserve"> </w:t>
            </w:r>
            <w:r>
              <w:rPr>
                <w:spacing w:val="3"/>
                <w:sz w:val="19"/>
                <w:szCs w:val="19"/>
              </w:rPr>
              <w:t>为开采区块，则应优化</w:t>
            </w:r>
            <w:r>
              <w:rPr>
                <w:spacing w:val="2"/>
                <w:sz w:val="19"/>
                <w:szCs w:val="19"/>
              </w:rPr>
              <w:t xml:space="preserve"> </w:t>
            </w:r>
            <w:r>
              <w:rPr>
                <w:spacing w:val="3"/>
                <w:sz w:val="19"/>
                <w:szCs w:val="19"/>
              </w:rPr>
              <w:t>矿区布局，地面工程避</w:t>
            </w:r>
            <w:r>
              <w:rPr>
                <w:sz w:val="19"/>
                <w:szCs w:val="19"/>
              </w:rPr>
              <w:t xml:space="preserve"> </w:t>
            </w:r>
            <w:r>
              <w:rPr>
                <w:spacing w:val="3"/>
                <w:sz w:val="19"/>
                <w:szCs w:val="19"/>
              </w:rPr>
              <w:t>让永久基本农田，确保</w:t>
            </w:r>
            <w:r>
              <w:rPr>
                <w:sz w:val="19"/>
                <w:szCs w:val="19"/>
              </w:rPr>
              <w:t xml:space="preserve"> </w:t>
            </w:r>
            <w:r>
              <w:rPr>
                <w:spacing w:val="24"/>
                <w:sz w:val="19"/>
                <w:szCs w:val="19"/>
              </w:rPr>
              <w:t>不造成永久基本农田</w:t>
            </w:r>
            <w:r>
              <w:rPr>
                <w:spacing w:val="6"/>
                <w:sz w:val="19"/>
                <w:szCs w:val="19"/>
              </w:rPr>
              <w:t xml:space="preserve"> </w:t>
            </w:r>
            <w:r>
              <w:rPr>
                <w:spacing w:val="8"/>
                <w:sz w:val="19"/>
                <w:szCs w:val="19"/>
              </w:rPr>
              <w:t>损毁、塌陷破坏。</w:t>
            </w:r>
          </w:p>
        </w:tc>
        <w:tc>
          <w:tcPr>
            <w:tcW w:w="2044" w:type="dxa"/>
            <w:tcBorders>
              <w:left w:val="single" w:color="000000" w:sz="2" w:space="0"/>
              <w:right w:val="single" w:color="000000" w:sz="2" w:space="0"/>
            </w:tcBorders>
            <w:vAlign w:val="top"/>
          </w:tcPr>
          <w:p w14:paraId="67CBE31B">
            <w:pPr>
              <w:spacing w:line="252" w:lineRule="auto"/>
              <w:rPr>
                <w:rFonts w:ascii="Arial"/>
                <w:sz w:val="21"/>
              </w:rPr>
            </w:pPr>
          </w:p>
          <w:p w14:paraId="1323400F">
            <w:pPr>
              <w:spacing w:line="252" w:lineRule="auto"/>
              <w:rPr>
                <w:rFonts w:ascii="Arial"/>
                <w:sz w:val="21"/>
              </w:rPr>
            </w:pPr>
          </w:p>
          <w:p w14:paraId="470B4687">
            <w:pPr>
              <w:spacing w:line="252" w:lineRule="auto"/>
              <w:rPr>
                <w:rFonts w:ascii="Arial"/>
                <w:sz w:val="21"/>
              </w:rPr>
            </w:pPr>
          </w:p>
          <w:p w14:paraId="04D9A78C">
            <w:pPr>
              <w:spacing w:line="252" w:lineRule="auto"/>
              <w:rPr>
                <w:rFonts w:ascii="Arial"/>
                <w:sz w:val="21"/>
              </w:rPr>
            </w:pPr>
          </w:p>
          <w:p w14:paraId="183E3FB0">
            <w:pPr>
              <w:spacing w:line="252" w:lineRule="auto"/>
              <w:rPr>
                <w:rFonts w:ascii="Arial"/>
                <w:sz w:val="21"/>
              </w:rPr>
            </w:pPr>
          </w:p>
          <w:p w14:paraId="57695DCC">
            <w:pPr>
              <w:spacing w:line="252" w:lineRule="auto"/>
              <w:rPr>
                <w:rFonts w:ascii="Arial"/>
                <w:sz w:val="21"/>
              </w:rPr>
            </w:pPr>
          </w:p>
          <w:p w14:paraId="19EE44E8">
            <w:pPr>
              <w:spacing w:line="252" w:lineRule="auto"/>
              <w:rPr>
                <w:rFonts w:ascii="Arial"/>
                <w:sz w:val="21"/>
              </w:rPr>
            </w:pPr>
          </w:p>
          <w:p w14:paraId="0A5A5D81">
            <w:pPr>
              <w:spacing w:line="252" w:lineRule="auto"/>
              <w:rPr>
                <w:rFonts w:ascii="Arial"/>
                <w:sz w:val="21"/>
              </w:rPr>
            </w:pPr>
          </w:p>
          <w:p w14:paraId="6CC62F91">
            <w:pPr>
              <w:spacing w:line="252" w:lineRule="auto"/>
              <w:rPr>
                <w:rFonts w:ascii="Arial"/>
                <w:sz w:val="21"/>
              </w:rPr>
            </w:pPr>
          </w:p>
          <w:p w14:paraId="3DDDEB37">
            <w:pPr>
              <w:spacing w:line="253" w:lineRule="auto"/>
              <w:rPr>
                <w:rFonts w:ascii="Arial"/>
                <w:sz w:val="21"/>
              </w:rPr>
            </w:pPr>
          </w:p>
          <w:p w14:paraId="73A8EA11">
            <w:pPr>
              <w:spacing w:line="253" w:lineRule="auto"/>
              <w:rPr>
                <w:rFonts w:ascii="Arial"/>
                <w:sz w:val="21"/>
              </w:rPr>
            </w:pPr>
          </w:p>
          <w:p w14:paraId="01F5604A">
            <w:pPr>
              <w:pStyle w:val="6"/>
              <w:spacing w:before="62" w:line="231" w:lineRule="auto"/>
              <w:ind w:left="248"/>
              <w:rPr>
                <w:sz w:val="19"/>
                <w:szCs w:val="19"/>
              </w:rPr>
            </w:pPr>
            <w:r>
              <w:rPr>
                <w:spacing w:val="7"/>
                <w:sz w:val="19"/>
                <w:szCs w:val="19"/>
              </w:rPr>
              <w:t>与地方公益林重叠</w:t>
            </w:r>
          </w:p>
          <w:p w14:paraId="753F6DBD">
            <w:pPr>
              <w:pStyle w:val="6"/>
              <w:spacing w:before="21" w:line="232" w:lineRule="auto"/>
              <w:ind w:left="117"/>
              <w:rPr>
                <w:sz w:val="19"/>
                <w:szCs w:val="19"/>
              </w:rPr>
            </w:pPr>
            <w:r>
              <w:rPr>
                <w:rFonts w:ascii="Times New Roman" w:hAnsi="Times New Roman" w:eastAsia="Times New Roman" w:cs="Times New Roman"/>
                <w:spacing w:val="4"/>
                <w:sz w:val="19"/>
                <w:szCs w:val="19"/>
              </w:rPr>
              <w:t>0.3086</w:t>
            </w:r>
            <w:r>
              <w:rPr>
                <w:rFonts w:ascii="Times New Roman" w:hAnsi="Times New Roman" w:eastAsia="Times New Roman" w:cs="Times New Roman"/>
                <w:sz w:val="19"/>
                <w:szCs w:val="19"/>
              </w:rPr>
              <w:t>km</w:t>
            </w:r>
            <w:r>
              <w:rPr>
                <w:rFonts w:ascii="Times New Roman" w:hAnsi="Times New Roman" w:eastAsia="Times New Roman" w:cs="Times New Roman"/>
                <w:spacing w:val="4"/>
                <w:position w:val="6"/>
                <w:sz w:val="12"/>
                <w:szCs w:val="12"/>
              </w:rPr>
              <w:t>2</w:t>
            </w:r>
            <w:r>
              <w:rPr>
                <w:spacing w:val="4"/>
                <w:sz w:val="19"/>
                <w:szCs w:val="19"/>
              </w:rPr>
              <w:t>，重叠比例</w:t>
            </w:r>
          </w:p>
          <w:p w14:paraId="5E51A858">
            <w:pPr>
              <w:pStyle w:val="6"/>
              <w:spacing w:before="54" w:line="187" w:lineRule="auto"/>
              <w:ind w:left="631"/>
              <w:rPr>
                <w:sz w:val="19"/>
                <w:szCs w:val="19"/>
              </w:rPr>
            </w:pPr>
            <w:r>
              <w:rPr>
                <w:rFonts w:ascii="Times New Roman" w:hAnsi="Times New Roman" w:eastAsia="Times New Roman" w:cs="Times New Roman"/>
                <w:spacing w:val="2"/>
                <w:sz w:val="19"/>
                <w:szCs w:val="19"/>
              </w:rPr>
              <w:t>83.36%</w:t>
            </w:r>
            <w:r>
              <w:rPr>
                <w:spacing w:val="2"/>
                <w:sz w:val="19"/>
                <w:szCs w:val="19"/>
              </w:rPr>
              <w:t>。</w:t>
            </w:r>
          </w:p>
          <w:p w14:paraId="2B3CAAA4">
            <w:pPr>
              <w:pStyle w:val="6"/>
              <w:spacing w:before="35" w:line="231" w:lineRule="auto"/>
              <w:ind w:left="131"/>
              <w:rPr>
                <w:sz w:val="19"/>
                <w:szCs w:val="19"/>
              </w:rPr>
            </w:pPr>
            <w:r>
              <w:rPr>
                <w:spacing w:val="7"/>
                <w:sz w:val="19"/>
                <w:szCs w:val="19"/>
              </w:rPr>
              <w:t>与永久基本农田重叠</w:t>
            </w:r>
          </w:p>
          <w:p w14:paraId="746E8412">
            <w:pPr>
              <w:pStyle w:val="6"/>
              <w:spacing w:before="18" w:line="232" w:lineRule="auto"/>
              <w:ind w:left="117"/>
              <w:rPr>
                <w:sz w:val="19"/>
                <w:szCs w:val="19"/>
              </w:rPr>
            </w:pPr>
            <w:r>
              <w:rPr>
                <w:rFonts w:ascii="Times New Roman" w:hAnsi="Times New Roman" w:eastAsia="Times New Roman" w:cs="Times New Roman"/>
                <w:spacing w:val="4"/>
                <w:sz w:val="19"/>
                <w:szCs w:val="19"/>
              </w:rPr>
              <w:t>0.0015</w:t>
            </w:r>
            <w:r>
              <w:rPr>
                <w:rFonts w:ascii="Times New Roman" w:hAnsi="Times New Roman" w:eastAsia="Times New Roman" w:cs="Times New Roman"/>
                <w:sz w:val="19"/>
                <w:szCs w:val="19"/>
              </w:rPr>
              <w:t>km</w:t>
            </w:r>
            <w:r>
              <w:rPr>
                <w:rFonts w:ascii="Times New Roman" w:hAnsi="Times New Roman" w:eastAsia="Times New Roman" w:cs="Times New Roman"/>
                <w:spacing w:val="4"/>
                <w:position w:val="6"/>
                <w:sz w:val="12"/>
                <w:szCs w:val="12"/>
              </w:rPr>
              <w:t>2</w:t>
            </w:r>
            <w:r>
              <w:rPr>
                <w:spacing w:val="4"/>
                <w:sz w:val="19"/>
                <w:szCs w:val="19"/>
              </w:rPr>
              <w:t>，重叠比例</w:t>
            </w:r>
          </w:p>
          <w:p w14:paraId="111B2008">
            <w:pPr>
              <w:pStyle w:val="6"/>
              <w:spacing w:before="54" w:line="187" w:lineRule="auto"/>
              <w:ind w:left="676"/>
              <w:rPr>
                <w:sz w:val="19"/>
                <w:szCs w:val="19"/>
              </w:rPr>
            </w:pPr>
            <w:r>
              <w:rPr>
                <w:rFonts w:ascii="Times New Roman" w:hAnsi="Times New Roman" w:eastAsia="Times New Roman" w:cs="Times New Roman"/>
                <w:spacing w:val="3"/>
                <w:sz w:val="19"/>
                <w:szCs w:val="19"/>
              </w:rPr>
              <w:t>0.41%</w:t>
            </w:r>
            <w:r>
              <w:rPr>
                <w:spacing w:val="3"/>
                <w:sz w:val="19"/>
                <w:szCs w:val="19"/>
              </w:rPr>
              <w:t>。</w:t>
            </w:r>
          </w:p>
        </w:tc>
        <w:tc>
          <w:tcPr>
            <w:tcW w:w="1018" w:type="dxa"/>
            <w:tcBorders>
              <w:left w:val="single" w:color="000000" w:sz="2" w:space="0"/>
            </w:tcBorders>
            <w:vAlign w:val="top"/>
          </w:tcPr>
          <w:p w14:paraId="5DC82317">
            <w:pPr>
              <w:spacing w:line="253" w:lineRule="auto"/>
              <w:rPr>
                <w:rFonts w:ascii="Arial"/>
                <w:sz w:val="21"/>
              </w:rPr>
            </w:pPr>
          </w:p>
          <w:p w14:paraId="6720DBFD">
            <w:pPr>
              <w:spacing w:line="253" w:lineRule="auto"/>
              <w:rPr>
                <w:rFonts w:ascii="Arial"/>
                <w:sz w:val="21"/>
              </w:rPr>
            </w:pPr>
          </w:p>
          <w:p w14:paraId="25A10E3D">
            <w:pPr>
              <w:spacing w:line="253" w:lineRule="auto"/>
              <w:rPr>
                <w:rFonts w:ascii="Arial"/>
                <w:sz w:val="21"/>
              </w:rPr>
            </w:pPr>
          </w:p>
          <w:p w14:paraId="77893258">
            <w:pPr>
              <w:spacing w:line="253" w:lineRule="auto"/>
              <w:rPr>
                <w:rFonts w:ascii="Arial"/>
                <w:sz w:val="21"/>
              </w:rPr>
            </w:pPr>
          </w:p>
          <w:p w14:paraId="2F5F543B">
            <w:pPr>
              <w:spacing w:line="253" w:lineRule="auto"/>
              <w:rPr>
                <w:rFonts w:ascii="Arial"/>
                <w:sz w:val="21"/>
              </w:rPr>
            </w:pPr>
          </w:p>
          <w:p w14:paraId="674D0939">
            <w:pPr>
              <w:spacing w:line="253" w:lineRule="auto"/>
              <w:rPr>
                <w:rFonts w:ascii="Arial"/>
                <w:sz w:val="21"/>
              </w:rPr>
            </w:pPr>
          </w:p>
          <w:p w14:paraId="1E54CA2C">
            <w:pPr>
              <w:spacing w:line="253" w:lineRule="auto"/>
              <w:rPr>
                <w:rFonts w:ascii="Arial"/>
                <w:sz w:val="21"/>
              </w:rPr>
            </w:pPr>
          </w:p>
          <w:p w14:paraId="31AFF596">
            <w:pPr>
              <w:spacing w:line="253" w:lineRule="auto"/>
              <w:rPr>
                <w:rFonts w:ascii="Arial"/>
                <w:sz w:val="21"/>
              </w:rPr>
            </w:pPr>
          </w:p>
          <w:p w14:paraId="50F3C0FE">
            <w:pPr>
              <w:spacing w:line="253" w:lineRule="auto"/>
              <w:rPr>
                <w:rFonts w:ascii="Arial"/>
                <w:sz w:val="21"/>
              </w:rPr>
            </w:pPr>
          </w:p>
          <w:p w14:paraId="37BB242E">
            <w:pPr>
              <w:spacing w:line="253" w:lineRule="auto"/>
              <w:rPr>
                <w:rFonts w:ascii="Arial"/>
                <w:sz w:val="21"/>
              </w:rPr>
            </w:pPr>
          </w:p>
          <w:p w14:paraId="2E23A576">
            <w:pPr>
              <w:spacing w:line="254" w:lineRule="auto"/>
              <w:rPr>
                <w:rFonts w:ascii="Arial"/>
                <w:sz w:val="21"/>
              </w:rPr>
            </w:pPr>
          </w:p>
          <w:p w14:paraId="6504580F">
            <w:pPr>
              <w:spacing w:line="254" w:lineRule="auto"/>
              <w:rPr>
                <w:rFonts w:ascii="Arial"/>
                <w:sz w:val="21"/>
              </w:rPr>
            </w:pPr>
          </w:p>
          <w:p w14:paraId="34920F13">
            <w:pPr>
              <w:spacing w:line="254" w:lineRule="auto"/>
              <w:rPr>
                <w:rFonts w:ascii="Arial"/>
                <w:sz w:val="21"/>
              </w:rPr>
            </w:pPr>
          </w:p>
          <w:p w14:paraId="300EE860">
            <w:pPr>
              <w:pStyle w:val="6"/>
              <w:spacing w:before="62" w:line="252" w:lineRule="auto"/>
              <w:ind w:left="423" w:right="191" w:hanging="199"/>
              <w:rPr>
                <w:sz w:val="19"/>
                <w:szCs w:val="19"/>
              </w:rPr>
            </w:pPr>
            <w:r>
              <w:rPr>
                <w:spacing w:val="5"/>
                <w:sz w:val="19"/>
                <w:szCs w:val="19"/>
              </w:rPr>
              <w:t>新设区</w:t>
            </w:r>
            <w:r>
              <w:rPr>
                <w:spacing w:val="1"/>
                <w:sz w:val="19"/>
                <w:szCs w:val="19"/>
              </w:rPr>
              <w:t xml:space="preserve"> </w:t>
            </w:r>
            <w:r>
              <w:rPr>
                <w:sz w:val="19"/>
                <w:szCs w:val="19"/>
              </w:rPr>
              <w:t>块</w:t>
            </w:r>
          </w:p>
        </w:tc>
      </w:tr>
    </w:tbl>
    <w:p w14:paraId="41A81CC1">
      <w:pPr>
        <w:pStyle w:val="2"/>
      </w:pPr>
    </w:p>
    <w:p w14:paraId="0BBC8501">
      <w:pPr>
        <w:sectPr>
          <w:footerReference r:id="rId218" w:type="default"/>
          <w:pgSz w:w="11906" w:h="16839"/>
          <w:pgMar w:top="1116" w:right="1354" w:bottom="866" w:left="1466" w:header="683" w:footer="703" w:gutter="0"/>
          <w:cols w:space="720" w:num="1"/>
        </w:sectPr>
      </w:pPr>
    </w:p>
    <w:p w14:paraId="0AE60FF1">
      <w:pPr>
        <w:pStyle w:val="2"/>
        <w:spacing w:line="314" w:lineRule="auto"/>
      </w:pPr>
    </w:p>
    <w:p w14:paraId="7E42290B">
      <w:pPr>
        <w:spacing w:before="101" w:line="228" w:lineRule="auto"/>
        <w:ind w:left="2544"/>
        <w:outlineLvl w:val="0"/>
        <w:rPr>
          <w:rFonts w:ascii="仿宋" w:hAnsi="仿宋" w:eastAsia="仿宋" w:cs="仿宋"/>
          <w:sz w:val="31"/>
          <w:szCs w:val="31"/>
        </w:rPr>
      </w:pPr>
      <w:bookmarkStart w:id="39" w:name="bookmark35"/>
      <w:bookmarkEnd w:id="39"/>
      <w:bookmarkStart w:id="40" w:name="bookmark34"/>
      <w:bookmarkEnd w:id="40"/>
      <w:r>
        <w:rPr>
          <w:rFonts w:ascii="Times New Roman" w:hAnsi="Times New Roman" w:eastAsia="Times New Roman" w:cs="Times New Roman"/>
          <w:b/>
          <w:bCs/>
          <w:spacing w:val="4"/>
          <w:sz w:val="31"/>
          <w:szCs w:val="31"/>
        </w:rPr>
        <w:t>7</w:t>
      </w:r>
      <w:r>
        <w:rPr>
          <w:rFonts w:ascii="Times New Roman" w:hAnsi="Times New Roman" w:eastAsia="Times New Roman" w:cs="Times New Roman"/>
          <w:b/>
          <w:bCs/>
          <w:spacing w:val="34"/>
          <w:sz w:val="31"/>
          <w:szCs w:val="31"/>
        </w:rPr>
        <w:t xml:space="preserve"> </w:t>
      </w:r>
      <w:r>
        <w:rPr>
          <w:rFonts w:ascii="仿宋" w:hAnsi="仿宋" w:eastAsia="仿宋" w:cs="仿宋"/>
          <w:b/>
          <w:bCs/>
          <w:spacing w:val="4"/>
          <w:sz w:val="31"/>
          <w:szCs w:val="31"/>
        </w:rPr>
        <w:t>环境影响减缓对策和措施</w:t>
      </w:r>
    </w:p>
    <w:p w14:paraId="0D9D1A54">
      <w:pPr>
        <w:spacing w:before="262" w:line="229" w:lineRule="auto"/>
        <w:ind w:left="8"/>
        <w:outlineLvl w:val="1"/>
        <w:rPr>
          <w:rFonts w:ascii="仿宋" w:hAnsi="仿宋" w:eastAsia="仿宋" w:cs="仿宋"/>
          <w:sz w:val="25"/>
          <w:szCs w:val="25"/>
        </w:rPr>
      </w:pPr>
      <w:bookmarkStart w:id="41" w:name="bookmark57"/>
      <w:bookmarkEnd w:id="41"/>
      <w:r>
        <w:rPr>
          <w:rFonts w:ascii="Times New Roman" w:hAnsi="Times New Roman" w:eastAsia="Times New Roman" w:cs="Times New Roman"/>
          <w:b/>
          <w:bCs/>
          <w:spacing w:val="5"/>
          <w:sz w:val="25"/>
          <w:szCs w:val="25"/>
        </w:rPr>
        <w:t>7.1</w:t>
      </w:r>
      <w:r>
        <w:rPr>
          <w:rFonts w:ascii="Times New Roman" w:hAnsi="Times New Roman" w:eastAsia="Times New Roman" w:cs="Times New Roman"/>
          <w:b/>
          <w:bCs/>
          <w:spacing w:val="33"/>
          <w:sz w:val="25"/>
          <w:szCs w:val="25"/>
        </w:rPr>
        <w:t xml:space="preserve"> </w:t>
      </w:r>
      <w:r>
        <w:rPr>
          <w:rFonts w:ascii="仿宋" w:hAnsi="仿宋" w:eastAsia="仿宋" w:cs="仿宋"/>
          <w:b/>
          <w:bCs/>
          <w:spacing w:val="5"/>
          <w:sz w:val="25"/>
          <w:szCs w:val="25"/>
        </w:rPr>
        <w:t>规划环境影响减缓对策和措施</w:t>
      </w:r>
    </w:p>
    <w:p w14:paraId="3CFFB77B">
      <w:pPr>
        <w:spacing w:before="253" w:line="228" w:lineRule="auto"/>
        <w:ind w:left="8"/>
        <w:outlineLvl w:val="2"/>
        <w:rPr>
          <w:rFonts w:ascii="仿宋" w:hAnsi="仿宋" w:eastAsia="仿宋" w:cs="仿宋"/>
          <w:sz w:val="25"/>
          <w:szCs w:val="25"/>
        </w:rPr>
      </w:pPr>
      <w:r>
        <w:rPr>
          <w:rFonts w:ascii="Times New Roman" w:hAnsi="Times New Roman" w:eastAsia="Times New Roman" w:cs="Times New Roman"/>
          <w:b/>
          <w:bCs/>
          <w:spacing w:val="4"/>
          <w:sz w:val="25"/>
          <w:szCs w:val="25"/>
        </w:rPr>
        <w:t>7.1.1</w:t>
      </w:r>
      <w:r>
        <w:rPr>
          <w:rFonts w:ascii="Times New Roman" w:hAnsi="Times New Roman" w:eastAsia="Times New Roman" w:cs="Times New Roman"/>
          <w:b/>
          <w:bCs/>
          <w:spacing w:val="25"/>
          <w:w w:val="101"/>
          <w:sz w:val="25"/>
          <w:szCs w:val="25"/>
        </w:rPr>
        <w:t xml:space="preserve"> </w:t>
      </w:r>
      <w:r>
        <w:rPr>
          <w:rFonts w:ascii="仿宋" w:hAnsi="仿宋" w:eastAsia="仿宋" w:cs="仿宋"/>
          <w:b/>
          <w:bCs/>
          <w:spacing w:val="4"/>
          <w:sz w:val="25"/>
          <w:szCs w:val="25"/>
        </w:rPr>
        <w:t>环境保护对策措施</w:t>
      </w:r>
    </w:p>
    <w:p w14:paraId="56F8F51B">
      <w:pPr>
        <w:spacing w:before="272" w:line="227" w:lineRule="auto"/>
        <w:ind w:left="8"/>
        <w:outlineLvl w:val="3"/>
        <w:rPr>
          <w:rFonts w:ascii="仿宋" w:hAnsi="仿宋" w:eastAsia="仿宋" w:cs="仿宋"/>
          <w:sz w:val="25"/>
          <w:szCs w:val="25"/>
        </w:rPr>
      </w:pPr>
      <w:r>
        <w:rPr>
          <w:rFonts w:ascii="Times New Roman" w:hAnsi="Times New Roman" w:eastAsia="Times New Roman" w:cs="Times New Roman"/>
          <w:b/>
          <w:bCs/>
          <w:spacing w:val="6"/>
          <w:sz w:val="25"/>
          <w:szCs w:val="25"/>
        </w:rPr>
        <w:t>7.1.1.1</w:t>
      </w:r>
      <w:r>
        <w:rPr>
          <w:rFonts w:ascii="Times New Roman" w:hAnsi="Times New Roman" w:eastAsia="Times New Roman" w:cs="Times New Roman"/>
          <w:b/>
          <w:bCs/>
          <w:spacing w:val="25"/>
          <w:sz w:val="25"/>
          <w:szCs w:val="25"/>
        </w:rPr>
        <w:t xml:space="preserve"> </w:t>
      </w:r>
      <w:r>
        <w:rPr>
          <w:rFonts w:ascii="仿宋" w:hAnsi="仿宋" w:eastAsia="仿宋" w:cs="仿宋"/>
          <w:b/>
          <w:bCs/>
          <w:spacing w:val="6"/>
          <w:sz w:val="25"/>
          <w:szCs w:val="25"/>
        </w:rPr>
        <w:t>选择合理的开发方法和采用先进的生</w:t>
      </w:r>
      <w:r>
        <w:rPr>
          <w:rFonts w:ascii="仿宋" w:hAnsi="仿宋" w:eastAsia="仿宋" w:cs="仿宋"/>
          <w:b/>
          <w:bCs/>
          <w:spacing w:val="5"/>
          <w:sz w:val="25"/>
          <w:szCs w:val="25"/>
        </w:rPr>
        <w:t>产技术</w:t>
      </w:r>
    </w:p>
    <w:p w14:paraId="3CF441A8">
      <w:pPr>
        <w:spacing w:before="270" w:line="227" w:lineRule="auto"/>
        <w:ind w:left="500"/>
        <w:rPr>
          <w:rFonts w:ascii="仿宋" w:hAnsi="仿宋" w:eastAsia="仿宋" w:cs="仿宋"/>
          <w:sz w:val="25"/>
          <w:szCs w:val="25"/>
        </w:rPr>
      </w:pPr>
      <w:r>
        <w:rPr>
          <w:rFonts w:ascii="仿宋" w:hAnsi="仿宋" w:eastAsia="仿宋" w:cs="仿宋"/>
          <w:spacing w:val="8"/>
          <w:sz w:val="25"/>
          <w:szCs w:val="25"/>
        </w:rPr>
        <w:t>（</w:t>
      </w:r>
      <w:r>
        <w:rPr>
          <w:rFonts w:ascii="Times New Roman" w:hAnsi="Times New Roman" w:eastAsia="Times New Roman" w:cs="Times New Roman"/>
          <w:spacing w:val="8"/>
          <w:sz w:val="25"/>
          <w:szCs w:val="25"/>
        </w:rPr>
        <w:t>1</w:t>
      </w:r>
      <w:r>
        <w:rPr>
          <w:rFonts w:ascii="仿宋" w:hAnsi="仿宋" w:eastAsia="仿宋" w:cs="仿宋"/>
          <w:spacing w:val="8"/>
          <w:sz w:val="25"/>
          <w:szCs w:val="25"/>
        </w:rPr>
        <w:t>）选择合理的开发方法和施工方案</w:t>
      </w:r>
    </w:p>
    <w:p w14:paraId="1484B782">
      <w:pPr>
        <w:spacing w:before="150" w:line="340" w:lineRule="auto"/>
        <w:ind w:left="13" w:right="71" w:firstLine="482"/>
        <w:rPr>
          <w:rFonts w:ascii="仿宋" w:hAnsi="仿宋" w:eastAsia="仿宋" w:cs="仿宋"/>
          <w:sz w:val="25"/>
          <w:szCs w:val="25"/>
        </w:rPr>
      </w:pPr>
      <w:r>
        <w:rPr>
          <w:rFonts w:ascii="仿宋" w:hAnsi="仿宋" w:eastAsia="仿宋" w:cs="仿宋"/>
          <w:spacing w:val="11"/>
          <w:sz w:val="25"/>
          <w:szCs w:val="25"/>
        </w:rPr>
        <w:t>针对规划设置的具体项目，合理安排施工方案和施工计划，</w:t>
      </w:r>
      <w:r>
        <w:rPr>
          <w:rFonts w:ascii="仿宋" w:hAnsi="仿宋" w:eastAsia="仿宋" w:cs="仿宋"/>
          <w:spacing w:val="10"/>
          <w:sz w:val="25"/>
          <w:szCs w:val="25"/>
        </w:rPr>
        <w:t>合理选择科学</w:t>
      </w:r>
      <w:r>
        <w:rPr>
          <w:rFonts w:ascii="仿宋" w:hAnsi="仿宋" w:eastAsia="仿宋" w:cs="仿宋"/>
          <w:sz w:val="25"/>
          <w:szCs w:val="25"/>
        </w:rPr>
        <w:t xml:space="preserve"> </w:t>
      </w:r>
      <w:r>
        <w:rPr>
          <w:rFonts w:ascii="仿宋" w:hAnsi="仿宋" w:eastAsia="仿宋" w:cs="仿宋"/>
          <w:spacing w:val="10"/>
          <w:sz w:val="25"/>
          <w:szCs w:val="25"/>
        </w:rPr>
        <w:t>的开采方法。合理布置工业场地生产附属设施，最</w:t>
      </w:r>
      <w:r>
        <w:rPr>
          <w:rFonts w:ascii="仿宋" w:hAnsi="仿宋" w:eastAsia="仿宋" w:cs="仿宋"/>
          <w:spacing w:val="9"/>
          <w:sz w:val="25"/>
          <w:szCs w:val="25"/>
        </w:rPr>
        <w:t>大限度的减少矿山项目建设</w:t>
      </w:r>
      <w:r>
        <w:rPr>
          <w:rFonts w:ascii="仿宋" w:hAnsi="仿宋" w:eastAsia="仿宋" w:cs="仿宋"/>
          <w:sz w:val="25"/>
          <w:szCs w:val="25"/>
        </w:rPr>
        <w:t xml:space="preserve"> </w:t>
      </w:r>
      <w:r>
        <w:rPr>
          <w:rFonts w:ascii="仿宋" w:hAnsi="仿宋" w:eastAsia="仿宋" w:cs="仿宋"/>
          <w:spacing w:val="10"/>
          <w:sz w:val="25"/>
          <w:szCs w:val="25"/>
        </w:rPr>
        <w:t>用地，特别要节约耕地占用量，严禁占用基本农田</w:t>
      </w:r>
      <w:r>
        <w:rPr>
          <w:rFonts w:ascii="仿宋" w:hAnsi="仿宋" w:eastAsia="仿宋" w:cs="仿宋"/>
          <w:spacing w:val="9"/>
          <w:sz w:val="25"/>
          <w:szCs w:val="25"/>
        </w:rPr>
        <w:t>。项目施工过程中，划定施</w:t>
      </w:r>
      <w:r>
        <w:rPr>
          <w:rFonts w:ascii="仿宋" w:hAnsi="仿宋" w:eastAsia="仿宋" w:cs="仿宋"/>
          <w:sz w:val="25"/>
          <w:szCs w:val="25"/>
        </w:rPr>
        <w:t xml:space="preserve"> </w:t>
      </w:r>
      <w:r>
        <w:rPr>
          <w:rFonts w:ascii="仿宋" w:hAnsi="仿宋" w:eastAsia="仿宋" w:cs="仿宋"/>
          <w:spacing w:val="10"/>
          <w:sz w:val="25"/>
          <w:szCs w:val="25"/>
        </w:rPr>
        <w:t>工界限，把项目对生态环境的影响限制在最小区域</w:t>
      </w:r>
      <w:r>
        <w:rPr>
          <w:rFonts w:ascii="仿宋" w:hAnsi="仿宋" w:eastAsia="仿宋" w:cs="仿宋"/>
          <w:spacing w:val="9"/>
          <w:sz w:val="25"/>
          <w:szCs w:val="25"/>
        </w:rPr>
        <w:t>；项目施工过程中，合理安</w:t>
      </w:r>
      <w:r>
        <w:rPr>
          <w:rFonts w:ascii="仿宋" w:hAnsi="仿宋" w:eastAsia="仿宋" w:cs="仿宋"/>
          <w:sz w:val="25"/>
          <w:szCs w:val="25"/>
        </w:rPr>
        <w:t xml:space="preserve"> </w:t>
      </w:r>
      <w:r>
        <w:rPr>
          <w:rFonts w:ascii="仿宋" w:hAnsi="仿宋" w:eastAsia="仿宋" w:cs="仿宋"/>
          <w:spacing w:val="9"/>
          <w:sz w:val="25"/>
          <w:szCs w:val="25"/>
        </w:rPr>
        <w:t>排施工计划，居民地附近夜间施工应安排噪声源比较小的施工设施。</w:t>
      </w:r>
    </w:p>
    <w:p w14:paraId="2D1690C3">
      <w:pPr>
        <w:spacing w:before="1" w:line="227" w:lineRule="auto"/>
        <w:ind w:left="500"/>
        <w:rPr>
          <w:rFonts w:ascii="仿宋" w:hAnsi="仿宋" w:eastAsia="仿宋" w:cs="仿宋"/>
          <w:sz w:val="25"/>
          <w:szCs w:val="25"/>
        </w:rPr>
      </w:pPr>
      <w:r>
        <w:rPr>
          <w:rFonts w:ascii="仿宋" w:hAnsi="仿宋" w:eastAsia="仿宋" w:cs="仿宋"/>
          <w:spacing w:val="8"/>
          <w:sz w:val="25"/>
          <w:szCs w:val="25"/>
        </w:rPr>
        <w:t>（</w:t>
      </w:r>
      <w:r>
        <w:rPr>
          <w:rFonts w:ascii="Times New Roman" w:hAnsi="Times New Roman" w:eastAsia="Times New Roman" w:cs="Times New Roman"/>
          <w:spacing w:val="8"/>
          <w:sz w:val="25"/>
          <w:szCs w:val="25"/>
        </w:rPr>
        <w:t>2</w:t>
      </w:r>
      <w:r>
        <w:rPr>
          <w:rFonts w:ascii="仿宋" w:hAnsi="仿宋" w:eastAsia="仿宋" w:cs="仿宋"/>
          <w:spacing w:val="8"/>
          <w:sz w:val="25"/>
          <w:szCs w:val="25"/>
        </w:rPr>
        <w:t>）鼓励采用先进环保的生产技术</w:t>
      </w:r>
    </w:p>
    <w:p w14:paraId="55C7A018">
      <w:pPr>
        <w:spacing w:before="150" w:line="340" w:lineRule="auto"/>
        <w:ind w:left="16" w:firstLine="480"/>
        <w:rPr>
          <w:rFonts w:ascii="仿宋" w:hAnsi="仿宋" w:eastAsia="仿宋" w:cs="仿宋"/>
          <w:sz w:val="25"/>
          <w:szCs w:val="25"/>
        </w:rPr>
      </w:pPr>
      <w:r>
        <w:rPr>
          <w:rFonts w:ascii="仿宋" w:hAnsi="仿宋" w:eastAsia="仿宋" w:cs="仿宋"/>
          <w:spacing w:val="5"/>
          <w:sz w:val="25"/>
          <w:szCs w:val="25"/>
        </w:rPr>
        <w:t>淘汰落后采矿工艺、技术和设备，提高采矿装备水平，实现传统产业升级，</w:t>
      </w:r>
      <w:r>
        <w:rPr>
          <w:rFonts w:ascii="仿宋" w:hAnsi="仿宋" w:eastAsia="仿宋" w:cs="仿宋"/>
          <w:spacing w:val="2"/>
          <w:sz w:val="25"/>
          <w:szCs w:val="25"/>
        </w:rPr>
        <w:t xml:space="preserve"> </w:t>
      </w:r>
      <w:r>
        <w:rPr>
          <w:rFonts w:ascii="仿宋" w:hAnsi="仿宋" w:eastAsia="仿宋" w:cs="仿宋"/>
          <w:spacing w:val="10"/>
          <w:sz w:val="25"/>
          <w:szCs w:val="25"/>
        </w:rPr>
        <w:t>减少能源消耗。黔江区铝土矿含硫量较高，应加强高硫铝土矿分离技术研究，</w:t>
      </w:r>
      <w:r>
        <w:rPr>
          <w:rFonts w:ascii="仿宋" w:hAnsi="仿宋" w:eastAsia="仿宋" w:cs="仿宋"/>
          <w:spacing w:val="11"/>
          <w:sz w:val="25"/>
          <w:szCs w:val="25"/>
        </w:rPr>
        <w:t xml:space="preserve"> </w:t>
      </w:r>
      <w:r>
        <w:rPr>
          <w:rFonts w:ascii="仿宋" w:hAnsi="仿宋" w:eastAsia="仿宋" w:cs="仿宋"/>
          <w:spacing w:val="3"/>
          <w:sz w:val="25"/>
          <w:szCs w:val="25"/>
        </w:rPr>
        <w:t>按照《铝行业规范条件》（工信部公告</w:t>
      </w:r>
      <w:r>
        <w:rPr>
          <w:rFonts w:ascii="仿宋" w:hAnsi="仿宋" w:eastAsia="仿宋" w:cs="仿宋"/>
          <w:spacing w:val="-37"/>
          <w:sz w:val="25"/>
          <w:szCs w:val="25"/>
        </w:rPr>
        <w:t xml:space="preserve"> </w:t>
      </w:r>
      <w:r>
        <w:rPr>
          <w:rFonts w:ascii="Times New Roman" w:hAnsi="Times New Roman" w:eastAsia="Times New Roman" w:cs="Times New Roman"/>
          <w:spacing w:val="3"/>
          <w:sz w:val="25"/>
          <w:szCs w:val="25"/>
        </w:rPr>
        <w:t>2020</w:t>
      </w:r>
      <w:r>
        <w:rPr>
          <w:rFonts w:ascii="Times New Roman" w:hAnsi="Times New Roman" w:eastAsia="Times New Roman" w:cs="Times New Roman"/>
          <w:spacing w:val="25"/>
          <w:sz w:val="25"/>
          <w:szCs w:val="25"/>
        </w:rPr>
        <w:t xml:space="preserve"> </w:t>
      </w:r>
      <w:r>
        <w:rPr>
          <w:rFonts w:ascii="仿宋" w:hAnsi="仿宋" w:eastAsia="仿宋" w:cs="仿宋"/>
          <w:spacing w:val="3"/>
          <w:sz w:val="25"/>
          <w:szCs w:val="25"/>
        </w:rPr>
        <w:t>年第</w:t>
      </w:r>
      <w:r>
        <w:rPr>
          <w:rFonts w:ascii="仿宋" w:hAnsi="仿宋" w:eastAsia="仿宋" w:cs="仿宋"/>
          <w:spacing w:val="-47"/>
          <w:sz w:val="25"/>
          <w:szCs w:val="25"/>
        </w:rPr>
        <w:t xml:space="preserve"> </w:t>
      </w:r>
      <w:r>
        <w:rPr>
          <w:rFonts w:ascii="Times New Roman" w:hAnsi="Times New Roman" w:eastAsia="Times New Roman" w:cs="Times New Roman"/>
          <w:spacing w:val="3"/>
          <w:sz w:val="25"/>
          <w:szCs w:val="25"/>
        </w:rPr>
        <w:t>6</w:t>
      </w:r>
      <w:r>
        <w:rPr>
          <w:rFonts w:ascii="Times New Roman" w:hAnsi="Times New Roman" w:eastAsia="Times New Roman" w:cs="Times New Roman"/>
          <w:spacing w:val="26"/>
          <w:w w:val="101"/>
          <w:sz w:val="25"/>
          <w:szCs w:val="25"/>
        </w:rPr>
        <w:t xml:space="preserve"> </w:t>
      </w:r>
      <w:r>
        <w:rPr>
          <w:rFonts w:ascii="仿宋" w:hAnsi="仿宋" w:eastAsia="仿宋" w:cs="仿宋"/>
          <w:spacing w:val="3"/>
          <w:sz w:val="25"/>
          <w:szCs w:val="25"/>
        </w:rPr>
        <w:t>号）相关要求，提高本区铝</w:t>
      </w:r>
      <w:r>
        <w:rPr>
          <w:rFonts w:ascii="仿宋" w:hAnsi="仿宋" w:eastAsia="仿宋" w:cs="仿宋"/>
          <w:sz w:val="25"/>
          <w:szCs w:val="25"/>
        </w:rPr>
        <w:t xml:space="preserve"> </w:t>
      </w:r>
      <w:r>
        <w:rPr>
          <w:rFonts w:ascii="仿宋" w:hAnsi="仿宋" w:eastAsia="仿宋" w:cs="仿宋"/>
          <w:spacing w:val="10"/>
          <w:sz w:val="25"/>
          <w:szCs w:val="25"/>
        </w:rPr>
        <w:t>土矿资源利用水平及利用率，铝土矿的开采</w:t>
      </w:r>
      <w:r>
        <w:rPr>
          <w:rFonts w:ascii="仿宋" w:hAnsi="仿宋" w:eastAsia="仿宋" w:cs="仿宋"/>
          <w:spacing w:val="9"/>
          <w:sz w:val="25"/>
          <w:szCs w:val="25"/>
        </w:rPr>
        <w:t>回采率、选矿回收率和综合利用率</w:t>
      </w:r>
      <w:r>
        <w:rPr>
          <w:rFonts w:ascii="仿宋" w:hAnsi="仿宋" w:eastAsia="仿宋" w:cs="仿宋"/>
          <w:sz w:val="25"/>
          <w:szCs w:val="25"/>
        </w:rPr>
        <w:t xml:space="preserve"> </w:t>
      </w:r>
      <w:r>
        <w:rPr>
          <w:rFonts w:ascii="仿宋" w:hAnsi="仿宋" w:eastAsia="仿宋" w:cs="仿宋"/>
          <w:spacing w:val="10"/>
          <w:sz w:val="25"/>
          <w:szCs w:val="25"/>
        </w:rPr>
        <w:t>等三项指标应符合原国土资源部颁布的《关</w:t>
      </w:r>
      <w:r>
        <w:rPr>
          <w:rFonts w:ascii="仿宋" w:hAnsi="仿宋" w:eastAsia="仿宋" w:cs="仿宋"/>
          <w:spacing w:val="9"/>
          <w:sz w:val="25"/>
          <w:szCs w:val="25"/>
        </w:rPr>
        <w:t>于锰、铬、铝土矿、钨、钼、硫铁</w:t>
      </w:r>
      <w:r>
        <w:rPr>
          <w:rFonts w:ascii="仿宋" w:hAnsi="仿宋" w:eastAsia="仿宋" w:cs="仿宋"/>
          <w:sz w:val="25"/>
          <w:szCs w:val="25"/>
        </w:rPr>
        <w:t xml:space="preserve"> </w:t>
      </w:r>
      <w:r>
        <w:rPr>
          <w:rFonts w:ascii="仿宋" w:hAnsi="仿宋" w:eastAsia="仿宋" w:cs="仿宋"/>
          <w:spacing w:val="8"/>
          <w:sz w:val="25"/>
          <w:szCs w:val="25"/>
        </w:rPr>
        <w:t>矿、石墨和石棉等矿产资源合理开发利用“三率</w:t>
      </w:r>
      <w:r>
        <w:rPr>
          <w:rFonts w:ascii="仿宋" w:hAnsi="仿宋" w:eastAsia="仿宋" w:cs="仿宋"/>
          <w:spacing w:val="-72"/>
          <w:sz w:val="25"/>
          <w:szCs w:val="25"/>
        </w:rPr>
        <w:t xml:space="preserve"> </w:t>
      </w:r>
      <w:r>
        <w:rPr>
          <w:rFonts w:ascii="仿宋" w:hAnsi="仿宋" w:eastAsia="仿宋" w:cs="仿宋"/>
          <w:spacing w:val="8"/>
          <w:sz w:val="25"/>
          <w:szCs w:val="25"/>
        </w:rPr>
        <w:t>”最低指标要求（试行）的公</w:t>
      </w:r>
      <w:r>
        <w:rPr>
          <w:rFonts w:ascii="仿宋" w:hAnsi="仿宋" w:eastAsia="仿宋" w:cs="仿宋"/>
          <w:sz w:val="25"/>
          <w:szCs w:val="25"/>
        </w:rPr>
        <w:t xml:space="preserve"> 告》（</w:t>
      </w:r>
      <w:r>
        <w:rPr>
          <w:rFonts w:ascii="Times New Roman" w:hAnsi="Times New Roman" w:eastAsia="Times New Roman" w:cs="Times New Roman"/>
          <w:sz w:val="25"/>
          <w:szCs w:val="25"/>
        </w:rPr>
        <w:t>2014</w:t>
      </w:r>
      <w:r>
        <w:rPr>
          <w:rFonts w:ascii="Times New Roman" w:hAnsi="Times New Roman" w:eastAsia="Times New Roman" w:cs="Times New Roman"/>
          <w:spacing w:val="44"/>
          <w:sz w:val="25"/>
          <w:szCs w:val="25"/>
        </w:rPr>
        <w:t xml:space="preserve"> </w:t>
      </w:r>
      <w:r>
        <w:rPr>
          <w:rFonts w:ascii="仿宋" w:hAnsi="仿宋" w:eastAsia="仿宋" w:cs="仿宋"/>
          <w:sz w:val="25"/>
          <w:szCs w:val="25"/>
        </w:rPr>
        <w:t>年第</w:t>
      </w:r>
      <w:r>
        <w:rPr>
          <w:rFonts w:ascii="仿宋" w:hAnsi="仿宋" w:eastAsia="仿宋" w:cs="仿宋"/>
          <w:spacing w:val="-47"/>
          <w:sz w:val="25"/>
          <w:szCs w:val="25"/>
        </w:rPr>
        <w:t xml:space="preserve"> </w:t>
      </w:r>
      <w:r>
        <w:rPr>
          <w:rFonts w:ascii="Times New Roman" w:hAnsi="Times New Roman" w:eastAsia="Times New Roman" w:cs="Times New Roman"/>
          <w:sz w:val="25"/>
          <w:szCs w:val="25"/>
        </w:rPr>
        <w:t>31</w:t>
      </w:r>
      <w:r>
        <w:rPr>
          <w:rFonts w:ascii="Times New Roman" w:hAnsi="Times New Roman" w:eastAsia="Times New Roman" w:cs="Times New Roman"/>
          <w:spacing w:val="25"/>
          <w:w w:val="101"/>
          <w:sz w:val="25"/>
          <w:szCs w:val="25"/>
        </w:rPr>
        <w:t xml:space="preserve"> </w:t>
      </w:r>
      <w:r>
        <w:rPr>
          <w:rFonts w:ascii="仿宋" w:hAnsi="仿宋" w:eastAsia="仿宋" w:cs="仿宋"/>
          <w:sz w:val="25"/>
          <w:szCs w:val="25"/>
        </w:rPr>
        <w:t>号）</w:t>
      </w:r>
      <w:r>
        <w:rPr>
          <w:rFonts w:ascii="仿宋" w:hAnsi="仿宋" w:eastAsia="仿宋" w:cs="仿宋"/>
          <w:spacing w:val="-63"/>
          <w:sz w:val="25"/>
          <w:szCs w:val="25"/>
        </w:rPr>
        <w:t xml:space="preserve"> </w:t>
      </w:r>
      <w:r>
        <w:rPr>
          <w:rFonts w:ascii="仿宋" w:hAnsi="仿宋" w:eastAsia="仿宋" w:cs="仿宋"/>
          <w:sz w:val="25"/>
          <w:szCs w:val="25"/>
        </w:rPr>
        <w:t>中的相关要求。</w:t>
      </w:r>
    </w:p>
    <w:p w14:paraId="24C69EE5">
      <w:pPr>
        <w:spacing w:before="1" w:line="339" w:lineRule="auto"/>
        <w:ind w:left="18" w:right="16" w:firstLine="485"/>
        <w:jc w:val="both"/>
        <w:rPr>
          <w:rFonts w:ascii="仿宋" w:hAnsi="仿宋" w:eastAsia="仿宋" w:cs="仿宋"/>
          <w:sz w:val="25"/>
          <w:szCs w:val="25"/>
        </w:rPr>
      </w:pPr>
      <w:r>
        <w:rPr>
          <w:rFonts w:ascii="仿宋" w:hAnsi="仿宋" w:eastAsia="仿宋" w:cs="仿宋"/>
          <w:spacing w:val="10"/>
          <w:sz w:val="25"/>
          <w:szCs w:val="25"/>
        </w:rPr>
        <w:t>露天矿山应严格按照开发利用方案确定的台阶式开采方式，从上至下，分</w:t>
      </w:r>
      <w:r>
        <w:rPr>
          <w:rFonts w:ascii="仿宋" w:hAnsi="仿宋" w:eastAsia="仿宋" w:cs="仿宋"/>
          <w:spacing w:val="18"/>
          <w:sz w:val="25"/>
          <w:szCs w:val="25"/>
        </w:rPr>
        <w:t xml:space="preserve"> </w:t>
      </w:r>
      <w:r>
        <w:rPr>
          <w:rFonts w:ascii="仿宋" w:hAnsi="仿宋" w:eastAsia="仿宋" w:cs="仿宋"/>
          <w:spacing w:val="4"/>
          <w:sz w:val="25"/>
          <w:szCs w:val="25"/>
        </w:rPr>
        <w:t>层开采，留足安全平台、清扫平面，并严格执行</w:t>
      </w:r>
      <w:r>
        <w:rPr>
          <w:rFonts w:ascii="Times New Roman" w:hAnsi="Times New Roman" w:eastAsia="Times New Roman" w:cs="Times New Roman"/>
          <w:spacing w:val="4"/>
          <w:sz w:val="25"/>
          <w:szCs w:val="25"/>
        </w:rPr>
        <w:t>“</w:t>
      </w:r>
      <w:r>
        <w:rPr>
          <w:rFonts w:ascii="仿宋" w:hAnsi="仿宋" w:eastAsia="仿宋" w:cs="仿宋"/>
          <w:spacing w:val="4"/>
          <w:sz w:val="25"/>
          <w:szCs w:val="25"/>
        </w:rPr>
        <w:t>边开采、边治理、边生态恢复</w:t>
      </w:r>
      <w:r>
        <w:rPr>
          <w:rFonts w:ascii="Times New Roman" w:hAnsi="Times New Roman" w:eastAsia="Times New Roman" w:cs="Times New Roman"/>
          <w:spacing w:val="4"/>
          <w:sz w:val="25"/>
          <w:szCs w:val="25"/>
        </w:rPr>
        <w:t>”</w:t>
      </w:r>
      <w:r>
        <w:rPr>
          <w:rFonts w:ascii="Times New Roman" w:hAnsi="Times New Roman" w:eastAsia="Times New Roman" w:cs="Times New Roman"/>
          <w:spacing w:val="12"/>
          <w:sz w:val="25"/>
          <w:szCs w:val="25"/>
        </w:rPr>
        <w:t xml:space="preserve"> </w:t>
      </w:r>
      <w:r>
        <w:rPr>
          <w:rFonts w:ascii="仿宋" w:hAnsi="仿宋" w:eastAsia="仿宋" w:cs="仿宋"/>
          <w:spacing w:val="4"/>
          <w:sz w:val="25"/>
          <w:szCs w:val="25"/>
        </w:rPr>
        <w:t>的作业计划。</w:t>
      </w:r>
    </w:p>
    <w:p w14:paraId="694A165A">
      <w:pPr>
        <w:spacing w:before="123" w:line="228" w:lineRule="auto"/>
        <w:ind w:left="8"/>
        <w:outlineLvl w:val="3"/>
        <w:rPr>
          <w:rFonts w:ascii="仿宋" w:hAnsi="仿宋" w:eastAsia="仿宋" w:cs="仿宋"/>
          <w:sz w:val="25"/>
          <w:szCs w:val="25"/>
        </w:rPr>
      </w:pPr>
      <w:r>
        <w:rPr>
          <w:rFonts w:ascii="Times New Roman" w:hAnsi="Times New Roman" w:eastAsia="Times New Roman" w:cs="Times New Roman"/>
          <w:b/>
          <w:bCs/>
          <w:spacing w:val="5"/>
          <w:sz w:val="25"/>
          <w:szCs w:val="25"/>
        </w:rPr>
        <w:t>7.1.1.2</w:t>
      </w:r>
      <w:r>
        <w:rPr>
          <w:rFonts w:ascii="Times New Roman" w:hAnsi="Times New Roman" w:eastAsia="Times New Roman" w:cs="Times New Roman"/>
          <w:b/>
          <w:bCs/>
          <w:spacing w:val="34"/>
          <w:w w:val="101"/>
          <w:sz w:val="25"/>
          <w:szCs w:val="25"/>
        </w:rPr>
        <w:t xml:space="preserve"> </w:t>
      </w:r>
      <w:r>
        <w:rPr>
          <w:rFonts w:ascii="仿宋" w:hAnsi="仿宋" w:eastAsia="仿宋" w:cs="仿宋"/>
          <w:b/>
          <w:bCs/>
          <w:spacing w:val="5"/>
          <w:sz w:val="25"/>
          <w:szCs w:val="25"/>
        </w:rPr>
        <w:t>加强矿产资源节约与资源综合利用</w:t>
      </w:r>
    </w:p>
    <w:p w14:paraId="7AE7877C">
      <w:pPr>
        <w:spacing w:before="269" w:line="228" w:lineRule="auto"/>
        <w:ind w:left="500"/>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1</w:t>
      </w:r>
      <w:r>
        <w:rPr>
          <w:rFonts w:ascii="仿宋" w:hAnsi="仿宋" w:eastAsia="仿宋" w:cs="仿宋"/>
          <w:spacing w:val="7"/>
          <w:sz w:val="25"/>
          <w:szCs w:val="25"/>
        </w:rPr>
        <w:t>）加强固体废物综合利用</w:t>
      </w:r>
    </w:p>
    <w:p w14:paraId="31BE3137">
      <w:pPr>
        <w:spacing w:before="151" w:line="340" w:lineRule="auto"/>
        <w:ind w:left="16" w:right="69" w:firstLine="487"/>
        <w:rPr>
          <w:rFonts w:ascii="仿宋" w:hAnsi="仿宋" w:eastAsia="仿宋" w:cs="仿宋"/>
          <w:sz w:val="25"/>
          <w:szCs w:val="25"/>
        </w:rPr>
      </w:pPr>
      <w:r>
        <w:rPr>
          <w:rFonts w:ascii="仿宋" w:hAnsi="仿宋" w:eastAsia="仿宋" w:cs="仿宋"/>
          <w:spacing w:val="10"/>
          <w:sz w:val="25"/>
          <w:szCs w:val="25"/>
        </w:rPr>
        <w:t>露天开采剥离表土单独堆放用于后期生态恢复和土地复垦；废渣用于采空</w:t>
      </w:r>
      <w:r>
        <w:rPr>
          <w:rFonts w:ascii="仿宋" w:hAnsi="仿宋" w:eastAsia="仿宋" w:cs="仿宋"/>
          <w:spacing w:val="18"/>
          <w:sz w:val="25"/>
          <w:szCs w:val="25"/>
        </w:rPr>
        <w:t xml:space="preserve"> </w:t>
      </w:r>
      <w:r>
        <w:rPr>
          <w:rFonts w:ascii="仿宋" w:hAnsi="仿宋" w:eastAsia="仿宋" w:cs="仿宋"/>
          <w:spacing w:val="10"/>
          <w:sz w:val="25"/>
          <w:szCs w:val="25"/>
        </w:rPr>
        <w:t>区充填，减少弃渣场占地。砂岩沉淀池污泥定期</w:t>
      </w:r>
      <w:r>
        <w:rPr>
          <w:rFonts w:ascii="仿宋" w:hAnsi="仿宋" w:eastAsia="仿宋" w:cs="仿宋"/>
          <w:spacing w:val="9"/>
          <w:sz w:val="25"/>
          <w:szCs w:val="25"/>
        </w:rPr>
        <w:t>清掏后堆存于表土场，可用于</w:t>
      </w:r>
      <w:r>
        <w:rPr>
          <w:rFonts w:ascii="仿宋" w:hAnsi="仿宋" w:eastAsia="仿宋" w:cs="仿宋"/>
          <w:sz w:val="25"/>
          <w:szCs w:val="25"/>
        </w:rPr>
        <w:t xml:space="preserve"> </w:t>
      </w:r>
      <w:r>
        <w:rPr>
          <w:rFonts w:ascii="仿宋" w:hAnsi="仿宋" w:eastAsia="仿宋" w:cs="仿宋"/>
          <w:spacing w:val="6"/>
          <w:sz w:val="25"/>
          <w:szCs w:val="25"/>
        </w:rPr>
        <w:t>矿山后期回填覆土。</w:t>
      </w:r>
    </w:p>
    <w:p w14:paraId="3FD5FCD8">
      <w:pPr>
        <w:spacing w:before="1" w:line="228" w:lineRule="auto"/>
        <w:ind w:left="500"/>
        <w:rPr>
          <w:rFonts w:ascii="仿宋" w:hAnsi="仿宋" w:eastAsia="仿宋" w:cs="仿宋"/>
          <w:sz w:val="25"/>
          <w:szCs w:val="25"/>
        </w:rPr>
      </w:pPr>
      <w:r>
        <w:rPr>
          <w:rFonts w:ascii="仿宋" w:hAnsi="仿宋" w:eastAsia="仿宋" w:cs="仿宋"/>
          <w:spacing w:val="8"/>
          <w:sz w:val="25"/>
          <w:szCs w:val="25"/>
        </w:rPr>
        <w:t>（</w:t>
      </w:r>
      <w:r>
        <w:rPr>
          <w:rFonts w:ascii="Times New Roman" w:hAnsi="Times New Roman" w:eastAsia="Times New Roman" w:cs="Times New Roman"/>
          <w:spacing w:val="8"/>
          <w:sz w:val="25"/>
          <w:szCs w:val="25"/>
        </w:rPr>
        <w:t>2</w:t>
      </w:r>
      <w:r>
        <w:rPr>
          <w:rFonts w:ascii="仿宋" w:hAnsi="仿宋" w:eastAsia="仿宋" w:cs="仿宋"/>
          <w:spacing w:val="8"/>
          <w:sz w:val="25"/>
          <w:szCs w:val="25"/>
        </w:rPr>
        <w:t>）加强水资源的节约和综合利用</w:t>
      </w:r>
    </w:p>
    <w:p w14:paraId="243FDF57">
      <w:pPr>
        <w:spacing w:line="228" w:lineRule="auto"/>
        <w:rPr>
          <w:rFonts w:ascii="仿宋" w:hAnsi="仿宋" w:eastAsia="仿宋" w:cs="仿宋"/>
          <w:sz w:val="25"/>
          <w:szCs w:val="25"/>
        </w:rPr>
        <w:sectPr>
          <w:headerReference r:id="rId219" w:type="default"/>
          <w:footerReference r:id="rId220" w:type="default"/>
          <w:pgSz w:w="11906" w:h="16839"/>
          <w:pgMar w:top="1116" w:right="1404" w:bottom="866" w:left="1587" w:header="683" w:footer="703" w:gutter="0"/>
          <w:cols w:space="720" w:num="1"/>
        </w:sectPr>
      </w:pPr>
    </w:p>
    <w:p w14:paraId="7C1D6BE5">
      <w:pPr>
        <w:pStyle w:val="2"/>
        <w:spacing w:line="386" w:lineRule="auto"/>
      </w:pPr>
    </w:p>
    <w:p w14:paraId="6C77BF92">
      <w:pPr>
        <w:spacing w:before="82" w:line="339" w:lineRule="auto"/>
        <w:ind w:left="15" w:right="68" w:firstLine="480"/>
        <w:rPr>
          <w:rFonts w:ascii="仿宋" w:hAnsi="仿宋" w:eastAsia="仿宋" w:cs="仿宋"/>
          <w:sz w:val="25"/>
          <w:szCs w:val="25"/>
        </w:rPr>
      </w:pPr>
      <w:r>
        <w:rPr>
          <w:rFonts w:ascii="仿宋" w:hAnsi="仿宋" w:eastAsia="仿宋" w:cs="仿宋"/>
          <w:spacing w:val="11"/>
          <w:sz w:val="25"/>
          <w:szCs w:val="25"/>
        </w:rPr>
        <w:t>加强矿井水资源综合利用，提高污水回用率。加强矿山生产</w:t>
      </w:r>
      <w:r>
        <w:rPr>
          <w:rFonts w:ascii="仿宋" w:hAnsi="仿宋" w:eastAsia="仿宋" w:cs="仿宋"/>
          <w:spacing w:val="10"/>
          <w:sz w:val="25"/>
          <w:szCs w:val="25"/>
        </w:rPr>
        <w:t>生活污水循环</w:t>
      </w:r>
      <w:r>
        <w:rPr>
          <w:rFonts w:ascii="仿宋" w:hAnsi="仿宋" w:eastAsia="仿宋" w:cs="仿宋"/>
          <w:sz w:val="25"/>
          <w:szCs w:val="25"/>
        </w:rPr>
        <w:t xml:space="preserve"> </w:t>
      </w:r>
      <w:r>
        <w:rPr>
          <w:rFonts w:ascii="仿宋" w:hAnsi="仿宋" w:eastAsia="仿宋" w:cs="仿宋"/>
          <w:spacing w:val="7"/>
          <w:sz w:val="25"/>
          <w:szCs w:val="25"/>
        </w:rPr>
        <w:t>利用率，提高污水回用率。</w:t>
      </w:r>
    </w:p>
    <w:p w14:paraId="675F4D8D">
      <w:pPr>
        <w:spacing w:line="229" w:lineRule="auto"/>
        <w:ind w:left="500"/>
        <w:rPr>
          <w:rFonts w:ascii="仿宋" w:hAnsi="仿宋" w:eastAsia="仿宋" w:cs="仿宋"/>
          <w:sz w:val="25"/>
          <w:szCs w:val="25"/>
        </w:rPr>
      </w:pPr>
      <w:r>
        <w:rPr>
          <w:rFonts w:ascii="仿宋" w:hAnsi="仿宋" w:eastAsia="仿宋" w:cs="仿宋"/>
          <w:spacing w:val="8"/>
          <w:sz w:val="25"/>
          <w:szCs w:val="25"/>
        </w:rPr>
        <w:t>（</w:t>
      </w:r>
      <w:r>
        <w:rPr>
          <w:rFonts w:ascii="Times New Roman" w:hAnsi="Times New Roman" w:eastAsia="Times New Roman" w:cs="Times New Roman"/>
          <w:spacing w:val="8"/>
          <w:sz w:val="25"/>
          <w:szCs w:val="25"/>
        </w:rPr>
        <w:t>3</w:t>
      </w:r>
      <w:r>
        <w:rPr>
          <w:rFonts w:ascii="仿宋" w:hAnsi="仿宋" w:eastAsia="仿宋" w:cs="仿宋"/>
          <w:spacing w:val="8"/>
          <w:sz w:val="25"/>
          <w:szCs w:val="25"/>
        </w:rPr>
        <w:t>）推进规模化经营，提高大中型矿山比例</w:t>
      </w:r>
    </w:p>
    <w:p w14:paraId="643ECBAE">
      <w:pPr>
        <w:spacing w:before="149" w:line="340" w:lineRule="auto"/>
        <w:ind w:left="18" w:right="68" w:firstLine="483"/>
        <w:rPr>
          <w:rFonts w:ascii="仿宋" w:hAnsi="仿宋" w:eastAsia="仿宋" w:cs="仿宋"/>
          <w:sz w:val="25"/>
          <w:szCs w:val="25"/>
        </w:rPr>
      </w:pPr>
      <w:r>
        <w:rPr>
          <w:rFonts w:ascii="仿宋" w:hAnsi="仿宋" w:eastAsia="仿宋" w:cs="仿宋"/>
          <w:spacing w:val="11"/>
          <w:sz w:val="25"/>
          <w:szCs w:val="25"/>
        </w:rPr>
        <w:t>通过淘汰落后产能和保留矿山扩能改造，提高</w:t>
      </w:r>
      <w:r>
        <w:rPr>
          <w:rFonts w:ascii="仿宋" w:hAnsi="仿宋" w:eastAsia="仿宋" w:cs="仿宋"/>
          <w:spacing w:val="10"/>
          <w:sz w:val="25"/>
          <w:szCs w:val="25"/>
        </w:rPr>
        <w:t>大中型矿山比例，增强生态</w:t>
      </w:r>
      <w:r>
        <w:rPr>
          <w:rFonts w:ascii="仿宋" w:hAnsi="仿宋" w:eastAsia="仿宋" w:cs="仿宋"/>
          <w:sz w:val="25"/>
          <w:szCs w:val="25"/>
        </w:rPr>
        <w:t xml:space="preserve"> </w:t>
      </w:r>
      <w:r>
        <w:rPr>
          <w:rFonts w:ascii="仿宋" w:hAnsi="仿宋" w:eastAsia="仿宋" w:cs="仿宋"/>
          <w:spacing w:val="7"/>
          <w:sz w:val="25"/>
          <w:szCs w:val="25"/>
        </w:rPr>
        <w:t>恢复和污染防治的能力。</w:t>
      </w:r>
    </w:p>
    <w:p w14:paraId="0EC64967">
      <w:pPr>
        <w:spacing w:before="118" w:line="228" w:lineRule="auto"/>
        <w:ind w:left="8"/>
        <w:outlineLvl w:val="3"/>
        <w:rPr>
          <w:rFonts w:ascii="仿宋" w:hAnsi="仿宋" w:eastAsia="仿宋" w:cs="仿宋"/>
          <w:sz w:val="25"/>
          <w:szCs w:val="25"/>
        </w:rPr>
      </w:pPr>
      <w:r>
        <w:rPr>
          <w:rFonts w:ascii="Times New Roman" w:hAnsi="Times New Roman" w:eastAsia="Times New Roman" w:cs="Times New Roman"/>
          <w:b/>
          <w:bCs/>
          <w:spacing w:val="5"/>
          <w:sz w:val="25"/>
          <w:szCs w:val="25"/>
        </w:rPr>
        <w:t>7.1.1.3</w:t>
      </w:r>
      <w:r>
        <w:rPr>
          <w:rFonts w:ascii="Times New Roman" w:hAnsi="Times New Roman" w:eastAsia="Times New Roman" w:cs="Times New Roman"/>
          <w:b/>
          <w:bCs/>
          <w:spacing w:val="26"/>
          <w:w w:val="101"/>
          <w:sz w:val="25"/>
          <w:szCs w:val="25"/>
        </w:rPr>
        <w:t xml:space="preserve"> </w:t>
      </w:r>
      <w:r>
        <w:rPr>
          <w:rFonts w:ascii="仿宋" w:hAnsi="仿宋" w:eastAsia="仿宋" w:cs="仿宋"/>
          <w:b/>
          <w:bCs/>
          <w:spacing w:val="5"/>
          <w:sz w:val="25"/>
          <w:szCs w:val="25"/>
        </w:rPr>
        <w:t>推行清洁生产，发展循环经济</w:t>
      </w:r>
    </w:p>
    <w:p w14:paraId="12A68636">
      <w:pPr>
        <w:spacing w:before="273" w:line="339" w:lineRule="auto"/>
        <w:ind w:left="16" w:right="68" w:firstLine="483"/>
        <w:rPr>
          <w:rFonts w:ascii="仿宋" w:hAnsi="仿宋" w:eastAsia="仿宋" w:cs="仿宋"/>
          <w:sz w:val="25"/>
          <w:szCs w:val="25"/>
        </w:rPr>
      </w:pPr>
      <w:r>
        <w:rPr>
          <w:rFonts w:ascii="仿宋" w:hAnsi="仿宋" w:eastAsia="仿宋" w:cs="仿宋"/>
          <w:spacing w:val="11"/>
          <w:sz w:val="25"/>
          <w:szCs w:val="25"/>
        </w:rPr>
        <w:t>鼓励采用低能耗、低污染的生产工艺，提高各个行</w:t>
      </w:r>
      <w:r>
        <w:rPr>
          <w:rFonts w:ascii="仿宋" w:hAnsi="仿宋" w:eastAsia="仿宋" w:cs="仿宋"/>
          <w:spacing w:val="10"/>
          <w:sz w:val="25"/>
          <w:szCs w:val="25"/>
        </w:rPr>
        <w:t>业的清洁生产水平，降</w:t>
      </w:r>
      <w:r>
        <w:rPr>
          <w:rFonts w:ascii="仿宋" w:hAnsi="仿宋" w:eastAsia="仿宋" w:cs="仿宋"/>
          <w:sz w:val="25"/>
          <w:szCs w:val="25"/>
        </w:rPr>
        <w:t xml:space="preserve"> </w:t>
      </w:r>
      <w:r>
        <w:rPr>
          <w:rFonts w:ascii="仿宋" w:hAnsi="仿宋" w:eastAsia="仿宋" w:cs="仿宋"/>
          <w:spacing w:val="6"/>
          <w:sz w:val="25"/>
          <w:szCs w:val="25"/>
        </w:rPr>
        <w:t>低污染物产生量。</w:t>
      </w:r>
    </w:p>
    <w:p w14:paraId="05F995C2">
      <w:pPr>
        <w:spacing w:before="5" w:line="339" w:lineRule="auto"/>
        <w:ind w:left="15" w:right="13" w:firstLine="482"/>
        <w:jc w:val="both"/>
        <w:rPr>
          <w:rFonts w:ascii="仿宋" w:hAnsi="仿宋" w:eastAsia="仿宋" w:cs="仿宋"/>
          <w:sz w:val="25"/>
          <w:szCs w:val="25"/>
        </w:rPr>
      </w:pPr>
      <w:r>
        <w:rPr>
          <w:rFonts w:ascii="仿宋" w:hAnsi="仿宋" w:eastAsia="仿宋" w:cs="仿宋"/>
          <w:spacing w:val="10"/>
          <w:sz w:val="25"/>
          <w:szCs w:val="25"/>
        </w:rPr>
        <w:t>推进矿山</w:t>
      </w:r>
      <w:r>
        <w:rPr>
          <w:rFonts w:ascii="Times New Roman" w:hAnsi="Times New Roman" w:eastAsia="Times New Roman" w:cs="Times New Roman"/>
          <w:spacing w:val="10"/>
          <w:sz w:val="25"/>
          <w:szCs w:val="25"/>
        </w:rPr>
        <w:t>“</w:t>
      </w:r>
      <w:r>
        <w:rPr>
          <w:rFonts w:ascii="仿宋" w:hAnsi="仿宋" w:eastAsia="仿宋" w:cs="仿宋"/>
          <w:spacing w:val="10"/>
          <w:sz w:val="25"/>
          <w:szCs w:val="25"/>
        </w:rPr>
        <w:t>清洁生产</w:t>
      </w:r>
      <w:r>
        <w:rPr>
          <w:rFonts w:ascii="Times New Roman" w:hAnsi="Times New Roman" w:eastAsia="Times New Roman" w:cs="Times New Roman"/>
          <w:spacing w:val="10"/>
          <w:sz w:val="25"/>
          <w:szCs w:val="25"/>
        </w:rPr>
        <w:t>”</w:t>
      </w:r>
      <w:r>
        <w:rPr>
          <w:rFonts w:ascii="Times New Roman" w:hAnsi="Times New Roman" w:eastAsia="Times New Roman" w:cs="Times New Roman"/>
          <w:spacing w:val="-21"/>
          <w:sz w:val="25"/>
          <w:szCs w:val="25"/>
        </w:rPr>
        <w:t xml:space="preserve"> </w:t>
      </w:r>
      <w:r>
        <w:rPr>
          <w:rFonts w:ascii="仿宋" w:hAnsi="仿宋" w:eastAsia="仿宋" w:cs="仿宋"/>
          <w:spacing w:val="10"/>
          <w:sz w:val="25"/>
          <w:szCs w:val="25"/>
        </w:rPr>
        <w:t>，加强科学技术研究和应用，鼓励采用先进的开采工</w:t>
      </w:r>
      <w:r>
        <w:rPr>
          <w:rFonts w:ascii="仿宋" w:hAnsi="仿宋" w:eastAsia="仿宋" w:cs="仿宋"/>
          <w:sz w:val="25"/>
          <w:szCs w:val="25"/>
        </w:rPr>
        <w:t xml:space="preserve"> </w:t>
      </w:r>
      <w:r>
        <w:rPr>
          <w:rFonts w:ascii="仿宋" w:hAnsi="仿宋" w:eastAsia="仿宋" w:cs="仿宋"/>
          <w:spacing w:val="12"/>
          <w:sz w:val="25"/>
          <w:szCs w:val="25"/>
        </w:rPr>
        <w:t>艺，实行综合开发和综合利用，实现矿山废弃物的减量</w:t>
      </w:r>
      <w:r>
        <w:rPr>
          <w:rFonts w:ascii="仿宋" w:hAnsi="仿宋" w:eastAsia="仿宋" w:cs="仿宋"/>
          <w:spacing w:val="11"/>
          <w:sz w:val="25"/>
          <w:szCs w:val="25"/>
        </w:rPr>
        <w:t>化和资源化。将</w:t>
      </w:r>
      <w:r>
        <w:rPr>
          <w:rFonts w:ascii="Times New Roman" w:hAnsi="Times New Roman" w:eastAsia="Times New Roman" w:cs="Times New Roman"/>
          <w:spacing w:val="11"/>
          <w:sz w:val="25"/>
          <w:szCs w:val="25"/>
        </w:rPr>
        <w:t>“</w:t>
      </w:r>
      <w:r>
        <w:rPr>
          <w:rFonts w:ascii="仿宋" w:hAnsi="仿宋" w:eastAsia="仿宋" w:cs="仿宋"/>
          <w:spacing w:val="11"/>
          <w:sz w:val="25"/>
          <w:szCs w:val="25"/>
        </w:rPr>
        <w:t>三率</w:t>
      </w:r>
      <w:r>
        <w:rPr>
          <w:rFonts w:ascii="Times New Roman" w:hAnsi="Times New Roman" w:eastAsia="Times New Roman" w:cs="Times New Roman"/>
          <w:spacing w:val="11"/>
          <w:sz w:val="25"/>
          <w:szCs w:val="25"/>
        </w:rPr>
        <w:t>”</w:t>
      </w:r>
      <w:r>
        <w:rPr>
          <w:rFonts w:ascii="Times New Roman" w:hAnsi="Times New Roman" w:eastAsia="Times New Roman" w:cs="Times New Roman"/>
          <w:sz w:val="25"/>
          <w:szCs w:val="25"/>
        </w:rPr>
        <w:t xml:space="preserve"> </w:t>
      </w:r>
      <w:r>
        <w:rPr>
          <w:rFonts w:ascii="仿宋" w:hAnsi="仿宋" w:eastAsia="仿宋" w:cs="仿宋"/>
          <w:spacing w:val="10"/>
          <w:sz w:val="25"/>
          <w:szCs w:val="25"/>
        </w:rPr>
        <w:t>指标的制定与考核作为矿山开发监督管理工作</w:t>
      </w:r>
      <w:r>
        <w:rPr>
          <w:rFonts w:ascii="仿宋" w:hAnsi="仿宋" w:eastAsia="仿宋" w:cs="仿宋"/>
          <w:spacing w:val="9"/>
          <w:sz w:val="25"/>
          <w:szCs w:val="25"/>
        </w:rPr>
        <w:t>的中心内容。根据矿床开采技术</w:t>
      </w:r>
      <w:r>
        <w:rPr>
          <w:rFonts w:ascii="仿宋" w:hAnsi="仿宋" w:eastAsia="仿宋" w:cs="仿宋"/>
          <w:sz w:val="25"/>
          <w:szCs w:val="25"/>
        </w:rPr>
        <w:t xml:space="preserve"> </w:t>
      </w:r>
      <w:r>
        <w:rPr>
          <w:rFonts w:ascii="仿宋" w:hAnsi="仿宋" w:eastAsia="仿宋" w:cs="仿宋"/>
          <w:spacing w:val="10"/>
          <w:sz w:val="25"/>
          <w:szCs w:val="25"/>
        </w:rPr>
        <w:t>条件，采用先进技术和方法提高回采率，力争</w:t>
      </w:r>
      <w:r>
        <w:rPr>
          <w:rFonts w:ascii="仿宋" w:hAnsi="仿宋" w:eastAsia="仿宋" w:cs="仿宋"/>
          <w:spacing w:val="9"/>
          <w:sz w:val="25"/>
          <w:szCs w:val="25"/>
        </w:rPr>
        <w:t>达到国家清洁生产标准要求，并</w:t>
      </w:r>
      <w:r>
        <w:rPr>
          <w:rFonts w:ascii="仿宋" w:hAnsi="仿宋" w:eastAsia="仿宋" w:cs="仿宋"/>
          <w:sz w:val="25"/>
          <w:szCs w:val="25"/>
        </w:rPr>
        <w:t xml:space="preserve"> </w:t>
      </w:r>
      <w:r>
        <w:rPr>
          <w:rFonts w:ascii="仿宋" w:hAnsi="仿宋" w:eastAsia="仿宋" w:cs="仿宋"/>
          <w:spacing w:val="7"/>
          <w:sz w:val="25"/>
          <w:szCs w:val="25"/>
        </w:rPr>
        <w:t>加快符合国际先进水平。</w:t>
      </w:r>
    </w:p>
    <w:p w14:paraId="1CAF1FEC">
      <w:pPr>
        <w:spacing w:before="121" w:line="226" w:lineRule="auto"/>
        <w:ind w:left="8"/>
        <w:outlineLvl w:val="3"/>
        <w:rPr>
          <w:rFonts w:ascii="仿宋" w:hAnsi="仿宋" w:eastAsia="仿宋" w:cs="仿宋"/>
          <w:sz w:val="25"/>
          <w:szCs w:val="25"/>
        </w:rPr>
      </w:pPr>
      <w:r>
        <w:rPr>
          <w:rFonts w:ascii="Times New Roman" w:hAnsi="Times New Roman" w:eastAsia="Times New Roman" w:cs="Times New Roman"/>
          <w:b/>
          <w:bCs/>
          <w:spacing w:val="5"/>
          <w:sz w:val="25"/>
          <w:szCs w:val="25"/>
        </w:rPr>
        <w:t>7.1.1.4</w:t>
      </w:r>
      <w:r>
        <w:rPr>
          <w:rFonts w:ascii="Times New Roman" w:hAnsi="Times New Roman" w:eastAsia="Times New Roman" w:cs="Times New Roman"/>
          <w:b/>
          <w:bCs/>
          <w:spacing w:val="40"/>
          <w:sz w:val="25"/>
          <w:szCs w:val="25"/>
        </w:rPr>
        <w:t xml:space="preserve"> </w:t>
      </w:r>
      <w:r>
        <w:rPr>
          <w:rFonts w:ascii="仿宋" w:hAnsi="仿宋" w:eastAsia="仿宋" w:cs="仿宋"/>
          <w:b/>
          <w:bCs/>
          <w:spacing w:val="5"/>
          <w:sz w:val="25"/>
          <w:szCs w:val="25"/>
        </w:rPr>
        <w:t>稳步有序推进绿色勘查、绿色矿山建设</w:t>
      </w:r>
    </w:p>
    <w:p w14:paraId="59AF78B5">
      <w:pPr>
        <w:spacing w:before="273" w:line="229" w:lineRule="auto"/>
        <w:ind w:left="500"/>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1</w:t>
      </w:r>
      <w:r>
        <w:rPr>
          <w:rFonts w:ascii="仿宋" w:hAnsi="仿宋" w:eastAsia="仿宋" w:cs="仿宋"/>
          <w:spacing w:val="7"/>
          <w:sz w:val="25"/>
          <w:szCs w:val="25"/>
        </w:rPr>
        <w:t>）采用绿色勘查技术</w:t>
      </w:r>
    </w:p>
    <w:p w14:paraId="3706C35D">
      <w:pPr>
        <w:spacing w:before="150" w:line="302" w:lineRule="auto"/>
        <w:ind w:left="16" w:right="68" w:firstLine="471"/>
        <w:rPr>
          <w:rFonts w:ascii="仿宋" w:hAnsi="仿宋" w:eastAsia="仿宋" w:cs="仿宋"/>
          <w:sz w:val="25"/>
          <w:szCs w:val="25"/>
        </w:rPr>
      </w:pPr>
      <w:r>
        <w:rPr>
          <w:rFonts w:ascii="宋体" w:hAnsi="宋体" w:eastAsia="宋体" w:cs="宋体"/>
          <w:spacing w:val="11"/>
          <w:sz w:val="24"/>
          <w:szCs w:val="24"/>
        </w:rPr>
        <w:t>①</w:t>
      </w:r>
      <w:r>
        <w:rPr>
          <w:rFonts w:ascii="仿宋" w:hAnsi="仿宋" w:eastAsia="仿宋" w:cs="仿宋"/>
          <w:spacing w:val="11"/>
          <w:sz w:val="25"/>
          <w:szCs w:val="25"/>
        </w:rPr>
        <w:t>大力推广航空物探、遥感等新技术和新方法，减少地表工程的开展和投</w:t>
      </w:r>
      <w:r>
        <w:rPr>
          <w:rFonts w:ascii="仿宋" w:hAnsi="仿宋" w:eastAsia="仿宋" w:cs="仿宋"/>
          <w:spacing w:val="12"/>
          <w:sz w:val="25"/>
          <w:szCs w:val="25"/>
        </w:rPr>
        <w:t xml:space="preserve"> </w:t>
      </w:r>
      <w:r>
        <w:rPr>
          <w:rFonts w:ascii="仿宋" w:hAnsi="仿宋" w:eastAsia="仿宋" w:cs="仿宋"/>
          <w:spacing w:val="10"/>
          <w:sz w:val="25"/>
          <w:szCs w:val="25"/>
        </w:rPr>
        <w:t>入。适度调整或替代对地表环境影响大的勘</w:t>
      </w:r>
      <w:r>
        <w:rPr>
          <w:rFonts w:ascii="仿宋" w:hAnsi="仿宋" w:eastAsia="仿宋" w:cs="仿宋"/>
          <w:spacing w:val="9"/>
          <w:sz w:val="25"/>
          <w:szCs w:val="25"/>
        </w:rPr>
        <w:t>查手段，在满足地质勘查目的的前</w:t>
      </w:r>
      <w:r>
        <w:rPr>
          <w:rFonts w:ascii="仿宋" w:hAnsi="仿宋" w:eastAsia="仿宋" w:cs="仿宋"/>
          <w:sz w:val="25"/>
          <w:szCs w:val="25"/>
        </w:rPr>
        <w:t xml:space="preserve"> </w:t>
      </w:r>
      <w:r>
        <w:rPr>
          <w:rFonts w:ascii="仿宋" w:hAnsi="仿宋" w:eastAsia="仿宋" w:cs="仿宋"/>
          <w:spacing w:val="9"/>
          <w:sz w:val="25"/>
          <w:szCs w:val="25"/>
        </w:rPr>
        <w:t>提下，优先选择浅钻代替槽探技术，减少对土壤和植被的扰动。</w:t>
      </w:r>
    </w:p>
    <w:p w14:paraId="2351AE47">
      <w:pPr>
        <w:spacing w:before="152" w:line="312" w:lineRule="auto"/>
        <w:ind w:left="16" w:firstLine="470"/>
        <w:rPr>
          <w:rFonts w:ascii="仿宋" w:hAnsi="仿宋" w:eastAsia="仿宋" w:cs="仿宋"/>
          <w:sz w:val="25"/>
          <w:szCs w:val="25"/>
        </w:rPr>
      </w:pPr>
      <w:r>
        <w:rPr>
          <w:rFonts w:ascii="宋体" w:hAnsi="宋体" w:eastAsia="宋体" w:cs="宋体"/>
          <w:spacing w:val="10"/>
          <w:sz w:val="25"/>
          <w:szCs w:val="25"/>
        </w:rPr>
        <w:t>②</w:t>
      </w:r>
      <w:r>
        <w:rPr>
          <w:rFonts w:ascii="仿宋" w:hAnsi="仿宋" w:eastAsia="仿宋" w:cs="仿宋"/>
          <w:spacing w:val="10"/>
          <w:sz w:val="25"/>
          <w:szCs w:val="25"/>
        </w:rPr>
        <w:t>减少施工过程中“</w:t>
      </w:r>
      <w:r>
        <w:rPr>
          <w:rFonts w:ascii="仿宋" w:hAnsi="仿宋" w:eastAsia="仿宋" w:cs="仿宋"/>
          <w:spacing w:val="-96"/>
          <w:sz w:val="25"/>
          <w:szCs w:val="25"/>
        </w:rPr>
        <w:t xml:space="preserve"> </w:t>
      </w:r>
      <w:r>
        <w:rPr>
          <w:rFonts w:ascii="仿宋" w:hAnsi="仿宋" w:eastAsia="仿宋" w:cs="仿宋"/>
          <w:spacing w:val="10"/>
          <w:sz w:val="25"/>
          <w:szCs w:val="25"/>
        </w:rPr>
        <w:t>三废</w:t>
      </w:r>
      <w:r>
        <w:rPr>
          <w:rFonts w:ascii="仿宋" w:hAnsi="仿宋" w:eastAsia="仿宋" w:cs="仿宋"/>
          <w:spacing w:val="-90"/>
          <w:sz w:val="25"/>
          <w:szCs w:val="25"/>
        </w:rPr>
        <w:t xml:space="preserve"> </w:t>
      </w:r>
      <w:r>
        <w:rPr>
          <w:rFonts w:ascii="仿宋" w:hAnsi="仿宋" w:eastAsia="仿宋" w:cs="仿宋"/>
          <w:spacing w:val="10"/>
          <w:sz w:val="25"/>
          <w:szCs w:val="25"/>
        </w:rPr>
        <w:t>”对环境的影响。浅钻优先选用清水循环</w:t>
      </w:r>
      <w:r>
        <w:rPr>
          <w:rFonts w:ascii="仿宋" w:hAnsi="仿宋" w:eastAsia="仿宋" w:cs="仿宋"/>
          <w:spacing w:val="9"/>
          <w:sz w:val="25"/>
          <w:szCs w:val="25"/>
        </w:rPr>
        <w:t>钻进，</w:t>
      </w:r>
      <w:r>
        <w:rPr>
          <w:rFonts w:ascii="仿宋" w:hAnsi="仿宋" w:eastAsia="仿宋" w:cs="仿宋"/>
          <w:sz w:val="25"/>
          <w:szCs w:val="25"/>
        </w:rPr>
        <w:t xml:space="preserve"> </w:t>
      </w:r>
      <w:r>
        <w:rPr>
          <w:rFonts w:ascii="仿宋" w:hAnsi="仿宋" w:eastAsia="仿宋" w:cs="仿宋"/>
          <w:spacing w:val="4"/>
          <w:sz w:val="25"/>
          <w:szCs w:val="25"/>
        </w:rPr>
        <w:t xml:space="preserve">采用泥浆材料时应选用环保泥浆材料，减轻对环境的影响，钻井废水循环利用； </w:t>
      </w:r>
      <w:r>
        <w:rPr>
          <w:rFonts w:ascii="仿宋" w:hAnsi="仿宋" w:eastAsia="仿宋" w:cs="仿宋"/>
          <w:spacing w:val="10"/>
          <w:sz w:val="25"/>
          <w:szCs w:val="25"/>
        </w:rPr>
        <w:t>用湿式钻孔工艺，减少勘查探井过程中扬尘</w:t>
      </w:r>
      <w:r>
        <w:rPr>
          <w:rFonts w:ascii="仿宋" w:hAnsi="仿宋" w:eastAsia="仿宋" w:cs="仿宋"/>
          <w:spacing w:val="9"/>
          <w:sz w:val="25"/>
          <w:szCs w:val="25"/>
        </w:rPr>
        <w:t>的影响；钻井岩屑临时堆放于泥屑</w:t>
      </w:r>
      <w:r>
        <w:rPr>
          <w:rFonts w:ascii="仿宋" w:hAnsi="仿宋" w:eastAsia="仿宋" w:cs="仿宋"/>
          <w:sz w:val="25"/>
          <w:szCs w:val="25"/>
        </w:rPr>
        <w:t xml:space="preserve"> </w:t>
      </w:r>
      <w:r>
        <w:rPr>
          <w:rFonts w:ascii="仿宋" w:hAnsi="仿宋" w:eastAsia="仿宋" w:cs="仿宋"/>
          <w:spacing w:val="8"/>
          <w:sz w:val="25"/>
          <w:szCs w:val="25"/>
        </w:rPr>
        <w:t>堆放区待风干后及时运至部门指定的地方处置。</w:t>
      </w:r>
    </w:p>
    <w:p w14:paraId="5D6439CA">
      <w:pPr>
        <w:spacing w:before="151" w:line="303" w:lineRule="auto"/>
        <w:ind w:left="17" w:right="68" w:firstLine="469"/>
        <w:rPr>
          <w:rFonts w:ascii="仿宋" w:hAnsi="仿宋" w:eastAsia="仿宋" w:cs="仿宋"/>
          <w:sz w:val="25"/>
          <w:szCs w:val="25"/>
        </w:rPr>
      </w:pPr>
      <w:r>
        <w:rPr>
          <w:rFonts w:ascii="宋体" w:hAnsi="宋体" w:eastAsia="宋体" w:cs="宋体"/>
          <w:spacing w:val="11"/>
          <w:sz w:val="25"/>
          <w:szCs w:val="25"/>
        </w:rPr>
        <w:t>③</w:t>
      </w:r>
      <w:r>
        <w:rPr>
          <w:rFonts w:ascii="仿宋" w:hAnsi="仿宋" w:eastAsia="仿宋" w:cs="仿宋"/>
          <w:spacing w:val="11"/>
          <w:sz w:val="25"/>
          <w:szCs w:val="25"/>
        </w:rPr>
        <w:t>大力开展科学研究，解决关键技术问题，全面提升勘查技术水平和成果</w:t>
      </w:r>
      <w:r>
        <w:rPr>
          <w:rFonts w:ascii="仿宋" w:hAnsi="仿宋" w:eastAsia="仿宋" w:cs="仿宋"/>
          <w:spacing w:val="2"/>
          <w:sz w:val="25"/>
          <w:szCs w:val="25"/>
        </w:rPr>
        <w:t xml:space="preserve"> </w:t>
      </w:r>
      <w:r>
        <w:rPr>
          <w:rFonts w:ascii="仿宋" w:hAnsi="仿宋" w:eastAsia="仿宋" w:cs="仿宋"/>
          <w:spacing w:val="9"/>
          <w:sz w:val="25"/>
          <w:szCs w:val="25"/>
        </w:rPr>
        <w:t>集成创新，全面升级勘查技术手段，开展应用示范，使用先进工艺手段和装备</w:t>
      </w:r>
      <w:r>
        <w:rPr>
          <w:rFonts w:ascii="仿宋" w:hAnsi="仿宋" w:eastAsia="仿宋" w:cs="仿宋"/>
          <w:spacing w:val="18"/>
          <w:sz w:val="25"/>
          <w:szCs w:val="25"/>
        </w:rPr>
        <w:t xml:space="preserve"> </w:t>
      </w:r>
      <w:r>
        <w:rPr>
          <w:rFonts w:ascii="仿宋" w:hAnsi="仿宋" w:eastAsia="仿宋" w:cs="仿宋"/>
          <w:spacing w:val="7"/>
          <w:sz w:val="25"/>
          <w:szCs w:val="25"/>
        </w:rPr>
        <w:t>仪器，形成绿色钻探技术体系。</w:t>
      </w:r>
    </w:p>
    <w:p w14:paraId="14E22BB2">
      <w:pPr>
        <w:spacing w:before="150" w:line="230" w:lineRule="auto"/>
        <w:ind w:left="500"/>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2</w:t>
      </w:r>
      <w:r>
        <w:rPr>
          <w:rFonts w:ascii="仿宋" w:hAnsi="仿宋" w:eastAsia="仿宋" w:cs="仿宋"/>
          <w:spacing w:val="7"/>
          <w:sz w:val="25"/>
          <w:szCs w:val="25"/>
        </w:rPr>
        <w:t>）加强绿色勘查的管理</w:t>
      </w:r>
    </w:p>
    <w:p w14:paraId="7A79E301">
      <w:pPr>
        <w:spacing w:before="148" w:line="302" w:lineRule="auto"/>
        <w:ind w:left="20" w:right="68" w:firstLine="467"/>
        <w:rPr>
          <w:rFonts w:ascii="仿宋" w:hAnsi="仿宋" w:eastAsia="仿宋" w:cs="仿宋"/>
          <w:sz w:val="25"/>
          <w:szCs w:val="25"/>
        </w:rPr>
      </w:pPr>
      <w:r>
        <w:rPr>
          <w:rFonts w:ascii="宋体" w:hAnsi="宋体" w:eastAsia="宋体" w:cs="宋体"/>
          <w:spacing w:val="11"/>
          <w:sz w:val="25"/>
          <w:szCs w:val="25"/>
        </w:rPr>
        <w:t>①</w:t>
      </w:r>
      <w:r>
        <w:rPr>
          <w:rFonts w:ascii="仿宋" w:hAnsi="仿宋" w:eastAsia="仿宋" w:cs="仿宋"/>
          <w:spacing w:val="11"/>
          <w:sz w:val="25"/>
          <w:szCs w:val="25"/>
        </w:rPr>
        <w:t>地质勘查工作前，应对工作人员进行绿色勘查培训，强化生态环境保护</w:t>
      </w:r>
      <w:r>
        <w:rPr>
          <w:rFonts w:ascii="仿宋" w:hAnsi="仿宋" w:eastAsia="仿宋" w:cs="仿宋"/>
          <w:spacing w:val="1"/>
          <w:sz w:val="25"/>
          <w:szCs w:val="25"/>
        </w:rPr>
        <w:t xml:space="preserve"> </w:t>
      </w:r>
      <w:r>
        <w:rPr>
          <w:rFonts w:ascii="仿宋" w:hAnsi="仿宋" w:eastAsia="仿宋" w:cs="仿宋"/>
          <w:spacing w:val="9"/>
          <w:sz w:val="25"/>
          <w:szCs w:val="25"/>
        </w:rPr>
        <w:t>意识，掌握绿色勘查要求，并对拟勘查的场地原始地形地貌拍摄照片或视频保</w:t>
      </w:r>
      <w:r>
        <w:rPr>
          <w:rFonts w:ascii="仿宋" w:hAnsi="仿宋" w:eastAsia="仿宋" w:cs="仿宋"/>
          <w:spacing w:val="15"/>
          <w:sz w:val="25"/>
          <w:szCs w:val="25"/>
        </w:rPr>
        <w:t xml:space="preserve"> </w:t>
      </w:r>
      <w:r>
        <w:rPr>
          <w:rFonts w:ascii="仿宋" w:hAnsi="仿宋" w:eastAsia="仿宋" w:cs="仿宋"/>
          <w:spacing w:val="-7"/>
          <w:sz w:val="25"/>
          <w:szCs w:val="25"/>
        </w:rPr>
        <w:t>存。</w:t>
      </w:r>
    </w:p>
    <w:p w14:paraId="1BF01BB1">
      <w:pPr>
        <w:spacing w:line="302" w:lineRule="auto"/>
        <w:rPr>
          <w:rFonts w:ascii="仿宋" w:hAnsi="仿宋" w:eastAsia="仿宋" w:cs="仿宋"/>
          <w:sz w:val="25"/>
          <w:szCs w:val="25"/>
        </w:rPr>
        <w:sectPr>
          <w:headerReference r:id="rId221" w:type="default"/>
          <w:footerReference r:id="rId222" w:type="default"/>
          <w:pgSz w:w="11906" w:h="16839"/>
          <w:pgMar w:top="1116" w:right="1407" w:bottom="866" w:left="1587" w:header="683" w:footer="703" w:gutter="0"/>
          <w:cols w:space="720" w:num="1"/>
        </w:sectPr>
      </w:pPr>
    </w:p>
    <w:p w14:paraId="6E1BD528">
      <w:pPr>
        <w:pStyle w:val="2"/>
        <w:spacing w:line="385" w:lineRule="auto"/>
      </w:pPr>
    </w:p>
    <w:p w14:paraId="2E119AC3">
      <w:pPr>
        <w:spacing w:before="81" w:line="228" w:lineRule="auto"/>
        <w:ind w:left="487"/>
        <w:rPr>
          <w:rFonts w:ascii="仿宋" w:hAnsi="仿宋" w:eastAsia="仿宋" w:cs="仿宋"/>
          <w:sz w:val="25"/>
          <w:szCs w:val="25"/>
        </w:rPr>
      </w:pPr>
      <w:r>
        <w:rPr>
          <w:rFonts w:ascii="宋体" w:hAnsi="宋体" w:eastAsia="宋体" w:cs="宋体"/>
          <w:spacing w:val="9"/>
          <w:sz w:val="25"/>
          <w:szCs w:val="25"/>
        </w:rPr>
        <w:t>②</w:t>
      </w:r>
      <w:r>
        <w:rPr>
          <w:rFonts w:ascii="仿宋" w:hAnsi="仿宋" w:eastAsia="仿宋" w:cs="仿宋"/>
          <w:spacing w:val="9"/>
          <w:sz w:val="25"/>
          <w:szCs w:val="25"/>
        </w:rPr>
        <w:t>地质勘查过程中应保留绿色勘查相关记录。</w:t>
      </w:r>
    </w:p>
    <w:p w14:paraId="2D105736">
      <w:pPr>
        <w:spacing w:before="151" w:line="312" w:lineRule="auto"/>
        <w:ind w:left="16" w:right="83" w:firstLine="470"/>
        <w:rPr>
          <w:rFonts w:ascii="仿宋" w:hAnsi="仿宋" w:eastAsia="仿宋" w:cs="仿宋"/>
          <w:sz w:val="25"/>
          <w:szCs w:val="25"/>
        </w:rPr>
      </w:pPr>
      <w:r>
        <w:rPr>
          <w:rFonts w:ascii="宋体" w:hAnsi="宋体" w:eastAsia="宋体" w:cs="宋体"/>
          <w:spacing w:val="11"/>
          <w:sz w:val="25"/>
          <w:szCs w:val="25"/>
        </w:rPr>
        <w:t>③</w:t>
      </w:r>
      <w:r>
        <w:rPr>
          <w:rFonts w:ascii="仿宋" w:hAnsi="仿宋" w:eastAsia="仿宋" w:cs="仿宋"/>
          <w:spacing w:val="11"/>
          <w:sz w:val="25"/>
          <w:szCs w:val="25"/>
        </w:rPr>
        <w:t>地质勘查工作施工后，应按照地质勘查设计中绿色勘查内容要求，开展</w:t>
      </w:r>
      <w:r>
        <w:rPr>
          <w:rFonts w:ascii="仿宋" w:hAnsi="仿宋" w:eastAsia="仿宋" w:cs="仿宋"/>
          <w:spacing w:val="2"/>
          <w:sz w:val="25"/>
          <w:szCs w:val="25"/>
        </w:rPr>
        <w:t xml:space="preserve"> </w:t>
      </w:r>
      <w:r>
        <w:rPr>
          <w:rFonts w:ascii="仿宋" w:hAnsi="仿宋" w:eastAsia="仿宋" w:cs="仿宋"/>
          <w:spacing w:val="10"/>
          <w:sz w:val="25"/>
          <w:szCs w:val="25"/>
        </w:rPr>
        <w:t>环境修复工作。对已恢复的场地应按照与施</w:t>
      </w:r>
      <w:r>
        <w:rPr>
          <w:rFonts w:ascii="仿宋" w:hAnsi="仿宋" w:eastAsia="仿宋" w:cs="仿宋"/>
          <w:spacing w:val="9"/>
          <w:sz w:val="25"/>
          <w:szCs w:val="25"/>
        </w:rPr>
        <w:t>工前统一视角、统一参照物拍摄照</w:t>
      </w:r>
      <w:r>
        <w:rPr>
          <w:rFonts w:ascii="仿宋" w:hAnsi="仿宋" w:eastAsia="仿宋" w:cs="仿宋"/>
          <w:sz w:val="25"/>
          <w:szCs w:val="25"/>
        </w:rPr>
        <w:t xml:space="preserve"> </w:t>
      </w:r>
      <w:r>
        <w:rPr>
          <w:rFonts w:ascii="仿宋" w:hAnsi="仿宋" w:eastAsia="仿宋" w:cs="仿宋"/>
          <w:spacing w:val="10"/>
          <w:sz w:val="25"/>
          <w:szCs w:val="25"/>
        </w:rPr>
        <w:t>片或视频等资料保存。在勘查报告中进行绿</w:t>
      </w:r>
      <w:r>
        <w:rPr>
          <w:rFonts w:ascii="仿宋" w:hAnsi="仿宋" w:eastAsia="仿宋" w:cs="仿宋"/>
          <w:spacing w:val="9"/>
          <w:sz w:val="25"/>
          <w:szCs w:val="25"/>
        </w:rPr>
        <w:t>色勘查总结，可以单独成章，也可</w:t>
      </w:r>
      <w:r>
        <w:rPr>
          <w:rFonts w:ascii="仿宋" w:hAnsi="仿宋" w:eastAsia="仿宋" w:cs="仿宋"/>
          <w:sz w:val="25"/>
          <w:szCs w:val="25"/>
        </w:rPr>
        <w:t xml:space="preserve"> </w:t>
      </w:r>
      <w:r>
        <w:rPr>
          <w:rFonts w:ascii="仿宋" w:hAnsi="仿宋" w:eastAsia="仿宋" w:cs="仿宋"/>
          <w:spacing w:val="7"/>
          <w:sz w:val="25"/>
          <w:szCs w:val="25"/>
        </w:rPr>
        <w:t>以融入成果报告相关章节中。</w:t>
      </w:r>
    </w:p>
    <w:p w14:paraId="315857C1">
      <w:pPr>
        <w:spacing w:before="149" w:line="229" w:lineRule="auto"/>
        <w:ind w:left="500"/>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3</w:t>
      </w:r>
      <w:r>
        <w:rPr>
          <w:rFonts w:ascii="仿宋" w:hAnsi="仿宋" w:eastAsia="仿宋" w:cs="仿宋"/>
          <w:spacing w:val="7"/>
          <w:sz w:val="25"/>
          <w:szCs w:val="25"/>
        </w:rPr>
        <w:t>）加快推动绿色矿山建设</w:t>
      </w:r>
    </w:p>
    <w:p w14:paraId="1044C09C">
      <w:pPr>
        <w:spacing w:before="146" w:line="340" w:lineRule="auto"/>
        <w:ind w:left="15" w:firstLine="481"/>
        <w:jc w:val="both"/>
        <w:rPr>
          <w:rFonts w:ascii="仿宋" w:hAnsi="仿宋" w:eastAsia="仿宋" w:cs="仿宋"/>
          <w:sz w:val="25"/>
          <w:szCs w:val="25"/>
        </w:rPr>
      </w:pPr>
      <w:r>
        <w:rPr>
          <w:rFonts w:ascii="仿宋" w:hAnsi="仿宋" w:eastAsia="仿宋" w:cs="仿宋"/>
          <w:spacing w:val="18"/>
          <w:sz w:val="25"/>
          <w:szCs w:val="25"/>
        </w:rPr>
        <w:t>矿山企业应严格按照《关于加快建设绿色矿山的实施意见》</w:t>
      </w:r>
      <w:r>
        <w:rPr>
          <w:rFonts w:ascii="仿宋" w:hAnsi="仿宋" w:eastAsia="仿宋" w:cs="仿宋"/>
          <w:spacing w:val="-88"/>
          <w:sz w:val="25"/>
          <w:szCs w:val="25"/>
        </w:rPr>
        <w:t xml:space="preserve"> </w:t>
      </w:r>
      <w:r>
        <w:rPr>
          <w:rFonts w:ascii="仿宋" w:hAnsi="仿宋" w:eastAsia="仿宋" w:cs="仿宋"/>
          <w:spacing w:val="18"/>
          <w:sz w:val="25"/>
          <w:szCs w:val="25"/>
        </w:rPr>
        <w:t>（国土资规</w:t>
      </w:r>
      <w:r>
        <w:rPr>
          <w:rFonts w:ascii="仿宋" w:hAnsi="仿宋" w:eastAsia="仿宋" w:cs="仿宋"/>
          <w:sz w:val="25"/>
          <w:szCs w:val="25"/>
        </w:rPr>
        <w:t xml:space="preserve"> </w:t>
      </w:r>
      <w:r>
        <w:rPr>
          <w:rFonts w:ascii="仿宋" w:hAnsi="仿宋" w:eastAsia="仿宋" w:cs="仿宋"/>
          <w:spacing w:val="3"/>
          <w:sz w:val="25"/>
          <w:szCs w:val="25"/>
        </w:rPr>
        <w:t>〔</w:t>
      </w:r>
      <w:r>
        <w:rPr>
          <w:rFonts w:ascii="Times New Roman" w:hAnsi="Times New Roman" w:eastAsia="Times New Roman" w:cs="Times New Roman"/>
          <w:spacing w:val="3"/>
          <w:sz w:val="25"/>
          <w:szCs w:val="25"/>
        </w:rPr>
        <w:t>2017</w:t>
      </w:r>
      <w:r>
        <w:rPr>
          <w:rFonts w:ascii="仿宋" w:hAnsi="仿宋" w:eastAsia="仿宋" w:cs="仿宋"/>
          <w:spacing w:val="3"/>
          <w:sz w:val="25"/>
          <w:szCs w:val="25"/>
        </w:rPr>
        <w:t>〕</w:t>
      </w:r>
      <w:r>
        <w:rPr>
          <w:rFonts w:ascii="Times New Roman" w:hAnsi="Times New Roman" w:eastAsia="Times New Roman" w:cs="Times New Roman"/>
          <w:spacing w:val="3"/>
          <w:sz w:val="25"/>
          <w:szCs w:val="25"/>
        </w:rPr>
        <w:t>4</w:t>
      </w:r>
      <w:r>
        <w:rPr>
          <w:rFonts w:ascii="Times New Roman" w:hAnsi="Times New Roman" w:eastAsia="Times New Roman" w:cs="Times New Roman"/>
          <w:spacing w:val="26"/>
          <w:sz w:val="25"/>
          <w:szCs w:val="25"/>
        </w:rPr>
        <w:t xml:space="preserve"> </w:t>
      </w:r>
      <w:r>
        <w:rPr>
          <w:rFonts w:ascii="仿宋" w:hAnsi="仿宋" w:eastAsia="仿宋" w:cs="仿宋"/>
          <w:spacing w:val="3"/>
          <w:sz w:val="25"/>
          <w:szCs w:val="25"/>
        </w:rPr>
        <w:t>号）、《重庆市绿色矿山管理办法》（渝规资规范</w:t>
      </w:r>
      <w:r>
        <w:rPr>
          <w:rFonts w:ascii="仿宋" w:hAnsi="仿宋" w:eastAsia="仿宋" w:cs="仿宋"/>
          <w:spacing w:val="2"/>
          <w:sz w:val="25"/>
          <w:szCs w:val="25"/>
        </w:rPr>
        <w:t>〔</w:t>
      </w:r>
      <w:r>
        <w:rPr>
          <w:rFonts w:ascii="Times New Roman" w:hAnsi="Times New Roman" w:eastAsia="Times New Roman" w:cs="Times New Roman"/>
          <w:spacing w:val="2"/>
          <w:sz w:val="25"/>
          <w:szCs w:val="25"/>
        </w:rPr>
        <w:t>2020</w:t>
      </w:r>
      <w:r>
        <w:rPr>
          <w:rFonts w:ascii="仿宋" w:hAnsi="仿宋" w:eastAsia="仿宋" w:cs="仿宋"/>
          <w:spacing w:val="2"/>
          <w:sz w:val="25"/>
          <w:szCs w:val="25"/>
        </w:rPr>
        <w:t>〕</w:t>
      </w:r>
      <w:r>
        <w:rPr>
          <w:rFonts w:ascii="Times New Roman" w:hAnsi="Times New Roman" w:eastAsia="Times New Roman" w:cs="Times New Roman"/>
          <w:spacing w:val="2"/>
          <w:sz w:val="25"/>
          <w:szCs w:val="25"/>
        </w:rPr>
        <w:t>13</w:t>
      </w:r>
      <w:r>
        <w:rPr>
          <w:rFonts w:ascii="Times New Roman" w:hAnsi="Times New Roman" w:eastAsia="Times New Roman" w:cs="Times New Roman"/>
          <w:spacing w:val="25"/>
          <w:w w:val="101"/>
          <w:sz w:val="25"/>
          <w:szCs w:val="25"/>
        </w:rPr>
        <w:t xml:space="preserve"> </w:t>
      </w:r>
      <w:r>
        <w:rPr>
          <w:rFonts w:ascii="仿宋" w:hAnsi="仿宋" w:eastAsia="仿宋" w:cs="仿宋"/>
          <w:spacing w:val="2"/>
          <w:sz w:val="25"/>
          <w:szCs w:val="25"/>
        </w:rPr>
        <w:t>号）、</w:t>
      </w:r>
      <w:r>
        <w:rPr>
          <w:rFonts w:ascii="仿宋" w:hAnsi="仿宋" w:eastAsia="仿宋" w:cs="仿宋"/>
          <w:sz w:val="25"/>
          <w:szCs w:val="25"/>
        </w:rPr>
        <w:t xml:space="preserve"> </w:t>
      </w:r>
      <w:r>
        <w:rPr>
          <w:rFonts w:ascii="仿宋" w:hAnsi="仿宋" w:eastAsia="仿宋" w:cs="仿宋"/>
          <w:spacing w:val="7"/>
          <w:sz w:val="25"/>
          <w:szCs w:val="25"/>
        </w:rPr>
        <w:t>《重庆市绿色矿山建设标准（</w:t>
      </w:r>
      <w:r>
        <w:rPr>
          <w:rFonts w:ascii="Times New Roman" w:hAnsi="Times New Roman" w:eastAsia="Times New Roman" w:cs="Times New Roman"/>
          <w:spacing w:val="7"/>
          <w:sz w:val="25"/>
          <w:szCs w:val="25"/>
        </w:rPr>
        <w:t>2021</w:t>
      </w:r>
      <w:r>
        <w:rPr>
          <w:rFonts w:ascii="Times New Roman" w:hAnsi="Times New Roman" w:eastAsia="Times New Roman" w:cs="Times New Roman"/>
          <w:spacing w:val="25"/>
          <w:sz w:val="25"/>
          <w:szCs w:val="25"/>
        </w:rPr>
        <w:t xml:space="preserve"> </w:t>
      </w:r>
      <w:r>
        <w:rPr>
          <w:rFonts w:ascii="仿宋" w:hAnsi="仿宋" w:eastAsia="仿宋" w:cs="仿宋"/>
          <w:spacing w:val="7"/>
          <w:sz w:val="25"/>
          <w:szCs w:val="25"/>
        </w:rPr>
        <w:t>年版）》、《</w:t>
      </w:r>
      <w:r>
        <w:rPr>
          <w:rFonts w:ascii="仿宋" w:hAnsi="仿宋" w:eastAsia="仿宋" w:cs="仿宋"/>
          <w:spacing w:val="6"/>
          <w:sz w:val="25"/>
          <w:szCs w:val="25"/>
        </w:rPr>
        <w:t>关于进一步加强绿色矿山建设</w:t>
      </w:r>
      <w:r>
        <w:rPr>
          <w:rFonts w:ascii="仿宋" w:hAnsi="仿宋" w:eastAsia="仿宋" w:cs="仿宋"/>
          <w:sz w:val="25"/>
          <w:szCs w:val="25"/>
        </w:rPr>
        <w:t xml:space="preserve"> </w:t>
      </w:r>
      <w:r>
        <w:rPr>
          <w:rFonts w:ascii="仿宋" w:hAnsi="仿宋" w:eastAsia="仿宋" w:cs="仿宋"/>
          <w:spacing w:val="3"/>
          <w:sz w:val="25"/>
          <w:szCs w:val="25"/>
        </w:rPr>
        <w:t>的通知》（</w:t>
      </w:r>
      <w:r>
        <w:rPr>
          <w:rFonts w:ascii="仿宋" w:hAnsi="仿宋" w:eastAsia="仿宋" w:cs="仿宋"/>
          <w:spacing w:val="-39"/>
          <w:sz w:val="25"/>
          <w:szCs w:val="25"/>
        </w:rPr>
        <w:t xml:space="preserve"> </w:t>
      </w:r>
      <w:r>
        <w:rPr>
          <w:rFonts w:ascii="仿宋" w:hAnsi="仿宋" w:eastAsia="仿宋" w:cs="仿宋"/>
          <w:spacing w:val="3"/>
          <w:sz w:val="25"/>
          <w:szCs w:val="25"/>
        </w:rPr>
        <w:t>自然资规〔</w:t>
      </w:r>
      <w:r>
        <w:rPr>
          <w:rFonts w:ascii="Times New Roman" w:hAnsi="Times New Roman" w:eastAsia="Times New Roman" w:cs="Times New Roman"/>
          <w:spacing w:val="3"/>
          <w:sz w:val="25"/>
          <w:szCs w:val="25"/>
        </w:rPr>
        <w:t>2024</w:t>
      </w:r>
      <w:r>
        <w:rPr>
          <w:rFonts w:ascii="仿宋" w:hAnsi="仿宋" w:eastAsia="仿宋" w:cs="仿宋"/>
          <w:spacing w:val="3"/>
          <w:sz w:val="25"/>
          <w:szCs w:val="25"/>
        </w:rPr>
        <w:t>〕</w:t>
      </w:r>
      <w:r>
        <w:rPr>
          <w:rFonts w:ascii="Times New Roman" w:hAnsi="Times New Roman" w:eastAsia="Times New Roman" w:cs="Times New Roman"/>
          <w:spacing w:val="3"/>
          <w:sz w:val="25"/>
          <w:szCs w:val="25"/>
        </w:rPr>
        <w:t>1</w:t>
      </w:r>
      <w:r>
        <w:rPr>
          <w:rFonts w:ascii="Times New Roman" w:hAnsi="Times New Roman" w:eastAsia="Times New Roman" w:cs="Times New Roman"/>
          <w:spacing w:val="26"/>
          <w:sz w:val="25"/>
          <w:szCs w:val="25"/>
        </w:rPr>
        <w:t xml:space="preserve"> </w:t>
      </w:r>
      <w:r>
        <w:rPr>
          <w:rFonts w:ascii="仿宋" w:hAnsi="仿宋" w:eastAsia="仿宋" w:cs="仿宋"/>
          <w:spacing w:val="3"/>
          <w:sz w:val="25"/>
          <w:szCs w:val="25"/>
        </w:rPr>
        <w:t>号）等规定和要求，压实矿山企业的主体责任，</w:t>
      </w:r>
      <w:r>
        <w:rPr>
          <w:rFonts w:ascii="仿宋" w:hAnsi="仿宋" w:eastAsia="仿宋" w:cs="仿宋"/>
          <w:sz w:val="25"/>
          <w:szCs w:val="25"/>
        </w:rPr>
        <w:t xml:space="preserve"> </w:t>
      </w:r>
      <w:r>
        <w:rPr>
          <w:rFonts w:ascii="仿宋" w:hAnsi="仿宋" w:eastAsia="仿宋" w:cs="仿宋"/>
          <w:spacing w:val="6"/>
          <w:sz w:val="25"/>
          <w:szCs w:val="25"/>
        </w:rPr>
        <w:t>将</w:t>
      </w:r>
      <w:r>
        <w:rPr>
          <w:rFonts w:ascii="Times New Roman" w:hAnsi="Times New Roman" w:eastAsia="Times New Roman" w:cs="Times New Roman"/>
          <w:spacing w:val="6"/>
          <w:sz w:val="25"/>
          <w:szCs w:val="25"/>
        </w:rPr>
        <w:t>“</w:t>
      </w:r>
      <w:r>
        <w:rPr>
          <w:rFonts w:ascii="仿宋" w:hAnsi="仿宋" w:eastAsia="仿宋" w:cs="仿宋"/>
          <w:spacing w:val="6"/>
          <w:sz w:val="25"/>
          <w:szCs w:val="25"/>
        </w:rPr>
        <w:t xml:space="preserve">资源利用集约化、开发方式科学化、企业管理规范化、生产工艺环保化、矿 </w:t>
      </w:r>
      <w:r>
        <w:rPr>
          <w:rFonts w:ascii="仿宋" w:hAnsi="仿宋" w:eastAsia="仿宋" w:cs="仿宋"/>
          <w:spacing w:val="9"/>
          <w:sz w:val="25"/>
          <w:szCs w:val="25"/>
        </w:rPr>
        <w:t>山环境生态化</w:t>
      </w:r>
      <w:r>
        <w:rPr>
          <w:rFonts w:ascii="Times New Roman" w:hAnsi="Times New Roman" w:eastAsia="Times New Roman" w:cs="Times New Roman"/>
          <w:spacing w:val="9"/>
          <w:sz w:val="25"/>
          <w:szCs w:val="25"/>
        </w:rPr>
        <w:t>”</w:t>
      </w:r>
      <w:r>
        <w:rPr>
          <w:rFonts w:ascii="仿宋" w:hAnsi="仿宋" w:eastAsia="仿宋" w:cs="仿宋"/>
          <w:spacing w:val="9"/>
          <w:sz w:val="25"/>
          <w:szCs w:val="25"/>
        </w:rPr>
        <w:t>的绿色矿业理念贯穿于矿产</w:t>
      </w:r>
      <w:r>
        <w:rPr>
          <w:rFonts w:ascii="仿宋" w:hAnsi="仿宋" w:eastAsia="仿宋" w:cs="仿宋"/>
          <w:spacing w:val="8"/>
          <w:sz w:val="25"/>
          <w:szCs w:val="25"/>
        </w:rPr>
        <w:t>资源开发的全过程，按照依法办矿、</w:t>
      </w:r>
      <w:r>
        <w:rPr>
          <w:rFonts w:ascii="仿宋" w:hAnsi="仿宋" w:eastAsia="仿宋" w:cs="仿宋"/>
          <w:sz w:val="25"/>
          <w:szCs w:val="25"/>
        </w:rPr>
        <w:t xml:space="preserve"> </w:t>
      </w:r>
      <w:r>
        <w:rPr>
          <w:rFonts w:ascii="仿宋" w:hAnsi="仿宋" w:eastAsia="仿宋" w:cs="仿宋"/>
          <w:spacing w:val="10"/>
          <w:sz w:val="25"/>
          <w:szCs w:val="25"/>
        </w:rPr>
        <w:t>规范管理、资源综合利用、技术创新、节能减</w:t>
      </w:r>
      <w:r>
        <w:rPr>
          <w:rFonts w:ascii="仿宋" w:hAnsi="仿宋" w:eastAsia="仿宋" w:cs="仿宋"/>
          <w:spacing w:val="9"/>
          <w:sz w:val="25"/>
          <w:szCs w:val="25"/>
        </w:rPr>
        <w:t>排、环境保护、土地复垦、社区</w:t>
      </w:r>
      <w:r>
        <w:rPr>
          <w:rFonts w:ascii="仿宋" w:hAnsi="仿宋" w:eastAsia="仿宋" w:cs="仿宋"/>
          <w:sz w:val="25"/>
          <w:szCs w:val="25"/>
        </w:rPr>
        <w:t xml:space="preserve"> </w:t>
      </w:r>
      <w:r>
        <w:rPr>
          <w:rFonts w:ascii="仿宋" w:hAnsi="仿宋" w:eastAsia="仿宋" w:cs="仿宋"/>
          <w:spacing w:val="10"/>
          <w:sz w:val="25"/>
          <w:szCs w:val="25"/>
        </w:rPr>
        <w:t>和谐、企业文化建设等九方面建设绿色矿山，</w:t>
      </w:r>
      <w:r>
        <w:rPr>
          <w:rFonts w:ascii="仿宋" w:hAnsi="仿宋" w:eastAsia="仿宋" w:cs="仿宋"/>
          <w:spacing w:val="9"/>
          <w:sz w:val="25"/>
          <w:szCs w:val="25"/>
        </w:rPr>
        <w:t>将经济效益、生态效益、社会效</w:t>
      </w:r>
      <w:r>
        <w:rPr>
          <w:rFonts w:ascii="仿宋" w:hAnsi="仿宋" w:eastAsia="仿宋" w:cs="仿宋"/>
          <w:sz w:val="25"/>
          <w:szCs w:val="25"/>
        </w:rPr>
        <w:t xml:space="preserve"> </w:t>
      </w:r>
      <w:r>
        <w:rPr>
          <w:rFonts w:ascii="仿宋" w:hAnsi="仿宋" w:eastAsia="仿宋" w:cs="仿宋"/>
          <w:spacing w:val="8"/>
          <w:sz w:val="25"/>
          <w:szCs w:val="25"/>
        </w:rPr>
        <w:t>益有效地统一起来，推进绿色矿山建设。</w:t>
      </w:r>
    </w:p>
    <w:p w14:paraId="785B073C">
      <w:pPr>
        <w:spacing w:before="5" w:line="339" w:lineRule="auto"/>
        <w:ind w:left="18" w:right="83" w:firstLine="481"/>
        <w:jc w:val="both"/>
        <w:rPr>
          <w:rFonts w:ascii="仿宋" w:hAnsi="仿宋" w:eastAsia="仿宋" w:cs="仿宋"/>
          <w:sz w:val="25"/>
          <w:szCs w:val="25"/>
        </w:rPr>
      </w:pPr>
      <w:r>
        <w:rPr>
          <w:rFonts w:ascii="仿宋" w:hAnsi="仿宋" w:eastAsia="仿宋" w:cs="仿宋"/>
          <w:spacing w:val="11"/>
          <w:sz w:val="25"/>
          <w:szCs w:val="25"/>
        </w:rPr>
        <w:t>分类有序推进绿色矿山建设，对新建矿山，要严格</w:t>
      </w:r>
      <w:r>
        <w:rPr>
          <w:rFonts w:ascii="仿宋" w:hAnsi="仿宋" w:eastAsia="仿宋" w:cs="仿宋"/>
          <w:spacing w:val="10"/>
          <w:sz w:val="25"/>
          <w:szCs w:val="25"/>
        </w:rPr>
        <w:t>按照绿色矿山标准建设</w:t>
      </w:r>
      <w:r>
        <w:rPr>
          <w:rFonts w:ascii="仿宋" w:hAnsi="仿宋" w:eastAsia="仿宋" w:cs="仿宋"/>
          <w:sz w:val="25"/>
          <w:szCs w:val="25"/>
        </w:rPr>
        <w:t xml:space="preserve"> </w:t>
      </w:r>
      <w:r>
        <w:rPr>
          <w:rFonts w:ascii="仿宋" w:hAnsi="仿宋" w:eastAsia="仿宋" w:cs="仿宋"/>
          <w:spacing w:val="7"/>
          <w:sz w:val="25"/>
          <w:szCs w:val="25"/>
        </w:rPr>
        <w:t>运行，正式投产后</w:t>
      </w:r>
      <w:r>
        <w:rPr>
          <w:rFonts w:ascii="仿宋" w:hAnsi="仿宋" w:eastAsia="仿宋" w:cs="仿宋"/>
          <w:spacing w:val="-19"/>
          <w:sz w:val="25"/>
          <w:szCs w:val="25"/>
        </w:rPr>
        <w:t xml:space="preserve"> </w:t>
      </w:r>
      <w:r>
        <w:rPr>
          <w:rFonts w:ascii="Times New Roman" w:hAnsi="Times New Roman" w:eastAsia="Times New Roman" w:cs="Times New Roman"/>
          <w:spacing w:val="7"/>
          <w:sz w:val="25"/>
          <w:szCs w:val="25"/>
        </w:rPr>
        <w:t>1~2</w:t>
      </w:r>
      <w:r>
        <w:rPr>
          <w:rFonts w:ascii="Times New Roman" w:hAnsi="Times New Roman" w:eastAsia="Times New Roman" w:cs="Times New Roman"/>
          <w:spacing w:val="24"/>
          <w:w w:val="101"/>
          <w:sz w:val="25"/>
          <w:szCs w:val="25"/>
        </w:rPr>
        <w:t xml:space="preserve"> </w:t>
      </w:r>
      <w:r>
        <w:rPr>
          <w:rFonts w:ascii="仿宋" w:hAnsi="仿宋" w:eastAsia="仿宋" w:cs="仿宋"/>
          <w:spacing w:val="7"/>
          <w:sz w:val="25"/>
          <w:szCs w:val="25"/>
        </w:rPr>
        <w:t>年内应通过绿色矿山评估核查，并在采矿权出让时将相</w:t>
      </w:r>
      <w:r>
        <w:rPr>
          <w:rFonts w:ascii="仿宋" w:hAnsi="仿宋" w:eastAsia="仿宋" w:cs="仿宋"/>
          <w:sz w:val="25"/>
          <w:szCs w:val="25"/>
        </w:rPr>
        <w:t xml:space="preserve"> </w:t>
      </w:r>
      <w:r>
        <w:rPr>
          <w:rFonts w:ascii="仿宋" w:hAnsi="仿宋" w:eastAsia="仿宋" w:cs="仿宋"/>
          <w:spacing w:val="9"/>
          <w:sz w:val="25"/>
          <w:szCs w:val="25"/>
        </w:rPr>
        <w:t>关要求和违约责任纳入出让合同。对生产矿山，要加快绿色化升级改造，在办</w:t>
      </w:r>
      <w:r>
        <w:rPr>
          <w:rFonts w:ascii="仿宋" w:hAnsi="仿宋" w:eastAsia="仿宋" w:cs="仿宋"/>
          <w:spacing w:val="17"/>
          <w:sz w:val="25"/>
          <w:szCs w:val="25"/>
        </w:rPr>
        <w:t xml:space="preserve"> </w:t>
      </w:r>
      <w:r>
        <w:rPr>
          <w:rFonts w:ascii="仿宋" w:hAnsi="仿宋" w:eastAsia="仿宋" w:cs="仿宋"/>
          <w:spacing w:val="9"/>
          <w:sz w:val="25"/>
          <w:szCs w:val="25"/>
        </w:rPr>
        <w:t>理延续、变更手续时，应明确绿色矿山建设时限和要求。鼓励地方自然资源主</w:t>
      </w:r>
      <w:r>
        <w:rPr>
          <w:rFonts w:ascii="仿宋" w:hAnsi="仿宋" w:eastAsia="仿宋" w:cs="仿宋"/>
          <w:spacing w:val="17"/>
          <w:sz w:val="25"/>
          <w:szCs w:val="25"/>
        </w:rPr>
        <w:t xml:space="preserve"> </w:t>
      </w:r>
      <w:r>
        <w:rPr>
          <w:rFonts w:ascii="仿宋" w:hAnsi="仿宋" w:eastAsia="仿宋" w:cs="仿宋"/>
          <w:spacing w:val="8"/>
          <w:sz w:val="25"/>
          <w:szCs w:val="25"/>
        </w:rPr>
        <w:t>管部门与矿山企业签订绿色矿山建设合同。对剩余储量可采年限不足</w:t>
      </w:r>
      <w:r>
        <w:rPr>
          <w:rFonts w:ascii="仿宋" w:hAnsi="仿宋" w:eastAsia="仿宋" w:cs="仿宋"/>
          <w:spacing w:val="-36"/>
          <w:sz w:val="25"/>
          <w:szCs w:val="25"/>
        </w:rPr>
        <w:t xml:space="preserve"> </w:t>
      </w:r>
      <w:r>
        <w:rPr>
          <w:rFonts w:ascii="Times New Roman" w:hAnsi="Times New Roman" w:eastAsia="Times New Roman" w:cs="Times New Roman"/>
          <w:spacing w:val="8"/>
          <w:sz w:val="25"/>
          <w:szCs w:val="25"/>
        </w:rPr>
        <w:t>3</w:t>
      </w:r>
      <w:r>
        <w:rPr>
          <w:rFonts w:ascii="Times New Roman" w:hAnsi="Times New Roman" w:eastAsia="Times New Roman" w:cs="Times New Roman"/>
          <w:spacing w:val="25"/>
          <w:sz w:val="25"/>
          <w:szCs w:val="25"/>
        </w:rPr>
        <w:t xml:space="preserve"> </w:t>
      </w:r>
      <w:r>
        <w:rPr>
          <w:rFonts w:ascii="仿宋" w:hAnsi="仿宋" w:eastAsia="仿宋" w:cs="仿宋"/>
          <w:spacing w:val="8"/>
          <w:sz w:val="25"/>
          <w:szCs w:val="25"/>
        </w:rPr>
        <w:t>年的生</w:t>
      </w:r>
      <w:r>
        <w:rPr>
          <w:rFonts w:ascii="仿宋" w:hAnsi="仿宋" w:eastAsia="仿宋" w:cs="仿宋"/>
          <w:sz w:val="25"/>
          <w:szCs w:val="25"/>
        </w:rPr>
        <w:t xml:space="preserve"> </w:t>
      </w:r>
      <w:r>
        <w:rPr>
          <w:rFonts w:ascii="仿宋" w:hAnsi="仿宋" w:eastAsia="仿宋" w:cs="仿宋"/>
          <w:spacing w:val="9"/>
          <w:sz w:val="25"/>
          <w:szCs w:val="25"/>
        </w:rPr>
        <w:t>产矿山，要求按照绿色矿山建设标准加强管理，着重做好闭坑前的污染防治，</w:t>
      </w:r>
      <w:r>
        <w:rPr>
          <w:rFonts w:ascii="仿宋" w:hAnsi="仿宋" w:eastAsia="仿宋" w:cs="仿宋"/>
          <w:spacing w:val="17"/>
          <w:sz w:val="25"/>
          <w:szCs w:val="25"/>
        </w:rPr>
        <w:t xml:space="preserve"> </w:t>
      </w:r>
      <w:r>
        <w:rPr>
          <w:rFonts w:ascii="仿宋" w:hAnsi="仿宋" w:eastAsia="仿宋" w:cs="仿宋"/>
          <w:spacing w:val="9"/>
          <w:sz w:val="25"/>
          <w:szCs w:val="25"/>
        </w:rPr>
        <w:t>以及矿山地质环境恢复治理、土地复垦、恢复植被等生态修复</w:t>
      </w:r>
      <w:r>
        <w:rPr>
          <w:rFonts w:ascii="仿宋" w:hAnsi="仿宋" w:eastAsia="仿宋" w:cs="仿宋"/>
          <w:spacing w:val="8"/>
          <w:sz w:val="25"/>
          <w:szCs w:val="25"/>
        </w:rPr>
        <w:t>工作。</w:t>
      </w:r>
    </w:p>
    <w:p w14:paraId="4C1A5E7C">
      <w:pPr>
        <w:spacing w:before="122" w:line="227" w:lineRule="auto"/>
        <w:ind w:left="8"/>
        <w:outlineLvl w:val="2"/>
        <w:rPr>
          <w:rFonts w:ascii="仿宋" w:hAnsi="仿宋" w:eastAsia="仿宋" w:cs="仿宋"/>
          <w:sz w:val="25"/>
          <w:szCs w:val="25"/>
        </w:rPr>
      </w:pPr>
      <w:r>
        <w:rPr>
          <w:rFonts w:ascii="Times New Roman" w:hAnsi="Times New Roman" w:eastAsia="Times New Roman" w:cs="Times New Roman"/>
          <w:b/>
          <w:bCs/>
          <w:spacing w:val="4"/>
          <w:sz w:val="25"/>
          <w:szCs w:val="25"/>
        </w:rPr>
        <w:t>7.1.2</w:t>
      </w:r>
      <w:r>
        <w:rPr>
          <w:rFonts w:ascii="Times New Roman" w:hAnsi="Times New Roman" w:eastAsia="Times New Roman" w:cs="Times New Roman"/>
          <w:b/>
          <w:bCs/>
          <w:spacing w:val="35"/>
          <w:sz w:val="25"/>
          <w:szCs w:val="25"/>
        </w:rPr>
        <w:t xml:space="preserve"> </w:t>
      </w:r>
      <w:r>
        <w:rPr>
          <w:rFonts w:ascii="仿宋" w:hAnsi="仿宋" w:eastAsia="仿宋" w:cs="仿宋"/>
          <w:b/>
          <w:bCs/>
          <w:spacing w:val="4"/>
          <w:sz w:val="25"/>
          <w:szCs w:val="25"/>
        </w:rPr>
        <w:t>整体性污染与治理方案</w:t>
      </w:r>
    </w:p>
    <w:p w14:paraId="7FA60442">
      <w:pPr>
        <w:spacing w:before="272" w:line="229" w:lineRule="auto"/>
        <w:ind w:left="8"/>
        <w:outlineLvl w:val="3"/>
        <w:rPr>
          <w:rFonts w:ascii="仿宋" w:hAnsi="仿宋" w:eastAsia="仿宋" w:cs="仿宋"/>
          <w:sz w:val="25"/>
          <w:szCs w:val="25"/>
        </w:rPr>
      </w:pPr>
      <w:r>
        <w:rPr>
          <w:rFonts w:ascii="Times New Roman" w:hAnsi="Times New Roman" w:eastAsia="Times New Roman" w:cs="Times New Roman"/>
          <w:b/>
          <w:bCs/>
          <w:spacing w:val="4"/>
          <w:sz w:val="25"/>
          <w:szCs w:val="25"/>
        </w:rPr>
        <w:t>7.1.2.1</w:t>
      </w:r>
      <w:r>
        <w:rPr>
          <w:rFonts w:ascii="Times New Roman" w:hAnsi="Times New Roman" w:eastAsia="Times New Roman" w:cs="Times New Roman"/>
          <w:b/>
          <w:bCs/>
          <w:spacing w:val="25"/>
          <w:sz w:val="25"/>
          <w:szCs w:val="25"/>
        </w:rPr>
        <w:t xml:space="preserve"> </w:t>
      </w:r>
      <w:r>
        <w:rPr>
          <w:rFonts w:ascii="仿宋" w:hAnsi="仿宋" w:eastAsia="仿宋" w:cs="仿宋"/>
          <w:b/>
          <w:bCs/>
          <w:spacing w:val="4"/>
          <w:sz w:val="25"/>
          <w:szCs w:val="25"/>
        </w:rPr>
        <w:t>大气污染防治方案</w:t>
      </w:r>
    </w:p>
    <w:p w14:paraId="113A925B">
      <w:pPr>
        <w:spacing w:before="269" w:line="302" w:lineRule="auto"/>
        <w:ind w:left="16" w:right="12" w:firstLine="484"/>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1</w:t>
      </w:r>
      <w:r>
        <w:rPr>
          <w:rFonts w:ascii="仿宋" w:hAnsi="仿宋" w:eastAsia="仿宋" w:cs="仿宋"/>
          <w:spacing w:val="7"/>
          <w:sz w:val="25"/>
          <w:szCs w:val="25"/>
        </w:rPr>
        <w:t>）开采规划区块应合理选址，矿山破碎加</w:t>
      </w:r>
      <w:r>
        <w:rPr>
          <w:rFonts w:ascii="仿宋" w:hAnsi="仿宋" w:eastAsia="仿宋" w:cs="仿宋"/>
          <w:spacing w:val="6"/>
          <w:sz w:val="25"/>
          <w:szCs w:val="25"/>
        </w:rPr>
        <w:t>工区在选址时，应根据当地主</w:t>
      </w:r>
      <w:r>
        <w:rPr>
          <w:rFonts w:ascii="仿宋" w:hAnsi="仿宋" w:eastAsia="仿宋" w:cs="仿宋"/>
          <w:sz w:val="25"/>
          <w:szCs w:val="25"/>
        </w:rPr>
        <w:t xml:space="preserve"> </w:t>
      </w:r>
      <w:r>
        <w:rPr>
          <w:rFonts w:ascii="仿宋" w:hAnsi="仿宋" w:eastAsia="仿宋" w:cs="仿宋"/>
          <w:spacing w:val="4"/>
          <w:sz w:val="25"/>
          <w:szCs w:val="25"/>
        </w:rPr>
        <w:t>导风向及周边居民的分布情况，同时考虑其对大气环境及居民生活环境的影响，</w:t>
      </w:r>
      <w:r>
        <w:rPr>
          <w:rFonts w:ascii="仿宋" w:hAnsi="仿宋" w:eastAsia="仿宋" w:cs="仿宋"/>
          <w:spacing w:val="7"/>
          <w:sz w:val="25"/>
          <w:szCs w:val="25"/>
        </w:rPr>
        <w:t xml:space="preserve"> </w:t>
      </w:r>
      <w:r>
        <w:rPr>
          <w:rFonts w:ascii="仿宋" w:hAnsi="仿宋" w:eastAsia="仿宋" w:cs="仿宋"/>
          <w:spacing w:val="8"/>
          <w:sz w:val="25"/>
          <w:szCs w:val="25"/>
        </w:rPr>
        <w:t>应尽量布设在居民下风向，并尽量远离居民区。</w:t>
      </w:r>
    </w:p>
    <w:p w14:paraId="2B0108F4">
      <w:pPr>
        <w:spacing w:before="153" w:line="285" w:lineRule="auto"/>
        <w:ind w:left="16" w:right="83" w:firstLine="525"/>
        <w:rPr>
          <w:rFonts w:ascii="仿宋" w:hAnsi="仿宋" w:eastAsia="仿宋" w:cs="仿宋"/>
          <w:sz w:val="25"/>
          <w:szCs w:val="25"/>
        </w:rPr>
      </w:pPr>
      <w:r>
        <w:rPr>
          <w:rFonts w:ascii="仿宋" w:hAnsi="仿宋" w:eastAsia="仿宋" w:cs="仿宋"/>
          <w:spacing w:val="5"/>
          <w:sz w:val="25"/>
          <w:szCs w:val="25"/>
        </w:rPr>
        <w:t>（</w:t>
      </w:r>
      <w:r>
        <w:rPr>
          <w:rFonts w:ascii="Times New Roman" w:hAnsi="Times New Roman" w:eastAsia="Times New Roman" w:cs="Times New Roman"/>
          <w:spacing w:val="5"/>
          <w:sz w:val="25"/>
          <w:szCs w:val="25"/>
        </w:rPr>
        <w:t>2</w:t>
      </w:r>
      <w:r>
        <w:rPr>
          <w:rFonts w:ascii="仿宋" w:hAnsi="仿宋" w:eastAsia="仿宋" w:cs="仿宋"/>
          <w:spacing w:val="5"/>
          <w:sz w:val="25"/>
          <w:szCs w:val="25"/>
        </w:rPr>
        <w:t>）露天开采时应控制矿山开采和破碎加工过程中粉尘排放，项目环评时</w:t>
      </w:r>
      <w:r>
        <w:rPr>
          <w:rFonts w:ascii="仿宋" w:hAnsi="仿宋" w:eastAsia="仿宋" w:cs="仿宋"/>
          <w:spacing w:val="10"/>
          <w:sz w:val="25"/>
          <w:szCs w:val="25"/>
        </w:rPr>
        <w:t xml:space="preserve"> 应按导则要求核定大气环境防护距离设置情</w:t>
      </w:r>
      <w:r>
        <w:rPr>
          <w:rFonts w:ascii="仿宋" w:hAnsi="仿宋" w:eastAsia="仿宋" w:cs="仿宋"/>
          <w:spacing w:val="9"/>
          <w:sz w:val="25"/>
          <w:szCs w:val="25"/>
        </w:rPr>
        <w:t>况，大气环境防护距离范围内不应</w:t>
      </w:r>
    </w:p>
    <w:p w14:paraId="2053FDBD">
      <w:pPr>
        <w:spacing w:line="285" w:lineRule="auto"/>
        <w:rPr>
          <w:rFonts w:ascii="仿宋" w:hAnsi="仿宋" w:eastAsia="仿宋" w:cs="仿宋"/>
          <w:sz w:val="25"/>
          <w:szCs w:val="25"/>
        </w:rPr>
        <w:sectPr>
          <w:headerReference r:id="rId223" w:type="default"/>
          <w:footerReference r:id="rId224" w:type="default"/>
          <w:pgSz w:w="11906" w:h="16839"/>
          <w:pgMar w:top="1116" w:right="1392" w:bottom="866" w:left="1587" w:header="683" w:footer="703" w:gutter="0"/>
          <w:cols w:space="720" w:num="1"/>
        </w:sectPr>
      </w:pPr>
    </w:p>
    <w:p w14:paraId="5DED6051">
      <w:pPr>
        <w:pStyle w:val="2"/>
        <w:spacing w:line="386" w:lineRule="auto"/>
      </w:pPr>
    </w:p>
    <w:p w14:paraId="4DF169CA">
      <w:pPr>
        <w:spacing w:before="81" w:line="339" w:lineRule="auto"/>
        <w:ind w:left="15" w:right="83" w:hanging="2"/>
        <w:jc w:val="both"/>
        <w:rPr>
          <w:rFonts w:ascii="仿宋" w:hAnsi="仿宋" w:eastAsia="仿宋" w:cs="仿宋"/>
          <w:sz w:val="25"/>
          <w:szCs w:val="25"/>
        </w:rPr>
      </w:pPr>
      <w:r>
        <w:rPr>
          <w:rFonts w:ascii="仿宋" w:hAnsi="仿宋" w:eastAsia="仿宋" w:cs="仿宋"/>
          <w:spacing w:val="10"/>
          <w:sz w:val="25"/>
          <w:szCs w:val="25"/>
        </w:rPr>
        <w:t>有长期居住的居民。露天开采时应控制矿山开采和</w:t>
      </w:r>
      <w:r>
        <w:rPr>
          <w:rFonts w:ascii="仿宋" w:hAnsi="仿宋" w:eastAsia="仿宋" w:cs="仿宋"/>
          <w:spacing w:val="9"/>
          <w:sz w:val="25"/>
          <w:szCs w:val="25"/>
        </w:rPr>
        <w:t>破碎加工过程中粉尘排放，</w:t>
      </w:r>
      <w:r>
        <w:rPr>
          <w:rFonts w:ascii="仿宋" w:hAnsi="仿宋" w:eastAsia="仿宋" w:cs="仿宋"/>
          <w:sz w:val="25"/>
          <w:szCs w:val="25"/>
        </w:rPr>
        <w:t xml:space="preserve"> </w:t>
      </w:r>
      <w:r>
        <w:rPr>
          <w:rFonts w:ascii="仿宋" w:hAnsi="仿宋" w:eastAsia="仿宋" w:cs="仿宋"/>
          <w:spacing w:val="10"/>
          <w:sz w:val="25"/>
          <w:szCs w:val="25"/>
        </w:rPr>
        <w:t>严格执行国家及重庆市大气污染物排放标准。</w:t>
      </w:r>
      <w:r>
        <w:rPr>
          <w:rFonts w:ascii="仿宋" w:hAnsi="仿宋" w:eastAsia="仿宋" w:cs="仿宋"/>
          <w:spacing w:val="9"/>
          <w:sz w:val="25"/>
          <w:szCs w:val="25"/>
        </w:rPr>
        <w:t>铝土矿执行《铝工业污染物排放</w:t>
      </w:r>
      <w:r>
        <w:rPr>
          <w:rFonts w:ascii="仿宋" w:hAnsi="仿宋" w:eastAsia="仿宋" w:cs="仿宋"/>
          <w:sz w:val="25"/>
          <w:szCs w:val="25"/>
        </w:rPr>
        <w:t xml:space="preserve"> </w:t>
      </w:r>
      <w:r>
        <w:rPr>
          <w:rFonts w:ascii="仿宋" w:hAnsi="仿宋" w:eastAsia="仿宋" w:cs="仿宋"/>
          <w:spacing w:val="6"/>
          <w:sz w:val="25"/>
          <w:szCs w:val="25"/>
        </w:rPr>
        <w:t>标准》（</w:t>
      </w:r>
      <w:r>
        <w:rPr>
          <w:rFonts w:ascii="Times New Roman" w:hAnsi="Times New Roman" w:eastAsia="Times New Roman" w:cs="Times New Roman"/>
          <w:sz w:val="25"/>
          <w:szCs w:val="25"/>
        </w:rPr>
        <w:t>GB</w:t>
      </w:r>
      <w:r>
        <w:rPr>
          <w:rFonts w:ascii="Times New Roman" w:hAnsi="Times New Roman" w:eastAsia="Times New Roman" w:cs="Times New Roman"/>
          <w:spacing w:val="6"/>
          <w:sz w:val="25"/>
          <w:szCs w:val="25"/>
        </w:rPr>
        <w:t>25465-2010</w:t>
      </w:r>
      <w:r>
        <w:rPr>
          <w:rFonts w:ascii="仿宋" w:hAnsi="仿宋" w:eastAsia="仿宋" w:cs="仿宋"/>
          <w:spacing w:val="6"/>
          <w:sz w:val="25"/>
          <w:szCs w:val="25"/>
        </w:rPr>
        <w:t>）及修改单。</w:t>
      </w:r>
    </w:p>
    <w:p w14:paraId="326DD567">
      <w:pPr>
        <w:spacing w:before="8" w:line="323" w:lineRule="auto"/>
        <w:ind w:left="15" w:right="15" w:firstLine="485"/>
        <w:rPr>
          <w:rFonts w:ascii="仿宋" w:hAnsi="仿宋" w:eastAsia="仿宋" w:cs="仿宋"/>
          <w:sz w:val="25"/>
          <w:szCs w:val="25"/>
        </w:rPr>
      </w:pPr>
      <w:r>
        <w:rPr>
          <w:rFonts w:ascii="仿宋" w:hAnsi="仿宋" w:eastAsia="仿宋" w:cs="仿宋"/>
          <w:spacing w:val="6"/>
          <w:sz w:val="25"/>
          <w:szCs w:val="25"/>
        </w:rPr>
        <w:t>（</w:t>
      </w:r>
      <w:r>
        <w:rPr>
          <w:rFonts w:ascii="Times New Roman" w:hAnsi="Times New Roman" w:eastAsia="Times New Roman" w:cs="Times New Roman"/>
          <w:spacing w:val="6"/>
          <w:sz w:val="25"/>
          <w:szCs w:val="25"/>
        </w:rPr>
        <w:t>3</w:t>
      </w:r>
      <w:r>
        <w:rPr>
          <w:rFonts w:ascii="仿宋" w:hAnsi="仿宋" w:eastAsia="仿宋" w:cs="仿宋"/>
          <w:spacing w:val="6"/>
          <w:sz w:val="25"/>
          <w:szCs w:val="25"/>
        </w:rPr>
        <w:t>）强化无组织排放管控。矿区产生大气颗粒物的生产活动应尽量采用封</w:t>
      </w:r>
      <w:r>
        <w:rPr>
          <w:rFonts w:ascii="仿宋" w:hAnsi="仿宋" w:eastAsia="仿宋" w:cs="仿宋"/>
          <w:spacing w:val="18"/>
          <w:sz w:val="25"/>
          <w:szCs w:val="25"/>
        </w:rPr>
        <w:t xml:space="preserve"> </w:t>
      </w:r>
      <w:r>
        <w:rPr>
          <w:rFonts w:ascii="仿宋" w:hAnsi="仿宋" w:eastAsia="仿宋" w:cs="仿宋"/>
          <w:spacing w:val="10"/>
          <w:sz w:val="25"/>
          <w:szCs w:val="25"/>
        </w:rPr>
        <w:t>闭装置，避免无组织排放；无法完全封闭的，</w:t>
      </w:r>
      <w:r>
        <w:rPr>
          <w:rFonts w:ascii="仿宋" w:hAnsi="仿宋" w:eastAsia="仿宋" w:cs="仿宋"/>
          <w:spacing w:val="9"/>
          <w:sz w:val="25"/>
          <w:szCs w:val="25"/>
        </w:rPr>
        <w:t>应安装集气装置收集逸散的污染</w:t>
      </w:r>
      <w:r>
        <w:rPr>
          <w:rFonts w:ascii="仿宋" w:hAnsi="仿宋" w:eastAsia="仿宋" w:cs="仿宋"/>
          <w:sz w:val="25"/>
          <w:szCs w:val="25"/>
        </w:rPr>
        <w:t xml:space="preserve"> </w:t>
      </w:r>
      <w:r>
        <w:rPr>
          <w:rFonts w:ascii="仿宋" w:hAnsi="仿宋" w:eastAsia="仿宋" w:cs="仿宋"/>
          <w:spacing w:val="4"/>
          <w:sz w:val="25"/>
          <w:szCs w:val="25"/>
        </w:rPr>
        <w:t xml:space="preserve">物，经净化后排放。涉及环境敏感区或区域颗粒物超标的，依法采取封闭措施； </w:t>
      </w:r>
      <w:r>
        <w:rPr>
          <w:rFonts w:ascii="仿宋" w:hAnsi="仿宋" w:eastAsia="仿宋" w:cs="仿宋"/>
          <w:spacing w:val="11"/>
          <w:sz w:val="25"/>
          <w:szCs w:val="25"/>
        </w:rPr>
        <w:t>产尘点按照</w:t>
      </w:r>
      <w:r>
        <w:rPr>
          <w:rFonts w:ascii="Times New Roman" w:hAnsi="Times New Roman" w:eastAsia="Times New Roman" w:cs="Times New Roman"/>
          <w:spacing w:val="11"/>
          <w:sz w:val="25"/>
          <w:szCs w:val="25"/>
        </w:rPr>
        <w:t>“</w:t>
      </w:r>
      <w:r>
        <w:rPr>
          <w:rFonts w:ascii="仿宋" w:hAnsi="仿宋" w:eastAsia="仿宋" w:cs="仿宋"/>
          <w:spacing w:val="11"/>
          <w:sz w:val="25"/>
          <w:szCs w:val="25"/>
        </w:rPr>
        <w:t>应收尽收</w:t>
      </w:r>
      <w:r>
        <w:rPr>
          <w:rFonts w:ascii="Times New Roman" w:hAnsi="Times New Roman" w:eastAsia="Times New Roman" w:cs="Times New Roman"/>
          <w:spacing w:val="11"/>
          <w:sz w:val="25"/>
          <w:szCs w:val="25"/>
        </w:rPr>
        <w:t>”</w:t>
      </w:r>
      <w:r>
        <w:rPr>
          <w:rFonts w:ascii="仿宋" w:hAnsi="仿宋" w:eastAsia="仿宋" w:cs="仿宋"/>
          <w:spacing w:val="11"/>
          <w:sz w:val="25"/>
          <w:szCs w:val="25"/>
        </w:rPr>
        <w:t>原则配置废气收集设施，并与生产工艺设备同</w:t>
      </w:r>
      <w:r>
        <w:rPr>
          <w:rFonts w:ascii="仿宋" w:hAnsi="仿宋" w:eastAsia="仿宋" w:cs="仿宋"/>
          <w:spacing w:val="10"/>
          <w:sz w:val="25"/>
          <w:szCs w:val="25"/>
        </w:rPr>
        <w:t>步运转。</w:t>
      </w:r>
      <w:r>
        <w:rPr>
          <w:rFonts w:ascii="仿宋" w:hAnsi="仿宋" w:eastAsia="仿宋" w:cs="仿宋"/>
          <w:sz w:val="25"/>
          <w:szCs w:val="25"/>
        </w:rPr>
        <w:t xml:space="preserve"> </w:t>
      </w:r>
      <w:r>
        <w:rPr>
          <w:rFonts w:ascii="仿宋" w:hAnsi="仿宋" w:eastAsia="仿宋" w:cs="仿宋"/>
          <w:spacing w:val="10"/>
          <w:sz w:val="25"/>
          <w:szCs w:val="25"/>
        </w:rPr>
        <w:t>各种粉状物料贮存场应采取设置围挡墙、防尘网和喷洒抑尘剂等有效的防尘、</w:t>
      </w:r>
      <w:r>
        <w:rPr>
          <w:rFonts w:ascii="仿宋" w:hAnsi="仿宋" w:eastAsia="仿宋" w:cs="仿宋"/>
          <w:spacing w:val="13"/>
          <w:sz w:val="25"/>
          <w:szCs w:val="25"/>
        </w:rPr>
        <w:t xml:space="preserve"> </w:t>
      </w:r>
      <w:r>
        <w:rPr>
          <w:rFonts w:ascii="仿宋" w:hAnsi="仿宋" w:eastAsia="仿宋" w:cs="仿宋"/>
          <w:spacing w:val="10"/>
          <w:sz w:val="25"/>
          <w:szCs w:val="25"/>
        </w:rPr>
        <w:t>抑尘措施，防止颗粒物逸散，优先采用全封闭</w:t>
      </w:r>
      <w:r>
        <w:rPr>
          <w:rFonts w:ascii="仿宋" w:hAnsi="仿宋" w:eastAsia="仿宋" w:cs="仿宋"/>
          <w:spacing w:val="9"/>
          <w:sz w:val="25"/>
          <w:szCs w:val="25"/>
        </w:rPr>
        <w:t>料场、筒仓等物料储存方式，厂</w:t>
      </w:r>
      <w:r>
        <w:rPr>
          <w:rFonts w:ascii="仿宋" w:hAnsi="仿宋" w:eastAsia="仿宋" w:cs="仿宋"/>
          <w:sz w:val="25"/>
          <w:szCs w:val="25"/>
        </w:rPr>
        <w:t xml:space="preserve"> </w:t>
      </w:r>
      <w:r>
        <w:rPr>
          <w:rFonts w:ascii="仿宋" w:hAnsi="仿宋" w:eastAsia="仿宋" w:cs="仿宋"/>
          <w:spacing w:val="8"/>
          <w:sz w:val="25"/>
          <w:szCs w:val="25"/>
        </w:rPr>
        <w:t>界无组织排放应符合国家和重庆市相关标准要求。</w:t>
      </w:r>
    </w:p>
    <w:p w14:paraId="06740FDB">
      <w:pPr>
        <w:spacing w:before="151" w:line="321" w:lineRule="auto"/>
        <w:ind w:left="13" w:right="81" w:firstLine="528"/>
        <w:rPr>
          <w:rFonts w:ascii="仿宋" w:hAnsi="仿宋" w:eastAsia="仿宋" w:cs="仿宋"/>
          <w:sz w:val="25"/>
          <w:szCs w:val="25"/>
        </w:rPr>
      </w:pPr>
      <w:r>
        <w:rPr>
          <w:rFonts w:ascii="仿宋" w:hAnsi="仿宋" w:eastAsia="仿宋" w:cs="仿宋"/>
          <w:spacing w:val="5"/>
          <w:sz w:val="25"/>
          <w:szCs w:val="25"/>
        </w:rPr>
        <w:t>（</w:t>
      </w:r>
      <w:r>
        <w:rPr>
          <w:rFonts w:ascii="Times New Roman" w:hAnsi="Times New Roman" w:eastAsia="Times New Roman" w:cs="Times New Roman"/>
          <w:spacing w:val="5"/>
          <w:sz w:val="25"/>
          <w:szCs w:val="25"/>
        </w:rPr>
        <w:t>4</w:t>
      </w:r>
      <w:r>
        <w:rPr>
          <w:rFonts w:ascii="仿宋" w:hAnsi="仿宋" w:eastAsia="仿宋" w:cs="仿宋"/>
          <w:spacing w:val="5"/>
          <w:sz w:val="25"/>
          <w:szCs w:val="25"/>
        </w:rPr>
        <w:t>）严格控制矿产品及弃渣运输过程中的粉尘污染。新建矿山同步建设铁</w:t>
      </w:r>
      <w:r>
        <w:rPr>
          <w:rFonts w:ascii="仿宋" w:hAnsi="仿宋" w:eastAsia="仿宋" w:cs="仿宋"/>
          <w:spacing w:val="12"/>
          <w:sz w:val="25"/>
          <w:szCs w:val="25"/>
        </w:rPr>
        <w:t xml:space="preserve"> </w:t>
      </w:r>
      <w:r>
        <w:rPr>
          <w:rFonts w:ascii="仿宋" w:hAnsi="仿宋" w:eastAsia="仿宋" w:cs="仿宋"/>
          <w:spacing w:val="10"/>
          <w:sz w:val="25"/>
          <w:szCs w:val="25"/>
        </w:rPr>
        <w:t>路专用线或采用其他清洁运输方式等。实行粉状物</w:t>
      </w:r>
      <w:r>
        <w:rPr>
          <w:rFonts w:ascii="仿宋" w:hAnsi="仿宋" w:eastAsia="仿宋" w:cs="仿宋"/>
          <w:spacing w:val="9"/>
          <w:sz w:val="25"/>
          <w:szCs w:val="25"/>
        </w:rPr>
        <w:t>料及渣土车辆密闭运输，加</w:t>
      </w:r>
      <w:r>
        <w:rPr>
          <w:rFonts w:ascii="仿宋" w:hAnsi="仿宋" w:eastAsia="仿宋" w:cs="仿宋"/>
          <w:sz w:val="25"/>
          <w:szCs w:val="25"/>
        </w:rPr>
        <w:t xml:space="preserve"> </w:t>
      </w:r>
      <w:r>
        <w:rPr>
          <w:rFonts w:ascii="仿宋" w:hAnsi="仿宋" w:eastAsia="仿宋" w:cs="仿宋"/>
          <w:spacing w:val="10"/>
          <w:sz w:val="25"/>
          <w:szCs w:val="25"/>
        </w:rPr>
        <w:t>强监管，防止遗撒。设置车辆清洗装置，保持上路</w:t>
      </w:r>
      <w:r>
        <w:rPr>
          <w:rFonts w:ascii="仿宋" w:hAnsi="仿宋" w:eastAsia="仿宋" w:cs="仿宋"/>
          <w:spacing w:val="9"/>
          <w:sz w:val="25"/>
          <w:szCs w:val="25"/>
        </w:rPr>
        <w:t>行驶车辆的清洁。及时进行</w:t>
      </w:r>
      <w:r>
        <w:rPr>
          <w:rFonts w:ascii="仿宋" w:hAnsi="仿宋" w:eastAsia="仿宋" w:cs="仿宋"/>
          <w:sz w:val="25"/>
          <w:szCs w:val="25"/>
        </w:rPr>
        <w:t xml:space="preserve"> </w:t>
      </w:r>
      <w:r>
        <w:rPr>
          <w:rFonts w:ascii="仿宋" w:hAnsi="仿宋" w:eastAsia="仿宋" w:cs="仿宋"/>
          <w:spacing w:val="10"/>
          <w:sz w:val="25"/>
          <w:szCs w:val="25"/>
        </w:rPr>
        <w:t>道路清扫、冲洗、洒水作业，减少道路扬尘。矿山</w:t>
      </w:r>
      <w:r>
        <w:rPr>
          <w:rFonts w:ascii="仿宋" w:hAnsi="仿宋" w:eastAsia="仿宋" w:cs="仿宋"/>
          <w:spacing w:val="9"/>
          <w:sz w:val="25"/>
          <w:szCs w:val="25"/>
        </w:rPr>
        <w:t>开采使用的非道路移动机械</w:t>
      </w:r>
      <w:r>
        <w:rPr>
          <w:rFonts w:ascii="仿宋" w:hAnsi="仿宋" w:eastAsia="仿宋" w:cs="仿宋"/>
          <w:sz w:val="25"/>
          <w:szCs w:val="25"/>
        </w:rPr>
        <w:t xml:space="preserve"> </w:t>
      </w:r>
      <w:r>
        <w:rPr>
          <w:rFonts w:ascii="仿宋" w:hAnsi="仿宋" w:eastAsia="仿宋" w:cs="仿宋"/>
          <w:spacing w:val="10"/>
          <w:sz w:val="25"/>
          <w:szCs w:val="25"/>
        </w:rPr>
        <w:t>排放废气应符合国家和地方污染物排放标准要求，</w:t>
      </w:r>
      <w:r>
        <w:rPr>
          <w:rFonts w:ascii="仿宋" w:hAnsi="仿宋" w:eastAsia="仿宋" w:cs="仿宋"/>
          <w:spacing w:val="9"/>
          <w:sz w:val="25"/>
          <w:szCs w:val="25"/>
        </w:rPr>
        <w:t>鼓励使用新能源非道路移动</w:t>
      </w:r>
      <w:r>
        <w:rPr>
          <w:rFonts w:ascii="仿宋" w:hAnsi="仿宋" w:eastAsia="仿宋" w:cs="仿宋"/>
          <w:sz w:val="25"/>
          <w:szCs w:val="25"/>
        </w:rPr>
        <w:t xml:space="preserve"> </w:t>
      </w:r>
      <w:r>
        <w:rPr>
          <w:rFonts w:ascii="仿宋" w:hAnsi="仿宋" w:eastAsia="仿宋" w:cs="仿宋"/>
          <w:spacing w:val="1"/>
          <w:sz w:val="25"/>
          <w:szCs w:val="25"/>
        </w:rPr>
        <w:t>机械。</w:t>
      </w:r>
    </w:p>
    <w:p w14:paraId="0328FA30">
      <w:pPr>
        <w:spacing w:before="152" w:line="284" w:lineRule="auto"/>
        <w:ind w:left="23" w:right="83" w:firstLine="518"/>
        <w:rPr>
          <w:rFonts w:ascii="仿宋" w:hAnsi="仿宋" w:eastAsia="仿宋" w:cs="仿宋"/>
          <w:sz w:val="25"/>
          <w:szCs w:val="25"/>
        </w:rPr>
      </w:pPr>
      <w:r>
        <w:rPr>
          <w:rFonts w:ascii="仿宋" w:hAnsi="仿宋" w:eastAsia="仿宋" w:cs="仿宋"/>
          <w:spacing w:val="5"/>
          <w:sz w:val="25"/>
          <w:szCs w:val="25"/>
        </w:rPr>
        <w:t>（</w:t>
      </w:r>
      <w:r>
        <w:rPr>
          <w:rFonts w:ascii="Times New Roman" w:hAnsi="Times New Roman" w:eastAsia="Times New Roman" w:cs="Times New Roman"/>
          <w:spacing w:val="5"/>
          <w:sz w:val="25"/>
          <w:szCs w:val="25"/>
        </w:rPr>
        <w:t>5</w:t>
      </w:r>
      <w:r>
        <w:rPr>
          <w:rFonts w:ascii="仿宋" w:hAnsi="仿宋" w:eastAsia="仿宋" w:cs="仿宋"/>
          <w:spacing w:val="5"/>
          <w:sz w:val="25"/>
          <w:szCs w:val="25"/>
        </w:rPr>
        <w:t>）生产生活使用天然气等清洁燃料，严禁使用燃煤；集中式食堂应按要</w:t>
      </w:r>
      <w:r>
        <w:rPr>
          <w:rFonts w:ascii="仿宋" w:hAnsi="仿宋" w:eastAsia="仿宋" w:cs="仿宋"/>
          <w:spacing w:val="10"/>
          <w:sz w:val="25"/>
          <w:szCs w:val="25"/>
        </w:rPr>
        <w:t xml:space="preserve"> </w:t>
      </w:r>
      <w:r>
        <w:rPr>
          <w:rFonts w:ascii="仿宋" w:hAnsi="仿宋" w:eastAsia="仿宋" w:cs="仿宋"/>
          <w:spacing w:val="7"/>
          <w:sz w:val="25"/>
          <w:szCs w:val="25"/>
        </w:rPr>
        <w:t>求设置油烟净化器和专用排烟道。</w:t>
      </w:r>
    </w:p>
    <w:p w14:paraId="673EA3C0">
      <w:pPr>
        <w:spacing w:before="150" w:line="302" w:lineRule="auto"/>
        <w:ind w:left="16" w:firstLine="525"/>
        <w:rPr>
          <w:rFonts w:ascii="仿宋" w:hAnsi="仿宋" w:eastAsia="仿宋" w:cs="仿宋"/>
          <w:sz w:val="25"/>
          <w:szCs w:val="25"/>
        </w:rPr>
      </w:pPr>
      <w:r>
        <w:rPr>
          <w:rFonts w:ascii="仿宋" w:hAnsi="仿宋" w:eastAsia="仿宋" w:cs="仿宋"/>
          <w:sz w:val="25"/>
          <w:szCs w:val="25"/>
        </w:rPr>
        <w:t>（</w:t>
      </w:r>
      <w:r>
        <w:rPr>
          <w:rFonts w:ascii="Times New Roman" w:hAnsi="Times New Roman" w:eastAsia="Times New Roman" w:cs="Times New Roman"/>
          <w:sz w:val="25"/>
          <w:szCs w:val="25"/>
        </w:rPr>
        <w:t>6</w:t>
      </w:r>
      <w:r>
        <w:rPr>
          <w:rFonts w:ascii="仿宋" w:hAnsi="仿宋" w:eastAsia="仿宋" w:cs="仿宋"/>
          <w:sz w:val="25"/>
          <w:szCs w:val="25"/>
        </w:rPr>
        <w:t>）勘查采用湿式钻孔，勘查作业人员配备有效的粉尘防护装备。铝土矿、</w:t>
      </w:r>
      <w:r>
        <w:rPr>
          <w:rFonts w:ascii="仿宋" w:hAnsi="仿宋" w:eastAsia="仿宋" w:cs="仿宋"/>
          <w:spacing w:val="9"/>
          <w:sz w:val="25"/>
          <w:szCs w:val="25"/>
        </w:rPr>
        <w:t xml:space="preserve"> </w:t>
      </w:r>
      <w:r>
        <w:rPr>
          <w:rFonts w:ascii="仿宋" w:hAnsi="仿宋" w:eastAsia="仿宋" w:cs="仿宋"/>
          <w:spacing w:val="10"/>
          <w:sz w:val="25"/>
          <w:szCs w:val="25"/>
        </w:rPr>
        <w:t>铸型用砂岩等地下开采，应严格建立井下通</w:t>
      </w:r>
      <w:r>
        <w:rPr>
          <w:rFonts w:ascii="仿宋" w:hAnsi="仿宋" w:eastAsia="仿宋" w:cs="仿宋"/>
          <w:spacing w:val="9"/>
          <w:sz w:val="25"/>
          <w:szCs w:val="25"/>
        </w:rPr>
        <w:t>风系统，并采用洒水降尘等措施做</w:t>
      </w:r>
      <w:r>
        <w:rPr>
          <w:rFonts w:ascii="仿宋" w:hAnsi="仿宋" w:eastAsia="仿宋" w:cs="仿宋"/>
          <w:sz w:val="25"/>
          <w:szCs w:val="25"/>
        </w:rPr>
        <w:t xml:space="preserve"> </w:t>
      </w:r>
      <w:r>
        <w:rPr>
          <w:rFonts w:ascii="仿宋" w:hAnsi="仿宋" w:eastAsia="仿宋" w:cs="仿宋"/>
          <w:spacing w:val="8"/>
          <w:sz w:val="25"/>
          <w:szCs w:val="25"/>
        </w:rPr>
        <w:t>好井下防尘；采矿作业人员配备有效的粉尘防护装备。</w:t>
      </w:r>
    </w:p>
    <w:p w14:paraId="0047254E">
      <w:pPr>
        <w:spacing w:before="153" w:line="284" w:lineRule="auto"/>
        <w:ind w:left="17" w:right="83" w:firstLine="524"/>
        <w:rPr>
          <w:rFonts w:ascii="仿宋" w:hAnsi="仿宋" w:eastAsia="仿宋" w:cs="仿宋"/>
          <w:sz w:val="25"/>
          <w:szCs w:val="25"/>
        </w:rPr>
      </w:pPr>
      <w:r>
        <w:rPr>
          <w:rFonts w:ascii="仿宋" w:hAnsi="仿宋" w:eastAsia="仿宋" w:cs="仿宋"/>
          <w:spacing w:val="5"/>
          <w:sz w:val="25"/>
          <w:szCs w:val="25"/>
        </w:rPr>
        <w:t>（</w:t>
      </w:r>
      <w:r>
        <w:rPr>
          <w:rFonts w:ascii="Times New Roman" w:hAnsi="Times New Roman" w:eastAsia="Times New Roman" w:cs="Times New Roman"/>
          <w:spacing w:val="5"/>
          <w:sz w:val="25"/>
          <w:szCs w:val="25"/>
        </w:rPr>
        <w:t>7</w:t>
      </w:r>
      <w:r>
        <w:rPr>
          <w:rFonts w:ascii="仿宋" w:hAnsi="仿宋" w:eastAsia="仿宋" w:cs="仿宋"/>
          <w:spacing w:val="5"/>
          <w:sz w:val="25"/>
          <w:szCs w:val="25"/>
        </w:rPr>
        <w:t>）矿山勘查机械排放废气应符合国家和地方污染物排放标准要求，鼓励</w:t>
      </w:r>
      <w:r>
        <w:rPr>
          <w:rFonts w:ascii="仿宋" w:hAnsi="仿宋" w:eastAsia="仿宋" w:cs="仿宋"/>
          <w:spacing w:val="10"/>
          <w:sz w:val="25"/>
          <w:szCs w:val="25"/>
        </w:rPr>
        <w:t xml:space="preserve"> </w:t>
      </w:r>
      <w:r>
        <w:rPr>
          <w:rFonts w:ascii="仿宋" w:hAnsi="仿宋" w:eastAsia="仿宋" w:cs="仿宋"/>
          <w:spacing w:val="6"/>
          <w:sz w:val="25"/>
          <w:szCs w:val="25"/>
        </w:rPr>
        <w:t>使用新能源机械。</w:t>
      </w:r>
    </w:p>
    <w:p w14:paraId="6F0E1D17">
      <w:pPr>
        <w:spacing w:before="271" w:line="229" w:lineRule="auto"/>
        <w:ind w:left="8"/>
        <w:outlineLvl w:val="3"/>
        <w:rPr>
          <w:rFonts w:ascii="仿宋" w:hAnsi="仿宋" w:eastAsia="仿宋" w:cs="仿宋"/>
          <w:sz w:val="25"/>
          <w:szCs w:val="25"/>
        </w:rPr>
      </w:pPr>
      <w:r>
        <w:rPr>
          <w:rFonts w:ascii="Times New Roman" w:hAnsi="Times New Roman" w:eastAsia="Times New Roman" w:cs="Times New Roman"/>
          <w:b/>
          <w:bCs/>
          <w:spacing w:val="4"/>
          <w:sz w:val="25"/>
          <w:szCs w:val="25"/>
        </w:rPr>
        <w:t>7.1.2.2</w:t>
      </w:r>
      <w:r>
        <w:rPr>
          <w:rFonts w:ascii="Times New Roman" w:hAnsi="Times New Roman" w:eastAsia="Times New Roman" w:cs="Times New Roman"/>
          <w:b/>
          <w:bCs/>
          <w:spacing w:val="25"/>
          <w:sz w:val="25"/>
          <w:szCs w:val="25"/>
        </w:rPr>
        <w:t xml:space="preserve"> </w:t>
      </w:r>
      <w:r>
        <w:rPr>
          <w:rFonts w:ascii="仿宋" w:hAnsi="仿宋" w:eastAsia="仿宋" w:cs="仿宋"/>
          <w:b/>
          <w:bCs/>
          <w:spacing w:val="4"/>
          <w:sz w:val="25"/>
          <w:szCs w:val="25"/>
        </w:rPr>
        <w:t>废水污染防治方案</w:t>
      </w:r>
    </w:p>
    <w:p w14:paraId="4A8F214B">
      <w:pPr>
        <w:spacing w:before="270" w:line="230" w:lineRule="auto"/>
        <w:ind w:left="541"/>
        <w:rPr>
          <w:rFonts w:ascii="仿宋" w:hAnsi="仿宋" w:eastAsia="仿宋" w:cs="仿宋"/>
          <w:sz w:val="25"/>
          <w:szCs w:val="25"/>
        </w:rPr>
      </w:pPr>
      <w:r>
        <w:rPr>
          <w:rFonts w:ascii="仿宋" w:hAnsi="仿宋" w:eastAsia="仿宋" w:cs="仿宋"/>
          <w:spacing w:val="5"/>
          <w:sz w:val="25"/>
          <w:szCs w:val="25"/>
        </w:rPr>
        <w:t>（</w:t>
      </w:r>
      <w:r>
        <w:rPr>
          <w:rFonts w:ascii="Times New Roman" w:hAnsi="Times New Roman" w:eastAsia="Times New Roman" w:cs="Times New Roman"/>
          <w:spacing w:val="5"/>
          <w:sz w:val="25"/>
          <w:szCs w:val="25"/>
        </w:rPr>
        <w:t>1</w:t>
      </w:r>
      <w:r>
        <w:rPr>
          <w:rFonts w:ascii="仿宋" w:hAnsi="仿宋" w:eastAsia="仿宋" w:cs="仿宋"/>
          <w:spacing w:val="5"/>
          <w:sz w:val="25"/>
          <w:szCs w:val="25"/>
        </w:rPr>
        <w:t>）地表水</w:t>
      </w:r>
    </w:p>
    <w:p w14:paraId="1815CF4A">
      <w:pPr>
        <w:spacing w:before="150" w:line="228" w:lineRule="auto"/>
        <w:ind w:left="529"/>
        <w:rPr>
          <w:rFonts w:ascii="仿宋" w:hAnsi="仿宋" w:eastAsia="仿宋" w:cs="仿宋"/>
          <w:sz w:val="25"/>
          <w:szCs w:val="25"/>
        </w:rPr>
      </w:pPr>
      <w:r>
        <w:rPr>
          <w:rFonts w:ascii="仿宋" w:hAnsi="仿宋" w:eastAsia="仿宋" w:cs="仿宋"/>
          <w:spacing w:val="7"/>
          <w:sz w:val="25"/>
          <w:szCs w:val="25"/>
        </w:rPr>
        <w:t>①采矿废水</w:t>
      </w:r>
    </w:p>
    <w:p w14:paraId="1611F74A">
      <w:pPr>
        <w:spacing w:before="148" w:line="341" w:lineRule="auto"/>
        <w:ind w:left="17" w:firstLine="526"/>
        <w:rPr>
          <w:rFonts w:ascii="仿宋" w:hAnsi="仿宋" w:eastAsia="仿宋" w:cs="仿宋"/>
          <w:sz w:val="25"/>
          <w:szCs w:val="25"/>
        </w:rPr>
      </w:pPr>
      <w:r>
        <w:rPr>
          <w:rFonts w:ascii="仿宋" w:hAnsi="仿宋" w:eastAsia="仿宋" w:cs="仿宋"/>
          <w:spacing w:val="4"/>
          <w:sz w:val="25"/>
          <w:szCs w:val="25"/>
        </w:rPr>
        <w:t>露天开采：露天矿坑积水水质只是轻污染，经沉淀后可用于露天采区洒水、</w:t>
      </w:r>
      <w:r>
        <w:rPr>
          <w:rFonts w:ascii="仿宋" w:hAnsi="仿宋" w:eastAsia="仿宋" w:cs="仿宋"/>
          <w:sz w:val="25"/>
          <w:szCs w:val="25"/>
        </w:rPr>
        <w:t xml:space="preserve"> </w:t>
      </w:r>
      <w:r>
        <w:rPr>
          <w:rFonts w:ascii="仿宋" w:hAnsi="仿宋" w:eastAsia="仿宋" w:cs="仿宋"/>
          <w:spacing w:val="9"/>
          <w:sz w:val="25"/>
          <w:szCs w:val="25"/>
        </w:rPr>
        <w:t>道路洒水等，实现资源化利用。饰面石材开采切割过程中产生的泥浆废水经多</w:t>
      </w:r>
    </w:p>
    <w:p w14:paraId="71E1FF5E">
      <w:pPr>
        <w:spacing w:line="341" w:lineRule="auto"/>
        <w:rPr>
          <w:rFonts w:ascii="仿宋" w:hAnsi="仿宋" w:eastAsia="仿宋" w:cs="仿宋"/>
          <w:sz w:val="25"/>
          <w:szCs w:val="25"/>
        </w:rPr>
        <w:sectPr>
          <w:footerReference r:id="rId225" w:type="default"/>
          <w:pgSz w:w="11906" w:h="16839"/>
          <w:pgMar w:top="1116" w:right="1392" w:bottom="866" w:left="1587" w:header="683" w:footer="703" w:gutter="0"/>
          <w:cols w:space="720" w:num="1"/>
        </w:sectPr>
      </w:pPr>
    </w:p>
    <w:p w14:paraId="040A6910">
      <w:pPr>
        <w:pStyle w:val="2"/>
        <w:spacing w:line="386" w:lineRule="auto"/>
      </w:pPr>
    </w:p>
    <w:p w14:paraId="73C93ACA">
      <w:pPr>
        <w:spacing w:before="82" w:line="339" w:lineRule="auto"/>
        <w:ind w:left="33" w:right="88" w:hanging="14"/>
        <w:rPr>
          <w:rFonts w:ascii="仿宋" w:hAnsi="仿宋" w:eastAsia="仿宋" w:cs="仿宋"/>
          <w:sz w:val="25"/>
          <w:szCs w:val="25"/>
        </w:rPr>
      </w:pPr>
      <w:r>
        <w:rPr>
          <w:rFonts w:ascii="仿宋" w:hAnsi="仿宋" w:eastAsia="仿宋" w:cs="仿宋"/>
          <w:spacing w:val="9"/>
          <w:sz w:val="25"/>
          <w:szCs w:val="25"/>
        </w:rPr>
        <w:t>级沉淀处理后清水回用。露天采矿废水产生量较少，经沉淀处理后可全部回用</w:t>
      </w:r>
      <w:r>
        <w:rPr>
          <w:rFonts w:ascii="仿宋" w:hAnsi="仿宋" w:eastAsia="仿宋" w:cs="仿宋"/>
          <w:spacing w:val="11"/>
          <w:sz w:val="25"/>
          <w:szCs w:val="25"/>
        </w:rPr>
        <w:t xml:space="preserve"> </w:t>
      </w:r>
      <w:r>
        <w:rPr>
          <w:rFonts w:ascii="仿宋" w:hAnsi="仿宋" w:eastAsia="仿宋" w:cs="仿宋"/>
          <w:spacing w:val="6"/>
          <w:sz w:val="25"/>
          <w:szCs w:val="25"/>
        </w:rPr>
        <w:t>防尘或用于道路洒水降尘。</w:t>
      </w:r>
    </w:p>
    <w:p w14:paraId="78B18505">
      <w:pPr>
        <w:spacing w:before="2" w:line="339" w:lineRule="auto"/>
        <w:ind w:left="16" w:right="83" w:firstLine="521"/>
        <w:jc w:val="both"/>
        <w:rPr>
          <w:rFonts w:ascii="仿宋" w:hAnsi="仿宋" w:eastAsia="仿宋" w:cs="仿宋"/>
          <w:sz w:val="25"/>
          <w:szCs w:val="25"/>
        </w:rPr>
      </w:pPr>
      <w:r>
        <w:rPr>
          <w:rFonts w:ascii="仿宋" w:hAnsi="仿宋" w:eastAsia="仿宋" w:cs="仿宋"/>
          <w:spacing w:val="9"/>
          <w:sz w:val="25"/>
          <w:szCs w:val="25"/>
        </w:rPr>
        <w:t>地下开采：铸型用砂岩等地下开采矿井水在井下沉淀后首先用于湿法凿岩</w:t>
      </w:r>
      <w:r>
        <w:rPr>
          <w:rFonts w:ascii="仿宋" w:hAnsi="仿宋" w:eastAsia="仿宋" w:cs="仿宋"/>
          <w:spacing w:val="15"/>
          <w:sz w:val="25"/>
          <w:szCs w:val="25"/>
        </w:rPr>
        <w:t xml:space="preserve"> </w:t>
      </w:r>
      <w:r>
        <w:rPr>
          <w:rFonts w:ascii="仿宋" w:hAnsi="仿宋" w:eastAsia="仿宋" w:cs="仿宋"/>
          <w:spacing w:val="10"/>
          <w:sz w:val="25"/>
          <w:szCs w:val="25"/>
        </w:rPr>
        <w:t>和井下降尘，排出地面的矿井水沉淀后可作</w:t>
      </w:r>
      <w:r>
        <w:rPr>
          <w:rFonts w:ascii="仿宋" w:hAnsi="仿宋" w:eastAsia="仿宋" w:cs="仿宋"/>
          <w:spacing w:val="9"/>
          <w:sz w:val="25"/>
          <w:szCs w:val="25"/>
        </w:rPr>
        <w:t>为矿石装卸喷雾洒水、工业场地和</w:t>
      </w:r>
      <w:r>
        <w:rPr>
          <w:rFonts w:ascii="仿宋" w:hAnsi="仿宋" w:eastAsia="仿宋" w:cs="仿宋"/>
          <w:sz w:val="25"/>
          <w:szCs w:val="25"/>
        </w:rPr>
        <w:t xml:space="preserve"> </w:t>
      </w:r>
      <w:r>
        <w:rPr>
          <w:rFonts w:ascii="仿宋" w:hAnsi="仿宋" w:eastAsia="仿宋" w:cs="仿宋"/>
          <w:spacing w:val="7"/>
          <w:sz w:val="25"/>
          <w:szCs w:val="25"/>
        </w:rPr>
        <w:t>运输道路洒水降尘等。</w:t>
      </w:r>
    </w:p>
    <w:p w14:paraId="31A957EF">
      <w:pPr>
        <w:spacing w:before="2" w:line="339" w:lineRule="auto"/>
        <w:ind w:left="19" w:right="81" w:firstLine="517"/>
        <w:jc w:val="both"/>
        <w:rPr>
          <w:rFonts w:ascii="仿宋" w:hAnsi="仿宋" w:eastAsia="仿宋" w:cs="仿宋"/>
          <w:sz w:val="25"/>
          <w:szCs w:val="25"/>
        </w:rPr>
      </w:pPr>
      <w:r>
        <w:rPr>
          <w:rFonts w:ascii="仿宋" w:hAnsi="仿宋" w:eastAsia="仿宋" w:cs="仿宋"/>
          <w:spacing w:val="9"/>
          <w:sz w:val="25"/>
          <w:szCs w:val="25"/>
        </w:rPr>
        <w:t>铸型用砂岩矿剩余矿井水应达《污水综合排放标准》一级标准后外排，铝</w:t>
      </w:r>
      <w:r>
        <w:rPr>
          <w:rFonts w:ascii="仿宋" w:hAnsi="仿宋" w:eastAsia="仿宋" w:cs="仿宋"/>
          <w:spacing w:val="16"/>
          <w:sz w:val="25"/>
          <w:szCs w:val="25"/>
        </w:rPr>
        <w:t xml:space="preserve"> </w:t>
      </w:r>
      <w:r>
        <w:rPr>
          <w:rFonts w:ascii="仿宋" w:hAnsi="仿宋" w:eastAsia="仿宋" w:cs="仿宋"/>
          <w:spacing w:val="7"/>
          <w:sz w:val="25"/>
          <w:szCs w:val="25"/>
        </w:rPr>
        <w:t>土矿执行《铝工业污染物排放标准》（</w:t>
      </w:r>
      <w:r>
        <w:rPr>
          <w:rFonts w:ascii="Times New Roman" w:hAnsi="Times New Roman" w:eastAsia="Times New Roman" w:cs="Times New Roman"/>
          <w:sz w:val="25"/>
          <w:szCs w:val="25"/>
        </w:rPr>
        <w:t>GB</w:t>
      </w:r>
      <w:r>
        <w:rPr>
          <w:rFonts w:ascii="Times New Roman" w:hAnsi="Times New Roman" w:eastAsia="Times New Roman" w:cs="Times New Roman"/>
          <w:spacing w:val="7"/>
          <w:sz w:val="25"/>
          <w:szCs w:val="25"/>
        </w:rPr>
        <w:t>25465-2010</w:t>
      </w:r>
      <w:r>
        <w:rPr>
          <w:rFonts w:ascii="仿宋" w:hAnsi="仿宋" w:eastAsia="仿宋" w:cs="仿宋"/>
          <w:spacing w:val="7"/>
          <w:sz w:val="25"/>
          <w:szCs w:val="25"/>
        </w:rPr>
        <w:t>）。同时，企业必须维护</w:t>
      </w:r>
      <w:r>
        <w:rPr>
          <w:rFonts w:ascii="仿宋" w:hAnsi="仿宋" w:eastAsia="仿宋" w:cs="仿宋"/>
          <w:spacing w:val="3"/>
          <w:sz w:val="25"/>
          <w:szCs w:val="25"/>
        </w:rPr>
        <w:t xml:space="preserve"> </w:t>
      </w:r>
      <w:r>
        <w:rPr>
          <w:rFonts w:ascii="仿宋" w:hAnsi="仿宋" w:eastAsia="仿宋" w:cs="仿宋"/>
          <w:spacing w:val="8"/>
          <w:sz w:val="25"/>
          <w:szCs w:val="25"/>
        </w:rPr>
        <w:t>管理好水处理设施，确保出水效果。</w:t>
      </w:r>
    </w:p>
    <w:p w14:paraId="0B1014E3">
      <w:pPr>
        <w:spacing w:before="2" w:line="339" w:lineRule="auto"/>
        <w:ind w:left="15" w:right="83" w:firstLine="522"/>
        <w:jc w:val="both"/>
        <w:rPr>
          <w:rFonts w:ascii="仿宋" w:hAnsi="仿宋" w:eastAsia="仿宋" w:cs="仿宋"/>
          <w:sz w:val="25"/>
          <w:szCs w:val="25"/>
        </w:rPr>
      </w:pPr>
      <w:r>
        <w:rPr>
          <w:rFonts w:ascii="仿宋" w:hAnsi="仿宋" w:eastAsia="仿宋" w:cs="仿宋"/>
          <w:spacing w:val="9"/>
          <w:sz w:val="25"/>
          <w:szCs w:val="25"/>
        </w:rPr>
        <w:t>评价要求各矿山结合实际情况尽量资源化综合利用，减少排放。对于矿井</w:t>
      </w:r>
      <w:r>
        <w:rPr>
          <w:rFonts w:ascii="仿宋" w:hAnsi="仿宋" w:eastAsia="仿宋" w:cs="仿宋"/>
          <w:spacing w:val="15"/>
          <w:sz w:val="25"/>
          <w:szCs w:val="25"/>
        </w:rPr>
        <w:t xml:space="preserve"> </w:t>
      </w:r>
      <w:r>
        <w:rPr>
          <w:rFonts w:ascii="仿宋" w:hAnsi="仿宋" w:eastAsia="仿宋" w:cs="仿宋"/>
          <w:spacing w:val="10"/>
          <w:sz w:val="25"/>
          <w:szCs w:val="25"/>
        </w:rPr>
        <w:t>水在充分利用后仍有剩余的，应按相关环保要</w:t>
      </w:r>
      <w:r>
        <w:rPr>
          <w:rFonts w:ascii="仿宋" w:hAnsi="仿宋" w:eastAsia="仿宋" w:cs="仿宋"/>
          <w:spacing w:val="9"/>
          <w:sz w:val="25"/>
          <w:szCs w:val="25"/>
        </w:rPr>
        <w:t>求处理达标后方可排放，不得影</w:t>
      </w:r>
      <w:r>
        <w:rPr>
          <w:rFonts w:ascii="仿宋" w:hAnsi="仿宋" w:eastAsia="仿宋" w:cs="仿宋"/>
          <w:sz w:val="25"/>
          <w:szCs w:val="25"/>
        </w:rPr>
        <w:t xml:space="preserve"> </w:t>
      </w:r>
      <w:r>
        <w:rPr>
          <w:rFonts w:ascii="仿宋" w:hAnsi="仿宋" w:eastAsia="仿宋" w:cs="仿宋"/>
          <w:spacing w:val="8"/>
          <w:sz w:val="25"/>
          <w:szCs w:val="25"/>
        </w:rPr>
        <w:t>响上下游相关河段水功能需求。</w:t>
      </w:r>
    </w:p>
    <w:p w14:paraId="2FA14A82">
      <w:pPr>
        <w:spacing w:before="1" w:line="228" w:lineRule="auto"/>
        <w:ind w:left="449"/>
        <w:rPr>
          <w:rFonts w:ascii="仿宋" w:hAnsi="仿宋" w:eastAsia="仿宋" w:cs="仿宋"/>
          <w:sz w:val="25"/>
          <w:szCs w:val="25"/>
        </w:rPr>
      </w:pPr>
      <w:r>
        <w:rPr>
          <w:rFonts w:ascii="仿宋" w:hAnsi="仿宋" w:eastAsia="仿宋" w:cs="仿宋"/>
          <w:spacing w:val="9"/>
          <w:sz w:val="25"/>
          <w:szCs w:val="25"/>
        </w:rPr>
        <w:t>②场区雨水、废石淋溶水</w:t>
      </w:r>
    </w:p>
    <w:p w14:paraId="359B8CD7">
      <w:pPr>
        <w:spacing w:before="150" w:line="340" w:lineRule="auto"/>
        <w:ind w:left="15" w:right="81" w:firstLine="521"/>
        <w:rPr>
          <w:rFonts w:ascii="仿宋" w:hAnsi="仿宋" w:eastAsia="仿宋" w:cs="仿宋"/>
          <w:sz w:val="25"/>
          <w:szCs w:val="25"/>
        </w:rPr>
      </w:pPr>
      <w:r>
        <w:rPr>
          <w:rFonts w:ascii="仿宋" w:hAnsi="仿宋" w:eastAsia="仿宋" w:cs="仿宋"/>
          <w:spacing w:val="5"/>
          <w:sz w:val="25"/>
          <w:szCs w:val="25"/>
        </w:rPr>
        <w:t>雨天时降雨对矿区地表冲刷将产生泥水，主要污染物为</w:t>
      </w:r>
      <w:r>
        <w:rPr>
          <w:rFonts w:ascii="仿宋" w:hAnsi="仿宋" w:eastAsia="仿宋" w:cs="仿宋"/>
          <w:spacing w:val="-40"/>
          <w:sz w:val="25"/>
          <w:szCs w:val="25"/>
        </w:rPr>
        <w:t xml:space="preserve"> </w:t>
      </w:r>
      <w:r>
        <w:rPr>
          <w:rFonts w:ascii="Times New Roman" w:hAnsi="Times New Roman" w:eastAsia="Times New Roman" w:cs="Times New Roman"/>
          <w:sz w:val="25"/>
          <w:szCs w:val="25"/>
        </w:rPr>
        <w:t>SS</w:t>
      </w:r>
      <w:r>
        <w:rPr>
          <w:rFonts w:ascii="Times New Roman" w:hAnsi="Times New Roman" w:eastAsia="Times New Roman" w:cs="Times New Roman"/>
          <w:spacing w:val="-24"/>
          <w:sz w:val="25"/>
          <w:szCs w:val="25"/>
        </w:rPr>
        <w:t xml:space="preserve"> </w:t>
      </w:r>
      <w:r>
        <w:rPr>
          <w:rFonts w:ascii="仿宋" w:hAnsi="仿宋" w:eastAsia="仿宋" w:cs="仿宋"/>
          <w:spacing w:val="5"/>
          <w:sz w:val="25"/>
          <w:szCs w:val="25"/>
        </w:rPr>
        <w:t>。为此，矿区建</w:t>
      </w:r>
      <w:r>
        <w:rPr>
          <w:rFonts w:ascii="仿宋" w:hAnsi="仿宋" w:eastAsia="仿宋" w:cs="仿宋"/>
          <w:sz w:val="25"/>
          <w:szCs w:val="25"/>
        </w:rPr>
        <w:t xml:space="preserve"> </w:t>
      </w:r>
      <w:r>
        <w:rPr>
          <w:rFonts w:ascii="仿宋" w:hAnsi="仿宋" w:eastAsia="仿宋" w:cs="仿宋"/>
          <w:spacing w:val="10"/>
          <w:sz w:val="25"/>
          <w:szCs w:val="25"/>
        </w:rPr>
        <w:t>设应在开采区、工业广场四周修建截排水沟，</w:t>
      </w:r>
      <w:r>
        <w:rPr>
          <w:rFonts w:ascii="仿宋" w:hAnsi="仿宋" w:eastAsia="仿宋" w:cs="仿宋"/>
          <w:spacing w:val="9"/>
          <w:sz w:val="25"/>
          <w:szCs w:val="25"/>
        </w:rPr>
        <w:t>实行雨污分流，露天开采矿山采</w:t>
      </w:r>
      <w:r>
        <w:rPr>
          <w:rFonts w:ascii="仿宋" w:hAnsi="仿宋" w:eastAsia="仿宋" w:cs="仿宋"/>
          <w:sz w:val="25"/>
          <w:szCs w:val="25"/>
        </w:rPr>
        <w:t xml:space="preserve"> </w:t>
      </w:r>
      <w:r>
        <w:rPr>
          <w:rFonts w:ascii="仿宋" w:hAnsi="仿宋" w:eastAsia="仿宋" w:cs="仿宋"/>
          <w:spacing w:val="9"/>
          <w:sz w:val="25"/>
          <w:szCs w:val="25"/>
        </w:rPr>
        <w:t>区汇水经沉淀处理后可用于采区降尘、道路洒水降尘，尽量不外排。</w:t>
      </w:r>
    </w:p>
    <w:p w14:paraId="1974860D">
      <w:pPr>
        <w:spacing w:before="4" w:line="339" w:lineRule="auto"/>
        <w:ind w:left="15" w:right="88" w:firstLine="524"/>
        <w:jc w:val="both"/>
        <w:rPr>
          <w:rFonts w:ascii="仿宋" w:hAnsi="仿宋" w:eastAsia="仿宋" w:cs="仿宋"/>
          <w:sz w:val="25"/>
          <w:szCs w:val="25"/>
        </w:rPr>
      </w:pPr>
      <w:r>
        <w:rPr>
          <w:rFonts w:ascii="仿宋" w:hAnsi="仿宋" w:eastAsia="仿宋" w:cs="仿宋"/>
          <w:spacing w:val="9"/>
          <w:sz w:val="25"/>
          <w:szCs w:val="25"/>
        </w:rPr>
        <w:t>废石场周边应设置导流渠和集排水设施，减少废石淋溶水产生量，产生的</w:t>
      </w:r>
      <w:r>
        <w:rPr>
          <w:rFonts w:ascii="仿宋" w:hAnsi="仿宋" w:eastAsia="仿宋" w:cs="仿宋"/>
          <w:spacing w:val="8"/>
          <w:sz w:val="25"/>
          <w:szCs w:val="25"/>
        </w:rPr>
        <w:t xml:space="preserve"> </w:t>
      </w:r>
      <w:r>
        <w:rPr>
          <w:rFonts w:ascii="仿宋" w:hAnsi="仿宋" w:eastAsia="仿宋" w:cs="仿宋"/>
          <w:spacing w:val="9"/>
          <w:sz w:val="25"/>
          <w:szCs w:val="25"/>
        </w:rPr>
        <w:t>淋溶水可经沉淀后回用。评价要求矿山企业应提高废石淋溶水回用率，减小废</w:t>
      </w:r>
      <w:r>
        <w:rPr>
          <w:rFonts w:ascii="仿宋" w:hAnsi="仿宋" w:eastAsia="仿宋" w:cs="仿宋"/>
          <w:spacing w:val="15"/>
          <w:sz w:val="25"/>
          <w:szCs w:val="25"/>
        </w:rPr>
        <w:t xml:space="preserve"> </w:t>
      </w:r>
      <w:r>
        <w:rPr>
          <w:rFonts w:ascii="仿宋" w:hAnsi="仿宋" w:eastAsia="仿宋" w:cs="仿宋"/>
          <w:spacing w:val="9"/>
          <w:sz w:val="25"/>
          <w:szCs w:val="25"/>
        </w:rPr>
        <w:t>水外排，矿产资源开发时需做到采场、堆场及环保设施一并建设、使用，通过</w:t>
      </w:r>
      <w:r>
        <w:rPr>
          <w:rFonts w:ascii="仿宋" w:hAnsi="仿宋" w:eastAsia="仿宋" w:cs="仿宋"/>
          <w:spacing w:val="15"/>
          <w:sz w:val="25"/>
          <w:szCs w:val="25"/>
        </w:rPr>
        <w:t xml:space="preserve"> </w:t>
      </w:r>
      <w:r>
        <w:rPr>
          <w:rFonts w:ascii="仿宋" w:hAnsi="仿宋" w:eastAsia="仿宋" w:cs="仿宋"/>
          <w:spacing w:val="9"/>
          <w:sz w:val="25"/>
          <w:szCs w:val="25"/>
        </w:rPr>
        <w:t>全过程生产用、排水之间的相互调节，尽量做到矿山企业生产废水零排放。</w:t>
      </w:r>
    </w:p>
    <w:p w14:paraId="2A9B7BB9">
      <w:pPr>
        <w:spacing w:before="1" w:line="312" w:lineRule="auto"/>
        <w:ind w:left="17" w:right="88" w:firstLine="510"/>
        <w:rPr>
          <w:rFonts w:ascii="仿宋" w:hAnsi="仿宋" w:eastAsia="仿宋" w:cs="仿宋"/>
          <w:sz w:val="25"/>
          <w:szCs w:val="25"/>
        </w:rPr>
      </w:pPr>
      <w:r>
        <w:rPr>
          <w:rFonts w:ascii="仿宋" w:hAnsi="仿宋" w:eastAsia="仿宋" w:cs="仿宋"/>
          <w:spacing w:val="10"/>
          <w:sz w:val="25"/>
          <w:szCs w:val="25"/>
        </w:rPr>
        <w:t>③根据矿区周边环境状况，生活污水可采用旱</w:t>
      </w:r>
      <w:r>
        <w:rPr>
          <w:rFonts w:ascii="仿宋" w:hAnsi="仿宋" w:eastAsia="仿宋" w:cs="仿宋"/>
          <w:spacing w:val="9"/>
          <w:sz w:val="25"/>
          <w:szCs w:val="25"/>
        </w:rPr>
        <w:t>厕收集后作为农肥、生化池</w:t>
      </w:r>
      <w:r>
        <w:rPr>
          <w:rFonts w:ascii="仿宋" w:hAnsi="仿宋" w:eastAsia="仿宋" w:cs="仿宋"/>
          <w:sz w:val="25"/>
          <w:szCs w:val="25"/>
        </w:rPr>
        <w:t xml:space="preserve"> </w:t>
      </w:r>
      <w:r>
        <w:rPr>
          <w:rFonts w:ascii="仿宋" w:hAnsi="仿宋" w:eastAsia="仿宋" w:cs="仿宋"/>
          <w:spacing w:val="9"/>
          <w:sz w:val="25"/>
          <w:szCs w:val="25"/>
        </w:rPr>
        <w:t>处理后用于绿化或处理后达标排放等多种模式，采用哪一种模式可在项目环评</w:t>
      </w:r>
      <w:r>
        <w:rPr>
          <w:rFonts w:ascii="仿宋" w:hAnsi="仿宋" w:eastAsia="仿宋" w:cs="仿宋"/>
          <w:spacing w:val="13"/>
          <w:sz w:val="25"/>
          <w:szCs w:val="25"/>
        </w:rPr>
        <w:t xml:space="preserve"> </w:t>
      </w:r>
      <w:r>
        <w:rPr>
          <w:rFonts w:ascii="仿宋" w:hAnsi="仿宋" w:eastAsia="仿宋" w:cs="仿宋"/>
          <w:spacing w:val="9"/>
          <w:sz w:val="25"/>
          <w:szCs w:val="25"/>
        </w:rPr>
        <w:t>中结合生活污水产生量和周边条件确定。达标排放的应满足《污水综合排放标</w:t>
      </w:r>
      <w:r>
        <w:rPr>
          <w:rFonts w:ascii="仿宋" w:hAnsi="仿宋" w:eastAsia="仿宋" w:cs="仿宋"/>
          <w:spacing w:val="13"/>
          <w:sz w:val="25"/>
          <w:szCs w:val="25"/>
        </w:rPr>
        <w:t xml:space="preserve"> </w:t>
      </w:r>
      <w:r>
        <w:rPr>
          <w:rFonts w:ascii="仿宋" w:hAnsi="仿宋" w:eastAsia="仿宋" w:cs="仿宋"/>
          <w:spacing w:val="7"/>
          <w:sz w:val="25"/>
          <w:szCs w:val="25"/>
        </w:rPr>
        <w:t>准》（</w:t>
      </w:r>
      <w:r>
        <w:rPr>
          <w:rFonts w:ascii="Times New Roman" w:hAnsi="Times New Roman" w:eastAsia="Times New Roman" w:cs="Times New Roman"/>
          <w:sz w:val="25"/>
          <w:szCs w:val="25"/>
        </w:rPr>
        <w:t>GB</w:t>
      </w:r>
      <w:r>
        <w:rPr>
          <w:rFonts w:ascii="Times New Roman" w:hAnsi="Times New Roman" w:eastAsia="Times New Roman" w:cs="Times New Roman"/>
          <w:spacing w:val="7"/>
          <w:sz w:val="25"/>
          <w:szCs w:val="25"/>
        </w:rPr>
        <w:t>8978-1996</w:t>
      </w:r>
      <w:r>
        <w:rPr>
          <w:rFonts w:ascii="仿宋" w:hAnsi="仿宋" w:eastAsia="仿宋" w:cs="仿宋"/>
          <w:spacing w:val="7"/>
          <w:sz w:val="25"/>
          <w:szCs w:val="25"/>
        </w:rPr>
        <w:t>）一级标准的要求。</w:t>
      </w:r>
    </w:p>
    <w:p w14:paraId="158F4CF0">
      <w:pPr>
        <w:spacing w:before="148" w:line="229" w:lineRule="auto"/>
        <w:ind w:left="541"/>
        <w:rPr>
          <w:rFonts w:ascii="仿宋" w:hAnsi="仿宋" w:eastAsia="仿宋" w:cs="仿宋"/>
          <w:sz w:val="25"/>
          <w:szCs w:val="25"/>
        </w:rPr>
      </w:pPr>
      <w:r>
        <w:rPr>
          <w:rFonts w:ascii="仿宋" w:hAnsi="仿宋" w:eastAsia="仿宋" w:cs="仿宋"/>
          <w:spacing w:val="5"/>
          <w:sz w:val="25"/>
          <w:szCs w:val="25"/>
        </w:rPr>
        <w:t>（</w:t>
      </w:r>
      <w:r>
        <w:rPr>
          <w:rFonts w:ascii="Times New Roman" w:hAnsi="Times New Roman" w:eastAsia="Times New Roman" w:cs="Times New Roman"/>
          <w:spacing w:val="5"/>
          <w:sz w:val="25"/>
          <w:szCs w:val="25"/>
        </w:rPr>
        <w:t>2</w:t>
      </w:r>
      <w:r>
        <w:rPr>
          <w:rFonts w:ascii="仿宋" w:hAnsi="仿宋" w:eastAsia="仿宋" w:cs="仿宋"/>
          <w:spacing w:val="5"/>
          <w:sz w:val="25"/>
          <w:szCs w:val="25"/>
        </w:rPr>
        <w:t>）地下水</w:t>
      </w:r>
    </w:p>
    <w:p w14:paraId="632C29B3">
      <w:pPr>
        <w:spacing w:before="151" w:line="228" w:lineRule="auto"/>
        <w:ind w:left="529"/>
        <w:rPr>
          <w:rFonts w:ascii="仿宋" w:hAnsi="仿宋" w:eastAsia="仿宋" w:cs="仿宋"/>
          <w:sz w:val="25"/>
          <w:szCs w:val="25"/>
        </w:rPr>
      </w:pPr>
      <w:r>
        <w:rPr>
          <w:rFonts w:ascii="仿宋" w:hAnsi="仿宋" w:eastAsia="仿宋" w:cs="仿宋"/>
          <w:spacing w:val="8"/>
          <w:sz w:val="25"/>
          <w:szCs w:val="25"/>
        </w:rPr>
        <w:t>①做好工业场地分区防渗措施。</w:t>
      </w:r>
    </w:p>
    <w:p w14:paraId="34031A5D">
      <w:pPr>
        <w:spacing w:before="150" w:line="340" w:lineRule="auto"/>
        <w:ind w:left="18" w:firstLine="518"/>
        <w:jc w:val="both"/>
        <w:rPr>
          <w:rFonts w:ascii="仿宋" w:hAnsi="仿宋" w:eastAsia="仿宋" w:cs="仿宋"/>
          <w:sz w:val="25"/>
          <w:szCs w:val="25"/>
        </w:rPr>
      </w:pPr>
      <w:r>
        <w:rPr>
          <w:rFonts w:ascii="仿宋" w:hAnsi="仿宋" w:eastAsia="仿宋" w:cs="仿宋"/>
          <w:spacing w:val="4"/>
          <w:sz w:val="25"/>
          <w:szCs w:val="25"/>
        </w:rPr>
        <w:t>应加强工业场地污染源管理，做好分区防渗，避免机修废油、含油废弃物、</w:t>
      </w:r>
      <w:r>
        <w:rPr>
          <w:rFonts w:ascii="仿宋" w:hAnsi="仿宋" w:eastAsia="仿宋" w:cs="仿宋"/>
          <w:spacing w:val="6"/>
          <w:sz w:val="25"/>
          <w:szCs w:val="25"/>
        </w:rPr>
        <w:t xml:space="preserve"> </w:t>
      </w:r>
      <w:r>
        <w:rPr>
          <w:rFonts w:ascii="仿宋" w:hAnsi="仿宋" w:eastAsia="仿宋" w:cs="仿宋"/>
          <w:spacing w:val="-3"/>
          <w:sz w:val="25"/>
          <w:szCs w:val="25"/>
        </w:rPr>
        <w:t>洗车废水、危废暂存场所的污废水等进入地下水系统，严格控制场内污废水“滴、</w:t>
      </w:r>
      <w:r>
        <w:rPr>
          <w:rFonts w:ascii="仿宋" w:hAnsi="仿宋" w:eastAsia="仿宋" w:cs="仿宋"/>
          <w:spacing w:val="15"/>
          <w:sz w:val="25"/>
          <w:szCs w:val="25"/>
        </w:rPr>
        <w:t xml:space="preserve"> </w:t>
      </w:r>
      <w:r>
        <w:rPr>
          <w:rFonts w:ascii="仿宋" w:hAnsi="仿宋" w:eastAsia="仿宋" w:cs="仿宋"/>
          <w:spacing w:val="4"/>
          <w:sz w:val="25"/>
          <w:szCs w:val="25"/>
        </w:rPr>
        <w:t>跑、</w:t>
      </w:r>
      <w:r>
        <w:rPr>
          <w:rFonts w:ascii="仿宋" w:hAnsi="仿宋" w:eastAsia="仿宋" w:cs="仿宋"/>
          <w:spacing w:val="-61"/>
          <w:sz w:val="25"/>
          <w:szCs w:val="25"/>
        </w:rPr>
        <w:t xml:space="preserve"> </w:t>
      </w:r>
      <w:r>
        <w:rPr>
          <w:rFonts w:ascii="仿宋" w:hAnsi="仿宋" w:eastAsia="仿宋" w:cs="仿宋"/>
          <w:spacing w:val="4"/>
          <w:sz w:val="25"/>
          <w:szCs w:val="25"/>
        </w:rPr>
        <w:t>冒、漏</w:t>
      </w:r>
      <w:r>
        <w:rPr>
          <w:rFonts w:ascii="仿宋" w:hAnsi="仿宋" w:eastAsia="仿宋" w:cs="仿宋"/>
          <w:spacing w:val="-88"/>
          <w:sz w:val="25"/>
          <w:szCs w:val="25"/>
        </w:rPr>
        <w:t xml:space="preserve"> </w:t>
      </w:r>
      <w:r>
        <w:rPr>
          <w:rFonts w:ascii="仿宋" w:hAnsi="仿宋" w:eastAsia="仿宋" w:cs="仿宋"/>
          <w:spacing w:val="4"/>
          <w:sz w:val="25"/>
          <w:szCs w:val="25"/>
        </w:rPr>
        <w:t>”的无组织泄漏，对地下水造成污染。</w:t>
      </w:r>
    </w:p>
    <w:p w14:paraId="113BFC3F">
      <w:pPr>
        <w:spacing w:before="1" w:line="228" w:lineRule="auto"/>
        <w:ind w:left="528"/>
        <w:rPr>
          <w:rFonts w:ascii="仿宋" w:hAnsi="仿宋" w:eastAsia="仿宋" w:cs="仿宋"/>
          <w:sz w:val="25"/>
          <w:szCs w:val="25"/>
        </w:rPr>
      </w:pPr>
      <w:r>
        <w:rPr>
          <w:rFonts w:ascii="仿宋" w:hAnsi="仿宋" w:eastAsia="仿宋" w:cs="仿宋"/>
          <w:spacing w:val="9"/>
          <w:sz w:val="25"/>
          <w:szCs w:val="25"/>
        </w:rPr>
        <w:t>②加强对地下水水质监测</w:t>
      </w:r>
    </w:p>
    <w:p w14:paraId="14233481">
      <w:pPr>
        <w:spacing w:line="228" w:lineRule="auto"/>
        <w:rPr>
          <w:rFonts w:ascii="仿宋" w:hAnsi="仿宋" w:eastAsia="仿宋" w:cs="仿宋"/>
          <w:sz w:val="25"/>
          <w:szCs w:val="25"/>
        </w:rPr>
        <w:sectPr>
          <w:footerReference r:id="rId226" w:type="default"/>
          <w:pgSz w:w="11906" w:h="16839"/>
          <w:pgMar w:top="1116" w:right="1392" w:bottom="866" w:left="1587" w:header="683" w:footer="703" w:gutter="0"/>
          <w:cols w:space="720" w:num="1"/>
        </w:sectPr>
      </w:pPr>
    </w:p>
    <w:p w14:paraId="4CE1E45F">
      <w:pPr>
        <w:pStyle w:val="2"/>
        <w:spacing w:line="386" w:lineRule="auto"/>
      </w:pPr>
    </w:p>
    <w:p w14:paraId="57DE9DBE">
      <w:pPr>
        <w:spacing w:before="82" w:line="339" w:lineRule="auto"/>
        <w:ind w:left="42" w:right="129" w:firstLine="494"/>
        <w:rPr>
          <w:rFonts w:ascii="仿宋" w:hAnsi="仿宋" w:eastAsia="仿宋" w:cs="仿宋"/>
          <w:sz w:val="25"/>
          <w:szCs w:val="25"/>
        </w:rPr>
      </w:pPr>
      <w:r>
        <w:rPr>
          <w:rFonts w:ascii="仿宋" w:hAnsi="仿宋" w:eastAsia="仿宋" w:cs="仿宋"/>
          <w:spacing w:val="8"/>
          <w:sz w:val="25"/>
          <w:szCs w:val="25"/>
        </w:rPr>
        <w:t>按地下水导则的要求设置地下水监测点位，定期对</w:t>
      </w:r>
      <w:r>
        <w:rPr>
          <w:rFonts w:ascii="仿宋" w:hAnsi="仿宋" w:eastAsia="仿宋" w:cs="仿宋"/>
          <w:spacing w:val="7"/>
          <w:sz w:val="25"/>
          <w:szCs w:val="25"/>
        </w:rPr>
        <w:t>地下水水质进行监测，</w:t>
      </w:r>
      <w:r>
        <w:rPr>
          <w:rFonts w:ascii="仿宋" w:hAnsi="仿宋" w:eastAsia="仿宋" w:cs="仿宋"/>
          <w:sz w:val="25"/>
          <w:szCs w:val="25"/>
        </w:rPr>
        <w:t xml:space="preserve"> </w:t>
      </w:r>
      <w:r>
        <w:rPr>
          <w:rFonts w:ascii="仿宋" w:hAnsi="仿宋" w:eastAsia="仿宋" w:cs="仿宋"/>
          <w:spacing w:val="6"/>
          <w:sz w:val="25"/>
          <w:szCs w:val="25"/>
        </w:rPr>
        <w:t>以便及时发现问题，采取相应的措施。</w:t>
      </w:r>
    </w:p>
    <w:p w14:paraId="144D2CEB">
      <w:pPr>
        <w:spacing w:line="228" w:lineRule="auto"/>
        <w:ind w:left="528"/>
        <w:rPr>
          <w:rFonts w:ascii="仿宋" w:hAnsi="仿宋" w:eastAsia="仿宋" w:cs="仿宋"/>
          <w:sz w:val="25"/>
          <w:szCs w:val="25"/>
        </w:rPr>
      </w:pPr>
      <w:r>
        <w:rPr>
          <w:rFonts w:ascii="仿宋" w:hAnsi="仿宋" w:eastAsia="仿宋" w:cs="仿宋"/>
          <w:spacing w:val="9"/>
          <w:sz w:val="25"/>
          <w:szCs w:val="25"/>
        </w:rPr>
        <w:t>③做好废石场和弃渣场地下水预防措施</w:t>
      </w:r>
    </w:p>
    <w:p w14:paraId="4F229B01">
      <w:pPr>
        <w:spacing w:before="148" w:line="340" w:lineRule="auto"/>
        <w:ind w:left="15" w:right="69" w:firstLine="524"/>
        <w:rPr>
          <w:rFonts w:ascii="仿宋" w:hAnsi="仿宋" w:eastAsia="仿宋" w:cs="仿宋"/>
          <w:sz w:val="25"/>
          <w:szCs w:val="25"/>
        </w:rPr>
      </w:pPr>
      <w:r>
        <w:rPr>
          <w:rFonts w:ascii="仿宋" w:hAnsi="仿宋" w:eastAsia="仿宋" w:cs="仿宋"/>
          <w:spacing w:val="9"/>
          <w:sz w:val="25"/>
          <w:szCs w:val="25"/>
        </w:rPr>
        <w:t>废石淋溶水也可能对地下水造成污染，建议地下矿山的采矿废石主应尽量</w:t>
      </w:r>
      <w:r>
        <w:rPr>
          <w:rFonts w:ascii="仿宋" w:hAnsi="仿宋" w:eastAsia="仿宋" w:cs="仿宋"/>
          <w:spacing w:val="13"/>
          <w:sz w:val="25"/>
          <w:szCs w:val="25"/>
        </w:rPr>
        <w:t xml:space="preserve"> </w:t>
      </w:r>
      <w:r>
        <w:rPr>
          <w:rFonts w:ascii="仿宋" w:hAnsi="仿宋" w:eastAsia="仿宋" w:cs="仿宋"/>
          <w:spacing w:val="10"/>
          <w:sz w:val="25"/>
          <w:szCs w:val="25"/>
        </w:rPr>
        <w:t>回填采空区废石，减少废石堆场的设置。若需设置</w:t>
      </w:r>
      <w:r>
        <w:rPr>
          <w:rFonts w:ascii="仿宋" w:hAnsi="仿宋" w:eastAsia="仿宋" w:cs="仿宋"/>
          <w:spacing w:val="9"/>
          <w:sz w:val="25"/>
          <w:szCs w:val="25"/>
        </w:rPr>
        <w:t>废石堆场，评价要求项目环</w:t>
      </w:r>
      <w:r>
        <w:rPr>
          <w:rFonts w:ascii="仿宋" w:hAnsi="仿宋" w:eastAsia="仿宋" w:cs="仿宋"/>
          <w:sz w:val="25"/>
          <w:szCs w:val="25"/>
        </w:rPr>
        <w:t xml:space="preserve"> </w:t>
      </w:r>
      <w:r>
        <w:rPr>
          <w:rFonts w:ascii="仿宋" w:hAnsi="仿宋" w:eastAsia="仿宋" w:cs="仿宋"/>
          <w:spacing w:val="10"/>
          <w:sz w:val="25"/>
          <w:szCs w:val="25"/>
        </w:rPr>
        <w:t>评应对废石场选址进行论证，提出建设环保要</w:t>
      </w:r>
      <w:r>
        <w:rPr>
          <w:rFonts w:ascii="仿宋" w:hAnsi="仿宋" w:eastAsia="仿宋" w:cs="仿宋"/>
          <w:spacing w:val="9"/>
          <w:sz w:val="25"/>
          <w:szCs w:val="25"/>
        </w:rPr>
        <w:t>求，尽量减轻废石淋溶水对地下</w:t>
      </w:r>
      <w:r>
        <w:rPr>
          <w:rFonts w:ascii="仿宋" w:hAnsi="仿宋" w:eastAsia="仿宋" w:cs="仿宋"/>
          <w:sz w:val="25"/>
          <w:szCs w:val="25"/>
        </w:rPr>
        <w:t xml:space="preserve"> </w:t>
      </w:r>
      <w:r>
        <w:rPr>
          <w:rFonts w:ascii="仿宋" w:hAnsi="仿宋" w:eastAsia="仿宋" w:cs="仿宋"/>
          <w:spacing w:val="10"/>
          <w:sz w:val="25"/>
          <w:szCs w:val="25"/>
        </w:rPr>
        <w:t>水的污染。废石场建设应按照规范进行选址、</w:t>
      </w:r>
      <w:r>
        <w:rPr>
          <w:rFonts w:ascii="仿宋" w:hAnsi="仿宋" w:eastAsia="仿宋" w:cs="仿宋"/>
          <w:spacing w:val="9"/>
          <w:sz w:val="25"/>
          <w:szCs w:val="25"/>
        </w:rPr>
        <w:t>设计、运行和封场。应根据固体</w:t>
      </w:r>
      <w:r>
        <w:rPr>
          <w:rFonts w:ascii="仿宋" w:hAnsi="仿宋" w:eastAsia="仿宋" w:cs="仿宋"/>
          <w:sz w:val="25"/>
          <w:szCs w:val="25"/>
        </w:rPr>
        <w:t xml:space="preserve"> </w:t>
      </w:r>
      <w:r>
        <w:rPr>
          <w:rFonts w:ascii="仿宋" w:hAnsi="仿宋" w:eastAsia="仿宋" w:cs="仿宋"/>
          <w:spacing w:val="10"/>
          <w:sz w:val="25"/>
          <w:szCs w:val="25"/>
        </w:rPr>
        <w:t>废物的性质、贮存场所的地质、水文地质条件</w:t>
      </w:r>
      <w:r>
        <w:rPr>
          <w:rFonts w:ascii="仿宋" w:hAnsi="仿宋" w:eastAsia="仿宋" w:cs="仿宋"/>
          <w:spacing w:val="9"/>
          <w:sz w:val="25"/>
          <w:szCs w:val="25"/>
        </w:rPr>
        <w:t>，采用水平防渗、垂直防渗、局</w:t>
      </w:r>
      <w:r>
        <w:rPr>
          <w:rFonts w:ascii="仿宋" w:hAnsi="仿宋" w:eastAsia="仿宋" w:cs="仿宋"/>
          <w:sz w:val="25"/>
          <w:szCs w:val="25"/>
        </w:rPr>
        <w:t xml:space="preserve"> </w:t>
      </w:r>
      <w:r>
        <w:rPr>
          <w:rFonts w:ascii="仿宋" w:hAnsi="仿宋" w:eastAsia="仿宋" w:cs="仿宋"/>
          <w:spacing w:val="8"/>
          <w:sz w:val="25"/>
          <w:szCs w:val="25"/>
        </w:rPr>
        <w:t>部防渗、全面防渗、水力截获等技术防止污染地下水。</w:t>
      </w:r>
    </w:p>
    <w:p w14:paraId="58D05AA6">
      <w:pPr>
        <w:spacing w:line="228" w:lineRule="auto"/>
        <w:ind w:left="528"/>
        <w:rPr>
          <w:rFonts w:ascii="仿宋" w:hAnsi="仿宋" w:eastAsia="仿宋" w:cs="仿宋"/>
          <w:sz w:val="25"/>
          <w:szCs w:val="25"/>
        </w:rPr>
      </w:pPr>
      <w:r>
        <w:rPr>
          <w:rFonts w:ascii="仿宋" w:hAnsi="仿宋" w:eastAsia="仿宋" w:cs="仿宋"/>
          <w:spacing w:val="9"/>
          <w:sz w:val="25"/>
          <w:szCs w:val="25"/>
        </w:rPr>
        <w:t>④减缓地下开采对地下水资源的破坏</w:t>
      </w:r>
    </w:p>
    <w:p w14:paraId="594AC392">
      <w:pPr>
        <w:spacing w:before="153" w:line="339" w:lineRule="auto"/>
        <w:ind w:left="22" w:right="71" w:firstLine="517"/>
        <w:rPr>
          <w:rFonts w:ascii="仿宋" w:hAnsi="仿宋" w:eastAsia="仿宋" w:cs="仿宋"/>
          <w:sz w:val="25"/>
          <w:szCs w:val="25"/>
        </w:rPr>
      </w:pPr>
      <w:r>
        <w:rPr>
          <w:rFonts w:ascii="仿宋" w:hAnsi="仿宋" w:eastAsia="仿宋" w:cs="仿宋"/>
          <w:spacing w:val="9"/>
          <w:sz w:val="25"/>
          <w:szCs w:val="25"/>
        </w:rPr>
        <w:t>井工开采不得破坏具有供水意义含水层结构，不得污染地下水水质，禁止</w:t>
      </w:r>
      <w:r>
        <w:rPr>
          <w:rFonts w:ascii="仿宋" w:hAnsi="仿宋" w:eastAsia="仿宋" w:cs="仿宋"/>
          <w:spacing w:val="13"/>
          <w:sz w:val="25"/>
          <w:szCs w:val="25"/>
        </w:rPr>
        <w:t xml:space="preserve"> </w:t>
      </w:r>
      <w:r>
        <w:rPr>
          <w:rFonts w:ascii="仿宋" w:hAnsi="仿宋" w:eastAsia="仿宋" w:cs="仿宋"/>
          <w:spacing w:val="9"/>
          <w:sz w:val="25"/>
          <w:szCs w:val="25"/>
        </w:rPr>
        <w:t>工业场地的渗漏水及地表径流水排入地下开采矿井，保护地下水的供水功能和</w:t>
      </w:r>
      <w:r>
        <w:rPr>
          <w:rFonts w:ascii="仿宋" w:hAnsi="仿宋" w:eastAsia="仿宋" w:cs="仿宋"/>
          <w:spacing w:val="13"/>
          <w:sz w:val="25"/>
          <w:szCs w:val="25"/>
        </w:rPr>
        <w:t xml:space="preserve"> </w:t>
      </w:r>
      <w:r>
        <w:rPr>
          <w:rFonts w:ascii="仿宋" w:hAnsi="仿宋" w:eastAsia="仿宋" w:cs="仿宋"/>
          <w:spacing w:val="3"/>
          <w:sz w:val="25"/>
          <w:szCs w:val="25"/>
        </w:rPr>
        <w:t>生态功能。</w:t>
      </w:r>
    </w:p>
    <w:p w14:paraId="2CAC4020">
      <w:pPr>
        <w:spacing w:before="1" w:line="340" w:lineRule="auto"/>
        <w:ind w:left="16" w:right="69" w:firstLine="523"/>
        <w:jc w:val="both"/>
        <w:rPr>
          <w:rFonts w:ascii="仿宋" w:hAnsi="仿宋" w:eastAsia="仿宋" w:cs="仿宋"/>
          <w:sz w:val="25"/>
          <w:szCs w:val="25"/>
        </w:rPr>
      </w:pPr>
      <w:r>
        <w:rPr>
          <w:rFonts w:ascii="仿宋" w:hAnsi="仿宋" w:eastAsia="仿宋" w:cs="仿宋"/>
          <w:spacing w:val="9"/>
          <w:sz w:val="25"/>
          <w:szCs w:val="25"/>
        </w:rPr>
        <w:t>井工开采，铝土矿、铸型用砂岩等地下矿山在勘查钻探或开采前应加强地</w:t>
      </w:r>
      <w:r>
        <w:rPr>
          <w:rFonts w:ascii="仿宋" w:hAnsi="仿宋" w:eastAsia="仿宋" w:cs="仿宋"/>
          <w:spacing w:val="16"/>
          <w:sz w:val="25"/>
          <w:szCs w:val="25"/>
        </w:rPr>
        <w:t xml:space="preserve"> </w:t>
      </w:r>
      <w:r>
        <w:rPr>
          <w:rFonts w:ascii="仿宋" w:hAnsi="仿宋" w:eastAsia="仿宋" w:cs="仿宋"/>
          <w:spacing w:val="10"/>
          <w:sz w:val="25"/>
          <w:szCs w:val="25"/>
        </w:rPr>
        <w:t>下水的调查，采矿工程避开地下溶洞、暗河发育地</w:t>
      </w:r>
      <w:r>
        <w:rPr>
          <w:rFonts w:ascii="仿宋" w:hAnsi="仿宋" w:eastAsia="仿宋" w:cs="仿宋"/>
          <w:spacing w:val="9"/>
          <w:sz w:val="25"/>
          <w:szCs w:val="25"/>
        </w:rPr>
        <w:t>带。采取灌浆等工程措施，</w:t>
      </w:r>
      <w:r>
        <w:rPr>
          <w:rFonts w:ascii="仿宋" w:hAnsi="仿宋" w:eastAsia="仿宋" w:cs="仿宋"/>
          <w:sz w:val="25"/>
          <w:szCs w:val="25"/>
        </w:rPr>
        <w:t xml:space="preserve"> </w:t>
      </w:r>
      <w:r>
        <w:rPr>
          <w:rFonts w:ascii="仿宋" w:hAnsi="仿宋" w:eastAsia="仿宋" w:cs="仿宋"/>
          <w:spacing w:val="10"/>
          <w:sz w:val="25"/>
          <w:szCs w:val="25"/>
        </w:rPr>
        <w:t>避免或减少采矿活动破坏地下水均衡系统。</w:t>
      </w:r>
      <w:r>
        <w:rPr>
          <w:rFonts w:ascii="仿宋" w:hAnsi="仿宋" w:eastAsia="仿宋" w:cs="仿宋"/>
          <w:spacing w:val="9"/>
          <w:sz w:val="25"/>
          <w:szCs w:val="25"/>
        </w:rPr>
        <w:t>必须在依法批准的开采范围内从事</w:t>
      </w:r>
      <w:r>
        <w:rPr>
          <w:rFonts w:ascii="仿宋" w:hAnsi="仿宋" w:eastAsia="仿宋" w:cs="仿宋"/>
          <w:sz w:val="25"/>
          <w:szCs w:val="25"/>
        </w:rPr>
        <w:t xml:space="preserve"> </w:t>
      </w:r>
      <w:r>
        <w:rPr>
          <w:rFonts w:ascii="仿宋" w:hAnsi="仿宋" w:eastAsia="仿宋" w:cs="仿宋"/>
          <w:spacing w:val="8"/>
          <w:sz w:val="25"/>
          <w:szCs w:val="25"/>
        </w:rPr>
        <w:t>采掘活动，禁止违法越层越界开采。</w:t>
      </w:r>
    </w:p>
    <w:p w14:paraId="73E80460">
      <w:pPr>
        <w:spacing w:before="117" w:line="229" w:lineRule="auto"/>
        <w:ind w:left="8"/>
        <w:outlineLvl w:val="3"/>
        <w:rPr>
          <w:rFonts w:ascii="仿宋" w:hAnsi="仿宋" w:eastAsia="仿宋" w:cs="仿宋"/>
          <w:sz w:val="25"/>
          <w:szCs w:val="25"/>
        </w:rPr>
      </w:pPr>
      <w:r>
        <w:rPr>
          <w:rFonts w:ascii="Times New Roman" w:hAnsi="Times New Roman" w:eastAsia="Times New Roman" w:cs="Times New Roman"/>
          <w:b/>
          <w:bCs/>
          <w:spacing w:val="3"/>
          <w:sz w:val="25"/>
          <w:szCs w:val="25"/>
        </w:rPr>
        <w:t>7.1.2.3</w:t>
      </w:r>
      <w:r>
        <w:rPr>
          <w:rFonts w:ascii="Times New Roman" w:hAnsi="Times New Roman" w:eastAsia="Times New Roman" w:cs="Times New Roman"/>
          <w:b/>
          <w:bCs/>
          <w:spacing w:val="39"/>
          <w:sz w:val="25"/>
          <w:szCs w:val="25"/>
        </w:rPr>
        <w:t xml:space="preserve"> </w:t>
      </w:r>
      <w:r>
        <w:rPr>
          <w:rFonts w:ascii="仿宋" w:hAnsi="仿宋" w:eastAsia="仿宋" w:cs="仿宋"/>
          <w:b/>
          <w:bCs/>
          <w:spacing w:val="3"/>
          <w:sz w:val="25"/>
          <w:szCs w:val="25"/>
        </w:rPr>
        <w:t>噪声污染防治措施</w:t>
      </w:r>
    </w:p>
    <w:p w14:paraId="4C1D190F">
      <w:pPr>
        <w:spacing w:before="269" w:line="340" w:lineRule="auto"/>
        <w:ind w:left="15" w:right="71" w:firstLine="521"/>
        <w:jc w:val="both"/>
        <w:rPr>
          <w:rFonts w:ascii="仿宋" w:hAnsi="仿宋" w:eastAsia="仿宋" w:cs="仿宋"/>
          <w:sz w:val="25"/>
          <w:szCs w:val="25"/>
        </w:rPr>
      </w:pPr>
      <w:r>
        <w:rPr>
          <w:rFonts w:ascii="仿宋" w:hAnsi="仿宋" w:eastAsia="仿宋" w:cs="仿宋"/>
          <w:spacing w:val="8"/>
          <w:sz w:val="25"/>
          <w:szCs w:val="25"/>
        </w:rPr>
        <w:t>矿业活动过程中产生的噪声主要是前期施工机械、运输交通车辆噪声</w:t>
      </w:r>
      <w:r>
        <w:rPr>
          <w:rFonts w:ascii="仿宋" w:hAnsi="仿宋" w:eastAsia="仿宋" w:cs="仿宋"/>
          <w:spacing w:val="7"/>
          <w:sz w:val="25"/>
          <w:szCs w:val="25"/>
        </w:rPr>
        <w:t>，</w:t>
      </w:r>
      <w:r>
        <w:rPr>
          <w:rFonts w:ascii="仿宋" w:hAnsi="仿宋" w:eastAsia="仿宋" w:cs="仿宋"/>
          <w:spacing w:val="-75"/>
          <w:sz w:val="25"/>
          <w:szCs w:val="25"/>
        </w:rPr>
        <w:t xml:space="preserve"> </w:t>
      </w:r>
      <w:r>
        <w:rPr>
          <w:rFonts w:ascii="仿宋" w:hAnsi="仿宋" w:eastAsia="仿宋" w:cs="仿宋"/>
          <w:spacing w:val="7"/>
          <w:sz w:val="25"/>
          <w:szCs w:val="25"/>
        </w:rPr>
        <w:t>以</w:t>
      </w:r>
      <w:r>
        <w:rPr>
          <w:rFonts w:ascii="仿宋" w:hAnsi="仿宋" w:eastAsia="仿宋" w:cs="仿宋"/>
          <w:sz w:val="25"/>
          <w:szCs w:val="25"/>
        </w:rPr>
        <w:t xml:space="preserve"> </w:t>
      </w:r>
      <w:r>
        <w:rPr>
          <w:rFonts w:ascii="仿宋" w:hAnsi="仿宋" w:eastAsia="仿宋" w:cs="仿宋"/>
          <w:spacing w:val="10"/>
          <w:sz w:val="25"/>
          <w:szCs w:val="25"/>
        </w:rPr>
        <w:t>及开采期凿岩机、钻机、空压机、风机、破碎</w:t>
      </w:r>
      <w:r>
        <w:rPr>
          <w:rFonts w:ascii="仿宋" w:hAnsi="仿宋" w:eastAsia="仿宋" w:cs="仿宋"/>
          <w:spacing w:val="9"/>
          <w:sz w:val="25"/>
          <w:szCs w:val="25"/>
        </w:rPr>
        <w:t>机等生产设备运转噪声和瞬时爆</w:t>
      </w:r>
      <w:r>
        <w:rPr>
          <w:rFonts w:ascii="仿宋" w:hAnsi="仿宋" w:eastAsia="仿宋" w:cs="仿宋"/>
          <w:sz w:val="25"/>
          <w:szCs w:val="25"/>
        </w:rPr>
        <w:t xml:space="preserve"> </w:t>
      </w:r>
      <w:r>
        <w:rPr>
          <w:rFonts w:ascii="仿宋" w:hAnsi="仿宋" w:eastAsia="仿宋" w:cs="仿宋"/>
          <w:spacing w:val="8"/>
          <w:sz w:val="25"/>
          <w:szCs w:val="25"/>
        </w:rPr>
        <w:t>破噪声。噪声污染防治主要采取以下对策和措施：</w:t>
      </w:r>
    </w:p>
    <w:p w14:paraId="100D5532">
      <w:pPr>
        <w:spacing w:before="2" w:line="301" w:lineRule="auto"/>
        <w:ind w:left="15" w:right="71" w:firstLine="526"/>
        <w:rPr>
          <w:rFonts w:ascii="仿宋" w:hAnsi="仿宋" w:eastAsia="仿宋" w:cs="仿宋"/>
          <w:sz w:val="25"/>
          <w:szCs w:val="25"/>
        </w:rPr>
      </w:pPr>
      <w:r>
        <w:rPr>
          <w:rFonts w:ascii="宋体" w:hAnsi="宋体" w:eastAsia="宋体" w:cs="宋体"/>
          <w:spacing w:val="5"/>
          <w:sz w:val="25"/>
          <w:szCs w:val="25"/>
        </w:rPr>
        <w:t>（</w:t>
      </w:r>
      <w:r>
        <w:rPr>
          <w:rFonts w:ascii="Times New Roman" w:hAnsi="Times New Roman" w:eastAsia="Times New Roman" w:cs="Times New Roman"/>
          <w:spacing w:val="5"/>
          <w:sz w:val="25"/>
          <w:szCs w:val="25"/>
        </w:rPr>
        <w:t>1</w:t>
      </w:r>
      <w:r>
        <w:rPr>
          <w:rFonts w:ascii="宋体" w:hAnsi="宋体" w:eastAsia="宋体" w:cs="宋体"/>
          <w:spacing w:val="5"/>
          <w:sz w:val="25"/>
          <w:szCs w:val="25"/>
        </w:rPr>
        <w:t>）</w:t>
      </w:r>
      <w:r>
        <w:rPr>
          <w:rFonts w:ascii="仿宋" w:hAnsi="仿宋" w:eastAsia="仿宋" w:cs="仿宋"/>
          <w:spacing w:val="5"/>
          <w:sz w:val="25"/>
          <w:szCs w:val="25"/>
        </w:rPr>
        <w:t>尽量选用先进的模块化、轻型化、集成化钻探设备，在强噪声源设备</w:t>
      </w:r>
      <w:r>
        <w:rPr>
          <w:rFonts w:ascii="仿宋" w:hAnsi="仿宋" w:eastAsia="仿宋" w:cs="仿宋"/>
          <w:spacing w:val="10"/>
          <w:sz w:val="25"/>
          <w:szCs w:val="25"/>
        </w:rPr>
        <w:t xml:space="preserve"> </w:t>
      </w:r>
      <w:r>
        <w:rPr>
          <w:rFonts w:ascii="仿宋" w:hAnsi="仿宋" w:eastAsia="仿宋" w:cs="仿宋"/>
          <w:spacing w:val="8"/>
          <w:sz w:val="25"/>
          <w:szCs w:val="25"/>
        </w:rPr>
        <w:t>上加装降噪、减震设施，</w:t>
      </w:r>
      <w:r>
        <w:rPr>
          <w:rFonts w:ascii="仿宋" w:hAnsi="仿宋" w:eastAsia="仿宋" w:cs="仿宋"/>
          <w:spacing w:val="-71"/>
          <w:sz w:val="25"/>
          <w:szCs w:val="25"/>
        </w:rPr>
        <w:t xml:space="preserve"> </w:t>
      </w:r>
      <w:r>
        <w:rPr>
          <w:rFonts w:ascii="仿宋" w:hAnsi="仿宋" w:eastAsia="仿宋" w:cs="仿宋"/>
          <w:spacing w:val="8"/>
          <w:sz w:val="25"/>
          <w:szCs w:val="25"/>
        </w:rPr>
        <w:t>以减少噪声源强度；选用低噪声施工设备和采矿生产</w:t>
      </w:r>
      <w:r>
        <w:rPr>
          <w:rFonts w:ascii="仿宋" w:hAnsi="仿宋" w:eastAsia="仿宋" w:cs="仿宋"/>
          <w:sz w:val="25"/>
          <w:szCs w:val="25"/>
        </w:rPr>
        <w:t xml:space="preserve"> </w:t>
      </w:r>
      <w:r>
        <w:rPr>
          <w:rFonts w:ascii="仿宋" w:hAnsi="仿宋" w:eastAsia="仿宋" w:cs="仿宋"/>
          <w:spacing w:val="9"/>
          <w:sz w:val="25"/>
          <w:szCs w:val="25"/>
        </w:rPr>
        <w:t>设备；加强设备的保养维护，确保正常运转，噪声保持最低声级水平。</w:t>
      </w:r>
    </w:p>
    <w:p w14:paraId="15785DFD">
      <w:pPr>
        <w:spacing w:before="158" w:line="312" w:lineRule="auto"/>
        <w:ind w:left="16" w:firstLine="525"/>
        <w:rPr>
          <w:rFonts w:ascii="仿宋" w:hAnsi="仿宋" w:eastAsia="仿宋" w:cs="仿宋"/>
          <w:sz w:val="25"/>
          <w:szCs w:val="25"/>
        </w:rPr>
      </w:pPr>
      <w:r>
        <w:rPr>
          <w:rFonts w:ascii="宋体" w:hAnsi="宋体" w:eastAsia="宋体" w:cs="宋体"/>
          <w:spacing w:val="5"/>
          <w:sz w:val="25"/>
          <w:szCs w:val="25"/>
        </w:rPr>
        <w:t>（</w:t>
      </w:r>
      <w:r>
        <w:rPr>
          <w:rFonts w:ascii="Times New Roman" w:hAnsi="Times New Roman" w:eastAsia="Times New Roman" w:cs="Times New Roman"/>
          <w:spacing w:val="5"/>
          <w:sz w:val="25"/>
          <w:szCs w:val="25"/>
        </w:rPr>
        <w:t>2</w:t>
      </w:r>
      <w:r>
        <w:rPr>
          <w:rFonts w:ascii="宋体" w:hAnsi="宋体" w:eastAsia="宋体" w:cs="宋体"/>
          <w:spacing w:val="5"/>
          <w:sz w:val="25"/>
          <w:szCs w:val="25"/>
        </w:rPr>
        <w:t>）</w:t>
      </w:r>
      <w:r>
        <w:rPr>
          <w:rFonts w:ascii="仿宋" w:hAnsi="仿宋" w:eastAsia="仿宋" w:cs="仿宋"/>
          <w:spacing w:val="5"/>
          <w:sz w:val="25"/>
          <w:szCs w:val="25"/>
        </w:rPr>
        <w:t>选择远离声环境敏感点的位置开展勘查作业，在无法避让时采取必要</w:t>
      </w:r>
      <w:r>
        <w:rPr>
          <w:rFonts w:ascii="仿宋" w:hAnsi="仿宋" w:eastAsia="仿宋" w:cs="仿宋"/>
          <w:spacing w:val="10"/>
          <w:sz w:val="25"/>
          <w:szCs w:val="25"/>
        </w:rPr>
        <w:t xml:space="preserve"> 的噪声防护措施；开采过程中合理布置施工</w:t>
      </w:r>
      <w:r>
        <w:rPr>
          <w:rFonts w:ascii="仿宋" w:hAnsi="仿宋" w:eastAsia="仿宋" w:cs="仿宋"/>
          <w:spacing w:val="9"/>
          <w:sz w:val="25"/>
          <w:szCs w:val="25"/>
        </w:rPr>
        <w:t>和生产设备，高噪声设备要求远离</w:t>
      </w:r>
      <w:r>
        <w:rPr>
          <w:rFonts w:ascii="仿宋" w:hAnsi="仿宋" w:eastAsia="仿宋" w:cs="仿宋"/>
          <w:sz w:val="25"/>
          <w:szCs w:val="25"/>
        </w:rPr>
        <w:t xml:space="preserve"> </w:t>
      </w:r>
      <w:r>
        <w:rPr>
          <w:rFonts w:ascii="仿宋" w:hAnsi="仿宋" w:eastAsia="仿宋" w:cs="仿宋"/>
          <w:spacing w:val="4"/>
          <w:sz w:val="25"/>
          <w:szCs w:val="25"/>
        </w:rPr>
        <w:t>居民等敏感目标；合理安排作业时间，提高工人操作技术水平和噪声防护常识，</w:t>
      </w:r>
      <w:r>
        <w:rPr>
          <w:rFonts w:ascii="仿宋" w:hAnsi="仿宋" w:eastAsia="仿宋" w:cs="仿宋"/>
          <w:spacing w:val="7"/>
          <w:sz w:val="25"/>
          <w:szCs w:val="25"/>
        </w:rPr>
        <w:t xml:space="preserve"> </w:t>
      </w:r>
      <w:r>
        <w:rPr>
          <w:rFonts w:ascii="仿宋" w:hAnsi="仿宋" w:eastAsia="仿宋" w:cs="仿宋"/>
          <w:spacing w:val="6"/>
          <w:sz w:val="25"/>
          <w:szCs w:val="25"/>
        </w:rPr>
        <w:t>做到文明施工。</w:t>
      </w:r>
    </w:p>
    <w:p w14:paraId="0C90D7A7">
      <w:pPr>
        <w:spacing w:before="148" w:line="227" w:lineRule="auto"/>
        <w:ind w:left="541"/>
        <w:rPr>
          <w:rFonts w:ascii="仿宋" w:hAnsi="仿宋" w:eastAsia="仿宋" w:cs="仿宋"/>
          <w:sz w:val="25"/>
          <w:szCs w:val="25"/>
        </w:rPr>
      </w:pPr>
      <w:r>
        <w:rPr>
          <w:rFonts w:ascii="宋体" w:hAnsi="宋体" w:eastAsia="宋体" w:cs="宋体"/>
          <w:spacing w:val="5"/>
          <w:sz w:val="25"/>
          <w:szCs w:val="25"/>
        </w:rPr>
        <w:t>（</w:t>
      </w:r>
      <w:r>
        <w:rPr>
          <w:rFonts w:ascii="Times New Roman" w:hAnsi="Times New Roman" w:eastAsia="Times New Roman" w:cs="Times New Roman"/>
          <w:spacing w:val="5"/>
          <w:sz w:val="25"/>
          <w:szCs w:val="25"/>
        </w:rPr>
        <w:t>3</w:t>
      </w:r>
      <w:r>
        <w:rPr>
          <w:rFonts w:ascii="宋体" w:hAnsi="宋体" w:eastAsia="宋体" w:cs="宋体"/>
          <w:spacing w:val="5"/>
          <w:sz w:val="25"/>
          <w:szCs w:val="25"/>
        </w:rPr>
        <w:t>）</w:t>
      </w:r>
      <w:r>
        <w:rPr>
          <w:rFonts w:ascii="仿宋" w:hAnsi="仿宋" w:eastAsia="仿宋" w:cs="仿宋"/>
          <w:spacing w:val="5"/>
          <w:sz w:val="25"/>
          <w:szCs w:val="25"/>
        </w:rPr>
        <w:t>矿山勘查过程中采取湿法作业，尽量避免干钻；矿山开采时选用地震</w:t>
      </w:r>
    </w:p>
    <w:p w14:paraId="74C7FCD2">
      <w:pPr>
        <w:spacing w:line="227" w:lineRule="auto"/>
        <w:rPr>
          <w:rFonts w:ascii="仿宋" w:hAnsi="仿宋" w:eastAsia="仿宋" w:cs="仿宋"/>
          <w:sz w:val="25"/>
          <w:szCs w:val="25"/>
        </w:rPr>
        <w:sectPr>
          <w:headerReference r:id="rId227" w:type="default"/>
          <w:footerReference r:id="rId228" w:type="default"/>
          <w:pgSz w:w="11906" w:h="16839"/>
          <w:pgMar w:top="1116" w:right="1404" w:bottom="866" w:left="1587" w:header="683" w:footer="703" w:gutter="0"/>
          <w:cols w:space="720" w:num="1"/>
        </w:sectPr>
      </w:pPr>
    </w:p>
    <w:p w14:paraId="7E4DB711">
      <w:pPr>
        <w:pStyle w:val="2"/>
        <w:spacing w:line="386" w:lineRule="auto"/>
      </w:pPr>
    </w:p>
    <w:p w14:paraId="324E43CA">
      <w:pPr>
        <w:spacing w:before="82" w:line="339" w:lineRule="auto"/>
        <w:ind w:left="16" w:right="71" w:firstLine="4"/>
        <w:rPr>
          <w:rFonts w:ascii="仿宋" w:hAnsi="仿宋" w:eastAsia="仿宋" w:cs="仿宋"/>
          <w:sz w:val="25"/>
          <w:szCs w:val="25"/>
        </w:rPr>
      </w:pPr>
      <w:r>
        <w:rPr>
          <w:rFonts w:ascii="仿宋" w:hAnsi="仿宋" w:eastAsia="仿宋" w:cs="仿宋"/>
          <w:spacing w:val="9"/>
          <w:sz w:val="25"/>
          <w:szCs w:val="25"/>
        </w:rPr>
        <w:t>效应和空气冲击波效应低的先进爆破方式，合理安排爆破时间，避开矿区周边</w:t>
      </w:r>
      <w:r>
        <w:rPr>
          <w:rFonts w:ascii="仿宋" w:hAnsi="仿宋" w:eastAsia="仿宋" w:cs="仿宋"/>
          <w:spacing w:val="15"/>
          <w:sz w:val="25"/>
          <w:szCs w:val="25"/>
        </w:rPr>
        <w:t xml:space="preserve"> </w:t>
      </w:r>
      <w:r>
        <w:rPr>
          <w:rFonts w:ascii="仿宋" w:hAnsi="仿宋" w:eastAsia="仿宋" w:cs="仿宋"/>
          <w:spacing w:val="8"/>
          <w:sz w:val="25"/>
          <w:szCs w:val="25"/>
        </w:rPr>
        <w:t>居民休息时间，加强宣传解释工作。</w:t>
      </w:r>
    </w:p>
    <w:p w14:paraId="5017AD83">
      <w:pPr>
        <w:spacing w:line="283" w:lineRule="auto"/>
        <w:ind w:left="17" w:right="71" w:firstLine="524"/>
        <w:rPr>
          <w:rFonts w:ascii="仿宋" w:hAnsi="仿宋" w:eastAsia="仿宋" w:cs="仿宋"/>
          <w:sz w:val="25"/>
          <w:szCs w:val="25"/>
        </w:rPr>
      </w:pPr>
      <w:r>
        <w:rPr>
          <w:rFonts w:ascii="宋体" w:hAnsi="宋体" w:eastAsia="宋体" w:cs="宋体"/>
          <w:spacing w:val="5"/>
          <w:sz w:val="25"/>
          <w:szCs w:val="25"/>
        </w:rPr>
        <w:t>（</w:t>
      </w:r>
      <w:r>
        <w:rPr>
          <w:rFonts w:ascii="Times New Roman" w:hAnsi="Times New Roman" w:eastAsia="Times New Roman" w:cs="Times New Roman"/>
          <w:spacing w:val="5"/>
          <w:sz w:val="25"/>
          <w:szCs w:val="25"/>
        </w:rPr>
        <w:t>4</w:t>
      </w:r>
      <w:r>
        <w:rPr>
          <w:rFonts w:ascii="宋体" w:hAnsi="宋体" w:eastAsia="宋体" w:cs="宋体"/>
          <w:spacing w:val="5"/>
          <w:sz w:val="25"/>
          <w:szCs w:val="25"/>
        </w:rPr>
        <w:t>）</w:t>
      </w:r>
      <w:r>
        <w:rPr>
          <w:rFonts w:ascii="仿宋" w:hAnsi="仿宋" w:eastAsia="仿宋" w:cs="仿宋"/>
          <w:spacing w:val="5"/>
          <w:sz w:val="25"/>
          <w:szCs w:val="25"/>
        </w:rPr>
        <w:t>矿石破碎筛分应采取基础减震、密闭处理隔声措施。高噪声设备应安</w:t>
      </w:r>
      <w:r>
        <w:rPr>
          <w:rFonts w:ascii="仿宋" w:hAnsi="仿宋" w:eastAsia="仿宋" w:cs="仿宋"/>
          <w:spacing w:val="10"/>
          <w:sz w:val="25"/>
          <w:szCs w:val="25"/>
        </w:rPr>
        <w:t xml:space="preserve"> </w:t>
      </w:r>
      <w:r>
        <w:rPr>
          <w:rFonts w:ascii="仿宋" w:hAnsi="仿宋" w:eastAsia="仿宋" w:cs="仿宋"/>
          <w:spacing w:val="8"/>
          <w:sz w:val="25"/>
          <w:szCs w:val="25"/>
        </w:rPr>
        <w:t>放在满足隔声要求的专用设备房内。</w:t>
      </w:r>
    </w:p>
    <w:p w14:paraId="3863EF9C">
      <w:pPr>
        <w:spacing w:before="155" w:line="283" w:lineRule="auto"/>
        <w:ind w:left="21" w:right="71" w:firstLine="520"/>
        <w:rPr>
          <w:rFonts w:ascii="仿宋" w:hAnsi="仿宋" w:eastAsia="仿宋" w:cs="仿宋"/>
          <w:sz w:val="25"/>
          <w:szCs w:val="25"/>
        </w:rPr>
      </w:pPr>
      <w:r>
        <w:rPr>
          <w:rFonts w:ascii="宋体" w:hAnsi="宋体" w:eastAsia="宋体" w:cs="宋体"/>
          <w:spacing w:val="5"/>
          <w:sz w:val="25"/>
          <w:szCs w:val="25"/>
        </w:rPr>
        <w:t>（</w:t>
      </w:r>
      <w:r>
        <w:rPr>
          <w:rFonts w:ascii="Times New Roman" w:hAnsi="Times New Roman" w:eastAsia="Times New Roman" w:cs="Times New Roman"/>
          <w:spacing w:val="5"/>
          <w:sz w:val="25"/>
          <w:szCs w:val="25"/>
        </w:rPr>
        <w:t>5</w:t>
      </w:r>
      <w:r>
        <w:rPr>
          <w:rFonts w:ascii="宋体" w:hAnsi="宋体" w:eastAsia="宋体" w:cs="宋体"/>
          <w:spacing w:val="5"/>
          <w:sz w:val="25"/>
          <w:szCs w:val="25"/>
        </w:rPr>
        <w:t>）</w:t>
      </w:r>
      <w:r>
        <w:rPr>
          <w:rFonts w:ascii="仿宋" w:hAnsi="仿宋" w:eastAsia="仿宋" w:cs="仿宋"/>
          <w:spacing w:val="5"/>
          <w:sz w:val="25"/>
          <w:szCs w:val="25"/>
        </w:rPr>
        <w:t>加强矿区绿化建设，运输车辆选择合适作业时间和运输路线，经过敏</w:t>
      </w:r>
      <w:r>
        <w:rPr>
          <w:rFonts w:ascii="仿宋" w:hAnsi="仿宋" w:eastAsia="仿宋" w:cs="仿宋"/>
          <w:spacing w:val="10"/>
          <w:sz w:val="25"/>
          <w:szCs w:val="25"/>
        </w:rPr>
        <w:t xml:space="preserve"> </w:t>
      </w:r>
      <w:r>
        <w:rPr>
          <w:rFonts w:ascii="仿宋" w:hAnsi="仿宋" w:eastAsia="仿宋" w:cs="仿宋"/>
          <w:spacing w:val="7"/>
          <w:sz w:val="25"/>
          <w:szCs w:val="25"/>
        </w:rPr>
        <w:t>感点时应提前减速、限速、禁鸣。</w:t>
      </w:r>
    </w:p>
    <w:p w14:paraId="4F402FC1">
      <w:pPr>
        <w:spacing w:before="271" w:line="229" w:lineRule="auto"/>
        <w:ind w:left="8"/>
        <w:outlineLvl w:val="3"/>
        <w:rPr>
          <w:rFonts w:ascii="仿宋" w:hAnsi="仿宋" w:eastAsia="仿宋" w:cs="仿宋"/>
          <w:sz w:val="25"/>
          <w:szCs w:val="25"/>
        </w:rPr>
      </w:pPr>
      <w:r>
        <w:rPr>
          <w:rFonts w:ascii="Times New Roman" w:hAnsi="Times New Roman" w:eastAsia="Times New Roman" w:cs="Times New Roman"/>
          <w:b/>
          <w:bCs/>
          <w:spacing w:val="4"/>
          <w:sz w:val="25"/>
          <w:szCs w:val="25"/>
        </w:rPr>
        <w:t>7.1.2.4</w:t>
      </w:r>
      <w:r>
        <w:rPr>
          <w:rFonts w:ascii="Times New Roman" w:hAnsi="Times New Roman" w:eastAsia="Times New Roman" w:cs="Times New Roman"/>
          <w:b/>
          <w:bCs/>
          <w:spacing w:val="25"/>
          <w:sz w:val="25"/>
          <w:szCs w:val="25"/>
        </w:rPr>
        <w:t xml:space="preserve"> </w:t>
      </w:r>
      <w:r>
        <w:rPr>
          <w:rFonts w:ascii="仿宋" w:hAnsi="仿宋" w:eastAsia="仿宋" w:cs="仿宋"/>
          <w:b/>
          <w:bCs/>
          <w:spacing w:val="4"/>
          <w:sz w:val="25"/>
          <w:szCs w:val="25"/>
        </w:rPr>
        <w:t>土壤污染防治措施</w:t>
      </w:r>
    </w:p>
    <w:p w14:paraId="03ACCE89">
      <w:pPr>
        <w:spacing w:before="272" w:line="339" w:lineRule="auto"/>
        <w:ind w:left="18" w:firstLine="518"/>
        <w:jc w:val="both"/>
        <w:rPr>
          <w:rFonts w:ascii="仿宋" w:hAnsi="仿宋" w:eastAsia="仿宋" w:cs="仿宋"/>
          <w:sz w:val="25"/>
          <w:szCs w:val="25"/>
        </w:rPr>
      </w:pPr>
      <w:r>
        <w:rPr>
          <w:rFonts w:ascii="仿宋" w:hAnsi="仿宋" w:eastAsia="仿宋" w:cs="仿宋"/>
          <w:spacing w:val="9"/>
          <w:sz w:val="25"/>
          <w:szCs w:val="25"/>
        </w:rPr>
        <w:t>开采过程中应重视水土保持，特别对于涉及强度和极强度水力侵蚀区域矿</w:t>
      </w:r>
      <w:r>
        <w:rPr>
          <w:rFonts w:ascii="仿宋" w:hAnsi="仿宋" w:eastAsia="仿宋" w:cs="仿宋"/>
          <w:spacing w:val="16"/>
          <w:sz w:val="25"/>
          <w:szCs w:val="25"/>
        </w:rPr>
        <w:t xml:space="preserve"> </w:t>
      </w:r>
      <w:r>
        <w:rPr>
          <w:rFonts w:ascii="仿宋" w:hAnsi="仿宋" w:eastAsia="仿宋" w:cs="仿宋"/>
          <w:spacing w:val="4"/>
          <w:sz w:val="25"/>
          <w:szCs w:val="25"/>
        </w:rPr>
        <w:t>区尤其应重视保护地表植被，注重水土保持；同时矿山剥离表土必须单独堆存，</w:t>
      </w:r>
      <w:r>
        <w:rPr>
          <w:rFonts w:ascii="仿宋" w:hAnsi="仿宋" w:eastAsia="仿宋" w:cs="仿宋"/>
          <w:spacing w:val="5"/>
          <w:sz w:val="25"/>
          <w:szCs w:val="25"/>
        </w:rPr>
        <w:t xml:space="preserve"> </w:t>
      </w:r>
      <w:r>
        <w:rPr>
          <w:rFonts w:ascii="仿宋" w:hAnsi="仿宋" w:eastAsia="仿宋" w:cs="仿宋"/>
          <w:spacing w:val="8"/>
          <w:sz w:val="25"/>
          <w:szCs w:val="25"/>
        </w:rPr>
        <w:t>并采取必要水土保持措施，</w:t>
      </w:r>
      <w:r>
        <w:rPr>
          <w:rFonts w:ascii="仿宋" w:hAnsi="仿宋" w:eastAsia="仿宋" w:cs="仿宋"/>
          <w:spacing w:val="-72"/>
          <w:sz w:val="25"/>
          <w:szCs w:val="25"/>
        </w:rPr>
        <w:t xml:space="preserve"> </w:t>
      </w:r>
      <w:r>
        <w:rPr>
          <w:rFonts w:ascii="仿宋" w:hAnsi="仿宋" w:eastAsia="仿宋" w:cs="仿宋"/>
          <w:spacing w:val="8"/>
          <w:sz w:val="25"/>
          <w:szCs w:val="25"/>
        </w:rPr>
        <w:t>以便用于后期土地复垦。矿产品及废石堆存也</w:t>
      </w:r>
      <w:r>
        <w:rPr>
          <w:rFonts w:ascii="仿宋" w:hAnsi="仿宋" w:eastAsia="仿宋" w:cs="仿宋"/>
          <w:spacing w:val="7"/>
          <w:sz w:val="25"/>
          <w:szCs w:val="25"/>
        </w:rPr>
        <w:t>可能</w:t>
      </w:r>
      <w:r>
        <w:rPr>
          <w:rFonts w:ascii="仿宋" w:hAnsi="仿宋" w:eastAsia="仿宋" w:cs="仿宋"/>
          <w:sz w:val="25"/>
          <w:szCs w:val="25"/>
        </w:rPr>
        <w:t xml:space="preserve"> </w:t>
      </w:r>
      <w:r>
        <w:rPr>
          <w:rFonts w:ascii="仿宋" w:hAnsi="仿宋" w:eastAsia="仿宋" w:cs="仿宋"/>
          <w:spacing w:val="7"/>
          <w:sz w:val="25"/>
          <w:szCs w:val="25"/>
        </w:rPr>
        <w:t>对土壤和地下水产生污染，</w:t>
      </w:r>
      <w:r>
        <w:rPr>
          <w:rFonts w:ascii="仿宋" w:hAnsi="仿宋" w:eastAsia="仿宋" w:cs="仿宋"/>
          <w:spacing w:val="-72"/>
          <w:sz w:val="25"/>
          <w:szCs w:val="25"/>
        </w:rPr>
        <w:t xml:space="preserve"> </w:t>
      </w:r>
      <w:r>
        <w:rPr>
          <w:rFonts w:ascii="仿宋" w:hAnsi="仿宋" w:eastAsia="仿宋" w:cs="仿宋"/>
          <w:spacing w:val="7"/>
          <w:sz w:val="25"/>
          <w:szCs w:val="25"/>
        </w:rPr>
        <w:t>因此必须做好废石堆场选址等工作。</w:t>
      </w:r>
    </w:p>
    <w:p w14:paraId="407403CE">
      <w:pPr>
        <w:spacing w:before="121" w:line="229" w:lineRule="auto"/>
        <w:ind w:left="8"/>
        <w:outlineLvl w:val="3"/>
        <w:rPr>
          <w:rFonts w:ascii="仿宋" w:hAnsi="仿宋" w:eastAsia="仿宋" w:cs="仿宋"/>
          <w:sz w:val="25"/>
          <w:szCs w:val="25"/>
        </w:rPr>
      </w:pPr>
      <w:r>
        <w:rPr>
          <w:rFonts w:ascii="Times New Roman" w:hAnsi="Times New Roman" w:eastAsia="Times New Roman" w:cs="Times New Roman"/>
          <w:b/>
          <w:bCs/>
          <w:spacing w:val="4"/>
          <w:sz w:val="25"/>
          <w:szCs w:val="25"/>
        </w:rPr>
        <w:t>7.1.2.5</w:t>
      </w:r>
      <w:r>
        <w:rPr>
          <w:rFonts w:ascii="Times New Roman" w:hAnsi="Times New Roman" w:eastAsia="Times New Roman" w:cs="Times New Roman"/>
          <w:b/>
          <w:bCs/>
          <w:spacing w:val="29"/>
          <w:sz w:val="25"/>
          <w:szCs w:val="25"/>
        </w:rPr>
        <w:t xml:space="preserve"> </w:t>
      </w:r>
      <w:r>
        <w:rPr>
          <w:rFonts w:ascii="仿宋" w:hAnsi="仿宋" w:eastAsia="仿宋" w:cs="仿宋"/>
          <w:b/>
          <w:bCs/>
          <w:spacing w:val="4"/>
          <w:sz w:val="25"/>
          <w:szCs w:val="25"/>
        </w:rPr>
        <w:t>地下水污染防治措施</w:t>
      </w:r>
    </w:p>
    <w:p w14:paraId="76B77814">
      <w:pPr>
        <w:spacing w:before="272" w:line="302" w:lineRule="auto"/>
        <w:ind w:left="15" w:right="71" w:firstLine="484"/>
        <w:rPr>
          <w:rFonts w:ascii="仿宋" w:hAnsi="仿宋" w:eastAsia="仿宋" w:cs="仿宋"/>
          <w:sz w:val="25"/>
          <w:szCs w:val="25"/>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w:t>
      </w:r>
      <w:r>
        <w:rPr>
          <w:rFonts w:ascii="仿宋" w:hAnsi="仿宋" w:eastAsia="仿宋" w:cs="仿宋"/>
          <w:spacing w:val="7"/>
          <w:sz w:val="25"/>
          <w:szCs w:val="25"/>
        </w:rPr>
        <w:t>矿山勘查钻探前应加强地下水文的调查，钻探点应避开地下溶洞、暗</w:t>
      </w:r>
      <w:r>
        <w:rPr>
          <w:rFonts w:ascii="仿宋" w:hAnsi="仿宋" w:eastAsia="仿宋" w:cs="仿宋"/>
          <w:spacing w:val="10"/>
          <w:sz w:val="25"/>
          <w:szCs w:val="25"/>
        </w:rPr>
        <w:t xml:space="preserve"> 河发育地带，不得破坏具有供水意义含水层结</w:t>
      </w:r>
      <w:r>
        <w:rPr>
          <w:rFonts w:ascii="仿宋" w:hAnsi="仿宋" w:eastAsia="仿宋" w:cs="仿宋"/>
          <w:spacing w:val="9"/>
          <w:sz w:val="25"/>
          <w:szCs w:val="25"/>
        </w:rPr>
        <w:t>构、污染地下水水质，保护地下</w:t>
      </w:r>
      <w:r>
        <w:rPr>
          <w:rFonts w:ascii="仿宋" w:hAnsi="仿宋" w:eastAsia="仿宋" w:cs="仿宋"/>
          <w:sz w:val="25"/>
          <w:szCs w:val="25"/>
        </w:rPr>
        <w:t xml:space="preserve"> </w:t>
      </w:r>
      <w:r>
        <w:rPr>
          <w:rFonts w:ascii="仿宋" w:hAnsi="仿宋" w:eastAsia="仿宋" w:cs="仿宋"/>
          <w:spacing w:val="7"/>
          <w:sz w:val="25"/>
          <w:szCs w:val="25"/>
        </w:rPr>
        <w:t>水的供水功能和生态功能。</w:t>
      </w:r>
    </w:p>
    <w:p w14:paraId="0EF6960B">
      <w:pPr>
        <w:spacing w:before="151" w:line="284" w:lineRule="auto"/>
        <w:ind w:left="26" w:right="69" w:firstLine="515"/>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2</w:t>
      </w:r>
      <w:r>
        <w:rPr>
          <w:rFonts w:ascii="仿宋" w:hAnsi="仿宋" w:eastAsia="仿宋" w:cs="仿宋"/>
          <w:spacing w:val="7"/>
          <w:sz w:val="25"/>
          <w:szCs w:val="25"/>
        </w:rPr>
        <w:t>）加强对工业场地</w:t>
      </w:r>
      <w:r>
        <w:rPr>
          <w:rFonts w:ascii="Times New Roman" w:hAnsi="Times New Roman" w:eastAsia="Times New Roman" w:cs="Times New Roman"/>
          <w:spacing w:val="7"/>
          <w:sz w:val="25"/>
          <w:szCs w:val="25"/>
        </w:rPr>
        <w:t>"</w:t>
      </w:r>
      <w:r>
        <w:rPr>
          <w:rFonts w:ascii="仿宋" w:hAnsi="仿宋" w:eastAsia="仿宋" w:cs="仿宋"/>
          <w:spacing w:val="7"/>
          <w:sz w:val="25"/>
          <w:szCs w:val="25"/>
        </w:rPr>
        <w:t>三废</w:t>
      </w:r>
      <w:r>
        <w:rPr>
          <w:rFonts w:ascii="Times New Roman" w:hAnsi="Times New Roman" w:eastAsia="Times New Roman" w:cs="Times New Roman"/>
          <w:spacing w:val="7"/>
          <w:sz w:val="25"/>
          <w:szCs w:val="25"/>
        </w:rPr>
        <w:t>"</w:t>
      </w:r>
      <w:r>
        <w:rPr>
          <w:rFonts w:ascii="仿宋" w:hAnsi="仿宋" w:eastAsia="仿宋" w:cs="仿宋"/>
          <w:spacing w:val="7"/>
          <w:sz w:val="25"/>
          <w:szCs w:val="25"/>
        </w:rPr>
        <w:t>管理，尤其</w:t>
      </w:r>
      <w:r>
        <w:rPr>
          <w:rFonts w:ascii="仿宋" w:hAnsi="仿宋" w:eastAsia="仿宋" w:cs="仿宋"/>
          <w:spacing w:val="6"/>
          <w:sz w:val="25"/>
          <w:szCs w:val="25"/>
        </w:rPr>
        <w:t>是对矿井水处理站、生活污水处理</w:t>
      </w:r>
      <w:r>
        <w:rPr>
          <w:rFonts w:ascii="仿宋" w:hAnsi="仿宋" w:eastAsia="仿宋" w:cs="仿宋"/>
          <w:sz w:val="25"/>
          <w:szCs w:val="25"/>
        </w:rPr>
        <w:t xml:space="preserve"> </w:t>
      </w:r>
      <w:r>
        <w:rPr>
          <w:rFonts w:ascii="仿宋" w:hAnsi="仿宋" w:eastAsia="仿宋" w:cs="仿宋"/>
          <w:spacing w:val="8"/>
          <w:sz w:val="25"/>
          <w:szCs w:val="25"/>
        </w:rPr>
        <w:t>系统的运行管理，确保污染物实现达标排放。</w:t>
      </w:r>
    </w:p>
    <w:p w14:paraId="1BE165EE">
      <w:pPr>
        <w:spacing w:before="151" w:line="312" w:lineRule="auto"/>
        <w:ind w:left="19" w:right="71" w:firstLine="522"/>
        <w:rPr>
          <w:rFonts w:ascii="仿宋" w:hAnsi="仿宋" w:eastAsia="仿宋" w:cs="仿宋"/>
          <w:sz w:val="25"/>
          <w:szCs w:val="25"/>
        </w:rPr>
      </w:pPr>
      <w:r>
        <w:rPr>
          <w:rFonts w:ascii="仿宋" w:hAnsi="仿宋" w:eastAsia="仿宋" w:cs="仿宋"/>
          <w:spacing w:val="5"/>
          <w:sz w:val="25"/>
          <w:szCs w:val="25"/>
        </w:rPr>
        <w:t>（</w:t>
      </w:r>
      <w:r>
        <w:rPr>
          <w:rFonts w:ascii="Times New Roman" w:hAnsi="Times New Roman" w:eastAsia="Times New Roman" w:cs="Times New Roman"/>
          <w:spacing w:val="5"/>
          <w:sz w:val="25"/>
          <w:szCs w:val="25"/>
        </w:rPr>
        <w:t>3</w:t>
      </w:r>
      <w:r>
        <w:rPr>
          <w:rFonts w:ascii="仿宋" w:hAnsi="仿宋" w:eastAsia="仿宋" w:cs="仿宋"/>
          <w:spacing w:val="5"/>
          <w:sz w:val="25"/>
          <w:szCs w:val="25"/>
        </w:rPr>
        <w:t>）实行污染防控分区措施，根据场区各单元污染控制难易程度、天然包</w:t>
      </w:r>
      <w:r>
        <w:rPr>
          <w:rFonts w:ascii="仿宋" w:hAnsi="仿宋" w:eastAsia="仿宋" w:cs="仿宋"/>
          <w:spacing w:val="10"/>
          <w:sz w:val="25"/>
          <w:szCs w:val="25"/>
        </w:rPr>
        <w:t xml:space="preserve"> </w:t>
      </w:r>
      <w:r>
        <w:rPr>
          <w:rFonts w:ascii="仿宋" w:hAnsi="仿宋" w:eastAsia="仿宋" w:cs="仿宋"/>
          <w:spacing w:val="9"/>
          <w:sz w:val="25"/>
          <w:szCs w:val="25"/>
        </w:rPr>
        <w:t>气带防污性能、污染物类型，对工业场地实行分区防控。避免机修废油、含油</w:t>
      </w:r>
      <w:r>
        <w:rPr>
          <w:rFonts w:ascii="仿宋" w:hAnsi="仿宋" w:eastAsia="仿宋" w:cs="仿宋"/>
          <w:spacing w:val="16"/>
          <w:sz w:val="25"/>
          <w:szCs w:val="25"/>
        </w:rPr>
        <w:t xml:space="preserve"> </w:t>
      </w:r>
      <w:r>
        <w:rPr>
          <w:rFonts w:ascii="仿宋" w:hAnsi="仿宋" w:eastAsia="仿宋" w:cs="仿宋"/>
          <w:spacing w:val="8"/>
          <w:sz w:val="25"/>
          <w:szCs w:val="25"/>
        </w:rPr>
        <w:t>废弃物、污废水等进入地下水系统，严格控制场内污废水</w:t>
      </w:r>
      <w:r>
        <w:rPr>
          <w:rFonts w:ascii="Times New Roman" w:hAnsi="Times New Roman" w:eastAsia="Times New Roman" w:cs="Times New Roman"/>
          <w:spacing w:val="8"/>
          <w:sz w:val="25"/>
          <w:szCs w:val="25"/>
        </w:rPr>
        <w:t>“</w:t>
      </w:r>
      <w:r>
        <w:rPr>
          <w:rFonts w:ascii="仿宋" w:hAnsi="仿宋" w:eastAsia="仿宋" w:cs="仿宋"/>
          <w:spacing w:val="8"/>
          <w:sz w:val="25"/>
          <w:szCs w:val="25"/>
        </w:rPr>
        <w:t>滴、跑、</w:t>
      </w:r>
      <w:r>
        <w:rPr>
          <w:rFonts w:ascii="仿宋" w:hAnsi="仿宋" w:eastAsia="仿宋" w:cs="仿宋"/>
          <w:spacing w:val="-55"/>
          <w:sz w:val="25"/>
          <w:szCs w:val="25"/>
        </w:rPr>
        <w:t xml:space="preserve"> </w:t>
      </w:r>
      <w:r>
        <w:rPr>
          <w:rFonts w:ascii="仿宋" w:hAnsi="仿宋" w:eastAsia="仿宋" w:cs="仿宋"/>
          <w:spacing w:val="8"/>
          <w:sz w:val="25"/>
          <w:szCs w:val="25"/>
        </w:rPr>
        <w:t>冒、漏</w:t>
      </w:r>
      <w:r>
        <w:rPr>
          <w:rFonts w:ascii="Times New Roman" w:hAnsi="Times New Roman" w:eastAsia="Times New Roman" w:cs="Times New Roman"/>
          <w:spacing w:val="8"/>
          <w:sz w:val="25"/>
          <w:szCs w:val="25"/>
        </w:rPr>
        <w:t>”</w:t>
      </w:r>
      <w:r>
        <w:rPr>
          <w:rFonts w:ascii="仿宋" w:hAnsi="仿宋" w:eastAsia="仿宋" w:cs="仿宋"/>
          <w:spacing w:val="8"/>
          <w:sz w:val="25"/>
          <w:szCs w:val="25"/>
        </w:rPr>
        <w:t>的</w:t>
      </w:r>
      <w:r>
        <w:rPr>
          <w:rFonts w:ascii="仿宋" w:hAnsi="仿宋" w:eastAsia="仿宋" w:cs="仿宋"/>
          <w:sz w:val="25"/>
          <w:szCs w:val="25"/>
        </w:rPr>
        <w:t xml:space="preserve"> </w:t>
      </w:r>
      <w:r>
        <w:rPr>
          <w:rFonts w:ascii="仿宋" w:hAnsi="仿宋" w:eastAsia="仿宋" w:cs="仿宋"/>
          <w:spacing w:val="7"/>
          <w:sz w:val="25"/>
          <w:szCs w:val="25"/>
        </w:rPr>
        <w:t>无组织泄漏，对地下水造成污染。</w:t>
      </w:r>
    </w:p>
    <w:p w14:paraId="3ECF3039">
      <w:pPr>
        <w:spacing w:before="151" w:line="284" w:lineRule="auto"/>
        <w:ind w:left="16" w:right="71" w:firstLine="525"/>
        <w:rPr>
          <w:rFonts w:ascii="仿宋" w:hAnsi="仿宋" w:eastAsia="仿宋" w:cs="仿宋"/>
          <w:sz w:val="25"/>
          <w:szCs w:val="25"/>
        </w:rPr>
      </w:pPr>
      <w:r>
        <w:rPr>
          <w:rFonts w:ascii="仿宋" w:hAnsi="仿宋" w:eastAsia="仿宋" w:cs="仿宋"/>
          <w:spacing w:val="5"/>
          <w:sz w:val="25"/>
          <w:szCs w:val="25"/>
        </w:rPr>
        <w:t>（</w:t>
      </w:r>
      <w:r>
        <w:rPr>
          <w:rFonts w:ascii="Times New Roman" w:hAnsi="Times New Roman" w:eastAsia="Times New Roman" w:cs="Times New Roman"/>
          <w:spacing w:val="5"/>
          <w:sz w:val="25"/>
          <w:szCs w:val="25"/>
        </w:rPr>
        <w:t>4</w:t>
      </w:r>
      <w:r>
        <w:rPr>
          <w:rFonts w:ascii="仿宋" w:hAnsi="仿宋" w:eastAsia="仿宋" w:cs="仿宋"/>
          <w:spacing w:val="5"/>
          <w:sz w:val="25"/>
          <w:szCs w:val="25"/>
        </w:rPr>
        <w:t>）按地下水导则的要求设置地下水监测点位，定期对地下水水质进行监</w:t>
      </w:r>
      <w:r>
        <w:rPr>
          <w:rFonts w:ascii="仿宋" w:hAnsi="仿宋" w:eastAsia="仿宋" w:cs="仿宋"/>
          <w:spacing w:val="10"/>
          <w:sz w:val="25"/>
          <w:szCs w:val="25"/>
        </w:rPr>
        <w:t xml:space="preserve"> </w:t>
      </w:r>
      <w:r>
        <w:rPr>
          <w:rFonts w:ascii="仿宋" w:hAnsi="仿宋" w:eastAsia="仿宋" w:cs="仿宋"/>
          <w:spacing w:val="5"/>
          <w:sz w:val="25"/>
          <w:szCs w:val="25"/>
        </w:rPr>
        <w:t>测，</w:t>
      </w:r>
      <w:r>
        <w:rPr>
          <w:rFonts w:ascii="仿宋" w:hAnsi="仿宋" w:eastAsia="仿宋" w:cs="仿宋"/>
          <w:spacing w:val="-59"/>
          <w:sz w:val="25"/>
          <w:szCs w:val="25"/>
        </w:rPr>
        <w:t xml:space="preserve"> </w:t>
      </w:r>
      <w:r>
        <w:rPr>
          <w:rFonts w:ascii="仿宋" w:hAnsi="仿宋" w:eastAsia="仿宋" w:cs="仿宋"/>
          <w:spacing w:val="5"/>
          <w:sz w:val="25"/>
          <w:szCs w:val="25"/>
        </w:rPr>
        <w:t>以便及时发现问题，采取相应的措施。</w:t>
      </w:r>
    </w:p>
    <w:p w14:paraId="5A8C8ED5">
      <w:pPr>
        <w:spacing w:before="149" w:line="321" w:lineRule="auto"/>
        <w:ind w:left="17" w:right="71" w:firstLine="524"/>
        <w:rPr>
          <w:rFonts w:ascii="仿宋" w:hAnsi="仿宋" w:eastAsia="仿宋" w:cs="仿宋"/>
          <w:sz w:val="25"/>
          <w:szCs w:val="25"/>
        </w:rPr>
      </w:pPr>
      <w:r>
        <w:rPr>
          <w:rFonts w:ascii="仿宋" w:hAnsi="仿宋" w:eastAsia="仿宋" w:cs="仿宋"/>
          <w:spacing w:val="5"/>
          <w:sz w:val="25"/>
          <w:szCs w:val="25"/>
        </w:rPr>
        <w:t>（</w:t>
      </w:r>
      <w:r>
        <w:rPr>
          <w:rFonts w:ascii="Times New Roman" w:hAnsi="Times New Roman" w:eastAsia="Times New Roman" w:cs="Times New Roman"/>
          <w:spacing w:val="5"/>
          <w:sz w:val="25"/>
          <w:szCs w:val="25"/>
        </w:rPr>
        <w:t>5</w:t>
      </w:r>
      <w:r>
        <w:rPr>
          <w:rFonts w:ascii="仿宋" w:hAnsi="仿宋" w:eastAsia="仿宋" w:cs="仿宋"/>
          <w:spacing w:val="5"/>
          <w:sz w:val="25"/>
          <w:szCs w:val="25"/>
        </w:rPr>
        <w:t>）减缓地下开采对地下水资源的破坏，井工开采不得破坏具有供水意义</w:t>
      </w:r>
      <w:r>
        <w:rPr>
          <w:rFonts w:ascii="仿宋" w:hAnsi="仿宋" w:eastAsia="仿宋" w:cs="仿宋"/>
          <w:spacing w:val="10"/>
          <w:sz w:val="25"/>
          <w:szCs w:val="25"/>
        </w:rPr>
        <w:t xml:space="preserve"> </w:t>
      </w:r>
      <w:r>
        <w:rPr>
          <w:rFonts w:ascii="仿宋" w:hAnsi="仿宋" w:eastAsia="仿宋" w:cs="仿宋"/>
          <w:spacing w:val="9"/>
          <w:sz w:val="25"/>
          <w:szCs w:val="25"/>
        </w:rPr>
        <w:t>含水层结构，不得污染地下水水质，禁止工业场地的渗漏水及地表径流水排入</w:t>
      </w:r>
      <w:r>
        <w:rPr>
          <w:rFonts w:ascii="仿宋" w:hAnsi="仿宋" w:eastAsia="仿宋" w:cs="仿宋"/>
          <w:spacing w:val="18"/>
          <w:sz w:val="25"/>
          <w:szCs w:val="25"/>
        </w:rPr>
        <w:t xml:space="preserve"> </w:t>
      </w:r>
      <w:r>
        <w:rPr>
          <w:rFonts w:ascii="仿宋" w:hAnsi="仿宋" w:eastAsia="仿宋" w:cs="仿宋"/>
          <w:spacing w:val="9"/>
          <w:sz w:val="25"/>
          <w:szCs w:val="25"/>
        </w:rPr>
        <w:t>地下开采矿井，保护地下水的供水功能和生态功能。铝土矿、铸型用灰岩矿地</w:t>
      </w:r>
      <w:r>
        <w:rPr>
          <w:rFonts w:ascii="仿宋" w:hAnsi="仿宋" w:eastAsia="仿宋" w:cs="仿宋"/>
          <w:spacing w:val="18"/>
          <w:sz w:val="25"/>
          <w:szCs w:val="25"/>
        </w:rPr>
        <w:t xml:space="preserve"> </w:t>
      </w:r>
      <w:r>
        <w:rPr>
          <w:rFonts w:ascii="仿宋" w:hAnsi="仿宋" w:eastAsia="仿宋" w:cs="仿宋"/>
          <w:spacing w:val="9"/>
          <w:sz w:val="25"/>
          <w:szCs w:val="25"/>
        </w:rPr>
        <w:t>下矿山在开采或钻井前应加强地下水的调查，采矿工程避开地下溶洞、暗河发</w:t>
      </w:r>
      <w:r>
        <w:rPr>
          <w:rFonts w:ascii="仿宋" w:hAnsi="仿宋" w:eastAsia="仿宋" w:cs="仿宋"/>
          <w:spacing w:val="18"/>
          <w:sz w:val="25"/>
          <w:szCs w:val="25"/>
        </w:rPr>
        <w:t xml:space="preserve"> </w:t>
      </w:r>
      <w:r>
        <w:rPr>
          <w:rFonts w:ascii="仿宋" w:hAnsi="仿宋" w:eastAsia="仿宋" w:cs="仿宋"/>
          <w:spacing w:val="9"/>
          <w:sz w:val="25"/>
          <w:szCs w:val="25"/>
        </w:rPr>
        <w:t>育地带。采取灌浆等工程措施，避免或减少采矿活动破坏地下水均衡系统。必</w:t>
      </w:r>
      <w:r>
        <w:rPr>
          <w:rFonts w:ascii="仿宋" w:hAnsi="仿宋" w:eastAsia="仿宋" w:cs="仿宋"/>
          <w:spacing w:val="18"/>
          <w:sz w:val="25"/>
          <w:szCs w:val="25"/>
        </w:rPr>
        <w:t xml:space="preserve"> </w:t>
      </w:r>
      <w:r>
        <w:rPr>
          <w:rFonts w:ascii="仿宋" w:hAnsi="仿宋" w:eastAsia="仿宋" w:cs="仿宋"/>
          <w:spacing w:val="9"/>
          <w:sz w:val="25"/>
          <w:szCs w:val="25"/>
        </w:rPr>
        <w:t>须在依法批准的开采范围内从事采掘活动，禁止违法越层越界开</w:t>
      </w:r>
      <w:r>
        <w:rPr>
          <w:rFonts w:ascii="仿宋" w:hAnsi="仿宋" w:eastAsia="仿宋" w:cs="仿宋"/>
          <w:spacing w:val="8"/>
          <w:sz w:val="25"/>
          <w:szCs w:val="25"/>
        </w:rPr>
        <w:t>采。</w:t>
      </w:r>
    </w:p>
    <w:p w14:paraId="5CF98E08">
      <w:pPr>
        <w:spacing w:line="321" w:lineRule="auto"/>
        <w:rPr>
          <w:rFonts w:ascii="仿宋" w:hAnsi="仿宋" w:eastAsia="仿宋" w:cs="仿宋"/>
          <w:sz w:val="25"/>
          <w:szCs w:val="25"/>
        </w:rPr>
        <w:sectPr>
          <w:footerReference r:id="rId229" w:type="default"/>
          <w:pgSz w:w="11906" w:h="16839"/>
          <w:pgMar w:top="1116" w:right="1404" w:bottom="866" w:left="1587" w:header="683" w:footer="703" w:gutter="0"/>
          <w:cols w:space="720" w:num="1"/>
        </w:sectPr>
      </w:pPr>
    </w:p>
    <w:p w14:paraId="6BA1BABC">
      <w:pPr>
        <w:pStyle w:val="2"/>
        <w:spacing w:line="385" w:lineRule="auto"/>
      </w:pPr>
    </w:p>
    <w:p w14:paraId="3F074B20">
      <w:pPr>
        <w:spacing w:before="82" w:line="340" w:lineRule="auto"/>
        <w:ind w:left="64" w:right="2" w:firstLine="525"/>
        <w:rPr>
          <w:rFonts w:ascii="仿宋" w:hAnsi="仿宋" w:eastAsia="仿宋" w:cs="仿宋"/>
          <w:sz w:val="25"/>
          <w:szCs w:val="25"/>
        </w:rPr>
      </w:pPr>
      <w:r>
        <w:rPr>
          <w:rFonts w:ascii="仿宋" w:hAnsi="仿宋" w:eastAsia="仿宋" w:cs="仿宋"/>
          <w:spacing w:val="5"/>
          <w:sz w:val="25"/>
          <w:szCs w:val="25"/>
        </w:rPr>
        <w:t>（</w:t>
      </w:r>
      <w:r>
        <w:rPr>
          <w:rFonts w:ascii="Times New Roman" w:hAnsi="Times New Roman" w:eastAsia="Times New Roman" w:cs="Times New Roman"/>
          <w:spacing w:val="5"/>
          <w:sz w:val="25"/>
          <w:szCs w:val="25"/>
        </w:rPr>
        <w:t>6</w:t>
      </w:r>
      <w:r>
        <w:rPr>
          <w:rFonts w:ascii="仿宋" w:hAnsi="仿宋" w:eastAsia="仿宋" w:cs="仿宋"/>
          <w:spacing w:val="5"/>
          <w:sz w:val="25"/>
          <w:szCs w:val="25"/>
        </w:rPr>
        <w:t>）废石淋溶水也可能对地下水造成污染。评价要求项目环评应对废石场</w:t>
      </w:r>
      <w:r>
        <w:rPr>
          <w:rFonts w:ascii="仿宋" w:hAnsi="仿宋" w:eastAsia="仿宋" w:cs="仿宋"/>
          <w:spacing w:val="10"/>
          <w:sz w:val="25"/>
          <w:szCs w:val="25"/>
        </w:rPr>
        <w:t xml:space="preserve"> 选址进行论证，提出建设环保要求，尽量减</w:t>
      </w:r>
      <w:r>
        <w:rPr>
          <w:rFonts w:ascii="仿宋" w:hAnsi="仿宋" w:eastAsia="仿宋" w:cs="仿宋"/>
          <w:spacing w:val="9"/>
          <w:sz w:val="25"/>
          <w:szCs w:val="25"/>
        </w:rPr>
        <w:t>轻废石淋溶水对地下水的污染。废</w:t>
      </w:r>
      <w:r>
        <w:rPr>
          <w:rFonts w:ascii="仿宋" w:hAnsi="仿宋" w:eastAsia="仿宋" w:cs="仿宋"/>
          <w:sz w:val="25"/>
          <w:szCs w:val="25"/>
        </w:rPr>
        <w:t xml:space="preserve"> </w:t>
      </w:r>
      <w:r>
        <w:rPr>
          <w:rFonts w:ascii="仿宋" w:hAnsi="仿宋" w:eastAsia="仿宋" w:cs="仿宋"/>
          <w:spacing w:val="10"/>
          <w:sz w:val="25"/>
          <w:szCs w:val="25"/>
        </w:rPr>
        <w:t>石场建设应按照规范进行选址、设计、运行</w:t>
      </w:r>
      <w:r>
        <w:rPr>
          <w:rFonts w:ascii="仿宋" w:hAnsi="仿宋" w:eastAsia="仿宋" w:cs="仿宋"/>
          <w:spacing w:val="9"/>
          <w:sz w:val="25"/>
          <w:szCs w:val="25"/>
        </w:rPr>
        <w:t>和封场。应根据固体废物的性质、</w:t>
      </w:r>
      <w:r>
        <w:rPr>
          <w:rFonts w:ascii="仿宋" w:hAnsi="仿宋" w:eastAsia="仿宋" w:cs="仿宋"/>
          <w:sz w:val="25"/>
          <w:szCs w:val="25"/>
        </w:rPr>
        <w:t xml:space="preserve"> </w:t>
      </w:r>
      <w:r>
        <w:rPr>
          <w:rFonts w:ascii="仿宋" w:hAnsi="仿宋" w:eastAsia="仿宋" w:cs="仿宋"/>
          <w:spacing w:val="10"/>
          <w:sz w:val="25"/>
          <w:szCs w:val="25"/>
        </w:rPr>
        <w:t>贮存场所的地质、水文地质条件，采用水平</w:t>
      </w:r>
      <w:r>
        <w:rPr>
          <w:rFonts w:ascii="仿宋" w:hAnsi="仿宋" w:eastAsia="仿宋" w:cs="仿宋"/>
          <w:spacing w:val="9"/>
          <w:sz w:val="25"/>
          <w:szCs w:val="25"/>
        </w:rPr>
        <w:t>防渗、垂直防渗、局部防渗、全面</w:t>
      </w:r>
      <w:r>
        <w:rPr>
          <w:rFonts w:ascii="仿宋" w:hAnsi="仿宋" w:eastAsia="仿宋" w:cs="仿宋"/>
          <w:sz w:val="25"/>
          <w:szCs w:val="25"/>
        </w:rPr>
        <w:t xml:space="preserve"> </w:t>
      </w:r>
      <w:r>
        <w:rPr>
          <w:rFonts w:ascii="仿宋" w:hAnsi="仿宋" w:eastAsia="仿宋" w:cs="仿宋"/>
          <w:spacing w:val="8"/>
          <w:sz w:val="25"/>
          <w:szCs w:val="25"/>
        </w:rPr>
        <w:t>防渗、水力截获等技术防止污染地下水。</w:t>
      </w:r>
    </w:p>
    <w:p w14:paraId="3B610001">
      <w:pPr>
        <w:spacing w:before="116" w:line="228" w:lineRule="auto"/>
        <w:ind w:left="55"/>
        <w:outlineLvl w:val="3"/>
        <w:rPr>
          <w:rFonts w:ascii="仿宋" w:hAnsi="仿宋" w:eastAsia="仿宋" w:cs="仿宋"/>
          <w:sz w:val="25"/>
          <w:szCs w:val="25"/>
        </w:rPr>
      </w:pPr>
      <w:r>
        <w:rPr>
          <w:rFonts w:ascii="Times New Roman" w:hAnsi="Times New Roman" w:eastAsia="Times New Roman" w:cs="Times New Roman"/>
          <w:b/>
          <w:bCs/>
          <w:spacing w:val="3"/>
          <w:sz w:val="25"/>
          <w:szCs w:val="25"/>
        </w:rPr>
        <w:t>7.1.2.6</w:t>
      </w:r>
      <w:r>
        <w:rPr>
          <w:rFonts w:ascii="Times New Roman" w:hAnsi="Times New Roman" w:eastAsia="Times New Roman" w:cs="Times New Roman"/>
          <w:b/>
          <w:bCs/>
          <w:spacing w:val="66"/>
          <w:w w:val="101"/>
          <w:sz w:val="25"/>
          <w:szCs w:val="25"/>
        </w:rPr>
        <w:t xml:space="preserve"> </w:t>
      </w:r>
      <w:r>
        <w:rPr>
          <w:rFonts w:ascii="仿宋" w:hAnsi="仿宋" w:eastAsia="仿宋" w:cs="仿宋"/>
          <w:b/>
          <w:bCs/>
          <w:spacing w:val="3"/>
          <w:sz w:val="25"/>
          <w:szCs w:val="25"/>
        </w:rPr>
        <w:t>固体废物综合利用与处置措施</w:t>
      </w:r>
    </w:p>
    <w:p w14:paraId="327F6FC6">
      <w:pPr>
        <w:spacing w:before="271" w:line="340" w:lineRule="auto"/>
        <w:ind w:left="63" w:right="2" w:firstLine="521"/>
        <w:jc w:val="both"/>
        <w:rPr>
          <w:rFonts w:ascii="仿宋" w:hAnsi="仿宋" w:eastAsia="仿宋" w:cs="仿宋"/>
          <w:sz w:val="25"/>
          <w:szCs w:val="25"/>
        </w:rPr>
      </w:pPr>
      <w:r>
        <w:rPr>
          <w:rFonts w:ascii="仿宋" w:hAnsi="仿宋" w:eastAsia="仿宋" w:cs="仿宋"/>
          <w:spacing w:val="9"/>
          <w:sz w:val="25"/>
          <w:szCs w:val="25"/>
        </w:rPr>
        <w:t>矿业活动过程中产生的固体废物主要是矿山地表剥离物、钻井岩屑、建设</w:t>
      </w:r>
      <w:r>
        <w:rPr>
          <w:rFonts w:ascii="仿宋" w:hAnsi="仿宋" w:eastAsia="仿宋" w:cs="仿宋"/>
          <w:spacing w:val="16"/>
          <w:sz w:val="25"/>
          <w:szCs w:val="25"/>
        </w:rPr>
        <w:t xml:space="preserve"> </w:t>
      </w:r>
      <w:r>
        <w:rPr>
          <w:rFonts w:ascii="仿宋" w:hAnsi="仿宋" w:eastAsia="仿宋" w:cs="仿宋"/>
          <w:spacing w:val="8"/>
          <w:sz w:val="25"/>
          <w:szCs w:val="25"/>
        </w:rPr>
        <w:t>期挖方、</w:t>
      </w:r>
      <w:r>
        <w:rPr>
          <w:rFonts w:ascii="仿宋" w:hAnsi="仿宋" w:eastAsia="仿宋" w:cs="仿宋"/>
          <w:spacing w:val="-67"/>
          <w:sz w:val="25"/>
          <w:szCs w:val="25"/>
        </w:rPr>
        <w:t xml:space="preserve"> </w:t>
      </w:r>
      <w:r>
        <w:rPr>
          <w:rFonts w:ascii="仿宋" w:hAnsi="仿宋" w:eastAsia="仿宋" w:cs="仿宋"/>
          <w:spacing w:val="8"/>
          <w:sz w:val="25"/>
          <w:szCs w:val="25"/>
        </w:rPr>
        <w:t>回收粉尘、机械维修废油、含油固体废物、采矿废石、污废</w:t>
      </w:r>
      <w:r>
        <w:rPr>
          <w:rFonts w:ascii="仿宋" w:hAnsi="仿宋" w:eastAsia="仿宋" w:cs="仿宋"/>
          <w:spacing w:val="7"/>
          <w:sz w:val="25"/>
          <w:szCs w:val="25"/>
        </w:rPr>
        <w:t>水处理污</w:t>
      </w:r>
      <w:r>
        <w:rPr>
          <w:rFonts w:ascii="仿宋" w:hAnsi="仿宋" w:eastAsia="仿宋" w:cs="仿宋"/>
          <w:sz w:val="25"/>
          <w:szCs w:val="25"/>
        </w:rPr>
        <w:t xml:space="preserve"> </w:t>
      </w:r>
      <w:r>
        <w:rPr>
          <w:rFonts w:ascii="仿宋" w:hAnsi="仿宋" w:eastAsia="仿宋" w:cs="仿宋"/>
          <w:spacing w:val="6"/>
          <w:sz w:val="25"/>
          <w:szCs w:val="25"/>
        </w:rPr>
        <w:t>泥、生活垃圾等。</w:t>
      </w:r>
    </w:p>
    <w:p w14:paraId="420847BC">
      <w:pPr>
        <w:spacing w:line="302" w:lineRule="auto"/>
        <w:ind w:left="65" w:firstLine="524"/>
        <w:rPr>
          <w:rFonts w:ascii="仿宋" w:hAnsi="仿宋" w:eastAsia="仿宋" w:cs="仿宋"/>
          <w:sz w:val="25"/>
          <w:szCs w:val="25"/>
        </w:rPr>
      </w:pPr>
      <w:r>
        <w:rPr>
          <w:rFonts w:ascii="仿宋" w:hAnsi="仿宋" w:eastAsia="仿宋" w:cs="仿宋"/>
          <w:spacing w:val="13"/>
          <w:sz w:val="25"/>
          <w:szCs w:val="25"/>
        </w:rPr>
        <w:t>（</w:t>
      </w:r>
      <w:r>
        <w:rPr>
          <w:rFonts w:ascii="Times New Roman" w:hAnsi="Times New Roman" w:eastAsia="Times New Roman" w:cs="Times New Roman"/>
          <w:spacing w:val="13"/>
          <w:sz w:val="25"/>
          <w:szCs w:val="25"/>
        </w:rPr>
        <w:t>1</w:t>
      </w:r>
      <w:r>
        <w:rPr>
          <w:rFonts w:ascii="仿宋" w:hAnsi="仿宋" w:eastAsia="仿宋" w:cs="仿宋"/>
          <w:spacing w:val="13"/>
          <w:sz w:val="25"/>
          <w:szCs w:val="25"/>
        </w:rPr>
        <w:t>）钻井岩屑临时堆放于泥屑堆放区待风干后及时运至部门指定的地方</w:t>
      </w:r>
      <w:r>
        <w:rPr>
          <w:rFonts w:ascii="仿宋" w:hAnsi="仿宋" w:eastAsia="仿宋" w:cs="仿宋"/>
          <w:spacing w:val="11"/>
          <w:sz w:val="25"/>
          <w:szCs w:val="25"/>
        </w:rPr>
        <w:t xml:space="preserve"> </w:t>
      </w:r>
      <w:r>
        <w:rPr>
          <w:rFonts w:ascii="仿宋" w:hAnsi="仿宋" w:eastAsia="仿宋" w:cs="仿宋"/>
          <w:spacing w:val="9"/>
          <w:sz w:val="25"/>
          <w:szCs w:val="25"/>
        </w:rPr>
        <w:t>处置，矿山地表剥离物中表土临时堆放在矿区内，用于土地复垦。一般工业固</w:t>
      </w:r>
      <w:r>
        <w:rPr>
          <w:rFonts w:ascii="仿宋" w:hAnsi="仿宋" w:eastAsia="仿宋" w:cs="仿宋"/>
          <w:spacing w:val="18"/>
          <w:sz w:val="25"/>
          <w:szCs w:val="25"/>
        </w:rPr>
        <w:t xml:space="preserve"> </w:t>
      </w:r>
      <w:r>
        <w:rPr>
          <w:rFonts w:ascii="仿宋" w:hAnsi="仿宋" w:eastAsia="仿宋" w:cs="仿宋"/>
          <w:spacing w:val="4"/>
          <w:sz w:val="25"/>
          <w:szCs w:val="25"/>
        </w:rPr>
        <w:t>体废物安全处置率达</w:t>
      </w:r>
      <w:r>
        <w:rPr>
          <w:rFonts w:ascii="仿宋" w:hAnsi="仿宋" w:eastAsia="仿宋" w:cs="仿宋"/>
          <w:spacing w:val="-25"/>
          <w:sz w:val="25"/>
          <w:szCs w:val="25"/>
        </w:rPr>
        <w:t xml:space="preserve"> </w:t>
      </w:r>
      <w:r>
        <w:rPr>
          <w:rFonts w:ascii="Times New Roman" w:hAnsi="Times New Roman" w:eastAsia="Times New Roman" w:cs="Times New Roman"/>
          <w:spacing w:val="4"/>
          <w:sz w:val="25"/>
          <w:szCs w:val="25"/>
        </w:rPr>
        <w:t>100%</w:t>
      </w:r>
      <w:r>
        <w:rPr>
          <w:rFonts w:ascii="仿宋" w:hAnsi="仿宋" w:eastAsia="仿宋" w:cs="仿宋"/>
          <w:spacing w:val="4"/>
          <w:sz w:val="25"/>
          <w:szCs w:val="25"/>
        </w:rPr>
        <w:t>。</w:t>
      </w:r>
    </w:p>
    <w:p w14:paraId="78EC43CA">
      <w:pPr>
        <w:spacing w:before="150" w:line="318" w:lineRule="auto"/>
        <w:ind w:right="2" w:firstLine="589"/>
        <w:rPr>
          <w:rFonts w:ascii="仿宋" w:hAnsi="仿宋" w:eastAsia="仿宋" w:cs="仿宋"/>
          <w:sz w:val="25"/>
          <w:szCs w:val="25"/>
        </w:rPr>
      </w:pPr>
      <w:r>
        <w:rPr>
          <w:rFonts w:ascii="仿宋" w:hAnsi="仿宋" w:eastAsia="仿宋" w:cs="仿宋"/>
          <w:spacing w:val="5"/>
          <w:sz w:val="25"/>
          <w:szCs w:val="25"/>
        </w:rPr>
        <w:t>（</w:t>
      </w:r>
      <w:r>
        <w:rPr>
          <w:rFonts w:ascii="Times New Roman" w:hAnsi="Times New Roman" w:eastAsia="Times New Roman" w:cs="Times New Roman"/>
          <w:spacing w:val="5"/>
          <w:sz w:val="25"/>
          <w:szCs w:val="25"/>
        </w:rPr>
        <w:t>2</w:t>
      </w:r>
      <w:r>
        <w:rPr>
          <w:rFonts w:ascii="仿宋" w:hAnsi="仿宋" w:eastAsia="仿宋" w:cs="仿宋"/>
          <w:spacing w:val="5"/>
          <w:sz w:val="25"/>
          <w:szCs w:val="25"/>
        </w:rPr>
        <w:t>）露天矿山地表剥离物中表土、废石分区临时堆放在矿区内，表土严格</w:t>
      </w:r>
      <w:r>
        <w:rPr>
          <w:rFonts w:ascii="仿宋" w:hAnsi="仿宋" w:eastAsia="仿宋" w:cs="仿宋"/>
          <w:spacing w:val="10"/>
          <w:sz w:val="25"/>
          <w:szCs w:val="25"/>
        </w:rPr>
        <w:t xml:space="preserve"> </w:t>
      </w:r>
      <w:r>
        <w:rPr>
          <w:rFonts w:ascii="仿宋" w:hAnsi="仿宋" w:eastAsia="仿宋" w:cs="仿宋"/>
          <w:spacing w:val="7"/>
          <w:sz w:val="25"/>
          <w:szCs w:val="25"/>
        </w:rPr>
        <w:t>按照《表土剥离及其再利用技术要求》（</w:t>
      </w:r>
      <w:r>
        <w:rPr>
          <w:rFonts w:ascii="Times New Roman" w:hAnsi="Times New Roman" w:eastAsia="Times New Roman" w:cs="Times New Roman"/>
          <w:sz w:val="25"/>
          <w:szCs w:val="25"/>
        </w:rPr>
        <w:t>GB</w:t>
      </w:r>
      <w:r>
        <w:rPr>
          <w:rFonts w:ascii="Times New Roman" w:hAnsi="Times New Roman" w:eastAsia="Times New Roman" w:cs="Times New Roman"/>
          <w:spacing w:val="7"/>
          <w:sz w:val="25"/>
          <w:szCs w:val="25"/>
        </w:rPr>
        <w:t>/T 45107-2024</w:t>
      </w:r>
      <w:r>
        <w:rPr>
          <w:rFonts w:ascii="仿宋" w:hAnsi="仿宋" w:eastAsia="仿宋" w:cs="仿宋"/>
          <w:spacing w:val="16"/>
          <w:sz w:val="25"/>
          <w:szCs w:val="25"/>
        </w:rPr>
        <w:t>），</w:t>
      </w:r>
      <w:r>
        <w:rPr>
          <w:rFonts w:ascii="仿宋" w:hAnsi="仿宋" w:eastAsia="仿宋" w:cs="仿宋"/>
          <w:spacing w:val="7"/>
          <w:sz w:val="25"/>
          <w:szCs w:val="25"/>
        </w:rPr>
        <w:t>随剥随运，落实</w:t>
      </w:r>
      <w:r>
        <w:rPr>
          <w:rFonts w:ascii="仿宋" w:hAnsi="仿宋" w:eastAsia="仿宋" w:cs="仿宋"/>
          <w:spacing w:val="1"/>
          <w:sz w:val="25"/>
          <w:szCs w:val="25"/>
        </w:rPr>
        <w:t xml:space="preserve"> </w:t>
      </w:r>
      <w:r>
        <w:rPr>
          <w:rFonts w:ascii="Times New Roman" w:hAnsi="Times New Roman" w:eastAsia="Times New Roman" w:cs="Times New Roman"/>
          <w:spacing w:val="12"/>
          <w:sz w:val="25"/>
          <w:szCs w:val="25"/>
        </w:rPr>
        <w:t>“</w:t>
      </w:r>
      <w:r>
        <w:rPr>
          <w:rFonts w:ascii="仿宋" w:hAnsi="仿宋" w:eastAsia="仿宋" w:cs="仿宋"/>
          <w:spacing w:val="12"/>
          <w:sz w:val="25"/>
          <w:szCs w:val="25"/>
        </w:rPr>
        <w:t>边开采、边保护、边复垦</w:t>
      </w:r>
      <w:r>
        <w:rPr>
          <w:rFonts w:ascii="Times New Roman" w:hAnsi="Times New Roman" w:eastAsia="Times New Roman" w:cs="Times New Roman"/>
          <w:spacing w:val="12"/>
          <w:sz w:val="25"/>
          <w:szCs w:val="25"/>
        </w:rPr>
        <w:t>”</w:t>
      </w:r>
      <w:r>
        <w:rPr>
          <w:rFonts w:ascii="仿宋" w:hAnsi="仿宋" w:eastAsia="仿宋" w:cs="仿宋"/>
          <w:spacing w:val="12"/>
          <w:sz w:val="25"/>
          <w:szCs w:val="25"/>
        </w:rPr>
        <w:t>措施，及时用于后期土地复垦，废石和建设</w:t>
      </w:r>
      <w:r>
        <w:rPr>
          <w:rFonts w:ascii="仿宋" w:hAnsi="仿宋" w:eastAsia="仿宋" w:cs="仿宋"/>
          <w:spacing w:val="11"/>
          <w:sz w:val="25"/>
          <w:szCs w:val="25"/>
        </w:rPr>
        <w:t>期挖方</w:t>
      </w:r>
      <w:r>
        <w:rPr>
          <w:rFonts w:ascii="仿宋" w:hAnsi="仿宋" w:eastAsia="仿宋" w:cs="仿宋"/>
          <w:sz w:val="25"/>
          <w:szCs w:val="25"/>
        </w:rPr>
        <w:t xml:space="preserve"> </w:t>
      </w:r>
      <w:r>
        <w:rPr>
          <w:rFonts w:ascii="仿宋" w:hAnsi="仿宋" w:eastAsia="仿宋" w:cs="仿宋"/>
          <w:spacing w:val="11"/>
          <w:sz w:val="25"/>
          <w:szCs w:val="25"/>
        </w:rPr>
        <w:t>用于铺设道路或工业广场及配套基础设施建设用材，弃方堆存在矿区内用于后</w:t>
      </w:r>
      <w:r>
        <w:rPr>
          <w:rFonts w:ascii="仿宋" w:hAnsi="仿宋" w:eastAsia="仿宋" w:cs="仿宋"/>
          <w:spacing w:val="15"/>
          <w:sz w:val="25"/>
          <w:szCs w:val="25"/>
        </w:rPr>
        <w:t xml:space="preserve"> 期采空区回填。</w:t>
      </w:r>
    </w:p>
    <w:p w14:paraId="3F6FA36A">
      <w:pPr>
        <w:spacing w:before="148" w:line="303" w:lineRule="auto"/>
        <w:ind w:left="64" w:right="2" w:firstLine="525"/>
        <w:rPr>
          <w:rFonts w:ascii="仿宋" w:hAnsi="仿宋" w:eastAsia="仿宋" w:cs="仿宋"/>
          <w:sz w:val="25"/>
          <w:szCs w:val="25"/>
        </w:rPr>
      </w:pPr>
      <w:r>
        <w:rPr>
          <w:rFonts w:ascii="仿宋" w:hAnsi="仿宋" w:eastAsia="仿宋" w:cs="仿宋"/>
          <w:spacing w:val="5"/>
          <w:sz w:val="25"/>
          <w:szCs w:val="25"/>
        </w:rPr>
        <w:t>（</w:t>
      </w:r>
      <w:r>
        <w:rPr>
          <w:rFonts w:ascii="Times New Roman" w:hAnsi="Times New Roman" w:eastAsia="Times New Roman" w:cs="Times New Roman"/>
          <w:spacing w:val="5"/>
          <w:sz w:val="25"/>
          <w:szCs w:val="25"/>
        </w:rPr>
        <w:t>3</w:t>
      </w:r>
      <w:r>
        <w:rPr>
          <w:rFonts w:ascii="仿宋" w:hAnsi="仿宋" w:eastAsia="仿宋" w:cs="仿宋"/>
          <w:spacing w:val="5"/>
          <w:sz w:val="25"/>
          <w:szCs w:val="25"/>
        </w:rPr>
        <w:t>）地下矿山的采矿废石主应尽量回填采空区，实现废石的最大化资源利</w:t>
      </w:r>
      <w:r>
        <w:rPr>
          <w:rFonts w:ascii="仿宋" w:hAnsi="仿宋" w:eastAsia="仿宋" w:cs="仿宋"/>
          <w:spacing w:val="10"/>
          <w:sz w:val="25"/>
          <w:szCs w:val="25"/>
        </w:rPr>
        <w:t xml:space="preserve"> 用；不能回填的废石应及时运至地面，堆存</w:t>
      </w:r>
      <w:r>
        <w:rPr>
          <w:rFonts w:ascii="仿宋" w:hAnsi="仿宋" w:eastAsia="仿宋" w:cs="仿宋"/>
          <w:spacing w:val="9"/>
          <w:sz w:val="25"/>
          <w:szCs w:val="25"/>
        </w:rPr>
        <w:t>在满足环保要求的废石堆场内，并</w:t>
      </w:r>
      <w:r>
        <w:rPr>
          <w:rFonts w:ascii="仿宋" w:hAnsi="仿宋" w:eastAsia="仿宋" w:cs="仿宋"/>
          <w:sz w:val="25"/>
          <w:szCs w:val="25"/>
        </w:rPr>
        <w:t xml:space="preserve"> </w:t>
      </w:r>
      <w:r>
        <w:rPr>
          <w:rFonts w:ascii="仿宋" w:hAnsi="仿宋" w:eastAsia="仿宋" w:cs="仿宋"/>
          <w:spacing w:val="7"/>
          <w:sz w:val="25"/>
          <w:szCs w:val="25"/>
        </w:rPr>
        <w:t>采取相应污染防治措施。</w:t>
      </w:r>
    </w:p>
    <w:p w14:paraId="589CBDF3">
      <w:pPr>
        <w:spacing w:before="154" w:line="339" w:lineRule="auto"/>
        <w:ind w:left="61" w:firstLine="524"/>
        <w:jc w:val="both"/>
        <w:rPr>
          <w:rFonts w:ascii="仿宋" w:hAnsi="仿宋" w:eastAsia="仿宋" w:cs="仿宋"/>
          <w:sz w:val="25"/>
          <w:szCs w:val="25"/>
        </w:rPr>
      </w:pPr>
      <w:r>
        <w:rPr>
          <w:rFonts w:ascii="仿宋" w:hAnsi="仿宋" w:eastAsia="仿宋" w:cs="仿宋"/>
          <w:spacing w:val="9"/>
          <w:sz w:val="25"/>
          <w:szCs w:val="25"/>
        </w:rPr>
        <w:t>铝土矿矿山开采生产出来的废石可用于井下巷道和采空区回填，若运营期</w:t>
      </w:r>
      <w:r>
        <w:rPr>
          <w:rFonts w:ascii="仿宋" w:hAnsi="仿宋" w:eastAsia="仿宋" w:cs="仿宋"/>
          <w:spacing w:val="18"/>
          <w:sz w:val="25"/>
          <w:szCs w:val="25"/>
        </w:rPr>
        <w:t xml:space="preserve"> </w:t>
      </w:r>
      <w:r>
        <w:rPr>
          <w:rFonts w:ascii="仿宋" w:hAnsi="仿宋" w:eastAsia="仿宋" w:cs="仿宋"/>
          <w:spacing w:val="10"/>
          <w:sz w:val="25"/>
          <w:szCs w:val="25"/>
        </w:rPr>
        <w:t>有废石运出矿井，应进行按照《关于加强危险废物</w:t>
      </w:r>
      <w:r>
        <w:rPr>
          <w:rFonts w:ascii="仿宋" w:hAnsi="仿宋" w:eastAsia="仿宋" w:cs="仿宋"/>
          <w:spacing w:val="9"/>
          <w:sz w:val="25"/>
          <w:szCs w:val="25"/>
        </w:rPr>
        <w:t>鉴别工作的通知》（环办固</w:t>
      </w:r>
      <w:r>
        <w:rPr>
          <w:rFonts w:ascii="仿宋" w:hAnsi="仿宋" w:eastAsia="仿宋" w:cs="仿宋"/>
          <w:sz w:val="25"/>
          <w:szCs w:val="25"/>
        </w:rPr>
        <w:t xml:space="preserve"> </w:t>
      </w:r>
      <w:r>
        <w:rPr>
          <w:rFonts w:ascii="仿宋" w:hAnsi="仿宋" w:eastAsia="仿宋" w:cs="仿宋"/>
          <w:spacing w:val="5"/>
          <w:sz w:val="25"/>
          <w:szCs w:val="25"/>
        </w:rPr>
        <w:t>体函</w:t>
      </w:r>
      <w:r>
        <w:rPr>
          <w:rFonts w:ascii="Times New Roman" w:hAnsi="Times New Roman" w:eastAsia="Times New Roman" w:cs="Times New Roman"/>
          <w:spacing w:val="5"/>
          <w:sz w:val="25"/>
          <w:szCs w:val="25"/>
        </w:rPr>
        <w:t>[2021]419</w:t>
      </w:r>
      <w:r>
        <w:rPr>
          <w:rFonts w:ascii="Times New Roman" w:hAnsi="Times New Roman" w:eastAsia="Times New Roman" w:cs="Times New Roman"/>
          <w:spacing w:val="29"/>
          <w:sz w:val="25"/>
          <w:szCs w:val="25"/>
        </w:rPr>
        <w:t xml:space="preserve"> </w:t>
      </w:r>
      <w:r>
        <w:rPr>
          <w:rFonts w:ascii="仿宋" w:hAnsi="仿宋" w:eastAsia="仿宋" w:cs="仿宋"/>
          <w:spacing w:val="5"/>
          <w:sz w:val="25"/>
          <w:szCs w:val="25"/>
        </w:rPr>
        <w:t>号）要求展开危险废物鉴别工作，若不属于危险废物则进行浸出</w:t>
      </w:r>
      <w:r>
        <w:rPr>
          <w:rFonts w:ascii="仿宋" w:hAnsi="仿宋" w:eastAsia="仿宋" w:cs="仿宋"/>
          <w:sz w:val="25"/>
          <w:szCs w:val="25"/>
        </w:rPr>
        <w:t xml:space="preserve"> </w:t>
      </w:r>
      <w:r>
        <w:rPr>
          <w:rFonts w:ascii="仿宋" w:hAnsi="仿宋" w:eastAsia="仿宋" w:cs="仿宋"/>
          <w:spacing w:val="10"/>
          <w:sz w:val="25"/>
          <w:szCs w:val="25"/>
        </w:rPr>
        <w:t>液检测，检测，根据检测数据确定固体废物类别后</w:t>
      </w:r>
      <w:r>
        <w:rPr>
          <w:rFonts w:ascii="仿宋" w:hAnsi="仿宋" w:eastAsia="仿宋" w:cs="仿宋"/>
          <w:spacing w:val="9"/>
          <w:sz w:val="25"/>
          <w:szCs w:val="25"/>
        </w:rPr>
        <w:t>，按照《一般工业固体废物</w:t>
      </w:r>
      <w:r>
        <w:rPr>
          <w:rFonts w:ascii="仿宋" w:hAnsi="仿宋" w:eastAsia="仿宋" w:cs="仿宋"/>
          <w:sz w:val="25"/>
          <w:szCs w:val="25"/>
        </w:rPr>
        <w:t xml:space="preserve"> </w:t>
      </w:r>
      <w:r>
        <w:rPr>
          <w:rFonts w:ascii="仿宋" w:hAnsi="仿宋" w:eastAsia="仿宋" w:cs="仿宋"/>
          <w:spacing w:val="7"/>
          <w:sz w:val="25"/>
          <w:szCs w:val="25"/>
        </w:rPr>
        <w:t>贮存和填埋污染控制标准》（</w:t>
      </w:r>
      <w:r>
        <w:rPr>
          <w:rFonts w:ascii="Times New Roman" w:hAnsi="Times New Roman" w:eastAsia="Times New Roman" w:cs="Times New Roman"/>
          <w:sz w:val="25"/>
          <w:szCs w:val="25"/>
        </w:rPr>
        <w:t>GB</w:t>
      </w:r>
      <w:r>
        <w:rPr>
          <w:rFonts w:ascii="Times New Roman" w:hAnsi="Times New Roman" w:eastAsia="Times New Roman" w:cs="Times New Roman"/>
          <w:spacing w:val="7"/>
          <w:sz w:val="25"/>
          <w:szCs w:val="25"/>
        </w:rPr>
        <w:t>18599-2020</w:t>
      </w:r>
      <w:r>
        <w:rPr>
          <w:rFonts w:ascii="仿宋" w:hAnsi="仿宋" w:eastAsia="仿宋" w:cs="仿宋"/>
          <w:spacing w:val="7"/>
          <w:sz w:val="25"/>
          <w:szCs w:val="25"/>
        </w:rPr>
        <w:t>）要求做好废石堆场选址等工作，</w:t>
      </w:r>
      <w:r>
        <w:rPr>
          <w:rFonts w:ascii="仿宋" w:hAnsi="仿宋" w:eastAsia="仿宋" w:cs="仿宋"/>
          <w:spacing w:val="9"/>
          <w:sz w:val="25"/>
          <w:szCs w:val="25"/>
        </w:rPr>
        <w:t xml:space="preserve"> </w:t>
      </w:r>
      <w:r>
        <w:rPr>
          <w:rFonts w:ascii="仿宋" w:hAnsi="仿宋" w:eastAsia="仿宋" w:cs="仿宋"/>
          <w:spacing w:val="8"/>
          <w:sz w:val="25"/>
          <w:szCs w:val="25"/>
        </w:rPr>
        <w:t xml:space="preserve">属于危险废物，应按照《危险废物贮存污染控制标准》 </w:t>
      </w:r>
      <w:r>
        <w:rPr>
          <w:rFonts w:ascii="Times New Roman" w:hAnsi="Times New Roman" w:eastAsia="Times New Roman" w:cs="Times New Roman"/>
          <w:spacing w:val="8"/>
          <w:sz w:val="25"/>
          <w:szCs w:val="25"/>
        </w:rPr>
        <w:t>(</w:t>
      </w:r>
      <w:r>
        <w:rPr>
          <w:rFonts w:ascii="Times New Roman" w:hAnsi="Times New Roman" w:eastAsia="Times New Roman" w:cs="Times New Roman"/>
          <w:sz w:val="25"/>
          <w:szCs w:val="25"/>
        </w:rPr>
        <w:t>GB</w:t>
      </w:r>
      <w:r>
        <w:rPr>
          <w:rFonts w:ascii="Times New Roman" w:hAnsi="Times New Roman" w:eastAsia="Times New Roman" w:cs="Times New Roman"/>
          <w:spacing w:val="33"/>
          <w:w w:val="101"/>
          <w:sz w:val="25"/>
          <w:szCs w:val="25"/>
        </w:rPr>
        <w:t xml:space="preserve"> </w:t>
      </w:r>
      <w:r>
        <w:rPr>
          <w:rFonts w:ascii="Times New Roman" w:hAnsi="Times New Roman" w:eastAsia="Times New Roman" w:cs="Times New Roman"/>
          <w:spacing w:val="8"/>
          <w:sz w:val="25"/>
          <w:szCs w:val="25"/>
        </w:rPr>
        <w:t>18597—2023</w:t>
      </w:r>
      <w:r>
        <w:rPr>
          <w:rFonts w:ascii="仿宋" w:hAnsi="仿宋" w:eastAsia="仿宋" w:cs="仿宋"/>
          <w:spacing w:val="8"/>
          <w:sz w:val="25"/>
          <w:szCs w:val="25"/>
        </w:rPr>
        <w:t>）进</w:t>
      </w:r>
      <w:r>
        <w:rPr>
          <w:rFonts w:ascii="仿宋" w:hAnsi="仿宋" w:eastAsia="仿宋" w:cs="仿宋"/>
          <w:sz w:val="25"/>
          <w:szCs w:val="25"/>
        </w:rPr>
        <w:t xml:space="preserve"> </w:t>
      </w:r>
      <w:r>
        <w:rPr>
          <w:rFonts w:ascii="仿宋" w:hAnsi="仿宋" w:eastAsia="仿宋" w:cs="仿宋"/>
          <w:spacing w:val="10"/>
          <w:sz w:val="25"/>
          <w:szCs w:val="25"/>
        </w:rPr>
        <w:t>行管理。采取有效措施后，可防止土壤和地下水受</w:t>
      </w:r>
      <w:r>
        <w:rPr>
          <w:rFonts w:ascii="仿宋" w:hAnsi="仿宋" w:eastAsia="仿宋" w:cs="仿宋"/>
          <w:spacing w:val="9"/>
          <w:sz w:val="25"/>
          <w:szCs w:val="25"/>
        </w:rPr>
        <w:t>到污染。要求项目环评应对</w:t>
      </w:r>
      <w:r>
        <w:rPr>
          <w:rFonts w:ascii="仿宋" w:hAnsi="仿宋" w:eastAsia="仿宋" w:cs="仿宋"/>
          <w:sz w:val="25"/>
          <w:szCs w:val="25"/>
        </w:rPr>
        <w:t xml:space="preserve"> </w:t>
      </w:r>
      <w:r>
        <w:rPr>
          <w:rFonts w:ascii="仿宋" w:hAnsi="仿宋" w:eastAsia="仿宋" w:cs="仿宋"/>
          <w:spacing w:val="10"/>
          <w:sz w:val="25"/>
          <w:szCs w:val="25"/>
        </w:rPr>
        <w:t>废石场选址进行论证，提出建设环保要求，尽量减</w:t>
      </w:r>
      <w:r>
        <w:rPr>
          <w:rFonts w:ascii="仿宋" w:hAnsi="仿宋" w:eastAsia="仿宋" w:cs="仿宋"/>
          <w:spacing w:val="9"/>
          <w:sz w:val="25"/>
          <w:szCs w:val="25"/>
        </w:rPr>
        <w:t>轻废石淋溶水对地下水的污</w:t>
      </w:r>
      <w:r>
        <w:rPr>
          <w:rFonts w:ascii="仿宋" w:hAnsi="仿宋" w:eastAsia="仿宋" w:cs="仿宋"/>
          <w:sz w:val="25"/>
          <w:szCs w:val="25"/>
        </w:rPr>
        <w:t xml:space="preserve"> </w:t>
      </w:r>
      <w:r>
        <w:rPr>
          <w:rFonts w:ascii="仿宋" w:hAnsi="仿宋" w:eastAsia="仿宋" w:cs="仿宋"/>
          <w:spacing w:val="9"/>
          <w:sz w:val="25"/>
          <w:szCs w:val="25"/>
        </w:rPr>
        <w:t>染。废石场建设应按照规范进行选址、设计、运行和封场。</w:t>
      </w:r>
    </w:p>
    <w:p w14:paraId="2CC139F8">
      <w:pPr>
        <w:spacing w:line="339" w:lineRule="auto"/>
        <w:rPr>
          <w:rFonts w:ascii="仿宋" w:hAnsi="仿宋" w:eastAsia="仿宋" w:cs="仿宋"/>
          <w:sz w:val="25"/>
          <w:szCs w:val="25"/>
        </w:rPr>
        <w:sectPr>
          <w:headerReference r:id="rId230" w:type="default"/>
          <w:footerReference r:id="rId231" w:type="default"/>
          <w:pgSz w:w="11906" w:h="16839"/>
          <w:pgMar w:top="1116" w:right="1473" w:bottom="866" w:left="1539" w:header="683" w:footer="703" w:gutter="0"/>
          <w:cols w:space="720" w:num="1"/>
        </w:sectPr>
      </w:pPr>
    </w:p>
    <w:p w14:paraId="16DBC95C">
      <w:pPr>
        <w:pStyle w:val="2"/>
        <w:spacing w:line="385" w:lineRule="auto"/>
      </w:pPr>
    </w:p>
    <w:p w14:paraId="4FE45061">
      <w:pPr>
        <w:spacing w:before="82" w:line="227" w:lineRule="auto"/>
        <w:ind w:left="541"/>
        <w:rPr>
          <w:rFonts w:ascii="仿宋" w:hAnsi="仿宋" w:eastAsia="仿宋" w:cs="仿宋"/>
          <w:sz w:val="25"/>
          <w:szCs w:val="25"/>
        </w:rPr>
      </w:pPr>
      <w:r>
        <w:rPr>
          <w:rFonts w:ascii="仿宋" w:hAnsi="仿宋" w:eastAsia="仿宋" w:cs="仿宋"/>
          <w:spacing w:val="6"/>
          <w:sz w:val="25"/>
          <w:szCs w:val="25"/>
        </w:rPr>
        <w:t>（</w:t>
      </w:r>
      <w:r>
        <w:rPr>
          <w:rFonts w:ascii="Times New Roman" w:hAnsi="Times New Roman" w:eastAsia="Times New Roman" w:cs="Times New Roman"/>
          <w:spacing w:val="6"/>
          <w:sz w:val="25"/>
          <w:szCs w:val="25"/>
        </w:rPr>
        <w:t>4</w:t>
      </w:r>
      <w:r>
        <w:rPr>
          <w:rFonts w:ascii="仿宋" w:hAnsi="仿宋" w:eastAsia="仿宋" w:cs="仿宋"/>
          <w:spacing w:val="6"/>
          <w:sz w:val="25"/>
          <w:szCs w:val="25"/>
        </w:rPr>
        <w:t>）</w:t>
      </w:r>
      <w:r>
        <w:rPr>
          <w:rFonts w:ascii="仿宋" w:hAnsi="仿宋" w:eastAsia="仿宋" w:cs="仿宋"/>
          <w:spacing w:val="-67"/>
          <w:sz w:val="25"/>
          <w:szCs w:val="25"/>
        </w:rPr>
        <w:t xml:space="preserve"> </w:t>
      </w:r>
      <w:r>
        <w:rPr>
          <w:rFonts w:ascii="仿宋" w:hAnsi="仿宋" w:eastAsia="仿宋" w:cs="仿宋"/>
          <w:spacing w:val="6"/>
          <w:sz w:val="25"/>
          <w:szCs w:val="25"/>
        </w:rPr>
        <w:t>回收粉尘可作为矿产品外销，实现资源化利</w:t>
      </w:r>
      <w:r>
        <w:rPr>
          <w:rFonts w:ascii="仿宋" w:hAnsi="仿宋" w:eastAsia="仿宋" w:cs="仿宋"/>
          <w:spacing w:val="5"/>
          <w:sz w:val="25"/>
          <w:szCs w:val="25"/>
        </w:rPr>
        <w:t>用。</w:t>
      </w:r>
    </w:p>
    <w:p w14:paraId="72BAD5F4">
      <w:pPr>
        <w:spacing w:before="153" w:line="312" w:lineRule="auto"/>
        <w:ind w:left="15" w:right="16" w:firstLine="526"/>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5</w:t>
      </w:r>
      <w:r>
        <w:rPr>
          <w:rFonts w:ascii="仿宋" w:hAnsi="仿宋" w:eastAsia="仿宋" w:cs="仿宋"/>
          <w:spacing w:val="7"/>
          <w:sz w:val="25"/>
          <w:szCs w:val="25"/>
        </w:rPr>
        <w:t>）机械维修废油和含油固体废物属于危险废物，在矿区内临时储存时，</w:t>
      </w:r>
      <w:r>
        <w:rPr>
          <w:rFonts w:ascii="仿宋" w:hAnsi="仿宋" w:eastAsia="仿宋" w:cs="仿宋"/>
          <w:spacing w:val="11"/>
          <w:sz w:val="25"/>
          <w:szCs w:val="25"/>
        </w:rPr>
        <w:t xml:space="preserve"> </w:t>
      </w:r>
      <w:r>
        <w:rPr>
          <w:rFonts w:ascii="仿宋" w:hAnsi="仿宋" w:eastAsia="仿宋" w:cs="仿宋"/>
          <w:spacing w:val="10"/>
          <w:sz w:val="25"/>
          <w:szCs w:val="25"/>
        </w:rPr>
        <w:t>储存间必须做好防渗、防水等措施，其收集储</w:t>
      </w:r>
      <w:r>
        <w:rPr>
          <w:rFonts w:ascii="仿宋" w:hAnsi="仿宋" w:eastAsia="仿宋" w:cs="仿宋"/>
          <w:spacing w:val="9"/>
          <w:sz w:val="25"/>
          <w:szCs w:val="25"/>
        </w:rPr>
        <w:t>存、运输、处置过程均必须按照</w:t>
      </w:r>
      <w:r>
        <w:rPr>
          <w:rFonts w:ascii="仿宋" w:hAnsi="仿宋" w:eastAsia="仿宋" w:cs="仿宋"/>
          <w:sz w:val="25"/>
          <w:szCs w:val="25"/>
        </w:rPr>
        <w:t xml:space="preserve"> </w:t>
      </w:r>
      <w:r>
        <w:rPr>
          <w:rFonts w:ascii="仿宋" w:hAnsi="仿宋" w:eastAsia="仿宋" w:cs="仿宋"/>
          <w:spacing w:val="7"/>
          <w:sz w:val="25"/>
          <w:szCs w:val="25"/>
        </w:rPr>
        <w:t>《危险废物贮存污染控制标准》（</w:t>
      </w:r>
      <w:r>
        <w:rPr>
          <w:rFonts w:ascii="Times New Roman" w:hAnsi="Times New Roman" w:eastAsia="Times New Roman" w:cs="Times New Roman"/>
          <w:sz w:val="25"/>
          <w:szCs w:val="25"/>
        </w:rPr>
        <w:t>GB</w:t>
      </w:r>
      <w:r>
        <w:rPr>
          <w:rFonts w:ascii="Times New Roman" w:hAnsi="Times New Roman" w:eastAsia="Times New Roman" w:cs="Times New Roman"/>
          <w:spacing w:val="7"/>
          <w:sz w:val="25"/>
          <w:szCs w:val="25"/>
        </w:rPr>
        <w:t>18597-2023</w:t>
      </w:r>
      <w:r>
        <w:rPr>
          <w:rFonts w:ascii="仿宋" w:hAnsi="仿宋" w:eastAsia="仿宋" w:cs="仿宋"/>
          <w:spacing w:val="7"/>
          <w:sz w:val="25"/>
          <w:szCs w:val="25"/>
        </w:rPr>
        <w:t>）进行专门处置，避免发生事</w:t>
      </w:r>
      <w:r>
        <w:rPr>
          <w:rFonts w:ascii="仿宋" w:hAnsi="仿宋" w:eastAsia="仿宋" w:cs="仿宋"/>
          <w:spacing w:val="5"/>
          <w:sz w:val="25"/>
          <w:szCs w:val="25"/>
        </w:rPr>
        <w:t xml:space="preserve"> </w:t>
      </w:r>
      <w:r>
        <w:rPr>
          <w:rFonts w:ascii="仿宋" w:hAnsi="仿宋" w:eastAsia="仿宋" w:cs="仿宋"/>
          <w:spacing w:val="3"/>
          <w:sz w:val="25"/>
          <w:szCs w:val="25"/>
        </w:rPr>
        <w:t>故污染。</w:t>
      </w:r>
    </w:p>
    <w:p w14:paraId="51867939">
      <w:pPr>
        <w:spacing w:before="148" w:line="317" w:lineRule="auto"/>
        <w:ind w:left="18" w:right="83" w:firstLine="523"/>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6</w:t>
      </w:r>
      <w:r>
        <w:rPr>
          <w:rFonts w:ascii="仿宋" w:hAnsi="仿宋" w:eastAsia="仿宋" w:cs="仿宋"/>
          <w:spacing w:val="7"/>
          <w:sz w:val="25"/>
          <w:szCs w:val="25"/>
        </w:rPr>
        <w:t>）按危险废物综合利用的有关规定，各矿区产生的危险废物必须</w:t>
      </w:r>
      <w:r>
        <w:rPr>
          <w:rFonts w:ascii="仿宋" w:hAnsi="仿宋" w:eastAsia="仿宋" w:cs="仿宋"/>
          <w:spacing w:val="-21"/>
          <w:sz w:val="25"/>
          <w:szCs w:val="25"/>
        </w:rPr>
        <w:t xml:space="preserve"> </w:t>
      </w:r>
      <w:r>
        <w:rPr>
          <w:rFonts w:ascii="Times New Roman" w:hAnsi="Times New Roman" w:eastAsia="Times New Roman" w:cs="Times New Roman"/>
          <w:spacing w:val="7"/>
          <w:sz w:val="25"/>
          <w:szCs w:val="25"/>
        </w:rPr>
        <w:t>100%</w:t>
      </w:r>
      <w:r>
        <w:rPr>
          <w:rFonts w:ascii="Times New Roman" w:hAnsi="Times New Roman" w:eastAsia="Times New Roman" w:cs="Times New Roman"/>
          <w:sz w:val="25"/>
          <w:szCs w:val="25"/>
        </w:rPr>
        <w:t xml:space="preserve"> </w:t>
      </w:r>
      <w:r>
        <w:rPr>
          <w:rFonts w:ascii="仿宋" w:hAnsi="仿宋" w:eastAsia="仿宋" w:cs="仿宋"/>
          <w:spacing w:val="9"/>
          <w:sz w:val="25"/>
          <w:szCs w:val="25"/>
        </w:rPr>
        <w:t>进行无害化安全处理，严禁与其他废物混合处理。应与具有危险废物利用资质</w:t>
      </w:r>
      <w:r>
        <w:rPr>
          <w:rFonts w:ascii="仿宋" w:hAnsi="仿宋" w:eastAsia="仿宋" w:cs="仿宋"/>
          <w:spacing w:val="17"/>
          <w:sz w:val="25"/>
          <w:szCs w:val="25"/>
        </w:rPr>
        <w:t xml:space="preserve"> </w:t>
      </w:r>
      <w:r>
        <w:rPr>
          <w:rFonts w:ascii="仿宋" w:hAnsi="仿宋" w:eastAsia="仿宋" w:cs="仿宋"/>
          <w:spacing w:val="9"/>
          <w:sz w:val="25"/>
          <w:szCs w:val="25"/>
        </w:rPr>
        <w:t>的单位签订长期利用协议，或委托有危险废物处置资质的单位进行处理，使危</w:t>
      </w:r>
      <w:r>
        <w:rPr>
          <w:rFonts w:ascii="仿宋" w:hAnsi="仿宋" w:eastAsia="仿宋" w:cs="仿宋"/>
          <w:spacing w:val="17"/>
          <w:sz w:val="25"/>
          <w:szCs w:val="25"/>
        </w:rPr>
        <w:t xml:space="preserve"> </w:t>
      </w:r>
      <w:r>
        <w:rPr>
          <w:rFonts w:ascii="仿宋" w:hAnsi="仿宋" w:eastAsia="仿宋" w:cs="仿宋"/>
          <w:spacing w:val="9"/>
          <w:sz w:val="25"/>
          <w:szCs w:val="25"/>
        </w:rPr>
        <w:t>险废物的综合利用得到可靠的保证，定期回收和处置，减少危险废物在厂区的</w:t>
      </w:r>
      <w:r>
        <w:rPr>
          <w:rFonts w:ascii="仿宋" w:hAnsi="仿宋" w:eastAsia="仿宋" w:cs="仿宋"/>
          <w:spacing w:val="17"/>
          <w:sz w:val="25"/>
          <w:szCs w:val="25"/>
        </w:rPr>
        <w:t xml:space="preserve"> </w:t>
      </w:r>
      <w:r>
        <w:rPr>
          <w:rFonts w:ascii="仿宋" w:hAnsi="仿宋" w:eastAsia="仿宋" w:cs="仿宋"/>
          <w:spacing w:val="6"/>
          <w:sz w:val="25"/>
          <w:szCs w:val="25"/>
        </w:rPr>
        <w:t>存放量和存放时间。</w:t>
      </w:r>
    </w:p>
    <w:p w14:paraId="4FC031F1">
      <w:pPr>
        <w:spacing w:before="155" w:line="302" w:lineRule="auto"/>
        <w:ind w:left="20" w:right="83" w:firstLine="521"/>
        <w:rPr>
          <w:rFonts w:ascii="仿宋" w:hAnsi="仿宋" w:eastAsia="仿宋" w:cs="仿宋"/>
          <w:sz w:val="25"/>
          <w:szCs w:val="25"/>
        </w:rPr>
      </w:pPr>
      <w:r>
        <w:rPr>
          <w:rFonts w:ascii="仿宋" w:hAnsi="仿宋" w:eastAsia="仿宋" w:cs="仿宋"/>
          <w:spacing w:val="6"/>
          <w:sz w:val="25"/>
          <w:szCs w:val="25"/>
        </w:rPr>
        <w:t>（</w:t>
      </w:r>
      <w:r>
        <w:rPr>
          <w:rFonts w:ascii="Times New Roman" w:hAnsi="Times New Roman" w:eastAsia="Times New Roman" w:cs="Times New Roman"/>
          <w:spacing w:val="6"/>
          <w:sz w:val="25"/>
          <w:szCs w:val="25"/>
        </w:rPr>
        <w:t>7</w:t>
      </w:r>
      <w:r>
        <w:rPr>
          <w:rFonts w:ascii="仿宋" w:hAnsi="仿宋" w:eastAsia="仿宋" w:cs="仿宋"/>
          <w:spacing w:val="6"/>
          <w:sz w:val="25"/>
          <w:szCs w:val="25"/>
        </w:rPr>
        <w:t>）建设生活垃圾收集系统，设置垃圾收集站（点</w:t>
      </w:r>
      <w:r>
        <w:rPr>
          <w:rFonts w:ascii="仿宋" w:hAnsi="仿宋" w:eastAsia="仿宋" w:cs="仿宋"/>
          <w:spacing w:val="-4"/>
          <w:sz w:val="25"/>
          <w:szCs w:val="25"/>
        </w:rPr>
        <w:t>），</w:t>
      </w:r>
      <w:r>
        <w:rPr>
          <w:rFonts w:ascii="仿宋" w:hAnsi="仿宋" w:eastAsia="仿宋" w:cs="仿宋"/>
          <w:spacing w:val="6"/>
          <w:sz w:val="25"/>
          <w:szCs w:val="25"/>
        </w:rPr>
        <w:t>配备专业环</w:t>
      </w:r>
      <w:r>
        <w:rPr>
          <w:rFonts w:ascii="仿宋" w:hAnsi="仿宋" w:eastAsia="仿宋" w:cs="仿宋"/>
          <w:spacing w:val="5"/>
          <w:sz w:val="25"/>
          <w:szCs w:val="25"/>
        </w:rPr>
        <w:t>境卫生</w:t>
      </w:r>
      <w:r>
        <w:rPr>
          <w:rFonts w:ascii="仿宋" w:hAnsi="仿宋" w:eastAsia="仿宋" w:cs="仿宋"/>
          <w:sz w:val="25"/>
          <w:szCs w:val="25"/>
        </w:rPr>
        <w:t xml:space="preserve"> </w:t>
      </w:r>
      <w:r>
        <w:rPr>
          <w:rFonts w:ascii="仿宋" w:hAnsi="仿宋" w:eastAsia="仿宋" w:cs="仿宋"/>
          <w:spacing w:val="8"/>
          <w:sz w:val="25"/>
          <w:szCs w:val="25"/>
        </w:rPr>
        <w:t>人员每天定时分类收集、转运，</w:t>
      </w:r>
      <w:r>
        <w:rPr>
          <w:rFonts w:ascii="仿宋" w:hAnsi="仿宋" w:eastAsia="仿宋" w:cs="仿宋"/>
          <w:spacing w:val="-71"/>
          <w:sz w:val="25"/>
          <w:szCs w:val="25"/>
        </w:rPr>
        <w:t xml:space="preserve"> </w:t>
      </w:r>
      <w:r>
        <w:rPr>
          <w:rFonts w:ascii="仿宋" w:hAnsi="仿宋" w:eastAsia="仿宋" w:cs="仿宋"/>
          <w:spacing w:val="8"/>
          <w:sz w:val="25"/>
          <w:szCs w:val="25"/>
        </w:rPr>
        <w:t>固定地点堆放，定期由环卫部门统</w:t>
      </w:r>
      <w:r>
        <w:rPr>
          <w:rFonts w:ascii="仿宋" w:hAnsi="仿宋" w:eastAsia="仿宋" w:cs="仿宋"/>
          <w:spacing w:val="7"/>
          <w:sz w:val="25"/>
          <w:szCs w:val="25"/>
        </w:rPr>
        <w:t>一处置，严</w:t>
      </w:r>
      <w:r>
        <w:rPr>
          <w:rFonts w:ascii="仿宋" w:hAnsi="仿宋" w:eastAsia="仿宋" w:cs="仿宋"/>
          <w:sz w:val="25"/>
          <w:szCs w:val="25"/>
        </w:rPr>
        <w:t xml:space="preserve"> </w:t>
      </w:r>
      <w:r>
        <w:rPr>
          <w:rFonts w:ascii="仿宋" w:hAnsi="仿宋" w:eastAsia="仿宋" w:cs="仿宋"/>
          <w:spacing w:val="4"/>
          <w:sz w:val="25"/>
          <w:szCs w:val="25"/>
        </w:rPr>
        <w:t>禁乱堆乱排。</w:t>
      </w:r>
    </w:p>
    <w:p w14:paraId="7D94A895">
      <w:pPr>
        <w:spacing w:before="151" w:line="283" w:lineRule="auto"/>
        <w:ind w:left="22" w:right="83" w:firstLine="519"/>
        <w:rPr>
          <w:rFonts w:ascii="仿宋" w:hAnsi="仿宋" w:eastAsia="仿宋" w:cs="仿宋"/>
          <w:sz w:val="25"/>
          <w:szCs w:val="25"/>
        </w:rPr>
      </w:pPr>
      <w:r>
        <w:rPr>
          <w:rFonts w:ascii="仿宋" w:hAnsi="仿宋" w:eastAsia="仿宋" w:cs="仿宋"/>
          <w:spacing w:val="5"/>
          <w:sz w:val="25"/>
          <w:szCs w:val="25"/>
        </w:rPr>
        <w:t>（</w:t>
      </w:r>
      <w:r>
        <w:rPr>
          <w:rFonts w:ascii="Times New Roman" w:hAnsi="Times New Roman" w:eastAsia="Times New Roman" w:cs="Times New Roman"/>
          <w:spacing w:val="5"/>
          <w:sz w:val="25"/>
          <w:szCs w:val="25"/>
        </w:rPr>
        <w:t>8</w:t>
      </w:r>
      <w:r>
        <w:rPr>
          <w:rFonts w:ascii="仿宋" w:hAnsi="仿宋" w:eastAsia="仿宋" w:cs="仿宋"/>
          <w:spacing w:val="5"/>
          <w:sz w:val="25"/>
          <w:szCs w:val="25"/>
        </w:rPr>
        <w:t>）废水和生活污水处理产生的污泥交由环卫部门统一处理，其他一般沉</w:t>
      </w:r>
      <w:r>
        <w:rPr>
          <w:rFonts w:ascii="仿宋" w:hAnsi="仿宋" w:eastAsia="仿宋" w:cs="仿宋"/>
          <w:spacing w:val="10"/>
          <w:sz w:val="25"/>
          <w:szCs w:val="25"/>
        </w:rPr>
        <w:t xml:space="preserve"> </w:t>
      </w:r>
      <w:r>
        <w:rPr>
          <w:rFonts w:ascii="仿宋" w:hAnsi="仿宋" w:eastAsia="仿宋" w:cs="仿宋"/>
          <w:spacing w:val="7"/>
          <w:sz w:val="25"/>
          <w:szCs w:val="25"/>
        </w:rPr>
        <w:t>淀泥沙可回填采空区或绿化带。</w:t>
      </w:r>
    </w:p>
    <w:p w14:paraId="6B250539">
      <w:pPr>
        <w:spacing w:before="273" w:line="230" w:lineRule="auto"/>
        <w:ind w:left="8"/>
        <w:outlineLvl w:val="3"/>
        <w:rPr>
          <w:rFonts w:ascii="仿宋" w:hAnsi="仿宋" w:eastAsia="仿宋" w:cs="仿宋"/>
          <w:sz w:val="25"/>
          <w:szCs w:val="25"/>
        </w:rPr>
      </w:pPr>
      <w:r>
        <w:rPr>
          <w:rFonts w:ascii="Times New Roman" w:hAnsi="Times New Roman" w:eastAsia="Times New Roman" w:cs="Times New Roman"/>
          <w:b/>
          <w:bCs/>
          <w:spacing w:val="3"/>
          <w:sz w:val="25"/>
          <w:szCs w:val="25"/>
        </w:rPr>
        <w:t>7.1.2.7</w:t>
      </w:r>
      <w:r>
        <w:rPr>
          <w:rFonts w:ascii="Times New Roman" w:hAnsi="Times New Roman" w:eastAsia="Times New Roman" w:cs="Times New Roman"/>
          <w:b/>
          <w:bCs/>
          <w:spacing w:val="30"/>
          <w:sz w:val="25"/>
          <w:szCs w:val="25"/>
        </w:rPr>
        <w:t xml:space="preserve"> </w:t>
      </w:r>
      <w:r>
        <w:rPr>
          <w:rFonts w:ascii="仿宋" w:hAnsi="仿宋" w:eastAsia="仿宋" w:cs="仿宋"/>
          <w:b/>
          <w:bCs/>
          <w:spacing w:val="3"/>
          <w:sz w:val="25"/>
          <w:szCs w:val="25"/>
        </w:rPr>
        <w:t>风险防范措施</w:t>
      </w:r>
    </w:p>
    <w:p w14:paraId="49B60F46">
      <w:pPr>
        <w:spacing w:before="272" w:line="317" w:lineRule="auto"/>
        <w:ind w:left="13" w:right="83" w:firstLine="528"/>
        <w:rPr>
          <w:rFonts w:ascii="仿宋" w:hAnsi="仿宋" w:eastAsia="仿宋" w:cs="仿宋"/>
          <w:sz w:val="25"/>
          <w:szCs w:val="25"/>
        </w:rPr>
      </w:pPr>
      <w:r>
        <w:rPr>
          <w:rFonts w:ascii="仿宋" w:hAnsi="仿宋" w:eastAsia="仿宋" w:cs="仿宋"/>
          <w:spacing w:val="5"/>
          <w:sz w:val="25"/>
          <w:szCs w:val="25"/>
        </w:rPr>
        <w:t>（</w:t>
      </w:r>
      <w:r>
        <w:rPr>
          <w:rFonts w:ascii="Times New Roman" w:hAnsi="Times New Roman" w:eastAsia="Times New Roman" w:cs="Times New Roman"/>
          <w:spacing w:val="5"/>
          <w:sz w:val="25"/>
          <w:szCs w:val="25"/>
        </w:rPr>
        <w:t>1</w:t>
      </w:r>
      <w:r>
        <w:rPr>
          <w:rFonts w:ascii="仿宋" w:hAnsi="仿宋" w:eastAsia="仿宋" w:cs="仿宋"/>
          <w:spacing w:val="5"/>
          <w:sz w:val="25"/>
          <w:szCs w:val="25"/>
        </w:rPr>
        <w:t>）建立环境风险防控体系，安排专人对加强矿区进行巡查，特别是油罐</w:t>
      </w:r>
      <w:r>
        <w:rPr>
          <w:rFonts w:ascii="仿宋" w:hAnsi="仿宋" w:eastAsia="仿宋" w:cs="仿宋"/>
          <w:spacing w:val="10"/>
          <w:sz w:val="25"/>
          <w:szCs w:val="25"/>
        </w:rPr>
        <w:t xml:space="preserve"> </w:t>
      </w:r>
      <w:r>
        <w:rPr>
          <w:rFonts w:ascii="仿宋" w:hAnsi="仿宋" w:eastAsia="仿宋" w:cs="仿宋"/>
          <w:spacing w:val="8"/>
          <w:sz w:val="25"/>
          <w:szCs w:val="25"/>
        </w:rPr>
        <w:t>（料）</w:t>
      </w:r>
      <w:r>
        <w:rPr>
          <w:rFonts w:ascii="仿宋" w:hAnsi="仿宋" w:eastAsia="仿宋" w:cs="仿宋"/>
          <w:spacing w:val="-69"/>
          <w:sz w:val="25"/>
          <w:szCs w:val="25"/>
        </w:rPr>
        <w:t xml:space="preserve"> </w:t>
      </w:r>
      <w:r>
        <w:rPr>
          <w:rFonts w:ascii="仿宋" w:hAnsi="仿宋" w:eastAsia="仿宋" w:cs="仿宋"/>
          <w:spacing w:val="8"/>
          <w:sz w:val="25"/>
          <w:szCs w:val="25"/>
        </w:rPr>
        <w:t>区、炸药库、废石堆场等环境风险隐患点，矿区需按照相关规范要求等</w:t>
      </w:r>
      <w:r>
        <w:rPr>
          <w:rFonts w:ascii="仿宋" w:hAnsi="仿宋" w:eastAsia="仿宋" w:cs="仿宋"/>
          <w:sz w:val="25"/>
          <w:szCs w:val="25"/>
        </w:rPr>
        <w:t xml:space="preserve"> </w:t>
      </w:r>
      <w:r>
        <w:rPr>
          <w:rFonts w:ascii="仿宋" w:hAnsi="仿宋" w:eastAsia="仿宋" w:cs="仿宋"/>
          <w:spacing w:val="10"/>
          <w:sz w:val="25"/>
          <w:szCs w:val="25"/>
        </w:rPr>
        <w:t>进行风险评估，提出风险防范和治理措施，降低环</w:t>
      </w:r>
      <w:r>
        <w:rPr>
          <w:rFonts w:ascii="仿宋" w:hAnsi="仿宋" w:eastAsia="仿宋" w:cs="仿宋"/>
          <w:spacing w:val="9"/>
          <w:sz w:val="25"/>
          <w:szCs w:val="25"/>
        </w:rPr>
        <w:t>境风险。邻近饮用水水源保</w:t>
      </w:r>
      <w:r>
        <w:rPr>
          <w:rFonts w:ascii="仿宋" w:hAnsi="仿宋" w:eastAsia="仿宋" w:cs="仿宋"/>
          <w:sz w:val="25"/>
          <w:szCs w:val="25"/>
        </w:rPr>
        <w:t xml:space="preserve"> </w:t>
      </w:r>
      <w:r>
        <w:rPr>
          <w:rFonts w:ascii="仿宋" w:hAnsi="仿宋" w:eastAsia="仿宋" w:cs="仿宋"/>
          <w:spacing w:val="10"/>
          <w:sz w:val="25"/>
          <w:szCs w:val="25"/>
        </w:rPr>
        <w:t>护区的采矿权，严格落实相关废水处理措施，加强</w:t>
      </w:r>
      <w:r>
        <w:rPr>
          <w:rFonts w:ascii="仿宋" w:hAnsi="仿宋" w:eastAsia="仿宋" w:cs="仿宋"/>
          <w:spacing w:val="9"/>
          <w:sz w:val="25"/>
          <w:szCs w:val="25"/>
        </w:rPr>
        <w:t>管理巡查，严禁向饮用水源</w:t>
      </w:r>
      <w:r>
        <w:rPr>
          <w:rFonts w:ascii="仿宋" w:hAnsi="仿宋" w:eastAsia="仿宋" w:cs="仿宋"/>
          <w:sz w:val="25"/>
          <w:szCs w:val="25"/>
        </w:rPr>
        <w:t xml:space="preserve"> </w:t>
      </w:r>
      <w:r>
        <w:rPr>
          <w:rFonts w:ascii="仿宋" w:hAnsi="仿宋" w:eastAsia="仿宋" w:cs="仿宋"/>
          <w:spacing w:val="1"/>
          <w:sz w:val="25"/>
          <w:szCs w:val="25"/>
        </w:rPr>
        <w:t>排水。</w:t>
      </w:r>
    </w:p>
    <w:p w14:paraId="4402E2FE">
      <w:pPr>
        <w:spacing w:before="152" w:line="284" w:lineRule="auto"/>
        <w:ind w:left="17" w:right="83" w:firstLine="524"/>
        <w:rPr>
          <w:rFonts w:ascii="仿宋" w:hAnsi="仿宋" w:eastAsia="仿宋" w:cs="仿宋"/>
          <w:sz w:val="25"/>
          <w:szCs w:val="25"/>
        </w:rPr>
      </w:pPr>
      <w:r>
        <w:rPr>
          <w:rFonts w:ascii="仿宋" w:hAnsi="仿宋" w:eastAsia="仿宋" w:cs="仿宋"/>
          <w:spacing w:val="6"/>
          <w:sz w:val="25"/>
          <w:szCs w:val="25"/>
        </w:rPr>
        <w:t>（</w:t>
      </w:r>
      <w:r>
        <w:rPr>
          <w:rFonts w:ascii="Times New Roman" w:hAnsi="Times New Roman" w:eastAsia="Times New Roman" w:cs="Times New Roman"/>
          <w:spacing w:val="6"/>
          <w:sz w:val="25"/>
          <w:szCs w:val="25"/>
        </w:rPr>
        <w:t>2</w:t>
      </w:r>
      <w:r>
        <w:rPr>
          <w:rFonts w:ascii="仿宋" w:hAnsi="仿宋" w:eastAsia="仿宋" w:cs="仿宋"/>
          <w:spacing w:val="6"/>
          <w:sz w:val="25"/>
          <w:szCs w:val="25"/>
        </w:rPr>
        <w:t>）</w:t>
      </w:r>
      <w:r>
        <w:rPr>
          <w:rFonts w:ascii="Times New Roman" w:hAnsi="Times New Roman" w:eastAsia="Times New Roman" w:cs="Times New Roman"/>
          <w:sz w:val="25"/>
          <w:szCs w:val="25"/>
        </w:rPr>
        <w:t>KQ</w:t>
      </w:r>
      <w:r>
        <w:rPr>
          <w:rFonts w:ascii="Times New Roman" w:hAnsi="Times New Roman" w:eastAsia="Times New Roman" w:cs="Times New Roman"/>
          <w:spacing w:val="6"/>
          <w:sz w:val="25"/>
          <w:szCs w:val="25"/>
        </w:rPr>
        <w:t>009</w:t>
      </w:r>
      <w:r>
        <w:rPr>
          <w:rFonts w:ascii="仿宋" w:hAnsi="仿宋" w:eastAsia="仿宋" w:cs="仿宋"/>
          <w:spacing w:val="6"/>
          <w:sz w:val="25"/>
          <w:szCs w:val="25"/>
        </w:rPr>
        <w:t>（铸型用砂岩）地处陡坡地貌，地面工业</w:t>
      </w:r>
      <w:r>
        <w:rPr>
          <w:rFonts w:ascii="仿宋" w:hAnsi="仿宋" w:eastAsia="仿宋" w:cs="仿宋"/>
          <w:spacing w:val="5"/>
          <w:sz w:val="25"/>
          <w:szCs w:val="25"/>
        </w:rPr>
        <w:t>广场选址时尽量选择</w:t>
      </w:r>
      <w:r>
        <w:rPr>
          <w:rFonts w:ascii="仿宋" w:hAnsi="仿宋" w:eastAsia="仿宋" w:cs="仿宋"/>
          <w:sz w:val="25"/>
          <w:szCs w:val="25"/>
        </w:rPr>
        <w:t xml:space="preserve"> </w:t>
      </w:r>
      <w:r>
        <w:rPr>
          <w:rFonts w:ascii="仿宋" w:hAnsi="仿宋" w:eastAsia="仿宋" w:cs="仿宋"/>
          <w:spacing w:val="5"/>
          <w:sz w:val="25"/>
          <w:szCs w:val="25"/>
        </w:rPr>
        <w:t>地势平坦的位置，</w:t>
      </w:r>
      <w:r>
        <w:rPr>
          <w:rFonts w:ascii="仿宋" w:hAnsi="仿宋" w:eastAsia="仿宋" w:cs="仿宋"/>
          <w:spacing w:val="-56"/>
          <w:sz w:val="25"/>
          <w:szCs w:val="25"/>
        </w:rPr>
        <w:t xml:space="preserve"> </w:t>
      </w:r>
      <w:r>
        <w:rPr>
          <w:rFonts w:ascii="仿宋" w:hAnsi="仿宋" w:eastAsia="仿宋" w:cs="仿宋"/>
          <w:spacing w:val="5"/>
          <w:sz w:val="25"/>
          <w:szCs w:val="25"/>
        </w:rPr>
        <w:t>以减少发生坍塌事故发生。</w:t>
      </w:r>
    </w:p>
    <w:p w14:paraId="35E5DE4A">
      <w:pPr>
        <w:spacing w:before="147" w:line="303" w:lineRule="auto"/>
        <w:ind w:left="23" w:firstLine="518"/>
        <w:rPr>
          <w:rFonts w:ascii="仿宋" w:hAnsi="仿宋" w:eastAsia="仿宋" w:cs="仿宋"/>
          <w:sz w:val="25"/>
          <w:szCs w:val="25"/>
        </w:rPr>
      </w:pPr>
      <w:r>
        <w:rPr>
          <w:rFonts w:ascii="仿宋" w:hAnsi="仿宋" w:eastAsia="仿宋" w:cs="仿宋"/>
          <w:sz w:val="25"/>
          <w:szCs w:val="25"/>
        </w:rPr>
        <w:t>（</w:t>
      </w:r>
      <w:r>
        <w:rPr>
          <w:rFonts w:ascii="Times New Roman" w:hAnsi="Times New Roman" w:eastAsia="Times New Roman" w:cs="Times New Roman"/>
          <w:sz w:val="25"/>
          <w:szCs w:val="25"/>
        </w:rPr>
        <w:t>3</w:t>
      </w:r>
      <w:r>
        <w:rPr>
          <w:rFonts w:ascii="仿宋" w:hAnsi="仿宋" w:eastAsia="仿宋" w:cs="仿宋"/>
          <w:sz w:val="25"/>
          <w:szCs w:val="25"/>
        </w:rPr>
        <w:t>）建立地质灾害应急体系，配备专职人员，加强矿区地质灾害隐患排查、</w:t>
      </w:r>
      <w:r>
        <w:rPr>
          <w:rFonts w:ascii="仿宋" w:hAnsi="仿宋" w:eastAsia="仿宋" w:cs="仿宋"/>
          <w:spacing w:val="9"/>
          <w:sz w:val="25"/>
          <w:szCs w:val="25"/>
        </w:rPr>
        <w:t xml:space="preserve"> 监测预测和事故风险防范应急演练，做好周边居民宣传工作，与当地消防、规</w:t>
      </w:r>
      <w:r>
        <w:rPr>
          <w:rFonts w:ascii="仿宋" w:hAnsi="仿宋" w:eastAsia="仿宋" w:cs="仿宋"/>
          <w:spacing w:val="12"/>
          <w:sz w:val="25"/>
          <w:szCs w:val="25"/>
        </w:rPr>
        <w:t xml:space="preserve"> </w:t>
      </w:r>
      <w:r>
        <w:rPr>
          <w:rFonts w:ascii="仿宋" w:hAnsi="仿宋" w:eastAsia="仿宋" w:cs="仿宋"/>
          <w:spacing w:val="9"/>
          <w:sz w:val="25"/>
          <w:szCs w:val="25"/>
        </w:rPr>
        <w:t>资、卫生、生态环境等政府部门、机构建立联</w:t>
      </w:r>
      <w:r>
        <w:rPr>
          <w:rFonts w:ascii="仿宋" w:hAnsi="仿宋" w:eastAsia="仿宋" w:cs="仿宋"/>
          <w:spacing w:val="8"/>
          <w:sz w:val="25"/>
          <w:szCs w:val="25"/>
        </w:rPr>
        <w:t>合应急工作机制。</w:t>
      </w:r>
    </w:p>
    <w:p w14:paraId="737ABD7D">
      <w:pPr>
        <w:spacing w:before="150" w:line="284" w:lineRule="auto"/>
        <w:ind w:left="16" w:right="83" w:firstLine="525"/>
        <w:rPr>
          <w:rFonts w:ascii="仿宋" w:hAnsi="仿宋" w:eastAsia="仿宋" w:cs="仿宋"/>
          <w:sz w:val="25"/>
          <w:szCs w:val="25"/>
        </w:rPr>
      </w:pPr>
      <w:r>
        <w:rPr>
          <w:rFonts w:ascii="仿宋" w:hAnsi="仿宋" w:eastAsia="仿宋" w:cs="仿宋"/>
          <w:spacing w:val="5"/>
          <w:sz w:val="25"/>
          <w:szCs w:val="25"/>
        </w:rPr>
        <w:t>（</w:t>
      </w:r>
      <w:r>
        <w:rPr>
          <w:rFonts w:ascii="Times New Roman" w:hAnsi="Times New Roman" w:eastAsia="Times New Roman" w:cs="Times New Roman"/>
          <w:spacing w:val="5"/>
          <w:sz w:val="25"/>
          <w:szCs w:val="25"/>
        </w:rPr>
        <w:t>4</w:t>
      </w:r>
      <w:r>
        <w:rPr>
          <w:rFonts w:ascii="仿宋" w:hAnsi="仿宋" w:eastAsia="仿宋" w:cs="仿宋"/>
          <w:spacing w:val="5"/>
          <w:sz w:val="25"/>
          <w:szCs w:val="25"/>
        </w:rPr>
        <w:t>）对于绿色矿业发展、绿色矿山建设和历史遗留矿山、在建、在采及新</w:t>
      </w:r>
      <w:r>
        <w:rPr>
          <w:rFonts w:ascii="仿宋" w:hAnsi="仿宋" w:eastAsia="仿宋" w:cs="仿宋"/>
          <w:spacing w:val="10"/>
          <w:sz w:val="25"/>
          <w:szCs w:val="25"/>
        </w:rPr>
        <w:t xml:space="preserve"> </w:t>
      </w:r>
      <w:r>
        <w:rPr>
          <w:rFonts w:ascii="仿宋" w:hAnsi="仿宋" w:eastAsia="仿宋" w:cs="仿宋"/>
          <w:spacing w:val="9"/>
          <w:sz w:val="25"/>
          <w:szCs w:val="25"/>
        </w:rPr>
        <w:t>建矿山的地质环境恢复治理与土地复垦，不得引进外</w:t>
      </w:r>
      <w:r>
        <w:rPr>
          <w:rFonts w:ascii="仿宋" w:hAnsi="仿宋" w:eastAsia="仿宋" w:cs="仿宋"/>
          <w:spacing w:val="8"/>
          <w:sz w:val="25"/>
          <w:szCs w:val="25"/>
        </w:rPr>
        <w:t>来物种。</w:t>
      </w:r>
    </w:p>
    <w:p w14:paraId="799F51B7">
      <w:pPr>
        <w:spacing w:before="273" w:line="229" w:lineRule="auto"/>
        <w:ind w:left="8"/>
        <w:outlineLvl w:val="3"/>
        <w:rPr>
          <w:rFonts w:ascii="仿宋" w:hAnsi="仿宋" w:eastAsia="仿宋" w:cs="仿宋"/>
          <w:sz w:val="25"/>
          <w:szCs w:val="25"/>
        </w:rPr>
      </w:pPr>
      <w:r>
        <w:rPr>
          <w:rFonts w:ascii="Times New Roman" w:hAnsi="Times New Roman" w:eastAsia="Times New Roman" w:cs="Times New Roman"/>
          <w:b/>
          <w:bCs/>
          <w:spacing w:val="4"/>
          <w:sz w:val="25"/>
          <w:szCs w:val="25"/>
        </w:rPr>
        <w:t>7.1.2.8</w:t>
      </w:r>
      <w:r>
        <w:rPr>
          <w:rFonts w:ascii="Times New Roman" w:hAnsi="Times New Roman" w:eastAsia="Times New Roman" w:cs="Times New Roman"/>
          <w:b/>
          <w:bCs/>
          <w:spacing w:val="24"/>
          <w:sz w:val="25"/>
          <w:szCs w:val="25"/>
        </w:rPr>
        <w:t xml:space="preserve"> </w:t>
      </w:r>
      <w:r>
        <w:rPr>
          <w:rFonts w:ascii="仿宋" w:hAnsi="仿宋" w:eastAsia="仿宋" w:cs="仿宋"/>
          <w:b/>
          <w:bCs/>
          <w:spacing w:val="4"/>
          <w:sz w:val="25"/>
          <w:szCs w:val="25"/>
        </w:rPr>
        <w:t>水土流失对策措施</w:t>
      </w:r>
    </w:p>
    <w:p w14:paraId="0E0DEF1C">
      <w:pPr>
        <w:spacing w:line="229" w:lineRule="auto"/>
        <w:rPr>
          <w:rFonts w:ascii="仿宋" w:hAnsi="仿宋" w:eastAsia="仿宋" w:cs="仿宋"/>
          <w:sz w:val="25"/>
          <w:szCs w:val="25"/>
        </w:rPr>
        <w:sectPr>
          <w:headerReference r:id="rId232" w:type="default"/>
          <w:footerReference r:id="rId233" w:type="default"/>
          <w:pgSz w:w="11906" w:h="16839"/>
          <w:pgMar w:top="1116" w:right="1392" w:bottom="866" w:left="1587" w:header="683" w:footer="703" w:gutter="0"/>
          <w:cols w:space="720" w:num="1"/>
        </w:sectPr>
      </w:pPr>
    </w:p>
    <w:p w14:paraId="2481E472">
      <w:pPr>
        <w:pStyle w:val="2"/>
        <w:spacing w:line="385" w:lineRule="auto"/>
      </w:pPr>
    </w:p>
    <w:p w14:paraId="033607BB">
      <w:pPr>
        <w:spacing w:before="81" w:line="285" w:lineRule="auto"/>
        <w:ind w:left="16" w:right="68" w:firstLine="525"/>
        <w:rPr>
          <w:rFonts w:ascii="仿宋" w:hAnsi="仿宋" w:eastAsia="仿宋" w:cs="仿宋"/>
          <w:sz w:val="25"/>
          <w:szCs w:val="25"/>
        </w:rPr>
      </w:pPr>
      <w:r>
        <w:rPr>
          <w:rFonts w:ascii="仿宋" w:hAnsi="仿宋" w:eastAsia="仿宋" w:cs="仿宋"/>
          <w:spacing w:val="5"/>
          <w:sz w:val="25"/>
          <w:szCs w:val="25"/>
        </w:rPr>
        <w:t>（</w:t>
      </w:r>
      <w:r>
        <w:rPr>
          <w:rFonts w:ascii="Times New Roman" w:hAnsi="Times New Roman" w:eastAsia="Times New Roman" w:cs="Times New Roman"/>
          <w:spacing w:val="5"/>
          <w:sz w:val="25"/>
          <w:szCs w:val="25"/>
        </w:rPr>
        <w:t>1</w:t>
      </w:r>
      <w:r>
        <w:rPr>
          <w:rFonts w:ascii="仿宋" w:hAnsi="仿宋" w:eastAsia="仿宋" w:cs="仿宋"/>
          <w:spacing w:val="5"/>
          <w:sz w:val="25"/>
          <w:szCs w:val="25"/>
        </w:rPr>
        <w:t>）在工业场地、矿区等四周均应修建截排水沟，确保雨季上游来水的有</w:t>
      </w:r>
      <w:r>
        <w:rPr>
          <w:rFonts w:ascii="仿宋" w:hAnsi="仿宋" w:eastAsia="仿宋" w:cs="仿宋"/>
          <w:spacing w:val="10"/>
          <w:sz w:val="25"/>
          <w:szCs w:val="25"/>
        </w:rPr>
        <w:t xml:space="preserve"> </w:t>
      </w:r>
      <w:r>
        <w:rPr>
          <w:rFonts w:ascii="仿宋" w:hAnsi="仿宋" w:eastAsia="仿宋" w:cs="仿宋"/>
          <w:spacing w:val="7"/>
          <w:sz w:val="25"/>
          <w:szCs w:val="25"/>
        </w:rPr>
        <w:t>序疏导，减少水体流失。</w:t>
      </w:r>
    </w:p>
    <w:p w14:paraId="3EBB9CD6">
      <w:pPr>
        <w:spacing w:before="148" w:line="284" w:lineRule="auto"/>
        <w:ind w:left="17" w:right="68" w:firstLine="524"/>
        <w:rPr>
          <w:rFonts w:ascii="仿宋" w:hAnsi="仿宋" w:eastAsia="仿宋" w:cs="仿宋"/>
          <w:sz w:val="25"/>
          <w:szCs w:val="25"/>
        </w:rPr>
      </w:pPr>
      <w:r>
        <w:rPr>
          <w:rFonts w:ascii="仿宋" w:hAnsi="仿宋" w:eastAsia="仿宋" w:cs="仿宋"/>
          <w:spacing w:val="5"/>
          <w:sz w:val="25"/>
          <w:szCs w:val="25"/>
        </w:rPr>
        <w:t>（</w:t>
      </w:r>
      <w:r>
        <w:rPr>
          <w:rFonts w:ascii="Times New Roman" w:hAnsi="Times New Roman" w:eastAsia="Times New Roman" w:cs="Times New Roman"/>
          <w:spacing w:val="5"/>
          <w:sz w:val="25"/>
          <w:szCs w:val="25"/>
        </w:rPr>
        <w:t>2</w:t>
      </w:r>
      <w:r>
        <w:rPr>
          <w:rFonts w:ascii="仿宋" w:hAnsi="仿宋" w:eastAsia="仿宋" w:cs="仿宋"/>
          <w:spacing w:val="5"/>
          <w:sz w:val="25"/>
          <w:szCs w:val="25"/>
        </w:rPr>
        <w:t>）合理布设堆矿场和临时废石堆场，矿石和废石均不得随意堆放，堆矿</w:t>
      </w:r>
      <w:r>
        <w:rPr>
          <w:rFonts w:ascii="仿宋" w:hAnsi="仿宋" w:eastAsia="仿宋" w:cs="仿宋"/>
          <w:spacing w:val="10"/>
          <w:sz w:val="25"/>
          <w:szCs w:val="25"/>
        </w:rPr>
        <w:t xml:space="preserve"> </w:t>
      </w:r>
      <w:r>
        <w:rPr>
          <w:rFonts w:ascii="仿宋" w:hAnsi="仿宋" w:eastAsia="仿宋" w:cs="仿宋"/>
          <w:spacing w:val="8"/>
          <w:sz w:val="25"/>
          <w:szCs w:val="25"/>
        </w:rPr>
        <w:t>场和临时废石堆场周边修建截排水沟。</w:t>
      </w:r>
    </w:p>
    <w:p w14:paraId="60241F64">
      <w:pPr>
        <w:spacing w:before="151" w:line="283" w:lineRule="auto"/>
        <w:ind w:left="19" w:right="68" w:firstLine="522"/>
        <w:rPr>
          <w:rFonts w:ascii="仿宋" w:hAnsi="仿宋" w:eastAsia="仿宋" w:cs="仿宋"/>
          <w:sz w:val="25"/>
          <w:szCs w:val="25"/>
        </w:rPr>
      </w:pPr>
      <w:r>
        <w:rPr>
          <w:rFonts w:ascii="仿宋" w:hAnsi="仿宋" w:eastAsia="仿宋" w:cs="仿宋"/>
          <w:spacing w:val="5"/>
          <w:sz w:val="25"/>
          <w:szCs w:val="25"/>
        </w:rPr>
        <w:t>（</w:t>
      </w:r>
      <w:r>
        <w:rPr>
          <w:rFonts w:ascii="Times New Roman" w:hAnsi="Times New Roman" w:eastAsia="Times New Roman" w:cs="Times New Roman"/>
          <w:spacing w:val="5"/>
          <w:sz w:val="25"/>
          <w:szCs w:val="25"/>
        </w:rPr>
        <w:t>3</w:t>
      </w:r>
      <w:r>
        <w:rPr>
          <w:rFonts w:ascii="仿宋" w:hAnsi="仿宋" w:eastAsia="仿宋" w:cs="仿宋"/>
          <w:spacing w:val="5"/>
          <w:sz w:val="25"/>
          <w:szCs w:val="25"/>
        </w:rPr>
        <w:t>）工业场地内部合理布设给排水系统，做好临时防护措施；做好坡面水</w:t>
      </w:r>
      <w:r>
        <w:rPr>
          <w:rFonts w:ascii="仿宋" w:hAnsi="仿宋" w:eastAsia="仿宋" w:cs="仿宋"/>
          <w:spacing w:val="10"/>
          <w:sz w:val="25"/>
          <w:szCs w:val="25"/>
        </w:rPr>
        <w:t xml:space="preserve"> </w:t>
      </w:r>
      <w:r>
        <w:rPr>
          <w:rFonts w:ascii="仿宋" w:hAnsi="仿宋" w:eastAsia="仿宋" w:cs="仿宋"/>
          <w:spacing w:val="6"/>
          <w:sz w:val="25"/>
          <w:szCs w:val="25"/>
        </w:rPr>
        <w:t>土流失防治工作。</w:t>
      </w:r>
    </w:p>
    <w:p w14:paraId="0414E97F">
      <w:pPr>
        <w:spacing w:before="153" w:line="227" w:lineRule="auto"/>
        <w:ind w:left="541"/>
        <w:rPr>
          <w:rFonts w:ascii="仿宋" w:hAnsi="仿宋" w:eastAsia="仿宋" w:cs="仿宋"/>
          <w:sz w:val="25"/>
          <w:szCs w:val="25"/>
        </w:rPr>
      </w:pPr>
      <w:r>
        <w:rPr>
          <w:rFonts w:ascii="仿宋" w:hAnsi="仿宋" w:eastAsia="仿宋" w:cs="仿宋"/>
          <w:spacing w:val="8"/>
          <w:sz w:val="25"/>
          <w:szCs w:val="25"/>
        </w:rPr>
        <w:t>（</w:t>
      </w:r>
      <w:r>
        <w:rPr>
          <w:rFonts w:ascii="Times New Roman" w:hAnsi="Times New Roman" w:eastAsia="Times New Roman" w:cs="Times New Roman"/>
          <w:spacing w:val="8"/>
          <w:sz w:val="25"/>
          <w:szCs w:val="25"/>
        </w:rPr>
        <w:t>4</w:t>
      </w:r>
      <w:r>
        <w:rPr>
          <w:rFonts w:ascii="仿宋" w:hAnsi="仿宋" w:eastAsia="仿宋" w:cs="仿宋"/>
          <w:spacing w:val="8"/>
          <w:sz w:val="25"/>
          <w:szCs w:val="25"/>
        </w:rPr>
        <w:t>）建议矿山企业均应编制完整的水土保持方案并严格执行。</w:t>
      </w:r>
    </w:p>
    <w:p w14:paraId="265B1F66">
      <w:pPr>
        <w:spacing w:before="273" w:line="229" w:lineRule="auto"/>
        <w:ind w:left="8"/>
        <w:outlineLvl w:val="2"/>
        <w:rPr>
          <w:rFonts w:ascii="仿宋" w:hAnsi="仿宋" w:eastAsia="仿宋" w:cs="仿宋"/>
          <w:sz w:val="25"/>
          <w:szCs w:val="25"/>
        </w:rPr>
      </w:pPr>
      <w:r>
        <w:rPr>
          <w:rFonts w:ascii="Times New Roman" w:hAnsi="Times New Roman" w:eastAsia="Times New Roman" w:cs="Times New Roman"/>
          <w:b/>
          <w:bCs/>
          <w:spacing w:val="2"/>
          <w:sz w:val="25"/>
          <w:szCs w:val="25"/>
        </w:rPr>
        <w:t>7.1.3</w:t>
      </w:r>
      <w:r>
        <w:rPr>
          <w:rFonts w:ascii="Times New Roman" w:hAnsi="Times New Roman" w:eastAsia="Times New Roman" w:cs="Times New Roman"/>
          <w:b/>
          <w:bCs/>
          <w:spacing w:val="47"/>
          <w:sz w:val="25"/>
          <w:szCs w:val="25"/>
        </w:rPr>
        <w:t xml:space="preserve"> </w:t>
      </w:r>
      <w:r>
        <w:rPr>
          <w:rFonts w:ascii="仿宋" w:hAnsi="仿宋" w:eastAsia="仿宋" w:cs="仿宋"/>
          <w:b/>
          <w:bCs/>
          <w:spacing w:val="2"/>
          <w:sz w:val="25"/>
          <w:szCs w:val="25"/>
        </w:rPr>
        <w:t>生态修复与建设</w:t>
      </w:r>
    </w:p>
    <w:p w14:paraId="3DB1C740">
      <w:pPr>
        <w:spacing w:before="269" w:line="340" w:lineRule="auto"/>
        <w:ind w:left="23" w:right="68" w:firstLine="471"/>
        <w:rPr>
          <w:rFonts w:ascii="仿宋" w:hAnsi="仿宋" w:eastAsia="仿宋" w:cs="仿宋"/>
          <w:sz w:val="25"/>
          <w:szCs w:val="25"/>
        </w:rPr>
      </w:pPr>
      <w:r>
        <w:rPr>
          <w:rFonts w:ascii="仿宋" w:hAnsi="仿宋" w:eastAsia="仿宋" w:cs="仿宋"/>
          <w:spacing w:val="11"/>
          <w:sz w:val="25"/>
          <w:szCs w:val="25"/>
        </w:rPr>
        <w:t>加强矿山地质环境恢复治理，促进矿业绿色发展，维护国家</w:t>
      </w:r>
      <w:r>
        <w:rPr>
          <w:rFonts w:ascii="仿宋" w:hAnsi="仿宋" w:eastAsia="仿宋" w:cs="仿宋"/>
          <w:spacing w:val="10"/>
          <w:sz w:val="25"/>
          <w:szCs w:val="25"/>
        </w:rPr>
        <w:t>生态安全。结</w:t>
      </w:r>
      <w:r>
        <w:rPr>
          <w:rFonts w:ascii="仿宋" w:hAnsi="仿宋" w:eastAsia="仿宋" w:cs="仿宋"/>
          <w:sz w:val="25"/>
          <w:szCs w:val="25"/>
        </w:rPr>
        <w:t xml:space="preserve"> </w:t>
      </w:r>
      <w:r>
        <w:rPr>
          <w:rFonts w:ascii="仿宋" w:hAnsi="仿宋" w:eastAsia="仿宋" w:cs="仿宋"/>
          <w:spacing w:val="9"/>
          <w:sz w:val="25"/>
          <w:szCs w:val="25"/>
        </w:rPr>
        <w:t>合新修订的《中华人民共和国矿产资源法》逐步落</w:t>
      </w:r>
      <w:r>
        <w:rPr>
          <w:rFonts w:ascii="仿宋" w:hAnsi="仿宋" w:eastAsia="仿宋" w:cs="仿宋"/>
          <w:spacing w:val="8"/>
          <w:sz w:val="25"/>
          <w:szCs w:val="25"/>
        </w:rPr>
        <w:t>实矿山生态修复。</w:t>
      </w:r>
    </w:p>
    <w:p w14:paraId="5EB50DDE">
      <w:pPr>
        <w:spacing w:before="2" w:line="339" w:lineRule="auto"/>
        <w:ind w:left="15" w:right="66" w:firstLine="496"/>
        <w:jc w:val="both"/>
        <w:rPr>
          <w:rFonts w:ascii="仿宋" w:hAnsi="仿宋" w:eastAsia="仿宋" w:cs="仿宋"/>
          <w:sz w:val="25"/>
          <w:szCs w:val="25"/>
        </w:rPr>
      </w:pPr>
      <w:r>
        <w:rPr>
          <w:rFonts w:ascii="仿宋" w:hAnsi="仿宋" w:eastAsia="仿宋" w:cs="仿宋"/>
          <w:spacing w:val="11"/>
          <w:sz w:val="25"/>
          <w:szCs w:val="25"/>
        </w:rPr>
        <w:t>生态环境影响防护、恢复应遵循</w:t>
      </w:r>
      <w:r>
        <w:rPr>
          <w:rFonts w:ascii="Times New Roman" w:hAnsi="Times New Roman" w:eastAsia="Times New Roman" w:cs="Times New Roman"/>
          <w:spacing w:val="11"/>
          <w:sz w:val="25"/>
          <w:szCs w:val="25"/>
        </w:rPr>
        <w:t>“</w:t>
      </w:r>
      <w:r>
        <w:rPr>
          <w:rFonts w:ascii="仿宋" w:hAnsi="仿宋" w:eastAsia="仿宋" w:cs="仿宋"/>
          <w:spacing w:val="11"/>
          <w:sz w:val="25"/>
          <w:szCs w:val="25"/>
        </w:rPr>
        <w:t>避让、减缓、修复和补偿</w:t>
      </w:r>
      <w:r>
        <w:rPr>
          <w:rFonts w:ascii="Times New Roman" w:hAnsi="Times New Roman" w:eastAsia="Times New Roman" w:cs="Times New Roman"/>
          <w:spacing w:val="11"/>
          <w:sz w:val="25"/>
          <w:szCs w:val="25"/>
        </w:rPr>
        <w:t>”</w:t>
      </w:r>
      <w:r>
        <w:rPr>
          <w:rFonts w:ascii="仿宋" w:hAnsi="仿宋" w:eastAsia="仿宋" w:cs="仿宋"/>
          <w:spacing w:val="11"/>
          <w:sz w:val="25"/>
          <w:szCs w:val="25"/>
        </w:rPr>
        <w:t>这</w:t>
      </w:r>
      <w:r>
        <w:rPr>
          <w:rFonts w:ascii="仿宋" w:hAnsi="仿宋" w:eastAsia="仿宋" w:cs="仿宋"/>
          <w:spacing w:val="10"/>
          <w:sz w:val="25"/>
          <w:szCs w:val="25"/>
        </w:rPr>
        <w:t>一顺序，严</w:t>
      </w:r>
      <w:r>
        <w:rPr>
          <w:rFonts w:ascii="仿宋" w:hAnsi="仿宋" w:eastAsia="仿宋" w:cs="仿宋"/>
          <w:sz w:val="25"/>
          <w:szCs w:val="25"/>
        </w:rPr>
        <w:t xml:space="preserve"> </w:t>
      </w:r>
      <w:r>
        <w:rPr>
          <w:rFonts w:ascii="仿宋" w:hAnsi="仿宋" w:eastAsia="仿宋" w:cs="仿宋"/>
          <w:spacing w:val="6"/>
          <w:sz w:val="25"/>
          <w:szCs w:val="25"/>
        </w:rPr>
        <w:t>格控制矿产资源开发对环境造成的损害，并贯彻</w:t>
      </w:r>
      <w:r>
        <w:rPr>
          <w:rFonts w:ascii="Times New Roman" w:hAnsi="Times New Roman" w:eastAsia="Times New Roman" w:cs="Times New Roman"/>
          <w:spacing w:val="6"/>
          <w:sz w:val="25"/>
          <w:szCs w:val="25"/>
        </w:rPr>
        <w:t>“</w:t>
      </w:r>
      <w:r>
        <w:rPr>
          <w:rFonts w:ascii="仿宋" w:hAnsi="仿宋" w:eastAsia="仿宋" w:cs="仿宋"/>
          <w:spacing w:val="6"/>
          <w:sz w:val="25"/>
          <w:szCs w:val="25"/>
        </w:rPr>
        <w:t>谁污染、谁治理、谁开发、谁</w:t>
      </w:r>
      <w:r>
        <w:rPr>
          <w:rFonts w:ascii="仿宋" w:hAnsi="仿宋" w:eastAsia="仿宋" w:cs="仿宋"/>
          <w:spacing w:val="5"/>
          <w:sz w:val="25"/>
          <w:szCs w:val="25"/>
        </w:rPr>
        <w:t xml:space="preserve"> </w:t>
      </w:r>
      <w:r>
        <w:rPr>
          <w:rFonts w:ascii="仿宋" w:hAnsi="仿宋" w:eastAsia="仿宋" w:cs="仿宋"/>
          <w:spacing w:val="6"/>
          <w:sz w:val="25"/>
          <w:szCs w:val="25"/>
        </w:rPr>
        <w:t>保护</w:t>
      </w:r>
      <w:r>
        <w:rPr>
          <w:rFonts w:ascii="Times New Roman" w:hAnsi="Times New Roman" w:eastAsia="Times New Roman" w:cs="Times New Roman"/>
          <w:spacing w:val="6"/>
          <w:sz w:val="25"/>
          <w:szCs w:val="25"/>
        </w:rPr>
        <w:t>”</w:t>
      </w:r>
      <w:r>
        <w:rPr>
          <w:rFonts w:ascii="仿宋" w:hAnsi="仿宋" w:eastAsia="仿宋" w:cs="仿宋"/>
          <w:spacing w:val="6"/>
          <w:sz w:val="25"/>
          <w:szCs w:val="25"/>
        </w:rPr>
        <w:t>的原则，搞好生态保护恢复建设，有利于保护生物多样性，维持或修复生</w:t>
      </w:r>
      <w:r>
        <w:rPr>
          <w:rFonts w:ascii="仿宋" w:hAnsi="仿宋" w:eastAsia="仿宋" w:cs="仿宋"/>
          <w:spacing w:val="7"/>
          <w:sz w:val="25"/>
          <w:szCs w:val="25"/>
        </w:rPr>
        <w:t xml:space="preserve"> </w:t>
      </w:r>
      <w:r>
        <w:rPr>
          <w:rFonts w:ascii="仿宋" w:hAnsi="仿宋" w:eastAsia="仿宋" w:cs="仿宋"/>
          <w:spacing w:val="8"/>
          <w:sz w:val="25"/>
          <w:szCs w:val="25"/>
        </w:rPr>
        <w:t>态系统功能使生态效益和经济效益相协调。</w:t>
      </w:r>
    </w:p>
    <w:p w14:paraId="414A4C03">
      <w:pPr>
        <w:spacing w:before="1" w:line="229" w:lineRule="auto"/>
        <w:ind w:left="500"/>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1</w:t>
      </w:r>
      <w:r>
        <w:rPr>
          <w:rFonts w:ascii="仿宋" w:hAnsi="仿宋" w:eastAsia="仿宋" w:cs="仿宋"/>
          <w:spacing w:val="7"/>
          <w:sz w:val="25"/>
          <w:szCs w:val="25"/>
        </w:rPr>
        <w:t>）空间合理避让</w:t>
      </w:r>
    </w:p>
    <w:p w14:paraId="4D8A4ED3">
      <w:pPr>
        <w:spacing w:before="151" w:line="339" w:lineRule="auto"/>
        <w:ind w:left="16" w:right="68" w:firstLine="479"/>
        <w:rPr>
          <w:rFonts w:ascii="仿宋" w:hAnsi="仿宋" w:eastAsia="仿宋" w:cs="仿宋"/>
          <w:sz w:val="25"/>
          <w:szCs w:val="25"/>
        </w:rPr>
      </w:pPr>
      <w:r>
        <w:rPr>
          <w:rFonts w:ascii="仿宋" w:hAnsi="仿宋" w:eastAsia="仿宋" w:cs="仿宋"/>
          <w:spacing w:val="11"/>
          <w:sz w:val="25"/>
          <w:szCs w:val="25"/>
        </w:rPr>
        <w:t>规划阶段与生态保护红线和各类环境敏感区进行较充分的衔</w:t>
      </w:r>
      <w:r>
        <w:rPr>
          <w:rFonts w:ascii="仿宋" w:hAnsi="仿宋" w:eastAsia="仿宋" w:cs="仿宋"/>
          <w:spacing w:val="10"/>
          <w:sz w:val="25"/>
          <w:szCs w:val="25"/>
        </w:rPr>
        <w:t>接，对与空间</w:t>
      </w:r>
      <w:r>
        <w:rPr>
          <w:rFonts w:ascii="仿宋" w:hAnsi="仿宋" w:eastAsia="仿宋" w:cs="仿宋"/>
          <w:sz w:val="25"/>
          <w:szCs w:val="25"/>
        </w:rPr>
        <w:t xml:space="preserve"> </w:t>
      </w:r>
      <w:r>
        <w:rPr>
          <w:rFonts w:ascii="仿宋" w:hAnsi="仿宋" w:eastAsia="仿宋" w:cs="仿宋"/>
          <w:spacing w:val="10"/>
          <w:sz w:val="25"/>
          <w:szCs w:val="25"/>
        </w:rPr>
        <w:t>管控要求不一致的矿山在规划和规划环评互</w:t>
      </w:r>
      <w:r>
        <w:rPr>
          <w:rFonts w:ascii="仿宋" w:hAnsi="仿宋" w:eastAsia="仿宋" w:cs="仿宋"/>
          <w:spacing w:val="9"/>
          <w:sz w:val="25"/>
          <w:szCs w:val="25"/>
        </w:rPr>
        <w:t>动阶段采纳了规划环评提出的意见</w:t>
      </w:r>
      <w:r>
        <w:rPr>
          <w:rFonts w:ascii="仿宋" w:hAnsi="仿宋" w:eastAsia="仿宋" w:cs="仿宋"/>
          <w:sz w:val="25"/>
          <w:szCs w:val="25"/>
        </w:rPr>
        <w:t xml:space="preserve"> </w:t>
      </w:r>
      <w:r>
        <w:rPr>
          <w:rFonts w:ascii="仿宋" w:hAnsi="仿宋" w:eastAsia="仿宋" w:cs="仿宋"/>
          <w:spacing w:val="10"/>
          <w:sz w:val="25"/>
          <w:szCs w:val="25"/>
        </w:rPr>
        <w:t>和建议，很大程度从源头上降低了对生态环</w:t>
      </w:r>
      <w:r>
        <w:rPr>
          <w:rFonts w:ascii="仿宋" w:hAnsi="仿宋" w:eastAsia="仿宋" w:cs="仿宋"/>
          <w:spacing w:val="9"/>
          <w:sz w:val="25"/>
          <w:szCs w:val="25"/>
        </w:rPr>
        <w:t>境的不利影响。针对仍存在冲突的</w:t>
      </w:r>
      <w:r>
        <w:rPr>
          <w:rFonts w:ascii="仿宋" w:hAnsi="仿宋" w:eastAsia="仿宋" w:cs="仿宋"/>
          <w:sz w:val="25"/>
          <w:szCs w:val="25"/>
        </w:rPr>
        <w:t xml:space="preserve"> </w:t>
      </w:r>
      <w:r>
        <w:rPr>
          <w:rFonts w:ascii="仿宋" w:hAnsi="仿宋" w:eastAsia="仿宋" w:cs="仿宋"/>
          <w:spacing w:val="9"/>
          <w:sz w:val="25"/>
          <w:szCs w:val="25"/>
        </w:rPr>
        <w:t>区块，规划补充环评也提出了针对性的优化调</w:t>
      </w:r>
      <w:r>
        <w:rPr>
          <w:rFonts w:ascii="仿宋" w:hAnsi="仿宋" w:eastAsia="仿宋" w:cs="仿宋"/>
          <w:spacing w:val="8"/>
          <w:sz w:val="25"/>
          <w:szCs w:val="25"/>
        </w:rPr>
        <w:t>整建议。</w:t>
      </w:r>
    </w:p>
    <w:p w14:paraId="6E249EA3">
      <w:pPr>
        <w:spacing w:before="4" w:line="339" w:lineRule="auto"/>
        <w:ind w:left="15" w:right="68" w:firstLine="482"/>
        <w:jc w:val="both"/>
        <w:rPr>
          <w:rFonts w:ascii="仿宋" w:hAnsi="仿宋" w:eastAsia="仿宋" w:cs="仿宋"/>
          <w:sz w:val="25"/>
          <w:szCs w:val="25"/>
        </w:rPr>
      </w:pPr>
      <w:r>
        <w:rPr>
          <w:rFonts w:ascii="仿宋" w:hAnsi="仿宋" w:eastAsia="仿宋" w:cs="仿宋"/>
          <w:spacing w:val="11"/>
          <w:sz w:val="25"/>
          <w:szCs w:val="25"/>
        </w:rPr>
        <w:t>在开采过程中若发现珍稀保护植物或古树名木，集中</w:t>
      </w:r>
      <w:r>
        <w:rPr>
          <w:rFonts w:ascii="仿宋" w:hAnsi="仿宋" w:eastAsia="仿宋" w:cs="仿宋"/>
          <w:spacing w:val="10"/>
          <w:sz w:val="25"/>
          <w:szCs w:val="25"/>
        </w:rPr>
        <w:t>分布的应首先采取避</w:t>
      </w:r>
      <w:r>
        <w:rPr>
          <w:rFonts w:ascii="仿宋" w:hAnsi="仿宋" w:eastAsia="仿宋" w:cs="仿宋"/>
          <w:sz w:val="25"/>
          <w:szCs w:val="25"/>
        </w:rPr>
        <w:t xml:space="preserve"> </w:t>
      </w:r>
      <w:r>
        <w:rPr>
          <w:rFonts w:ascii="仿宋" w:hAnsi="仿宋" w:eastAsia="仿宋" w:cs="仿宋"/>
          <w:spacing w:val="10"/>
          <w:sz w:val="25"/>
          <w:szCs w:val="25"/>
        </w:rPr>
        <w:t>让措施，无法避让的应按照《国家林业和草原</w:t>
      </w:r>
      <w:r>
        <w:rPr>
          <w:rFonts w:ascii="仿宋" w:hAnsi="仿宋" w:eastAsia="仿宋" w:cs="仿宋"/>
          <w:spacing w:val="9"/>
          <w:sz w:val="25"/>
          <w:szCs w:val="25"/>
        </w:rPr>
        <w:t>局关于规范林木采挖移植管理的</w:t>
      </w:r>
      <w:r>
        <w:rPr>
          <w:rFonts w:ascii="仿宋" w:hAnsi="仿宋" w:eastAsia="仿宋" w:cs="仿宋"/>
          <w:sz w:val="25"/>
          <w:szCs w:val="25"/>
        </w:rPr>
        <w:t xml:space="preserve"> </w:t>
      </w:r>
      <w:r>
        <w:rPr>
          <w:rFonts w:ascii="仿宋" w:hAnsi="仿宋" w:eastAsia="仿宋" w:cs="仿宋"/>
          <w:spacing w:val="8"/>
          <w:sz w:val="25"/>
          <w:szCs w:val="25"/>
        </w:rPr>
        <w:t>通知》</w:t>
      </w:r>
      <w:r>
        <w:rPr>
          <w:rFonts w:ascii="仿宋" w:hAnsi="仿宋" w:eastAsia="仿宋" w:cs="仿宋"/>
          <w:spacing w:val="-103"/>
          <w:sz w:val="25"/>
          <w:szCs w:val="25"/>
        </w:rPr>
        <w:t xml:space="preserve"> </w:t>
      </w:r>
      <w:r>
        <w:rPr>
          <w:rFonts w:ascii="仿宋" w:hAnsi="仿宋" w:eastAsia="仿宋" w:cs="仿宋"/>
          <w:spacing w:val="8"/>
          <w:sz w:val="25"/>
          <w:szCs w:val="25"/>
        </w:rPr>
        <w:t>（林资规〔</w:t>
      </w:r>
      <w:r>
        <w:rPr>
          <w:rFonts w:ascii="Times New Roman" w:hAnsi="Times New Roman" w:eastAsia="Times New Roman" w:cs="Times New Roman"/>
          <w:spacing w:val="8"/>
          <w:sz w:val="25"/>
          <w:szCs w:val="25"/>
        </w:rPr>
        <w:t>2021</w:t>
      </w:r>
      <w:r>
        <w:rPr>
          <w:rFonts w:ascii="仿宋" w:hAnsi="仿宋" w:eastAsia="仿宋" w:cs="仿宋"/>
          <w:spacing w:val="8"/>
          <w:sz w:val="25"/>
          <w:szCs w:val="25"/>
        </w:rPr>
        <w:t>〕</w:t>
      </w:r>
      <w:r>
        <w:rPr>
          <w:rFonts w:ascii="Times New Roman" w:hAnsi="Times New Roman" w:eastAsia="Times New Roman" w:cs="Times New Roman"/>
          <w:spacing w:val="8"/>
          <w:sz w:val="25"/>
          <w:szCs w:val="25"/>
        </w:rPr>
        <w:t>4</w:t>
      </w:r>
      <w:r>
        <w:rPr>
          <w:rFonts w:ascii="Times New Roman" w:hAnsi="Times New Roman" w:eastAsia="Times New Roman" w:cs="Times New Roman"/>
          <w:spacing w:val="28"/>
          <w:sz w:val="25"/>
          <w:szCs w:val="25"/>
        </w:rPr>
        <w:t xml:space="preserve"> </w:t>
      </w:r>
      <w:r>
        <w:rPr>
          <w:rFonts w:ascii="仿宋" w:hAnsi="仿宋" w:eastAsia="仿宋" w:cs="仿宋"/>
          <w:spacing w:val="8"/>
          <w:sz w:val="25"/>
          <w:szCs w:val="25"/>
        </w:rPr>
        <w:t>号）</w:t>
      </w:r>
      <w:r>
        <w:rPr>
          <w:rFonts w:ascii="仿宋" w:hAnsi="仿宋" w:eastAsia="仿宋" w:cs="仿宋"/>
          <w:spacing w:val="-75"/>
          <w:sz w:val="25"/>
          <w:szCs w:val="25"/>
        </w:rPr>
        <w:t xml:space="preserve"> </w:t>
      </w:r>
      <w:r>
        <w:rPr>
          <w:rFonts w:ascii="仿宋" w:hAnsi="仿宋" w:eastAsia="仿宋" w:cs="仿宋"/>
          <w:spacing w:val="8"/>
          <w:sz w:val="25"/>
          <w:szCs w:val="25"/>
        </w:rPr>
        <w:t>、《重庆市林业局转发国家林业和草原局关于</w:t>
      </w:r>
      <w:r>
        <w:rPr>
          <w:rFonts w:ascii="仿宋" w:hAnsi="仿宋" w:eastAsia="仿宋" w:cs="仿宋"/>
          <w:sz w:val="25"/>
          <w:szCs w:val="25"/>
        </w:rPr>
        <w:t xml:space="preserve"> </w:t>
      </w:r>
      <w:r>
        <w:rPr>
          <w:rFonts w:ascii="仿宋" w:hAnsi="仿宋" w:eastAsia="仿宋" w:cs="仿宋"/>
          <w:spacing w:val="6"/>
          <w:sz w:val="25"/>
          <w:szCs w:val="25"/>
        </w:rPr>
        <w:t>规范林木采挖移植管理的通知》（渝林资〔</w:t>
      </w:r>
      <w:r>
        <w:rPr>
          <w:rFonts w:ascii="Times New Roman" w:hAnsi="Times New Roman" w:eastAsia="Times New Roman" w:cs="Times New Roman"/>
          <w:spacing w:val="6"/>
          <w:sz w:val="25"/>
          <w:szCs w:val="25"/>
        </w:rPr>
        <w:t>2021</w:t>
      </w:r>
      <w:r>
        <w:rPr>
          <w:rFonts w:ascii="仿宋" w:hAnsi="仿宋" w:eastAsia="仿宋" w:cs="仿宋"/>
          <w:spacing w:val="6"/>
          <w:sz w:val="25"/>
          <w:szCs w:val="25"/>
        </w:rPr>
        <w:t>〕</w:t>
      </w:r>
      <w:r>
        <w:rPr>
          <w:rFonts w:ascii="Times New Roman" w:hAnsi="Times New Roman" w:eastAsia="Times New Roman" w:cs="Times New Roman"/>
          <w:spacing w:val="6"/>
          <w:sz w:val="25"/>
          <w:szCs w:val="25"/>
        </w:rPr>
        <w:t>53</w:t>
      </w:r>
      <w:r>
        <w:rPr>
          <w:rFonts w:ascii="Times New Roman" w:hAnsi="Times New Roman" w:eastAsia="Times New Roman" w:cs="Times New Roman"/>
          <w:spacing w:val="41"/>
          <w:w w:val="101"/>
          <w:sz w:val="25"/>
          <w:szCs w:val="25"/>
        </w:rPr>
        <w:t xml:space="preserve"> </w:t>
      </w:r>
      <w:r>
        <w:rPr>
          <w:rFonts w:ascii="仿宋" w:hAnsi="仿宋" w:eastAsia="仿宋" w:cs="仿宋"/>
          <w:spacing w:val="6"/>
          <w:sz w:val="25"/>
          <w:szCs w:val="25"/>
        </w:rPr>
        <w:t>号）、《野生植物保护条</w:t>
      </w:r>
      <w:r>
        <w:rPr>
          <w:rFonts w:ascii="仿宋" w:hAnsi="仿宋" w:eastAsia="仿宋" w:cs="仿宋"/>
          <w:sz w:val="25"/>
          <w:szCs w:val="25"/>
        </w:rPr>
        <w:t xml:space="preserve"> </w:t>
      </w:r>
      <w:r>
        <w:rPr>
          <w:rFonts w:ascii="仿宋" w:hAnsi="仿宋" w:eastAsia="仿宋" w:cs="仿宋"/>
          <w:spacing w:val="9"/>
          <w:sz w:val="25"/>
          <w:szCs w:val="25"/>
        </w:rPr>
        <w:t>例》或古树名木的相关规定，采取移栽的方式进行有效保护。</w:t>
      </w:r>
    </w:p>
    <w:p w14:paraId="7A904EF8">
      <w:pPr>
        <w:spacing w:before="3" w:line="229" w:lineRule="auto"/>
        <w:ind w:left="500"/>
        <w:rPr>
          <w:rFonts w:ascii="仿宋" w:hAnsi="仿宋" w:eastAsia="仿宋" w:cs="仿宋"/>
          <w:sz w:val="25"/>
          <w:szCs w:val="25"/>
        </w:rPr>
      </w:pPr>
      <w:r>
        <w:rPr>
          <w:rFonts w:ascii="仿宋" w:hAnsi="仿宋" w:eastAsia="仿宋" w:cs="仿宋"/>
          <w:spacing w:val="8"/>
          <w:sz w:val="25"/>
          <w:szCs w:val="25"/>
        </w:rPr>
        <w:t>（</w:t>
      </w:r>
      <w:r>
        <w:rPr>
          <w:rFonts w:ascii="Times New Roman" w:hAnsi="Times New Roman" w:eastAsia="Times New Roman" w:cs="Times New Roman"/>
          <w:spacing w:val="8"/>
          <w:sz w:val="25"/>
          <w:szCs w:val="25"/>
        </w:rPr>
        <w:t>2</w:t>
      </w:r>
      <w:r>
        <w:rPr>
          <w:rFonts w:ascii="仿宋" w:hAnsi="仿宋" w:eastAsia="仿宋" w:cs="仿宋"/>
          <w:spacing w:val="8"/>
          <w:sz w:val="25"/>
          <w:szCs w:val="25"/>
        </w:rPr>
        <w:t>）采用有效的生态环境减缓措施</w:t>
      </w:r>
    </w:p>
    <w:p w14:paraId="0EA11D2D">
      <w:pPr>
        <w:spacing w:before="150" w:line="340" w:lineRule="auto"/>
        <w:ind w:left="16" w:firstLine="480"/>
        <w:rPr>
          <w:rFonts w:ascii="仿宋" w:hAnsi="仿宋" w:eastAsia="仿宋" w:cs="仿宋"/>
          <w:sz w:val="25"/>
          <w:szCs w:val="25"/>
        </w:rPr>
      </w:pPr>
      <w:r>
        <w:rPr>
          <w:rFonts w:ascii="仿宋" w:hAnsi="仿宋" w:eastAsia="仿宋" w:cs="仿宋"/>
          <w:spacing w:val="11"/>
          <w:sz w:val="25"/>
          <w:szCs w:val="25"/>
        </w:rPr>
        <w:t>贯彻</w:t>
      </w:r>
      <w:r>
        <w:rPr>
          <w:rFonts w:ascii="Times New Roman" w:hAnsi="Times New Roman" w:eastAsia="Times New Roman" w:cs="Times New Roman"/>
          <w:spacing w:val="11"/>
          <w:sz w:val="25"/>
          <w:szCs w:val="25"/>
        </w:rPr>
        <w:t>“</w:t>
      </w:r>
      <w:r>
        <w:rPr>
          <w:rFonts w:ascii="仿宋" w:hAnsi="仿宋" w:eastAsia="仿宋" w:cs="仿宋"/>
          <w:spacing w:val="11"/>
          <w:sz w:val="25"/>
          <w:szCs w:val="25"/>
        </w:rPr>
        <w:t>预防为主、防治结合</w:t>
      </w:r>
      <w:r>
        <w:rPr>
          <w:rFonts w:ascii="Times New Roman" w:hAnsi="Times New Roman" w:eastAsia="Times New Roman" w:cs="Times New Roman"/>
          <w:spacing w:val="11"/>
          <w:sz w:val="25"/>
          <w:szCs w:val="25"/>
        </w:rPr>
        <w:t>”</w:t>
      </w:r>
      <w:r>
        <w:rPr>
          <w:rFonts w:ascii="仿宋" w:hAnsi="仿宋" w:eastAsia="仿宋" w:cs="仿宋"/>
          <w:spacing w:val="11"/>
          <w:sz w:val="25"/>
          <w:szCs w:val="25"/>
        </w:rPr>
        <w:t>的指导方针，采取相应的预防措施以减轻露天</w:t>
      </w:r>
      <w:r>
        <w:rPr>
          <w:rFonts w:ascii="仿宋" w:hAnsi="仿宋" w:eastAsia="仿宋" w:cs="仿宋"/>
          <w:spacing w:val="10"/>
          <w:sz w:val="25"/>
          <w:szCs w:val="25"/>
        </w:rPr>
        <w:t xml:space="preserve"> </w:t>
      </w:r>
      <w:r>
        <w:rPr>
          <w:rFonts w:ascii="仿宋" w:hAnsi="仿宋" w:eastAsia="仿宋" w:cs="仿宋"/>
          <w:spacing w:val="4"/>
          <w:sz w:val="25"/>
          <w:szCs w:val="25"/>
        </w:rPr>
        <w:t xml:space="preserve">开采对区域生态环境造成的破坏；对矿区范围内滑坡、陡崖等采取针对性措施； </w:t>
      </w:r>
      <w:r>
        <w:rPr>
          <w:rFonts w:ascii="仿宋" w:hAnsi="仿宋" w:eastAsia="仿宋" w:cs="仿宋"/>
          <w:spacing w:val="10"/>
          <w:sz w:val="25"/>
          <w:szCs w:val="25"/>
        </w:rPr>
        <w:t>废石及时运至采空区回填；长期堆存的表土</w:t>
      </w:r>
      <w:r>
        <w:rPr>
          <w:rFonts w:ascii="仿宋" w:hAnsi="仿宋" w:eastAsia="仿宋" w:cs="仿宋"/>
          <w:spacing w:val="9"/>
          <w:sz w:val="25"/>
          <w:szCs w:val="25"/>
        </w:rPr>
        <w:t>应做好水土保持措施，闭矿后用于</w:t>
      </w:r>
      <w:r>
        <w:rPr>
          <w:rFonts w:ascii="仿宋" w:hAnsi="仿宋" w:eastAsia="仿宋" w:cs="仿宋"/>
          <w:sz w:val="25"/>
          <w:szCs w:val="25"/>
        </w:rPr>
        <w:t xml:space="preserve"> </w:t>
      </w:r>
      <w:r>
        <w:rPr>
          <w:rFonts w:ascii="仿宋" w:hAnsi="仿宋" w:eastAsia="仿宋" w:cs="仿宋"/>
          <w:spacing w:val="9"/>
          <w:sz w:val="25"/>
          <w:szCs w:val="25"/>
        </w:rPr>
        <w:t>受损土地复垦；按绿色矿山建设要求加强矿区绿</w:t>
      </w:r>
      <w:r>
        <w:rPr>
          <w:rFonts w:ascii="仿宋" w:hAnsi="仿宋" w:eastAsia="仿宋" w:cs="仿宋"/>
          <w:spacing w:val="8"/>
          <w:sz w:val="25"/>
          <w:szCs w:val="25"/>
        </w:rPr>
        <w:t>化建设。</w:t>
      </w:r>
    </w:p>
    <w:p w14:paraId="0029B3C7">
      <w:pPr>
        <w:spacing w:line="340" w:lineRule="auto"/>
        <w:rPr>
          <w:rFonts w:ascii="仿宋" w:hAnsi="仿宋" w:eastAsia="仿宋" w:cs="仿宋"/>
          <w:sz w:val="25"/>
          <w:szCs w:val="25"/>
        </w:rPr>
        <w:sectPr>
          <w:headerReference r:id="rId234" w:type="default"/>
          <w:footerReference r:id="rId235" w:type="default"/>
          <w:pgSz w:w="11906" w:h="16839"/>
          <w:pgMar w:top="1116" w:right="1407" w:bottom="866" w:left="1587" w:header="683" w:footer="703" w:gutter="0"/>
          <w:cols w:space="720" w:num="1"/>
        </w:sectPr>
      </w:pPr>
    </w:p>
    <w:p w14:paraId="431E568C">
      <w:pPr>
        <w:pStyle w:val="2"/>
        <w:spacing w:line="383" w:lineRule="auto"/>
      </w:pPr>
    </w:p>
    <w:p w14:paraId="0A24AFF9">
      <w:pPr>
        <w:spacing w:before="81" w:line="340" w:lineRule="auto"/>
        <w:ind w:left="16" w:right="2" w:firstLine="480"/>
        <w:jc w:val="both"/>
        <w:rPr>
          <w:rFonts w:ascii="仿宋" w:hAnsi="仿宋" w:eastAsia="仿宋" w:cs="仿宋"/>
          <w:sz w:val="25"/>
          <w:szCs w:val="25"/>
        </w:rPr>
      </w:pPr>
      <w:r>
        <w:rPr>
          <w:rFonts w:ascii="仿宋" w:hAnsi="仿宋" w:eastAsia="仿宋" w:cs="仿宋"/>
          <w:spacing w:val="11"/>
          <w:sz w:val="25"/>
          <w:szCs w:val="25"/>
        </w:rPr>
        <w:t>开采矿产资源前，采矿权人应当依照法律、法规和国务院</w:t>
      </w:r>
      <w:r>
        <w:rPr>
          <w:rFonts w:ascii="仿宋" w:hAnsi="仿宋" w:eastAsia="仿宋" w:cs="仿宋"/>
          <w:spacing w:val="10"/>
          <w:sz w:val="25"/>
          <w:szCs w:val="25"/>
        </w:rPr>
        <w:t>自然资源主管部</w:t>
      </w:r>
      <w:r>
        <w:rPr>
          <w:rFonts w:ascii="仿宋" w:hAnsi="仿宋" w:eastAsia="仿宋" w:cs="仿宋"/>
          <w:sz w:val="25"/>
          <w:szCs w:val="25"/>
        </w:rPr>
        <w:t xml:space="preserve"> </w:t>
      </w:r>
      <w:r>
        <w:rPr>
          <w:rFonts w:ascii="仿宋" w:hAnsi="仿宋" w:eastAsia="仿宋" w:cs="仿宋"/>
          <w:spacing w:val="10"/>
          <w:sz w:val="25"/>
          <w:szCs w:val="25"/>
        </w:rPr>
        <w:t>门的规定以及矿业权出让合同编制矿区生态</w:t>
      </w:r>
      <w:r>
        <w:rPr>
          <w:rFonts w:ascii="仿宋" w:hAnsi="仿宋" w:eastAsia="仿宋" w:cs="仿宋"/>
          <w:spacing w:val="9"/>
          <w:sz w:val="25"/>
          <w:szCs w:val="25"/>
        </w:rPr>
        <w:t>修复方案，随开采方案报原矿业权</w:t>
      </w:r>
      <w:r>
        <w:rPr>
          <w:rFonts w:ascii="仿宋" w:hAnsi="仿宋" w:eastAsia="仿宋" w:cs="仿宋"/>
          <w:sz w:val="25"/>
          <w:szCs w:val="25"/>
        </w:rPr>
        <w:t xml:space="preserve"> </w:t>
      </w:r>
      <w:r>
        <w:rPr>
          <w:rFonts w:ascii="仿宋" w:hAnsi="仿宋" w:eastAsia="仿宋" w:cs="仿宋"/>
          <w:spacing w:val="10"/>
          <w:sz w:val="25"/>
          <w:szCs w:val="25"/>
        </w:rPr>
        <w:t>出让部门批准。矿区生态修复方案应当包括</w:t>
      </w:r>
      <w:r>
        <w:rPr>
          <w:rFonts w:ascii="仿宋" w:hAnsi="仿宋" w:eastAsia="仿宋" w:cs="仿宋"/>
          <w:spacing w:val="9"/>
          <w:sz w:val="25"/>
          <w:szCs w:val="25"/>
        </w:rPr>
        <w:t>尾矿库生态修复的专门措施。编制</w:t>
      </w:r>
      <w:r>
        <w:rPr>
          <w:rFonts w:ascii="仿宋" w:hAnsi="仿宋" w:eastAsia="仿宋" w:cs="仿宋"/>
          <w:sz w:val="25"/>
          <w:szCs w:val="25"/>
        </w:rPr>
        <w:t xml:space="preserve"> </w:t>
      </w:r>
      <w:r>
        <w:rPr>
          <w:rFonts w:ascii="仿宋" w:hAnsi="仿宋" w:eastAsia="仿宋" w:cs="仿宋"/>
          <w:spacing w:val="10"/>
          <w:sz w:val="25"/>
          <w:szCs w:val="25"/>
        </w:rPr>
        <w:t>矿区生态修复方案，应当在矿区涉及的有关</w:t>
      </w:r>
      <w:r>
        <w:rPr>
          <w:rFonts w:ascii="仿宋" w:hAnsi="仿宋" w:eastAsia="仿宋" w:cs="仿宋"/>
          <w:spacing w:val="9"/>
          <w:sz w:val="25"/>
          <w:szCs w:val="25"/>
        </w:rPr>
        <w:t>范围内公示征求意见，并专门听取</w:t>
      </w:r>
      <w:r>
        <w:rPr>
          <w:rFonts w:ascii="仿宋" w:hAnsi="仿宋" w:eastAsia="仿宋" w:cs="仿宋"/>
          <w:sz w:val="25"/>
          <w:szCs w:val="25"/>
        </w:rPr>
        <w:t xml:space="preserve"> </w:t>
      </w:r>
      <w:r>
        <w:rPr>
          <w:rFonts w:ascii="仿宋" w:hAnsi="仿宋" w:eastAsia="仿宋" w:cs="仿宋"/>
          <w:spacing w:val="10"/>
          <w:sz w:val="25"/>
          <w:szCs w:val="25"/>
        </w:rPr>
        <w:t>矿区涉及的居民委员会、村民委员会、农村</w:t>
      </w:r>
      <w:r>
        <w:rPr>
          <w:rFonts w:ascii="仿宋" w:hAnsi="仿宋" w:eastAsia="仿宋" w:cs="仿宋"/>
          <w:spacing w:val="9"/>
          <w:sz w:val="25"/>
          <w:szCs w:val="25"/>
        </w:rPr>
        <w:t>集体经济组织和居民代表、村民代</w:t>
      </w:r>
      <w:r>
        <w:rPr>
          <w:rFonts w:ascii="仿宋" w:hAnsi="仿宋" w:eastAsia="仿宋" w:cs="仿宋"/>
          <w:sz w:val="25"/>
          <w:szCs w:val="25"/>
        </w:rPr>
        <w:t xml:space="preserve"> </w:t>
      </w:r>
      <w:r>
        <w:rPr>
          <w:rFonts w:ascii="仿宋" w:hAnsi="仿宋" w:eastAsia="仿宋" w:cs="仿宋"/>
          <w:spacing w:val="4"/>
          <w:sz w:val="25"/>
          <w:szCs w:val="25"/>
        </w:rPr>
        <w:t>表的意见。</w:t>
      </w:r>
    </w:p>
    <w:p w14:paraId="71AB62ED">
      <w:pPr>
        <w:spacing w:before="5" w:line="339" w:lineRule="auto"/>
        <w:ind w:left="16" w:right="2" w:firstLine="482"/>
        <w:rPr>
          <w:rFonts w:ascii="仿宋" w:hAnsi="仿宋" w:eastAsia="仿宋" w:cs="仿宋"/>
          <w:sz w:val="25"/>
          <w:szCs w:val="25"/>
        </w:rPr>
      </w:pPr>
      <w:r>
        <w:rPr>
          <w:rFonts w:ascii="仿宋" w:hAnsi="仿宋" w:eastAsia="仿宋" w:cs="仿宋"/>
          <w:spacing w:val="11"/>
          <w:sz w:val="25"/>
          <w:szCs w:val="25"/>
        </w:rPr>
        <w:t>采矿权人应当按照经批准的矿区生态修复方案进行矿</w:t>
      </w:r>
      <w:r>
        <w:rPr>
          <w:rFonts w:ascii="仿宋" w:hAnsi="仿宋" w:eastAsia="仿宋" w:cs="仿宋"/>
          <w:spacing w:val="10"/>
          <w:sz w:val="25"/>
          <w:szCs w:val="25"/>
        </w:rPr>
        <w:t>区生态修复。能够边</w:t>
      </w:r>
      <w:r>
        <w:rPr>
          <w:rFonts w:ascii="仿宋" w:hAnsi="仿宋" w:eastAsia="仿宋" w:cs="仿宋"/>
          <w:sz w:val="25"/>
          <w:szCs w:val="25"/>
        </w:rPr>
        <w:t xml:space="preserve"> </w:t>
      </w:r>
      <w:r>
        <w:rPr>
          <w:rFonts w:ascii="仿宋" w:hAnsi="仿宋" w:eastAsia="仿宋" w:cs="仿宋"/>
          <w:spacing w:val="10"/>
          <w:sz w:val="25"/>
          <w:szCs w:val="25"/>
        </w:rPr>
        <w:t>开采、边修复的，应当边开采、边修复；能</w:t>
      </w:r>
      <w:r>
        <w:rPr>
          <w:rFonts w:ascii="仿宋" w:hAnsi="仿宋" w:eastAsia="仿宋" w:cs="仿宋"/>
          <w:spacing w:val="9"/>
          <w:sz w:val="25"/>
          <w:szCs w:val="25"/>
        </w:rPr>
        <w:t>够分区、分期修复的，应当分区、</w:t>
      </w:r>
      <w:r>
        <w:rPr>
          <w:rFonts w:ascii="仿宋" w:hAnsi="仿宋" w:eastAsia="仿宋" w:cs="仿宋"/>
          <w:sz w:val="25"/>
          <w:szCs w:val="25"/>
        </w:rPr>
        <w:t xml:space="preserve"> </w:t>
      </w:r>
      <w:r>
        <w:rPr>
          <w:rFonts w:ascii="仿宋" w:hAnsi="仿宋" w:eastAsia="仿宋" w:cs="仿宋"/>
          <w:spacing w:val="10"/>
          <w:sz w:val="25"/>
          <w:szCs w:val="25"/>
        </w:rPr>
        <w:t>分期修复；不能边开采、边修复或者分区、</w:t>
      </w:r>
      <w:r>
        <w:rPr>
          <w:rFonts w:ascii="仿宋" w:hAnsi="仿宋" w:eastAsia="仿宋" w:cs="仿宋"/>
          <w:spacing w:val="9"/>
          <w:sz w:val="25"/>
          <w:szCs w:val="25"/>
        </w:rPr>
        <w:t>分期修复的，应当在矿山闭坑前或</w:t>
      </w:r>
      <w:r>
        <w:rPr>
          <w:rFonts w:ascii="仿宋" w:hAnsi="仿宋" w:eastAsia="仿宋" w:cs="仿宋"/>
          <w:sz w:val="25"/>
          <w:szCs w:val="25"/>
        </w:rPr>
        <w:t xml:space="preserve"> </w:t>
      </w:r>
      <w:r>
        <w:rPr>
          <w:rFonts w:ascii="仿宋" w:hAnsi="仿宋" w:eastAsia="仿宋" w:cs="仿宋"/>
          <w:spacing w:val="10"/>
          <w:sz w:val="25"/>
          <w:szCs w:val="25"/>
        </w:rPr>
        <w:t>者闭坑后的合理期限内及时修复。加强水土</w:t>
      </w:r>
      <w:r>
        <w:rPr>
          <w:rFonts w:ascii="仿宋" w:hAnsi="仿宋" w:eastAsia="仿宋" w:cs="仿宋"/>
          <w:spacing w:val="9"/>
          <w:sz w:val="25"/>
          <w:szCs w:val="25"/>
        </w:rPr>
        <w:t>保持，在工业场地内建筑物周围设</w:t>
      </w:r>
      <w:r>
        <w:rPr>
          <w:rFonts w:ascii="仿宋" w:hAnsi="仿宋" w:eastAsia="仿宋" w:cs="仿宋"/>
          <w:sz w:val="25"/>
          <w:szCs w:val="25"/>
        </w:rPr>
        <w:t xml:space="preserve"> </w:t>
      </w:r>
      <w:r>
        <w:rPr>
          <w:rFonts w:ascii="仿宋" w:hAnsi="仿宋" w:eastAsia="仿宋" w:cs="仿宋"/>
          <w:spacing w:val="8"/>
          <w:sz w:val="25"/>
          <w:szCs w:val="25"/>
        </w:rPr>
        <w:t>置排水沟；工业场地周围也应种植乔、灌木，</w:t>
      </w:r>
      <w:r>
        <w:rPr>
          <w:rFonts w:ascii="仿宋" w:hAnsi="仿宋" w:eastAsia="仿宋" w:cs="仿宋"/>
          <w:spacing w:val="-72"/>
          <w:sz w:val="25"/>
          <w:szCs w:val="25"/>
        </w:rPr>
        <w:t xml:space="preserve"> </w:t>
      </w:r>
      <w:r>
        <w:rPr>
          <w:rFonts w:ascii="仿宋" w:hAnsi="仿宋" w:eastAsia="仿宋" w:cs="仿宋"/>
          <w:spacing w:val="8"/>
          <w:sz w:val="25"/>
          <w:szCs w:val="25"/>
        </w:rPr>
        <w:t>当矿井闭矿后，立即进行覆土绿</w:t>
      </w:r>
      <w:r>
        <w:rPr>
          <w:rFonts w:ascii="仿宋" w:hAnsi="仿宋" w:eastAsia="仿宋" w:cs="仿宋"/>
          <w:sz w:val="25"/>
          <w:szCs w:val="25"/>
        </w:rPr>
        <w:t xml:space="preserve"> </w:t>
      </w:r>
      <w:r>
        <w:rPr>
          <w:rFonts w:ascii="仿宋" w:hAnsi="仿宋" w:eastAsia="仿宋" w:cs="仿宋"/>
          <w:spacing w:val="-5"/>
          <w:sz w:val="25"/>
          <w:szCs w:val="25"/>
        </w:rPr>
        <w:t>化。</w:t>
      </w:r>
    </w:p>
    <w:p w14:paraId="4EE5794D">
      <w:pPr>
        <w:spacing w:line="228" w:lineRule="auto"/>
        <w:ind w:left="500"/>
        <w:rPr>
          <w:rFonts w:ascii="仿宋" w:hAnsi="仿宋" w:eastAsia="仿宋" w:cs="仿宋"/>
          <w:sz w:val="25"/>
          <w:szCs w:val="25"/>
        </w:rPr>
      </w:pPr>
      <w:r>
        <w:rPr>
          <w:rFonts w:ascii="仿宋" w:hAnsi="仿宋" w:eastAsia="仿宋" w:cs="仿宋"/>
          <w:spacing w:val="9"/>
          <w:sz w:val="25"/>
          <w:szCs w:val="25"/>
        </w:rPr>
        <w:t>（</w:t>
      </w:r>
      <w:r>
        <w:rPr>
          <w:rFonts w:ascii="Times New Roman" w:hAnsi="Times New Roman" w:eastAsia="Times New Roman" w:cs="Times New Roman"/>
          <w:spacing w:val="9"/>
          <w:sz w:val="25"/>
          <w:szCs w:val="25"/>
        </w:rPr>
        <w:t>3</w:t>
      </w:r>
      <w:r>
        <w:rPr>
          <w:rFonts w:ascii="仿宋" w:hAnsi="仿宋" w:eastAsia="仿宋" w:cs="仿宋"/>
          <w:spacing w:val="9"/>
          <w:sz w:val="25"/>
          <w:szCs w:val="25"/>
        </w:rPr>
        <w:t>）建立有效的矿产资源勘查开发修复和</w:t>
      </w:r>
      <w:r>
        <w:rPr>
          <w:rFonts w:ascii="仿宋" w:hAnsi="仿宋" w:eastAsia="仿宋" w:cs="仿宋"/>
          <w:spacing w:val="8"/>
          <w:sz w:val="25"/>
          <w:szCs w:val="25"/>
        </w:rPr>
        <w:t>补偿机制</w:t>
      </w:r>
    </w:p>
    <w:p w14:paraId="7D38EE56">
      <w:pPr>
        <w:spacing w:before="151" w:line="339" w:lineRule="auto"/>
        <w:ind w:left="19" w:right="2" w:firstLine="476"/>
        <w:rPr>
          <w:rFonts w:ascii="仿宋" w:hAnsi="仿宋" w:eastAsia="仿宋" w:cs="仿宋"/>
          <w:sz w:val="25"/>
          <w:szCs w:val="25"/>
        </w:rPr>
      </w:pPr>
      <w:r>
        <w:rPr>
          <w:rFonts w:ascii="仿宋" w:hAnsi="仿宋" w:eastAsia="仿宋" w:cs="仿宋"/>
          <w:spacing w:val="11"/>
          <w:sz w:val="25"/>
          <w:szCs w:val="25"/>
        </w:rPr>
        <w:t>矿产资源开发生态补偿是保证矿山企业在开发矿产资源经</w:t>
      </w:r>
      <w:r>
        <w:rPr>
          <w:rFonts w:ascii="仿宋" w:hAnsi="仿宋" w:eastAsia="仿宋" w:cs="仿宋"/>
          <w:spacing w:val="10"/>
          <w:sz w:val="25"/>
          <w:szCs w:val="25"/>
        </w:rPr>
        <w:t>济活动中减少对</w:t>
      </w:r>
      <w:r>
        <w:rPr>
          <w:rFonts w:ascii="仿宋" w:hAnsi="仿宋" w:eastAsia="仿宋" w:cs="仿宋"/>
          <w:sz w:val="25"/>
          <w:szCs w:val="25"/>
        </w:rPr>
        <w:t xml:space="preserve"> </w:t>
      </w:r>
      <w:r>
        <w:rPr>
          <w:rFonts w:ascii="仿宋" w:hAnsi="仿宋" w:eastAsia="仿宋" w:cs="仿宋"/>
          <w:spacing w:val="9"/>
          <w:sz w:val="25"/>
          <w:szCs w:val="25"/>
        </w:rPr>
        <w:t>生态环境破坏或进行有效恢复治理的一项措施，是促进矿产资源开发与生态环</w:t>
      </w:r>
      <w:r>
        <w:rPr>
          <w:rFonts w:ascii="仿宋" w:hAnsi="仿宋" w:eastAsia="仿宋" w:cs="仿宋"/>
          <w:spacing w:val="16"/>
          <w:sz w:val="25"/>
          <w:szCs w:val="25"/>
        </w:rPr>
        <w:t xml:space="preserve"> </w:t>
      </w:r>
      <w:r>
        <w:rPr>
          <w:rFonts w:ascii="仿宋" w:hAnsi="仿宋" w:eastAsia="仿宋" w:cs="仿宋"/>
          <w:spacing w:val="7"/>
          <w:sz w:val="25"/>
          <w:szCs w:val="25"/>
        </w:rPr>
        <w:t>境保护相协调的一项重要工作。</w:t>
      </w:r>
    </w:p>
    <w:p w14:paraId="758BBF79">
      <w:pPr>
        <w:spacing w:before="3" w:line="339" w:lineRule="auto"/>
        <w:ind w:left="20" w:right="2" w:firstLine="475"/>
        <w:jc w:val="both"/>
        <w:rPr>
          <w:rFonts w:ascii="仿宋" w:hAnsi="仿宋" w:eastAsia="仿宋" w:cs="仿宋"/>
          <w:sz w:val="25"/>
          <w:szCs w:val="25"/>
        </w:rPr>
      </w:pPr>
      <w:r>
        <w:rPr>
          <w:rFonts w:ascii="仿宋" w:hAnsi="仿宋" w:eastAsia="仿宋" w:cs="仿宋"/>
          <w:spacing w:val="11"/>
          <w:sz w:val="25"/>
          <w:szCs w:val="25"/>
        </w:rPr>
        <w:t>建设单位依法办理林地征用手续，缴纳相应的林地征用补</w:t>
      </w:r>
      <w:r>
        <w:rPr>
          <w:rFonts w:ascii="仿宋" w:hAnsi="仿宋" w:eastAsia="仿宋" w:cs="仿宋"/>
          <w:spacing w:val="10"/>
          <w:sz w:val="25"/>
          <w:szCs w:val="25"/>
        </w:rPr>
        <w:t>偿费，对被工程</w:t>
      </w:r>
      <w:r>
        <w:rPr>
          <w:rFonts w:ascii="仿宋" w:hAnsi="仿宋" w:eastAsia="仿宋" w:cs="仿宋"/>
          <w:sz w:val="25"/>
          <w:szCs w:val="25"/>
        </w:rPr>
        <w:t xml:space="preserve"> </w:t>
      </w:r>
      <w:r>
        <w:rPr>
          <w:rFonts w:ascii="仿宋" w:hAnsi="仿宋" w:eastAsia="仿宋" w:cs="仿宋"/>
          <w:spacing w:val="9"/>
          <w:sz w:val="25"/>
          <w:szCs w:val="25"/>
        </w:rPr>
        <w:t>占用的林地，建议林业部门根据当地林业发展规划，在本行政区域内进行造林</w:t>
      </w:r>
      <w:r>
        <w:rPr>
          <w:rFonts w:ascii="仿宋" w:hAnsi="仿宋" w:eastAsia="仿宋" w:cs="仿宋"/>
          <w:spacing w:val="15"/>
          <w:sz w:val="25"/>
          <w:szCs w:val="25"/>
        </w:rPr>
        <w:t xml:space="preserve"> </w:t>
      </w:r>
      <w:r>
        <w:rPr>
          <w:rFonts w:ascii="仿宋" w:hAnsi="仿宋" w:eastAsia="仿宋" w:cs="仿宋"/>
          <w:spacing w:val="7"/>
          <w:sz w:val="25"/>
          <w:szCs w:val="25"/>
        </w:rPr>
        <w:t>补偿，保证现有林地面积不减少。</w:t>
      </w:r>
    </w:p>
    <w:p w14:paraId="5197ED9E">
      <w:pPr>
        <w:spacing w:before="9" w:line="339" w:lineRule="auto"/>
        <w:ind w:left="17" w:firstLine="478"/>
        <w:jc w:val="both"/>
        <w:rPr>
          <w:rFonts w:ascii="仿宋" w:hAnsi="仿宋" w:eastAsia="仿宋" w:cs="仿宋"/>
          <w:sz w:val="25"/>
          <w:szCs w:val="25"/>
        </w:rPr>
      </w:pPr>
      <w:r>
        <w:rPr>
          <w:rFonts w:ascii="仿宋" w:hAnsi="仿宋" w:eastAsia="仿宋" w:cs="仿宋"/>
          <w:spacing w:val="11"/>
          <w:sz w:val="25"/>
          <w:szCs w:val="25"/>
        </w:rPr>
        <w:t>足额征收矿山生态环境修复治理基金，加强矿产资源勘查开</w:t>
      </w:r>
      <w:r>
        <w:rPr>
          <w:rFonts w:ascii="仿宋" w:hAnsi="仿宋" w:eastAsia="仿宋" w:cs="仿宋"/>
          <w:spacing w:val="10"/>
          <w:sz w:val="25"/>
          <w:szCs w:val="25"/>
        </w:rPr>
        <w:t>发监管，督促</w:t>
      </w:r>
      <w:r>
        <w:rPr>
          <w:rFonts w:ascii="仿宋" w:hAnsi="仿宋" w:eastAsia="仿宋" w:cs="仿宋"/>
          <w:sz w:val="25"/>
          <w:szCs w:val="25"/>
        </w:rPr>
        <w:t xml:space="preserve"> </w:t>
      </w:r>
      <w:r>
        <w:rPr>
          <w:rFonts w:ascii="仿宋" w:hAnsi="仿宋" w:eastAsia="仿宋" w:cs="仿宋"/>
          <w:spacing w:val="9"/>
          <w:sz w:val="25"/>
          <w:szCs w:val="25"/>
        </w:rPr>
        <w:t>企业落实矿山环境治理恢复责任；严格实行矿山生态环境损害赔偿制度，在规</w:t>
      </w:r>
      <w:r>
        <w:rPr>
          <w:rFonts w:ascii="仿宋" w:hAnsi="仿宋" w:eastAsia="仿宋" w:cs="仿宋"/>
          <w:spacing w:val="18"/>
          <w:sz w:val="25"/>
          <w:szCs w:val="25"/>
        </w:rPr>
        <w:t xml:space="preserve"> </w:t>
      </w:r>
      <w:r>
        <w:rPr>
          <w:rFonts w:ascii="仿宋" w:hAnsi="仿宋" w:eastAsia="仿宋" w:cs="仿宋"/>
          <w:spacing w:val="9"/>
          <w:sz w:val="25"/>
          <w:szCs w:val="25"/>
        </w:rPr>
        <w:t>划实施过程中对造成矿山生态环境损害的责任者严格实行赔偿的追责制度，通</w:t>
      </w:r>
      <w:r>
        <w:rPr>
          <w:rFonts w:ascii="仿宋" w:hAnsi="仿宋" w:eastAsia="仿宋" w:cs="仿宋"/>
          <w:spacing w:val="18"/>
          <w:sz w:val="25"/>
          <w:szCs w:val="25"/>
        </w:rPr>
        <w:t xml:space="preserve"> </w:t>
      </w:r>
      <w:r>
        <w:rPr>
          <w:rFonts w:ascii="仿宋" w:hAnsi="仿宋" w:eastAsia="仿宋" w:cs="仿宋"/>
          <w:spacing w:val="9"/>
          <w:sz w:val="25"/>
          <w:szCs w:val="25"/>
        </w:rPr>
        <w:t>过生态环境损坏赔偿制度倒逼企业遵守生态环境保护管理制度，确保生态环境</w:t>
      </w:r>
      <w:r>
        <w:rPr>
          <w:rFonts w:ascii="仿宋" w:hAnsi="仿宋" w:eastAsia="仿宋" w:cs="仿宋"/>
          <w:spacing w:val="18"/>
          <w:sz w:val="25"/>
          <w:szCs w:val="25"/>
        </w:rPr>
        <w:t xml:space="preserve"> </w:t>
      </w:r>
      <w:r>
        <w:rPr>
          <w:rFonts w:ascii="仿宋" w:hAnsi="仿宋" w:eastAsia="仿宋" w:cs="仿宋"/>
          <w:spacing w:val="9"/>
          <w:sz w:val="25"/>
          <w:szCs w:val="25"/>
        </w:rPr>
        <w:t>得到及时有效的修复；创新历史遗留矿山生态环境治理补偿方式，废弃矿山由</w:t>
      </w:r>
      <w:r>
        <w:rPr>
          <w:rFonts w:ascii="仿宋" w:hAnsi="仿宋" w:eastAsia="仿宋" w:cs="仿宋"/>
          <w:spacing w:val="18"/>
          <w:sz w:val="25"/>
          <w:szCs w:val="25"/>
        </w:rPr>
        <w:t xml:space="preserve"> </w:t>
      </w:r>
      <w:r>
        <w:rPr>
          <w:rFonts w:ascii="仿宋" w:hAnsi="仿宋" w:eastAsia="仿宋" w:cs="仿宋"/>
          <w:spacing w:val="8"/>
          <w:sz w:val="25"/>
          <w:szCs w:val="25"/>
        </w:rPr>
        <w:t>原责任人进行治理，责任人灭失及政策性关闭的矿山，</w:t>
      </w:r>
      <w:r>
        <w:rPr>
          <w:rFonts w:ascii="仿宋" w:hAnsi="仿宋" w:eastAsia="仿宋" w:cs="仿宋"/>
          <w:spacing w:val="-66"/>
          <w:sz w:val="25"/>
          <w:szCs w:val="25"/>
        </w:rPr>
        <w:t xml:space="preserve"> </w:t>
      </w:r>
      <w:r>
        <w:rPr>
          <w:rFonts w:ascii="仿宋" w:hAnsi="仿宋" w:eastAsia="仿宋" w:cs="仿宋"/>
          <w:spacing w:val="8"/>
          <w:sz w:val="25"/>
          <w:szCs w:val="25"/>
        </w:rPr>
        <w:t>由地方政府</w:t>
      </w:r>
      <w:r>
        <w:rPr>
          <w:rFonts w:ascii="仿宋" w:hAnsi="仿宋" w:eastAsia="仿宋" w:cs="仿宋"/>
          <w:spacing w:val="7"/>
          <w:sz w:val="25"/>
          <w:szCs w:val="25"/>
        </w:rPr>
        <w:t>统筹规划，</w:t>
      </w:r>
      <w:r>
        <w:rPr>
          <w:rFonts w:ascii="仿宋" w:hAnsi="仿宋" w:eastAsia="仿宋" w:cs="仿宋"/>
          <w:sz w:val="25"/>
          <w:szCs w:val="25"/>
        </w:rPr>
        <w:t xml:space="preserve"> </w:t>
      </w:r>
      <w:r>
        <w:rPr>
          <w:rFonts w:ascii="仿宋" w:hAnsi="仿宋" w:eastAsia="仿宋" w:cs="仿宋"/>
          <w:spacing w:val="8"/>
          <w:sz w:val="25"/>
          <w:szCs w:val="25"/>
        </w:rPr>
        <w:t>纳入财政预算，分年度逐步安排实施；在建和生产的老矿山</w:t>
      </w:r>
      <w:r>
        <w:rPr>
          <w:rFonts w:ascii="仿宋" w:hAnsi="仿宋" w:eastAsia="仿宋" w:cs="仿宋"/>
          <w:spacing w:val="7"/>
          <w:sz w:val="25"/>
          <w:szCs w:val="25"/>
        </w:rPr>
        <w:t>，</w:t>
      </w:r>
      <w:r>
        <w:rPr>
          <w:rFonts w:ascii="仿宋" w:hAnsi="仿宋" w:eastAsia="仿宋" w:cs="仿宋"/>
          <w:spacing w:val="-65"/>
          <w:sz w:val="25"/>
          <w:szCs w:val="25"/>
        </w:rPr>
        <w:t xml:space="preserve"> </w:t>
      </w:r>
      <w:r>
        <w:rPr>
          <w:rFonts w:ascii="仿宋" w:hAnsi="仿宋" w:eastAsia="仿宋" w:cs="仿宋"/>
          <w:spacing w:val="7"/>
          <w:sz w:val="25"/>
          <w:szCs w:val="25"/>
        </w:rPr>
        <w:t>由矿山企业按方</w:t>
      </w:r>
      <w:r>
        <w:rPr>
          <w:rFonts w:ascii="仿宋" w:hAnsi="仿宋" w:eastAsia="仿宋" w:cs="仿宋"/>
          <w:sz w:val="25"/>
          <w:szCs w:val="25"/>
        </w:rPr>
        <w:t xml:space="preserve"> </w:t>
      </w:r>
      <w:r>
        <w:rPr>
          <w:rFonts w:ascii="仿宋" w:hAnsi="仿宋" w:eastAsia="仿宋" w:cs="仿宋"/>
          <w:spacing w:val="10"/>
          <w:sz w:val="25"/>
          <w:szCs w:val="25"/>
        </w:rPr>
        <w:t>案要求治理。探索政府与社会资本合作</w:t>
      </w:r>
      <w:r>
        <w:rPr>
          <w:rFonts w:ascii="Times New Roman" w:hAnsi="Times New Roman" w:eastAsia="Times New Roman" w:cs="Times New Roman"/>
          <w:sz w:val="25"/>
          <w:szCs w:val="25"/>
        </w:rPr>
        <w:t>PPP</w:t>
      </w:r>
      <w:r>
        <w:rPr>
          <w:rFonts w:ascii="Times New Roman" w:hAnsi="Times New Roman" w:eastAsia="Times New Roman" w:cs="Times New Roman"/>
          <w:spacing w:val="27"/>
          <w:sz w:val="25"/>
          <w:szCs w:val="25"/>
        </w:rPr>
        <w:t xml:space="preserve"> </w:t>
      </w:r>
      <w:r>
        <w:rPr>
          <w:rFonts w:ascii="仿宋" w:hAnsi="仿宋" w:eastAsia="仿宋" w:cs="仿宋"/>
          <w:spacing w:val="10"/>
          <w:sz w:val="25"/>
          <w:szCs w:val="25"/>
        </w:rPr>
        <w:t>模式，根据不同的用地类型出台鼓</w:t>
      </w:r>
      <w:r>
        <w:rPr>
          <w:rFonts w:ascii="仿宋" w:hAnsi="仿宋" w:eastAsia="仿宋" w:cs="仿宋"/>
          <w:sz w:val="25"/>
          <w:szCs w:val="25"/>
        </w:rPr>
        <w:t xml:space="preserve"> </w:t>
      </w:r>
      <w:r>
        <w:rPr>
          <w:rFonts w:ascii="仿宋" w:hAnsi="仿宋" w:eastAsia="仿宋" w:cs="仿宋"/>
          <w:spacing w:val="9"/>
          <w:sz w:val="25"/>
          <w:szCs w:val="25"/>
        </w:rPr>
        <w:t>励社会资本投资和参与治理的优惠政策，吸引更多社会资本进入历史遗留矿山</w:t>
      </w:r>
      <w:r>
        <w:rPr>
          <w:rFonts w:ascii="仿宋" w:hAnsi="仿宋" w:eastAsia="仿宋" w:cs="仿宋"/>
          <w:spacing w:val="18"/>
          <w:sz w:val="25"/>
          <w:szCs w:val="25"/>
        </w:rPr>
        <w:t xml:space="preserve"> </w:t>
      </w:r>
      <w:r>
        <w:rPr>
          <w:rFonts w:ascii="仿宋" w:hAnsi="仿宋" w:eastAsia="仿宋" w:cs="仿宋"/>
          <w:spacing w:val="9"/>
          <w:sz w:val="25"/>
          <w:szCs w:val="25"/>
        </w:rPr>
        <w:t>治理领域。将环境污染防治、生态系统保护修复等工程与生态产业发展有机融</w:t>
      </w:r>
      <w:r>
        <w:rPr>
          <w:rFonts w:ascii="仿宋" w:hAnsi="仿宋" w:eastAsia="仿宋" w:cs="仿宋"/>
          <w:spacing w:val="18"/>
          <w:sz w:val="25"/>
          <w:szCs w:val="25"/>
        </w:rPr>
        <w:t xml:space="preserve"> </w:t>
      </w:r>
      <w:r>
        <w:rPr>
          <w:rFonts w:ascii="仿宋" w:hAnsi="仿宋" w:eastAsia="仿宋" w:cs="仿宋"/>
          <w:spacing w:val="7"/>
          <w:sz w:val="25"/>
          <w:szCs w:val="25"/>
        </w:rPr>
        <w:t>合，建立持续性惠益分享机制。</w:t>
      </w:r>
    </w:p>
    <w:p w14:paraId="149BA3E5">
      <w:pPr>
        <w:spacing w:line="339" w:lineRule="auto"/>
        <w:rPr>
          <w:rFonts w:ascii="仿宋" w:hAnsi="仿宋" w:eastAsia="仿宋" w:cs="仿宋"/>
          <w:sz w:val="25"/>
          <w:szCs w:val="25"/>
        </w:rPr>
        <w:sectPr>
          <w:headerReference r:id="rId236" w:type="default"/>
          <w:footerReference r:id="rId237" w:type="default"/>
          <w:pgSz w:w="11906" w:h="16839"/>
          <w:pgMar w:top="1116" w:right="1473" w:bottom="866" w:left="1587" w:header="683" w:footer="703" w:gutter="0"/>
          <w:cols w:space="720" w:num="1"/>
        </w:sectPr>
      </w:pPr>
    </w:p>
    <w:p w14:paraId="608B6A5F">
      <w:pPr>
        <w:pStyle w:val="2"/>
        <w:spacing w:line="385" w:lineRule="auto"/>
      </w:pPr>
    </w:p>
    <w:p w14:paraId="379F61B3">
      <w:pPr>
        <w:spacing w:before="81" w:line="339" w:lineRule="auto"/>
        <w:ind w:left="16" w:right="90" w:firstLine="482"/>
        <w:rPr>
          <w:rFonts w:ascii="仿宋" w:hAnsi="仿宋" w:eastAsia="仿宋" w:cs="仿宋"/>
          <w:sz w:val="25"/>
          <w:szCs w:val="25"/>
        </w:rPr>
      </w:pPr>
      <w:r>
        <w:rPr>
          <w:rFonts w:ascii="仿宋" w:hAnsi="仿宋" w:eastAsia="仿宋" w:cs="仿宋"/>
          <w:spacing w:val="11"/>
          <w:sz w:val="25"/>
          <w:szCs w:val="25"/>
        </w:rPr>
        <w:t>采矿权人应当按照规定提取矿区生态修复费用，专门</w:t>
      </w:r>
      <w:r>
        <w:rPr>
          <w:rFonts w:ascii="仿宋" w:hAnsi="仿宋" w:eastAsia="仿宋" w:cs="仿宋"/>
          <w:spacing w:val="10"/>
          <w:sz w:val="25"/>
          <w:szCs w:val="25"/>
        </w:rPr>
        <w:t>用于矿区生态修复。</w:t>
      </w:r>
      <w:r>
        <w:rPr>
          <w:rFonts w:ascii="仿宋" w:hAnsi="仿宋" w:eastAsia="仿宋" w:cs="仿宋"/>
          <w:sz w:val="25"/>
          <w:szCs w:val="25"/>
        </w:rPr>
        <w:t xml:space="preserve"> </w:t>
      </w:r>
      <w:r>
        <w:rPr>
          <w:rFonts w:ascii="仿宋" w:hAnsi="仿宋" w:eastAsia="仿宋" w:cs="仿宋"/>
          <w:spacing w:val="10"/>
          <w:sz w:val="25"/>
          <w:szCs w:val="25"/>
        </w:rPr>
        <w:t>矿区生态修复费用计入成本。县级以上人民</w:t>
      </w:r>
      <w:r>
        <w:rPr>
          <w:rFonts w:ascii="仿宋" w:hAnsi="仿宋" w:eastAsia="仿宋" w:cs="仿宋"/>
          <w:spacing w:val="9"/>
          <w:sz w:val="25"/>
          <w:szCs w:val="25"/>
        </w:rPr>
        <w:t>政府自然资源主管部门应当会同财</w:t>
      </w:r>
      <w:r>
        <w:rPr>
          <w:rFonts w:ascii="仿宋" w:hAnsi="仿宋" w:eastAsia="仿宋" w:cs="仿宋"/>
          <w:sz w:val="25"/>
          <w:szCs w:val="25"/>
        </w:rPr>
        <w:t xml:space="preserve"> </w:t>
      </w:r>
      <w:r>
        <w:rPr>
          <w:rFonts w:ascii="仿宋" w:hAnsi="仿宋" w:eastAsia="仿宋" w:cs="仿宋"/>
          <w:spacing w:val="9"/>
          <w:sz w:val="25"/>
          <w:szCs w:val="25"/>
        </w:rPr>
        <w:t>政等有关部门对矿区生态修复费用的提取、使用情况进行监督检查。</w:t>
      </w:r>
    </w:p>
    <w:p w14:paraId="01C22D44">
      <w:pPr>
        <w:spacing w:before="4" w:line="339" w:lineRule="auto"/>
        <w:ind w:left="27" w:right="25" w:firstLine="473"/>
        <w:rPr>
          <w:rFonts w:ascii="仿宋" w:hAnsi="仿宋" w:eastAsia="仿宋" w:cs="仿宋"/>
          <w:sz w:val="25"/>
          <w:szCs w:val="25"/>
        </w:rPr>
      </w:pPr>
      <w:r>
        <w:rPr>
          <w:rFonts w:ascii="仿宋" w:hAnsi="仿宋" w:eastAsia="仿宋" w:cs="仿宋"/>
          <w:spacing w:val="8"/>
          <w:sz w:val="25"/>
          <w:szCs w:val="25"/>
        </w:rPr>
        <w:t>（</w:t>
      </w:r>
      <w:r>
        <w:rPr>
          <w:rFonts w:ascii="Times New Roman" w:hAnsi="Times New Roman" w:eastAsia="Times New Roman" w:cs="Times New Roman"/>
          <w:spacing w:val="8"/>
          <w:sz w:val="25"/>
          <w:szCs w:val="25"/>
        </w:rPr>
        <w:t>4</w:t>
      </w:r>
      <w:r>
        <w:rPr>
          <w:rFonts w:ascii="仿宋" w:hAnsi="仿宋" w:eastAsia="仿宋" w:cs="仿宋"/>
          <w:spacing w:val="8"/>
          <w:sz w:val="25"/>
          <w:szCs w:val="25"/>
        </w:rPr>
        <w:t>）在建矿山生态修复（矿山地质环境保护与治理恢复、矿区土地复垦）</w:t>
      </w:r>
      <w:r>
        <w:rPr>
          <w:rFonts w:ascii="仿宋" w:hAnsi="仿宋" w:eastAsia="仿宋" w:cs="仿宋"/>
          <w:spacing w:val="17"/>
          <w:sz w:val="25"/>
          <w:szCs w:val="25"/>
        </w:rPr>
        <w:t xml:space="preserve"> </w:t>
      </w:r>
      <w:r>
        <w:rPr>
          <w:rFonts w:ascii="仿宋" w:hAnsi="仿宋" w:eastAsia="仿宋" w:cs="仿宋"/>
          <w:spacing w:val="2"/>
          <w:sz w:val="25"/>
          <w:szCs w:val="25"/>
        </w:rPr>
        <w:t>总体要求</w:t>
      </w:r>
    </w:p>
    <w:p w14:paraId="7E34002E">
      <w:pPr>
        <w:spacing w:before="9" w:line="339" w:lineRule="auto"/>
        <w:ind w:left="15" w:right="90" w:firstLine="482"/>
        <w:jc w:val="both"/>
        <w:rPr>
          <w:rFonts w:ascii="仿宋" w:hAnsi="仿宋" w:eastAsia="仿宋" w:cs="仿宋"/>
          <w:sz w:val="25"/>
          <w:szCs w:val="25"/>
        </w:rPr>
      </w:pPr>
      <w:r>
        <w:rPr>
          <w:rFonts w:ascii="仿宋" w:hAnsi="仿宋" w:eastAsia="仿宋" w:cs="仿宋"/>
          <w:spacing w:val="11"/>
          <w:sz w:val="25"/>
          <w:szCs w:val="25"/>
        </w:rPr>
        <w:t>在建矿山应严格落实《成渝地区双城经济圈生态环境</w:t>
      </w:r>
      <w:r>
        <w:rPr>
          <w:rFonts w:ascii="仿宋" w:hAnsi="仿宋" w:eastAsia="仿宋" w:cs="仿宋"/>
          <w:spacing w:val="10"/>
          <w:sz w:val="25"/>
          <w:szCs w:val="25"/>
        </w:rPr>
        <w:t>保护规划》《重庆市</w:t>
      </w:r>
      <w:r>
        <w:rPr>
          <w:rFonts w:ascii="仿宋" w:hAnsi="仿宋" w:eastAsia="仿宋" w:cs="仿宋"/>
          <w:sz w:val="25"/>
          <w:szCs w:val="25"/>
        </w:rPr>
        <w:t xml:space="preserve"> </w:t>
      </w:r>
      <w:r>
        <w:rPr>
          <w:rFonts w:ascii="仿宋" w:hAnsi="仿宋" w:eastAsia="仿宋" w:cs="仿宋"/>
          <w:spacing w:val="5"/>
          <w:sz w:val="25"/>
          <w:szCs w:val="25"/>
        </w:rPr>
        <w:t>筑牢长江上游重要生态屏障</w:t>
      </w:r>
      <w:r>
        <w:rPr>
          <w:rFonts w:ascii="Times New Roman" w:hAnsi="Times New Roman" w:eastAsia="Times New Roman" w:cs="Times New Roman"/>
          <w:spacing w:val="5"/>
          <w:sz w:val="25"/>
          <w:szCs w:val="25"/>
        </w:rPr>
        <w:t>“</w:t>
      </w:r>
      <w:r>
        <w:rPr>
          <w:rFonts w:ascii="仿宋" w:hAnsi="仿宋" w:eastAsia="仿宋" w:cs="仿宋"/>
          <w:spacing w:val="5"/>
          <w:sz w:val="25"/>
          <w:szCs w:val="25"/>
        </w:rPr>
        <w:t>十四五</w:t>
      </w:r>
      <w:r>
        <w:rPr>
          <w:rFonts w:ascii="Times New Roman" w:hAnsi="Times New Roman" w:eastAsia="Times New Roman" w:cs="Times New Roman"/>
          <w:spacing w:val="5"/>
          <w:sz w:val="25"/>
          <w:szCs w:val="25"/>
        </w:rPr>
        <w:t>”</w:t>
      </w:r>
      <w:r>
        <w:rPr>
          <w:rFonts w:ascii="仿宋" w:hAnsi="仿宋" w:eastAsia="仿宋" w:cs="仿宋"/>
          <w:spacing w:val="5"/>
          <w:sz w:val="25"/>
          <w:szCs w:val="25"/>
        </w:rPr>
        <w:t>建设规划</w:t>
      </w:r>
      <w:r>
        <w:rPr>
          <w:rFonts w:ascii="仿宋" w:hAnsi="仿宋" w:eastAsia="仿宋" w:cs="仿宋"/>
          <w:spacing w:val="4"/>
          <w:sz w:val="25"/>
          <w:szCs w:val="25"/>
        </w:rPr>
        <w:t>（</w:t>
      </w:r>
      <w:r>
        <w:rPr>
          <w:rFonts w:ascii="Times New Roman" w:hAnsi="Times New Roman" w:eastAsia="Times New Roman" w:cs="Times New Roman"/>
          <w:spacing w:val="4"/>
          <w:sz w:val="25"/>
          <w:szCs w:val="25"/>
        </w:rPr>
        <w:t>2021-2025</w:t>
      </w:r>
      <w:r>
        <w:rPr>
          <w:rFonts w:ascii="Times New Roman" w:hAnsi="Times New Roman" w:eastAsia="Times New Roman" w:cs="Times New Roman"/>
          <w:spacing w:val="27"/>
          <w:w w:val="101"/>
          <w:sz w:val="25"/>
          <w:szCs w:val="25"/>
        </w:rPr>
        <w:t xml:space="preserve"> </w:t>
      </w:r>
      <w:r>
        <w:rPr>
          <w:rFonts w:ascii="仿宋" w:hAnsi="仿宋" w:eastAsia="仿宋" w:cs="仿宋"/>
          <w:spacing w:val="4"/>
          <w:sz w:val="25"/>
          <w:szCs w:val="25"/>
        </w:rPr>
        <w:t>年）》《重庆市生态</w:t>
      </w:r>
      <w:r>
        <w:rPr>
          <w:rFonts w:ascii="仿宋" w:hAnsi="仿宋" w:eastAsia="仿宋" w:cs="仿宋"/>
          <w:sz w:val="25"/>
          <w:szCs w:val="25"/>
        </w:rPr>
        <w:t xml:space="preserve"> </w:t>
      </w:r>
      <w:r>
        <w:rPr>
          <w:rFonts w:ascii="仿宋" w:hAnsi="仿宋" w:eastAsia="仿宋" w:cs="仿宋"/>
          <w:spacing w:val="8"/>
          <w:sz w:val="25"/>
          <w:szCs w:val="25"/>
        </w:rPr>
        <w:t>环境保护</w:t>
      </w:r>
      <w:r>
        <w:rPr>
          <w:rFonts w:ascii="Times New Roman" w:hAnsi="Times New Roman" w:eastAsia="Times New Roman" w:cs="Times New Roman"/>
          <w:spacing w:val="8"/>
          <w:sz w:val="25"/>
          <w:szCs w:val="25"/>
        </w:rPr>
        <w:t>“</w:t>
      </w:r>
      <w:r>
        <w:rPr>
          <w:rFonts w:ascii="仿宋" w:hAnsi="仿宋" w:eastAsia="仿宋" w:cs="仿宋"/>
          <w:spacing w:val="8"/>
          <w:sz w:val="25"/>
          <w:szCs w:val="25"/>
        </w:rPr>
        <w:t>十四五</w:t>
      </w:r>
      <w:r>
        <w:rPr>
          <w:rFonts w:ascii="Times New Roman" w:hAnsi="Times New Roman" w:eastAsia="Times New Roman" w:cs="Times New Roman"/>
          <w:spacing w:val="8"/>
          <w:sz w:val="25"/>
          <w:szCs w:val="25"/>
        </w:rPr>
        <w:t>”</w:t>
      </w:r>
      <w:r>
        <w:rPr>
          <w:rFonts w:ascii="仿宋" w:hAnsi="仿宋" w:eastAsia="仿宋" w:cs="仿宋"/>
          <w:spacing w:val="8"/>
          <w:sz w:val="25"/>
          <w:szCs w:val="25"/>
        </w:rPr>
        <w:t>规划（</w:t>
      </w:r>
      <w:r>
        <w:rPr>
          <w:rFonts w:ascii="Times New Roman" w:hAnsi="Times New Roman" w:eastAsia="Times New Roman" w:cs="Times New Roman"/>
          <w:spacing w:val="8"/>
          <w:sz w:val="25"/>
          <w:szCs w:val="25"/>
        </w:rPr>
        <w:t>2021-2025</w:t>
      </w:r>
      <w:r>
        <w:rPr>
          <w:rFonts w:ascii="Times New Roman" w:hAnsi="Times New Roman" w:eastAsia="Times New Roman" w:cs="Times New Roman"/>
          <w:spacing w:val="27"/>
          <w:w w:val="101"/>
          <w:sz w:val="25"/>
          <w:szCs w:val="25"/>
        </w:rPr>
        <w:t xml:space="preserve"> </w:t>
      </w:r>
      <w:r>
        <w:rPr>
          <w:rFonts w:ascii="仿宋" w:hAnsi="仿宋" w:eastAsia="仿宋" w:cs="仿宋"/>
          <w:spacing w:val="8"/>
          <w:sz w:val="25"/>
          <w:szCs w:val="25"/>
        </w:rPr>
        <w:t>年）》《重庆市自然资源保护和利用</w:t>
      </w:r>
      <w:r>
        <w:rPr>
          <w:rFonts w:ascii="Times New Roman" w:hAnsi="Times New Roman" w:eastAsia="Times New Roman" w:cs="Times New Roman"/>
          <w:spacing w:val="8"/>
          <w:sz w:val="25"/>
          <w:szCs w:val="25"/>
        </w:rPr>
        <w:t>“</w:t>
      </w:r>
      <w:r>
        <w:rPr>
          <w:rFonts w:ascii="仿宋" w:hAnsi="仿宋" w:eastAsia="仿宋" w:cs="仿宋"/>
          <w:spacing w:val="8"/>
          <w:sz w:val="25"/>
          <w:szCs w:val="25"/>
        </w:rPr>
        <w:t>十四</w:t>
      </w:r>
      <w:r>
        <w:rPr>
          <w:rFonts w:ascii="仿宋" w:hAnsi="仿宋" w:eastAsia="仿宋" w:cs="仿宋"/>
          <w:sz w:val="25"/>
          <w:szCs w:val="25"/>
        </w:rPr>
        <w:t xml:space="preserve"> </w:t>
      </w:r>
      <w:r>
        <w:rPr>
          <w:rFonts w:ascii="仿宋" w:hAnsi="仿宋" w:eastAsia="仿宋" w:cs="仿宋"/>
          <w:spacing w:val="8"/>
          <w:sz w:val="25"/>
          <w:szCs w:val="25"/>
        </w:rPr>
        <w:t>五</w:t>
      </w:r>
      <w:r>
        <w:rPr>
          <w:rFonts w:ascii="Times New Roman" w:hAnsi="Times New Roman" w:eastAsia="Times New Roman" w:cs="Times New Roman"/>
          <w:spacing w:val="8"/>
          <w:sz w:val="25"/>
          <w:szCs w:val="25"/>
        </w:rPr>
        <w:t>”</w:t>
      </w:r>
      <w:r>
        <w:rPr>
          <w:rFonts w:ascii="仿宋" w:hAnsi="仿宋" w:eastAsia="仿宋" w:cs="仿宋"/>
          <w:spacing w:val="8"/>
          <w:sz w:val="25"/>
          <w:szCs w:val="25"/>
        </w:rPr>
        <w:t>规划（</w:t>
      </w:r>
      <w:r>
        <w:rPr>
          <w:rFonts w:ascii="Times New Roman" w:hAnsi="Times New Roman" w:eastAsia="Times New Roman" w:cs="Times New Roman"/>
          <w:spacing w:val="8"/>
          <w:sz w:val="25"/>
          <w:szCs w:val="25"/>
        </w:rPr>
        <w:t>2021-2025</w:t>
      </w:r>
      <w:r>
        <w:rPr>
          <w:rFonts w:ascii="Times New Roman" w:hAnsi="Times New Roman" w:eastAsia="Times New Roman" w:cs="Times New Roman"/>
          <w:spacing w:val="27"/>
          <w:w w:val="101"/>
          <w:sz w:val="25"/>
          <w:szCs w:val="25"/>
        </w:rPr>
        <w:t xml:space="preserve"> </w:t>
      </w:r>
      <w:r>
        <w:rPr>
          <w:rFonts w:ascii="仿宋" w:hAnsi="仿宋" w:eastAsia="仿宋" w:cs="仿宋"/>
          <w:spacing w:val="8"/>
          <w:sz w:val="25"/>
          <w:szCs w:val="25"/>
        </w:rPr>
        <w:t>年）》等关</w:t>
      </w:r>
      <w:r>
        <w:rPr>
          <w:rFonts w:ascii="仿宋" w:hAnsi="仿宋" w:eastAsia="仿宋" w:cs="仿宋"/>
          <w:spacing w:val="7"/>
          <w:sz w:val="25"/>
          <w:szCs w:val="25"/>
        </w:rPr>
        <w:t>于矿山生态修复的有关规定和要求：加快推进</w:t>
      </w:r>
      <w:r>
        <w:rPr>
          <w:rFonts w:ascii="仿宋" w:hAnsi="仿宋" w:eastAsia="仿宋" w:cs="仿宋"/>
          <w:sz w:val="25"/>
          <w:szCs w:val="25"/>
        </w:rPr>
        <w:t xml:space="preserve"> </w:t>
      </w:r>
      <w:r>
        <w:rPr>
          <w:rFonts w:ascii="仿宋" w:hAnsi="仿宋" w:eastAsia="仿宋" w:cs="仿宋"/>
          <w:spacing w:val="10"/>
          <w:sz w:val="25"/>
          <w:szCs w:val="25"/>
        </w:rPr>
        <w:t>矿山生态修复和矿区损毁土地复垦，建设在建</w:t>
      </w:r>
      <w:r>
        <w:rPr>
          <w:rFonts w:ascii="仿宋" w:hAnsi="仿宋" w:eastAsia="仿宋" w:cs="仿宋"/>
          <w:spacing w:val="9"/>
          <w:sz w:val="25"/>
          <w:szCs w:val="25"/>
        </w:rPr>
        <w:t>矿山生态修复管理系统，加强新</w:t>
      </w:r>
      <w:r>
        <w:rPr>
          <w:rFonts w:ascii="仿宋" w:hAnsi="仿宋" w:eastAsia="仿宋" w:cs="仿宋"/>
          <w:sz w:val="25"/>
          <w:szCs w:val="25"/>
        </w:rPr>
        <w:t xml:space="preserve"> </w:t>
      </w:r>
      <w:r>
        <w:rPr>
          <w:rFonts w:ascii="仿宋" w:hAnsi="仿宋" w:eastAsia="仿宋" w:cs="仿宋"/>
          <w:spacing w:val="10"/>
          <w:sz w:val="25"/>
          <w:szCs w:val="25"/>
        </w:rPr>
        <w:t>建、在建矿山管理，严格落实</w:t>
      </w:r>
      <w:r>
        <w:rPr>
          <w:rFonts w:ascii="Times New Roman" w:hAnsi="Times New Roman" w:eastAsia="Times New Roman" w:cs="Times New Roman"/>
          <w:spacing w:val="10"/>
          <w:sz w:val="25"/>
          <w:szCs w:val="25"/>
        </w:rPr>
        <w:t>“</w:t>
      </w:r>
      <w:r>
        <w:rPr>
          <w:rFonts w:ascii="仿宋" w:hAnsi="仿宋" w:eastAsia="仿宋" w:cs="仿宋"/>
          <w:spacing w:val="10"/>
          <w:sz w:val="25"/>
          <w:szCs w:val="25"/>
        </w:rPr>
        <w:t>边开采、边保护、边复垦</w:t>
      </w:r>
      <w:r>
        <w:rPr>
          <w:rFonts w:ascii="Times New Roman" w:hAnsi="Times New Roman" w:eastAsia="Times New Roman" w:cs="Times New Roman"/>
          <w:spacing w:val="10"/>
          <w:sz w:val="25"/>
          <w:szCs w:val="25"/>
        </w:rPr>
        <w:t>”</w:t>
      </w:r>
      <w:r>
        <w:rPr>
          <w:rFonts w:ascii="仿宋" w:hAnsi="仿宋" w:eastAsia="仿宋" w:cs="仿宋"/>
          <w:spacing w:val="10"/>
          <w:sz w:val="25"/>
          <w:szCs w:val="25"/>
        </w:rPr>
        <w:t>措施，加大在产矿山</w:t>
      </w:r>
      <w:r>
        <w:rPr>
          <w:rFonts w:ascii="仿宋" w:hAnsi="仿宋" w:eastAsia="仿宋" w:cs="仿宋"/>
          <w:spacing w:val="4"/>
          <w:sz w:val="25"/>
          <w:szCs w:val="25"/>
        </w:rPr>
        <w:t xml:space="preserve"> </w:t>
      </w:r>
      <w:r>
        <w:rPr>
          <w:rFonts w:ascii="仿宋" w:hAnsi="仿宋" w:eastAsia="仿宋" w:cs="仿宋"/>
          <w:spacing w:val="6"/>
          <w:sz w:val="25"/>
          <w:szCs w:val="25"/>
        </w:rPr>
        <w:t>边开采边治理监督检查力度，深化矿山地质环境治理方案和土地复垦方案</w:t>
      </w:r>
      <w:r>
        <w:rPr>
          <w:rFonts w:ascii="Times New Roman" w:hAnsi="Times New Roman" w:eastAsia="Times New Roman" w:cs="Times New Roman"/>
          <w:spacing w:val="6"/>
          <w:sz w:val="25"/>
          <w:szCs w:val="25"/>
        </w:rPr>
        <w:t>“</w:t>
      </w:r>
      <w:r>
        <w:rPr>
          <w:rFonts w:ascii="仿宋" w:hAnsi="仿宋" w:eastAsia="仿宋" w:cs="仿宋"/>
          <w:spacing w:val="6"/>
          <w:sz w:val="25"/>
          <w:szCs w:val="25"/>
        </w:rPr>
        <w:t>二合</w:t>
      </w:r>
      <w:r>
        <w:rPr>
          <w:rFonts w:ascii="仿宋" w:hAnsi="仿宋" w:eastAsia="仿宋" w:cs="仿宋"/>
          <w:spacing w:val="5"/>
          <w:sz w:val="25"/>
          <w:szCs w:val="25"/>
        </w:rPr>
        <w:t xml:space="preserve"> </w:t>
      </w:r>
      <w:r>
        <w:rPr>
          <w:rFonts w:ascii="仿宋" w:hAnsi="仿宋" w:eastAsia="仿宋" w:cs="仿宋"/>
          <w:spacing w:val="6"/>
          <w:sz w:val="25"/>
          <w:szCs w:val="25"/>
        </w:rPr>
        <w:t>一</w:t>
      </w:r>
      <w:r>
        <w:rPr>
          <w:rFonts w:ascii="Times New Roman" w:hAnsi="Times New Roman" w:eastAsia="Times New Roman" w:cs="Times New Roman"/>
          <w:spacing w:val="6"/>
          <w:sz w:val="25"/>
          <w:szCs w:val="25"/>
        </w:rPr>
        <w:t>”</w:t>
      </w:r>
      <w:r>
        <w:rPr>
          <w:rFonts w:ascii="仿宋" w:hAnsi="仿宋" w:eastAsia="仿宋" w:cs="仿宋"/>
          <w:spacing w:val="6"/>
          <w:sz w:val="25"/>
          <w:szCs w:val="25"/>
        </w:rPr>
        <w:t>审查制度改革，控制废弃露天矿山</w:t>
      </w:r>
      <w:r>
        <w:rPr>
          <w:rFonts w:ascii="Times New Roman" w:hAnsi="Times New Roman" w:eastAsia="Times New Roman" w:cs="Times New Roman"/>
          <w:spacing w:val="6"/>
          <w:sz w:val="25"/>
          <w:szCs w:val="25"/>
        </w:rPr>
        <w:t>“</w:t>
      </w:r>
      <w:r>
        <w:rPr>
          <w:rFonts w:ascii="仿宋" w:hAnsi="仿宋" w:eastAsia="仿宋" w:cs="仿宋"/>
          <w:spacing w:val="6"/>
          <w:sz w:val="25"/>
          <w:szCs w:val="25"/>
        </w:rPr>
        <w:t>增量</w:t>
      </w:r>
      <w:r>
        <w:rPr>
          <w:rFonts w:ascii="Times New Roman" w:hAnsi="Times New Roman" w:eastAsia="Times New Roman" w:cs="Times New Roman"/>
          <w:spacing w:val="6"/>
          <w:sz w:val="25"/>
          <w:szCs w:val="25"/>
        </w:rPr>
        <w:t>”</w:t>
      </w:r>
      <w:r>
        <w:rPr>
          <w:rFonts w:ascii="Times New Roman" w:hAnsi="Times New Roman" w:eastAsia="Times New Roman" w:cs="Times New Roman"/>
          <w:spacing w:val="-25"/>
          <w:sz w:val="25"/>
          <w:szCs w:val="25"/>
        </w:rPr>
        <w:t xml:space="preserve"> </w:t>
      </w:r>
      <w:r>
        <w:rPr>
          <w:rFonts w:ascii="仿宋" w:hAnsi="仿宋" w:eastAsia="仿宋" w:cs="仿宋"/>
          <w:spacing w:val="6"/>
          <w:sz w:val="25"/>
          <w:szCs w:val="25"/>
        </w:rPr>
        <w:t>。积极推进</w:t>
      </w:r>
      <w:r>
        <w:rPr>
          <w:rFonts w:ascii="仿宋" w:hAnsi="仿宋" w:eastAsia="仿宋" w:cs="仿宋"/>
          <w:spacing w:val="5"/>
          <w:sz w:val="25"/>
          <w:szCs w:val="25"/>
        </w:rPr>
        <w:t>绿色矿山建设，依法依</w:t>
      </w:r>
      <w:r>
        <w:rPr>
          <w:rFonts w:ascii="仿宋" w:hAnsi="仿宋" w:eastAsia="仿宋" w:cs="仿宋"/>
          <w:sz w:val="25"/>
          <w:szCs w:val="25"/>
        </w:rPr>
        <w:t xml:space="preserve"> </w:t>
      </w:r>
      <w:r>
        <w:rPr>
          <w:rFonts w:ascii="仿宋" w:hAnsi="仿宋" w:eastAsia="仿宋" w:cs="仿宋"/>
          <w:spacing w:val="10"/>
          <w:sz w:val="25"/>
          <w:szCs w:val="25"/>
        </w:rPr>
        <w:t>规开展绿色矿山第三方评估。持续探索市场化</w:t>
      </w:r>
      <w:r>
        <w:rPr>
          <w:rFonts w:ascii="仿宋" w:hAnsi="仿宋" w:eastAsia="仿宋" w:cs="仿宋"/>
          <w:spacing w:val="9"/>
          <w:sz w:val="25"/>
          <w:szCs w:val="25"/>
        </w:rPr>
        <w:t>方式推进矿山生态修复的工作机</w:t>
      </w:r>
      <w:r>
        <w:rPr>
          <w:rFonts w:ascii="仿宋" w:hAnsi="仿宋" w:eastAsia="仿宋" w:cs="仿宋"/>
          <w:sz w:val="25"/>
          <w:szCs w:val="25"/>
        </w:rPr>
        <w:t xml:space="preserve"> </w:t>
      </w:r>
      <w:r>
        <w:rPr>
          <w:rFonts w:ascii="仿宋" w:hAnsi="仿宋" w:eastAsia="仿宋" w:cs="仿宋"/>
          <w:spacing w:val="8"/>
          <w:sz w:val="25"/>
          <w:szCs w:val="25"/>
        </w:rPr>
        <w:t>制，盘活矿山废弃土地和空间。</w:t>
      </w:r>
    </w:p>
    <w:p w14:paraId="604F12C5">
      <w:pPr>
        <w:spacing w:line="227" w:lineRule="auto"/>
        <w:ind w:left="500"/>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5</w:t>
      </w:r>
      <w:r>
        <w:rPr>
          <w:rFonts w:ascii="仿宋" w:hAnsi="仿宋" w:eastAsia="仿宋" w:cs="仿宋"/>
          <w:spacing w:val="7"/>
          <w:sz w:val="25"/>
          <w:szCs w:val="25"/>
        </w:rPr>
        <w:t>）关闭矿山生态恢复治理</w:t>
      </w:r>
    </w:p>
    <w:p w14:paraId="551E8BCC">
      <w:pPr>
        <w:spacing w:before="154" w:line="333" w:lineRule="auto"/>
        <w:ind w:left="17" w:right="90" w:firstLine="486"/>
        <w:rPr>
          <w:rFonts w:ascii="仿宋" w:hAnsi="仿宋" w:eastAsia="仿宋" w:cs="仿宋"/>
          <w:sz w:val="25"/>
          <w:szCs w:val="25"/>
        </w:rPr>
      </w:pPr>
      <w:r>
        <w:rPr>
          <w:rFonts w:ascii="仿宋" w:hAnsi="仿宋" w:eastAsia="仿宋" w:cs="仿宋"/>
          <w:spacing w:val="10"/>
          <w:sz w:val="25"/>
          <w:szCs w:val="25"/>
        </w:rPr>
        <w:t>关闭矿山，必须提出矿山闭坑报告及有关采掘工程、土地复垦利用、环境</w:t>
      </w:r>
      <w:r>
        <w:rPr>
          <w:rFonts w:ascii="仿宋" w:hAnsi="仿宋" w:eastAsia="仿宋" w:cs="仿宋"/>
          <w:spacing w:val="18"/>
          <w:sz w:val="25"/>
          <w:szCs w:val="25"/>
        </w:rPr>
        <w:t xml:space="preserve"> </w:t>
      </w:r>
      <w:r>
        <w:rPr>
          <w:rFonts w:ascii="仿宋" w:hAnsi="仿宋" w:eastAsia="仿宋" w:cs="仿宋"/>
          <w:spacing w:val="9"/>
          <w:sz w:val="25"/>
          <w:szCs w:val="25"/>
        </w:rPr>
        <w:t>保护的资料，并按照国家规定报请审查批准。制定矿区生态重建与恢复方案。</w:t>
      </w:r>
    </w:p>
    <w:p w14:paraId="3CCAC674">
      <w:pPr>
        <w:spacing w:before="10" w:line="324" w:lineRule="auto"/>
        <w:ind w:left="16" w:firstLine="522"/>
        <w:rPr>
          <w:rFonts w:ascii="仿宋" w:hAnsi="仿宋" w:eastAsia="仿宋" w:cs="仿宋"/>
          <w:sz w:val="25"/>
          <w:szCs w:val="25"/>
        </w:rPr>
      </w:pPr>
      <w:r>
        <w:rPr>
          <w:rFonts w:ascii="仿宋" w:hAnsi="仿宋" w:eastAsia="仿宋" w:cs="仿宋"/>
          <w:spacing w:val="9"/>
          <w:sz w:val="25"/>
          <w:szCs w:val="25"/>
        </w:rPr>
        <w:t xml:space="preserve">对于已关闭但未治理的矿山（含历史遗留矿山）和规划期关闭的矿山，应 </w:t>
      </w:r>
      <w:r>
        <w:rPr>
          <w:rFonts w:ascii="仿宋" w:hAnsi="仿宋" w:eastAsia="仿宋" w:cs="仿宋"/>
          <w:spacing w:val="7"/>
          <w:sz w:val="25"/>
          <w:szCs w:val="25"/>
        </w:rPr>
        <w:t>落实主体责任，严格按照《土地复垦条例》（国</w:t>
      </w:r>
      <w:r>
        <w:rPr>
          <w:rFonts w:ascii="仿宋" w:hAnsi="仿宋" w:eastAsia="仿宋" w:cs="仿宋"/>
          <w:spacing w:val="6"/>
          <w:sz w:val="25"/>
          <w:szCs w:val="25"/>
        </w:rPr>
        <w:t xml:space="preserve">务院令第 </w:t>
      </w:r>
      <w:r>
        <w:rPr>
          <w:rFonts w:ascii="Times New Roman" w:hAnsi="Times New Roman" w:eastAsia="Times New Roman" w:cs="Times New Roman"/>
          <w:spacing w:val="6"/>
          <w:sz w:val="25"/>
          <w:szCs w:val="25"/>
        </w:rPr>
        <w:t>592</w:t>
      </w:r>
      <w:r>
        <w:rPr>
          <w:rFonts w:ascii="Times New Roman" w:hAnsi="Times New Roman" w:eastAsia="Times New Roman" w:cs="Times New Roman"/>
          <w:spacing w:val="28"/>
          <w:sz w:val="25"/>
          <w:szCs w:val="25"/>
        </w:rPr>
        <w:t xml:space="preserve"> </w:t>
      </w:r>
      <w:r>
        <w:rPr>
          <w:rFonts w:ascii="仿宋" w:hAnsi="仿宋" w:eastAsia="仿宋" w:cs="仿宋"/>
          <w:spacing w:val="6"/>
          <w:sz w:val="25"/>
          <w:szCs w:val="25"/>
        </w:rPr>
        <w:t>号）、《关于加</w:t>
      </w:r>
      <w:r>
        <w:rPr>
          <w:rFonts w:ascii="仿宋" w:hAnsi="仿宋" w:eastAsia="仿宋" w:cs="仿宋"/>
          <w:sz w:val="25"/>
          <w:szCs w:val="25"/>
        </w:rPr>
        <w:t xml:space="preserve"> 强矿山地质环境恢复和综合治理的指导意见（国土资发〔</w:t>
      </w:r>
      <w:r>
        <w:rPr>
          <w:rFonts w:ascii="Times New Roman" w:hAnsi="Times New Roman" w:eastAsia="Times New Roman" w:cs="Times New Roman"/>
          <w:spacing w:val="-1"/>
          <w:sz w:val="25"/>
          <w:szCs w:val="25"/>
        </w:rPr>
        <w:t>2016</w:t>
      </w:r>
      <w:r>
        <w:rPr>
          <w:rFonts w:ascii="仿宋" w:hAnsi="仿宋" w:eastAsia="仿宋" w:cs="仿宋"/>
          <w:spacing w:val="-1"/>
          <w:sz w:val="25"/>
          <w:szCs w:val="25"/>
        </w:rPr>
        <w:t>〕</w:t>
      </w:r>
      <w:r>
        <w:rPr>
          <w:rFonts w:ascii="Times New Roman" w:hAnsi="Times New Roman" w:eastAsia="Times New Roman" w:cs="Times New Roman"/>
          <w:spacing w:val="-1"/>
          <w:sz w:val="25"/>
          <w:szCs w:val="25"/>
        </w:rPr>
        <w:t>63</w:t>
      </w:r>
      <w:r>
        <w:rPr>
          <w:rFonts w:ascii="Times New Roman" w:hAnsi="Times New Roman" w:eastAsia="Times New Roman" w:cs="Times New Roman"/>
          <w:spacing w:val="26"/>
          <w:sz w:val="25"/>
          <w:szCs w:val="25"/>
        </w:rPr>
        <w:t xml:space="preserve"> </w:t>
      </w:r>
      <w:r>
        <w:rPr>
          <w:rFonts w:ascii="仿宋" w:hAnsi="仿宋" w:eastAsia="仿宋" w:cs="仿宋"/>
          <w:spacing w:val="-1"/>
          <w:sz w:val="25"/>
          <w:szCs w:val="25"/>
        </w:rPr>
        <w:t>号）》、《重</w:t>
      </w:r>
      <w:r>
        <w:rPr>
          <w:rFonts w:ascii="仿宋" w:hAnsi="仿宋" w:eastAsia="仿宋" w:cs="仿宋"/>
          <w:sz w:val="25"/>
          <w:szCs w:val="25"/>
        </w:rPr>
        <w:t xml:space="preserve"> </w:t>
      </w:r>
      <w:r>
        <w:rPr>
          <w:rFonts w:ascii="仿宋" w:hAnsi="仿宋" w:eastAsia="仿宋" w:cs="仿宋"/>
          <w:spacing w:val="9"/>
          <w:sz w:val="25"/>
          <w:szCs w:val="25"/>
        </w:rPr>
        <w:t>庆市历史遗留和关闭矿山地质环境治理恢复与土地复垦工作方案》（渝府办发</w:t>
      </w:r>
      <w:r>
        <w:rPr>
          <w:rFonts w:ascii="仿宋" w:hAnsi="仿宋" w:eastAsia="仿宋" w:cs="仿宋"/>
          <w:spacing w:val="14"/>
          <w:sz w:val="25"/>
          <w:szCs w:val="25"/>
        </w:rPr>
        <w:t xml:space="preserve"> </w:t>
      </w:r>
      <w:r>
        <w:rPr>
          <w:rFonts w:ascii="仿宋" w:hAnsi="仿宋" w:eastAsia="仿宋" w:cs="仿宋"/>
          <w:spacing w:val="6"/>
          <w:sz w:val="25"/>
          <w:szCs w:val="25"/>
        </w:rPr>
        <w:t>〔</w:t>
      </w:r>
      <w:r>
        <w:rPr>
          <w:rFonts w:ascii="Times New Roman" w:hAnsi="Times New Roman" w:eastAsia="Times New Roman" w:cs="Times New Roman"/>
          <w:spacing w:val="6"/>
          <w:sz w:val="25"/>
          <w:szCs w:val="25"/>
        </w:rPr>
        <w:t>2018</w:t>
      </w:r>
      <w:r>
        <w:rPr>
          <w:rFonts w:ascii="仿宋" w:hAnsi="仿宋" w:eastAsia="仿宋" w:cs="仿宋"/>
          <w:spacing w:val="6"/>
          <w:sz w:val="25"/>
          <w:szCs w:val="25"/>
        </w:rPr>
        <w:t>〕</w:t>
      </w:r>
      <w:r>
        <w:rPr>
          <w:rFonts w:ascii="Times New Roman" w:hAnsi="Times New Roman" w:eastAsia="Times New Roman" w:cs="Times New Roman"/>
          <w:spacing w:val="6"/>
          <w:sz w:val="25"/>
          <w:szCs w:val="25"/>
        </w:rPr>
        <w:t>55</w:t>
      </w:r>
      <w:r>
        <w:rPr>
          <w:rFonts w:ascii="Times New Roman" w:hAnsi="Times New Roman" w:eastAsia="Times New Roman" w:cs="Times New Roman"/>
          <w:spacing w:val="43"/>
          <w:sz w:val="25"/>
          <w:szCs w:val="25"/>
        </w:rPr>
        <w:t xml:space="preserve"> </w:t>
      </w:r>
      <w:r>
        <w:rPr>
          <w:rFonts w:ascii="仿宋" w:hAnsi="仿宋" w:eastAsia="仿宋" w:cs="仿宋"/>
          <w:spacing w:val="6"/>
          <w:sz w:val="25"/>
          <w:szCs w:val="25"/>
        </w:rPr>
        <w:t>号）等有关规定，切实做好关闭矿山地质环境恢复治理和矿山土地</w:t>
      </w:r>
      <w:r>
        <w:rPr>
          <w:rFonts w:ascii="仿宋" w:hAnsi="仿宋" w:eastAsia="仿宋" w:cs="仿宋"/>
          <w:sz w:val="25"/>
          <w:szCs w:val="25"/>
        </w:rPr>
        <w:t xml:space="preserve"> </w:t>
      </w:r>
      <w:r>
        <w:rPr>
          <w:rFonts w:ascii="仿宋" w:hAnsi="仿宋" w:eastAsia="仿宋" w:cs="仿宋"/>
          <w:spacing w:val="9"/>
          <w:sz w:val="25"/>
          <w:szCs w:val="25"/>
        </w:rPr>
        <w:t>复垦工作。矿区生态修复由县级以上地方人民政府自然资源主管部门会同生态</w:t>
      </w:r>
      <w:r>
        <w:rPr>
          <w:rFonts w:ascii="仿宋" w:hAnsi="仿宋" w:eastAsia="仿宋" w:cs="仿宋"/>
          <w:spacing w:val="14"/>
          <w:sz w:val="25"/>
          <w:szCs w:val="25"/>
        </w:rPr>
        <w:t xml:space="preserve"> </w:t>
      </w:r>
      <w:r>
        <w:rPr>
          <w:rFonts w:ascii="仿宋" w:hAnsi="仿宋" w:eastAsia="仿宋" w:cs="仿宋"/>
          <w:spacing w:val="9"/>
          <w:sz w:val="25"/>
          <w:szCs w:val="25"/>
        </w:rPr>
        <w:t>环境主管部门等有关部门组织验收。验收应当邀请有关专家以及矿区涉及的居</w:t>
      </w:r>
      <w:r>
        <w:rPr>
          <w:rFonts w:ascii="仿宋" w:hAnsi="仿宋" w:eastAsia="仿宋" w:cs="仿宋"/>
          <w:spacing w:val="14"/>
          <w:sz w:val="25"/>
          <w:szCs w:val="25"/>
        </w:rPr>
        <w:t xml:space="preserve"> </w:t>
      </w:r>
      <w:r>
        <w:rPr>
          <w:rFonts w:ascii="仿宋" w:hAnsi="仿宋" w:eastAsia="仿宋" w:cs="仿宋"/>
          <w:spacing w:val="9"/>
          <w:sz w:val="25"/>
          <w:szCs w:val="25"/>
        </w:rPr>
        <w:t>民委员会、村民委员会、农村集体经济组织和居民代表、村民代表参加，验收</w:t>
      </w:r>
      <w:r>
        <w:rPr>
          <w:rFonts w:ascii="仿宋" w:hAnsi="仿宋" w:eastAsia="仿宋" w:cs="仿宋"/>
          <w:spacing w:val="14"/>
          <w:sz w:val="25"/>
          <w:szCs w:val="25"/>
        </w:rPr>
        <w:t xml:space="preserve"> </w:t>
      </w:r>
      <w:r>
        <w:rPr>
          <w:rFonts w:ascii="仿宋" w:hAnsi="仿宋" w:eastAsia="仿宋" w:cs="仿宋"/>
          <w:spacing w:val="5"/>
          <w:sz w:val="25"/>
          <w:szCs w:val="25"/>
        </w:rPr>
        <w:t>结果应当向社会公布。矿区生态修复分区、分期进行的，应</w:t>
      </w:r>
      <w:r>
        <w:rPr>
          <w:rFonts w:ascii="仿宋" w:hAnsi="仿宋" w:eastAsia="仿宋" w:cs="仿宋"/>
          <w:spacing w:val="4"/>
          <w:sz w:val="25"/>
          <w:szCs w:val="25"/>
        </w:rPr>
        <w:t>当分区、分期验收。</w:t>
      </w:r>
    </w:p>
    <w:p w14:paraId="1CFFEB71">
      <w:pPr>
        <w:spacing w:line="326" w:lineRule="auto"/>
        <w:ind w:left="18" w:right="95" w:firstLine="520"/>
        <w:rPr>
          <w:rFonts w:ascii="仿宋" w:hAnsi="仿宋" w:eastAsia="仿宋" w:cs="仿宋"/>
          <w:sz w:val="25"/>
          <w:szCs w:val="25"/>
        </w:rPr>
      </w:pPr>
      <w:r>
        <w:rPr>
          <w:rFonts w:ascii="仿宋" w:hAnsi="仿宋" w:eastAsia="仿宋" w:cs="仿宋"/>
          <w:spacing w:val="9"/>
          <w:sz w:val="25"/>
          <w:szCs w:val="25"/>
        </w:rPr>
        <w:t xml:space="preserve">对于遗留环境污染问题，如关闭煤矿的矿井水应采取相应治理措施对其进 </w:t>
      </w:r>
      <w:r>
        <w:rPr>
          <w:rFonts w:ascii="仿宋" w:hAnsi="仿宋" w:eastAsia="仿宋" w:cs="仿宋"/>
          <w:spacing w:val="8"/>
          <w:sz w:val="25"/>
          <w:szCs w:val="25"/>
        </w:rPr>
        <w:t>行有效处理，对已造成环境污染的应限期治理。</w:t>
      </w:r>
    </w:p>
    <w:p w14:paraId="31002FC2">
      <w:pPr>
        <w:spacing w:line="326" w:lineRule="auto"/>
        <w:rPr>
          <w:rFonts w:ascii="仿宋" w:hAnsi="仿宋" w:eastAsia="仿宋" w:cs="仿宋"/>
          <w:sz w:val="25"/>
          <w:szCs w:val="25"/>
        </w:rPr>
        <w:sectPr>
          <w:headerReference r:id="rId238" w:type="default"/>
          <w:footerReference r:id="rId239" w:type="default"/>
          <w:pgSz w:w="11906" w:h="16839"/>
          <w:pgMar w:top="1116" w:right="1385" w:bottom="866" w:left="1587" w:header="683" w:footer="703" w:gutter="0"/>
          <w:cols w:space="720" w:num="1"/>
        </w:sectPr>
      </w:pPr>
    </w:p>
    <w:p w14:paraId="36D98962">
      <w:pPr>
        <w:pStyle w:val="2"/>
        <w:spacing w:line="371" w:lineRule="auto"/>
      </w:pPr>
    </w:p>
    <w:p w14:paraId="788DFEFA">
      <w:pPr>
        <w:spacing w:before="81" w:line="325" w:lineRule="auto"/>
        <w:ind w:left="139" w:right="296" w:firstLine="521"/>
        <w:jc w:val="both"/>
        <w:rPr>
          <w:rFonts w:ascii="仿宋" w:hAnsi="仿宋" w:eastAsia="仿宋" w:cs="仿宋"/>
          <w:sz w:val="25"/>
          <w:szCs w:val="25"/>
        </w:rPr>
      </w:pPr>
      <w:r>
        <w:rPr>
          <w:rFonts w:ascii="仿宋" w:hAnsi="仿宋" w:eastAsia="仿宋" w:cs="仿宋"/>
          <w:spacing w:val="7"/>
          <w:sz w:val="25"/>
          <w:szCs w:val="25"/>
        </w:rPr>
        <w:t>历史遗留的废弃矿区，矿区生态修复责任人灭失或者无法确认的，</w:t>
      </w:r>
      <w:r>
        <w:rPr>
          <w:rFonts w:ascii="仿宋" w:hAnsi="仿宋" w:eastAsia="仿宋" w:cs="仿宋"/>
          <w:spacing w:val="-52"/>
          <w:sz w:val="25"/>
          <w:szCs w:val="25"/>
        </w:rPr>
        <w:t xml:space="preserve"> </w:t>
      </w:r>
      <w:r>
        <w:rPr>
          <w:rFonts w:ascii="仿宋" w:hAnsi="仿宋" w:eastAsia="仿宋" w:cs="仿宋"/>
          <w:spacing w:val="7"/>
          <w:sz w:val="25"/>
          <w:szCs w:val="25"/>
        </w:rPr>
        <w:t>由所在</w:t>
      </w:r>
      <w:r>
        <w:rPr>
          <w:rFonts w:ascii="仿宋" w:hAnsi="仿宋" w:eastAsia="仿宋" w:cs="仿宋"/>
          <w:sz w:val="25"/>
          <w:szCs w:val="25"/>
        </w:rPr>
        <w:t xml:space="preserve"> </w:t>
      </w:r>
      <w:r>
        <w:rPr>
          <w:rFonts w:ascii="仿宋" w:hAnsi="仿宋" w:eastAsia="仿宋" w:cs="仿宋"/>
          <w:spacing w:val="8"/>
          <w:sz w:val="25"/>
          <w:szCs w:val="25"/>
        </w:rPr>
        <w:t>地县级以上地方人民政府组织开展矿区生态修复。</w:t>
      </w:r>
      <w:r>
        <w:rPr>
          <w:rFonts w:ascii="仿宋" w:hAnsi="仿宋" w:eastAsia="仿宋" w:cs="仿宋"/>
          <w:spacing w:val="-72"/>
          <w:sz w:val="25"/>
          <w:szCs w:val="25"/>
        </w:rPr>
        <w:t xml:space="preserve"> </w:t>
      </w:r>
      <w:r>
        <w:rPr>
          <w:rFonts w:ascii="仿宋" w:hAnsi="仿宋" w:eastAsia="仿宋" w:cs="仿宋"/>
          <w:spacing w:val="8"/>
          <w:sz w:val="25"/>
          <w:szCs w:val="25"/>
        </w:rPr>
        <w:t>国家鼓励社会</w:t>
      </w:r>
      <w:r>
        <w:rPr>
          <w:rFonts w:ascii="仿宋" w:hAnsi="仿宋" w:eastAsia="仿宋" w:cs="仿宋"/>
          <w:spacing w:val="7"/>
          <w:sz w:val="25"/>
          <w:szCs w:val="25"/>
        </w:rPr>
        <w:t>资本参与矿区</w:t>
      </w:r>
      <w:r>
        <w:rPr>
          <w:rFonts w:ascii="仿宋" w:hAnsi="仿宋" w:eastAsia="仿宋" w:cs="仿宋"/>
          <w:sz w:val="25"/>
          <w:szCs w:val="25"/>
        </w:rPr>
        <w:t xml:space="preserve"> </w:t>
      </w:r>
      <w:r>
        <w:rPr>
          <w:rFonts w:ascii="仿宋" w:hAnsi="仿宋" w:eastAsia="仿宋" w:cs="仿宋"/>
          <w:spacing w:val="4"/>
          <w:sz w:val="25"/>
          <w:szCs w:val="25"/>
        </w:rPr>
        <w:t>生态修复。</w:t>
      </w:r>
    </w:p>
    <w:p w14:paraId="77D3227D">
      <w:pPr>
        <w:spacing w:before="134" w:line="228" w:lineRule="auto"/>
        <w:ind w:left="130"/>
        <w:outlineLvl w:val="2"/>
        <w:rPr>
          <w:rFonts w:ascii="仿宋" w:hAnsi="仿宋" w:eastAsia="仿宋" w:cs="仿宋"/>
          <w:sz w:val="25"/>
          <w:szCs w:val="25"/>
        </w:rPr>
      </w:pPr>
      <w:r>
        <w:rPr>
          <w:rFonts w:ascii="Times New Roman" w:hAnsi="Times New Roman" w:eastAsia="Times New Roman" w:cs="Times New Roman"/>
          <w:b/>
          <w:bCs/>
          <w:spacing w:val="4"/>
          <w:sz w:val="25"/>
          <w:szCs w:val="25"/>
        </w:rPr>
        <w:t>7.1.4</w:t>
      </w:r>
      <w:r>
        <w:rPr>
          <w:rFonts w:ascii="Times New Roman" w:hAnsi="Times New Roman" w:eastAsia="Times New Roman" w:cs="Times New Roman"/>
          <w:b/>
          <w:bCs/>
          <w:spacing w:val="35"/>
          <w:sz w:val="25"/>
          <w:szCs w:val="25"/>
        </w:rPr>
        <w:t xml:space="preserve"> </w:t>
      </w:r>
      <w:r>
        <w:rPr>
          <w:rFonts w:ascii="仿宋" w:hAnsi="仿宋" w:eastAsia="仿宋" w:cs="仿宋"/>
          <w:b/>
          <w:bCs/>
          <w:spacing w:val="4"/>
          <w:sz w:val="25"/>
          <w:szCs w:val="25"/>
        </w:rPr>
        <w:t>温室气体排放控制建议</w:t>
      </w:r>
    </w:p>
    <w:p w14:paraId="3606BF20">
      <w:pPr>
        <w:spacing w:before="269" w:line="321" w:lineRule="auto"/>
        <w:ind w:left="138" w:right="288" w:firstLine="485"/>
        <w:rPr>
          <w:rFonts w:ascii="仿宋" w:hAnsi="仿宋" w:eastAsia="仿宋" w:cs="仿宋"/>
          <w:sz w:val="25"/>
          <w:szCs w:val="25"/>
        </w:rPr>
      </w:pPr>
      <w:r>
        <w:rPr>
          <w:rFonts w:ascii="仿宋" w:hAnsi="仿宋" w:eastAsia="仿宋" w:cs="仿宋"/>
          <w:spacing w:val="9"/>
          <w:sz w:val="25"/>
          <w:szCs w:val="25"/>
        </w:rPr>
        <w:t>（</w:t>
      </w:r>
      <w:r>
        <w:rPr>
          <w:rFonts w:ascii="Times New Roman" w:hAnsi="Times New Roman" w:eastAsia="Times New Roman" w:cs="Times New Roman"/>
          <w:spacing w:val="9"/>
          <w:sz w:val="25"/>
          <w:szCs w:val="25"/>
        </w:rPr>
        <w:t>1</w:t>
      </w:r>
      <w:r>
        <w:rPr>
          <w:rFonts w:ascii="仿宋" w:hAnsi="仿宋" w:eastAsia="仿宋" w:cs="仿宋"/>
          <w:spacing w:val="9"/>
          <w:sz w:val="25"/>
          <w:szCs w:val="25"/>
        </w:rPr>
        <w:t>）严格落实《中共中央</w:t>
      </w:r>
      <w:r>
        <w:rPr>
          <w:rFonts w:ascii="仿宋" w:hAnsi="仿宋" w:eastAsia="仿宋" w:cs="仿宋"/>
          <w:spacing w:val="57"/>
          <w:sz w:val="25"/>
          <w:szCs w:val="25"/>
        </w:rPr>
        <w:t xml:space="preserve"> </w:t>
      </w:r>
      <w:r>
        <w:rPr>
          <w:rFonts w:ascii="仿宋" w:hAnsi="仿宋" w:eastAsia="仿宋" w:cs="仿宋"/>
          <w:spacing w:val="9"/>
          <w:sz w:val="25"/>
          <w:szCs w:val="25"/>
        </w:rPr>
        <w:t>国务院关于完整准确全面贯彻新发展</w:t>
      </w:r>
      <w:r>
        <w:rPr>
          <w:rFonts w:ascii="仿宋" w:hAnsi="仿宋" w:eastAsia="仿宋" w:cs="仿宋"/>
          <w:spacing w:val="8"/>
          <w:sz w:val="25"/>
          <w:szCs w:val="25"/>
        </w:rPr>
        <w:t>理念做好</w:t>
      </w:r>
      <w:r>
        <w:rPr>
          <w:rFonts w:ascii="仿宋" w:hAnsi="仿宋" w:eastAsia="仿宋" w:cs="仿宋"/>
          <w:sz w:val="25"/>
          <w:szCs w:val="25"/>
        </w:rPr>
        <w:t xml:space="preserve"> </w:t>
      </w:r>
      <w:r>
        <w:rPr>
          <w:rFonts w:ascii="仿宋" w:hAnsi="仿宋" w:eastAsia="仿宋" w:cs="仿宋"/>
          <w:spacing w:val="6"/>
          <w:sz w:val="25"/>
          <w:szCs w:val="25"/>
        </w:rPr>
        <w:t>碳达峰碳中和工作的意见》</w:t>
      </w:r>
      <w:r>
        <w:rPr>
          <w:rFonts w:ascii="仿宋" w:hAnsi="仿宋" w:eastAsia="仿宋" w:cs="仿宋"/>
          <w:spacing w:val="-99"/>
          <w:sz w:val="25"/>
          <w:szCs w:val="25"/>
        </w:rPr>
        <w:t xml:space="preserve"> </w:t>
      </w:r>
      <w:r>
        <w:rPr>
          <w:rFonts w:ascii="仿宋" w:hAnsi="仿宋" w:eastAsia="仿宋" w:cs="仿宋"/>
          <w:spacing w:val="6"/>
          <w:sz w:val="25"/>
          <w:szCs w:val="25"/>
        </w:rPr>
        <w:t>（</w:t>
      </w:r>
      <w:r>
        <w:rPr>
          <w:rFonts w:ascii="仿宋" w:hAnsi="仿宋" w:eastAsia="仿宋" w:cs="仿宋"/>
          <w:spacing w:val="-29"/>
          <w:sz w:val="25"/>
          <w:szCs w:val="25"/>
        </w:rPr>
        <w:t xml:space="preserve"> </w:t>
      </w:r>
      <w:r>
        <w:rPr>
          <w:rFonts w:ascii="仿宋" w:hAnsi="仿宋" w:eastAsia="仿宋" w:cs="仿宋"/>
          <w:spacing w:val="6"/>
          <w:sz w:val="25"/>
          <w:szCs w:val="25"/>
        </w:rPr>
        <w:t>中发〔</w:t>
      </w:r>
      <w:r>
        <w:rPr>
          <w:rFonts w:ascii="Times New Roman" w:hAnsi="Times New Roman" w:eastAsia="Times New Roman" w:cs="Times New Roman"/>
          <w:spacing w:val="6"/>
          <w:sz w:val="25"/>
          <w:szCs w:val="25"/>
        </w:rPr>
        <w:t>2021</w:t>
      </w:r>
      <w:r>
        <w:rPr>
          <w:rFonts w:ascii="仿宋" w:hAnsi="仿宋" w:eastAsia="仿宋" w:cs="仿宋"/>
          <w:spacing w:val="6"/>
          <w:sz w:val="25"/>
          <w:szCs w:val="25"/>
        </w:rPr>
        <w:t>〕</w:t>
      </w:r>
      <w:r>
        <w:rPr>
          <w:rFonts w:ascii="Times New Roman" w:hAnsi="Times New Roman" w:eastAsia="Times New Roman" w:cs="Times New Roman"/>
          <w:spacing w:val="6"/>
          <w:sz w:val="25"/>
          <w:szCs w:val="25"/>
        </w:rPr>
        <w:t>36</w:t>
      </w:r>
      <w:r>
        <w:rPr>
          <w:rFonts w:ascii="Times New Roman" w:hAnsi="Times New Roman" w:eastAsia="Times New Roman" w:cs="Times New Roman"/>
          <w:spacing w:val="30"/>
          <w:w w:val="101"/>
          <w:sz w:val="25"/>
          <w:szCs w:val="25"/>
        </w:rPr>
        <w:t xml:space="preserve"> </w:t>
      </w:r>
      <w:r>
        <w:rPr>
          <w:rFonts w:ascii="仿宋" w:hAnsi="仿宋" w:eastAsia="仿宋" w:cs="仿宋"/>
          <w:spacing w:val="6"/>
          <w:sz w:val="25"/>
          <w:szCs w:val="25"/>
        </w:rPr>
        <w:t>号）</w:t>
      </w:r>
      <w:r>
        <w:rPr>
          <w:rFonts w:ascii="仿宋" w:hAnsi="仿宋" w:eastAsia="仿宋" w:cs="仿宋"/>
          <w:spacing w:val="-70"/>
          <w:sz w:val="25"/>
          <w:szCs w:val="25"/>
        </w:rPr>
        <w:t xml:space="preserve"> </w:t>
      </w:r>
      <w:r>
        <w:rPr>
          <w:rFonts w:ascii="仿宋" w:hAnsi="仿宋" w:eastAsia="仿宋" w:cs="仿宋"/>
          <w:spacing w:val="6"/>
          <w:sz w:val="25"/>
          <w:szCs w:val="25"/>
        </w:rPr>
        <w:t>、《国务院关于印发</w:t>
      </w:r>
      <w:r>
        <w:rPr>
          <w:rFonts w:ascii="仿宋" w:hAnsi="仿宋" w:eastAsia="仿宋" w:cs="仿宋"/>
          <w:spacing w:val="-47"/>
          <w:sz w:val="25"/>
          <w:szCs w:val="25"/>
        </w:rPr>
        <w:t xml:space="preserve"> </w:t>
      </w:r>
      <w:r>
        <w:rPr>
          <w:rFonts w:ascii="Times New Roman" w:hAnsi="Times New Roman" w:eastAsia="Times New Roman" w:cs="Times New Roman"/>
          <w:spacing w:val="6"/>
          <w:sz w:val="25"/>
          <w:szCs w:val="25"/>
        </w:rPr>
        <w:t>2030</w:t>
      </w:r>
      <w:r>
        <w:rPr>
          <w:rFonts w:ascii="Times New Roman" w:hAnsi="Times New Roman" w:eastAsia="Times New Roman" w:cs="Times New Roman"/>
          <w:sz w:val="25"/>
          <w:szCs w:val="25"/>
        </w:rPr>
        <w:t xml:space="preserve"> </w:t>
      </w:r>
      <w:r>
        <w:rPr>
          <w:rFonts w:ascii="仿宋" w:hAnsi="仿宋" w:eastAsia="仿宋" w:cs="仿宋"/>
          <w:spacing w:val="6"/>
          <w:sz w:val="25"/>
          <w:szCs w:val="25"/>
        </w:rPr>
        <w:t>年前碳达峰行动方案的通知》（国发〔</w:t>
      </w:r>
      <w:r>
        <w:rPr>
          <w:rFonts w:ascii="Times New Roman" w:hAnsi="Times New Roman" w:eastAsia="Times New Roman" w:cs="Times New Roman"/>
          <w:spacing w:val="6"/>
          <w:sz w:val="25"/>
          <w:szCs w:val="25"/>
        </w:rPr>
        <w:t>2021</w:t>
      </w:r>
      <w:r>
        <w:rPr>
          <w:rFonts w:ascii="仿宋" w:hAnsi="仿宋" w:eastAsia="仿宋" w:cs="仿宋"/>
          <w:spacing w:val="6"/>
          <w:sz w:val="25"/>
          <w:szCs w:val="25"/>
        </w:rPr>
        <w:t>〕</w:t>
      </w:r>
      <w:r>
        <w:rPr>
          <w:rFonts w:ascii="Times New Roman" w:hAnsi="Times New Roman" w:eastAsia="Times New Roman" w:cs="Times New Roman"/>
          <w:spacing w:val="6"/>
          <w:sz w:val="25"/>
          <w:szCs w:val="25"/>
        </w:rPr>
        <w:t>23</w:t>
      </w:r>
      <w:r>
        <w:rPr>
          <w:rFonts w:ascii="Times New Roman" w:hAnsi="Times New Roman" w:eastAsia="Times New Roman" w:cs="Times New Roman"/>
          <w:spacing w:val="44"/>
          <w:sz w:val="25"/>
          <w:szCs w:val="25"/>
        </w:rPr>
        <w:t xml:space="preserve"> </w:t>
      </w:r>
      <w:r>
        <w:rPr>
          <w:rFonts w:ascii="仿宋" w:hAnsi="仿宋" w:eastAsia="仿宋" w:cs="仿宋"/>
          <w:spacing w:val="6"/>
          <w:sz w:val="25"/>
          <w:szCs w:val="25"/>
        </w:rPr>
        <w:t>号）及《重庆市人民政府关于</w:t>
      </w:r>
      <w:r>
        <w:rPr>
          <w:rFonts w:ascii="仿宋" w:hAnsi="仿宋" w:eastAsia="仿宋" w:cs="仿宋"/>
          <w:sz w:val="25"/>
          <w:szCs w:val="25"/>
        </w:rPr>
        <w:t xml:space="preserve"> </w:t>
      </w:r>
      <w:r>
        <w:rPr>
          <w:rFonts w:ascii="仿宋" w:hAnsi="仿宋" w:eastAsia="仿宋" w:cs="仿宋"/>
          <w:spacing w:val="6"/>
          <w:sz w:val="25"/>
          <w:szCs w:val="25"/>
        </w:rPr>
        <w:t>加快建立健全绿色低碳循环经济体系的实施意见》（渝府发〔</w:t>
      </w:r>
      <w:r>
        <w:rPr>
          <w:rFonts w:ascii="Times New Roman" w:hAnsi="Times New Roman" w:eastAsia="Times New Roman" w:cs="Times New Roman"/>
          <w:spacing w:val="6"/>
          <w:sz w:val="25"/>
          <w:szCs w:val="25"/>
        </w:rPr>
        <w:t>2021</w:t>
      </w:r>
      <w:r>
        <w:rPr>
          <w:rFonts w:ascii="仿宋" w:hAnsi="仿宋" w:eastAsia="仿宋" w:cs="仿宋"/>
          <w:spacing w:val="6"/>
          <w:sz w:val="25"/>
          <w:szCs w:val="25"/>
        </w:rPr>
        <w:t>〕</w:t>
      </w:r>
      <w:r>
        <w:rPr>
          <w:rFonts w:ascii="Times New Roman" w:hAnsi="Times New Roman" w:eastAsia="Times New Roman" w:cs="Times New Roman"/>
          <w:spacing w:val="6"/>
          <w:sz w:val="25"/>
          <w:szCs w:val="25"/>
        </w:rPr>
        <w:t>31</w:t>
      </w:r>
      <w:r>
        <w:rPr>
          <w:rFonts w:ascii="Times New Roman" w:hAnsi="Times New Roman" w:eastAsia="Times New Roman" w:cs="Times New Roman"/>
          <w:spacing w:val="41"/>
          <w:w w:val="101"/>
          <w:sz w:val="25"/>
          <w:szCs w:val="25"/>
        </w:rPr>
        <w:t xml:space="preserve"> </w:t>
      </w:r>
      <w:r>
        <w:rPr>
          <w:rFonts w:ascii="仿宋" w:hAnsi="仿宋" w:eastAsia="仿宋" w:cs="仿宋"/>
          <w:spacing w:val="6"/>
          <w:sz w:val="25"/>
          <w:szCs w:val="25"/>
        </w:rPr>
        <w:t>号）等</w:t>
      </w:r>
      <w:r>
        <w:rPr>
          <w:rFonts w:ascii="仿宋" w:hAnsi="仿宋" w:eastAsia="仿宋" w:cs="仿宋"/>
          <w:sz w:val="25"/>
          <w:szCs w:val="25"/>
        </w:rPr>
        <w:t xml:space="preserve"> </w:t>
      </w:r>
      <w:r>
        <w:rPr>
          <w:rFonts w:ascii="仿宋" w:hAnsi="仿宋" w:eastAsia="仿宋" w:cs="仿宋"/>
          <w:spacing w:val="8"/>
          <w:sz w:val="25"/>
          <w:szCs w:val="25"/>
        </w:rPr>
        <w:t>相关要求，坚持</w:t>
      </w:r>
      <w:r>
        <w:rPr>
          <w:rFonts w:ascii="Times New Roman" w:hAnsi="Times New Roman" w:eastAsia="Times New Roman" w:cs="Times New Roman"/>
          <w:spacing w:val="8"/>
          <w:sz w:val="25"/>
          <w:szCs w:val="25"/>
        </w:rPr>
        <w:t>“</w:t>
      </w:r>
      <w:r>
        <w:rPr>
          <w:rFonts w:ascii="仿宋" w:hAnsi="仿宋" w:eastAsia="仿宋" w:cs="仿宋"/>
          <w:spacing w:val="8"/>
          <w:sz w:val="25"/>
          <w:szCs w:val="25"/>
        </w:rPr>
        <w:t>全国统筹、节约优先、双轮驱动、</w:t>
      </w:r>
      <w:r>
        <w:rPr>
          <w:rFonts w:ascii="仿宋" w:hAnsi="仿宋" w:eastAsia="仿宋" w:cs="仿宋"/>
          <w:spacing w:val="-51"/>
          <w:sz w:val="25"/>
          <w:szCs w:val="25"/>
        </w:rPr>
        <w:t xml:space="preserve"> </w:t>
      </w:r>
      <w:r>
        <w:rPr>
          <w:rFonts w:ascii="仿宋" w:hAnsi="仿宋" w:eastAsia="仿宋" w:cs="仿宋"/>
          <w:spacing w:val="8"/>
          <w:sz w:val="25"/>
          <w:szCs w:val="25"/>
        </w:rPr>
        <w:t>内外畅通、防范风险</w:t>
      </w:r>
      <w:r>
        <w:rPr>
          <w:rFonts w:ascii="Times New Roman" w:hAnsi="Times New Roman" w:eastAsia="Times New Roman" w:cs="Times New Roman"/>
          <w:spacing w:val="8"/>
          <w:sz w:val="25"/>
          <w:szCs w:val="25"/>
        </w:rPr>
        <w:t>”</w:t>
      </w:r>
      <w:r>
        <w:rPr>
          <w:rFonts w:ascii="仿宋" w:hAnsi="仿宋" w:eastAsia="仿宋" w:cs="仿宋"/>
          <w:spacing w:val="8"/>
          <w:sz w:val="25"/>
          <w:szCs w:val="25"/>
        </w:rPr>
        <w:t>的总</w:t>
      </w:r>
      <w:r>
        <w:rPr>
          <w:rFonts w:ascii="仿宋" w:hAnsi="仿宋" w:eastAsia="仿宋" w:cs="仿宋"/>
          <w:sz w:val="25"/>
          <w:szCs w:val="25"/>
        </w:rPr>
        <w:t xml:space="preserve"> </w:t>
      </w:r>
      <w:r>
        <w:rPr>
          <w:rFonts w:ascii="仿宋" w:hAnsi="仿宋" w:eastAsia="仿宋" w:cs="仿宋"/>
          <w:spacing w:val="8"/>
          <w:sz w:val="25"/>
          <w:szCs w:val="25"/>
        </w:rPr>
        <w:t>方针，有力有序有效做好全区采矿业碳达峰工作。</w:t>
      </w:r>
    </w:p>
    <w:p w14:paraId="3FA5DCE1">
      <w:pPr>
        <w:spacing w:before="153" w:line="312" w:lineRule="auto"/>
        <w:ind w:left="136" w:right="207" w:firstLine="487"/>
        <w:rPr>
          <w:rFonts w:ascii="仿宋" w:hAnsi="仿宋" w:eastAsia="仿宋" w:cs="仿宋"/>
          <w:sz w:val="25"/>
          <w:szCs w:val="25"/>
        </w:rPr>
      </w:pPr>
      <w:r>
        <w:rPr>
          <w:rFonts w:ascii="仿宋" w:hAnsi="仿宋" w:eastAsia="仿宋" w:cs="仿宋"/>
          <w:spacing w:val="1"/>
          <w:sz w:val="25"/>
          <w:szCs w:val="25"/>
        </w:rPr>
        <w:t>（</w:t>
      </w:r>
      <w:r>
        <w:rPr>
          <w:rFonts w:ascii="Times New Roman" w:hAnsi="Times New Roman" w:eastAsia="Times New Roman" w:cs="Times New Roman"/>
          <w:spacing w:val="1"/>
          <w:sz w:val="25"/>
          <w:szCs w:val="25"/>
        </w:rPr>
        <w:t>2</w:t>
      </w:r>
      <w:r>
        <w:rPr>
          <w:rFonts w:ascii="仿宋" w:hAnsi="仿宋" w:eastAsia="仿宋" w:cs="仿宋"/>
          <w:spacing w:val="1"/>
          <w:sz w:val="25"/>
          <w:szCs w:val="25"/>
        </w:rPr>
        <w:t>）全面推进矿山生产生活绿色转型发展，大力淘汰不满足生态环境保护、</w:t>
      </w:r>
      <w:r>
        <w:rPr>
          <w:rFonts w:ascii="仿宋" w:hAnsi="仿宋" w:eastAsia="仿宋" w:cs="仿宋"/>
          <w:spacing w:val="15"/>
          <w:sz w:val="25"/>
          <w:szCs w:val="25"/>
        </w:rPr>
        <w:t xml:space="preserve"> </w:t>
      </w:r>
      <w:r>
        <w:rPr>
          <w:rFonts w:ascii="仿宋" w:hAnsi="仿宋" w:eastAsia="仿宋" w:cs="仿宋"/>
          <w:spacing w:val="10"/>
          <w:sz w:val="25"/>
          <w:szCs w:val="25"/>
        </w:rPr>
        <w:t>安全生产、绿色矿山建设、节能减排等要求的矿山</w:t>
      </w:r>
      <w:r>
        <w:rPr>
          <w:rFonts w:ascii="仿宋" w:hAnsi="仿宋" w:eastAsia="仿宋" w:cs="仿宋"/>
          <w:spacing w:val="9"/>
          <w:sz w:val="25"/>
          <w:szCs w:val="25"/>
        </w:rPr>
        <w:t>；全面加强采矿过程节能减</w:t>
      </w:r>
      <w:r>
        <w:rPr>
          <w:rFonts w:ascii="仿宋" w:hAnsi="仿宋" w:eastAsia="仿宋" w:cs="仿宋"/>
          <w:sz w:val="25"/>
          <w:szCs w:val="25"/>
        </w:rPr>
        <w:t xml:space="preserve"> </w:t>
      </w:r>
      <w:r>
        <w:rPr>
          <w:rFonts w:ascii="仿宋" w:hAnsi="仿宋" w:eastAsia="仿宋" w:cs="仿宋"/>
          <w:spacing w:val="10"/>
          <w:sz w:val="25"/>
          <w:szCs w:val="25"/>
        </w:rPr>
        <w:t>排，尤其是开采规模较大的灰岩、砂岩矿山；调整</w:t>
      </w:r>
      <w:r>
        <w:rPr>
          <w:rFonts w:ascii="仿宋" w:hAnsi="仿宋" w:eastAsia="仿宋" w:cs="仿宋"/>
          <w:spacing w:val="9"/>
          <w:sz w:val="25"/>
          <w:szCs w:val="25"/>
        </w:rPr>
        <w:t>能源利用结构，合理控制能</w:t>
      </w:r>
      <w:r>
        <w:rPr>
          <w:rFonts w:ascii="仿宋" w:hAnsi="仿宋" w:eastAsia="仿宋" w:cs="仿宋"/>
          <w:sz w:val="25"/>
          <w:szCs w:val="25"/>
        </w:rPr>
        <w:t xml:space="preserve"> </w:t>
      </w:r>
      <w:r>
        <w:rPr>
          <w:rFonts w:ascii="仿宋" w:hAnsi="仿宋" w:eastAsia="仿宋" w:cs="仿宋"/>
          <w:spacing w:val="8"/>
          <w:sz w:val="25"/>
          <w:szCs w:val="25"/>
        </w:rPr>
        <w:t>源消费总量，推动能源资源高效配置、高效利用。</w:t>
      </w:r>
    </w:p>
    <w:p w14:paraId="1AE2D24F">
      <w:pPr>
        <w:spacing w:before="146" w:line="318" w:lineRule="auto"/>
        <w:ind w:left="138" w:right="291" w:firstLine="485"/>
        <w:rPr>
          <w:rFonts w:ascii="仿宋" w:hAnsi="仿宋" w:eastAsia="仿宋" w:cs="仿宋"/>
          <w:sz w:val="25"/>
          <w:szCs w:val="25"/>
        </w:rPr>
      </w:pPr>
      <w:r>
        <w:rPr>
          <w:rFonts w:ascii="仿宋" w:hAnsi="仿宋" w:eastAsia="仿宋" w:cs="仿宋"/>
          <w:spacing w:val="6"/>
          <w:sz w:val="25"/>
          <w:szCs w:val="25"/>
        </w:rPr>
        <w:t>（</w:t>
      </w:r>
      <w:r>
        <w:rPr>
          <w:rFonts w:ascii="Times New Roman" w:hAnsi="Times New Roman" w:eastAsia="Times New Roman" w:cs="Times New Roman"/>
          <w:spacing w:val="6"/>
          <w:sz w:val="25"/>
          <w:szCs w:val="25"/>
        </w:rPr>
        <w:t>3</w:t>
      </w:r>
      <w:r>
        <w:rPr>
          <w:rFonts w:ascii="仿宋" w:hAnsi="仿宋" w:eastAsia="仿宋" w:cs="仿宋"/>
          <w:spacing w:val="6"/>
          <w:sz w:val="25"/>
          <w:szCs w:val="25"/>
        </w:rPr>
        <w:t>）全面推进矿山绿色勘查、绿色开发、绿色矿山及大中型矿山建设和关</w:t>
      </w:r>
      <w:r>
        <w:rPr>
          <w:rFonts w:ascii="仿宋" w:hAnsi="仿宋" w:eastAsia="仿宋" w:cs="仿宋"/>
          <w:spacing w:val="18"/>
          <w:sz w:val="25"/>
          <w:szCs w:val="25"/>
        </w:rPr>
        <w:t xml:space="preserve"> </w:t>
      </w:r>
      <w:r>
        <w:rPr>
          <w:rFonts w:ascii="仿宋" w:hAnsi="仿宋" w:eastAsia="仿宋" w:cs="仿宋"/>
          <w:spacing w:val="10"/>
          <w:sz w:val="25"/>
          <w:szCs w:val="25"/>
        </w:rPr>
        <w:t>闭及历史遗留矿山生态修复工作，最大程度降</w:t>
      </w:r>
      <w:r>
        <w:rPr>
          <w:rFonts w:ascii="仿宋" w:hAnsi="仿宋" w:eastAsia="仿宋" w:cs="仿宋"/>
          <w:spacing w:val="9"/>
          <w:sz w:val="25"/>
          <w:szCs w:val="25"/>
        </w:rPr>
        <w:t>低采矿活动对灌木、乔木等地表</w:t>
      </w:r>
      <w:r>
        <w:rPr>
          <w:rFonts w:ascii="仿宋" w:hAnsi="仿宋" w:eastAsia="仿宋" w:cs="仿宋"/>
          <w:sz w:val="25"/>
          <w:szCs w:val="25"/>
        </w:rPr>
        <w:t xml:space="preserve"> </w:t>
      </w:r>
      <w:r>
        <w:rPr>
          <w:rFonts w:ascii="仿宋" w:hAnsi="仿宋" w:eastAsia="仿宋" w:cs="仿宋"/>
          <w:spacing w:val="8"/>
          <w:sz w:val="25"/>
          <w:szCs w:val="25"/>
        </w:rPr>
        <w:t>植被碳汇作用的影响。露天矿山应严格执行</w:t>
      </w:r>
      <w:r>
        <w:rPr>
          <w:rFonts w:ascii="仿宋" w:hAnsi="仿宋" w:eastAsia="仿宋" w:cs="仿宋"/>
          <w:spacing w:val="7"/>
          <w:sz w:val="25"/>
          <w:szCs w:val="25"/>
        </w:rPr>
        <w:t>平台开采和边开采边修复制度，</w:t>
      </w:r>
      <w:r>
        <w:rPr>
          <w:rFonts w:ascii="仿宋" w:hAnsi="仿宋" w:eastAsia="仿宋" w:cs="仿宋"/>
          <w:spacing w:val="-56"/>
          <w:sz w:val="25"/>
          <w:szCs w:val="25"/>
        </w:rPr>
        <w:t xml:space="preserve"> </w:t>
      </w:r>
      <w:r>
        <w:rPr>
          <w:rFonts w:ascii="仿宋" w:hAnsi="仿宋" w:eastAsia="仿宋" w:cs="仿宋"/>
          <w:spacing w:val="7"/>
          <w:sz w:val="25"/>
          <w:szCs w:val="25"/>
        </w:rPr>
        <w:t>占</w:t>
      </w:r>
      <w:r>
        <w:rPr>
          <w:rFonts w:ascii="仿宋" w:hAnsi="仿宋" w:eastAsia="仿宋" w:cs="仿宋"/>
          <w:sz w:val="25"/>
          <w:szCs w:val="25"/>
        </w:rPr>
        <w:t xml:space="preserve"> </w:t>
      </w:r>
      <w:r>
        <w:rPr>
          <w:rFonts w:ascii="仿宋" w:hAnsi="仿宋" w:eastAsia="仿宋" w:cs="仿宋"/>
          <w:spacing w:val="10"/>
          <w:sz w:val="25"/>
          <w:szCs w:val="25"/>
        </w:rPr>
        <w:t>用林地、耕地等全面修复和复垦，通过绿色矿</w:t>
      </w:r>
      <w:r>
        <w:rPr>
          <w:rFonts w:ascii="仿宋" w:hAnsi="仿宋" w:eastAsia="仿宋" w:cs="仿宋"/>
          <w:spacing w:val="9"/>
          <w:sz w:val="25"/>
          <w:szCs w:val="25"/>
        </w:rPr>
        <w:t>山建设和矿山生态修复增强矿山</w:t>
      </w:r>
      <w:r>
        <w:rPr>
          <w:rFonts w:ascii="仿宋" w:hAnsi="仿宋" w:eastAsia="仿宋" w:cs="仿宋"/>
          <w:sz w:val="25"/>
          <w:szCs w:val="25"/>
        </w:rPr>
        <w:t xml:space="preserve"> </w:t>
      </w:r>
      <w:r>
        <w:rPr>
          <w:rFonts w:ascii="仿宋" w:hAnsi="仿宋" w:eastAsia="仿宋" w:cs="仿宋"/>
          <w:spacing w:val="8"/>
          <w:sz w:val="25"/>
          <w:szCs w:val="25"/>
        </w:rPr>
        <w:t>生态系统固碳能力，间接减少碳排放量。</w:t>
      </w:r>
    </w:p>
    <w:p w14:paraId="03042B36">
      <w:pPr>
        <w:spacing w:before="163" w:line="229" w:lineRule="auto"/>
        <w:ind w:left="130"/>
        <w:outlineLvl w:val="1"/>
        <w:rPr>
          <w:rFonts w:ascii="仿宋" w:hAnsi="仿宋" w:eastAsia="仿宋" w:cs="仿宋"/>
          <w:sz w:val="25"/>
          <w:szCs w:val="25"/>
        </w:rPr>
      </w:pPr>
      <w:bookmarkStart w:id="42" w:name="bookmark36"/>
      <w:bookmarkEnd w:id="42"/>
      <w:r>
        <w:rPr>
          <w:rFonts w:ascii="Times New Roman" w:hAnsi="Times New Roman" w:eastAsia="Times New Roman" w:cs="Times New Roman"/>
          <w:b/>
          <w:bCs/>
          <w:spacing w:val="3"/>
          <w:sz w:val="25"/>
          <w:szCs w:val="25"/>
        </w:rPr>
        <w:t>7.2</w:t>
      </w:r>
      <w:r>
        <w:rPr>
          <w:rFonts w:ascii="Times New Roman" w:hAnsi="Times New Roman" w:eastAsia="Times New Roman" w:cs="Times New Roman"/>
          <w:b/>
          <w:bCs/>
          <w:spacing w:val="28"/>
          <w:sz w:val="25"/>
          <w:szCs w:val="25"/>
        </w:rPr>
        <w:t xml:space="preserve"> </w:t>
      </w:r>
      <w:r>
        <w:rPr>
          <w:rFonts w:ascii="仿宋" w:hAnsi="仿宋" w:eastAsia="仿宋" w:cs="仿宋"/>
          <w:b/>
          <w:bCs/>
          <w:spacing w:val="3"/>
          <w:sz w:val="25"/>
          <w:szCs w:val="25"/>
        </w:rPr>
        <w:t>环境管控要求</w:t>
      </w:r>
    </w:p>
    <w:p w14:paraId="6FFEFA2A">
      <w:pPr>
        <w:spacing w:before="254" w:line="340" w:lineRule="auto"/>
        <w:ind w:left="138" w:right="219" w:firstLine="522"/>
        <w:jc w:val="both"/>
        <w:rPr>
          <w:rFonts w:ascii="仿宋" w:hAnsi="仿宋" w:eastAsia="仿宋" w:cs="仿宋"/>
          <w:sz w:val="25"/>
          <w:szCs w:val="25"/>
        </w:rPr>
      </w:pPr>
      <w:r>
        <w:rPr>
          <w:rFonts w:ascii="仿宋" w:hAnsi="仿宋" w:eastAsia="仿宋" w:cs="仿宋"/>
          <w:spacing w:val="7"/>
          <w:sz w:val="25"/>
          <w:szCs w:val="25"/>
        </w:rPr>
        <w:t>衔接《重庆市</w:t>
      </w:r>
      <w:r>
        <w:rPr>
          <w:rFonts w:ascii="Times New Roman" w:hAnsi="Times New Roman" w:eastAsia="Times New Roman" w:cs="Times New Roman"/>
          <w:spacing w:val="7"/>
          <w:sz w:val="25"/>
          <w:szCs w:val="25"/>
        </w:rPr>
        <w:t>“</w:t>
      </w:r>
      <w:r>
        <w:rPr>
          <w:rFonts w:ascii="仿宋" w:hAnsi="仿宋" w:eastAsia="仿宋" w:cs="仿宋"/>
          <w:spacing w:val="7"/>
          <w:sz w:val="25"/>
          <w:szCs w:val="25"/>
        </w:rPr>
        <w:t>三线一单</w:t>
      </w:r>
      <w:r>
        <w:rPr>
          <w:rFonts w:ascii="Times New Roman" w:hAnsi="Times New Roman" w:eastAsia="Times New Roman" w:cs="Times New Roman"/>
          <w:spacing w:val="7"/>
          <w:sz w:val="25"/>
          <w:szCs w:val="25"/>
        </w:rPr>
        <w:t>”</w:t>
      </w:r>
      <w:r>
        <w:rPr>
          <w:rFonts w:ascii="仿宋" w:hAnsi="仿宋" w:eastAsia="仿宋" w:cs="仿宋"/>
          <w:spacing w:val="7"/>
          <w:sz w:val="25"/>
          <w:szCs w:val="25"/>
        </w:rPr>
        <w:t>生态环境分区管控调整方案（</w:t>
      </w:r>
      <w:r>
        <w:rPr>
          <w:rFonts w:ascii="Times New Roman" w:hAnsi="Times New Roman" w:eastAsia="Times New Roman" w:cs="Times New Roman"/>
          <w:spacing w:val="7"/>
          <w:sz w:val="25"/>
          <w:szCs w:val="25"/>
        </w:rPr>
        <w:t>2023</w:t>
      </w:r>
      <w:r>
        <w:rPr>
          <w:rFonts w:ascii="Times New Roman" w:hAnsi="Times New Roman" w:eastAsia="Times New Roman" w:cs="Times New Roman"/>
          <w:spacing w:val="27"/>
          <w:sz w:val="25"/>
          <w:szCs w:val="25"/>
        </w:rPr>
        <w:t xml:space="preserve"> </w:t>
      </w:r>
      <w:r>
        <w:rPr>
          <w:rFonts w:ascii="仿宋" w:hAnsi="仿宋" w:eastAsia="仿宋" w:cs="仿宋"/>
          <w:spacing w:val="7"/>
          <w:sz w:val="25"/>
          <w:szCs w:val="25"/>
        </w:rPr>
        <w:t>年）》</w:t>
      </w:r>
      <w:r>
        <w:rPr>
          <w:rFonts w:ascii="仿宋" w:hAnsi="仿宋" w:eastAsia="仿宋" w:cs="仿宋"/>
          <w:spacing w:val="6"/>
          <w:sz w:val="25"/>
          <w:szCs w:val="25"/>
        </w:rPr>
        <w:t>、《黔</w:t>
      </w:r>
      <w:r>
        <w:rPr>
          <w:rFonts w:ascii="仿宋" w:hAnsi="仿宋" w:eastAsia="仿宋" w:cs="仿宋"/>
          <w:sz w:val="25"/>
          <w:szCs w:val="25"/>
        </w:rPr>
        <w:t xml:space="preserve"> </w:t>
      </w:r>
      <w:r>
        <w:rPr>
          <w:rFonts w:ascii="仿宋" w:hAnsi="仿宋" w:eastAsia="仿宋" w:cs="仿宋"/>
          <w:spacing w:val="7"/>
          <w:sz w:val="25"/>
          <w:szCs w:val="25"/>
        </w:rPr>
        <w:t>江区</w:t>
      </w:r>
      <w:r>
        <w:rPr>
          <w:rFonts w:ascii="Times New Roman" w:hAnsi="Times New Roman" w:eastAsia="Times New Roman" w:cs="Times New Roman"/>
          <w:spacing w:val="7"/>
          <w:sz w:val="25"/>
          <w:szCs w:val="25"/>
        </w:rPr>
        <w:t>“</w:t>
      </w:r>
      <w:r>
        <w:rPr>
          <w:rFonts w:ascii="仿宋" w:hAnsi="仿宋" w:eastAsia="仿宋" w:cs="仿宋"/>
          <w:spacing w:val="7"/>
          <w:sz w:val="25"/>
          <w:szCs w:val="25"/>
        </w:rPr>
        <w:t>三线一单</w:t>
      </w:r>
      <w:r>
        <w:rPr>
          <w:rFonts w:ascii="Times New Roman" w:hAnsi="Times New Roman" w:eastAsia="Times New Roman" w:cs="Times New Roman"/>
          <w:spacing w:val="7"/>
          <w:sz w:val="25"/>
          <w:szCs w:val="25"/>
        </w:rPr>
        <w:t>”</w:t>
      </w:r>
      <w:r>
        <w:rPr>
          <w:rFonts w:ascii="仿宋" w:hAnsi="仿宋" w:eastAsia="仿宋" w:cs="仿宋"/>
          <w:spacing w:val="7"/>
          <w:sz w:val="25"/>
          <w:szCs w:val="25"/>
        </w:rPr>
        <w:t>生态环境分区管控调整方案（</w:t>
      </w:r>
      <w:r>
        <w:rPr>
          <w:rFonts w:ascii="Times New Roman" w:hAnsi="Times New Roman" w:eastAsia="Times New Roman" w:cs="Times New Roman"/>
          <w:spacing w:val="7"/>
          <w:sz w:val="25"/>
          <w:szCs w:val="25"/>
        </w:rPr>
        <w:t>2023</w:t>
      </w:r>
      <w:r>
        <w:rPr>
          <w:rFonts w:ascii="Times New Roman" w:hAnsi="Times New Roman" w:eastAsia="Times New Roman" w:cs="Times New Roman"/>
          <w:spacing w:val="32"/>
          <w:w w:val="101"/>
          <w:sz w:val="25"/>
          <w:szCs w:val="25"/>
        </w:rPr>
        <w:t xml:space="preserve"> </w:t>
      </w:r>
      <w:r>
        <w:rPr>
          <w:rFonts w:ascii="仿宋" w:hAnsi="仿宋" w:eastAsia="仿宋" w:cs="仿宋"/>
          <w:spacing w:val="7"/>
          <w:sz w:val="25"/>
          <w:szCs w:val="25"/>
        </w:rPr>
        <w:t>年）》、《重庆市矿产资源</w:t>
      </w:r>
      <w:r>
        <w:rPr>
          <w:rFonts w:ascii="仿宋" w:hAnsi="仿宋" w:eastAsia="仿宋" w:cs="仿宋"/>
          <w:sz w:val="25"/>
          <w:szCs w:val="25"/>
        </w:rPr>
        <w:t xml:space="preserve"> </w:t>
      </w:r>
      <w:r>
        <w:rPr>
          <w:rFonts w:ascii="仿宋" w:hAnsi="仿宋" w:eastAsia="仿宋" w:cs="仿宋"/>
          <w:spacing w:val="8"/>
          <w:sz w:val="25"/>
          <w:szCs w:val="25"/>
        </w:rPr>
        <w:t>总体规划（</w:t>
      </w:r>
      <w:r>
        <w:rPr>
          <w:rFonts w:ascii="Times New Roman" w:hAnsi="Times New Roman" w:eastAsia="Times New Roman" w:cs="Times New Roman"/>
          <w:spacing w:val="8"/>
          <w:sz w:val="25"/>
          <w:szCs w:val="25"/>
        </w:rPr>
        <w:t>2021-2025</w:t>
      </w:r>
      <w:r>
        <w:rPr>
          <w:rFonts w:ascii="Times New Roman" w:hAnsi="Times New Roman" w:eastAsia="Times New Roman" w:cs="Times New Roman"/>
          <w:spacing w:val="25"/>
          <w:sz w:val="25"/>
          <w:szCs w:val="25"/>
        </w:rPr>
        <w:t xml:space="preserve"> </w:t>
      </w:r>
      <w:r>
        <w:rPr>
          <w:rFonts w:ascii="仿宋" w:hAnsi="仿宋" w:eastAsia="仿宋" w:cs="仿宋"/>
          <w:spacing w:val="8"/>
          <w:sz w:val="25"/>
          <w:szCs w:val="25"/>
        </w:rPr>
        <w:t>年）环境影响报告书》</w:t>
      </w:r>
      <w:r>
        <w:rPr>
          <w:rFonts w:ascii="仿宋" w:hAnsi="仿宋" w:eastAsia="仿宋" w:cs="仿宋"/>
          <w:spacing w:val="7"/>
          <w:sz w:val="25"/>
          <w:szCs w:val="25"/>
        </w:rPr>
        <w:t>及其审查意见的函、黔江区生态</w:t>
      </w:r>
      <w:r>
        <w:rPr>
          <w:rFonts w:ascii="仿宋" w:hAnsi="仿宋" w:eastAsia="仿宋" w:cs="仿宋"/>
          <w:sz w:val="25"/>
          <w:szCs w:val="25"/>
        </w:rPr>
        <w:t xml:space="preserve">  </w:t>
      </w:r>
      <w:r>
        <w:rPr>
          <w:rFonts w:ascii="仿宋" w:hAnsi="仿宋" w:eastAsia="仿宋" w:cs="仿宋"/>
          <w:spacing w:val="3"/>
          <w:sz w:val="25"/>
          <w:szCs w:val="25"/>
        </w:rPr>
        <w:t>环境保护“十四五</w:t>
      </w:r>
      <w:r>
        <w:rPr>
          <w:rFonts w:ascii="仿宋" w:hAnsi="仿宋" w:eastAsia="仿宋" w:cs="仿宋"/>
          <w:spacing w:val="-83"/>
          <w:sz w:val="25"/>
          <w:szCs w:val="25"/>
        </w:rPr>
        <w:t xml:space="preserve"> </w:t>
      </w:r>
      <w:r>
        <w:rPr>
          <w:rFonts w:ascii="仿宋" w:hAnsi="仿宋" w:eastAsia="仿宋" w:cs="仿宋"/>
          <w:spacing w:val="3"/>
          <w:sz w:val="25"/>
          <w:szCs w:val="25"/>
        </w:rPr>
        <w:t>”规划等相关规划，结合黔江区资源、生态、环境制约因素，</w:t>
      </w:r>
      <w:r>
        <w:rPr>
          <w:rFonts w:ascii="仿宋" w:hAnsi="仿宋" w:eastAsia="仿宋" w:cs="仿宋"/>
          <w:sz w:val="25"/>
          <w:szCs w:val="25"/>
        </w:rPr>
        <w:t xml:space="preserve"> </w:t>
      </w:r>
      <w:r>
        <w:rPr>
          <w:rFonts w:ascii="仿宋" w:hAnsi="仿宋" w:eastAsia="仿宋" w:cs="仿宋"/>
          <w:spacing w:val="8"/>
          <w:sz w:val="25"/>
          <w:szCs w:val="25"/>
        </w:rPr>
        <w:t>针对评价区块提出环境管控要求。</w:t>
      </w:r>
    </w:p>
    <w:p w14:paraId="42D0AA86">
      <w:pPr>
        <w:spacing w:before="117" w:line="229" w:lineRule="auto"/>
        <w:ind w:left="2634"/>
        <w:rPr>
          <w:rFonts w:ascii="仿宋" w:hAnsi="仿宋" w:eastAsia="仿宋" w:cs="仿宋"/>
          <w:sz w:val="25"/>
          <w:szCs w:val="25"/>
        </w:rPr>
      </w:pPr>
      <w:r>
        <w:rPr>
          <w:rFonts w:ascii="仿宋" w:hAnsi="仿宋" w:eastAsia="仿宋" w:cs="仿宋"/>
          <w:spacing w:val="5"/>
          <w:sz w:val="25"/>
          <w:szCs w:val="25"/>
        </w:rPr>
        <w:t>表</w:t>
      </w:r>
      <w:r>
        <w:rPr>
          <w:rFonts w:ascii="仿宋" w:hAnsi="仿宋" w:eastAsia="仿宋" w:cs="仿宋"/>
          <w:spacing w:val="-47"/>
          <w:sz w:val="25"/>
          <w:szCs w:val="25"/>
        </w:rPr>
        <w:t xml:space="preserve"> </w:t>
      </w:r>
      <w:r>
        <w:rPr>
          <w:rFonts w:ascii="Times New Roman" w:hAnsi="Times New Roman" w:eastAsia="Times New Roman" w:cs="Times New Roman"/>
          <w:spacing w:val="5"/>
          <w:sz w:val="25"/>
          <w:szCs w:val="25"/>
        </w:rPr>
        <w:t xml:space="preserve">7.2-1      </w:t>
      </w:r>
      <w:r>
        <w:rPr>
          <w:rFonts w:ascii="仿宋" w:hAnsi="仿宋" w:eastAsia="仿宋" w:cs="仿宋"/>
          <w:spacing w:val="5"/>
          <w:sz w:val="25"/>
          <w:szCs w:val="25"/>
        </w:rPr>
        <w:t>评价区块环境管控要求</w:t>
      </w:r>
    </w:p>
    <w:p w14:paraId="1CBBCD03">
      <w:pPr>
        <w:spacing w:line="61" w:lineRule="auto"/>
        <w:rPr>
          <w:rFonts w:ascii="Arial"/>
          <w:sz w:val="2"/>
        </w:rPr>
      </w:pPr>
    </w:p>
    <w:tbl>
      <w:tblPr>
        <w:tblStyle w:val="5"/>
        <w:tblW w:w="923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3"/>
        <w:gridCol w:w="5213"/>
        <w:gridCol w:w="2945"/>
      </w:tblGrid>
      <w:tr w14:paraId="0AC6DF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073" w:type="dxa"/>
            <w:tcBorders>
              <w:top w:val="single" w:color="000000" w:sz="10" w:space="0"/>
              <w:left w:val="single" w:color="000000" w:sz="10" w:space="0"/>
            </w:tcBorders>
            <w:vAlign w:val="top"/>
          </w:tcPr>
          <w:p w14:paraId="65EC13A5">
            <w:pPr>
              <w:pStyle w:val="6"/>
              <w:spacing w:before="34" w:line="213" w:lineRule="auto"/>
              <w:ind w:left="335"/>
              <w:rPr>
                <w:sz w:val="19"/>
                <w:szCs w:val="19"/>
              </w:rPr>
            </w:pPr>
            <w:r>
              <w:rPr>
                <w:b/>
                <w:bCs/>
                <w:sz w:val="19"/>
                <w:szCs w:val="19"/>
              </w:rPr>
              <w:t>类型</w:t>
            </w:r>
          </w:p>
        </w:tc>
        <w:tc>
          <w:tcPr>
            <w:tcW w:w="5213" w:type="dxa"/>
            <w:tcBorders>
              <w:top w:val="single" w:color="000000" w:sz="10" w:space="0"/>
            </w:tcBorders>
            <w:vAlign w:val="top"/>
          </w:tcPr>
          <w:p w14:paraId="55F87963">
            <w:pPr>
              <w:pStyle w:val="6"/>
              <w:spacing w:before="34" w:line="213" w:lineRule="auto"/>
              <w:ind w:left="2223"/>
              <w:rPr>
                <w:sz w:val="19"/>
                <w:szCs w:val="19"/>
              </w:rPr>
            </w:pPr>
            <w:r>
              <w:rPr>
                <w:b/>
                <w:bCs/>
                <w:spacing w:val="2"/>
                <w:sz w:val="19"/>
                <w:szCs w:val="19"/>
              </w:rPr>
              <w:t>管控要求</w:t>
            </w:r>
          </w:p>
        </w:tc>
        <w:tc>
          <w:tcPr>
            <w:tcW w:w="2945" w:type="dxa"/>
            <w:tcBorders>
              <w:top w:val="single" w:color="000000" w:sz="10" w:space="0"/>
              <w:right w:val="single" w:color="000000" w:sz="10" w:space="0"/>
            </w:tcBorders>
            <w:vAlign w:val="top"/>
          </w:tcPr>
          <w:p w14:paraId="72D46222">
            <w:pPr>
              <w:pStyle w:val="6"/>
              <w:spacing w:before="34" w:line="213" w:lineRule="auto"/>
              <w:ind w:left="1085"/>
              <w:rPr>
                <w:sz w:val="19"/>
                <w:szCs w:val="19"/>
              </w:rPr>
            </w:pPr>
            <w:r>
              <w:rPr>
                <w:b/>
                <w:bCs/>
                <w:spacing w:val="4"/>
                <w:sz w:val="19"/>
                <w:szCs w:val="19"/>
              </w:rPr>
              <w:t>制定依据</w:t>
            </w:r>
          </w:p>
        </w:tc>
      </w:tr>
      <w:tr w14:paraId="3DED0F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4" w:hRule="atLeast"/>
        </w:trPr>
        <w:tc>
          <w:tcPr>
            <w:tcW w:w="1073" w:type="dxa"/>
            <w:tcBorders>
              <w:left w:val="single" w:color="000000" w:sz="10" w:space="0"/>
              <w:bottom w:val="single" w:color="000000" w:sz="10" w:space="0"/>
            </w:tcBorders>
            <w:vAlign w:val="top"/>
          </w:tcPr>
          <w:p w14:paraId="41847A66">
            <w:pPr>
              <w:pStyle w:val="6"/>
              <w:spacing w:before="179" w:line="232" w:lineRule="auto"/>
              <w:ind w:left="144"/>
              <w:rPr>
                <w:sz w:val="19"/>
                <w:szCs w:val="19"/>
              </w:rPr>
            </w:pPr>
            <w:r>
              <w:rPr>
                <w:spacing w:val="3"/>
                <w:sz w:val="19"/>
                <w:szCs w:val="19"/>
              </w:rPr>
              <w:t>空间管控</w:t>
            </w:r>
          </w:p>
          <w:p w14:paraId="667E60B6">
            <w:pPr>
              <w:pStyle w:val="6"/>
              <w:spacing w:before="20" w:line="231" w:lineRule="auto"/>
              <w:ind w:left="337"/>
              <w:rPr>
                <w:sz w:val="19"/>
                <w:szCs w:val="19"/>
              </w:rPr>
            </w:pPr>
            <w:r>
              <w:rPr>
                <w:sz w:val="19"/>
                <w:szCs w:val="19"/>
              </w:rPr>
              <w:t>要求</w:t>
            </w:r>
          </w:p>
        </w:tc>
        <w:tc>
          <w:tcPr>
            <w:tcW w:w="5213" w:type="dxa"/>
            <w:tcBorders>
              <w:bottom w:val="single" w:color="000000" w:sz="10" w:space="0"/>
            </w:tcBorders>
            <w:vAlign w:val="top"/>
          </w:tcPr>
          <w:p w14:paraId="03425F48">
            <w:pPr>
              <w:pStyle w:val="6"/>
              <w:spacing w:before="33" w:line="243" w:lineRule="auto"/>
              <w:ind w:left="111" w:right="102" w:firstLine="2"/>
              <w:jc w:val="both"/>
              <w:rPr>
                <w:sz w:val="19"/>
                <w:szCs w:val="19"/>
              </w:rPr>
            </w:pPr>
            <w:r>
              <w:rPr>
                <w:spacing w:val="3"/>
                <w:sz w:val="19"/>
                <w:szCs w:val="19"/>
              </w:rPr>
              <w:t>（</w:t>
            </w:r>
            <w:r>
              <w:rPr>
                <w:rFonts w:ascii="Times New Roman" w:hAnsi="Times New Roman" w:eastAsia="Times New Roman" w:cs="Times New Roman"/>
                <w:spacing w:val="3"/>
                <w:sz w:val="19"/>
                <w:szCs w:val="19"/>
              </w:rPr>
              <w:t>1</w:t>
            </w:r>
            <w:r>
              <w:rPr>
                <w:spacing w:val="3"/>
                <w:sz w:val="19"/>
                <w:szCs w:val="19"/>
              </w:rPr>
              <w:t>）</w:t>
            </w:r>
            <w:r>
              <w:rPr>
                <w:spacing w:val="-36"/>
                <w:sz w:val="19"/>
                <w:szCs w:val="19"/>
              </w:rPr>
              <w:t xml:space="preserve"> </w:t>
            </w:r>
            <w:r>
              <w:rPr>
                <w:spacing w:val="3"/>
                <w:sz w:val="19"/>
                <w:szCs w:val="19"/>
              </w:rPr>
              <w:t>占用二级国家级公益林的勘查区块</w:t>
            </w:r>
            <w:r>
              <w:rPr>
                <w:spacing w:val="-38"/>
                <w:sz w:val="19"/>
                <w:szCs w:val="19"/>
              </w:rPr>
              <w:t xml:space="preserve"> </w:t>
            </w:r>
            <w:r>
              <w:rPr>
                <w:rFonts w:ascii="Times New Roman" w:hAnsi="Times New Roman" w:eastAsia="Times New Roman" w:cs="Times New Roman"/>
                <w:sz w:val="19"/>
                <w:szCs w:val="19"/>
              </w:rPr>
              <w:t>KQ</w:t>
            </w:r>
            <w:r>
              <w:rPr>
                <w:rFonts w:ascii="Times New Roman" w:hAnsi="Times New Roman" w:eastAsia="Times New Roman" w:cs="Times New Roman"/>
                <w:spacing w:val="3"/>
                <w:sz w:val="19"/>
                <w:szCs w:val="19"/>
              </w:rPr>
              <w:t>004</w:t>
            </w:r>
            <w:r>
              <w:rPr>
                <w:rFonts w:ascii="Times New Roman" w:hAnsi="Times New Roman" w:eastAsia="Times New Roman" w:cs="Times New Roman"/>
                <w:spacing w:val="-19"/>
                <w:sz w:val="19"/>
                <w:szCs w:val="19"/>
              </w:rPr>
              <w:t xml:space="preserve"> </w:t>
            </w:r>
            <w:r>
              <w:rPr>
                <w:spacing w:val="3"/>
                <w:sz w:val="19"/>
                <w:szCs w:val="19"/>
              </w:rPr>
              <w:t>，</w:t>
            </w:r>
            <w:r>
              <w:rPr>
                <w:spacing w:val="-41"/>
                <w:sz w:val="19"/>
                <w:szCs w:val="19"/>
              </w:rPr>
              <w:t xml:space="preserve"> </w:t>
            </w:r>
            <w:r>
              <w:rPr>
                <w:spacing w:val="3"/>
                <w:sz w:val="19"/>
                <w:szCs w:val="19"/>
              </w:rPr>
              <w:t>占用地</w:t>
            </w:r>
            <w:r>
              <w:rPr>
                <w:sz w:val="19"/>
                <w:szCs w:val="19"/>
              </w:rPr>
              <w:t xml:space="preserve"> </w:t>
            </w:r>
            <w:r>
              <w:rPr>
                <w:spacing w:val="8"/>
                <w:sz w:val="19"/>
                <w:szCs w:val="19"/>
              </w:rPr>
              <w:t>方公益林的勘查采区块</w:t>
            </w:r>
            <w:r>
              <w:rPr>
                <w:spacing w:val="-42"/>
                <w:sz w:val="19"/>
                <w:szCs w:val="19"/>
              </w:rPr>
              <w:t xml:space="preserve"> </w:t>
            </w:r>
            <w:r>
              <w:rPr>
                <w:rFonts w:ascii="Times New Roman" w:hAnsi="Times New Roman" w:eastAsia="Times New Roman" w:cs="Times New Roman"/>
                <w:sz w:val="19"/>
                <w:szCs w:val="19"/>
              </w:rPr>
              <w:t>KQ</w:t>
            </w:r>
            <w:r>
              <w:rPr>
                <w:rFonts w:ascii="Times New Roman" w:hAnsi="Times New Roman" w:eastAsia="Times New Roman" w:cs="Times New Roman"/>
                <w:spacing w:val="8"/>
                <w:sz w:val="19"/>
                <w:szCs w:val="19"/>
              </w:rPr>
              <w:t>009</w:t>
            </w:r>
            <w:r>
              <w:rPr>
                <w:spacing w:val="8"/>
                <w:sz w:val="19"/>
                <w:szCs w:val="19"/>
              </w:rPr>
              <w:t>，未按要求优化区块布局或</w:t>
            </w:r>
            <w:r>
              <w:rPr>
                <w:sz w:val="19"/>
                <w:szCs w:val="19"/>
              </w:rPr>
              <w:t xml:space="preserve"> </w:t>
            </w:r>
            <w:r>
              <w:rPr>
                <w:spacing w:val="9"/>
                <w:sz w:val="19"/>
                <w:szCs w:val="19"/>
              </w:rPr>
              <w:t>未按相关规定办理使用林地手续的，禁止实施勘查开采活</w:t>
            </w:r>
            <w:r>
              <w:rPr>
                <w:spacing w:val="8"/>
                <w:sz w:val="19"/>
                <w:szCs w:val="19"/>
              </w:rPr>
              <w:t xml:space="preserve"> </w:t>
            </w:r>
            <w:r>
              <w:rPr>
                <w:spacing w:val="-3"/>
                <w:sz w:val="19"/>
                <w:szCs w:val="19"/>
              </w:rPr>
              <w:t>动。</w:t>
            </w:r>
          </w:p>
        </w:tc>
        <w:tc>
          <w:tcPr>
            <w:tcW w:w="2945" w:type="dxa"/>
            <w:tcBorders>
              <w:bottom w:val="single" w:color="000000" w:sz="10" w:space="0"/>
              <w:right w:val="single" w:color="000000" w:sz="10" w:space="0"/>
            </w:tcBorders>
            <w:vAlign w:val="top"/>
          </w:tcPr>
          <w:p w14:paraId="38731C7A">
            <w:pPr>
              <w:pStyle w:val="6"/>
              <w:spacing w:before="35" w:line="231" w:lineRule="auto"/>
              <w:ind w:left="134"/>
              <w:rPr>
                <w:sz w:val="19"/>
                <w:szCs w:val="19"/>
              </w:rPr>
            </w:pPr>
            <w:r>
              <w:rPr>
                <w:rFonts w:ascii="Times New Roman" w:hAnsi="Times New Roman" w:eastAsia="Times New Roman" w:cs="Times New Roman"/>
                <w:spacing w:val="5"/>
                <w:sz w:val="19"/>
                <w:szCs w:val="19"/>
              </w:rPr>
              <w:t>1</w:t>
            </w:r>
            <w:r>
              <w:rPr>
                <w:rFonts w:ascii="Times New Roman" w:hAnsi="Times New Roman" w:eastAsia="Times New Roman" w:cs="Times New Roman"/>
                <w:spacing w:val="-19"/>
                <w:sz w:val="19"/>
                <w:szCs w:val="19"/>
              </w:rPr>
              <w:t xml:space="preserve"> </w:t>
            </w:r>
            <w:r>
              <w:rPr>
                <w:spacing w:val="5"/>
                <w:sz w:val="19"/>
                <w:szCs w:val="19"/>
              </w:rPr>
              <w:t>、《国家级公益林管理办法》</w:t>
            </w:r>
          </w:p>
          <w:p w14:paraId="11708A36">
            <w:pPr>
              <w:pStyle w:val="6"/>
              <w:spacing w:before="21" w:line="231" w:lineRule="auto"/>
              <w:ind w:left="115"/>
              <w:rPr>
                <w:sz w:val="19"/>
                <w:szCs w:val="19"/>
              </w:rPr>
            </w:pPr>
            <w:r>
              <w:rPr>
                <w:rFonts w:ascii="Times New Roman" w:hAnsi="Times New Roman" w:eastAsia="Times New Roman" w:cs="Times New Roman"/>
                <w:spacing w:val="6"/>
                <w:sz w:val="19"/>
                <w:szCs w:val="19"/>
              </w:rPr>
              <w:t>2</w:t>
            </w:r>
            <w:r>
              <w:rPr>
                <w:rFonts w:ascii="Times New Roman" w:hAnsi="Times New Roman" w:eastAsia="Times New Roman" w:cs="Times New Roman"/>
                <w:spacing w:val="-14"/>
                <w:sz w:val="19"/>
                <w:szCs w:val="19"/>
              </w:rPr>
              <w:t xml:space="preserve"> </w:t>
            </w:r>
            <w:r>
              <w:rPr>
                <w:spacing w:val="6"/>
                <w:sz w:val="19"/>
                <w:szCs w:val="19"/>
              </w:rPr>
              <w:t>、《重庆市公益林管理办法》</w:t>
            </w:r>
          </w:p>
          <w:p w14:paraId="1A1FEDF6">
            <w:pPr>
              <w:pStyle w:val="6"/>
              <w:spacing w:before="22" w:line="233" w:lineRule="auto"/>
              <w:ind w:left="123" w:right="97" w:hanging="4"/>
              <w:rPr>
                <w:sz w:val="19"/>
                <w:szCs w:val="19"/>
              </w:rPr>
            </w:pPr>
            <w:r>
              <w:rPr>
                <w:rFonts w:ascii="Times New Roman" w:hAnsi="Times New Roman" w:eastAsia="Times New Roman" w:cs="Times New Roman"/>
                <w:spacing w:val="8"/>
                <w:sz w:val="19"/>
                <w:szCs w:val="19"/>
              </w:rPr>
              <w:t>3</w:t>
            </w:r>
            <w:r>
              <w:rPr>
                <w:rFonts w:ascii="Times New Roman" w:hAnsi="Times New Roman" w:eastAsia="Times New Roman" w:cs="Times New Roman"/>
                <w:spacing w:val="-13"/>
                <w:sz w:val="19"/>
                <w:szCs w:val="19"/>
              </w:rPr>
              <w:t xml:space="preserve"> </w:t>
            </w:r>
            <w:r>
              <w:rPr>
                <w:spacing w:val="8"/>
                <w:sz w:val="19"/>
                <w:szCs w:val="19"/>
              </w:rPr>
              <w:t>、《建设项目使用林地审核审</w:t>
            </w:r>
            <w:r>
              <w:rPr>
                <w:sz w:val="19"/>
                <w:szCs w:val="19"/>
              </w:rPr>
              <w:t xml:space="preserve"> </w:t>
            </w:r>
            <w:r>
              <w:rPr>
                <w:spacing w:val="5"/>
                <w:sz w:val="19"/>
                <w:szCs w:val="19"/>
              </w:rPr>
              <w:t>批管理办法》</w:t>
            </w:r>
          </w:p>
        </w:tc>
      </w:tr>
    </w:tbl>
    <w:p w14:paraId="441D781D">
      <w:pPr>
        <w:pStyle w:val="2"/>
      </w:pPr>
    </w:p>
    <w:p w14:paraId="570A66AC">
      <w:pPr>
        <w:sectPr>
          <w:headerReference r:id="rId240" w:type="default"/>
          <w:footerReference r:id="rId241" w:type="default"/>
          <w:pgSz w:w="11906" w:h="16839"/>
          <w:pgMar w:top="1116" w:right="1184" w:bottom="866" w:left="1464" w:header="683" w:footer="703" w:gutter="0"/>
          <w:cols w:space="720" w:num="1"/>
        </w:sectPr>
      </w:pPr>
    </w:p>
    <w:p w14:paraId="0C9BA2B3">
      <w:pPr>
        <w:spacing w:before="82"/>
      </w:pPr>
    </w:p>
    <w:tbl>
      <w:tblPr>
        <w:tblStyle w:val="5"/>
        <w:tblW w:w="923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3"/>
        <w:gridCol w:w="5213"/>
        <w:gridCol w:w="2945"/>
      </w:tblGrid>
      <w:tr w14:paraId="484AA4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3" w:hRule="atLeast"/>
        </w:trPr>
        <w:tc>
          <w:tcPr>
            <w:tcW w:w="1073" w:type="dxa"/>
            <w:tcBorders>
              <w:top w:val="single" w:color="000000" w:sz="10" w:space="0"/>
              <w:left w:val="single" w:color="000000" w:sz="10" w:space="0"/>
            </w:tcBorders>
            <w:vAlign w:val="top"/>
          </w:tcPr>
          <w:p w14:paraId="00A5F5D1">
            <w:pPr>
              <w:rPr>
                <w:rFonts w:ascii="Arial"/>
                <w:sz w:val="21"/>
              </w:rPr>
            </w:pPr>
          </w:p>
        </w:tc>
        <w:tc>
          <w:tcPr>
            <w:tcW w:w="5213" w:type="dxa"/>
            <w:tcBorders>
              <w:top w:val="single" w:color="000000" w:sz="10" w:space="0"/>
            </w:tcBorders>
            <w:vAlign w:val="top"/>
          </w:tcPr>
          <w:p w14:paraId="6E63CF65">
            <w:pPr>
              <w:pStyle w:val="6"/>
              <w:spacing w:before="15" w:line="239" w:lineRule="auto"/>
              <w:ind w:left="115" w:right="102" w:hanging="1"/>
              <w:jc w:val="both"/>
              <w:rPr>
                <w:sz w:val="19"/>
                <w:szCs w:val="19"/>
              </w:rPr>
            </w:pPr>
            <w:r>
              <w:rPr>
                <w:spacing w:val="3"/>
                <w:sz w:val="19"/>
                <w:szCs w:val="19"/>
              </w:rPr>
              <w:t>（</w:t>
            </w:r>
            <w:r>
              <w:rPr>
                <w:rFonts w:ascii="Times New Roman" w:hAnsi="Times New Roman" w:eastAsia="Times New Roman" w:cs="Times New Roman"/>
                <w:spacing w:val="3"/>
                <w:sz w:val="19"/>
                <w:szCs w:val="19"/>
              </w:rPr>
              <w:t>2</w:t>
            </w:r>
            <w:r>
              <w:rPr>
                <w:spacing w:val="3"/>
                <w:sz w:val="19"/>
                <w:szCs w:val="19"/>
              </w:rPr>
              <w:t>）勘查区块</w:t>
            </w:r>
            <w:r>
              <w:rPr>
                <w:spacing w:val="-32"/>
                <w:sz w:val="19"/>
                <w:szCs w:val="19"/>
              </w:rPr>
              <w:t xml:space="preserve"> </w:t>
            </w:r>
            <w:r>
              <w:rPr>
                <w:rFonts w:ascii="Times New Roman" w:hAnsi="Times New Roman" w:eastAsia="Times New Roman" w:cs="Times New Roman"/>
                <w:sz w:val="19"/>
                <w:szCs w:val="19"/>
              </w:rPr>
              <w:t>KQ</w:t>
            </w:r>
            <w:r>
              <w:rPr>
                <w:rFonts w:ascii="Times New Roman" w:hAnsi="Times New Roman" w:eastAsia="Times New Roman" w:cs="Times New Roman"/>
                <w:spacing w:val="3"/>
                <w:sz w:val="19"/>
                <w:szCs w:val="19"/>
              </w:rPr>
              <w:t>004</w:t>
            </w:r>
            <w:r>
              <w:rPr>
                <w:rFonts w:ascii="Times New Roman" w:hAnsi="Times New Roman" w:eastAsia="Times New Roman" w:cs="Times New Roman"/>
                <w:spacing w:val="15"/>
                <w:w w:val="101"/>
                <w:sz w:val="19"/>
                <w:szCs w:val="19"/>
              </w:rPr>
              <w:t xml:space="preserve"> </w:t>
            </w:r>
            <w:r>
              <w:rPr>
                <w:spacing w:val="3"/>
                <w:sz w:val="19"/>
                <w:szCs w:val="19"/>
              </w:rPr>
              <w:t>和</w:t>
            </w:r>
            <w:r>
              <w:rPr>
                <w:spacing w:val="-41"/>
                <w:sz w:val="19"/>
                <w:szCs w:val="19"/>
              </w:rPr>
              <w:t xml:space="preserve"> </w:t>
            </w:r>
            <w:r>
              <w:rPr>
                <w:rFonts w:ascii="Times New Roman" w:hAnsi="Times New Roman" w:eastAsia="Times New Roman" w:cs="Times New Roman"/>
                <w:sz w:val="19"/>
                <w:szCs w:val="19"/>
              </w:rPr>
              <w:t>KQ</w:t>
            </w:r>
            <w:r>
              <w:rPr>
                <w:rFonts w:ascii="Times New Roman" w:hAnsi="Times New Roman" w:eastAsia="Times New Roman" w:cs="Times New Roman"/>
                <w:spacing w:val="3"/>
                <w:sz w:val="19"/>
                <w:szCs w:val="19"/>
              </w:rPr>
              <w:t xml:space="preserve">009  </w:t>
            </w:r>
            <w:r>
              <w:rPr>
                <w:spacing w:val="3"/>
                <w:sz w:val="19"/>
                <w:szCs w:val="19"/>
              </w:rPr>
              <w:t>占用永久基本农田，在转</w:t>
            </w:r>
            <w:r>
              <w:rPr>
                <w:sz w:val="19"/>
                <w:szCs w:val="19"/>
              </w:rPr>
              <w:t xml:space="preserve"> </w:t>
            </w:r>
            <w:r>
              <w:rPr>
                <w:spacing w:val="9"/>
                <w:sz w:val="19"/>
                <w:szCs w:val="19"/>
              </w:rPr>
              <w:t>为开采区块前，地面工程应避让永久基本农田，未调整前</w:t>
            </w:r>
            <w:r>
              <w:rPr>
                <w:spacing w:val="4"/>
                <w:sz w:val="19"/>
                <w:szCs w:val="19"/>
              </w:rPr>
              <w:t xml:space="preserve"> </w:t>
            </w:r>
            <w:r>
              <w:rPr>
                <w:spacing w:val="6"/>
                <w:sz w:val="19"/>
                <w:szCs w:val="19"/>
              </w:rPr>
              <w:t>禁止实施开采活动。</w:t>
            </w:r>
          </w:p>
        </w:tc>
        <w:tc>
          <w:tcPr>
            <w:tcW w:w="2945" w:type="dxa"/>
            <w:tcBorders>
              <w:top w:val="single" w:color="000000" w:sz="10" w:space="0"/>
              <w:right w:val="single" w:color="000000" w:sz="10" w:space="0"/>
            </w:tcBorders>
            <w:vAlign w:val="top"/>
          </w:tcPr>
          <w:p w14:paraId="3F8F07F3">
            <w:pPr>
              <w:rPr>
                <w:rFonts w:ascii="Arial"/>
                <w:sz w:val="21"/>
              </w:rPr>
            </w:pPr>
          </w:p>
        </w:tc>
      </w:tr>
      <w:tr w14:paraId="6E8051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68" w:hRule="atLeast"/>
        </w:trPr>
        <w:tc>
          <w:tcPr>
            <w:tcW w:w="1073" w:type="dxa"/>
            <w:tcBorders>
              <w:left w:val="single" w:color="000000" w:sz="10" w:space="0"/>
            </w:tcBorders>
            <w:vAlign w:val="top"/>
          </w:tcPr>
          <w:p w14:paraId="4502768A">
            <w:pPr>
              <w:spacing w:line="249" w:lineRule="auto"/>
              <w:rPr>
                <w:rFonts w:ascii="Arial"/>
                <w:sz w:val="21"/>
              </w:rPr>
            </w:pPr>
          </w:p>
          <w:p w14:paraId="351A85FC">
            <w:pPr>
              <w:spacing w:line="249" w:lineRule="auto"/>
              <w:rPr>
                <w:rFonts w:ascii="Arial"/>
                <w:sz w:val="21"/>
              </w:rPr>
            </w:pPr>
          </w:p>
          <w:p w14:paraId="1041A041">
            <w:pPr>
              <w:spacing w:line="249" w:lineRule="auto"/>
              <w:rPr>
                <w:rFonts w:ascii="Arial"/>
                <w:sz w:val="21"/>
              </w:rPr>
            </w:pPr>
          </w:p>
          <w:p w14:paraId="56115743">
            <w:pPr>
              <w:pStyle w:val="6"/>
              <w:spacing w:before="62" w:line="252" w:lineRule="auto"/>
              <w:ind w:left="232" w:right="138" w:hanging="95"/>
              <w:rPr>
                <w:sz w:val="19"/>
                <w:szCs w:val="19"/>
              </w:rPr>
            </w:pPr>
            <w:r>
              <w:rPr>
                <w:spacing w:val="5"/>
                <w:sz w:val="19"/>
                <w:szCs w:val="19"/>
              </w:rPr>
              <w:t>污染物排</w:t>
            </w:r>
            <w:r>
              <w:rPr>
                <w:sz w:val="19"/>
                <w:szCs w:val="19"/>
              </w:rPr>
              <w:t xml:space="preserve"> </w:t>
            </w:r>
            <w:r>
              <w:rPr>
                <w:spacing w:val="5"/>
                <w:sz w:val="19"/>
                <w:szCs w:val="19"/>
              </w:rPr>
              <w:t>放管控</w:t>
            </w:r>
          </w:p>
        </w:tc>
        <w:tc>
          <w:tcPr>
            <w:tcW w:w="5213" w:type="dxa"/>
            <w:vAlign w:val="top"/>
          </w:tcPr>
          <w:p w14:paraId="16ED1070">
            <w:pPr>
              <w:pStyle w:val="6"/>
              <w:spacing w:before="33" w:line="251" w:lineRule="auto"/>
              <w:ind w:left="106" w:right="46" w:firstLine="8"/>
              <w:rPr>
                <w:sz w:val="19"/>
                <w:szCs w:val="19"/>
              </w:rPr>
            </w:pPr>
            <w:r>
              <w:rPr>
                <w:spacing w:val="-5"/>
                <w:sz w:val="19"/>
                <w:szCs w:val="19"/>
              </w:rPr>
              <w:t>（</w:t>
            </w:r>
            <w:r>
              <w:rPr>
                <w:rFonts w:ascii="Times New Roman" w:hAnsi="Times New Roman" w:eastAsia="Times New Roman" w:cs="Times New Roman"/>
                <w:spacing w:val="-5"/>
                <w:sz w:val="19"/>
                <w:szCs w:val="19"/>
              </w:rPr>
              <w:t>1</w:t>
            </w:r>
            <w:r>
              <w:rPr>
                <w:spacing w:val="-5"/>
                <w:sz w:val="19"/>
                <w:szCs w:val="19"/>
              </w:rPr>
              <w:t>）铝 土 矿 执 行</w:t>
            </w:r>
            <w:r>
              <w:rPr>
                <w:spacing w:val="1"/>
                <w:sz w:val="19"/>
                <w:szCs w:val="19"/>
              </w:rPr>
              <w:t xml:space="preserve"> </w:t>
            </w:r>
            <w:r>
              <w:rPr>
                <w:spacing w:val="-5"/>
                <w:sz w:val="19"/>
                <w:szCs w:val="19"/>
              </w:rPr>
              <w:t>《 铝 工 业 污 染 物 排 放</w:t>
            </w:r>
            <w:r>
              <w:rPr>
                <w:spacing w:val="-8"/>
                <w:sz w:val="19"/>
                <w:szCs w:val="19"/>
              </w:rPr>
              <w:t xml:space="preserve"> </w:t>
            </w:r>
            <w:r>
              <w:rPr>
                <w:spacing w:val="-5"/>
                <w:sz w:val="19"/>
                <w:szCs w:val="19"/>
              </w:rPr>
              <w:t>标</w:t>
            </w:r>
            <w:r>
              <w:rPr>
                <w:spacing w:val="-8"/>
                <w:sz w:val="19"/>
                <w:szCs w:val="19"/>
              </w:rPr>
              <w:t xml:space="preserve"> </w:t>
            </w:r>
            <w:r>
              <w:rPr>
                <w:spacing w:val="-5"/>
                <w:sz w:val="19"/>
                <w:szCs w:val="19"/>
              </w:rPr>
              <w:t>准 》</w:t>
            </w:r>
            <w:r>
              <w:rPr>
                <w:sz w:val="19"/>
                <w:szCs w:val="19"/>
              </w:rPr>
              <w:t xml:space="preserve"> </w:t>
            </w:r>
            <w:r>
              <w:rPr>
                <w:spacing w:val="9"/>
                <w:sz w:val="19"/>
                <w:szCs w:val="19"/>
              </w:rPr>
              <w:t>（</w:t>
            </w:r>
            <w:r>
              <w:rPr>
                <w:rFonts w:ascii="Times New Roman" w:hAnsi="Times New Roman" w:eastAsia="Times New Roman" w:cs="Times New Roman"/>
                <w:sz w:val="19"/>
                <w:szCs w:val="19"/>
              </w:rPr>
              <w:t>GB</w:t>
            </w:r>
            <w:r>
              <w:rPr>
                <w:rFonts w:ascii="Times New Roman" w:hAnsi="Times New Roman" w:eastAsia="Times New Roman" w:cs="Times New Roman"/>
                <w:spacing w:val="9"/>
                <w:sz w:val="19"/>
                <w:szCs w:val="19"/>
              </w:rPr>
              <w:t>25465-2010</w:t>
            </w:r>
            <w:r>
              <w:rPr>
                <w:spacing w:val="9"/>
                <w:sz w:val="19"/>
                <w:szCs w:val="19"/>
              </w:rPr>
              <w:t>）及修改单；其余矿山开采大气污染物排</w:t>
            </w:r>
            <w:r>
              <w:rPr>
                <w:sz w:val="19"/>
                <w:szCs w:val="19"/>
              </w:rPr>
              <w:t xml:space="preserve"> </w:t>
            </w:r>
            <w:r>
              <w:rPr>
                <w:spacing w:val="-4"/>
                <w:sz w:val="19"/>
                <w:szCs w:val="19"/>
              </w:rPr>
              <w:t>放</w:t>
            </w:r>
            <w:r>
              <w:rPr>
                <w:spacing w:val="-41"/>
                <w:sz w:val="19"/>
                <w:szCs w:val="19"/>
              </w:rPr>
              <w:t xml:space="preserve"> </w:t>
            </w:r>
            <w:r>
              <w:rPr>
                <w:spacing w:val="-4"/>
                <w:sz w:val="19"/>
                <w:szCs w:val="19"/>
              </w:rPr>
              <w:t>执</w:t>
            </w:r>
            <w:r>
              <w:rPr>
                <w:spacing w:val="-41"/>
                <w:sz w:val="19"/>
                <w:szCs w:val="19"/>
              </w:rPr>
              <w:t xml:space="preserve"> </w:t>
            </w:r>
            <w:r>
              <w:rPr>
                <w:spacing w:val="-4"/>
                <w:sz w:val="19"/>
                <w:szCs w:val="19"/>
              </w:rPr>
              <w:t>行</w:t>
            </w:r>
            <w:r>
              <w:rPr>
                <w:spacing w:val="-50"/>
                <w:sz w:val="19"/>
                <w:szCs w:val="19"/>
              </w:rPr>
              <w:t xml:space="preserve"> </w:t>
            </w:r>
            <w:r>
              <w:rPr>
                <w:spacing w:val="-4"/>
                <w:sz w:val="19"/>
                <w:szCs w:val="19"/>
              </w:rPr>
              <w:t>《 重</w:t>
            </w:r>
            <w:r>
              <w:rPr>
                <w:spacing w:val="-40"/>
                <w:sz w:val="19"/>
                <w:szCs w:val="19"/>
              </w:rPr>
              <w:t xml:space="preserve"> </w:t>
            </w:r>
            <w:r>
              <w:rPr>
                <w:spacing w:val="-4"/>
                <w:sz w:val="19"/>
                <w:szCs w:val="19"/>
              </w:rPr>
              <w:t>庆</w:t>
            </w:r>
            <w:r>
              <w:rPr>
                <w:spacing w:val="-37"/>
                <w:sz w:val="19"/>
                <w:szCs w:val="19"/>
              </w:rPr>
              <w:t xml:space="preserve"> </w:t>
            </w:r>
            <w:r>
              <w:rPr>
                <w:spacing w:val="-4"/>
                <w:sz w:val="19"/>
                <w:szCs w:val="19"/>
              </w:rPr>
              <w:t>市</w:t>
            </w:r>
            <w:r>
              <w:rPr>
                <w:spacing w:val="-39"/>
                <w:sz w:val="19"/>
                <w:szCs w:val="19"/>
              </w:rPr>
              <w:t xml:space="preserve"> </w:t>
            </w:r>
            <w:r>
              <w:rPr>
                <w:spacing w:val="-4"/>
                <w:sz w:val="19"/>
                <w:szCs w:val="19"/>
              </w:rPr>
              <w:t>大</w:t>
            </w:r>
            <w:r>
              <w:rPr>
                <w:spacing w:val="-33"/>
                <w:sz w:val="19"/>
                <w:szCs w:val="19"/>
              </w:rPr>
              <w:t xml:space="preserve"> </w:t>
            </w:r>
            <w:r>
              <w:rPr>
                <w:spacing w:val="-4"/>
                <w:sz w:val="19"/>
                <w:szCs w:val="19"/>
              </w:rPr>
              <w:t>气</w:t>
            </w:r>
            <w:r>
              <w:rPr>
                <w:spacing w:val="-37"/>
                <w:sz w:val="19"/>
                <w:szCs w:val="19"/>
              </w:rPr>
              <w:t xml:space="preserve"> </w:t>
            </w:r>
            <w:r>
              <w:rPr>
                <w:spacing w:val="-4"/>
                <w:sz w:val="19"/>
                <w:szCs w:val="19"/>
              </w:rPr>
              <w:t>污</w:t>
            </w:r>
            <w:r>
              <w:rPr>
                <w:spacing w:val="-41"/>
                <w:sz w:val="19"/>
                <w:szCs w:val="19"/>
              </w:rPr>
              <w:t xml:space="preserve"> </w:t>
            </w:r>
            <w:r>
              <w:rPr>
                <w:spacing w:val="-4"/>
                <w:sz w:val="19"/>
                <w:szCs w:val="19"/>
              </w:rPr>
              <w:t>染</w:t>
            </w:r>
            <w:r>
              <w:rPr>
                <w:spacing w:val="-40"/>
                <w:sz w:val="19"/>
                <w:szCs w:val="19"/>
              </w:rPr>
              <w:t xml:space="preserve"> </w:t>
            </w:r>
            <w:r>
              <w:rPr>
                <w:spacing w:val="-4"/>
                <w:sz w:val="19"/>
                <w:szCs w:val="19"/>
              </w:rPr>
              <w:t>物</w:t>
            </w:r>
            <w:r>
              <w:rPr>
                <w:spacing w:val="-38"/>
                <w:sz w:val="19"/>
                <w:szCs w:val="19"/>
              </w:rPr>
              <w:t xml:space="preserve"> </w:t>
            </w:r>
            <w:r>
              <w:rPr>
                <w:spacing w:val="-4"/>
                <w:sz w:val="19"/>
                <w:szCs w:val="19"/>
              </w:rPr>
              <w:t>综合</w:t>
            </w:r>
            <w:r>
              <w:rPr>
                <w:spacing w:val="-46"/>
                <w:sz w:val="19"/>
                <w:szCs w:val="19"/>
              </w:rPr>
              <w:t xml:space="preserve"> </w:t>
            </w:r>
            <w:r>
              <w:rPr>
                <w:spacing w:val="-4"/>
                <w:sz w:val="19"/>
                <w:szCs w:val="19"/>
              </w:rPr>
              <w:t>排</w:t>
            </w:r>
            <w:r>
              <w:rPr>
                <w:spacing w:val="-40"/>
                <w:sz w:val="19"/>
                <w:szCs w:val="19"/>
              </w:rPr>
              <w:t xml:space="preserve"> </w:t>
            </w:r>
            <w:r>
              <w:rPr>
                <w:spacing w:val="-4"/>
                <w:sz w:val="19"/>
                <w:szCs w:val="19"/>
              </w:rPr>
              <w:t>放</w:t>
            </w:r>
            <w:r>
              <w:rPr>
                <w:spacing w:val="-41"/>
                <w:sz w:val="19"/>
                <w:szCs w:val="19"/>
              </w:rPr>
              <w:t xml:space="preserve"> </w:t>
            </w:r>
            <w:r>
              <w:rPr>
                <w:spacing w:val="-4"/>
                <w:sz w:val="19"/>
                <w:szCs w:val="19"/>
              </w:rPr>
              <w:t>标</w:t>
            </w:r>
            <w:r>
              <w:rPr>
                <w:spacing w:val="-39"/>
                <w:sz w:val="19"/>
                <w:szCs w:val="19"/>
              </w:rPr>
              <w:t xml:space="preserve"> </w:t>
            </w:r>
            <w:r>
              <w:rPr>
                <w:spacing w:val="-4"/>
                <w:sz w:val="19"/>
                <w:szCs w:val="19"/>
              </w:rPr>
              <w:t>准》 （</w:t>
            </w:r>
            <w:r>
              <w:rPr>
                <w:spacing w:val="-24"/>
                <w:sz w:val="19"/>
                <w:szCs w:val="19"/>
              </w:rPr>
              <w:t xml:space="preserve"> </w:t>
            </w:r>
            <w:r>
              <w:rPr>
                <w:rFonts w:ascii="Times New Roman" w:hAnsi="Times New Roman" w:eastAsia="Times New Roman" w:cs="Times New Roman"/>
                <w:spacing w:val="-4"/>
                <w:sz w:val="19"/>
                <w:szCs w:val="19"/>
              </w:rPr>
              <w:t>DB</w:t>
            </w:r>
            <w:r>
              <w:rPr>
                <w:rFonts w:ascii="Times New Roman" w:hAnsi="Times New Roman" w:eastAsia="Times New Roman" w:cs="Times New Roman"/>
                <w:sz w:val="19"/>
                <w:szCs w:val="19"/>
              </w:rPr>
              <w:t xml:space="preserve"> </w:t>
            </w:r>
            <w:r>
              <w:rPr>
                <w:rFonts w:ascii="Times New Roman" w:hAnsi="Times New Roman" w:eastAsia="Times New Roman" w:cs="Times New Roman"/>
                <w:spacing w:val="6"/>
                <w:sz w:val="19"/>
                <w:szCs w:val="19"/>
              </w:rPr>
              <w:t>50/418-2016</w:t>
            </w:r>
            <w:r>
              <w:rPr>
                <w:spacing w:val="6"/>
                <w:sz w:val="19"/>
                <w:szCs w:val="19"/>
              </w:rPr>
              <w:t>）</w:t>
            </w:r>
            <w:r>
              <w:rPr>
                <w:spacing w:val="-28"/>
                <w:sz w:val="19"/>
                <w:szCs w:val="19"/>
              </w:rPr>
              <w:t xml:space="preserve"> </w:t>
            </w:r>
            <w:r>
              <w:rPr>
                <w:spacing w:val="6"/>
                <w:sz w:val="19"/>
                <w:szCs w:val="19"/>
              </w:rPr>
              <w:t>中“其他区域</w:t>
            </w:r>
            <w:r>
              <w:rPr>
                <w:spacing w:val="-66"/>
                <w:sz w:val="19"/>
                <w:szCs w:val="19"/>
              </w:rPr>
              <w:t xml:space="preserve"> </w:t>
            </w:r>
            <w:r>
              <w:rPr>
                <w:spacing w:val="6"/>
                <w:sz w:val="19"/>
                <w:szCs w:val="19"/>
              </w:rPr>
              <w:t>”限值；餐饮油烟参照执行重</w:t>
            </w:r>
            <w:r>
              <w:rPr>
                <w:sz w:val="19"/>
                <w:szCs w:val="19"/>
              </w:rPr>
              <w:t xml:space="preserve"> </w:t>
            </w:r>
            <w:r>
              <w:rPr>
                <w:spacing w:val="-5"/>
                <w:sz w:val="19"/>
                <w:szCs w:val="19"/>
              </w:rPr>
              <w:t>庆</w:t>
            </w:r>
            <w:r>
              <w:rPr>
                <w:spacing w:val="-48"/>
                <w:sz w:val="19"/>
                <w:szCs w:val="19"/>
              </w:rPr>
              <w:t xml:space="preserve"> </w:t>
            </w:r>
            <w:r>
              <w:rPr>
                <w:spacing w:val="-5"/>
                <w:sz w:val="19"/>
                <w:szCs w:val="19"/>
              </w:rPr>
              <w:t>市</w:t>
            </w:r>
            <w:r>
              <w:rPr>
                <w:spacing w:val="-52"/>
                <w:sz w:val="19"/>
                <w:szCs w:val="19"/>
              </w:rPr>
              <w:t xml:space="preserve"> </w:t>
            </w:r>
            <w:r>
              <w:rPr>
                <w:spacing w:val="-5"/>
                <w:sz w:val="19"/>
                <w:szCs w:val="19"/>
              </w:rPr>
              <w:t>地</w:t>
            </w:r>
            <w:r>
              <w:rPr>
                <w:spacing w:val="-48"/>
                <w:sz w:val="19"/>
                <w:szCs w:val="19"/>
              </w:rPr>
              <w:t xml:space="preserve"> </w:t>
            </w:r>
            <w:r>
              <w:rPr>
                <w:spacing w:val="-5"/>
                <w:sz w:val="19"/>
                <w:szCs w:val="19"/>
              </w:rPr>
              <w:t>方</w:t>
            </w:r>
            <w:r>
              <w:rPr>
                <w:spacing w:val="-53"/>
                <w:sz w:val="19"/>
                <w:szCs w:val="19"/>
              </w:rPr>
              <w:t xml:space="preserve"> </w:t>
            </w:r>
            <w:r>
              <w:rPr>
                <w:spacing w:val="-5"/>
                <w:sz w:val="19"/>
                <w:szCs w:val="19"/>
              </w:rPr>
              <w:t>标</w:t>
            </w:r>
            <w:r>
              <w:rPr>
                <w:spacing w:val="-51"/>
                <w:sz w:val="19"/>
                <w:szCs w:val="19"/>
              </w:rPr>
              <w:t xml:space="preserve"> </w:t>
            </w:r>
            <w:r>
              <w:rPr>
                <w:spacing w:val="-5"/>
                <w:sz w:val="19"/>
                <w:szCs w:val="19"/>
              </w:rPr>
              <w:t>准《</w:t>
            </w:r>
            <w:r>
              <w:rPr>
                <w:spacing w:val="-30"/>
                <w:sz w:val="19"/>
                <w:szCs w:val="19"/>
              </w:rPr>
              <w:t xml:space="preserve"> </w:t>
            </w:r>
            <w:r>
              <w:rPr>
                <w:spacing w:val="-5"/>
                <w:sz w:val="19"/>
                <w:szCs w:val="19"/>
              </w:rPr>
              <w:t>餐</w:t>
            </w:r>
            <w:r>
              <w:rPr>
                <w:spacing w:val="-53"/>
                <w:sz w:val="19"/>
                <w:szCs w:val="19"/>
              </w:rPr>
              <w:t xml:space="preserve"> </w:t>
            </w:r>
            <w:r>
              <w:rPr>
                <w:spacing w:val="-5"/>
                <w:sz w:val="19"/>
                <w:szCs w:val="19"/>
              </w:rPr>
              <w:t>饮</w:t>
            </w:r>
            <w:r>
              <w:rPr>
                <w:spacing w:val="-53"/>
                <w:sz w:val="19"/>
                <w:szCs w:val="19"/>
              </w:rPr>
              <w:t xml:space="preserve"> </w:t>
            </w:r>
            <w:r>
              <w:rPr>
                <w:spacing w:val="-5"/>
                <w:sz w:val="19"/>
                <w:szCs w:val="19"/>
              </w:rPr>
              <w:t>业</w:t>
            </w:r>
            <w:r>
              <w:rPr>
                <w:spacing w:val="-51"/>
                <w:sz w:val="19"/>
                <w:szCs w:val="19"/>
              </w:rPr>
              <w:t xml:space="preserve"> </w:t>
            </w:r>
            <w:r>
              <w:rPr>
                <w:spacing w:val="-5"/>
                <w:sz w:val="19"/>
                <w:szCs w:val="19"/>
              </w:rPr>
              <w:t>大</w:t>
            </w:r>
            <w:r>
              <w:rPr>
                <w:spacing w:val="-45"/>
                <w:sz w:val="19"/>
                <w:szCs w:val="19"/>
              </w:rPr>
              <w:t xml:space="preserve"> </w:t>
            </w:r>
            <w:r>
              <w:rPr>
                <w:spacing w:val="-5"/>
                <w:sz w:val="19"/>
                <w:szCs w:val="19"/>
              </w:rPr>
              <w:t>气</w:t>
            </w:r>
            <w:r>
              <w:rPr>
                <w:spacing w:val="-49"/>
                <w:sz w:val="19"/>
                <w:szCs w:val="19"/>
              </w:rPr>
              <w:t xml:space="preserve"> </w:t>
            </w:r>
            <w:r>
              <w:rPr>
                <w:spacing w:val="-5"/>
                <w:sz w:val="19"/>
                <w:szCs w:val="19"/>
              </w:rPr>
              <w:t>污</w:t>
            </w:r>
            <w:r>
              <w:rPr>
                <w:spacing w:val="-50"/>
                <w:sz w:val="19"/>
                <w:szCs w:val="19"/>
              </w:rPr>
              <w:t xml:space="preserve"> </w:t>
            </w:r>
            <w:r>
              <w:rPr>
                <w:spacing w:val="-5"/>
                <w:sz w:val="19"/>
                <w:szCs w:val="19"/>
              </w:rPr>
              <w:t>染</w:t>
            </w:r>
            <w:r>
              <w:rPr>
                <w:spacing w:val="-52"/>
                <w:sz w:val="19"/>
                <w:szCs w:val="19"/>
              </w:rPr>
              <w:t xml:space="preserve"> </w:t>
            </w:r>
            <w:r>
              <w:rPr>
                <w:spacing w:val="-5"/>
                <w:sz w:val="19"/>
                <w:szCs w:val="19"/>
              </w:rPr>
              <w:t>物</w:t>
            </w:r>
            <w:r>
              <w:rPr>
                <w:spacing w:val="-55"/>
                <w:sz w:val="19"/>
                <w:szCs w:val="19"/>
              </w:rPr>
              <w:t xml:space="preserve"> </w:t>
            </w:r>
            <w:r>
              <w:rPr>
                <w:spacing w:val="-5"/>
                <w:sz w:val="19"/>
                <w:szCs w:val="19"/>
              </w:rPr>
              <w:t>排</w:t>
            </w:r>
            <w:r>
              <w:rPr>
                <w:spacing w:val="-52"/>
                <w:sz w:val="19"/>
                <w:szCs w:val="19"/>
              </w:rPr>
              <w:t xml:space="preserve"> </w:t>
            </w:r>
            <w:r>
              <w:rPr>
                <w:spacing w:val="-5"/>
                <w:sz w:val="19"/>
                <w:szCs w:val="19"/>
              </w:rPr>
              <w:t>放</w:t>
            </w:r>
            <w:r>
              <w:rPr>
                <w:spacing w:val="-54"/>
                <w:sz w:val="19"/>
                <w:szCs w:val="19"/>
              </w:rPr>
              <w:t xml:space="preserve"> </w:t>
            </w:r>
            <w:r>
              <w:rPr>
                <w:spacing w:val="-5"/>
                <w:sz w:val="19"/>
                <w:szCs w:val="19"/>
              </w:rPr>
              <w:t>标</w:t>
            </w:r>
            <w:r>
              <w:rPr>
                <w:spacing w:val="-50"/>
                <w:sz w:val="19"/>
                <w:szCs w:val="19"/>
              </w:rPr>
              <w:t xml:space="preserve"> </w:t>
            </w:r>
            <w:r>
              <w:rPr>
                <w:spacing w:val="-5"/>
                <w:sz w:val="19"/>
                <w:szCs w:val="19"/>
              </w:rPr>
              <w:t>准</w:t>
            </w:r>
            <w:r>
              <w:rPr>
                <w:spacing w:val="-48"/>
                <w:sz w:val="19"/>
                <w:szCs w:val="19"/>
              </w:rPr>
              <w:t xml:space="preserve"> </w:t>
            </w:r>
            <w:r>
              <w:rPr>
                <w:spacing w:val="-5"/>
                <w:sz w:val="19"/>
                <w:szCs w:val="19"/>
              </w:rPr>
              <w:t>》</w:t>
            </w:r>
            <w:r>
              <w:rPr>
                <w:spacing w:val="-56"/>
                <w:sz w:val="19"/>
                <w:szCs w:val="19"/>
              </w:rPr>
              <w:t xml:space="preserve"> </w:t>
            </w:r>
            <w:r>
              <w:rPr>
                <w:spacing w:val="-5"/>
                <w:sz w:val="19"/>
                <w:szCs w:val="19"/>
              </w:rPr>
              <w:t>（</w:t>
            </w:r>
            <w:r>
              <w:rPr>
                <w:spacing w:val="-33"/>
                <w:sz w:val="19"/>
                <w:szCs w:val="19"/>
              </w:rPr>
              <w:t xml:space="preserve"> </w:t>
            </w:r>
            <w:r>
              <w:rPr>
                <w:rFonts w:ascii="Times New Roman" w:hAnsi="Times New Roman" w:eastAsia="Times New Roman" w:cs="Times New Roman"/>
                <w:spacing w:val="-6"/>
                <w:sz w:val="19"/>
                <w:szCs w:val="19"/>
              </w:rPr>
              <w:t>DB</w:t>
            </w:r>
            <w:r>
              <w:rPr>
                <w:rFonts w:ascii="Times New Roman" w:hAnsi="Times New Roman" w:eastAsia="Times New Roman" w:cs="Times New Roman"/>
                <w:sz w:val="19"/>
                <w:szCs w:val="19"/>
              </w:rPr>
              <w:t xml:space="preserve"> </w:t>
            </w:r>
            <w:r>
              <w:rPr>
                <w:rFonts w:ascii="Times New Roman" w:hAnsi="Times New Roman" w:eastAsia="Times New Roman" w:cs="Times New Roman"/>
                <w:spacing w:val="3"/>
                <w:sz w:val="19"/>
                <w:szCs w:val="19"/>
              </w:rPr>
              <w:t>50/859-2018</w:t>
            </w:r>
            <w:r>
              <w:rPr>
                <w:spacing w:val="3"/>
                <w:sz w:val="19"/>
                <w:szCs w:val="19"/>
              </w:rPr>
              <w:t>）。</w:t>
            </w:r>
          </w:p>
          <w:p w14:paraId="5A63A6C1">
            <w:pPr>
              <w:pStyle w:val="6"/>
              <w:spacing w:before="9" w:line="226" w:lineRule="auto"/>
              <w:ind w:left="111" w:right="59" w:firstLine="2"/>
              <w:rPr>
                <w:sz w:val="19"/>
                <w:szCs w:val="19"/>
              </w:rPr>
            </w:pPr>
            <w:r>
              <w:rPr>
                <w:spacing w:val="7"/>
                <w:sz w:val="19"/>
                <w:szCs w:val="19"/>
              </w:rPr>
              <w:t>（</w:t>
            </w:r>
            <w:r>
              <w:rPr>
                <w:rFonts w:ascii="Times New Roman" w:hAnsi="Times New Roman" w:eastAsia="Times New Roman" w:cs="Times New Roman"/>
                <w:spacing w:val="7"/>
                <w:sz w:val="19"/>
                <w:szCs w:val="19"/>
              </w:rPr>
              <w:t>2</w:t>
            </w:r>
            <w:r>
              <w:rPr>
                <w:spacing w:val="7"/>
                <w:sz w:val="19"/>
                <w:szCs w:val="19"/>
              </w:rPr>
              <w:t>）采矿生产、生活废水应处理后尽量回用或达标排放，</w:t>
            </w:r>
            <w:r>
              <w:rPr>
                <w:spacing w:val="6"/>
                <w:sz w:val="19"/>
                <w:szCs w:val="19"/>
              </w:rPr>
              <w:t xml:space="preserve"> </w:t>
            </w:r>
            <w:r>
              <w:rPr>
                <w:spacing w:val="7"/>
                <w:sz w:val="19"/>
                <w:szCs w:val="19"/>
              </w:rPr>
              <w:t>减少污染物排放量。</w:t>
            </w:r>
          </w:p>
        </w:tc>
        <w:tc>
          <w:tcPr>
            <w:tcW w:w="2945" w:type="dxa"/>
            <w:tcBorders>
              <w:right w:val="single" w:color="000000" w:sz="10" w:space="0"/>
            </w:tcBorders>
            <w:vAlign w:val="top"/>
          </w:tcPr>
          <w:p w14:paraId="3F1ACD7C">
            <w:pPr>
              <w:spacing w:line="244" w:lineRule="auto"/>
              <w:rPr>
                <w:rFonts w:ascii="Arial"/>
                <w:sz w:val="21"/>
              </w:rPr>
            </w:pPr>
          </w:p>
          <w:p w14:paraId="1E209488">
            <w:pPr>
              <w:spacing w:line="244" w:lineRule="auto"/>
              <w:rPr>
                <w:rFonts w:ascii="Arial"/>
                <w:sz w:val="21"/>
              </w:rPr>
            </w:pPr>
          </w:p>
          <w:p w14:paraId="65DDD5FA">
            <w:pPr>
              <w:pStyle w:val="6"/>
              <w:spacing w:before="62" w:line="230" w:lineRule="auto"/>
              <w:ind w:left="134"/>
              <w:rPr>
                <w:sz w:val="19"/>
                <w:szCs w:val="19"/>
              </w:rPr>
            </w:pPr>
            <w:r>
              <w:rPr>
                <w:rFonts w:ascii="Times New Roman" w:hAnsi="Times New Roman" w:eastAsia="Times New Roman" w:cs="Times New Roman"/>
                <w:spacing w:val="4"/>
                <w:sz w:val="19"/>
                <w:szCs w:val="19"/>
              </w:rPr>
              <w:t>1</w:t>
            </w:r>
            <w:r>
              <w:rPr>
                <w:rFonts w:ascii="Times New Roman" w:hAnsi="Times New Roman" w:eastAsia="Times New Roman" w:cs="Times New Roman"/>
                <w:spacing w:val="-14"/>
                <w:sz w:val="19"/>
                <w:szCs w:val="19"/>
              </w:rPr>
              <w:t xml:space="preserve"> </w:t>
            </w:r>
            <w:r>
              <w:rPr>
                <w:spacing w:val="4"/>
                <w:sz w:val="19"/>
                <w:szCs w:val="19"/>
              </w:rPr>
              <w:t>、污染物排放控制要求</w:t>
            </w:r>
          </w:p>
          <w:p w14:paraId="0AC1B51B">
            <w:pPr>
              <w:pStyle w:val="6"/>
              <w:spacing w:before="21" w:line="242" w:lineRule="auto"/>
              <w:ind w:left="126" w:right="97" w:hanging="11"/>
              <w:rPr>
                <w:sz w:val="19"/>
                <w:szCs w:val="19"/>
              </w:rPr>
            </w:pPr>
            <w:r>
              <w:rPr>
                <w:rFonts w:ascii="Times New Roman" w:hAnsi="Times New Roman" w:eastAsia="Times New Roman" w:cs="Times New Roman"/>
                <w:spacing w:val="8"/>
                <w:sz w:val="19"/>
                <w:szCs w:val="19"/>
              </w:rPr>
              <w:t>2</w:t>
            </w:r>
            <w:r>
              <w:rPr>
                <w:rFonts w:ascii="Times New Roman" w:hAnsi="Times New Roman" w:eastAsia="Times New Roman" w:cs="Times New Roman"/>
                <w:spacing w:val="-9"/>
                <w:sz w:val="19"/>
                <w:szCs w:val="19"/>
              </w:rPr>
              <w:t xml:space="preserve"> </w:t>
            </w:r>
            <w:r>
              <w:rPr>
                <w:spacing w:val="8"/>
                <w:sz w:val="19"/>
                <w:szCs w:val="19"/>
              </w:rPr>
              <w:t>、保障区域大气环境质量稳定</w:t>
            </w:r>
            <w:r>
              <w:rPr>
                <w:sz w:val="19"/>
                <w:szCs w:val="19"/>
              </w:rPr>
              <w:t xml:space="preserve"> </w:t>
            </w:r>
            <w:r>
              <w:rPr>
                <w:spacing w:val="1"/>
                <w:sz w:val="19"/>
                <w:szCs w:val="19"/>
              </w:rPr>
              <w:t>达标</w:t>
            </w:r>
          </w:p>
          <w:p w14:paraId="5FD4460B">
            <w:pPr>
              <w:pStyle w:val="6"/>
              <w:spacing w:before="21" w:line="230" w:lineRule="auto"/>
              <w:ind w:left="119"/>
              <w:rPr>
                <w:sz w:val="19"/>
                <w:szCs w:val="19"/>
              </w:rPr>
            </w:pPr>
            <w:r>
              <w:rPr>
                <w:rFonts w:ascii="Times New Roman" w:hAnsi="Times New Roman" w:eastAsia="Times New Roman" w:cs="Times New Roman"/>
                <w:spacing w:val="6"/>
                <w:sz w:val="19"/>
                <w:szCs w:val="19"/>
              </w:rPr>
              <w:t>3</w:t>
            </w:r>
            <w:r>
              <w:rPr>
                <w:rFonts w:ascii="Times New Roman" w:hAnsi="Times New Roman" w:eastAsia="Times New Roman" w:cs="Times New Roman"/>
                <w:spacing w:val="-12"/>
                <w:sz w:val="19"/>
                <w:szCs w:val="19"/>
              </w:rPr>
              <w:t xml:space="preserve"> </w:t>
            </w:r>
            <w:r>
              <w:rPr>
                <w:spacing w:val="6"/>
                <w:sz w:val="19"/>
                <w:szCs w:val="19"/>
              </w:rPr>
              <w:t>、保障区域地表水环境质量</w:t>
            </w:r>
          </w:p>
        </w:tc>
      </w:tr>
      <w:tr w14:paraId="6D04AC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1073" w:type="dxa"/>
            <w:tcBorders>
              <w:left w:val="single" w:color="000000" w:sz="10" w:space="0"/>
            </w:tcBorders>
            <w:vAlign w:val="top"/>
          </w:tcPr>
          <w:p w14:paraId="220C290B">
            <w:pPr>
              <w:spacing w:line="244" w:lineRule="auto"/>
              <w:rPr>
                <w:rFonts w:ascii="Arial"/>
                <w:sz w:val="21"/>
              </w:rPr>
            </w:pPr>
          </w:p>
          <w:p w14:paraId="058AC3A6">
            <w:pPr>
              <w:pStyle w:val="6"/>
              <w:spacing w:before="62" w:line="231" w:lineRule="auto"/>
              <w:ind w:left="133"/>
              <w:rPr>
                <w:sz w:val="19"/>
                <w:szCs w:val="19"/>
              </w:rPr>
            </w:pPr>
            <w:r>
              <w:rPr>
                <w:spacing w:val="6"/>
                <w:sz w:val="19"/>
                <w:szCs w:val="19"/>
              </w:rPr>
              <w:t>环境风险</w:t>
            </w:r>
          </w:p>
          <w:p w14:paraId="1039B909">
            <w:pPr>
              <w:pStyle w:val="6"/>
              <w:spacing w:before="21" w:line="232" w:lineRule="auto"/>
              <w:ind w:left="346"/>
              <w:rPr>
                <w:sz w:val="19"/>
                <w:szCs w:val="19"/>
              </w:rPr>
            </w:pPr>
            <w:r>
              <w:rPr>
                <w:spacing w:val="-5"/>
                <w:sz w:val="19"/>
                <w:szCs w:val="19"/>
              </w:rPr>
              <w:t>防控</w:t>
            </w:r>
          </w:p>
        </w:tc>
        <w:tc>
          <w:tcPr>
            <w:tcW w:w="5213" w:type="dxa"/>
            <w:vAlign w:val="top"/>
          </w:tcPr>
          <w:p w14:paraId="331B3B29">
            <w:pPr>
              <w:pStyle w:val="6"/>
              <w:spacing w:before="47" w:line="242" w:lineRule="auto"/>
              <w:ind w:left="110" w:right="102" w:firstLine="3"/>
              <w:rPr>
                <w:sz w:val="19"/>
                <w:szCs w:val="19"/>
              </w:rPr>
            </w:pPr>
            <w:r>
              <w:rPr>
                <w:spacing w:val="5"/>
                <w:sz w:val="19"/>
                <w:szCs w:val="19"/>
              </w:rPr>
              <w:t>（</w:t>
            </w:r>
            <w:r>
              <w:rPr>
                <w:rFonts w:ascii="Times New Roman" w:hAnsi="Times New Roman" w:eastAsia="Times New Roman" w:cs="Times New Roman"/>
                <w:spacing w:val="5"/>
                <w:sz w:val="19"/>
                <w:szCs w:val="19"/>
              </w:rPr>
              <w:t>1</w:t>
            </w:r>
            <w:r>
              <w:rPr>
                <w:spacing w:val="5"/>
                <w:sz w:val="19"/>
                <w:szCs w:val="19"/>
              </w:rPr>
              <w:t>）加强工业场地污染源管理，做好分区防渗，做好废石</w:t>
            </w:r>
            <w:r>
              <w:rPr>
                <w:spacing w:val="14"/>
                <w:sz w:val="19"/>
                <w:szCs w:val="19"/>
              </w:rPr>
              <w:t xml:space="preserve"> </w:t>
            </w:r>
            <w:r>
              <w:rPr>
                <w:spacing w:val="8"/>
                <w:sz w:val="19"/>
                <w:szCs w:val="19"/>
              </w:rPr>
              <w:t>场和弃渣场土壤和地下水预防措施。</w:t>
            </w:r>
          </w:p>
          <w:p w14:paraId="4B650E31">
            <w:pPr>
              <w:pStyle w:val="6"/>
              <w:spacing w:before="20" w:line="224" w:lineRule="auto"/>
              <w:ind w:left="110" w:right="102" w:firstLine="3"/>
              <w:rPr>
                <w:sz w:val="19"/>
                <w:szCs w:val="19"/>
              </w:rPr>
            </w:pPr>
            <w:r>
              <w:rPr>
                <w:spacing w:val="5"/>
                <w:sz w:val="19"/>
                <w:szCs w:val="19"/>
              </w:rPr>
              <w:t>（</w:t>
            </w:r>
            <w:r>
              <w:rPr>
                <w:rFonts w:ascii="Times New Roman" w:hAnsi="Times New Roman" w:eastAsia="Times New Roman" w:cs="Times New Roman"/>
                <w:spacing w:val="5"/>
                <w:sz w:val="19"/>
                <w:szCs w:val="19"/>
              </w:rPr>
              <w:t>2</w:t>
            </w:r>
            <w:r>
              <w:rPr>
                <w:spacing w:val="5"/>
                <w:sz w:val="19"/>
                <w:szCs w:val="19"/>
              </w:rPr>
              <w:t>）临近饮用水水源保护区的采矿权，严格落实相关废水</w:t>
            </w:r>
            <w:r>
              <w:rPr>
                <w:spacing w:val="14"/>
                <w:sz w:val="19"/>
                <w:szCs w:val="19"/>
              </w:rPr>
              <w:t xml:space="preserve"> </w:t>
            </w:r>
            <w:r>
              <w:rPr>
                <w:spacing w:val="8"/>
                <w:sz w:val="19"/>
                <w:szCs w:val="19"/>
              </w:rPr>
              <w:t>处理措施，严禁向饮用水源排水。</w:t>
            </w:r>
          </w:p>
        </w:tc>
        <w:tc>
          <w:tcPr>
            <w:tcW w:w="2945" w:type="dxa"/>
            <w:tcBorders>
              <w:right w:val="single" w:color="000000" w:sz="10" w:space="0"/>
            </w:tcBorders>
            <w:vAlign w:val="top"/>
          </w:tcPr>
          <w:p w14:paraId="750693B9">
            <w:pPr>
              <w:spacing w:line="410" w:lineRule="auto"/>
              <w:rPr>
                <w:rFonts w:ascii="Arial"/>
                <w:sz w:val="21"/>
              </w:rPr>
            </w:pPr>
          </w:p>
          <w:p w14:paraId="0936E711">
            <w:pPr>
              <w:spacing w:before="55" w:line="199" w:lineRule="auto"/>
              <w:ind w:left="111"/>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r>
      <w:tr w14:paraId="747A86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1073" w:type="dxa"/>
            <w:tcBorders>
              <w:left w:val="single" w:color="000000" w:sz="10" w:space="0"/>
              <w:bottom w:val="single" w:color="000000" w:sz="10" w:space="0"/>
            </w:tcBorders>
            <w:vAlign w:val="top"/>
          </w:tcPr>
          <w:p w14:paraId="516C89AF">
            <w:pPr>
              <w:pStyle w:val="6"/>
              <w:spacing w:before="52" w:line="231" w:lineRule="auto"/>
              <w:ind w:left="144"/>
              <w:rPr>
                <w:sz w:val="19"/>
                <w:szCs w:val="19"/>
              </w:rPr>
            </w:pPr>
            <w:r>
              <w:rPr>
                <w:spacing w:val="3"/>
                <w:sz w:val="19"/>
                <w:szCs w:val="19"/>
              </w:rPr>
              <w:t>资源开发</w:t>
            </w:r>
          </w:p>
          <w:p w14:paraId="627E42B2">
            <w:pPr>
              <w:pStyle w:val="6"/>
              <w:spacing w:before="21" w:line="216" w:lineRule="auto"/>
              <w:ind w:left="133"/>
              <w:rPr>
                <w:sz w:val="19"/>
                <w:szCs w:val="19"/>
              </w:rPr>
            </w:pPr>
            <w:r>
              <w:rPr>
                <w:spacing w:val="6"/>
                <w:sz w:val="19"/>
                <w:szCs w:val="19"/>
              </w:rPr>
              <w:t>利用要求</w:t>
            </w:r>
          </w:p>
        </w:tc>
        <w:tc>
          <w:tcPr>
            <w:tcW w:w="5213" w:type="dxa"/>
            <w:tcBorders>
              <w:bottom w:val="single" w:color="000000" w:sz="10" w:space="0"/>
            </w:tcBorders>
            <w:vAlign w:val="top"/>
          </w:tcPr>
          <w:p w14:paraId="1A1686A3">
            <w:pPr>
              <w:pStyle w:val="6"/>
              <w:spacing w:before="52" w:line="229" w:lineRule="auto"/>
              <w:ind w:left="114"/>
              <w:rPr>
                <w:sz w:val="19"/>
                <w:szCs w:val="19"/>
              </w:rPr>
            </w:pPr>
            <w:r>
              <w:rPr>
                <w:spacing w:val="8"/>
                <w:sz w:val="19"/>
                <w:szCs w:val="19"/>
              </w:rPr>
              <w:t>（</w:t>
            </w:r>
            <w:r>
              <w:rPr>
                <w:rFonts w:ascii="Times New Roman" w:hAnsi="Times New Roman" w:eastAsia="Times New Roman" w:cs="Times New Roman"/>
                <w:spacing w:val="8"/>
                <w:sz w:val="19"/>
                <w:szCs w:val="19"/>
              </w:rPr>
              <w:t>1</w:t>
            </w:r>
            <w:r>
              <w:rPr>
                <w:spacing w:val="8"/>
                <w:sz w:val="19"/>
                <w:szCs w:val="19"/>
              </w:rPr>
              <w:t>）建筑石料用灰岩开采总量不得高于规划设置指标值。</w:t>
            </w:r>
          </w:p>
          <w:p w14:paraId="5CF0CA50">
            <w:pPr>
              <w:pStyle w:val="6"/>
              <w:spacing w:before="23" w:line="216" w:lineRule="auto"/>
              <w:ind w:left="114"/>
              <w:rPr>
                <w:sz w:val="19"/>
                <w:szCs w:val="19"/>
              </w:rPr>
            </w:pPr>
            <w:r>
              <w:rPr>
                <w:spacing w:val="8"/>
                <w:sz w:val="19"/>
                <w:szCs w:val="19"/>
              </w:rPr>
              <w:t>（</w:t>
            </w:r>
            <w:r>
              <w:rPr>
                <w:rFonts w:ascii="Times New Roman" w:hAnsi="Times New Roman" w:eastAsia="Times New Roman" w:cs="Times New Roman"/>
                <w:spacing w:val="8"/>
                <w:sz w:val="19"/>
                <w:szCs w:val="19"/>
              </w:rPr>
              <w:t>2</w:t>
            </w:r>
            <w:r>
              <w:rPr>
                <w:spacing w:val="8"/>
                <w:sz w:val="19"/>
                <w:szCs w:val="19"/>
              </w:rPr>
              <w:t>）单个矿山最低开采规模不得低于规划设计标准。</w:t>
            </w:r>
          </w:p>
        </w:tc>
        <w:tc>
          <w:tcPr>
            <w:tcW w:w="2945" w:type="dxa"/>
            <w:tcBorders>
              <w:bottom w:val="single" w:color="000000" w:sz="10" w:space="0"/>
              <w:right w:val="single" w:color="000000" w:sz="10" w:space="0"/>
            </w:tcBorders>
            <w:vAlign w:val="top"/>
          </w:tcPr>
          <w:p w14:paraId="254AC20E">
            <w:pPr>
              <w:pStyle w:val="6"/>
              <w:spacing w:before="52" w:line="230" w:lineRule="auto"/>
              <w:ind w:left="134"/>
              <w:rPr>
                <w:sz w:val="19"/>
                <w:szCs w:val="19"/>
              </w:rPr>
            </w:pPr>
            <w:r>
              <w:rPr>
                <w:rFonts w:ascii="Times New Roman" w:hAnsi="Times New Roman" w:eastAsia="Times New Roman" w:cs="Times New Roman"/>
                <w:spacing w:val="5"/>
                <w:sz w:val="19"/>
                <w:szCs w:val="19"/>
              </w:rPr>
              <w:t>1</w:t>
            </w:r>
            <w:r>
              <w:rPr>
                <w:rFonts w:ascii="Times New Roman" w:hAnsi="Times New Roman" w:eastAsia="Times New Roman" w:cs="Times New Roman"/>
                <w:spacing w:val="-10"/>
                <w:sz w:val="19"/>
                <w:szCs w:val="19"/>
              </w:rPr>
              <w:t xml:space="preserve"> </w:t>
            </w:r>
            <w:r>
              <w:rPr>
                <w:spacing w:val="5"/>
                <w:sz w:val="19"/>
                <w:szCs w:val="19"/>
              </w:rPr>
              <w:t>、符合市级规划总量控制要求</w:t>
            </w:r>
          </w:p>
          <w:p w14:paraId="00171CFD">
            <w:pPr>
              <w:pStyle w:val="6"/>
              <w:spacing w:before="22" w:line="216" w:lineRule="auto"/>
              <w:ind w:left="115"/>
              <w:rPr>
                <w:sz w:val="19"/>
                <w:szCs w:val="19"/>
              </w:rPr>
            </w:pPr>
            <w:r>
              <w:rPr>
                <w:rFonts w:ascii="Times New Roman" w:hAnsi="Times New Roman" w:eastAsia="Times New Roman" w:cs="Times New Roman"/>
                <w:spacing w:val="6"/>
                <w:sz w:val="19"/>
                <w:szCs w:val="19"/>
              </w:rPr>
              <w:t>2</w:t>
            </w:r>
            <w:r>
              <w:rPr>
                <w:rFonts w:ascii="Times New Roman" w:hAnsi="Times New Roman" w:eastAsia="Times New Roman" w:cs="Times New Roman"/>
                <w:spacing w:val="-14"/>
                <w:sz w:val="19"/>
                <w:szCs w:val="19"/>
              </w:rPr>
              <w:t xml:space="preserve"> </w:t>
            </w:r>
            <w:r>
              <w:rPr>
                <w:spacing w:val="6"/>
                <w:sz w:val="19"/>
                <w:szCs w:val="19"/>
              </w:rPr>
              <w:t>、符合最低开采规模要求</w:t>
            </w:r>
          </w:p>
        </w:tc>
      </w:tr>
    </w:tbl>
    <w:p w14:paraId="3993BF63">
      <w:pPr>
        <w:spacing w:before="266" w:line="229" w:lineRule="auto"/>
        <w:ind w:left="130"/>
        <w:outlineLvl w:val="1"/>
        <w:rPr>
          <w:rFonts w:ascii="仿宋" w:hAnsi="仿宋" w:eastAsia="仿宋" w:cs="仿宋"/>
          <w:sz w:val="25"/>
          <w:szCs w:val="25"/>
        </w:rPr>
      </w:pPr>
      <w:bookmarkStart w:id="43" w:name="bookmark37"/>
      <w:bookmarkEnd w:id="43"/>
      <w:r>
        <w:rPr>
          <w:rFonts w:ascii="Times New Roman" w:hAnsi="Times New Roman" w:eastAsia="Times New Roman" w:cs="Times New Roman"/>
          <w:b/>
          <w:bCs/>
          <w:spacing w:val="6"/>
          <w:sz w:val="25"/>
          <w:szCs w:val="25"/>
        </w:rPr>
        <w:t>7.3</w:t>
      </w:r>
      <w:r>
        <w:rPr>
          <w:rFonts w:ascii="Times New Roman" w:hAnsi="Times New Roman" w:eastAsia="Times New Roman" w:cs="Times New Roman"/>
          <w:b/>
          <w:bCs/>
          <w:spacing w:val="29"/>
          <w:sz w:val="25"/>
          <w:szCs w:val="25"/>
        </w:rPr>
        <w:t xml:space="preserve"> </w:t>
      </w:r>
      <w:r>
        <w:rPr>
          <w:rFonts w:ascii="仿宋" w:hAnsi="仿宋" w:eastAsia="仿宋" w:cs="仿宋"/>
          <w:b/>
          <w:bCs/>
          <w:spacing w:val="6"/>
          <w:sz w:val="25"/>
          <w:szCs w:val="25"/>
        </w:rPr>
        <w:t>规划调整内容中所包含建设项目环评要求</w:t>
      </w:r>
    </w:p>
    <w:p w14:paraId="60E7E47A">
      <w:pPr>
        <w:spacing w:before="160" w:line="222" w:lineRule="auto"/>
        <w:ind w:left="129"/>
        <w:outlineLvl w:val="2"/>
        <w:rPr>
          <w:rFonts w:ascii="仿宋" w:hAnsi="仿宋" w:eastAsia="仿宋" w:cs="仿宋"/>
          <w:sz w:val="24"/>
          <w:szCs w:val="24"/>
        </w:rPr>
      </w:pPr>
      <w:r>
        <w:rPr>
          <w:rFonts w:ascii="Times New Roman" w:hAnsi="Times New Roman" w:eastAsia="Times New Roman" w:cs="Times New Roman"/>
          <w:b/>
          <w:bCs/>
          <w:spacing w:val="-4"/>
          <w:sz w:val="24"/>
          <w:szCs w:val="24"/>
        </w:rPr>
        <w:t>7.3.1</w:t>
      </w:r>
      <w:r>
        <w:rPr>
          <w:rFonts w:ascii="Times New Roman" w:hAnsi="Times New Roman" w:eastAsia="Times New Roman" w:cs="Times New Roman"/>
          <w:b/>
          <w:bCs/>
          <w:spacing w:val="25"/>
          <w:w w:val="101"/>
          <w:sz w:val="24"/>
          <w:szCs w:val="24"/>
        </w:rPr>
        <w:t xml:space="preserve"> </w:t>
      </w:r>
      <w:r>
        <w:rPr>
          <w:rFonts w:ascii="仿宋" w:hAnsi="仿宋" w:eastAsia="仿宋" w:cs="仿宋"/>
          <w:b/>
          <w:bCs/>
          <w:spacing w:val="-4"/>
          <w:sz w:val="24"/>
          <w:szCs w:val="24"/>
        </w:rPr>
        <w:t>重点关注的内容</w:t>
      </w:r>
    </w:p>
    <w:p w14:paraId="5BD1A5B6">
      <w:pPr>
        <w:spacing w:before="249" w:line="312" w:lineRule="auto"/>
        <w:ind w:left="138" w:right="291" w:firstLine="485"/>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1</w:t>
      </w:r>
      <w:r>
        <w:rPr>
          <w:rFonts w:ascii="仿宋" w:hAnsi="仿宋" w:eastAsia="仿宋" w:cs="仿宋"/>
          <w:spacing w:val="7"/>
          <w:sz w:val="25"/>
          <w:szCs w:val="25"/>
        </w:rPr>
        <w:t>）实现</w:t>
      </w:r>
      <w:r>
        <w:rPr>
          <w:rFonts w:ascii="Times New Roman" w:hAnsi="Times New Roman" w:eastAsia="Times New Roman" w:cs="Times New Roman"/>
          <w:spacing w:val="7"/>
          <w:sz w:val="25"/>
          <w:szCs w:val="25"/>
        </w:rPr>
        <w:t>“</w:t>
      </w:r>
      <w:r>
        <w:rPr>
          <w:rFonts w:ascii="仿宋" w:hAnsi="仿宋" w:eastAsia="仿宋" w:cs="仿宋"/>
          <w:spacing w:val="7"/>
          <w:sz w:val="25"/>
          <w:szCs w:val="25"/>
        </w:rPr>
        <w:t>规划环评与项目环评</w:t>
      </w:r>
      <w:r>
        <w:rPr>
          <w:rFonts w:ascii="Times New Roman" w:hAnsi="Times New Roman" w:eastAsia="Times New Roman" w:cs="Times New Roman"/>
          <w:spacing w:val="7"/>
          <w:sz w:val="25"/>
          <w:szCs w:val="25"/>
        </w:rPr>
        <w:t>”</w:t>
      </w:r>
      <w:r>
        <w:rPr>
          <w:rFonts w:ascii="仿宋" w:hAnsi="仿宋" w:eastAsia="仿宋" w:cs="仿宋"/>
          <w:spacing w:val="7"/>
          <w:sz w:val="25"/>
          <w:szCs w:val="25"/>
        </w:rPr>
        <w:t>联动机制，本次规划调整涉及的矿产资源</w:t>
      </w:r>
      <w:r>
        <w:rPr>
          <w:rFonts w:ascii="仿宋" w:hAnsi="仿宋" w:eastAsia="仿宋" w:cs="仿宋"/>
          <w:spacing w:val="6"/>
          <w:sz w:val="25"/>
          <w:szCs w:val="25"/>
        </w:rPr>
        <w:t xml:space="preserve"> </w:t>
      </w:r>
      <w:r>
        <w:rPr>
          <w:rFonts w:ascii="仿宋" w:hAnsi="仿宋" w:eastAsia="仿宋" w:cs="仿宋"/>
          <w:spacing w:val="10"/>
          <w:sz w:val="25"/>
          <w:szCs w:val="25"/>
        </w:rPr>
        <w:t>勘探开发项目必须符合规划补充环评明确的空</w:t>
      </w:r>
      <w:r>
        <w:rPr>
          <w:rFonts w:ascii="仿宋" w:hAnsi="仿宋" w:eastAsia="仿宋" w:cs="仿宋"/>
          <w:spacing w:val="9"/>
          <w:sz w:val="25"/>
          <w:szCs w:val="25"/>
        </w:rPr>
        <w:t>间布局，遵循规划补充环评的项</w:t>
      </w:r>
      <w:r>
        <w:rPr>
          <w:rFonts w:ascii="仿宋" w:hAnsi="仿宋" w:eastAsia="仿宋" w:cs="仿宋"/>
          <w:sz w:val="25"/>
          <w:szCs w:val="25"/>
        </w:rPr>
        <w:t xml:space="preserve"> </w:t>
      </w:r>
      <w:r>
        <w:rPr>
          <w:rFonts w:ascii="仿宋" w:hAnsi="仿宋" w:eastAsia="仿宋" w:cs="仿宋"/>
          <w:spacing w:val="10"/>
          <w:sz w:val="25"/>
          <w:szCs w:val="25"/>
        </w:rPr>
        <w:t>目准入要求。下一层次建设项目，应严格遵守</w:t>
      </w:r>
      <w:r>
        <w:rPr>
          <w:rFonts w:ascii="仿宋" w:hAnsi="仿宋" w:eastAsia="仿宋" w:cs="仿宋"/>
          <w:spacing w:val="9"/>
          <w:sz w:val="25"/>
          <w:szCs w:val="25"/>
        </w:rPr>
        <w:t>重庆市生态保护红线以及依法设</w:t>
      </w:r>
      <w:r>
        <w:rPr>
          <w:rFonts w:ascii="仿宋" w:hAnsi="仿宋" w:eastAsia="仿宋" w:cs="仿宋"/>
          <w:sz w:val="25"/>
          <w:szCs w:val="25"/>
        </w:rPr>
        <w:t xml:space="preserve"> </w:t>
      </w:r>
      <w:r>
        <w:rPr>
          <w:rFonts w:ascii="仿宋" w:hAnsi="仿宋" w:eastAsia="仿宋" w:cs="仿宋"/>
          <w:spacing w:val="8"/>
          <w:sz w:val="25"/>
          <w:szCs w:val="25"/>
        </w:rPr>
        <w:t>立的各级各类保护区域相关法律法规规定和要求。</w:t>
      </w:r>
    </w:p>
    <w:p w14:paraId="4FDF99DB">
      <w:pPr>
        <w:spacing w:before="154" w:line="317" w:lineRule="auto"/>
        <w:ind w:left="144" w:right="288" w:firstLine="479"/>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2</w:t>
      </w:r>
      <w:r>
        <w:rPr>
          <w:rFonts w:ascii="仿宋" w:hAnsi="仿宋" w:eastAsia="仿宋" w:cs="仿宋"/>
          <w:spacing w:val="7"/>
          <w:sz w:val="25"/>
          <w:szCs w:val="25"/>
        </w:rPr>
        <w:t>）项目环评以规划环评报告书提出的资源</w:t>
      </w:r>
      <w:r>
        <w:rPr>
          <w:rFonts w:ascii="仿宋" w:hAnsi="仿宋" w:eastAsia="仿宋" w:cs="仿宋"/>
          <w:spacing w:val="6"/>
          <w:sz w:val="25"/>
          <w:szCs w:val="25"/>
        </w:rPr>
        <w:t>承载力、环境影响减缓与防治</w:t>
      </w:r>
      <w:r>
        <w:rPr>
          <w:rFonts w:ascii="仿宋" w:hAnsi="仿宋" w:eastAsia="仿宋" w:cs="仿宋"/>
          <w:sz w:val="25"/>
          <w:szCs w:val="25"/>
        </w:rPr>
        <w:t xml:space="preserve"> </w:t>
      </w:r>
      <w:r>
        <w:rPr>
          <w:rFonts w:ascii="仿宋" w:hAnsi="仿宋" w:eastAsia="仿宋" w:cs="仿宋"/>
          <w:spacing w:val="9"/>
          <w:sz w:val="25"/>
          <w:szCs w:val="25"/>
        </w:rPr>
        <w:t>污染的对策等内容为基础，根据专家评审意见及环境保护管理部门审批意见，</w:t>
      </w:r>
      <w:r>
        <w:rPr>
          <w:rFonts w:ascii="仿宋" w:hAnsi="仿宋" w:eastAsia="仿宋" w:cs="仿宋"/>
          <w:spacing w:val="16"/>
          <w:sz w:val="25"/>
          <w:szCs w:val="25"/>
        </w:rPr>
        <w:t xml:space="preserve"> </w:t>
      </w:r>
      <w:r>
        <w:rPr>
          <w:rFonts w:ascii="仿宋" w:hAnsi="仿宋" w:eastAsia="仿宋" w:cs="仿宋"/>
          <w:spacing w:val="9"/>
          <w:sz w:val="25"/>
          <w:szCs w:val="25"/>
        </w:rPr>
        <w:t>结合项目所在区域环境状况与项目设计情况，重点评价项目建设对区域生态系</w:t>
      </w:r>
      <w:r>
        <w:rPr>
          <w:rFonts w:ascii="仿宋" w:hAnsi="仿宋" w:eastAsia="仿宋" w:cs="仿宋"/>
          <w:spacing w:val="14"/>
          <w:sz w:val="25"/>
          <w:szCs w:val="25"/>
        </w:rPr>
        <w:t xml:space="preserve"> </w:t>
      </w:r>
      <w:r>
        <w:rPr>
          <w:rFonts w:ascii="仿宋" w:hAnsi="仿宋" w:eastAsia="仿宋" w:cs="仿宋"/>
          <w:spacing w:val="9"/>
          <w:sz w:val="25"/>
          <w:szCs w:val="25"/>
        </w:rPr>
        <w:t>统、水环境、土壤环境、环境风险等环境影响的途径、范围和程度，深入论证</w:t>
      </w:r>
      <w:r>
        <w:rPr>
          <w:rFonts w:ascii="仿宋" w:hAnsi="仿宋" w:eastAsia="仿宋" w:cs="仿宋"/>
          <w:spacing w:val="14"/>
          <w:sz w:val="25"/>
          <w:szCs w:val="25"/>
        </w:rPr>
        <w:t xml:space="preserve"> </w:t>
      </w:r>
      <w:r>
        <w:rPr>
          <w:rFonts w:ascii="仿宋" w:hAnsi="仿宋" w:eastAsia="仿宋" w:cs="仿宋"/>
          <w:spacing w:val="8"/>
          <w:sz w:val="25"/>
          <w:szCs w:val="25"/>
        </w:rPr>
        <w:t>生态修复工程、环境保护措施的可行性。</w:t>
      </w:r>
    </w:p>
    <w:p w14:paraId="3F0CEDA8">
      <w:pPr>
        <w:spacing w:before="149" w:line="312" w:lineRule="auto"/>
        <w:ind w:left="138" w:right="291" w:firstLine="484"/>
        <w:rPr>
          <w:rFonts w:ascii="仿宋" w:hAnsi="仿宋" w:eastAsia="仿宋" w:cs="仿宋"/>
          <w:sz w:val="25"/>
          <w:szCs w:val="25"/>
        </w:rPr>
      </w:pPr>
      <w:r>
        <w:rPr>
          <w:rFonts w:ascii="仿宋" w:hAnsi="仿宋" w:eastAsia="仿宋" w:cs="仿宋"/>
          <w:spacing w:val="6"/>
          <w:sz w:val="25"/>
          <w:szCs w:val="25"/>
        </w:rPr>
        <w:t>（</w:t>
      </w:r>
      <w:r>
        <w:rPr>
          <w:rFonts w:ascii="Times New Roman" w:hAnsi="Times New Roman" w:eastAsia="Times New Roman" w:cs="Times New Roman"/>
          <w:spacing w:val="6"/>
          <w:sz w:val="25"/>
          <w:szCs w:val="25"/>
        </w:rPr>
        <w:t>3</w:t>
      </w:r>
      <w:r>
        <w:rPr>
          <w:rFonts w:ascii="仿宋" w:hAnsi="仿宋" w:eastAsia="仿宋" w:cs="仿宋"/>
          <w:spacing w:val="6"/>
          <w:sz w:val="25"/>
          <w:szCs w:val="25"/>
        </w:rPr>
        <w:t>）规划环评只是针对区县矿产资源规划，预测评价了其实施所产生的环</w:t>
      </w:r>
      <w:r>
        <w:rPr>
          <w:rFonts w:ascii="仿宋" w:hAnsi="仿宋" w:eastAsia="仿宋" w:cs="仿宋"/>
          <w:spacing w:val="18"/>
          <w:sz w:val="25"/>
          <w:szCs w:val="25"/>
        </w:rPr>
        <w:t xml:space="preserve"> </w:t>
      </w:r>
      <w:r>
        <w:rPr>
          <w:rFonts w:ascii="仿宋" w:hAnsi="仿宋" w:eastAsia="仿宋" w:cs="仿宋"/>
          <w:spacing w:val="10"/>
          <w:sz w:val="25"/>
          <w:szCs w:val="25"/>
        </w:rPr>
        <w:t>境影响，对具体敏感点产生的影响没有进行</w:t>
      </w:r>
      <w:r>
        <w:rPr>
          <w:rFonts w:ascii="仿宋" w:hAnsi="仿宋" w:eastAsia="仿宋" w:cs="仿宋"/>
          <w:spacing w:val="9"/>
          <w:sz w:val="25"/>
          <w:szCs w:val="25"/>
        </w:rPr>
        <w:t>量化分析。项目环评要强调对项目</w:t>
      </w:r>
      <w:r>
        <w:rPr>
          <w:rFonts w:ascii="仿宋" w:hAnsi="仿宋" w:eastAsia="仿宋" w:cs="仿宋"/>
          <w:sz w:val="25"/>
          <w:szCs w:val="25"/>
        </w:rPr>
        <w:t xml:space="preserve"> </w:t>
      </w:r>
      <w:r>
        <w:rPr>
          <w:rFonts w:ascii="仿宋" w:hAnsi="仿宋" w:eastAsia="仿宋" w:cs="仿宋"/>
          <w:spacing w:val="10"/>
          <w:sz w:val="25"/>
          <w:szCs w:val="25"/>
        </w:rPr>
        <w:t>评价范围内生态环境敏感点的预测评价，提</w:t>
      </w:r>
      <w:r>
        <w:rPr>
          <w:rFonts w:ascii="仿宋" w:hAnsi="仿宋" w:eastAsia="仿宋" w:cs="仿宋"/>
          <w:spacing w:val="9"/>
          <w:sz w:val="25"/>
          <w:szCs w:val="25"/>
        </w:rPr>
        <w:t>出细化的避让和环保措施，并进行</w:t>
      </w:r>
      <w:r>
        <w:rPr>
          <w:rFonts w:ascii="仿宋" w:hAnsi="仿宋" w:eastAsia="仿宋" w:cs="仿宋"/>
          <w:sz w:val="25"/>
          <w:szCs w:val="25"/>
        </w:rPr>
        <w:t xml:space="preserve"> </w:t>
      </w:r>
      <w:r>
        <w:rPr>
          <w:rFonts w:ascii="仿宋" w:hAnsi="仿宋" w:eastAsia="仿宋" w:cs="仿宋"/>
          <w:spacing w:val="7"/>
          <w:sz w:val="25"/>
          <w:szCs w:val="25"/>
        </w:rPr>
        <w:t>经济技术评价和环境效应分析。</w:t>
      </w:r>
    </w:p>
    <w:p w14:paraId="6E8C58F9">
      <w:pPr>
        <w:spacing w:before="152" w:line="284" w:lineRule="auto"/>
        <w:ind w:left="142" w:right="288" w:firstLine="481"/>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4</w:t>
      </w:r>
      <w:r>
        <w:rPr>
          <w:rFonts w:ascii="仿宋" w:hAnsi="仿宋" w:eastAsia="仿宋" w:cs="仿宋"/>
          <w:spacing w:val="7"/>
          <w:sz w:val="25"/>
          <w:szCs w:val="25"/>
        </w:rPr>
        <w:t>）具体建设项目的性质、污染因子等在本</w:t>
      </w:r>
      <w:r>
        <w:rPr>
          <w:rFonts w:ascii="仿宋" w:hAnsi="仿宋" w:eastAsia="仿宋" w:cs="仿宋"/>
          <w:spacing w:val="6"/>
          <w:sz w:val="25"/>
          <w:szCs w:val="25"/>
        </w:rPr>
        <w:t>次评价中未作评价的，其环境</w:t>
      </w:r>
      <w:r>
        <w:rPr>
          <w:rFonts w:ascii="仿宋" w:hAnsi="仿宋" w:eastAsia="仿宋" w:cs="仿宋"/>
          <w:sz w:val="25"/>
          <w:szCs w:val="25"/>
        </w:rPr>
        <w:t xml:space="preserve"> </w:t>
      </w:r>
      <w:r>
        <w:rPr>
          <w:rFonts w:ascii="仿宋" w:hAnsi="仿宋" w:eastAsia="仿宋" w:cs="仿宋"/>
          <w:spacing w:val="7"/>
          <w:sz w:val="25"/>
          <w:szCs w:val="25"/>
        </w:rPr>
        <w:t>影响评价的内容不得简化。</w:t>
      </w:r>
    </w:p>
    <w:p w14:paraId="3A274BD0">
      <w:pPr>
        <w:spacing w:before="162" w:line="221" w:lineRule="auto"/>
        <w:ind w:left="129"/>
        <w:outlineLvl w:val="2"/>
        <w:rPr>
          <w:rFonts w:ascii="仿宋" w:hAnsi="仿宋" w:eastAsia="仿宋" w:cs="仿宋"/>
          <w:sz w:val="24"/>
          <w:szCs w:val="24"/>
        </w:rPr>
      </w:pPr>
      <w:r>
        <w:rPr>
          <w:rFonts w:ascii="Times New Roman" w:hAnsi="Times New Roman" w:eastAsia="Times New Roman" w:cs="Times New Roman"/>
          <w:b/>
          <w:bCs/>
          <w:spacing w:val="-4"/>
          <w:sz w:val="24"/>
          <w:szCs w:val="24"/>
        </w:rPr>
        <w:t>7.3.2</w:t>
      </w:r>
      <w:r>
        <w:rPr>
          <w:rFonts w:ascii="Times New Roman" w:hAnsi="Times New Roman" w:eastAsia="Times New Roman" w:cs="Times New Roman"/>
          <w:b/>
          <w:bCs/>
          <w:spacing w:val="24"/>
          <w:sz w:val="24"/>
          <w:szCs w:val="24"/>
        </w:rPr>
        <w:t xml:space="preserve"> </w:t>
      </w:r>
      <w:r>
        <w:rPr>
          <w:rFonts w:ascii="仿宋" w:hAnsi="仿宋" w:eastAsia="仿宋" w:cs="仿宋"/>
          <w:b/>
          <w:bCs/>
          <w:spacing w:val="-4"/>
          <w:sz w:val="24"/>
          <w:szCs w:val="24"/>
        </w:rPr>
        <w:t>可简化的内容</w:t>
      </w:r>
    </w:p>
    <w:p w14:paraId="18ADFBE3">
      <w:pPr>
        <w:spacing w:line="221" w:lineRule="auto"/>
        <w:rPr>
          <w:rFonts w:ascii="仿宋" w:hAnsi="仿宋" w:eastAsia="仿宋" w:cs="仿宋"/>
          <w:sz w:val="24"/>
          <w:szCs w:val="24"/>
        </w:rPr>
        <w:sectPr>
          <w:footerReference r:id="rId242" w:type="default"/>
          <w:pgSz w:w="11906" w:h="16839"/>
          <w:pgMar w:top="1116" w:right="1184" w:bottom="866" w:left="1464" w:header="683" w:footer="703" w:gutter="0"/>
          <w:cols w:space="720" w:num="1"/>
        </w:sectPr>
      </w:pPr>
    </w:p>
    <w:p w14:paraId="65433CB9">
      <w:pPr>
        <w:pStyle w:val="2"/>
        <w:spacing w:line="386" w:lineRule="auto"/>
      </w:pPr>
    </w:p>
    <w:p w14:paraId="4FADF146">
      <w:pPr>
        <w:spacing w:before="81" w:line="339" w:lineRule="auto"/>
        <w:ind w:left="17" w:right="2" w:firstLine="521"/>
        <w:jc w:val="both"/>
        <w:rPr>
          <w:rFonts w:ascii="仿宋" w:hAnsi="仿宋" w:eastAsia="仿宋" w:cs="仿宋"/>
          <w:sz w:val="25"/>
          <w:szCs w:val="25"/>
        </w:rPr>
      </w:pPr>
      <w:r>
        <w:rPr>
          <w:rFonts w:ascii="仿宋" w:hAnsi="仿宋" w:eastAsia="仿宋" w:cs="仿宋"/>
          <w:spacing w:val="9"/>
          <w:sz w:val="25"/>
          <w:szCs w:val="25"/>
        </w:rPr>
        <w:t>对符合规划环评环境管控要求和生态环境准入清单的矿产资源勘探开发具</w:t>
      </w:r>
      <w:r>
        <w:rPr>
          <w:rFonts w:ascii="仿宋" w:hAnsi="仿宋" w:eastAsia="仿宋" w:cs="仿宋"/>
          <w:spacing w:val="14"/>
          <w:sz w:val="25"/>
          <w:szCs w:val="25"/>
        </w:rPr>
        <w:t xml:space="preserve"> </w:t>
      </w:r>
      <w:r>
        <w:rPr>
          <w:rFonts w:ascii="仿宋" w:hAnsi="仿宋" w:eastAsia="仿宋" w:cs="仿宋"/>
          <w:spacing w:val="9"/>
          <w:sz w:val="25"/>
          <w:szCs w:val="25"/>
        </w:rPr>
        <w:t>体项目，将规划环评结论作为重要依据，其环评文件中选址选线、规模分析内</w:t>
      </w:r>
      <w:r>
        <w:rPr>
          <w:rFonts w:ascii="仿宋" w:hAnsi="仿宋" w:eastAsia="仿宋" w:cs="仿宋"/>
          <w:spacing w:val="18"/>
          <w:sz w:val="25"/>
          <w:szCs w:val="25"/>
        </w:rPr>
        <w:t xml:space="preserve"> </w:t>
      </w:r>
      <w:r>
        <w:rPr>
          <w:rFonts w:ascii="仿宋" w:hAnsi="仿宋" w:eastAsia="仿宋" w:cs="仿宋"/>
          <w:spacing w:val="5"/>
          <w:sz w:val="25"/>
          <w:szCs w:val="25"/>
        </w:rPr>
        <w:t>容可适当简化。</w:t>
      </w:r>
    </w:p>
    <w:p w14:paraId="279669FB">
      <w:pPr>
        <w:spacing w:line="339" w:lineRule="auto"/>
        <w:rPr>
          <w:rFonts w:ascii="仿宋" w:hAnsi="仿宋" w:eastAsia="仿宋" w:cs="仿宋"/>
          <w:sz w:val="25"/>
          <w:szCs w:val="25"/>
        </w:rPr>
        <w:sectPr>
          <w:headerReference r:id="rId243" w:type="default"/>
          <w:footerReference r:id="rId244" w:type="default"/>
          <w:pgSz w:w="11906" w:h="16839"/>
          <w:pgMar w:top="1116" w:right="1474" w:bottom="866" w:left="1587" w:header="683" w:footer="703" w:gutter="0"/>
          <w:cols w:space="720" w:num="1"/>
        </w:sectPr>
      </w:pPr>
    </w:p>
    <w:p w14:paraId="6B4E5C38">
      <w:pPr>
        <w:pStyle w:val="2"/>
        <w:spacing w:line="314" w:lineRule="auto"/>
      </w:pPr>
    </w:p>
    <w:p w14:paraId="2917B81C">
      <w:pPr>
        <w:spacing w:before="101" w:line="229" w:lineRule="auto"/>
        <w:ind w:left="2828"/>
        <w:outlineLvl w:val="0"/>
        <w:rPr>
          <w:rFonts w:ascii="仿宋" w:hAnsi="仿宋" w:eastAsia="仿宋" w:cs="仿宋"/>
          <w:sz w:val="31"/>
          <w:szCs w:val="31"/>
        </w:rPr>
      </w:pPr>
      <w:bookmarkStart w:id="44" w:name="bookmark38"/>
      <w:bookmarkEnd w:id="44"/>
      <w:r>
        <w:rPr>
          <w:rFonts w:ascii="Times New Roman" w:hAnsi="Times New Roman" w:eastAsia="Times New Roman" w:cs="Times New Roman"/>
          <w:b/>
          <w:bCs/>
          <w:spacing w:val="3"/>
          <w:sz w:val="31"/>
          <w:szCs w:val="31"/>
        </w:rPr>
        <w:t>8</w:t>
      </w:r>
      <w:r>
        <w:rPr>
          <w:rFonts w:ascii="Times New Roman" w:hAnsi="Times New Roman" w:eastAsia="Times New Roman" w:cs="Times New Roman"/>
          <w:b/>
          <w:bCs/>
          <w:spacing w:val="18"/>
          <w:sz w:val="31"/>
          <w:szCs w:val="31"/>
        </w:rPr>
        <w:t xml:space="preserve">  </w:t>
      </w:r>
      <w:r>
        <w:rPr>
          <w:rFonts w:ascii="仿宋" w:hAnsi="仿宋" w:eastAsia="仿宋" w:cs="仿宋"/>
          <w:b/>
          <w:bCs/>
          <w:spacing w:val="3"/>
          <w:sz w:val="31"/>
          <w:szCs w:val="31"/>
        </w:rPr>
        <w:t>公众参与和意见处理</w:t>
      </w:r>
    </w:p>
    <w:p w14:paraId="33396785">
      <w:pPr>
        <w:pStyle w:val="2"/>
        <w:spacing w:line="285" w:lineRule="auto"/>
      </w:pPr>
    </w:p>
    <w:p w14:paraId="7B9911D4">
      <w:pPr>
        <w:spacing w:before="81" w:line="339" w:lineRule="auto"/>
        <w:ind w:left="17" w:right="83" w:firstLine="519"/>
        <w:jc w:val="both"/>
        <w:rPr>
          <w:rFonts w:ascii="仿宋" w:hAnsi="仿宋" w:eastAsia="仿宋" w:cs="仿宋"/>
          <w:sz w:val="25"/>
          <w:szCs w:val="25"/>
        </w:rPr>
      </w:pPr>
      <w:r>
        <w:rPr>
          <w:rFonts w:ascii="仿宋" w:hAnsi="仿宋" w:eastAsia="仿宋" w:cs="仿宋"/>
          <w:spacing w:val="9"/>
          <w:sz w:val="25"/>
          <w:szCs w:val="25"/>
        </w:rPr>
        <w:t>为保证评价成果的科学性和公正性，提高评价成果的可靠性和可操作性，</w:t>
      </w:r>
      <w:r>
        <w:rPr>
          <w:rFonts w:ascii="仿宋" w:hAnsi="仿宋" w:eastAsia="仿宋" w:cs="仿宋"/>
          <w:spacing w:val="16"/>
          <w:sz w:val="25"/>
          <w:szCs w:val="25"/>
        </w:rPr>
        <w:t xml:space="preserve"> </w:t>
      </w:r>
      <w:r>
        <w:rPr>
          <w:rFonts w:ascii="仿宋" w:hAnsi="仿宋" w:eastAsia="仿宋" w:cs="仿宋"/>
          <w:spacing w:val="9"/>
          <w:sz w:val="25"/>
          <w:szCs w:val="25"/>
        </w:rPr>
        <w:t>使规划实施所涉及的社会各界利益在规划方案中得到充分体现，促进经济、社</w:t>
      </w:r>
      <w:r>
        <w:rPr>
          <w:rFonts w:ascii="仿宋" w:hAnsi="仿宋" w:eastAsia="仿宋" w:cs="仿宋"/>
          <w:spacing w:val="18"/>
          <w:sz w:val="25"/>
          <w:szCs w:val="25"/>
        </w:rPr>
        <w:t xml:space="preserve"> </w:t>
      </w:r>
      <w:r>
        <w:rPr>
          <w:rFonts w:ascii="仿宋" w:hAnsi="仿宋" w:eastAsia="仿宋" w:cs="仿宋"/>
          <w:spacing w:val="9"/>
          <w:sz w:val="25"/>
          <w:szCs w:val="25"/>
        </w:rPr>
        <w:t>会、环境协调发展，本次规划环评把公众参与作为一个很重要的工作进行。</w:t>
      </w:r>
    </w:p>
    <w:p w14:paraId="10E3E1F9">
      <w:pPr>
        <w:spacing w:before="123" w:line="229" w:lineRule="auto"/>
        <w:ind w:left="8"/>
        <w:outlineLvl w:val="1"/>
        <w:rPr>
          <w:rFonts w:ascii="仿宋" w:hAnsi="仿宋" w:eastAsia="仿宋" w:cs="仿宋"/>
          <w:sz w:val="25"/>
          <w:szCs w:val="25"/>
        </w:rPr>
      </w:pPr>
      <w:bookmarkStart w:id="45" w:name="bookmark39"/>
      <w:bookmarkEnd w:id="45"/>
      <w:r>
        <w:rPr>
          <w:rFonts w:ascii="Times New Roman" w:hAnsi="Times New Roman" w:eastAsia="Times New Roman" w:cs="Times New Roman"/>
          <w:b/>
          <w:bCs/>
          <w:spacing w:val="4"/>
          <w:sz w:val="25"/>
          <w:szCs w:val="25"/>
        </w:rPr>
        <w:t>8.1</w:t>
      </w:r>
      <w:r>
        <w:rPr>
          <w:rFonts w:ascii="Times New Roman" w:hAnsi="Times New Roman" w:eastAsia="Times New Roman" w:cs="Times New Roman"/>
          <w:b/>
          <w:bCs/>
          <w:spacing w:val="31"/>
          <w:sz w:val="25"/>
          <w:szCs w:val="25"/>
        </w:rPr>
        <w:t xml:space="preserve"> </w:t>
      </w:r>
      <w:r>
        <w:rPr>
          <w:rFonts w:ascii="仿宋" w:hAnsi="仿宋" w:eastAsia="仿宋" w:cs="仿宋"/>
          <w:b/>
          <w:bCs/>
          <w:spacing w:val="4"/>
          <w:sz w:val="25"/>
          <w:szCs w:val="25"/>
        </w:rPr>
        <w:t>公众参与方式和内容</w:t>
      </w:r>
    </w:p>
    <w:p w14:paraId="44A14E28">
      <w:pPr>
        <w:spacing w:before="270" w:line="339" w:lineRule="auto"/>
        <w:ind w:left="15" w:firstLine="523"/>
        <w:jc w:val="both"/>
        <w:rPr>
          <w:rFonts w:ascii="仿宋" w:hAnsi="仿宋" w:eastAsia="仿宋" w:cs="仿宋"/>
          <w:sz w:val="25"/>
          <w:szCs w:val="25"/>
        </w:rPr>
      </w:pPr>
      <w:r>
        <w:rPr>
          <w:rFonts w:ascii="仿宋" w:hAnsi="仿宋" w:eastAsia="仿宋" w:cs="仿宋"/>
          <w:spacing w:val="-3"/>
          <w:sz w:val="25"/>
          <w:szCs w:val="25"/>
        </w:rPr>
        <w:t>根据《中华人民共和国环境保护法》、《中华人民共</w:t>
      </w:r>
      <w:r>
        <w:rPr>
          <w:rFonts w:ascii="仿宋" w:hAnsi="仿宋" w:eastAsia="仿宋" w:cs="仿宋"/>
          <w:spacing w:val="-4"/>
          <w:sz w:val="25"/>
          <w:szCs w:val="25"/>
        </w:rPr>
        <w:t>和国环境影响评价法》、</w:t>
      </w:r>
      <w:r>
        <w:rPr>
          <w:rFonts w:ascii="仿宋" w:hAnsi="仿宋" w:eastAsia="仿宋" w:cs="仿宋"/>
          <w:sz w:val="25"/>
          <w:szCs w:val="25"/>
        </w:rPr>
        <w:t xml:space="preserve"> </w:t>
      </w:r>
      <w:r>
        <w:rPr>
          <w:rFonts w:ascii="仿宋" w:hAnsi="仿宋" w:eastAsia="仿宋" w:cs="仿宋"/>
          <w:spacing w:val="10"/>
          <w:sz w:val="25"/>
          <w:szCs w:val="25"/>
        </w:rPr>
        <w:t>《规划环境影响评价条例》及《环境影响评价</w:t>
      </w:r>
      <w:r>
        <w:rPr>
          <w:rFonts w:ascii="仿宋" w:hAnsi="仿宋" w:eastAsia="仿宋" w:cs="仿宋"/>
          <w:spacing w:val="9"/>
          <w:sz w:val="25"/>
          <w:szCs w:val="25"/>
        </w:rPr>
        <w:t>公众参与办法》的有关规定，主</w:t>
      </w:r>
      <w:r>
        <w:rPr>
          <w:rFonts w:ascii="仿宋" w:hAnsi="仿宋" w:eastAsia="仿宋" w:cs="仿宋"/>
          <w:sz w:val="25"/>
          <w:szCs w:val="25"/>
        </w:rPr>
        <w:t xml:space="preserve"> </w:t>
      </w:r>
      <w:r>
        <w:rPr>
          <w:rFonts w:ascii="仿宋" w:hAnsi="仿宋" w:eastAsia="仿宋" w:cs="仿宋"/>
          <w:spacing w:val="10"/>
          <w:sz w:val="25"/>
          <w:szCs w:val="25"/>
        </w:rPr>
        <w:t>要采用网上公示和发函征求部门意见的形式，</w:t>
      </w:r>
      <w:r>
        <w:rPr>
          <w:rFonts w:ascii="仿宋" w:hAnsi="仿宋" w:eastAsia="仿宋" w:cs="仿宋"/>
          <w:spacing w:val="9"/>
          <w:sz w:val="25"/>
          <w:szCs w:val="25"/>
        </w:rPr>
        <w:t>征求社会公众意见和建议，并将</w:t>
      </w:r>
      <w:r>
        <w:rPr>
          <w:rFonts w:ascii="仿宋" w:hAnsi="仿宋" w:eastAsia="仿宋" w:cs="仿宋"/>
          <w:sz w:val="25"/>
          <w:szCs w:val="25"/>
        </w:rPr>
        <w:t xml:space="preserve"> </w:t>
      </w:r>
      <w:r>
        <w:rPr>
          <w:rFonts w:ascii="仿宋" w:hAnsi="仿宋" w:eastAsia="仿宋" w:cs="仿宋"/>
          <w:spacing w:val="8"/>
          <w:sz w:val="25"/>
          <w:szCs w:val="25"/>
        </w:rPr>
        <w:t>结果作为本次评价的重要参考。</w:t>
      </w:r>
    </w:p>
    <w:p w14:paraId="3AD96ED6">
      <w:pPr>
        <w:spacing w:before="3" w:line="228" w:lineRule="auto"/>
        <w:ind w:left="500"/>
        <w:rPr>
          <w:rFonts w:ascii="仿宋" w:hAnsi="仿宋" w:eastAsia="仿宋" w:cs="仿宋"/>
          <w:sz w:val="25"/>
          <w:szCs w:val="25"/>
        </w:rPr>
      </w:pPr>
      <w:r>
        <w:rPr>
          <w:rFonts w:ascii="仿宋" w:hAnsi="仿宋" w:eastAsia="仿宋" w:cs="仿宋"/>
          <w:b/>
          <w:bCs/>
          <w:spacing w:val="5"/>
          <w:sz w:val="25"/>
          <w:szCs w:val="25"/>
        </w:rPr>
        <w:t>（</w:t>
      </w:r>
      <w:r>
        <w:rPr>
          <w:rFonts w:ascii="Times New Roman" w:hAnsi="Times New Roman" w:eastAsia="Times New Roman" w:cs="Times New Roman"/>
          <w:b/>
          <w:bCs/>
          <w:spacing w:val="5"/>
          <w:sz w:val="25"/>
          <w:szCs w:val="25"/>
        </w:rPr>
        <w:t>1</w:t>
      </w:r>
      <w:r>
        <w:rPr>
          <w:rFonts w:ascii="仿宋" w:hAnsi="仿宋" w:eastAsia="仿宋" w:cs="仿宋"/>
          <w:b/>
          <w:bCs/>
          <w:spacing w:val="5"/>
          <w:sz w:val="25"/>
          <w:szCs w:val="25"/>
        </w:rPr>
        <w:t>）第一次信息公示</w:t>
      </w:r>
    </w:p>
    <w:p w14:paraId="48625396">
      <w:pPr>
        <w:spacing w:before="150" w:line="338" w:lineRule="auto"/>
        <w:ind w:left="8" w:right="81" w:firstLine="516"/>
        <w:jc w:val="both"/>
        <w:rPr>
          <w:rFonts w:ascii="仿宋" w:hAnsi="仿宋" w:eastAsia="仿宋" w:cs="仿宋"/>
          <w:sz w:val="25"/>
          <w:szCs w:val="25"/>
        </w:rPr>
      </w:pPr>
      <w:r>
        <w:rPr>
          <w:rFonts w:ascii="Times New Roman" w:hAnsi="Times New Roman" w:eastAsia="Times New Roman" w:cs="Times New Roman"/>
          <w:spacing w:val="3"/>
          <w:sz w:val="25"/>
          <w:szCs w:val="25"/>
        </w:rPr>
        <w:t>2025</w:t>
      </w:r>
      <w:r>
        <w:rPr>
          <w:rFonts w:ascii="Times New Roman" w:hAnsi="Times New Roman" w:eastAsia="Times New Roman" w:cs="Times New Roman"/>
          <w:spacing w:val="33"/>
          <w:sz w:val="25"/>
          <w:szCs w:val="25"/>
        </w:rPr>
        <w:t xml:space="preserve"> </w:t>
      </w:r>
      <w:r>
        <w:rPr>
          <w:rFonts w:ascii="仿宋" w:hAnsi="仿宋" w:eastAsia="仿宋" w:cs="仿宋"/>
          <w:spacing w:val="3"/>
          <w:sz w:val="25"/>
          <w:szCs w:val="25"/>
        </w:rPr>
        <w:t>年</w:t>
      </w:r>
      <w:r>
        <w:rPr>
          <w:rFonts w:ascii="仿宋" w:hAnsi="仿宋" w:eastAsia="仿宋" w:cs="仿宋"/>
          <w:spacing w:val="-51"/>
          <w:sz w:val="25"/>
          <w:szCs w:val="25"/>
        </w:rPr>
        <w:t xml:space="preserve"> </w:t>
      </w:r>
      <w:r>
        <w:rPr>
          <w:rFonts w:ascii="Times New Roman" w:hAnsi="Times New Roman" w:eastAsia="Times New Roman" w:cs="Times New Roman"/>
          <w:spacing w:val="3"/>
          <w:sz w:val="25"/>
          <w:szCs w:val="25"/>
        </w:rPr>
        <w:t>7</w:t>
      </w:r>
      <w:r>
        <w:rPr>
          <w:rFonts w:ascii="Times New Roman" w:hAnsi="Times New Roman" w:eastAsia="Times New Roman" w:cs="Times New Roman"/>
          <w:spacing w:val="32"/>
          <w:sz w:val="25"/>
          <w:szCs w:val="25"/>
        </w:rPr>
        <w:t xml:space="preserve"> </w:t>
      </w:r>
      <w:r>
        <w:rPr>
          <w:rFonts w:ascii="仿宋" w:hAnsi="仿宋" w:eastAsia="仿宋" w:cs="仿宋"/>
          <w:spacing w:val="3"/>
          <w:sz w:val="25"/>
          <w:szCs w:val="25"/>
        </w:rPr>
        <w:t>月</w:t>
      </w:r>
      <w:r>
        <w:rPr>
          <w:rFonts w:ascii="仿宋" w:hAnsi="仿宋" w:eastAsia="仿宋" w:cs="仿宋"/>
          <w:spacing w:val="-54"/>
          <w:sz w:val="25"/>
          <w:szCs w:val="25"/>
        </w:rPr>
        <w:t xml:space="preserve"> </w:t>
      </w:r>
      <w:r>
        <w:rPr>
          <w:rFonts w:ascii="Times New Roman" w:hAnsi="Times New Roman" w:eastAsia="Times New Roman" w:cs="Times New Roman"/>
          <w:spacing w:val="3"/>
          <w:sz w:val="25"/>
          <w:szCs w:val="25"/>
        </w:rPr>
        <w:t xml:space="preserve">4  </w:t>
      </w:r>
      <w:r>
        <w:rPr>
          <w:rFonts w:ascii="仿宋" w:hAnsi="仿宋" w:eastAsia="仿宋" w:cs="仿宋"/>
          <w:spacing w:val="3"/>
          <w:sz w:val="25"/>
          <w:szCs w:val="25"/>
        </w:rPr>
        <w:t>日，重庆市黔江区规划和自然资源局在黔江区人民政府网站</w:t>
      </w:r>
      <w:r>
        <w:rPr>
          <w:rFonts w:ascii="仿宋" w:hAnsi="仿宋" w:eastAsia="仿宋" w:cs="仿宋"/>
          <w:sz w:val="25"/>
          <w:szCs w:val="25"/>
        </w:rPr>
        <w:t xml:space="preserve"> </w:t>
      </w:r>
      <w:r>
        <w:rPr>
          <w:rFonts w:ascii="仿宋" w:hAnsi="仿宋" w:eastAsia="仿宋" w:cs="仿宋"/>
          <w:spacing w:val="15"/>
          <w:sz w:val="25"/>
          <w:szCs w:val="25"/>
        </w:rPr>
        <w:t>（</w:t>
      </w:r>
      <w:r>
        <w:fldChar w:fldCharType="begin"/>
      </w:r>
      <w:r>
        <w:instrText xml:space="preserve"> HYPERLINK "https://www.qianjiang.gov.cn/bmjd/xzfgzbm/qghzrzyj/zwgk_49052/fdzdgknr_49054/gggs_49050/202507/t20250704_14778150.html" </w:instrText>
      </w:r>
      <w:r>
        <w:fldChar w:fldCharType="separate"/>
      </w:r>
      <w:r>
        <w:rPr>
          <w:rFonts w:ascii="Times New Roman" w:hAnsi="Times New Roman" w:eastAsia="Times New Roman" w:cs="Times New Roman"/>
          <w:sz w:val="25"/>
          <w:szCs w:val="25"/>
        </w:rPr>
        <w:t>https</w:t>
      </w:r>
      <w:r>
        <w:rPr>
          <w:rFonts w:ascii="Times New Roman" w:hAnsi="Times New Roman" w:eastAsia="Times New Roman" w:cs="Times New Roman"/>
          <w:spacing w:val="15"/>
          <w:sz w:val="25"/>
          <w:szCs w:val="25"/>
        </w:rPr>
        <w:t>://</w:t>
      </w:r>
      <w:r>
        <w:rPr>
          <w:rFonts w:ascii="Times New Roman" w:hAnsi="Times New Roman" w:eastAsia="Times New Roman" w:cs="Times New Roman"/>
          <w:sz w:val="25"/>
          <w:szCs w:val="25"/>
        </w:rPr>
        <w:t>www</w:t>
      </w:r>
      <w:r>
        <w:rPr>
          <w:rFonts w:ascii="Times New Roman" w:hAnsi="Times New Roman" w:eastAsia="Times New Roman" w:cs="Times New Roman"/>
          <w:spacing w:val="15"/>
          <w:sz w:val="25"/>
          <w:szCs w:val="25"/>
        </w:rPr>
        <w:t>.</w:t>
      </w:r>
      <w:r>
        <w:rPr>
          <w:rFonts w:ascii="Times New Roman" w:hAnsi="Times New Roman" w:eastAsia="Times New Roman" w:cs="Times New Roman"/>
          <w:sz w:val="25"/>
          <w:szCs w:val="25"/>
        </w:rPr>
        <w:t>qianjiang</w:t>
      </w:r>
      <w:r>
        <w:rPr>
          <w:rFonts w:ascii="Times New Roman" w:hAnsi="Times New Roman" w:eastAsia="Times New Roman" w:cs="Times New Roman"/>
          <w:spacing w:val="15"/>
          <w:sz w:val="25"/>
          <w:szCs w:val="25"/>
        </w:rPr>
        <w:t>.</w:t>
      </w:r>
      <w:r>
        <w:rPr>
          <w:rFonts w:ascii="Times New Roman" w:hAnsi="Times New Roman" w:eastAsia="Times New Roman" w:cs="Times New Roman"/>
          <w:sz w:val="25"/>
          <w:szCs w:val="25"/>
        </w:rPr>
        <w:t>gov</w:t>
      </w:r>
      <w:r>
        <w:rPr>
          <w:rFonts w:ascii="Times New Roman" w:hAnsi="Times New Roman" w:eastAsia="Times New Roman" w:cs="Times New Roman"/>
          <w:spacing w:val="15"/>
          <w:sz w:val="25"/>
          <w:szCs w:val="25"/>
        </w:rPr>
        <w:t>.</w:t>
      </w:r>
      <w:r>
        <w:rPr>
          <w:rFonts w:ascii="Times New Roman" w:hAnsi="Times New Roman" w:eastAsia="Times New Roman" w:cs="Times New Roman"/>
          <w:sz w:val="25"/>
          <w:szCs w:val="25"/>
        </w:rPr>
        <w:t>cn</w:t>
      </w:r>
      <w:r>
        <w:rPr>
          <w:rFonts w:ascii="Times New Roman" w:hAnsi="Times New Roman" w:eastAsia="Times New Roman" w:cs="Times New Roman"/>
          <w:spacing w:val="15"/>
          <w:sz w:val="25"/>
          <w:szCs w:val="25"/>
        </w:rPr>
        <w:t>/</w:t>
      </w:r>
      <w:r>
        <w:rPr>
          <w:rFonts w:ascii="Times New Roman" w:hAnsi="Times New Roman" w:eastAsia="Times New Roman" w:cs="Times New Roman"/>
          <w:sz w:val="25"/>
          <w:szCs w:val="25"/>
        </w:rPr>
        <w:t>bmjd</w:t>
      </w:r>
      <w:r>
        <w:rPr>
          <w:rFonts w:ascii="Times New Roman" w:hAnsi="Times New Roman" w:eastAsia="Times New Roman" w:cs="Times New Roman"/>
          <w:spacing w:val="15"/>
          <w:sz w:val="25"/>
          <w:szCs w:val="25"/>
        </w:rPr>
        <w:t>/</w:t>
      </w:r>
      <w:r>
        <w:rPr>
          <w:rFonts w:ascii="Times New Roman" w:hAnsi="Times New Roman" w:eastAsia="Times New Roman" w:cs="Times New Roman"/>
          <w:sz w:val="25"/>
          <w:szCs w:val="25"/>
        </w:rPr>
        <w:t>xzfgzbm</w:t>
      </w:r>
      <w:r>
        <w:rPr>
          <w:rFonts w:ascii="Times New Roman" w:hAnsi="Times New Roman" w:eastAsia="Times New Roman" w:cs="Times New Roman"/>
          <w:spacing w:val="15"/>
          <w:sz w:val="25"/>
          <w:szCs w:val="25"/>
        </w:rPr>
        <w:t>/</w:t>
      </w:r>
      <w:r>
        <w:rPr>
          <w:rFonts w:ascii="Times New Roman" w:hAnsi="Times New Roman" w:eastAsia="Times New Roman" w:cs="Times New Roman"/>
          <w:sz w:val="25"/>
          <w:szCs w:val="25"/>
        </w:rPr>
        <w:t>qghzrzyj</w:t>
      </w:r>
      <w:r>
        <w:rPr>
          <w:rFonts w:ascii="Times New Roman" w:hAnsi="Times New Roman" w:eastAsia="Times New Roman" w:cs="Times New Roman"/>
          <w:spacing w:val="15"/>
          <w:sz w:val="25"/>
          <w:szCs w:val="25"/>
        </w:rPr>
        <w:t>/</w:t>
      </w:r>
      <w:r>
        <w:rPr>
          <w:rFonts w:ascii="Times New Roman" w:hAnsi="Times New Roman" w:eastAsia="Times New Roman" w:cs="Times New Roman"/>
          <w:sz w:val="25"/>
          <w:szCs w:val="25"/>
        </w:rPr>
        <w:t>zwgk</w:t>
      </w:r>
      <w:r>
        <w:rPr>
          <w:rFonts w:ascii="Times New Roman" w:hAnsi="Times New Roman" w:eastAsia="Times New Roman" w:cs="Times New Roman"/>
          <w:spacing w:val="15"/>
          <w:sz w:val="25"/>
          <w:szCs w:val="25"/>
        </w:rPr>
        <w:t>_49052/</w:t>
      </w:r>
      <w:r>
        <w:rPr>
          <w:rFonts w:ascii="Times New Roman" w:hAnsi="Times New Roman" w:eastAsia="Times New Roman" w:cs="Times New Roman"/>
          <w:sz w:val="25"/>
          <w:szCs w:val="25"/>
        </w:rPr>
        <w:t>fdzdgknr</w:t>
      </w:r>
      <w:r>
        <w:rPr>
          <w:rFonts w:ascii="Times New Roman" w:hAnsi="Times New Roman" w:eastAsia="Times New Roman" w:cs="Times New Roman"/>
          <w:spacing w:val="15"/>
          <w:sz w:val="25"/>
          <w:szCs w:val="25"/>
        </w:rPr>
        <w:t>_49</w:t>
      </w:r>
      <w:r>
        <w:rPr>
          <w:rFonts w:ascii="Times New Roman" w:hAnsi="Times New Roman" w:eastAsia="Times New Roman" w:cs="Times New Roman"/>
          <w:spacing w:val="15"/>
          <w:sz w:val="25"/>
          <w:szCs w:val="25"/>
        </w:rPr>
        <w:fldChar w:fldCharType="end"/>
      </w:r>
      <w:r>
        <w:rPr>
          <w:rFonts w:ascii="Times New Roman" w:hAnsi="Times New Roman" w:eastAsia="Times New Roman" w:cs="Times New Roman"/>
          <w:spacing w:val="2"/>
          <w:sz w:val="25"/>
          <w:szCs w:val="25"/>
        </w:rPr>
        <w:t xml:space="preserve">   </w:t>
      </w:r>
      <w:r>
        <w:fldChar w:fldCharType="begin"/>
      </w:r>
      <w:r>
        <w:instrText xml:space="preserve"> HYPERLINK "https://www.qianjiang.gov.cn/bmjd/xzfgzbm/qghzrzyj/zwgk_49052/fdzdgknr_49054/gggs_49050/202507/t20250704_14778150.html" </w:instrText>
      </w:r>
      <w:r>
        <w:fldChar w:fldCharType="separate"/>
      </w:r>
      <w:r>
        <w:rPr>
          <w:rFonts w:ascii="Times New Roman" w:hAnsi="Times New Roman" w:eastAsia="Times New Roman" w:cs="Times New Roman"/>
          <w:spacing w:val="6"/>
          <w:sz w:val="25"/>
          <w:szCs w:val="25"/>
        </w:rPr>
        <w:t>054/</w:t>
      </w:r>
      <w:r>
        <w:rPr>
          <w:rFonts w:ascii="Times New Roman" w:hAnsi="Times New Roman" w:eastAsia="Times New Roman" w:cs="Times New Roman"/>
          <w:sz w:val="25"/>
          <w:szCs w:val="25"/>
        </w:rPr>
        <w:t>gggs</w:t>
      </w:r>
      <w:r>
        <w:rPr>
          <w:rFonts w:ascii="Times New Roman" w:hAnsi="Times New Roman" w:eastAsia="Times New Roman" w:cs="Times New Roman"/>
          <w:spacing w:val="6"/>
          <w:sz w:val="25"/>
          <w:szCs w:val="25"/>
        </w:rPr>
        <w:t>_49050/202507/t20250704_14778150.</w:t>
      </w:r>
      <w:r>
        <w:rPr>
          <w:rFonts w:ascii="Times New Roman" w:hAnsi="Times New Roman" w:eastAsia="Times New Roman" w:cs="Times New Roman"/>
          <w:sz w:val="25"/>
          <w:szCs w:val="25"/>
        </w:rPr>
        <w:t>html</w:t>
      </w:r>
      <w:r>
        <w:rPr>
          <w:rFonts w:ascii="Times New Roman" w:hAnsi="Times New Roman" w:eastAsia="Times New Roman" w:cs="Times New Roman"/>
          <w:sz w:val="25"/>
          <w:szCs w:val="25"/>
        </w:rPr>
        <w:fldChar w:fldCharType="end"/>
      </w:r>
      <w:r>
        <w:rPr>
          <w:rFonts w:ascii="仿宋" w:hAnsi="仿宋" w:eastAsia="仿宋" w:cs="仿宋"/>
          <w:spacing w:val="6"/>
          <w:sz w:val="25"/>
          <w:szCs w:val="25"/>
        </w:rPr>
        <w:t>）上向社会公众公告本次评价</w:t>
      </w:r>
      <w:r>
        <w:rPr>
          <w:rFonts w:ascii="仿宋" w:hAnsi="仿宋" w:eastAsia="仿宋" w:cs="仿宋"/>
          <w:spacing w:val="12"/>
          <w:sz w:val="25"/>
          <w:szCs w:val="25"/>
        </w:rPr>
        <w:t xml:space="preserve"> </w:t>
      </w:r>
      <w:r>
        <w:rPr>
          <w:rFonts w:ascii="仿宋" w:hAnsi="仿宋" w:eastAsia="仿宋" w:cs="仿宋"/>
          <w:spacing w:val="10"/>
          <w:sz w:val="25"/>
          <w:szCs w:val="25"/>
        </w:rPr>
        <w:t>的基本情况（第一次公示）。公示期间，规划单位</w:t>
      </w:r>
      <w:r>
        <w:rPr>
          <w:rFonts w:ascii="仿宋" w:hAnsi="仿宋" w:eastAsia="仿宋" w:cs="仿宋"/>
          <w:spacing w:val="9"/>
          <w:sz w:val="25"/>
          <w:szCs w:val="25"/>
        </w:rPr>
        <w:t>及评价单位均未收到公众就</w:t>
      </w:r>
      <w:r>
        <w:rPr>
          <w:rFonts w:ascii="仿宋" w:hAnsi="仿宋" w:eastAsia="仿宋" w:cs="仿宋"/>
          <w:sz w:val="25"/>
          <w:szCs w:val="25"/>
        </w:rPr>
        <w:t xml:space="preserve"> </w:t>
      </w:r>
      <w:r>
        <w:rPr>
          <w:rFonts w:ascii="仿宋" w:hAnsi="仿宋" w:eastAsia="仿宋" w:cs="仿宋"/>
          <w:spacing w:val="8"/>
          <w:sz w:val="25"/>
          <w:szCs w:val="25"/>
        </w:rPr>
        <w:t>本次环评提出的反馈意见。</w:t>
      </w:r>
    </w:p>
    <w:p w14:paraId="1003065C">
      <w:pPr>
        <w:spacing w:line="338" w:lineRule="auto"/>
        <w:rPr>
          <w:rFonts w:ascii="仿宋" w:hAnsi="仿宋" w:eastAsia="仿宋" w:cs="仿宋"/>
          <w:sz w:val="25"/>
          <w:szCs w:val="25"/>
        </w:rPr>
        <w:sectPr>
          <w:headerReference r:id="rId245" w:type="default"/>
          <w:footerReference r:id="rId246" w:type="default"/>
          <w:pgSz w:w="11906" w:h="16839"/>
          <w:pgMar w:top="1116" w:right="1392" w:bottom="866" w:left="1587" w:header="683" w:footer="703" w:gutter="0"/>
          <w:cols w:space="720" w:num="1"/>
        </w:sectPr>
      </w:pPr>
    </w:p>
    <w:p w14:paraId="2F0CF7E2">
      <w:pPr>
        <w:pStyle w:val="2"/>
        <w:spacing w:line="321" w:lineRule="auto"/>
      </w:pPr>
    </w:p>
    <w:p w14:paraId="1984D690">
      <w:pPr>
        <w:spacing w:line="7774" w:lineRule="exact"/>
      </w:pPr>
      <w:r>
        <w:rPr>
          <w:position w:val="-155"/>
        </w:rPr>
        <w:drawing>
          <wp:inline distT="0" distB="0" distL="0" distR="0">
            <wp:extent cx="5365750" cy="493585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291"/>
                    <a:stretch>
                      <a:fillRect/>
                    </a:stretch>
                  </pic:blipFill>
                  <pic:spPr>
                    <a:xfrm>
                      <a:off x="0" y="0"/>
                      <a:ext cx="5366003" cy="4936235"/>
                    </a:xfrm>
                    <a:prstGeom prst="rect">
                      <a:avLst/>
                    </a:prstGeom>
                  </pic:spPr>
                </pic:pic>
              </a:graphicData>
            </a:graphic>
          </wp:inline>
        </w:drawing>
      </w:r>
    </w:p>
    <w:p w14:paraId="51C60A32">
      <w:pPr>
        <w:spacing w:before="152" w:line="222" w:lineRule="auto"/>
        <w:ind w:left="3129"/>
        <w:rPr>
          <w:rFonts w:ascii="仿宋" w:hAnsi="仿宋" w:eastAsia="仿宋" w:cs="仿宋"/>
          <w:sz w:val="22"/>
          <w:szCs w:val="22"/>
        </w:rPr>
      </w:pPr>
      <w:r>
        <w:rPr>
          <w:rFonts w:ascii="仿宋" w:hAnsi="仿宋" w:eastAsia="仿宋" w:cs="仿宋"/>
          <w:spacing w:val="-6"/>
          <w:sz w:val="22"/>
          <w:szCs w:val="22"/>
        </w:rPr>
        <w:t>图</w:t>
      </w:r>
      <w:r>
        <w:rPr>
          <w:rFonts w:ascii="仿宋" w:hAnsi="仿宋" w:eastAsia="仿宋" w:cs="仿宋"/>
          <w:spacing w:val="-36"/>
          <w:sz w:val="22"/>
          <w:szCs w:val="22"/>
        </w:rPr>
        <w:t xml:space="preserve"> </w:t>
      </w:r>
      <w:r>
        <w:rPr>
          <w:rFonts w:ascii="Times New Roman" w:hAnsi="Times New Roman" w:eastAsia="Times New Roman" w:cs="Times New Roman"/>
          <w:spacing w:val="-6"/>
          <w:sz w:val="22"/>
          <w:szCs w:val="22"/>
        </w:rPr>
        <w:t>8-1</w:t>
      </w:r>
      <w:r>
        <w:rPr>
          <w:rFonts w:ascii="Times New Roman" w:hAnsi="Times New Roman" w:eastAsia="Times New Roman" w:cs="Times New Roman"/>
          <w:spacing w:val="11"/>
          <w:sz w:val="22"/>
          <w:szCs w:val="22"/>
        </w:rPr>
        <w:t xml:space="preserve">  </w:t>
      </w:r>
      <w:r>
        <w:rPr>
          <w:rFonts w:ascii="仿宋" w:hAnsi="仿宋" w:eastAsia="仿宋" w:cs="仿宋"/>
          <w:spacing w:val="-6"/>
          <w:sz w:val="22"/>
          <w:szCs w:val="22"/>
        </w:rPr>
        <w:t>第一次信息网络公示</w:t>
      </w:r>
    </w:p>
    <w:p w14:paraId="0B498ABC">
      <w:pPr>
        <w:spacing w:line="222" w:lineRule="auto"/>
        <w:rPr>
          <w:rFonts w:ascii="仿宋" w:hAnsi="仿宋" w:eastAsia="仿宋" w:cs="仿宋"/>
          <w:sz w:val="22"/>
          <w:szCs w:val="22"/>
        </w:rPr>
        <w:sectPr>
          <w:headerReference r:id="rId247" w:type="default"/>
          <w:footerReference r:id="rId248" w:type="default"/>
          <w:pgSz w:w="11906" w:h="16839"/>
          <w:pgMar w:top="1116" w:right="1474" w:bottom="866" w:left="1586" w:header="683" w:footer="703" w:gutter="0"/>
          <w:cols w:space="720" w:num="1"/>
        </w:sectPr>
      </w:pPr>
    </w:p>
    <w:p w14:paraId="66E61454">
      <w:pPr>
        <w:pStyle w:val="2"/>
        <w:spacing w:line="314" w:lineRule="auto"/>
      </w:pPr>
    </w:p>
    <w:p w14:paraId="43C5C4C8">
      <w:pPr>
        <w:spacing w:before="101" w:line="228" w:lineRule="auto"/>
        <w:ind w:left="3630"/>
        <w:outlineLvl w:val="0"/>
        <w:rPr>
          <w:rFonts w:ascii="仿宋" w:hAnsi="仿宋" w:eastAsia="仿宋" w:cs="仿宋"/>
          <w:sz w:val="31"/>
          <w:szCs w:val="31"/>
        </w:rPr>
      </w:pPr>
      <w:bookmarkStart w:id="46" w:name="bookmark40"/>
      <w:bookmarkEnd w:id="46"/>
      <w:bookmarkStart w:id="47" w:name="bookmark41"/>
      <w:bookmarkEnd w:id="47"/>
      <w:r>
        <w:rPr>
          <w:rFonts w:ascii="Times New Roman" w:hAnsi="Times New Roman" w:eastAsia="Times New Roman" w:cs="Times New Roman"/>
          <w:b/>
          <w:bCs/>
          <w:sz w:val="31"/>
          <w:szCs w:val="31"/>
        </w:rPr>
        <w:t>9</w:t>
      </w:r>
      <w:r>
        <w:rPr>
          <w:rFonts w:ascii="Times New Roman" w:hAnsi="Times New Roman" w:eastAsia="Times New Roman" w:cs="Times New Roman"/>
          <w:b/>
          <w:bCs/>
          <w:spacing w:val="14"/>
          <w:sz w:val="31"/>
          <w:szCs w:val="31"/>
        </w:rPr>
        <w:t xml:space="preserve">  </w:t>
      </w:r>
      <w:r>
        <w:rPr>
          <w:rFonts w:ascii="仿宋" w:hAnsi="仿宋" w:eastAsia="仿宋" w:cs="仿宋"/>
          <w:b/>
          <w:bCs/>
          <w:sz w:val="31"/>
          <w:szCs w:val="31"/>
        </w:rPr>
        <w:t>评价结论</w:t>
      </w:r>
    </w:p>
    <w:p w14:paraId="47416A04">
      <w:pPr>
        <w:spacing w:before="262" w:line="229" w:lineRule="auto"/>
        <w:ind w:left="7"/>
        <w:outlineLvl w:val="1"/>
        <w:rPr>
          <w:rFonts w:ascii="仿宋" w:hAnsi="仿宋" w:eastAsia="仿宋" w:cs="仿宋"/>
          <w:sz w:val="25"/>
          <w:szCs w:val="25"/>
        </w:rPr>
      </w:pPr>
      <w:bookmarkStart w:id="48" w:name="bookmark58"/>
      <w:bookmarkEnd w:id="48"/>
      <w:r>
        <w:rPr>
          <w:rFonts w:ascii="Times New Roman" w:hAnsi="Times New Roman" w:eastAsia="Times New Roman" w:cs="Times New Roman"/>
          <w:b/>
          <w:bCs/>
          <w:spacing w:val="5"/>
          <w:sz w:val="25"/>
          <w:szCs w:val="25"/>
        </w:rPr>
        <w:t xml:space="preserve">9.1  </w:t>
      </w:r>
      <w:r>
        <w:rPr>
          <w:rFonts w:ascii="仿宋" w:hAnsi="仿宋" w:eastAsia="仿宋" w:cs="仿宋"/>
          <w:b/>
          <w:bCs/>
          <w:spacing w:val="5"/>
          <w:sz w:val="25"/>
          <w:szCs w:val="25"/>
        </w:rPr>
        <w:t>规划调整内容概述</w:t>
      </w:r>
    </w:p>
    <w:p w14:paraId="203ED82E">
      <w:pPr>
        <w:spacing w:before="248" w:line="340" w:lineRule="auto"/>
        <w:ind w:left="15" w:right="107" w:firstLine="520"/>
        <w:jc w:val="both"/>
        <w:rPr>
          <w:rFonts w:ascii="仿宋" w:hAnsi="仿宋" w:eastAsia="仿宋" w:cs="仿宋"/>
          <w:sz w:val="25"/>
          <w:szCs w:val="25"/>
        </w:rPr>
      </w:pPr>
      <w:r>
        <w:rPr>
          <w:rFonts w:ascii="仿宋" w:hAnsi="仿宋" w:eastAsia="仿宋" w:cs="仿宋"/>
          <w:spacing w:val="2"/>
          <w:sz w:val="25"/>
          <w:szCs w:val="25"/>
        </w:rPr>
        <w:t>《重庆市黔江区矿产资源总体规划（</w:t>
      </w:r>
      <w:r>
        <w:rPr>
          <w:rFonts w:ascii="Times New Roman" w:hAnsi="Times New Roman" w:eastAsia="Times New Roman" w:cs="Times New Roman"/>
          <w:spacing w:val="2"/>
          <w:sz w:val="25"/>
          <w:szCs w:val="25"/>
        </w:rPr>
        <w:t>2021-202</w:t>
      </w:r>
      <w:r>
        <w:rPr>
          <w:rFonts w:ascii="Times New Roman" w:hAnsi="Times New Roman" w:eastAsia="Times New Roman" w:cs="Times New Roman"/>
          <w:spacing w:val="1"/>
          <w:sz w:val="25"/>
          <w:szCs w:val="25"/>
        </w:rPr>
        <w:t>5</w:t>
      </w:r>
      <w:r>
        <w:rPr>
          <w:rFonts w:ascii="Times New Roman" w:hAnsi="Times New Roman" w:eastAsia="Times New Roman" w:cs="Times New Roman"/>
          <w:spacing w:val="27"/>
          <w:sz w:val="25"/>
          <w:szCs w:val="25"/>
        </w:rPr>
        <w:t xml:space="preserve"> </w:t>
      </w:r>
      <w:r>
        <w:rPr>
          <w:rFonts w:ascii="仿宋" w:hAnsi="仿宋" w:eastAsia="仿宋" w:cs="仿宋"/>
          <w:spacing w:val="1"/>
          <w:sz w:val="25"/>
          <w:szCs w:val="25"/>
        </w:rPr>
        <w:t>年）调整论证方案》以</w:t>
      </w:r>
      <w:r>
        <w:rPr>
          <w:rFonts w:ascii="仿宋" w:hAnsi="仿宋" w:eastAsia="仿宋" w:cs="仿宋"/>
          <w:spacing w:val="-55"/>
          <w:sz w:val="25"/>
          <w:szCs w:val="25"/>
        </w:rPr>
        <w:t xml:space="preserve"> </w:t>
      </w:r>
      <w:r>
        <w:rPr>
          <w:rFonts w:ascii="Times New Roman" w:hAnsi="Times New Roman" w:eastAsia="Times New Roman" w:cs="Times New Roman"/>
          <w:spacing w:val="1"/>
          <w:sz w:val="25"/>
          <w:szCs w:val="25"/>
        </w:rPr>
        <w:t>2024</w:t>
      </w:r>
      <w:r>
        <w:rPr>
          <w:rFonts w:ascii="Times New Roman" w:hAnsi="Times New Roman" w:eastAsia="Times New Roman" w:cs="Times New Roman"/>
          <w:sz w:val="25"/>
          <w:szCs w:val="25"/>
        </w:rPr>
        <w:t xml:space="preserve"> </w:t>
      </w:r>
      <w:r>
        <w:rPr>
          <w:rFonts w:ascii="仿宋" w:hAnsi="仿宋" w:eastAsia="仿宋" w:cs="仿宋"/>
          <w:spacing w:val="5"/>
          <w:sz w:val="25"/>
          <w:szCs w:val="25"/>
        </w:rPr>
        <w:t>年为基期，以</w:t>
      </w:r>
      <w:r>
        <w:rPr>
          <w:rFonts w:ascii="仿宋" w:hAnsi="仿宋" w:eastAsia="仿宋" w:cs="仿宋"/>
          <w:spacing w:val="-55"/>
          <w:sz w:val="25"/>
          <w:szCs w:val="25"/>
        </w:rPr>
        <w:t xml:space="preserve"> </w:t>
      </w:r>
      <w:r>
        <w:rPr>
          <w:rFonts w:ascii="Times New Roman" w:hAnsi="Times New Roman" w:eastAsia="Times New Roman" w:cs="Times New Roman"/>
          <w:spacing w:val="5"/>
          <w:sz w:val="25"/>
          <w:szCs w:val="25"/>
        </w:rPr>
        <w:t>2025</w:t>
      </w:r>
      <w:r>
        <w:rPr>
          <w:rFonts w:ascii="Times New Roman" w:hAnsi="Times New Roman" w:eastAsia="Times New Roman" w:cs="Times New Roman"/>
          <w:spacing w:val="27"/>
          <w:w w:val="101"/>
          <w:sz w:val="25"/>
          <w:szCs w:val="25"/>
        </w:rPr>
        <w:t xml:space="preserve"> </w:t>
      </w:r>
      <w:r>
        <w:rPr>
          <w:rFonts w:ascii="仿宋" w:hAnsi="仿宋" w:eastAsia="仿宋" w:cs="仿宋"/>
          <w:spacing w:val="5"/>
          <w:sz w:val="25"/>
          <w:szCs w:val="25"/>
        </w:rPr>
        <w:t>年为目标年。本次规划调整</w:t>
      </w:r>
      <w:r>
        <w:rPr>
          <w:rFonts w:ascii="仿宋" w:hAnsi="仿宋" w:eastAsia="仿宋" w:cs="仿宋"/>
          <w:spacing w:val="4"/>
          <w:sz w:val="25"/>
          <w:szCs w:val="25"/>
        </w:rPr>
        <w:t>无新增、优化能源资源基地、国</w:t>
      </w:r>
      <w:r>
        <w:rPr>
          <w:rFonts w:ascii="仿宋" w:hAnsi="仿宋" w:eastAsia="仿宋" w:cs="仿宋"/>
          <w:sz w:val="25"/>
          <w:szCs w:val="25"/>
        </w:rPr>
        <w:t xml:space="preserve"> </w:t>
      </w:r>
      <w:r>
        <w:rPr>
          <w:rFonts w:ascii="仿宋" w:hAnsi="仿宋" w:eastAsia="仿宋" w:cs="仿宋"/>
          <w:spacing w:val="10"/>
          <w:sz w:val="25"/>
          <w:szCs w:val="25"/>
        </w:rPr>
        <w:t>家规划矿区、战略性矿产资源保护区、重点勘</w:t>
      </w:r>
      <w:r>
        <w:rPr>
          <w:rFonts w:ascii="仿宋" w:hAnsi="仿宋" w:eastAsia="仿宋" w:cs="仿宋"/>
          <w:spacing w:val="9"/>
          <w:sz w:val="25"/>
          <w:szCs w:val="25"/>
        </w:rPr>
        <w:t>查区、重点开采区、集中开采区</w:t>
      </w:r>
      <w:r>
        <w:rPr>
          <w:rFonts w:ascii="仿宋" w:hAnsi="仿宋" w:eastAsia="仿宋" w:cs="仿宋"/>
          <w:sz w:val="25"/>
          <w:szCs w:val="25"/>
        </w:rPr>
        <w:t xml:space="preserve"> </w:t>
      </w:r>
      <w:r>
        <w:rPr>
          <w:rFonts w:ascii="仿宋" w:hAnsi="仿宋" w:eastAsia="仿宋" w:cs="仿宋"/>
          <w:spacing w:val="10"/>
          <w:sz w:val="25"/>
          <w:szCs w:val="25"/>
        </w:rPr>
        <w:t>及预期性、约束性指标等规划内容的调整，仅</w:t>
      </w:r>
      <w:r>
        <w:rPr>
          <w:rFonts w:ascii="仿宋" w:hAnsi="仿宋" w:eastAsia="仿宋" w:cs="仿宋"/>
          <w:spacing w:val="9"/>
          <w:sz w:val="25"/>
          <w:szCs w:val="25"/>
        </w:rPr>
        <w:t>涉及规划区块内容的调整。本次</w:t>
      </w:r>
      <w:r>
        <w:rPr>
          <w:rFonts w:ascii="仿宋" w:hAnsi="仿宋" w:eastAsia="仿宋" w:cs="仿宋"/>
          <w:sz w:val="25"/>
          <w:szCs w:val="25"/>
        </w:rPr>
        <w:t xml:space="preserve"> </w:t>
      </w:r>
      <w:r>
        <w:rPr>
          <w:rFonts w:ascii="仿宋" w:hAnsi="仿宋" w:eastAsia="仿宋" w:cs="仿宋"/>
          <w:spacing w:val="5"/>
          <w:sz w:val="25"/>
          <w:szCs w:val="25"/>
        </w:rPr>
        <w:t>新增</w:t>
      </w:r>
      <w:r>
        <w:rPr>
          <w:rFonts w:ascii="仿宋" w:hAnsi="仿宋" w:eastAsia="仿宋" w:cs="仿宋"/>
          <w:spacing w:val="-28"/>
          <w:sz w:val="25"/>
          <w:szCs w:val="25"/>
        </w:rPr>
        <w:t xml:space="preserve"> </w:t>
      </w:r>
      <w:r>
        <w:rPr>
          <w:rFonts w:ascii="Times New Roman" w:hAnsi="Times New Roman" w:eastAsia="Times New Roman" w:cs="Times New Roman"/>
          <w:spacing w:val="5"/>
          <w:sz w:val="25"/>
          <w:szCs w:val="25"/>
        </w:rPr>
        <w:t>1</w:t>
      </w:r>
      <w:r>
        <w:rPr>
          <w:rFonts w:ascii="Times New Roman" w:hAnsi="Times New Roman" w:eastAsia="Times New Roman" w:cs="Times New Roman"/>
          <w:spacing w:val="21"/>
          <w:sz w:val="25"/>
          <w:szCs w:val="25"/>
        </w:rPr>
        <w:t xml:space="preserve"> </w:t>
      </w:r>
      <w:r>
        <w:rPr>
          <w:rFonts w:ascii="仿宋" w:hAnsi="仿宋" w:eastAsia="仿宋" w:cs="仿宋"/>
          <w:spacing w:val="5"/>
          <w:sz w:val="25"/>
          <w:szCs w:val="25"/>
        </w:rPr>
        <w:t>个勘查规划区块，调整</w:t>
      </w:r>
      <w:r>
        <w:rPr>
          <w:rFonts w:ascii="仿宋" w:hAnsi="仿宋" w:eastAsia="仿宋" w:cs="仿宋"/>
          <w:spacing w:val="-30"/>
          <w:sz w:val="25"/>
          <w:szCs w:val="25"/>
        </w:rPr>
        <w:t xml:space="preserve"> </w:t>
      </w:r>
      <w:r>
        <w:rPr>
          <w:rFonts w:ascii="Times New Roman" w:hAnsi="Times New Roman" w:eastAsia="Times New Roman" w:cs="Times New Roman"/>
          <w:spacing w:val="5"/>
          <w:sz w:val="25"/>
          <w:szCs w:val="25"/>
        </w:rPr>
        <w:t>1</w:t>
      </w:r>
      <w:r>
        <w:rPr>
          <w:rFonts w:ascii="Times New Roman" w:hAnsi="Times New Roman" w:eastAsia="Times New Roman" w:cs="Times New Roman"/>
          <w:spacing w:val="23"/>
          <w:w w:val="101"/>
          <w:sz w:val="25"/>
          <w:szCs w:val="25"/>
        </w:rPr>
        <w:t xml:space="preserve"> </w:t>
      </w:r>
      <w:r>
        <w:rPr>
          <w:rFonts w:ascii="仿宋" w:hAnsi="仿宋" w:eastAsia="仿宋" w:cs="仿宋"/>
          <w:spacing w:val="5"/>
          <w:sz w:val="25"/>
          <w:szCs w:val="25"/>
        </w:rPr>
        <w:t>个勘查规划区块，取</w:t>
      </w:r>
      <w:r>
        <w:rPr>
          <w:rFonts w:ascii="仿宋" w:hAnsi="仿宋" w:eastAsia="仿宋" w:cs="仿宋"/>
          <w:spacing w:val="4"/>
          <w:sz w:val="25"/>
          <w:szCs w:val="25"/>
        </w:rPr>
        <w:t>消</w:t>
      </w:r>
      <w:r>
        <w:rPr>
          <w:rFonts w:ascii="仿宋" w:hAnsi="仿宋" w:eastAsia="仿宋" w:cs="仿宋"/>
          <w:spacing w:val="-28"/>
          <w:sz w:val="25"/>
          <w:szCs w:val="25"/>
        </w:rPr>
        <w:t xml:space="preserve"> </w:t>
      </w:r>
      <w:r>
        <w:rPr>
          <w:rFonts w:ascii="Times New Roman" w:hAnsi="Times New Roman" w:eastAsia="Times New Roman" w:cs="Times New Roman"/>
          <w:spacing w:val="4"/>
          <w:sz w:val="25"/>
          <w:szCs w:val="25"/>
        </w:rPr>
        <w:t>1</w:t>
      </w:r>
      <w:r>
        <w:rPr>
          <w:rFonts w:ascii="Times New Roman" w:hAnsi="Times New Roman" w:eastAsia="Times New Roman" w:cs="Times New Roman"/>
          <w:spacing w:val="21"/>
          <w:sz w:val="25"/>
          <w:szCs w:val="25"/>
        </w:rPr>
        <w:t xml:space="preserve"> </w:t>
      </w:r>
      <w:r>
        <w:rPr>
          <w:rFonts w:ascii="仿宋" w:hAnsi="仿宋" w:eastAsia="仿宋" w:cs="仿宋"/>
          <w:spacing w:val="4"/>
          <w:sz w:val="25"/>
          <w:szCs w:val="25"/>
        </w:rPr>
        <w:t>个地下开采区块。调</w:t>
      </w:r>
      <w:r>
        <w:rPr>
          <w:rFonts w:ascii="仿宋" w:hAnsi="仿宋" w:eastAsia="仿宋" w:cs="仿宋"/>
          <w:sz w:val="25"/>
          <w:szCs w:val="25"/>
        </w:rPr>
        <w:t xml:space="preserve"> </w:t>
      </w:r>
      <w:r>
        <w:rPr>
          <w:rFonts w:ascii="仿宋" w:hAnsi="仿宋" w:eastAsia="仿宋" w:cs="仿宋"/>
          <w:spacing w:val="8"/>
          <w:sz w:val="25"/>
          <w:szCs w:val="25"/>
        </w:rPr>
        <w:t>整后全区共设置</w:t>
      </w:r>
      <w:r>
        <w:rPr>
          <w:rFonts w:ascii="仿宋" w:hAnsi="仿宋" w:eastAsia="仿宋" w:cs="仿宋"/>
          <w:spacing w:val="-48"/>
          <w:sz w:val="25"/>
          <w:szCs w:val="25"/>
        </w:rPr>
        <w:t xml:space="preserve"> </w:t>
      </w:r>
      <w:r>
        <w:rPr>
          <w:rFonts w:ascii="Times New Roman" w:hAnsi="Times New Roman" w:eastAsia="Times New Roman" w:cs="Times New Roman"/>
          <w:spacing w:val="8"/>
          <w:sz w:val="25"/>
          <w:szCs w:val="25"/>
        </w:rPr>
        <w:t>9</w:t>
      </w:r>
      <w:r>
        <w:rPr>
          <w:rFonts w:ascii="Times New Roman" w:hAnsi="Times New Roman" w:eastAsia="Times New Roman" w:cs="Times New Roman"/>
          <w:spacing w:val="23"/>
          <w:w w:val="101"/>
          <w:sz w:val="25"/>
          <w:szCs w:val="25"/>
        </w:rPr>
        <w:t xml:space="preserve"> </w:t>
      </w:r>
      <w:r>
        <w:rPr>
          <w:rFonts w:ascii="仿宋" w:hAnsi="仿宋" w:eastAsia="仿宋" w:cs="仿宋"/>
          <w:spacing w:val="8"/>
          <w:sz w:val="25"/>
          <w:szCs w:val="25"/>
        </w:rPr>
        <w:t>个勘查规划区块，</w:t>
      </w:r>
      <w:r>
        <w:rPr>
          <w:rFonts w:ascii="Times New Roman" w:hAnsi="Times New Roman" w:eastAsia="Times New Roman" w:cs="Times New Roman"/>
          <w:spacing w:val="8"/>
          <w:sz w:val="25"/>
          <w:szCs w:val="25"/>
        </w:rPr>
        <w:t>31</w:t>
      </w:r>
      <w:r>
        <w:rPr>
          <w:rFonts w:ascii="Times New Roman" w:hAnsi="Times New Roman" w:eastAsia="Times New Roman" w:cs="Times New Roman"/>
          <w:spacing w:val="22"/>
          <w:w w:val="101"/>
          <w:sz w:val="25"/>
          <w:szCs w:val="25"/>
        </w:rPr>
        <w:t xml:space="preserve"> </w:t>
      </w:r>
      <w:r>
        <w:rPr>
          <w:rFonts w:ascii="仿宋" w:hAnsi="仿宋" w:eastAsia="仿宋" w:cs="仿宋"/>
          <w:spacing w:val="8"/>
          <w:sz w:val="25"/>
          <w:szCs w:val="25"/>
        </w:rPr>
        <w:t>个开采规划区块。到</w:t>
      </w:r>
      <w:r>
        <w:rPr>
          <w:rFonts w:ascii="仿宋" w:hAnsi="仿宋" w:eastAsia="仿宋" w:cs="仿宋"/>
          <w:spacing w:val="-52"/>
          <w:sz w:val="25"/>
          <w:szCs w:val="25"/>
        </w:rPr>
        <w:t xml:space="preserve"> </w:t>
      </w:r>
      <w:r>
        <w:rPr>
          <w:rFonts w:ascii="Times New Roman" w:hAnsi="Times New Roman" w:eastAsia="Times New Roman" w:cs="Times New Roman"/>
          <w:spacing w:val="8"/>
          <w:sz w:val="25"/>
          <w:szCs w:val="25"/>
        </w:rPr>
        <w:t>2025</w:t>
      </w:r>
      <w:r>
        <w:rPr>
          <w:rFonts w:ascii="Times New Roman" w:hAnsi="Times New Roman" w:eastAsia="Times New Roman" w:cs="Times New Roman"/>
          <w:spacing w:val="29"/>
          <w:w w:val="101"/>
          <w:sz w:val="25"/>
          <w:szCs w:val="25"/>
        </w:rPr>
        <w:t xml:space="preserve"> </w:t>
      </w:r>
      <w:r>
        <w:rPr>
          <w:rFonts w:ascii="仿宋" w:hAnsi="仿宋" w:eastAsia="仿宋" w:cs="仿宋"/>
          <w:spacing w:val="8"/>
          <w:sz w:val="25"/>
          <w:szCs w:val="25"/>
        </w:rPr>
        <w:t>年，矿山数</w:t>
      </w:r>
      <w:r>
        <w:rPr>
          <w:rFonts w:ascii="仿宋" w:hAnsi="仿宋" w:eastAsia="仿宋" w:cs="仿宋"/>
          <w:sz w:val="25"/>
          <w:szCs w:val="25"/>
        </w:rPr>
        <w:t xml:space="preserve"> </w:t>
      </w:r>
      <w:r>
        <w:rPr>
          <w:rFonts w:ascii="仿宋" w:hAnsi="仿宋" w:eastAsia="仿宋" w:cs="仿宋"/>
          <w:spacing w:val="6"/>
          <w:sz w:val="25"/>
          <w:szCs w:val="25"/>
        </w:rPr>
        <w:t>量控制在</w:t>
      </w:r>
      <w:r>
        <w:rPr>
          <w:rFonts w:ascii="仿宋" w:hAnsi="仿宋" w:eastAsia="仿宋" w:cs="仿宋"/>
          <w:spacing w:val="-52"/>
          <w:sz w:val="25"/>
          <w:szCs w:val="25"/>
        </w:rPr>
        <w:t xml:space="preserve"> </w:t>
      </w:r>
      <w:r>
        <w:rPr>
          <w:rFonts w:ascii="Times New Roman" w:hAnsi="Times New Roman" w:eastAsia="Times New Roman" w:cs="Times New Roman"/>
          <w:spacing w:val="6"/>
          <w:sz w:val="25"/>
          <w:szCs w:val="25"/>
        </w:rPr>
        <w:t>28</w:t>
      </w:r>
      <w:r>
        <w:rPr>
          <w:rFonts w:ascii="Times New Roman" w:hAnsi="Times New Roman" w:eastAsia="Times New Roman" w:cs="Times New Roman"/>
          <w:spacing w:val="20"/>
          <w:w w:val="101"/>
          <w:sz w:val="25"/>
          <w:szCs w:val="25"/>
        </w:rPr>
        <w:t xml:space="preserve"> </w:t>
      </w:r>
      <w:r>
        <w:rPr>
          <w:rFonts w:ascii="仿宋" w:hAnsi="仿宋" w:eastAsia="仿宋" w:cs="仿宋"/>
          <w:spacing w:val="6"/>
          <w:sz w:val="25"/>
          <w:szCs w:val="25"/>
        </w:rPr>
        <w:t>个以内，建筑石料用灰岩总产能不超过</w:t>
      </w:r>
      <w:r>
        <w:rPr>
          <w:rFonts w:ascii="Times New Roman" w:hAnsi="Times New Roman" w:eastAsia="Times New Roman" w:cs="Times New Roman"/>
          <w:spacing w:val="6"/>
          <w:sz w:val="25"/>
          <w:szCs w:val="25"/>
        </w:rPr>
        <w:t>700</w:t>
      </w:r>
      <w:r>
        <w:rPr>
          <w:rFonts w:ascii="Times New Roman" w:hAnsi="Times New Roman" w:eastAsia="Times New Roman" w:cs="Times New Roman"/>
          <w:spacing w:val="21"/>
          <w:w w:val="101"/>
          <w:sz w:val="25"/>
          <w:szCs w:val="25"/>
        </w:rPr>
        <w:t xml:space="preserve"> </w:t>
      </w:r>
      <w:r>
        <w:rPr>
          <w:rFonts w:ascii="仿宋" w:hAnsi="仿宋" w:eastAsia="仿宋" w:cs="仿宋"/>
          <w:spacing w:val="6"/>
          <w:sz w:val="25"/>
          <w:szCs w:val="25"/>
        </w:rPr>
        <w:t>万吨，水泥</w:t>
      </w:r>
      <w:r>
        <w:rPr>
          <w:rFonts w:ascii="仿宋" w:hAnsi="仿宋" w:eastAsia="仿宋" w:cs="仿宋"/>
          <w:spacing w:val="5"/>
          <w:sz w:val="25"/>
          <w:szCs w:val="25"/>
        </w:rPr>
        <w:t>用灰岩总产</w:t>
      </w:r>
      <w:r>
        <w:rPr>
          <w:rFonts w:ascii="仿宋" w:hAnsi="仿宋" w:eastAsia="仿宋" w:cs="仿宋"/>
          <w:sz w:val="25"/>
          <w:szCs w:val="25"/>
        </w:rPr>
        <w:t xml:space="preserve"> </w:t>
      </w:r>
      <w:r>
        <w:rPr>
          <w:rFonts w:ascii="仿宋" w:hAnsi="仿宋" w:eastAsia="仿宋" w:cs="仿宋"/>
          <w:spacing w:val="11"/>
          <w:sz w:val="25"/>
          <w:szCs w:val="25"/>
        </w:rPr>
        <w:t>能不超过</w:t>
      </w:r>
      <w:r>
        <w:rPr>
          <w:rFonts w:ascii="Times New Roman" w:hAnsi="Times New Roman" w:eastAsia="Times New Roman" w:cs="Times New Roman"/>
          <w:spacing w:val="11"/>
          <w:sz w:val="25"/>
          <w:szCs w:val="25"/>
        </w:rPr>
        <w:t>350</w:t>
      </w:r>
      <w:r>
        <w:rPr>
          <w:rFonts w:ascii="Times New Roman" w:hAnsi="Times New Roman" w:eastAsia="Times New Roman" w:cs="Times New Roman"/>
          <w:spacing w:val="34"/>
          <w:w w:val="101"/>
          <w:sz w:val="25"/>
          <w:szCs w:val="25"/>
        </w:rPr>
        <w:t xml:space="preserve"> </w:t>
      </w:r>
      <w:r>
        <w:rPr>
          <w:rFonts w:ascii="仿宋" w:hAnsi="仿宋" w:eastAsia="仿宋" w:cs="仿宋"/>
          <w:spacing w:val="11"/>
          <w:sz w:val="25"/>
          <w:szCs w:val="25"/>
        </w:rPr>
        <w:t>万吨，大中型矿山比例达到</w:t>
      </w:r>
      <w:r>
        <w:rPr>
          <w:rFonts w:ascii="Times New Roman" w:hAnsi="Times New Roman" w:eastAsia="Times New Roman" w:cs="Times New Roman"/>
          <w:spacing w:val="11"/>
          <w:sz w:val="25"/>
          <w:szCs w:val="25"/>
        </w:rPr>
        <w:t>60%</w:t>
      </w:r>
      <w:r>
        <w:rPr>
          <w:rFonts w:ascii="仿宋" w:hAnsi="仿宋" w:eastAsia="仿宋" w:cs="仿宋"/>
          <w:spacing w:val="11"/>
          <w:sz w:val="25"/>
          <w:szCs w:val="25"/>
        </w:rPr>
        <w:t>以上，符合技术要求及市级规划</w:t>
      </w:r>
      <w:r>
        <w:rPr>
          <w:rFonts w:ascii="仿宋" w:hAnsi="仿宋" w:eastAsia="仿宋" w:cs="仿宋"/>
          <w:sz w:val="25"/>
          <w:szCs w:val="25"/>
        </w:rPr>
        <w:t xml:space="preserve"> </w:t>
      </w:r>
      <w:r>
        <w:rPr>
          <w:rFonts w:ascii="仿宋" w:hAnsi="仿宋" w:eastAsia="仿宋" w:cs="仿宋"/>
          <w:spacing w:val="8"/>
          <w:sz w:val="25"/>
          <w:szCs w:val="25"/>
        </w:rPr>
        <w:t>要求。未调整部分按原规划进行实施。</w:t>
      </w:r>
    </w:p>
    <w:p w14:paraId="759ADE28">
      <w:pPr>
        <w:spacing w:before="16" w:line="229" w:lineRule="auto"/>
        <w:ind w:left="7"/>
        <w:outlineLvl w:val="1"/>
        <w:rPr>
          <w:rFonts w:ascii="仿宋" w:hAnsi="仿宋" w:eastAsia="仿宋" w:cs="仿宋"/>
          <w:sz w:val="25"/>
          <w:szCs w:val="25"/>
        </w:rPr>
      </w:pPr>
      <w:bookmarkStart w:id="49" w:name="bookmark42"/>
      <w:bookmarkEnd w:id="49"/>
      <w:r>
        <w:rPr>
          <w:rFonts w:ascii="Times New Roman" w:hAnsi="Times New Roman" w:eastAsia="Times New Roman" w:cs="Times New Roman"/>
          <w:b/>
          <w:bCs/>
          <w:spacing w:val="5"/>
          <w:sz w:val="25"/>
          <w:szCs w:val="25"/>
        </w:rPr>
        <w:t xml:space="preserve">9.2  </w:t>
      </w:r>
      <w:r>
        <w:rPr>
          <w:rFonts w:ascii="仿宋" w:hAnsi="仿宋" w:eastAsia="仿宋" w:cs="仿宋"/>
          <w:b/>
          <w:bCs/>
          <w:spacing w:val="5"/>
          <w:sz w:val="25"/>
          <w:szCs w:val="25"/>
        </w:rPr>
        <w:t>环境现状调查与评价</w:t>
      </w:r>
    </w:p>
    <w:p w14:paraId="0863E55A">
      <w:pPr>
        <w:spacing w:before="251" w:line="229" w:lineRule="auto"/>
        <w:ind w:left="7"/>
        <w:outlineLvl w:val="2"/>
        <w:rPr>
          <w:rFonts w:ascii="仿宋" w:hAnsi="仿宋" w:eastAsia="仿宋" w:cs="仿宋"/>
          <w:sz w:val="25"/>
          <w:szCs w:val="25"/>
        </w:rPr>
      </w:pPr>
      <w:r>
        <w:rPr>
          <w:rFonts w:ascii="Times New Roman" w:hAnsi="Times New Roman" w:eastAsia="Times New Roman" w:cs="Times New Roman"/>
          <w:b/>
          <w:bCs/>
          <w:spacing w:val="5"/>
          <w:sz w:val="25"/>
          <w:szCs w:val="25"/>
        </w:rPr>
        <w:t>9.2.1</w:t>
      </w:r>
      <w:r>
        <w:rPr>
          <w:rFonts w:ascii="Times New Roman" w:hAnsi="Times New Roman" w:eastAsia="Times New Roman" w:cs="Times New Roman"/>
          <w:b/>
          <w:bCs/>
          <w:spacing w:val="25"/>
          <w:sz w:val="25"/>
          <w:szCs w:val="25"/>
        </w:rPr>
        <w:t xml:space="preserve"> </w:t>
      </w:r>
      <w:r>
        <w:rPr>
          <w:rFonts w:ascii="仿宋" w:hAnsi="仿宋" w:eastAsia="仿宋" w:cs="仿宋"/>
          <w:b/>
          <w:bCs/>
          <w:spacing w:val="5"/>
          <w:sz w:val="25"/>
          <w:szCs w:val="25"/>
        </w:rPr>
        <w:t>环境质量现状和变化趋势</w:t>
      </w:r>
    </w:p>
    <w:p w14:paraId="431EA462">
      <w:pPr>
        <w:spacing w:before="269" w:line="340" w:lineRule="auto"/>
        <w:ind w:left="22" w:right="105" w:firstLine="502"/>
        <w:jc w:val="both"/>
        <w:rPr>
          <w:rFonts w:ascii="仿宋" w:hAnsi="仿宋" w:eastAsia="仿宋" w:cs="仿宋"/>
          <w:sz w:val="25"/>
          <w:szCs w:val="25"/>
        </w:rPr>
      </w:pPr>
      <w:r>
        <w:rPr>
          <w:rFonts w:ascii="Times New Roman" w:hAnsi="Times New Roman" w:eastAsia="Times New Roman" w:cs="Times New Roman"/>
          <w:spacing w:val="4"/>
          <w:sz w:val="25"/>
          <w:szCs w:val="25"/>
        </w:rPr>
        <w:t>2020</w:t>
      </w:r>
      <w:r>
        <w:rPr>
          <w:rFonts w:ascii="Times New Roman" w:hAnsi="Times New Roman" w:eastAsia="Times New Roman" w:cs="Times New Roman"/>
          <w:spacing w:val="29"/>
          <w:w w:val="101"/>
          <w:sz w:val="25"/>
          <w:szCs w:val="25"/>
        </w:rPr>
        <w:t xml:space="preserve"> </w:t>
      </w:r>
      <w:r>
        <w:rPr>
          <w:rFonts w:ascii="仿宋" w:hAnsi="仿宋" w:eastAsia="仿宋" w:cs="仿宋"/>
          <w:spacing w:val="4"/>
          <w:sz w:val="25"/>
          <w:szCs w:val="25"/>
        </w:rPr>
        <w:t>年</w:t>
      </w:r>
      <w:r>
        <w:rPr>
          <w:rFonts w:ascii="Times New Roman" w:hAnsi="Times New Roman" w:eastAsia="Times New Roman" w:cs="Times New Roman"/>
          <w:spacing w:val="4"/>
          <w:sz w:val="25"/>
          <w:szCs w:val="25"/>
        </w:rPr>
        <w:t>~2024</w:t>
      </w:r>
      <w:r>
        <w:rPr>
          <w:rFonts w:ascii="Times New Roman" w:hAnsi="Times New Roman" w:eastAsia="Times New Roman" w:cs="Times New Roman"/>
          <w:spacing w:val="29"/>
          <w:w w:val="101"/>
          <w:sz w:val="25"/>
          <w:szCs w:val="25"/>
        </w:rPr>
        <w:t xml:space="preserve"> </w:t>
      </w:r>
      <w:r>
        <w:rPr>
          <w:rFonts w:ascii="仿宋" w:hAnsi="仿宋" w:eastAsia="仿宋" w:cs="仿宋"/>
          <w:spacing w:val="4"/>
          <w:sz w:val="25"/>
          <w:szCs w:val="25"/>
        </w:rPr>
        <w:t xml:space="preserve">年间黔江区大气污染物 </w:t>
      </w:r>
      <w:r>
        <w:rPr>
          <w:rFonts w:ascii="Times New Roman" w:hAnsi="Times New Roman" w:eastAsia="Times New Roman" w:cs="Times New Roman"/>
          <w:sz w:val="25"/>
          <w:szCs w:val="25"/>
        </w:rPr>
        <w:t>PM</w:t>
      </w:r>
      <w:r>
        <w:rPr>
          <w:rFonts w:ascii="Times New Roman" w:hAnsi="Times New Roman" w:eastAsia="Times New Roman" w:cs="Times New Roman"/>
          <w:spacing w:val="4"/>
          <w:position w:val="-2"/>
          <w:sz w:val="16"/>
          <w:szCs w:val="16"/>
        </w:rPr>
        <w:t xml:space="preserve">10 </w:t>
      </w:r>
      <w:r>
        <w:rPr>
          <w:rFonts w:ascii="仿宋" w:hAnsi="仿宋" w:eastAsia="仿宋" w:cs="仿宋"/>
          <w:spacing w:val="4"/>
          <w:sz w:val="25"/>
          <w:szCs w:val="25"/>
        </w:rPr>
        <w:t>、</w:t>
      </w:r>
      <w:r>
        <w:rPr>
          <w:rFonts w:ascii="Times New Roman" w:hAnsi="Times New Roman" w:eastAsia="Times New Roman" w:cs="Times New Roman"/>
          <w:sz w:val="25"/>
          <w:szCs w:val="25"/>
        </w:rPr>
        <w:t>SO</w:t>
      </w:r>
      <w:r>
        <w:rPr>
          <w:rFonts w:ascii="Times New Roman" w:hAnsi="Times New Roman" w:eastAsia="Times New Roman" w:cs="Times New Roman"/>
          <w:spacing w:val="3"/>
          <w:position w:val="-2"/>
          <w:sz w:val="16"/>
          <w:szCs w:val="16"/>
        </w:rPr>
        <w:t xml:space="preserve">2 </w:t>
      </w:r>
      <w:r>
        <w:rPr>
          <w:rFonts w:ascii="仿宋" w:hAnsi="仿宋" w:eastAsia="仿宋" w:cs="仿宋"/>
          <w:spacing w:val="3"/>
          <w:sz w:val="25"/>
          <w:szCs w:val="25"/>
        </w:rPr>
        <w:t>、</w:t>
      </w:r>
      <w:r>
        <w:rPr>
          <w:rFonts w:ascii="Times New Roman" w:hAnsi="Times New Roman" w:eastAsia="Times New Roman" w:cs="Times New Roman"/>
          <w:sz w:val="25"/>
          <w:szCs w:val="25"/>
        </w:rPr>
        <w:t>NO</w:t>
      </w:r>
      <w:r>
        <w:rPr>
          <w:rFonts w:ascii="Times New Roman" w:hAnsi="Times New Roman" w:eastAsia="Times New Roman" w:cs="Times New Roman"/>
          <w:spacing w:val="3"/>
          <w:position w:val="-2"/>
          <w:sz w:val="16"/>
          <w:szCs w:val="16"/>
        </w:rPr>
        <w:t xml:space="preserve">2 </w:t>
      </w:r>
      <w:r>
        <w:rPr>
          <w:rFonts w:ascii="仿宋" w:hAnsi="仿宋" w:eastAsia="仿宋" w:cs="仿宋"/>
          <w:spacing w:val="3"/>
          <w:sz w:val="25"/>
          <w:szCs w:val="25"/>
        </w:rPr>
        <w:t>、</w:t>
      </w:r>
      <w:r>
        <w:rPr>
          <w:rFonts w:ascii="Times New Roman" w:hAnsi="Times New Roman" w:eastAsia="Times New Roman" w:cs="Times New Roman"/>
          <w:sz w:val="25"/>
          <w:szCs w:val="25"/>
        </w:rPr>
        <w:t>CO</w:t>
      </w:r>
      <w:r>
        <w:rPr>
          <w:rFonts w:ascii="Times New Roman" w:hAnsi="Times New Roman" w:eastAsia="Times New Roman" w:cs="Times New Roman"/>
          <w:spacing w:val="-21"/>
          <w:sz w:val="25"/>
          <w:szCs w:val="25"/>
        </w:rPr>
        <w:t xml:space="preserve"> </w:t>
      </w:r>
      <w:r>
        <w:rPr>
          <w:rFonts w:ascii="仿宋" w:hAnsi="仿宋" w:eastAsia="仿宋" w:cs="仿宋"/>
          <w:spacing w:val="3"/>
          <w:sz w:val="25"/>
          <w:szCs w:val="25"/>
        </w:rPr>
        <w:t>、</w:t>
      </w:r>
      <w:r>
        <w:rPr>
          <w:rFonts w:ascii="Times New Roman" w:hAnsi="Times New Roman" w:eastAsia="Times New Roman" w:cs="Times New Roman"/>
          <w:spacing w:val="3"/>
          <w:sz w:val="25"/>
          <w:szCs w:val="25"/>
        </w:rPr>
        <w:t>O</w:t>
      </w:r>
      <w:r>
        <w:rPr>
          <w:rFonts w:ascii="Times New Roman" w:hAnsi="Times New Roman" w:eastAsia="Times New Roman" w:cs="Times New Roman"/>
          <w:spacing w:val="3"/>
          <w:position w:val="-2"/>
          <w:sz w:val="16"/>
          <w:szCs w:val="16"/>
        </w:rPr>
        <w:t xml:space="preserve">3 </w:t>
      </w:r>
      <w:r>
        <w:rPr>
          <w:rFonts w:ascii="仿宋" w:hAnsi="仿宋" w:eastAsia="仿宋" w:cs="仿宋"/>
          <w:spacing w:val="3"/>
          <w:sz w:val="25"/>
          <w:szCs w:val="25"/>
        </w:rPr>
        <w:t>、</w:t>
      </w:r>
      <w:r>
        <w:rPr>
          <w:rFonts w:ascii="Times New Roman" w:hAnsi="Times New Roman" w:eastAsia="Times New Roman" w:cs="Times New Roman"/>
          <w:sz w:val="25"/>
          <w:szCs w:val="25"/>
        </w:rPr>
        <w:t>PM</w:t>
      </w:r>
      <w:r>
        <w:rPr>
          <w:rFonts w:ascii="Times New Roman" w:hAnsi="Times New Roman" w:eastAsia="Times New Roman" w:cs="Times New Roman"/>
          <w:spacing w:val="3"/>
          <w:position w:val="-2"/>
          <w:sz w:val="16"/>
          <w:szCs w:val="16"/>
        </w:rPr>
        <w:t>2.5</w:t>
      </w:r>
      <w:r>
        <w:rPr>
          <w:rFonts w:ascii="Times New Roman" w:hAnsi="Times New Roman" w:eastAsia="Times New Roman" w:cs="Times New Roman"/>
          <w:position w:val="-2"/>
          <w:sz w:val="16"/>
          <w:szCs w:val="16"/>
        </w:rPr>
        <w:t xml:space="preserve"> </w:t>
      </w:r>
      <w:r>
        <w:rPr>
          <w:rFonts w:ascii="仿宋" w:hAnsi="仿宋" w:eastAsia="仿宋" w:cs="仿宋"/>
          <w:spacing w:val="9"/>
          <w:sz w:val="25"/>
          <w:szCs w:val="25"/>
        </w:rPr>
        <w:t>总体呈平稳趋势。在</w:t>
      </w:r>
      <w:r>
        <w:rPr>
          <w:rFonts w:hint="eastAsia" w:ascii="仿宋" w:hAnsi="仿宋" w:eastAsia="仿宋" w:cs="仿宋"/>
          <w:spacing w:val="9"/>
          <w:sz w:val="25"/>
          <w:szCs w:val="25"/>
          <w:lang w:eastAsia="zh-CN"/>
        </w:rPr>
        <w:t>“</w:t>
      </w:r>
      <w:r>
        <w:rPr>
          <w:rFonts w:ascii="仿宋" w:hAnsi="仿宋" w:eastAsia="仿宋" w:cs="仿宋"/>
          <w:spacing w:val="9"/>
          <w:sz w:val="25"/>
          <w:szCs w:val="25"/>
        </w:rPr>
        <w:t>十四五</w:t>
      </w:r>
      <w:r>
        <w:rPr>
          <w:rFonts w:hint="eastAsia" w:ascii="仿宋" w:hAnsi="仿宋" w:eastAsia="仿宋" w:cs="仿宋"/>
          <w:spacing w:val="9"/>
          <w:sz w:val="25"/>
          <w:szCs w:val="25"/>
          <w:lang w:eastAsia="zh-CN"/>
        </w:rPr>
        <w:t>”</w:t>
      </w:r>
      <w:r>
        <w:rPr>
          <w:rFonts w:ascii="仿宋" w:hAnsi="仿宋" w:eastAsia="仿宋" w:cs="仿宋"/>
          <w:spacing w:val="9"/>
          <w:sz w:val="25"/>
          <w:szCs w:val="25"/>
        </w:rPr>
        <w:t>期间，黔江区六项基本污染物均能满足《环境空气</w:t>
      </w:r>
      <w:r>
        <w:rPr>
          <w:rFonts w:ascii="仿宋" w:hAnsi="仿宋" w:eastAsia="仿宋" w:cs="仿宋"/>
          <w:spacing w:val="13"/>
          <w:sz w:val="25"/>
          <w:szCs w:val="25"/>
        </w:rPr>
        <w:t xml:space="preserve"> </w:t>
      </w:r>
      <w:r>
        <w:rPr>
          <w:rFonts w:ascii="仿宋" w:hAnsi="仿宋" w:eastAsia="仿宋" w:cs="仿宋"/>
          <w:spacing w:val="6"/>
          <w:sz w:val="25"/>
          <w:szCs w:val="25"/>
        </w:rPr>
        <w:t>质量标准》（</w:t>
      </w:r>
      <w:r>
        <w:rPr>
          <w:rFonts w:ascii="Times New Roman" w:hAnsi="Times New Roman" w:eastAsia="Times New Roman" w:cs="Times New Roman"/>
          <w:sz w:val="25"/>
          <w:szCs w:val="25"/>
        </w:rPr>
        <w:t>GB</w:t>
      </w:r>
      <w:r>
        <w:rPr>
          <w:rFonts w:ascii="Times New Roman" w:hAnsi="Times New Roman" w:eastAsia="Times New Roman" w:cs="Times New Roman"/>
          <w:spacing w:val="6"/>
          <w:sz w:val="25"/>
          <w:szCs w:val="25"/>
        </w:rPr>
        <w:t>3095-2012</w:t>
      </w:r>
      <w:r>
        <w:rPr>
          <w:rFonts w:ascii="仿宋" w:hAnsi="仿宋" w:eastAsia="仿宋" w:cs="仿宋"/>
          <w:spacing w:val="6"/>
          <w:sz w:val="25"/>
          <w:szCs w:val="25"/>
        </w:rPr>
        <w:t>）</w:t>
      </w:r>
      <w:r>
        <w:rPr>
          <w:rFonts w:ascii="仿宋" w:hAnsi="仿宋" w:eastAsia="仿宋" w:cs="仿宋"/>
          <w:spacing w:val="-57"/>
          <w:sz w:val="25"/>
          <w:szCs w:val="25"/>
        </w:rPr>
        <w:t xml:space="preserve"> </w:t>
      </w:r>
      <w:r>
        <w:rPr>
          <w:rFonts w:ascii="仿宋" w:hAnsi="仿宋" w:eastAsia="仿宋" w:cs="仿宋"/>
          <w:spacing w:val="6"/>
          <w:sz w:val="25"/>
          <w:szCs w:val="25"/>
        </w:rPr>
        <w:t>中二级标准，均为大气环境质量达标区。</w:t>
      </w:r>
    </w:p>
    <w:p w14:paraId="2365C4B9">
      <w:pPr>
        <w:spacing w:before="6" w:line="339" w:lineRule="auto"/>
        <w:ind w:left="15" w:firstLine="520"/>
        <w:jc w:val="both"/>
        <w:rPr>
          <w:rFonts w:ascii="仿宋" w:hAnsi="仿宋" w:eastAsia="仿宋" w:cs="仿宋"/>
          <w:sz w:val="25"/>
          <w:szCs w:val="25"/>
        </w:rPr>
      </w:pPr>
      <w:r>
        <w:rPr>
          <w:rFonts w:ascii="仿宋" w:hAnsi="仿宋" w:eastAsia="仿宋" w:cs="仿宋"/>
          <w:spacing w:val="6"/>
          <w:sz w:val="25"/>
          <w:szCs w:val="25"/>
        </w:rPr>
        <w:t>《黔江区环境质量报告书（</w:t>
      </w:r>
      <w:r>
        <w:rPr>
          <w:rFonts w:ascii="Times New Roman" w:hAnsi="Times New Roman" w:eastAsia="Times New Roman" w:cs="Times New Roman"/>
          <w:spacing w:val="6"/>
          <w:sz w:val="25"/>
          <w:szCs w:val="25"/>
        </w:rPr>
        <w:t>2020~2023</w:t>
      </w:r>
      <w:r>
        <w:rPr>
          <w:rFonts w:ascii="Times New Roman" w:hAnsi="Times New Roman" w:eastAsia="Times New Roman" w:cs="Times New Roman"/>
          <w:spacing w:val="43"/>
          <w:sz w:val="25"/>
          <w:szCs w:val="25"/>
        </w:rPr>
        <w:t xml:space="preserve"> </w:t>
      </w:r>
      <w:r>
        <w:rPr>
          <w:rFonts w:ascii="仿宋" w:hAnsi="仿宋" w:eastAsia="仿宋" w:cs="仿宋"/>
          <w:spacing w:val="6"/>
          <w:sz w:val="25"/>
          <w:szCs w:val="25"/>
        </w:rPr>
        <w:t>年）》及《</w:t>
      </w:r>
      <w:r>
        <w:rPr>
          <w:rFonts w:ascii="Times New Roman" w:hAnsi="Times New Roman" w:eastAsia="Times New Roman" w:cs="Times New Roman"/>
          <w:spacing w:val="6"/>
          <w:sz w:val="25"/>
          <w:szCs w:val="25"/>
        </w:rPr>
        <w:t>2024</w:t>
      </w:r>
      <w:r>
        <w:rPr>
          <w:rFonts w:ascii="Times New Roman" w:hAnsi="Times New Roman" w:eastAsia="Times New Roman" w:cs="Times New Roman"/>
          <w:spacing w:val="25"/>
          <w:sz w:val="25"/>
          <w:szCs w:val="25"/>
        </w:rPr>
        <w:t xml:space="preserve"> </w:t>
      </w:r>
      <w:r>
        <w:rPr>
          <w:rFonts w:ascii="仿宋" w:hAnsi="仿宋" w:eastAsia="仿宋" w:cs="仿宋"/>
          <w:spacing w:val="6"/>
          <w:sz w:val="25"/>
          <w:szCs w:val="25"/>
        </w:rPr>
        <w:t>年黔江区环境质量</w:t>
      </w:r>
      <w:r>
        <w:rPr>
          <w:rFonts w:ascii="仿宋" w:hAnsi="仿宋" w:eastAsia="仿宋" w:cs="仿宋"/>
          <w:sz w:val="25"/>
          <w:szCs w:val="25"/>
        </w:rPr>
        <w:t xml:space="preserve">  </w:t>
      </w:r>
      <w:r>
        <w:rPr>
          <w:rFonts w:ascii="仿宋" w:hAnsi="仿宋" w:eastAsia="仿宋" w:cs="仿宋"/>
          <w:spacing w:val="10"/>
          <w:sz w:val="25"/>
          <w:szCs w:val="25"/>
        </w:rPr>
        <w:t>简报》，黔江区地表水水质保持稳定，均满足</w:t>
      </w:r>
      <w:r>
        <w:rPr>
          <w:rFonts w:ascii="仿宋" w:hAnsi="仿宋" w:eastAsia="仿宋" w:cs="仿宋"/>
          <w:spacing w:val="9"/>
          <w:sz w:val="25"/>
          <w:szCs w:val="25"/>
        </w:rPr>
        <w:t>水域功能要求；黔江区声环境质</w:t>
      </w:r>
      <w:r>
        <w:rPr>
          <w:rFonts w:ascii="仿宋" w:hAnsi="仿宋" w:eastAsia="仿宋" w:cs="仿宋"/>
          <w:sz w:val="25"/>
          <w:szCs w:val="25"/>
        </w:rPr>
        <w:t xml:space="preserve">  </w:t>
      </w:r>
      <w:r>
        <w:rPr>
          <w:rFonts w:ascii="仿宋" w:hAnsi="仿宋" w:eastAsia="仿宋" w:cs="仿宋"/>
          <w:spacing w:val="7"/>
          <w:sz w:val="25"/>
          <w:szCs w:val="25"/>
        </w:rPr>
        <w:t>量保持较好，</w:t>
      </w:r>
      <w:r>
        <w:rPr>
          <w:rFonts w:ascii="Times New Roman" w:hAnsi="Times New Roman" w:eastAsia="Times New Roman" w:cs="Times New Roman"/>
          <w:spacing w:val="7"/>
          <w:sz w:val="25"/>
          <w:szCs w:val="25"/>
        </w:rPr>
        <w:t>2020</w:t>
      </w:r>
      <w:r>
        <w:rPr>
          <w:rFonts w:ascii="Times New Roman" w:hAnsi="Times New Roman" w:eastAsia="Times New Roman" w:cs="Times New Roman"/>
          <w:spacing w:val="25"/>
          <w:sz w:val="25"/>
          <w:szCs w:val="25"/>
        </w:rPr>
        <w:t xml:space="preserve"> </w:t>
      </w:r>
      <w:r>
        <w:rPr>
          <w:rFonts w:ascii="仿宋" w:hAnsi="仿宋" w:eastAsia="仿宋" w:cs="仿宋"/>
          <w:spacing w:val="7"/>
          <w:sz w:val="25"/>
          <w:szCs w:val="25"/>
        </w:rPr>
        <w:t>年</w:t>
      </w:r>
      <w:r>
        <w:rPr>
          <w:rFonts w:ascii="Times New Roman" w:hAnsi="Times New Roman" w:eastAsia="Times New Roman" w:cs="Times New Roman"/>
          <w:spacing w:val="7"/>
          <w:sz w:val="25"/>
          <w:szCs w:val="25"/>
        </w:rPr>
        <w:t>~2024</w:t>
      </w:r>
      <w:r>
        <w:rPr>
          <w:rFonts w:ascii="Times New Roman" w:hAnsi="Times New Roman" w:eastAsia="Times New Roman" w:cs="Times New Roman"/>
          <w:spacing w:val="27"/>
          <w:sz w:val="25"/>
          <w:szCs w:val="25"/>
        </w:rPr>
        <w:t xml:space="preserve"> </w:t>
      </w:r>
      <w:r>
        <w:rPr>
          <w:rFonts w:ascii="仿宋" w:hAnsi="仿宋" w:eastAsia="仿宋" w:cs="仿宋"/>
          <w:spacing w:val="7"/>
          <w:sz w:val="25"/>
          <w:szCs w:val="25"/>
        </w:rPr>
        <w:t>年变化不大，满足相应声环境功能区划的要求</w:t>
      </w:r>
      <w:r>
        <w:rPr>
          <w:rFonts w:ascii="仿宋" w:hAnsi="仿宋" w:eastAsia="仿宋" w:cs="仿宋"/>
          <w:spacing w:val="6"/>
          <w:sz w:val="25"/>
          <w:szCs w:val="25"/>
        </w:rPr>
        <w:t>；规</w:t>
      </w:r>
      <w:r>
        <w:rPr>
          <w:rFonts w:ascii="仿宋" w:hAnsi="仿宋" w:eastAsia="仿宋" w:cs="仿宋"/>
          <w:sz w:val="25"/>
          <w:szCs w:val="25"/>
        </w:rPr>
        <w:t xml:space="preserve">  </w:t>
      </w:r>
      <w:r>
        <w:rPr>
          <w:rFonts w:ascii="仿宋" w:hAnsi="仿宋" w:eastAsia="仿宋" w:cs="仿宋"/>
          <w:spacing w:val="8"/>
          <w:sz w:val="25"/>
          <w:szCs w:val="25"/>
        </w:rPr>
        <w:t>划区域地下水环境质量较好，满足《地下水质量标准》（</w:t>
      </w:r>
      <w:r>
        <w:rPr>
          <w:rFonts w:ascii="Times New Roman" w:hAnsi="Times New Roman" w:eastAsia="Times New Roman" w:cs="Times New Roman"/>
          <w:sz w:val="25"/>
          <w:szCs w:val="25"/>
        </w:rPr>
        <w:t>GB</w:t>
      </w:r>
      <w:r>
        <w:rPr>
          <w:rFonts w:ascii="Times New Roman" w:hAnsi="Times New Roman" w:eastAsia="Times New Roman" w:cs="Times New Roman"/>
          <w:spacing w:val="8"/>
          <w:sz w:val="25"/>
          <w:szCs w:val="25"/>
        </w:rPr>
        <w:t>/T14848-2</w:t>
      </w:r>
      <w:r>
        <w:rPr>
          <w:rFonts w:ascii="Times New Roman" w:hAnsi="Times New Roman" w:eastAsia="Times New Roman" w:cs="Times New Roman"/>
          <w:spacing w:val="7"/>
          <w:sz w:val="25"/>
          <w:szCs w:val="25"/>
        </w:rPr>
        <w:t>017</w:t>
      </w:r>
      <w:r>
        <w:rPr>
          <w:rFonts w:ascii="仿宋" w:hAnsi="仿宋" w:eastAsia="仿宋" w:cs="仿宋"/>
          <w:spacing w:val="7"/>
          <w:sz w:val="25"/>
          <w:szCs w:val="25"/>
        </w:rPr>
        <w:t>）</w:t>
      </w:r>
      <w:r>
        <w:rPr>
          <w:rFonts w:ascii="Times New Roman" w:hAnsi="Times New Roman" w:eastAsia="Times New Roman" w:cs="Times New Roman"/>
          <w:spacing w:val="7"/>
          <w:sz w:val="25"/>
          <w:szCs w:val="25"/>
        </w:rPr>
        <w:t>Ⅲ</w:t>
      </w:r>
      <w:r>
        <w:rPr>
          <w:rFonts w:ascii="Times New Roman" w:hAnsi="Times New Roman" w:eastAsia="Times New Roman" w:cs="Times New Roman"/>
          <w:sz w:val="25"/>
          <w:szCs w:val="25"/>
        </w:rPr>
        <w:t xml:space="preserve">   </w:t>
      </w:r>
      <w:r>
        <w:rPr>
          <w:rFonts w:ascii="仿宋" w:hAnsi="仿宋" w:eastAsia="仿宋" w:cs="仿宋"/>
          <w:spacing w:val="2"/>
          <w:sz w:val="25"/>
          <w:szCs w:val="25"/>
        </w:rPr>
        <w:t>类标准要求；规划区域土壤环境质量较好，区域土壤中污染物含量均未超过《土</w:t>
      </w:r>
      <w:r>
        <w:rPr>
          <w:rFonts w:ascii="仿宋" w:hAnsi="仿宋" w:eastAsia="仿宋" w:cs="仿宋"/>
          <w:spacing w:val="3"/>
          <w:sz w:val="25"/>
          <w:szCs w:val="25"/>
        </w:rPr>
        <w:t xml:space="preserve">  </w:t>
      </w:r>
      <w:r>
        <w:rPr>
          <w:rFonts w:ascii="仿宋" w:hAnsi="仿宋" w:eastAsia="仿宋" w:cs="仿宋"/>
          <w:spacing w:val="10"/>
          <w:sz w:val="25"/>
          <w:szCs w:val="25"/>
        </w:rPr>
        <w:t>壤环境质量 农用地土壤污染风险管控标准（试行）》（</w:t>
      </w:r>
      <w:r>
        <w:rPr>
          <w:rFonts w:ascii="Times New Roman" w:hAnsi="Times New Roman" w:eastAsia="Times New Roman" w:cs="Times New Roman"/>
          <w:sz w:val="25"/>
          <w:szCs w:val="25"/>
        </w:rPr>
        <w:t>GB</w:t>
      </w:r>
      <w:r>
        <w:rPr>
          <w:rFonts w:ascii="Times New Roman" w:hAnsi="Times New Roman" w:eastAsia="Times New Roman" w:cs="Times New Roman"/>
          <w:spacing w:val="10"/>
          <w:sz w:val="25"/>
          <w:szCs w:val="25"/>
        </w:rPr>
        <w:t>15618-2018</w:t>
      </w:r>
      <w:r>
        <w:rPr>
          <w:rFonts w:ascii="仿宋" w:hAnsi="仿宋" w:eastAsia="仿宋" w:cs="仿宋"/>
          <w:spacing w:val="10"/>
          <w:sz w:val="25"/>
          <w:szCs w:val="25"/>
        </w:rPr>
        <w:t>）筛选</w:t>
      </w:r>
      <w:r>
        <w:rPr>
          <w:rFonts w:ascii="仿宋" w:hAnsi="仿宋" w:eastAsia="仿宋" w:cs="仿宋"/>
          <w:spacing w:val="7"/>
          <w:sz w:val="25"/>
          <w:szCs w:val="25"/>
        </w:rPr>
        <w:t xml:space="preserve">  </w:t>
      </w:r>
      <w:r>
        <w:rPr>
          <w:rFonts w:ascii="仿宋" w:hAnsi="仿宋" w:eastAsia="仿宋" w:cs="仿宋"/>
          <w:spacing w:val="-3"/>
          <w:sz w:val="25"/>
          <w:szCs w:val="25"/>
        </w:rPr>
        <w:t>值及《土壤环境质量建设用地土壤污染风险管控标准（试行）》（</w:t>
      </w:r>
      <w:r>
        <w:rPr>
          <w:rFonts w:ascii="Times New Roman" w:hAnsi="Times New Roman" w:eastAsia="Times New Roman" w:cs="Times New Roman"/>
          <w:spacing w:val="-3"/>
          <w:sz w:val="25"/>
          <w:szCs w:val="25"/>
        </w:rPr>
        <w:t>GB36600-2018</w:t>
      </w:r>
      <w:r>
        <w:rPr>
          <w:rFonts w:ascii="仿宋" w:hAnsi="仿宋" w:eastAsia="仿宋" w:cs="仿宋"/>
          <w:spacing w:val="-3"/>
          <w:sz w:val="25"/>
          <w:szCs w:val="25"/>
        </w:rPr>
        <w:t>）</w:t>
      </w:r>
      <w:r>
        <w:rPr>
          <w:rFonts w:ascii="仿宋" w:hAnsi="仿宋" w:eastAsia="仿宋" w:cs="仿宋"/>
          <w:spacing w:val="4"/>
          <w:sz w:val="25"/>
          <w:szCs w:val="25"/>
        </w:rPr>
        <w:t xml:space="preserve"> </w:t>
      </w:r>
      <w:r>
        <w:rPr>
          <w:rFonts w:ascii="仿宋" w:hAnsi="仿宋" w:eastAsia="仿宋" w:cs="仿宋"/>
          <w:spacing w:val="8"/>
          <w:sz w:val="25"/>
          <w:szCs w:val="25"/>
        </w:rPr>
        <w:t>中的建设用地土壤污染筛选值。</w:t>
      </w:r>
    </w:p>
    <w:p w14:paraId="40764002">
      <w:pPr>
        <w:spacing w:before="2" w:line="340" w:lineRule="auto"/>
        <w:ind w:left="19" w:right="113" w:firstLine="517"/>
        <w:rPr>
          <w:rFonts w:ascii="仿宋" w:hAnsi="仿宋" w:eastAsia="仿宋" w:cs="仿宋"/>
          <w:sz w:val="25"/>
          <w:szCs w:val="25"/>
        </w:rPr>
      </w:pPr>
      <w:r>
        <w:rPr>
          <w:rFonts w:ascii="仿宋" w:hAnsi="仿宋" w:eastAsia="仿宋" w:cs="仿宋"/>
          <w:spacing w:val="9"/>
          <w:sz w:val="25"/>
          <w:szCs w:val="25"/>
        </w:rPr>
        <w:t>矿产资源开发活动对环境空气质量、地表水、地下水、土壤和声环境质量</w:t>
      </w:r>
      <w:r>
        <w:rPr>
          <w:rFonts w:ascii="仿宋" w:hAnsi="仿宋" w:eastAsia="仿宋" w:cs="仿宋"/>
          <w:spacing w:val="11"/>
          <w:sz w:val="25"/>
          <w:szCs w:val="25"/>
        </w:rPr>
        <w:t xml:space="preserve"> </w:t>
      </w:r>
      <w:r>
        <w:rPr>
          <w:rFonts w:ascii="仿宋" w:hAnsi="仿宋" w:eastAsia="仿宋" w:cs="仿宋"/>
          <w:spacing w:val="3"/>
          <w:sz w:val="25"/>
          <w:szCs w:val="25"/>
        </w:rPr>
        <w:t>影响很小。</w:t>
      </w:r>
    </w:p>
    <w:p w14:paraId="39AAAEE6">
      <w:pPr>
        <w:spacing w:before="119" w:line="229" w:lineRule="auto"/>
        <w:ind w:left="7"/>
        <w:outlineLvl w:val="2"/>
        <w:rPr>
          <w:rFonts w:ascii="仿宋" w:hAnsi="仿宋" w:eastAsia="仿宋" w:cs="仿宋"/>
          <w:sz w:val="25"/>
          <w:szCs w:val="25"/>
        </w:rPr>
      </w:pPr>
      <w:r>
        <w:rPr>
          <w:rFonts w:ascii="Times New Roman" w:hAnsi="Times New Roman" w:eastAsia="Times New Roman" w:cs="Times New Roman"/>
          <w:b/>
          <w:bCs/>
          <w:spacing w:val="2"/>
          <w:sz w:val="25"/>
          <w:szCs w:val="25"/>
        </w:rPr>
        <w:t>9.2.2</w:t>
      </w:r>
      <w:r>
        <w:rPr>
          <w:rFonts w:ascii="Times New Roman" w:hAnsi="Times New Roman" w:eastAsia="Times New Roman" w:cs="Times New Roman"/>
          <w:b/>
          <w:bCs/>
          <w:spacing w:val="40"/>
          <w:w w:val="101"/>
          <w:sz w:val="25"/>
          <w:szCs w:val="25"/>
        </w:rPr>
        <w:t xml:space="preserve"> </w:t>
      </w:r>
      <w:r>
        <w:rPr>
          <w:rFonts w:ascii="仿宋" w:hAnsi="仿宋" w:eastAsia="仿宋" w:cs="仿宋"/>
          <w:b/>
          <w:bCs/>
          <w:spacing w:val="2"/>
          <w:sz w:val="25"/>
          <w:szCs w:val="25"/>
        </w:rPr>
        <w:t>生态环境现状</w:t>
      </w:r>
    </w:p>
    <w:p w14:paraId="7E1F0E93">
      <w:pPr>
        <w:spacing w:line="229" w:lineRule="auto"/>
        <w:rPr>
          <w:rFonts w:ascii="仿宋" w:hAnsi="仿宋" w:eastAsia="仿宋" w:cs="仿宋"/>
          <w:sz w:val="25"/>
          <w:szCs w:val="25"/>
        </w:rPr>
        <w:sectPr>
          <w:headerReference r:id="rId249" w:type="default"/>
          <w:footerReference r:id="rId250" w:type="default"/>
          <w:pgSz w:w="11906" w:h="16839"/>
          <w:pgMar w:top="1116" w:right="1367" w:bottom="866" w:left="1587" w:header="683" w:footer="703" w:gutter="0"/>
          <w:cols w:space="720" w:num="1"/>
        </w:sectPr>
      </w:pPr>
    </w:p>
    <w:p w14:paraId="2889F912">
      <w:pPr>
        <w:pStyle w:val="2"/>
        <w:spacing w:line="386" w:lineRule="auto"/>
      </w:pPr>
    </w:p>
    <w:p w14:paraId="3B745768">
      <w:pPr>
        <w:spacing w:before="81" w:line="338" w:lineRule="auto"/>
        <w:ind w:left="6" w:right="115" w:firstLine="491"/>
        <w:jc w:val="both"/>
        <w:rPr>
          <w:rFonts w:ascii="仿宋" w:hAnsi="仿宋" w:eastAsia="仿宋" w:cs="仿宋"/>
          <w:sz w:val="25"/>
          <w:szCs w:val="25"/>
        </w:rPr>
      </w:pPr>
      <w:r>
        <w:pict>
          <v:shape id="_x0000_s1040" o:spid="_x0000_s1040" o:spt="202" type="#_x0000_t202" style="position:absolute;left:0pt;margin-left:12.9pt;margin-top:59.65pt;height:2.9pt;width:2.65pt;z-index:251669504;mso-width-relative:page;mso-height-relative:page;" filled="f" stroked="f" coordsize="21600,21600">
            <v:path/>
            <v:fill on="f" focussize="0,0"/>
            <v:stroke on="f"/>
            <v:imagedata o:title=""/>
            <o:lock v:ext="edit" aspectratio="f"/>
            <v:textbox inset="0mm,0mm,0mm,0mm">
              <w:txbxContent>
                <w:p w14:paraId="3BB8BC36">
                  <w:pPr>
                    <w:spacing w:before="20" w:line="178" w:lineRule="auto"/>
                    <w:ind w:left="20"/>
                    <w:rPr>
                      <w:rFonts w:ascii="Times New Roman" w:hAnsi="Times New Roman" w:eastAsia="Times New Roman" w:cs="Times New Roman"/>
                      <w:sz w:val="2"/>
                      <w:szCs w:val="2"/>
                    </w:rPr>
                  </w:pPr>
                  <w:r>
                    <w:rPr>
                      <w:rFonts w:ascii="Times New Roman" w:hAnsi="Times New Roman" w:eastAsia="Times New Roman" w:cs="Times New Roman"/>
                      <w:sz w:val="2"/>
                      <w:szCs w:val="2"/>
                    </w:rPr>
                    <w:t>B</w:t>
                  </w:r>
                </w:p>
              </w:txbxContent>
            </v:textbox>
          </v:shape>
        </w:pict>
      </w:r>
      <w:r>
        <w:rPr>
          <w:rFonts w:ascii="仿宋" w:hAnsi="仿宋" w:eastAsia="仿宋" w:cs="仿宋"/>
          <w:spacing w:val="11"/>
          <w:sz w:val="25"/>
          <w:szCs w:val="25"/>
        </w:rPr>
        <w:t>根据《全国生态功能区划（修编版）》，黔江区属于武</w:t>
      </w:r>
      <w:r>
        <w:rPr>
          <w:rFonts w:ascii="仿宋" w:hAnsi="仿宋" w:eastAsia="仿宋" w:cs="仿宋"/>
          <w:spacing w:val="10"/>
          <w:sz w:val="25"/>
          <w:szCs w:val="25"/>
        </w:rPr>
        <w:t>陵山区生物多样性</w:t>
      </w:r>
      <w:r>
        <w:rPr>
          <w:rFonts w:ascii="仿宋" w:hAnsi="仿宋" w:eastAsia="仿宋" w:cs="仿宋"/>
          <w:sz w:val="25"/>
          <w:szCs w:val="25"/>
        </w:rPr>
        <w:t xml:space="preserve"> </w:t>
      </w:r>
      <w:r>
        <w:rPr>
          <w:rFonts w:ascii="仿宋" w:hAnsi="仿宋" w:eastAsia="仿宋" w:cs="仿宋"/>
          <w:spacing w:val="10"/>
          <w:sz w:val="25"/>
          <w:szCs w:val="25"/>
        </w:rPr>
        <w:t>保护与水源涵养重要区；根据《重庆市生态功能区划（</w:t>
      </w:r>
      <w:r>
        <w:rPr>
          <w:rFonts w:ascii="仿宋" w:hAnsi="仿宋" w:eastAsia="仿宋" w:cs="仿宋"/>
          <w:spacing w:val="9"/>
          <w:sz w:val="25"/>
          <w:szCs w:val="25"/>
        </w:rPr>
        <w:t>修编）》，黔江区位于</w:t>
      </w:r>
      <w:r>
        <w:rPr>
          <w:rFonts w:ascii="仿宋" w:hAnsi="仿宋" w:eastAsia="仿宋" w:cs="仿宋"/>
          <w:sz w:val="25"/>
          <w:szCs w:val="25"/>
        </w:rPr>
        <w:t xml:space="preserve"> </w:t>
      </w:r>
      <w:r>
        <w:rPr>
          <w:rFonts w:ascii="Times New Roman" w:hAnsi="Times New Roman" w:eastAsia="Times New Roman" w:cs="Times New Roman"/>
          <w:sz w:val="28"/>
          <w:szCs w:val="28"/>
        </w:rPr>
        <w:t>III</w:t>
      </w:r>
      <w:r>
        <w:rPr>
          <w:rFonts w:ascii="Times New Roman" w:hAnsi="Times New Roman" w:eastAsia="Times New Roman" w:cs="Times New Roman"/>
          <w:spacing w:val="6"/>
          <w:sz w:val="18"/>
          <w:szCs w:val="18"/>
        </w:rPr>
        <w:t>2-</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6"/>
          <w:sz w:val="18"/>
          <w:szCs w:val="18"/>
        </w:rPr>
        <w:t>1</w:t>
      </w:r>
      <w:r>
        <w:rPr>
          <w:rFonts w:ascii="Times New Roman" w:hAnsi="Times New Roman" w:eastAsia="Times New Roman" w:cs="Times New Roman"/>
          <w:spacing w:val="22"/>
          <w:sz w:val="18"/>
          <w:szCs w:val="18"/>
        </w:rPr>
        <w:t xml:space="preserve"> </w:t>
      </w:r>
      <w:r>
        <w:rPr>
          <w:rFonts w:ascii="仿宋" w:hAnsi="仿宋" w:eastAsia="仿宋" w:cs="仿宋"/>
          <w:spacing w:val="6"/>
          <w:sz w:val="25"/>
          <w:szCs w:val="25"/>
        </w:rPr>
        <w:t>黔江－彭水石漠化敏感区，主导生态功能为石漠化预防，辅助功能为水土</w:t>
      </w:r>
      <w:r>
        <w:rPr>
          <w:rFonts w:ascii="仿宋" w:hAnsi="仿宋" w:eastAsia="仿宋" w:cs="仿宋"/>
          <w:sz w:val="25"/>
          <w:szCs w:val="25"/>
        </w:rPr>
        <w:t xml:space="preserve"> </w:t>
      </w:r>
      <w:r>
        <w:rPr>
          <w:rFonts w:ascii="仿宋" w:hAnsi="仿宋" w:eastAsia="仿宋" w:cs="仿宋"/>
          <w:spacing w:val="9"/>
          <w:sz w:val="25"/>
          <w:szCs w:val="25"/>
        </w:rPr>
        <w:t>保持、水文调蓄与地质灾害防治；根据《中国生物多样性保护优先区域范围》</w:t>
      </w:r>
      <w:r>
        <w:rPr>
          <w:rFonts w:ascii="仿宋" w:hAnsi="仿宋" w:eastAsia="仿宋" w:cs="仿宋"/>
          <w:spacing w:val="15"/>
          <w:sz w:val="25"/>
          <w:szCs w:val="25"/>
        </w:rPr>
        <w:t xml:space="preserve"> </w:t>
      </w:r>
      <w:r>
        <w:rPr>
          <w:rFonts w:ascii="仿宋" w:hAnsi="仿宋" w:eastAsia="仿宋" w:cs="仿宋"/>
          <w:spacing w:val="7"/>
          <w:sz w:val="25"/>
          <w:szCs w:val="25"/>
        </w:rPr>
        <w:t>（</w:t>
      </w:r>
      <w:r>
        <w:rPr>
          <w:rFonts w:ascii="Times New Roman" w:hAnsi="Times New Roman" w:eastAsia="Times New Roman" w:cs="Times New Roman"/>
          <w:spacing w:val="7"/>
          <w:sz w:val="25"/>
          <w:szCs w:val="25"/>
        </w:rPr>
        <w:t>2015</w:t>
      </w:r>
      <w:r>
        <w:rPr>
          <w:rFonts w:ascii="Times New Roman" w:hAnsi="Times New Roman" w:eastAsia="Times New Roman" w:cs="Times New Roman"/>
          <w:spacing w:val="24"/>
          <w:w w:val="101"/>
          <w:sz w:val="25"/>
          <w:szCs w:val="25"/>
        </w:rPr>
        <w:t xml:space="preserve"> </w:t>
      </w:r>
      <w:r>
        <w:rPr>
          <w:rFonts w:ascii="仿宋" w:hAnsi="仿宋" w:eastAsia="仿宋" w:cs="仿宋"/>
          <w:spacing w:val="7"/>
          <w:sz w:val="25"/>
          <w:szCs w:val="25"/>
        </w:rPr>
        <w:t>年第</w:t>
      </w:r>
      <w:r>
        <w:rPr>
          <w:rFonts w:ascii="仿宋" w:hAnsi="仿宋" w:eastAsia="仿宋" w:cs="仿宋"/>
          <w:spacing w:val="-48"/>
          <w:sz w:val="25"/>
          <w:szCs w:val="25"/>
        </w:rPr>
        <w:t xml:space="preserve"> </w:t>
      </w:r>
      <w:r>
        <w:rPr>
          <w:rFonts w:ascii="Times New Roman" w:hAnsi="Times New Roman" w:eastAsia="Times New Roman" w:cs="Times New Roman"/>
          <w:spacing w:val="7"/>
          <w:sz w:val="25"/>
          <w:szCs w:val="25"/>
        </w:rPr>
        <w:t>94</w:t>
      </w:r>
      <w:r>
        <w:rPr>
          <w:rFonts w:ascii="Times New Roman" w:hAnsi="Times New Roman" w:eastAsia="Times New Roman" w:cs="Times New Roman"/>
          <w:spacing w:val="25"/>
          <w:w w:val="101"/>
          <w:sz w:val="25"/>
          <w:szCs w:val="25"/>
        </w:rPr>
        <w:t xml:space="preserve"> </w:t>
      </w:r>
      <w:r>
        <w:rPr>
          <w:rFonts w:ascii="仿宋" w:hAnsi="仿宋" w:eastAsia="仿宋" w:cs="仿宋"/>
          <w:spacing w:val="7"/>
          <w:sz w:val="25"/>
          <w:szCs w:val="25"/>
        </w:rPr>
        <w:t>号）公告文件，黔江区属于武陵山生物多样性保护优先区域。</w:t>
      </w:r>
    </w:p>
    <w:p w14:paraId="52E1ADBB">
      <w:pPr>
        <w:spacing w:before="6" w:line="339" w:lineRule="auto"/>
        <w:ind w:left="15" w:right="115" w:firstLine="485"/>
        <w:jc w:val="both"/>
        <w:rPr>
          <w:rFonts w:ascii="仿宋" w:hAnsi="仿宋" w:eastAsia="仿宋" w:cs="仿宋"/>
          <w:sz w:val="25"/>
          <w:szCs w:val="25"/>
        </w:rPr>
      </w:pPr>
      <w:r>
        <w:rPr>
          <w:rFonts w:ascii="仿宋" w:hAnsi="仿宋" w:eastAsia="仿宋" w:cs="仿宋"/>
          <w:spacing w:val="11"/>
          <w:sz w:val="25"/>
          <w:szCs w:val="25"/>
        </w:rPr>
        <w:t>黔江区境内主要环境敏感区有小南海市级自然</w:t>
      </w:r>
      <w:r>
        <w:rPr>
          <w:rFonts w:ascii="仿宋" w:hAnsi="仿宋" w:eastAsia="仿宋" w:cs="仿宋"/>
          <w:spacing w:val="10"/>
          <w:sz w:val="25"/>
          <w:szCs w:val="25"/>
        </w:rPr>
        <w:t>保护区、武陵山市级自然保</w:t>
      </w:r>
      <w:r>
        <w:rPr>
          <w:rFonts w:ascii="仿宋" w:hAnsi="仿宋" w:eastAsia="仿宋" w:cs="仿宋"/>
          <w:sz w:val="25"/>
          <w:szCs w:val="25"/>
        </w:rPr>
        <w:t xml:space="preserve"> </w:t>
      </w:r>
      <w:r>
        <w:rPr>
          <w:rFonts w:ascii="仿宋" w:hAnsi="仿宋" w:eastAsia="仿宋" w:cs="仿宋"/>
          <w:spacing w:val="10"/>
          <w:sz w:val="25"/>
          <w:szCs w:val="25"/>
        </w:rPr>
        <w:t>护区、小南海湿地县级自然保护区、小南海市</w:t>
      </w:r>
      <w:r>
        <w:rPr>
          <w:rFonts w:ascii="仿宋" w:hAnsi="仿宋" w:eastAsia="仿宋" w:cs="仿宋"/>
          <w:spacing w:val="9"/>
          <w:sz w:val="25"/>
          <w:szCs w:val="25"/>
        </w:rPr>
        <w:t>级风景名胜区、黔江国家森林公</w:t>
      </w:r>
      <w:r>
        <w:rPr>
          <w:rFonts w:ascii="仿宋" w:hAnsi="仿宋" w:eastAsia="仿宋" w:cs="仿宋"/>
          <w:sz w:val="25"/>
          <w:szCs w:val="25"/>
        </w:rPr>
        <w:t xml:space="preserve"> </w:t>
      </w:r>
      <w:r>
        <w:rPr>
          <w:rFonts w:ascii="仿宋" w:hAnsi="仿宋" w:eastAsia="仿宋" w:cs="仿宋"/>
          <w:spacing w:val="2"/>
          <w:sz w:val="25"/>
          <w:szCs w:val="25"/>
        </w:rPr>
        <w:t>园、仰头山市级森林公园、阿蓬江国家湿地公园、小南海国家地质公园等。《规</w:t>
      </w:r>
      <w:r>
        <w:rPr>
          <w:rFonts w:ascii="仿宋" w:hAnsi="仿宋" w:eastAsia="仿宋" w:cs="仿宋"/>
          <w:spacing w:val="6"/>
          <w:sz w:val="25"/>
          <w:szCs w:val="25"/>
        </w:rPr>
        <w:t xml:space="preserve"> </w:t>
      </w:r>
      <w:r>
        <w:rPr>
          <w:rFonts w:ascii="仿宋" w:hAnsi="仿宋" w:eastAsia="仿宋" w:cs="仿宋"/>
          <w:spacing w:val="10"/>
          <w:sz w:val="25"/>
          <w:szCs w:val="25"/>
        </w:rPr>
        <w:t>划》应严格遵守上述依法设立的各级各类保护</w:t>
      </w:r>
      <w:r>
        <w:rPr>
          <w:rFonts w:ascii="仿宋" w:hAnsi="仿宋" w:eastAsia="仿宋" w:cs="仿宋"/>
          <w:spacing w:val="9"/>
          <w:sz w:val="25"/>
          <w:szCs w:val="25"/>
        </w:rPr>
        <w:t>区域相关规定和要求，加强空间</w:t>
      </w:r>
      <w:r>
        <w:rPr>
          <w:rFonts w:ascii="仿宋" w:hAnsi="仿宋" w:eastAsia="仿宋" w:cs="仿宋"/>
          <w:sz w:val="25"/>
          <w:szCs w:val="25"/>
        </w:rPr>
        <w:t xml:space="preserve"> </w:t>
      </w:r>
      <w:r>
        <w:rPr>
          <w:rFonts w:ascii="仿宋" w:hAnsi="仿宋" w:eastAsia="仿宋" w:cs="仿宋"/>
          <w:spacing w:val="10"/>
          <w:sz w:val="25"/>
          <w:szCs w:val="25"/>
        </w:rPr>
        <w:t>管制和规划准入，严禁非法开展矿业活动。根</w:t>
      </w:r>
      <w:r>
        <w:rPr>
          <w:rFonts w:ascii="仿宋" w:hAnsi="仿宋" w:eastAsia="仿宋" w:cs="仿宋"/>
          <w:spacing w:val="9"/>
          <w:sz w:val="25"/>
          <w:szCs w:val="25"/>
        </w:rPr>
        <w:t>据叠图分析，规划矿权不涉及黔</w:t>
      </w:r>
      <w:r>
        <w:rPr>
          <w:rFonts w:ascii="仿宋" w:hAnsi="仿宋" w:eastAsia="仿宋" w:cs="仿宋"/>
          <w:sz w:val="25"/>
          <w:szCs w:val="25"/>
        </w:rPr>
        <w:t xml:space="preserve"> </w:t>
      </w:r>
      <w:r>
        <w:rPr>
          <w:rFonts w:ascii="仿宋" w:hAnsi="仿宋" w:eastAsia="仿宋" w:cs="仿宋"/>
          <w:spacing w:val="7"/>
          <w:sz w:val="25"/>
          <w:szCs w:val="25"/>
        </w:rPr>
        <w:t>江区主要环境敏感区。</w:t>
      </w:r>
    </w:p>
    <w:p w14:paraId="7E698585">
      <w:pPr>
        <w:spacing w:before="1" w:line="339" w:lineRule="auto"/>
        <w:ind w:left="21" w:right="112" w:firstLine="480"/>
        <w:rPr>
          <w:rFonts w:ascii="仿宋" w:hAnsi="仿宋" w:eastAsia="仿宋" w:cs="仿宋"/>
          <w:sz w:val="25"/>
          <w:szCs w:val="25"/>
        </w:rPr>
      </w:pPr>
      <w:r>
        <w:rPr>
          <w:rFonts w:ascii="仿宋" w:hAnsi="仿宋" w:eastAsia="仿宋" w:cs="仿宋"/>
          <w:spacing w:val="11"/>
          <w:sz w:val="25"/>
          <w:szCs w:val="25"/>
        </w:rPr>
        <w:t>黔江区主要生态系统表现为森林生态系统、农田生</w:t>
      </w:r>
      <w:r>
        <w:rPr>
          <w:rFonts w:ascii="仿宋" w:hAnsi="仿宋" w:eastAsia="仿宋" w:cs="仿宋"/>
          <w:spacing w:val="10"/>
          <w:sz w:val="25"/>
          <w:szCs w:val="25"/>
        </w:rPr>
        <w:t>态系统等，森林生态系</w:t>
      </w:r>
      <w:r>
        <w:rPr>
          <w:rFonts w:ascii="仿宋" w:hAnsi="仿宋" w:eastAsia="仿宋" w:cs="仿宋"/>
          <w:sz w:val="25"/>
          <w:szCs w:val="25"/>
        </w:rPr>
        <w:t xml:space="preserve"> </w:t>
      </w:r>
      <w:r>
        <w:rPr>
          <w:rFonts w:ascii="仿宋" w:hAnsi="仿宋" w:eastAsia="仿宋" w:cs="仿宋"/>
          <w:spacing w:val="9"/>
          <w:sz w:val="25"/>
          <w:szCs w:val="25"/>
        </w:rPr>
        <w:t>统，主要植被类型为栽培植被、针叶林、灌丛、草</w:t>
      </w:r>
      <w:r>
        <w:rPr>
          <w:rFonts w:ascii="仿宋" w:hAnsi="仿宋" w:eastAsia="仿宋" w:cs="仿宋"/>
          <w:spacing w:val="8"/>
          <w:sz w:val="25"/>
          <w:szCs w:val="25"/>
        </w:rPr>
        <w:t>丛、阔叶林。</w:t>
      </w:r>
    </w:p>
    <w:p w14:paraId="122C19BD">
      <w:pPr>
        <w:spacing w:before="121" w:line="228" w:lineRule="auto"/>
        <w:ind w:left="7"/>
        <w:outlineLvl w:val="2"/>
        <w:rPr>
          <w:rFonts w:ascii="仿宋" w:hAnsi="仿宋" w:eastAsia="仿宋" w:cs="仿宋"/>
          <w:sz w:val="25"/>
          <w:szCs w:val="25"/>
        </w:rPr>
      </w:pPr>
      <w:r>
        <w:rPr>
          <w:rFonts w:ascii="Times New Roman" w:hAnsi="Times New Roman" w:eastAsia="Times New Roman" w:cs="Times New Roman"/>
          <w:b/>
          <w:bCs/>
          <w:spacing w:val="4"/>
          <w:sz w:val="25"/>
          <w:szCs w:val="25"/>
        </w:rPr>
        <w:t>9.2.3</w:t>
      </w:r>
      <w:r>
        <w:rPr>
          <w:rFonts w:ascii="Times New Roman" w:hAnsi="Times New Roman" w:eastAsia="Times New Roman" w:cs="Times New Roman"/>
          <w:b/>
          <w:bCs/>
          <w:spacing w:val="43"/>
          <w:w w:val="101"/>
          <w:sz w:val="25"/>
          <w:szCs w:val="25"/>
        </w:rPr>
        <w:t xml:space="preserve"> </w:t>
      </w:r>
      <w:r>
        <w:rPr>
          <w:rFonts w:ascii="仿宋" w:hAnsi="仿宋" w:eastAsia="仿宋" w:cs="仿宋"/>
          <w:b/>
          <w:bCs/>
          <w:spacing w:val="4"/>
          <w:sz w:val="25"/>
          <w:szCs w:val="25"/>
        </w:rPr>
        <w:t>重庆市黔江区生态保护红线</w:t>
      </w:r>
    </w:p>
    <w:p w14:paraId="7F3560F4">
      <w:pPr>
        <w:spacing w:before="269" w:line="341" w:lineRule="auto"/>
        <w:ind w:left="16" w:right="43" w:firstLine="481"/>
        <w:jc w:val="both"/>
        <w:rPr>
          <w:rFonts w:ascii="仿宋" w:hAnsi="仿宋" w:eastAsia="仿宋" w:cs="仿宋"/>
          <w:sz w:val="25"/>
          <w:szCs w:val="25"/>
        </w:rPr>
      </w:pPr>
      <w:r>
        <w:rPr>
          <w:rFonts w:ascii="仿宋" w:hAnsi="仿宋" w:eastAsia="仿宋" w:cs="仿宋"/>
          <w:spacing w:val="-2"/>
          <w:sz w:val="25"/>
          <w:szCs w:val="25"/>
        </w:rPr>
        <w:t>根据《重庆市国土空间总体规划（</w:t>
      </w:r>
      <w:r>
        <w:rPr>
          <w:rFonts w:ascii="Times New Roman" w:hAnsi="Times New Roman" w:eastAsia="Times New Roman" w:cs="Times New Roman"/>
          <w:spacing w:val="-2"/>
          <w:sz w:val="25"/>
          <w:szCs w:val="25"/>
        </w:rPr>
        <w:t>2021</w:t>
      </w:r>
      <w:r>
        <w:rPr>
          <w:rFonts w:ascii="仿宋" w:hAnsi="仿宋" w:eastAsia="仿宋" w:cs="仿宋"/>
          <w:spacing w:val="-2"/>
          <w:sz w:val="25"/>
          <w:szCs w:val="25"/>
        </w:rPr>
        <w:t>—</w:t>
      </w:r>
      <w:r>
        <w:rPr>
          <w:rFonts w:ascii="Times New Roman" w:hAnsi="Times New Roman" w:eastAsia="Times New Roman" w:cs="Times New Roman"/>
          <w:spacing w:val="-2"/>
          <w:sz w:val="25"/>
          <w:szCs w:val="25"/>
        </w:rPr>
        <w:t>2035</w:t>
      </w:r>
      <w:r>
        <w:rPr>
          <w:rFonts w:ascii="Times New Roman" w:hAnsi="Times New Roman" w:eastAsia="Times New Roman" w:cs="Times New Roman"/>
          <w:spacing w:val="31"/>
          <w:sz w:val="25"/>
          <w:szCs w:val="25"/>
        </w:rPr>
        <w:t xml:space="preserve"> </w:t>
      </w:r>
      <w:r>
        <w:rPr>
          <w:rFonts w:ascii="仿宋" w:hAnsi="仿宋" w:eastAsia="仿宋" w:cs="仿宋"/>
          <w:spacing w:val="-3"/>
          <w:sz w:val="25"/>
          <w:szCs w:val="25"/>
        </w:rPr>
        <w:t>年）》（国函〔</w:t>
      </w:r>
      <w:r>
        <w:rPr>
          <w:rFonts w:ascii="Times New Roman" w:hAnsi="Times New Roman" w:eastAsia="Times New Roman" w:cs="Times New Roman"/>
          <w:spacing w:val="-3"/>
          <w:sz w:val="25"/>
          <w:szCs w:val="25"/>
        </w:rPr>
        <w:t>2024</w:t>
      </w:r>
      <w:r>
        <w:rPr>
          <w:rFonts w:ascii="仿宋" w:hAnsi="仿宋" w:eastAsia="仿宋" w:cs="仿宋"/>
          <w:spacing w:val="-3"/>
          <w:sz w:val="25"/>
          <w:szCs w:val="25"/>
        </w:rPr>
        <w:t>〕</w:t>
      </w:r>
      <w:r>
        <w:rPr>
          <w:rFonts w:ascii="Times New Roman" w:hAnsi="Times New Roman" w:eastAsia="Times New Roman" w:cs="Times New Roman"/>
          <w:spacing w:val="-3"/>
          <w:sz w:val="25"/>
          <w:szCs w:val="25"/>
        </w:rPr>
        <w:t>32</w:t>
      </w:r>
      <w:r>
        <w:rPr>
          <w:rFonts w:ascii="Times New Roman" w:hAnsi="Times New Roman" w:eastAsia="Times New Roman" w:cs="Times New Roman"/>
          <w:spacing w:val="26"/>
          <w:sz w:val="25"/>
          <w:szCs w:val="25"/>
        </w:rPr>
        <w:t xml:space="preserve"> </w:t>
      </w:r>
      <w:r>
        <w:rPr>
          <w:rFonts w:ascii="仿宋" w:hAnsi="仿宋" w:eastAsia="仿宋" w:cs="仿宋"/>
          <w:spacing w:val="-3"/>
          <w:sz w:val="25"/>
          <w:szCs w:val="25"/>
        </w:rPr>
        <w:t>号</w:t>
      </w:r>
      <w:r>
        <w:rPr>
          <w:rFonts w:ascii="仿宋" w:hAnsi="仿宋" w:eastAsia="仿宋" w:cs="仿宋"/>
          <w:spacing w:val="-64"/>
          <w:w w:val="91"/>
          <w:sz w:val="25"/>
          <w:szCs w:val="25"/>
        </w:rPr>
        <w:t>），</w:t>
      </w:r>
      <w:r>
        <w:rPr>
          <w:rFonts w:ascii="仿宋" w:hAnsi="仿宋" w:eastAsia="仿宋" w:cs="仿宋"/>
          <w:sz w:val="25"/>
          <w:szCs w:val="25"/>
        </w:rPr>
        <w:t xml:space="preserve"> </w:t>
      </w:r>
      <w:r>
        <w:rPr>
          <w:rFonts w:ascii="仿宋" w:hAnsi="仿宋" w:eastAsia="仿宋" w:cs="仿宋"/>
          <w:spacing w:val="5"/>
          <w:sz w:val="25"/>
          <w:szCs w:val="25"/>
        </w:rPr>
        <w:t>调整后黔江区生态保护红线约</w:t>
      </w:r>
      <w:r>
        <w:rPr>
          <w:rFonts w:ascii="仿宋" w:hAnsi="仿宋" w:eastAsia="仿宋" w:cs="仿宋"/>
          <w:spacing w:val="-45"/>
          <w:sz w:val="25"/>
          <w:szCs w:val="25"/>
        </w:rPr>
        <w:t xml:space="preserve"> </w:t>
      </w:r>
      <w:r>
        <w:rPr>
          <w:rFonts w:ascii="Times New Roman" w:hAnsi="Times New Roman" w:eastAsia="Times New Roman" w:cs="Times New Roman"/>
          <w:spacing w:val="5"/>
          <w:sz w:val="25"/>
          <w:szCs w:val="25"/>
        </w:rPr>
        <w:t>579.48</w:t>
      </w:r>
      <w:r>
        <w:rPr>
          <w:rFonts w:ascii="Times New Roman" w:hAnsi="Times New Roman" w:eastAsia="Times New Roman" w:cs="Times New Roman"/>
          <w:sz w:val="25"/>
          <w:szCs w:val="25"/>
        </w:rPr>
        <w:t>km</w:t>
      </w:r>
      <w:r>
        <w:rPr>
          <w:rFonts w:ascii="Times New Roman" w:hAnsi="Times New Roman" w:eastAsia="Times New Roman" w:cs="Times New Roman"/>
          <w:spacing w:val="5"/>
          <w:position w:val="8"/>
          <w:sz w:val="16"/>
          <w:szCs w:val="16"/>
        </w:rPr>
        <w:t xml:space="preserve">2 </w:t>
      </w:r>
      <w:r>
        <w:rPr>
          <w:rFonts w:ascii="仿宋" w:hAnsi="仿宋" w:eastAsia="仿宋" w:cs="仿宋"/>
          <w:spacing w:val="5"/>
          <w:sz w:val="25"/>
          <w:szCs w:val="25"/>
        </w:rPr>
        <w:t>，以生物多样性维护、水源涵养为主，</w:t>
      </w:r>
      <w:r>
        <w:rPr>
          <w:rFonts w:ascii="仿宋" w:hAnsi="仿宋" w:eastAsia="仿宋" w:cs="仿宋"/>
          <w:sz w:val="25"/>
          <w:szCs w:val="25"/>
        </w:rPr>
        <w:t xml:space="preserve"> </w:t>
      </w:r>
      <w:r>
        <w:rPr>
          <w:rFonts w:ascii="仿宋" w:hAnsi="仿宋" w:eastAsia="仿宋" w:cs="仿宋"/>
          <w:spacing w:val="5"/>
          <w:sz w:val="25"/>
          <w:szCs w:val="25"/>
        </w:rPr>
        <w:t>占全区面积比例为</w:t>
      </w:r>
      <w:r>
        <w:rPr>
          <w:rFonts w:ascii="仿宋" w:hAnsi="仿宋" w:eastAsia="仿宋" w:cs="仿宋"/>
          <w:spacing w:val="-45"/>
          <w:sz w:val="25"/>
          <w:szCs w:val="25"/>
        </w:rPr>
        <w:t xml:space="preserve"> </w:t>
      </w:r>
      <w:r>
        <w:rPr>
          <w:rFonts w:ascii="Times New Roman" w:hAnsi="Times New Roman" w:eastAsia="Times New Roman" w:cs="Times New Roman"/>
          <w:spacing w:val="5"/>
          <w:sz w:val="25"/>
          <w:szCs w:val="25"/>
        </w:rPr>
        <w:t>24.22%</w:t>
      </w:r>
      <w:r>
        <w:rPr>
          <w:rFonts w:ascii="仿宋" w:hAnsi="仿宋" w:eastAsia="仿宋" w:cs="仿宋"/>
          <w:spacing w:val="5"/>
          <w:sz w:val="25"/>
          <w:szCs w:val="25"/>
        </w:rPr>
        <w:t>。</w:t>
      </w:r>
    </w:p>
    <w:p w14:paraId="3F990B13">
      <w:pPr>
        <w:spacing w:before="116" w:line="229" w:lineRule="auto"/>
        <w:ind w:left="7"/>
        <w:outlineLvl w:val="2"/>
        <w:rPr>
          <w:rFonts w:ascii="仿宋" w:hAnsi="仿宋" w:eastAsia="仿宋" w:cs="仿宋"/>
          <w:sz w:val="25"/>
          <w:szCs w:val="25"/>
        </w:rPr>
      </w:pPr>
      <w:r>
        <w:rPr>
          <w:rFonts w:ascii="Times New Roman" w:hAnsi="Times New Roman" w:eastAsia="Times New Roman" w:cs="Times New Roman"/>
          <w:b/>
          <w:bCs/>
          <w:spacing w:val="6"/>
          <w:sz w:val="25"/>
          <w:szCs w:val="25"/>
        </w:rPr>
        <w:t>9.2.4</w:t>
      </w:r>
      <w:r>
        <w:rPr>
          <w:rFonts w:ascii="Times New Roman" w:hAnsi="Times New Roman" w:eastAsia="Times New Roman" w:cs="Times New Roman"/>
          <w:b/>
          <w:bCs/>
          <w:spacing w:val="34"/>
          <w:w w:val="101"/>
          <w:sz w:val="25"/>
          <w:szCs w:val="25"/>
        </w:rPr>
        <w:t xml:space="preserve"> </w:t>
      </w:r>
      <w:r>
        <w:rPr>
          <w:rFonts w:ascii="仿宋" w:hAnsi="仿宋" w:eastAsia="仿宋" w:cs="仿宋"/>
          <w:b/>
          <w:bCs/>
          <w:spacing w:val="6"/>
          <w:sz w:val="25"/>
          <w:szCs w:val="25"/>
        </w:rPr>
        <w:t>规划实施及实施过程中对规划环评落实情况的回顾</w:t>
      </w:r>
    </w:p>
    <w:p w14:paraId="2BB528F6">
      <w:pPr>
        <w:spacing w:before="268" w:line="340" w:lineRule="auto"/>
        <w:ind w:left="16" w:right="115" w:firstLine="519"/>
        <w:jc w:val="both"/>
        <w:rPr>
          <w:rFonts w:ascii="仿宋" w:hAnsi="仿宋" w:eastAsia="仿宋" w:cs="仿宋"/>
          <w:sz w:val="25"/>
          <w:szCs w:val="25"/>
        </w:rPr>
      </w:pPr>
      <w:r>
        <w:rPr>
          <w:rFonts w:ascii="仿宋" w:hAnsi="仿宋" w:eastAsia="仿宋" w:cs="仿宋"/>
          <w:spacing w:val="9"/>
          <w:sz w:val="25"/>
          <w:szCs w:val="25"/>
        </w:rPr>
        <w:t>《规划》实施以来，黔江区按照《规划》确定的目标任务，积极争取各类</w:t>
      </w:r>
      <w:r>
        <w:rPr>
          <w:rFonts w:ascii="仿宋" w:hAnsi="仿宋" w:eastAsia="仿宋" w:cs="仿宋"/>
          <w:spacing w:val="18"/>
          <w:sz w:val="25"/>
          <w:szCs w:val="25"/>
        </w:rPr>
        <w:t xml:space="preserve"> </w:t>
      </w:r>
      <w:r>
        <w:rPr>
          <w:rFonts w:ascii="仿宋" w:hAnsi="仿宋" w:eastAsia="仿宋" w:cs="仿宋"/>
          <w:spacing w:val="10"/>
          <w:sz w:val="25"/>
          <w:szCs w:val="25"/>
        </w:rPr>
        <w:t>项目资金，加大矿产勘查投入，矿产勘查有</w:t>
      </w:r>
      <w:r>
        <w:rPr>
          <w:rFonts w:ascii="仿宋" w:hAnsi="仿宋" w:eastAsia="仿宋" w:cs="仿宋"/>
          <w:spacing w:val="9"/>
          <w:sz w:val="25"/>
          <w:szCs w:val="25"/>
        </w:rPr>
        <w:t>序开展，部分矿种保有储量稳步增</w:t>
      </w:r>
      <w:r>
        <w:rPr>
          <w:rFonts w:ascii="仿宋" w:hAnsi="仿宋" w:eastAsia="仿宋" w:cs="仿宋"/>
          <w:sz w:val="25"/>
          <w:szCs w:val="25"/>
        </w:rPr>
        <w:t xml:space="preserve"> </w:t>
      </w:r>
      <w:r>
        <w:rPr>
          <w:rFonts w:ascii="仿宋" w:hAnsi="仿宋" w:eastAsia="仿宋" w:cs="仿宋"/>
          <w:spacing w:val="10"/>
          <w:sz w:val="25"/>
          <w:szCs w:val="25"/>
        </w:rPr>
        <w:t>长；有序设置采矿权，优化整合矿山企业，</w:t>
      </w:r>
      <w:r>
        <w:rPr>
          <w:rFonts w:ascii="仿宋" w:hAnsi="仿宋" w:eastAsia="仿宋" w:cs="仿宋"/>
          <w:spacing w:val="9"/>
          <w:sz w:val="25"/>
          <w:szCs w:val="25"/>
        </w:rPr>
        <w:t>矿产资源开发利用稳步发展，整顿</w:t>
      </w:r>
      <w:r>
        <w:rPr>
          <w:rFonts w:ascii="仿宋" w:hAnsi="仿宋" w:eastAsia="仿宋" w:cs="仿宋"/>
          <w:sz w:val="25"/>
          <w:szCs w:val="25"/>
        </w:rPr>
        <w:t xml:space="preserve"> </w:t>
      </w:r>
      <w:r>
        <w:rPr>
          <w:rFonts w:ascii="仿宋" w:hAnsi="仿宋" w:eastAsia="仿宋" w:cs="仿宋"/>
          <w:spacing w:val="10"/>
          <w:sz w:val="25"/>
          <w:szCs w:val="25"/>
        </w:rPr>
        <w:t>和规范开发秩序取得积极成效；加大了增储上产力度；矿山</w:t>
      </w:r>
      <w:r>
        <w:rPr>
          <w:rFonts w:ascii="Times New Roman" w:hAnsi="Times New Roman" w:eastAsia="Times New Roman" w:cs="Times New Roman"/>
          <w:spacing w:val="10"/>
          <w:sz w:val="25"/>
          <w:szCs w:val="25"/>
        </w:rPr>
        <w:t>“</w:t>
      </w:r>
      <w:r>
        <w:rPr>
          <w:rFonts w:ascii="仿宋" w:hAnsi="仿宋" w:eastAsia="仿宋" w:cs="仿宋"/>
          <w:spacing w:val="10"/>
          <w:sz w:val="25"/>
          <w:szCs w:val="25"/>
        </w:rPr>
        <w:t>三率</w:t>
      </w:r>
      <w:r>
        <w:rPr>
          <w:rFonts w:ascii="Times New Roman" w:hAnsi="Times New Roman" w:eastAsia="Times New Roman" w:cs="Times New Roman"/>
          <w:spacing w:val="10"/>
          <w:sz w:val="25"/>
          <w:szCs w:val="25"/>
        </w:rPr>
        <w:t>”</w:t>
      </w:r>
      <w:r>
        <w:rPr>
          <w:rFonts w:ascii="仿宋" w:hAnsi="仿宋" w:eastAsia="仿宋" w:cs="仿宋"/>
          <w:spacing w:val="10"/>
          <w:sz w:val="25"/>
          <w:szCs w:val="25"/>
        </w:rPr>
        <w:t>水平不断提</w:t>
      </w:r>
      <w:r>
        <w:rPr>
          <w:rFonts w:ascii="仿宋" w:hAnsi="仿宋" w:eastAsia="仿宋" w:cs="仿宋"/>
          <w:spacing w:val="3"/>
          <w:sz w:val="25"/>
          <w:szCs w:val="25"/>
        </w:rPr>
        <w:t xml:space="preserve"> </w:t>
      </w:r>
      <w:r>
        <w:rPr>
          <w:rFonts w:ascii="仿宋" w:hAnsi="仿宋" w:eastAsia="仿宋" w:cs="仿宋"/>
          <w:spacing w:val="10"/>
          <w:sz w:val="25"/>
          <w:szCs w:val="25"/>
        </w:rPr>
        <w:t>高；矿山地质环境恢复治理工作进展有序，</w:t>
      </w:r>
      <w:r>
        <w:rPr>
          <w:rFonts w:ascii="仿宋" w:hAnsi="仿宋" w:eastAsia="仿宋" w:cs="仿宋"/>
          <w:spacing w:val="9"/>
          <w:sz w:val="25"/>
          <w:szCs w:val="25"/>
        </w:rPr>
        <w:t>持续促进黔江区矿业经济绿色低碳</w:t>
      </w:r>
      <w:r>
        <w:rPr>
          <w:rFonts w:ascii="仿宋" w:hAnsi="仿宋" w:eastAsia="仿宋" w:cs="仿宋"/>
          <w:sz w:val="25"/>
          <w:szCs w:val="25"/>
        </w:rPr>
        <w:t xml:space="preserve"> 发展。</w:t>
      </w:r>
    </w:p>
    <w:p w14:paraId="02D17F91">
      <w:pPr>
        <w:spacing w:line="340" w:lineRule="auto"/>
        <w:ind w:left="17" w:firstLine="520"/>
        <w:jc w:val="both"/>
        <w:rPr>
          <w:rFonts w:ascii="仿宋" w:hAnsi="仿宋" w:eastAsia="仿宋" w:cs="仿宋"/>
          <w:sz w:val="25"/>
          <w:szCs w:val="25"/>
        </w:rPr>
      </w:pPr>
      <w:r>
        <w:rPr>
          <w:rFonts w:ascii="仿宋" w:hAnsi="仿宋" w:eastAsia="仿宋" w:cs="仿宋"/>
          <w:spacing w:val="5"/>
          <w:sz w:val="25"/>
          <w:szCs w:val="25"/>
        </w:rPr>
        <w:t>根据《重庆市历史遗留和关闭矿山地质环境治理恢复与土地复垦工作方案》</w:t>
      </w:r>
      <w:r>
        <w:rPr>
          <w:rFonts w:ascii="仿宋" w:hAnsi="仿宋" w:eastAsia="仿宋" w:cs="仿宋"/>
          <w:spacing w:val="3"/>
          <w:sz w:val="25"/>
          <w:szCs w:val="25"/>
        </w:rPr>
        <w:t xml:space="preserve"> （渝府办发〔</w:t>
      </w:r>
      <w:r>
        <w:rPr>
          <w:rFonts w:ascii="Times New Roman" w:hAnsi="Times New Roman" w:eastAsia="Times New Roman" w:cs="Times New Roman"/>
          <w:spacing w:val="3"/>
          <w:sz w:val="25"/>
          <w:szCs w:val="25"/>
        </w:rPr>
        <w:t>2018</w:t>
      </w:r>
      <w:r>
        <w:rPr>
          <w:rFonts w:ascii="仿宋" w:hAnsi="仿宋" w:eastAsia="仿宋" w:cs="仿宋"/>
          <w:spacing w:val="3"/>
          <w:sz w:val="25"/>
          <w:szCs w:val="25"/>
        </w:rPr>
        <w:t>〕</w:t>
      </w:r>
      <w:r>
        <w:rPr>
          <w:rFonts w:ascii="Times New Roman" w:hAnsi="Times New Roman" w:eastAsia="Times New Roman" w:cs="Times New Roman"/>
          <w:spacing w:val="3"/>
          <w:sz w:val="25"/>
          <w:szCs w:val="25"/>
        </w:rPr>
        <w:t>55</w:t>
      </w:r>
      <w:r>
        <w:rPr>
          <w:rFonts w:ascii="Times New Roman" w:hAnsi="Times New Roman" w:eastAsia="Times New Roman" w:cs="Times New Roman"/>
          <w:spacing w:val="29"/>
          <w:w w:val="101"/>
          <w:sz w:val="25"/>
          <w:szCs w:val="25"/>
        </w:rPr>
        <w:t xml:space="preserve"> </w:t>
      </w:r>
      <w:r>
        <w:rPr>
          <w:rFonts w:ascii="仿宋" w:hAnsi="仿宋" w:eastAsia="仿宋" w:cs="仿宋"/>
          <w:spacing w:val="3"/>
          <w:sz w:val="25"/>
          <w:szCs w:val="25"/>
        </w:rPr>
        <w:t>号），黔江区需治理（复垦）</w:t>
      </w:r>
      <w:r>
        <w:rPr>
          <w:rFonts w:ascii="仿宋" w:hAnsi="仿宋" w:eastAsia="仿宋" w:cs="仿宋"/>
          <w:spacing w:val="2"/>
          <w:sz w:val="25"/>
          <w:szCs w:val="25"/>
        </w:rPr>
        <w:t>面积为</w:t>
      </w:r>
      <w:r>
        <w:rPr>
          <w:rFonts w:ascii="仿宋" w:hAnsi="仿宋" w:eastAsia="仿宋" w:cs="仿宋"/>
          <w:spacing w:val="-30"/>
          <w:sz w:val="25"/>
          <w:szCs w:val="25"/>
        </w:rPr>
        <w:t xml:space="preserve"> </w:t>
      </w:r>
      <w:r>
        <w:rPr>
          <w:rFonts w:ascii="Times New Roman" w:hAnsi="Times New Roman" w:eastAsia="Times New Roman" w:cs="Times New Roman"/>
          <w:spacing w:val="2"/>
          <w:sz w:val="25"/>
          <w:szCs w:val="25"/>
        </w:rPr>
        <w:t>106.77</w:t>
      </w:r>
      <w:r>
        <w:rPr>
          <w:rFonts w:ascii="Times New Roman" w:hAnsi="Times New Roman" w:eastAsia="Times New Roman" w:cs="Times New Roman"/>
          <w:spacing w:val="27"/>
          <w:w w:val="101"/>
          <w:sz w:val="25"/>
          <w:szCs w:val="25"/>
        </w:rPr>
        <w:t xml:space="preserve"> </w:t>
      </w:r>
      <w:r>
        <w:rPr>
          <w:rFonts w:ascii="仿宋" w:hAnsi="仿宋" w:eastAsia="仿宋" w:cs="仿宋"/>
          <w:spacing w:val="2"/>
          <w:sz w:val="25"/>
          <w:szCs w:val="25"/>
        </w:rPr>
        <w:t>公顷，</w:t>
      </w:r>
      <w:r>
        <w:rPr>
          <w:rFonts w:ascii="Times New Roman" w:hAnsi="Times New Roman" w:eastAsia="Times New Roman" w:cs="Times New Roman"/>
          <w:spacing w:val="2"/>
          <w:sz w:val="25"/>
          <w:szCs w:val="25"/>
        </w:rPr>
        <w:t>2030</w:t>
      </w:r>
      <w:r>
        <w:rPr>
          <w:rFonts w:ascii="Times New Roman" w:hAnsi="Times New Roman" w:eastAsia="Times New Roman" w:cs="Times New Roman"/>
          <w:sz w:val="25"/>
          <w:szCs w:val="25"/>
        </w:rPr>
        <w:t xml:space="preserve">   </w:t>
      </w:r>
      <w:r>
        <w:rPr>
          <w:rFonts w:ascii="仿宋" w:hAnsi="仿宋" w:eastAsia="仿宋" w:cs="仿宋"/>
          <w:spacing w:val="5"/>
          <w:sz w:val="25"/>
          <w:szCs w:val="25"/>
        </w:rPr>
        <w:t>年前需全部完成治理。自</w:t>
      </w:r>
      <w:r>
        <w:rPr>
          <w:rFonts w:ascii="仿宋" w:hAnsi="仿宋" w:eastAsia="仿宋" w:cs="仿宋"/>
          <w:spacing w:val="-52"/>
          <w:sz w:val="25"/>
          <w:szCs w:val="25"/>
        </w:rPr>
        <w:t xml:space="preserve"> </w:t>
      </w:r>
      <w:r>
        <w:rPr>
          <w:rFonts w:ascii="Times New Roman" w:hAnsi="Times New Roman" w:eastAsia="Times New Roman" w:cs="Times New Roman"/>
          <w:spacing w:val="5"/>
          <w:sz w:val="25"/>
          <w:szCs w:val="25"/>
        </w:rPr>
        <w:t>2018</w:t>
      </w:r>
      <w:r>
        <w:rPr>
          <w:rFonts w:ascii="Times New Roman" w:hAnsi="Times New Roman" w:eastAsia="Times New Roman" w:cs="Times New Roman"/>
          <w:spacing w:val="25"/>
          <w:sz w:val="25"/>
          <w:szCs w:val="25"/>
        </w:rPr>
        <w:t xml:space="preserve"> </w:t>
      </w:r>
      <w:r>
        <w:rPr>
          <w:rFonts w:ascii="仿宋" w:hAnsi="仿宋" w:eastAsia="仿宋" w:cs="仿宋"/>
          <w:spacing w:val="5"/>
          <w:sz w:val="25"/>
          <w:szCs w:val="25"/>
        </w:rPr>
        <w:t>年以来，黔</w:t>
      </w:r>
      <w:r>
        <w:rPr>
          <w:rFonts w:ascii="仿宋" w:hAnsi="仿宋" w:eastAsia="仿宋" w:cs="仿宋"/>
          <w:spacing w:val="4"/>
          <w:sz w:val="25"/>
          <w:szCs w:val="25"/>
        </w:rPr>
        <w:t>江州区严格落实市局每年下达的历史</w:t>
      </w:r>
      <w:r>
        <w:rPr>
          <w:rFonts w:ascii="仿宋" w:hAnsi="仿宋" w:eastAsia="仿宋" w:cs="仿宋"/>
          <w:sz w:val="25"/>
          <w:szCs w:val="25"/>
        </w:rPr>
        <w:t xml:space="preserve">  </w:t>
      </w:r>
      <w:r>
        <w:rPr>
          <w:rFonts w:ascii="仿宋" w:hAnsi="仿宋" w:eastAsia="仿宋" w:cs="仿宋"/>
          <w:spacing w:val="9"/>
          <w:sz w:val="25"/>
          <w:szCs w:val="25"/>
        </w:rPr>
        <w:t xml:space="preserve">遗留和关闭矿山地质环境治理恢复与土地复垦目标，每年均完成了市规资局下  </w:t>
      </w:r>
      <w:r>
        <w:rPr>
          <w:rFonts w:ascii="仿宋" w:hAnsi="仿宋" w:eastAsia="仿宋" w:cs="仿宋"/>
          <w:spacing w:val="6"/>
          <w:sz w:val="25"/>
          <w:szCs w:val="25"/>
        </w:rPr>
        <w:t>达的年度修复任务。</w:t>
      </w:r>
    </w:p>
    <w:p w14:paraId="55392793">
      <w:pPr>
        <w:spacing w:line="340" w:lineRule="auto"/>
        <w:rPr>
          <w:rFonts w:ascii="仿宋" w:hAnsi="仿宋" w:eastAsia="仿宋" w:cs="仿宋"/>
          <w:sz w:val="25"/>
          <w:szCs w:val="25"/>
        </w:rPr>
        <w:sectPr>
          <w:headerReference r:id="rId251" w:type="default"/>
          <w:footerReference r:id="rId252" w:type="default"/>
          <w:pgSz w:w="11906" w:h="16839"/>
          <w:pgMar w:top="1116" w:right="1360" w:bottom="866" w:left="1587" w:header="683" w:footer="703" w:gutter="0"/>
          <w:cols w:space="720" w:num="1"/>
        </w:sectPr>
      </w:pPr>
    </w:p>
    <w:p w14:paraId="150AB3A9">
      <w:pPr>
        <w:pStyle w:val="2"/>
        <w:spacing w:line="384" w:lineRule="auto"/>
      </w:pPr>
    </w:p>
    <w:p w14:paraId="6EC3F7DE">
      <w:pPr>
        <w:spacing w:before="81" w:line="340" w:lineRule="auto"/>
        <w:ind w:left="18" w:right="6" w:firstLine="519"/>
        <w:rPr>
          <w:rFonts w:ascii="仿宋" w:hAnsi="仿宋" w:eastAsia="仿宋" w:cs="仿宋"/>
          <w:sz w:val="25"/>
          <w:szCs w:val="25"/>
        </w:rPr>
      </w:pPr>
      <w:r>
        <w:rPr>
          <w:rFonts w:ascii="仿宋" w:hAnsi="仿宋" w:eastAsia="仿宋" w:cs="仿宋"/>
          <w:spacing w:val="4"/>
          <w:sz w:val="25"/>
          <w:szCs w:val="25"/>
        </w:rPr>
        <w:t>根据最新的生态保护红线、永久基本农田、城镇开发边界、一般生态空间、</w:t>
      </w:r>
      <w:r>
        <w:rPr>
          <w:rFonts w:ascii="仿宋" w:hAnsi="仿宋" w:eastAsia="仿宋" w:cs="仿宋"/>
          <w:spacing w:val="5"/>
          <w:sz w:val="25"/>
          <w:szCs w:val="25"/>
        </w:rPr>
        <w:t xml:space="preserve"> </w:t>
      </w:r>
      <w:r>
        <w:rPr>
          <w:rFonts w:ascii="仿宋" w:hAnsi="仿宋" w:eastAsia="仿宋" w:cs="仿宋"/>
          <w:spacing w:val="10"/>
          <w:sz w:val="25"/>
          <w:szCs w:val="25"/>
        </w:rPr>
        <w:t>国家公益林等进行叠图分析，部分区块仍占用永久基本农田、城镇开发边界、</w:t>
      </w:r>
      <w:r>
        <w:rPr>
          <w:rFonts w:ascii="仿宋" w:hAnsi="仿宋" w:eastAsia="仿宋" w:cs="仿宋"/>
          <w:spacing w:val="11"/>
          <w:sz w:val="25"/>
          <w:szCs w:val="25"/>
        </w:rPr>
        <w:t xml:space="preserve"> </w:t>
      </w:r>
      <w:r>
        <w:rPr>
          <w:rFonts w:ascii="仿宋" w:hAnsi="仿宋" w:eastAsia="仿宋" w:cs="仿宋"/>
          <w:spacing w:val="10"/>
          <w:sz w:val="25"/>
          <w:szCs w:val="25"/>
        </w:rPr>
        <w:t>国家公益林、饮用水源保护区。本评价对占</w:t>
      </w:r>
      <w:r>
        <w:rPr>
          <w:rFonts w:ascii="仿宋" w:hAnsi="仿宋" w:eastAsia="仿宋" w:cs="仿宋"/>
          <w:spacing w:val="9"/>
          <w:sz w:val="25"/>
          <w:szCs w:val="25"/>
        </w:rPr>
        <w:t>用相关环境敏感区的勘查开采区块</w:t>
      </w:r>
      <w:r>
        <w:rPr>
          <w:rFonts w:ascii="仿宋" w:hAnsi="仿宋" w:eastAsia="仿宋" w:cs="仿宋"/>
          <w:sz w:val="25"/>
          <w:szCs w:val="25"/>
        </w:rPr>
        <w:t xml:space="preserve"> </w:t>
      </w:r>
      <w:r>
        <w:rPr>
          <w:rFonts w:ascii="仿宋" w:hAnsi="仿宋" w:eastAsia="仿宋" w:cs="仿宋"/>
          <w:spacing w:val="8"/>
          <w:sz w:val="25"/>
          <w:szCs w:val="25"/>
        </w:rPr>
        <w:t>提出了相应的调整方案和管理要求。</w:t>
      </w:r>
    </w:p>
    <w:p w14:paraId="5FBDC758">
      <w:pPr>
        <w:spacing w:before="12" w:line="226" w:lineRule="auto"/>
        <w:ind w:left="7"/>
        <w:outlineLvl w:val="2"/>
        <w:rPr>
          <w:rFonts w:ascii="仿宋" w:hAnsi="仿宋" w:eastAsia="仿宋" w:cs="仿宋"/>
          <w:sz w:val="25"/>
          <w:szCs w:val="25"/>
        </w:rPr>
      </w:pPr>
      <w:r>
        <w:rPr>
          <w:rFonts w:ascii="Times New Roman" w:hAnsi="Times New Roman" w:eastAsia="Times New Roman" w:cs="Times New Roman"/>
          <w:b/>
          <w:bCs/>
          <w:spacing w:val="5"/>
          <w:sz w:val="25"/>
          <w:szCs w:val="25"/>
        </w:rPr>
        <w:t>9.2.5</w:t>
      </w:r>
      <w:r>
        <w:rPr>
          <w:rFonts w:ascii="Times New Roman" w:hAnsi="Times New Roman" w:eastAsia="Times New Roman" w:cs="Times New Roman"/>
          <w:b/>
          <w:bCs/>
          <w:spacing w:val="44"/>
          <w:sz w:val="25"/>
          <w:szCs w:val="25"/>
        </w:rPr>
        <w:t xml:space="preserve"> </w:t>
      </w:r>
      <w:r>
        <w:rPr>
          <w:rFonts w:ascii="仿宋" w:hAnsi="仿宋" w:eastAsia="仿宋" w:cs="仿宋"/>
          <w:b/>
          <w:bCs/>
          <w:spacing w:val="5"/>
          <w:sz w:val="25"/>
          <w:szCs w:val="25"/>
        </w:rPr>
        <w:t>存在的主要生态环境问题解决情况调查</w:t>
      </w:r>
    </w:p>
    <w:p w14:paraId="6FE68846">
      <w:pPr>
        <w:spacing w:before="256" w:line="303" w:lineRule="auto"/>
        <w:ind w:left="17" w:right="6" w:firstLine="524"/>
        <w:rPr>
          <w:rFonts w:ascii="仿宋" w:hAnsi="仿宋" w:eastAsia="仿宋" w:cs="仿宋"/>
          <w:sz w:val="25"/>
          <w:szCs w:val="25"/>
        </w:rPr>
      </w:pPr>
      <w:r>
        <w:rPr>
          <w:rFonts w:ascii="仿宋" w:hAnsi="仿宋" w:eastAsia="仿宋" w:cs="仿宋"/>
          <w:spacing w:val="3"/>
          <w:sz w:val="25"/>
          <w:szCs w:val="25"/>
        </w:rPr>
        <w:t>（</w:t>
      </w:r>
      <w:r>
        <w:rPr>
          <w:rFonts w:ascii="Times New Roman" w:hAnsi="Times New Roman" w:eastAsia="Times New Roman" w:cs="Times New Roman"/>
          <w:spacing w:val="3"/>
          <w:sz w:val="25"/>
          <w:szCs w:val="25"/>
        </w:rPr>
        <w:t>1</w:t>
      </w:r>
      <w:r>
        <w:rPr>
          <w:rFonts w:ascii="仿宋" w:hAnsi="仿宋" w:eastAsia="仿宋" w:cs="仿宋"/>
          <w:spacing w:val="3"/>
          <w:sz w:val="25"/>
          <w:szCs w:val="25"/>
        </w:rPr>
        <w:t>）针对《重庆市规划和自然资源局关于移送绿色矿山</w:t>
      </w:r>
      <w:r>
        <w:rPr>
          <w:rFonts w:ascii="仿宋" w:hAnsi="仿宋" w:eastAsia="仿宋" w:cs="仿宋"/>
          <w:spacing w:val="2"/>
          <w:sz w:val="25"/>
          <w:szCs w:val="25"/>
        </w:rPr>
        <w:t>“</w:t>
      </w:r>
      <w:r>
        <w:rPr>
          <w:rFonts w:ascii="仿宋" w:hAnsi="仿宋" w:eastAsia="仿宋" w:cs="仿宋"/>
          <w:spacing w:val="-76"/>
          <w:sz w:val="25"/>
          <w:szCs w:val="25"/>
        </w:rPr>
        <w:t xml:space="preserve"> </w:t>
      </w:r>
      <w:r>
        <w:rPr>
          <w:rFonts w:ascii="仿宋" w:hAnsi="仿宋" w:eastAsia="仿宋" w:cs="仿宋"/>
          <w:spacing w:val="2"/>
          <w:sz w:val="25"/>
          <w:szCs w:val="25"/>
        </w:rPr>
        <w:t>回头看</w:t>
      </w:r>
      <w:r>
        <w:rPr>
          <w:rFonts w:ascii="仿宋" w:hAnsi="仿宋" w:eastAsia="仿宋" w:cs="仿宋"/>
          <w:spacing w:val="-90"/>
          <w:sz w:val="25"/>
          <w:szCs w:val="25"/>
        </w:rPr>
        <w:t xml:space="preserve"> </w:t>
      </w:r>
      <w:r>
        <w:rPr>
          <w:rFonts w:ascii="仿宋" w:hAnsi="仿宋" w:eastAsia="仿宋" w:cs="仿宋"/>
          <w:spacing w:val="2"/>
          <w:sz w:val="25"/>
          <w:szCs w:val="25"/>
        </w:rPr>
        <w:t>”有关问</w:t>
      </w:r>
      <w:r>
        <w:rPr>
          <w:rFonts w:ascii="仿宋" w:hAnsi="仿宋" w:eastAsia="仿宋" w:cs="仿宋"/>
          <w:sz w:val="25"/>
          <w:szCs w:val="25"/>
        </w:rPr>
        <w:t xml:space="preserve"> </w:t>
      </w:r>
      <w:r>
        <w:rPr>
          <w:rFonts w:ascii="仿宋" w:hAnsi="仿宋" w:eastAsia="仿宋" w:cs="仿宋"/>
          <w:spacing w:val="4"/>
          <w:sz w:val="25"/>
          <w:szCs w:val="25"/>
        </w:rPr>
        <w:t>题的函》提出的相关问题，</w:t>
      </w:r>
      <w:r>
        <w:rPr>
          <w:rFonts w:ascii="Times New Roman" w:hAnsi="Times New Roman" w:eastAsia="Times New Roman" w:cs="Times New Roman"/>
          <w:spacing w:val="4"/>
          <w:sz w:val="25"/>
          <w:szCs w:val="25"/>
        </w:rPr>
        <w:t>6</w:t>
      </w:r>
      <w:r>
        <w:rPr>
          <w:rFonts w:ascii="Times New Roman" w:hAnsi="Times New Roman" w:eastAsia="Times New Roman" w:cs="Times New Roman"/>
          <w:spacing w:val="22"/>
          <w:w w:val="101"/>
          <w:sz w:val="25"/>
          <w:szCs w:val="25"/>
        </w:rPr>
        <w:t xml:space="preserve"> </w:t>
      </w:r>
      <w:r>
        <w:rPr>
          <w:rFonts w:ascii="仿宋" w:hAnsi="仿宋" w:eastAsia="仿宋" w:cs="仿宋"/>
          <w:spacing w:val="4"/>
          <w:sz w:val="25"/>
          <w:szCs w:val="25"/>
        </w:rPr>
        <w:t>家矿山中</w:t>
      </w:r>
      <w:r>
        <w:rPr>
          <w:rFonts w:ascii="仿宋" w:hAnsi="仿宋" w:eastAsia="仿宋" w:cs="仿宋"/>
          <w:spacing w:val="-50"/>
          <w:sz w:val="25"/>
          <w:szCs w:val="25"/>
        </w:rPr>
        <w:t xml:space="preserve"> </w:t>
      </w:r>
      <w:r>
        <w:rPr>
          <w:rFonts w:ascii="Times New Roman" w:hAnsi="Times New Roman" w:eastAsia="Times New Roman" w:cs="Times New Roman"/>
          <w:spacing w:val="4"/>
          <w:sz w:val="25"/>
          <w:szCs w:val="25"/>
        </w:rPr>
        <w:t>3</w:t>
      </w:r>
      <w:r>
        <w:rPr>
          <w:rFonts w:ascii="Times New Roman" w:hAnsi="Times New Roman" w:eastAsia="Times New Roman" w:cs="Times New Roman"/>
          <w:spacing w:val="23"/>
          <w:sz w:val="25"/>
          <w:szCs w:val="25"/>
        </w:rPr>
        <w:t xml:space="preserve"> </w:t>
      </w:r>
      <w:r>
        <w:rPr>
          <w:rFonts w:ascii="仿宋" w:hAnsi="仿宋" w:eastAsia="仿宋" w:cs="仿宋"/>
          <w:spacing w:val="4"/>
          <w:sz w:val="25"/>
          <w:szCs w:val="25"/>
        </w:rPr>
        <w:t>家</w:t>
      </w:r>
      <w:r>
        <w:rPr>
          <w:rFonts w:ascii="仿宋" w:hAnsi="仿宋" w:eastAsia="仿宋" w:cs="仿宋"/>
          <w:spacing w:val="3"/>
          <w:sz w:val="25"/>
          <w:szCs w:val="25"/>
        </w:rPr>
        <w:t>已关闭，剩余</w:t>
      </w:r>
      <w:r>
        <w:rPr>
          <w:rFonts w:ascii="仿宋" w:hAnsi="仿宋" w:eastAsia="仿宋" w:cs="仿宋"/>
          <w:spacing w:val="-47"/>
          <w:sz w:val="25"/>
          <w:szCs w:val="25"/>
        </w:rPr>
        <w:t xml:space="preserve"> </w:t>
      </w:r>
      <w:r>
        <w:rPr>
          <w:rFonts w:ascii="Times New Roman" w:hAnsi="Times New Roman" w:eastAsia="Times New Roman" w:cs="Times New Roman"/>
          <w:spacing w:val="3"/>
          <w:sz w:val="25"/>
          <w:szCs w:val="25"/>
        </w:rPr>
        <w:t>3</w:t>
      </w:r>
      <w:r>
        <w:rPr>
          <w:rFonts w:ascii="Times New Roman" w:hAnsi="Times New Roman" w:eastAsia="Times New Roman" w:cs="Times New Roman"/>
          <w:spacing w:val="23"/>
          <w:sz w:val="25"/>
          <w:szCs w:val="25"/>
        </w:rPr>
        <w:t xml:space="preserve"> </w:t>
      </w:r>
      <w:r>
        <w:rPr>
          <w:rFonts w:ascii="仿宋" w:hAnsi="仿宋" w:eastAsia="仿宋" w:cs="仿宋"/>
          <w:spacing w:val="3"/>
          <w:sz w:val="25"/>
          <w:szCs w:val="25"/>
        </w:rPr>
        <w:t>家进行了认真整改、</w:t>
      </w:r>
      <w:r>
        <w:rPr>
          <w:rFonts w:ascii="仿宋" w:hAnsi="仿宋" w:eastAsia="仿宋" w:cs="仿宋"/>
          <w:sz w:val="25"/>
          <w:szCs w:val="25"/>
        </w:rPr>
        <w:t xml:space="preserve"> 落实。</w:t>
      </w:r>
    </w:p>
    <w:p w14:paraId="671FB781">
      <w:pPr>
        <w:spacing w:before="150" w:line="226" w:lineRule="auto"/>
        <w:ind w:left="541"/>
        <w:rPr>
          <w:rFonts w:ascii="仿宋" w:hAnsi="仿宋" w:eastAsia="仿宋" w:cs="仿宋"/>
          <w:sz w:val="25"/>
          <w:szCs w:val="25"/>
        </w:rPr>
      </w:pPr>
      <w:r>
        <w:rPr>
          <w:rFonts w:ascii="仿宋" w:hAnsi="仿宋" w:eastAsia="仿宋" w:cs="仿宋"/>
          <w:spacing w:val="9"/>
          <w:sz w:val="25"/>
          <w:szCs w:val="25"/>
        </w:rPr>
        <w:t>（</w:t>
      </w:r>
      <w:r>
        <w:rPr>
          <w:rFonts w:ascii="Times New Roman" w:hAnsi="Times New Roman" w:eastAsia="Times New Roman" w:cs="Times New Roman"/>
          <w:spacing w:val="9"/>
          <w:sz w:val="25"/>
          <w:szCs w:val="25"/>
        </w:rPr>
        <w:t>2</w:t>
      </w:r>
      <w:r>
        <w:rPr>
          <w:rFonts w:ascii="仿宋" w:hAnsi="仿宋" w:eastAsia="仿宋" w:cs="仿宋"/>
          <w:spacing w:val="9"/>
          <w:sz w:val="25"/>
          <w:szCs w:val="25"/>
        </w:rPr>
        <w:t>）部分关闭矿山仍未完成生态修复，正</w:t>
      </w:r>
      <w:r>
        <w:rPr>
          <w:rFonts w:ascii="仿宋" w:hAnsi="仿宋" w:eastAsia="仿宋" w:cs="仿宋"/>
          <w:spacing w:val="8"/>
          <w:sz w:val="25"/>
          <w:szCs w:val="25"/>
        </w:rPr>
        <w:t>在实施生态修复工作。</w:t>
      </w:r>
    </w:p>
    <w:p w14:paraId="6E997789">
      <w:pPr>
        <w:spacing w:before="275" w:line="229" w:lineRule="auto"/>
        <w:ind w:left="7"/>
        <w:outlineLvl w:val="1"/>
        <w:rPr>
          <w:rFonts w:ascii="仿宋" w:hAnsi="仿宋" w:eastAsia="仿宋" w:cs="仿宋"/>
          <w:sz w:val="25"/>
          <w:szCs w:val="25"/>
        </w:rPr>
      </w:pPr>
      <w:bookmarkStart w:id="50" w:name="bookmark43"/>
      <w:bookmarkEnd w:id="50"/>
      <w:r>
        <w:rPr>
          <w:rFonts w:ascii="Times New Roman" w:hAnsi="Times New Roman" w:eastAsia="Times New Roman" w:cs="Times New Roman"/>
          <w:b/>
          <w:bCs/>
          <w:spacing w:val="5"/>
          <w:sz w:val="25"/>
          <w:szCs w:val="25"/>
        </w:rPr>
        <w:t xml:space="preserve">9.3  </w:t>
      </w:r>
      <w:r>
        <w:rPr>
          <w:rFonts w:ascii="仿宋" w:hAnsi="仿宋" w:eastAsia="仿宋" w:cs="仿宋"/>
          <w:b/>
          <w:bCs/>
          <w:spacing w:val="5"/>
          <w:sz w:val="25"/>
          <w:szCs w:val="25"/>
        </w:rPr>
        <w:t>环境影响预测与评价</w:t>
      </w:r>
    </w:p>
    <w:p w14:paraId="41A7C572">
      <w:pPr>
        <w:spacing w:before="268" w:line="229" w:lineRule="auto"/>
        <w:ind w:left="7"/>
        <w:outlineLvl w:val="2"/>
        <w:rPr>
          <w:rFonts w:ascii="仿宋" w:hAnsi="仿宋" w:eastAsia="仿宋" w:cs="仿宋"/>
          <w:sz w:val="25"/>
          <w:szCs w:val="25"/>
        </w:rPr>
      </w:pPr>
      <w:r>
        <w:rPr>
          <w:rFonts w:ascii="Times New Roman" w:hAnsi="Times New Roman" w:eastAsia="Times New Roman" w:cs="Times New Roman"/>
          <w:b/>
          <w:bCs/>
          <w:spacing w:val="3"/>
          <w:sz w:val="25"/>
          <w:szCs w:val="25"/>
        </w:rPr>
        <w:t>9.3.1</w:t>
      </w:r>
      <w:r>
        <w:rPr>
          <w:rFonts w:ascii="Times New Roman" w:hAnsi="Times New Roman" w:eastAsia="Times New Roman" w:cs="Times New Roman"/>
          <w:b/>
          <w:bCs/>
          <w:spacing w:val="39"/>
          <w:sz w:val="25"/>
          <w:szCs w:val="25"/>
        </w:rPr>
        <w:t xml:space="preserve"> </w:t>
      </w:r>
      <w:r>
        <w:rPr>
          <w:rFonts w:ascii="仿宋" w:hAnsi="仿宋" w:eastAsia="仿宋" w:cs="仿宋"/>
          <w:b/>
          <w:bCs/>
          <w:spacing w:val="3"/>
          <w:sz w:val="25"/>
          <w:szCs w:val="25"/>
        </w:rPr>
        <w:t>资源与环境承载力</w:t>
      </w:r>
    </w:p>
    <w:p w14:paraId="28B9532A">
      <w:pPr>
        <w:spacing w:before="271" w:line="228" w:lineRule="auto"/>
        <w:ind w:left="541"/>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1</w:t>
      </w:r>
      <w:r>
        <w:rPr>
          <w:rFonts w:ascii="仿宋" w:hAnsi="仿宋" w:eastAsia="仿宋" w:cs="仿宋"/>
          <w:spacing w:val="7"/>
          <w:sz w:val="25"/>
          <w:szCs w:val="25"/>
        </w:rPr>
        <w:t>）资源承载力分析</w:t>
      </w:r>
    </w:p>
    <w:p w14:paraId="1CB501B4">
      <w:pPr>
        <w:spacing w:before="154" w:line="339" w:lineRule="auto"/>
        <w:ind w:left="8" w:right="90" w:firstLine="486"/>
        <w:rPr>
          <w:rFonts w:ascii="仿宋" w:hAnsi="仿宋" w:eastAsia="仿宋" w:cs="仿宋"/>
          <w:sz w:val="25"/>
          <w:szCs w:val="25"/>
        </w:rPr>
      </w:pPr>
      <w:r>
        <w:rPr>
          <w:rFonts w:ascii="仿宋" w:hAnsi="仿宋" w:eastAsia="仿宋" w:cs="仿宋"/>
          <w:spacing w:val="8"/>
          <w:sz w:val="25"/>
          <w:szCs w:val="25"/>
        </w:rPr>
        <w:t>《规划调整》实施后，</w:t>
      </w:r>
      <w:r>
        <w:rPr>
          <w:rFonts w:ascii="Times New Roman" w:hAnsi="Times New Roman" w:eastAsia="Times New Roman" w:cs="Times New Roman"/>
          <w:spacing w:val="8"/>
          <w:sz w:val="25"/>
          <w:szCs w:val="25"/>
        </w:rPr>
        <w:t>20</w:t>
      </w:r>
      <w:r>
        <w:rPr>
          <w:rFonts w:ascii="Times New Roman" w:hAnsi="Times New Roman" w:eastAsia="Times New Roman" w:cs="Times New Roman"/>
          <w:spacing w:val="23"/>
          <w:w w:val="101"/>
          <w:sz w:val="25"/>
          <w:szCs w:val="25"/>
        </w:rPr>
        <w:t xml:space="preserve"> </w:t>
      </w:r>
      <w:r>
        <w:rPr>
          <w:rFonts w:ascii="仿宋" w:hAnsi="仿宋" w:eastAsia="仿宋" w:cs="仿宋"/>
          <w:spacing w:val="8"/>
          <w:sz w:val="25"/>
          <w:szCs w:val="25"/>
        </w:rPr>
        <w:t>个露天开采矿山占黔江区现状耕地面积的</w:t>
      </w:r>
      <w:r>
        <w:rPr>
          <w:rFonts w:ascii="仿宋" w:hAnsi="仿宋" w:eastAsia="仿宋" w:cs="仿宋"/>
          <w:spacing w:val="7"/>
          <w:sz w:val="25"/>
          <w:szCs w:val="25"/>
        </w:rPr>
        <w:t>比例为</w:t>
      </w:r>
      <w:r>
        <w:rPr>
          <w:rFonts w:ascii="仿宋" w:hAnsi="仿宋" w:eastAsia="仿宋" w:cs="仿宋"/>
          <w:sz w:val="25"/>
          <w:szCs w:val="25"/>
        </w:rPr>
        <w:t xml:space="preserve"> </w:t>
      </w:r>
      <w:r>
        <w:rPr>
          <w:rFonts w:ascii="Times New Roman" w:hAnsi="Times New Roman" w:eastAsia="Times New Roman" w:cs="Times New Roman"/>
          <w:spacing w:val="10"/>
          <w:sz w:val="25"/>
          <w:szCs w:val="25"/>
        </w:rPr>
        <w:t>0.</w:t>
      </w:r>
      <w:r>
        <w:rPr>
          <w:rFonts w:ascii="Times New Roman" w:hAnsi="Times New Roman" w:eastAsia="Times New Roman" w:cs="Times New Roman"/>
          <w:spacing w:val="-32"/>
          <w:sz w:val="25"/>
          <w:szCs w:val="25"/>
        </w:rPr>
        <w:t xml:space="preserve"> </w:t>
      </w:r>
      <w:r>
        <w:rPr>
          <w:rFonts w:ascii="Times New Roman" w:hAnsi="Times New Roman" w:eastAsia="Times New Roman" w:cs="Times New Roman"/>
          <w:spacing w:val="10"/>
          <w:sz w:val="25"/>
          <w:szCs w:val="25"/>
        </w:rPr>
        <w:t>1545%</w:t>
      </w:r>
      <w:r>
        <w:rPr>
          <w:rFonts w:ascii="Times New Roman" w:hAnsi="Times New Roman" w:eastAsia="Times New Roman" w:cs="Times New Roman"/>
          <w:spacing w:val="-22"/>
          <w:sz w:val="25"/>
          <w:szCs w:val="25"/>
        </w:rPr>
        <w:t xml:space="preserve"> </w:t>
      </w:r>
      <w:r>
        <w:rPr>
          <w:rFonts w:ascii="仿宋" w:hAnsi="仿宋" w:eastAsia="仿宋" w:cs="仿宋"/>
          <w:spacing w:val="10"/>
          <w:sz w:val="25"/>
          <w:szCs w:val="25"/>
        </w:rPr>
        <w:t>，调整后露天开采规划区块将减少对黔江区的土地利用的影</w:t>
      </w:r>
      <w:r>
        <w:rPr>
          <w:rFonts w:ascii="仿宋" w:hAnsi="仿宋" w:eastAsia="仿宋" w:cs="仿宋"/>
          <w:spacing w:val="9"/>
          <w:sz w:val="25"/>
          <w:szCs w:val="25"/>
        </w:rPr>
        <w:t>响，从整</w:t>
      </w:r>
      <w:r>
        <w:rPr>
          <w:rFonts w:ascii="仿宋" w:hAnsi="仿宋" w:eastAsia="仿宋" w:cs="仿宋"/>
          <w:sz w:val="25"/>
          <w:szCs w:val="25"/>
        </w:rPr>
        <w:t xml:space="preserve"> </w:t>
      </w:r>
      <w:r>
        <w:rPr>
          <w:rFonts w:ascii="仿宋" w:hAnsi="仿宋" w:eastAsia="仿宋" w:cs="仿宋"/>
          <w:spacing w:val="10"/>
          <w:sz w:val="25"/>
          <w:szCs w:val="25"/>
        </w:rPr>
        <w:t>体上来看，不会改变黔江区的农业生产结构，不会造成农业生</w:t>
      </w:r>
      <w:r>
        <w:rPr>
          <w:rFonts w:ascii="仿宋" w:hAnsi="仿宋" w:eastAsia="仿宋" w:cs="仿宋"/>
          <w:spacing w:val="9"/>
          <w:sz w:val="25"/>
          <w:szCs w:val="25"/>
        </w:rPr>
        <w:t>产作物产量的降</w:t>
      </w:r>
      <w:r>
        <w:rPr>
          <w:rFonts w:ascii="仿宋" w:hAnsi="仿宋" w:eastAsia="仿宋" w:cs="仿宋"/>
          <w:sz w:val="25"/>
          <w:szCs w:val="25"/>
        </w:rPr>
        <w:t xml:space="preserve"> </w:t>
      </w:r>
      <w:r>
        <w:rPr>
          <w:rFonts w:ascii="仿宋" w:hAnsi="仿宋" w:eastAsia="仿宋" w:cs="仿宋"/>
          <w:spacing w:val="8"/>
          <w:sz w:val="25"/>
          <w:szCs w:val="25"/>
        </w:rPr>
        <w:t>低，评价认为，土地资源可承载规划实施。</w:t>
      </w:r>
    </w:p>
    <w:p w14:paraId="67E82730">
      <w:pPr>
        <w:spacing w:before="2" w:line="339" w:lineRule="auto"/>
        <w:ind w:left="16" w:right="90" w:firstLine="519"/>
        <w:jc w:val="both"/>
        <w:rPr>
          <w:rFonts w:ascii="仿宋" w:hAnsi="仿宋" w:eastAsia="仿宋" w:cs="仿宋"/>
          <w:sz w:val="25"/>
          <w:szCs w:val="25"/>
        </w:rPr>
      </w:pPr>
      <w:r>
        <w:rPr>
          <w:rFonts w:ascii="仿宋" w:hAnsi="仿宋" w:eastAsia="仿宋" w:cs="仿宋"/>
          <w:spacing w:val="5"/>
          <w:sz w:val="25"/>
          <w:szCs w:val="25"/>
        </w:rPr>
        <w:t>《规划调整》后黔江区采矿业用水量不变仍为</w:t>
      </w:r>
      <w:r>
        <w:rPr>
          <w:rFonts w:ascii="仿宋" w:hAnsi="仿宋" w:eastAsia="仿宋" w:cs="仿宋"/>
          <w:spacing w:val="-45"/>
          <w:sz w:val="25"/>
          <w:szCs w:val="25"/>
        </w:rPr>
        <w:t xml:space="preserve"> </w:t>
      </w:r>
      <w:r>
        <w:rPr>
          <w:rFonts w:ascii="Times New Roman" w:hAnsi="Times New Roman" w:eastAsia="Times New Roman" w:cs="Times New Roman"/>
          <w:spacing w:val="5"/>
          <w:sz w:val="25"/>
          <w:szCs w:val="25"/>
        </w:rPr>
        <w:t>47.055</w:t>
      </w:r>
      <w:r>
        <w:rPr>
          <w:rFonts w:ascii="Times New Roman" w:hAnsi="Times New Roman" w:eastAsia="Times New Roman" w:cs="Times New Roman"/>
          <w:spacing w:val="24"/>
          <w:sz w:val="25"/>
          <w:szCs w:val="25"/>
        </w:rPr>
        <w:t xml:space="preserve"> </w:t>
      </w:r>
      <w:r>
        <w:rPr>
          <w:rFonts w:ascii="仿宋" w:hAnsi="仿宋" w:eastAsia="仿宋" w:cs="仿宋"/>
          <w:spacing w:val="5"/>
          <w:sz w:val="25"/>
          <w:szCs w:val="25"/>
        </w:rPr>
        <w:t>万</w:t>
      </w:r>
      <w:r>
        <w:rPr>
          <w:rFonts w:ascii="仿宋" w:hAnsi="仿宋" w:eastAsia="仿宋" w:cs="仿宋"/>
          <w:spacing w:val="-58"/>
          <w:sz w:val="25"/>
          <w:szCs w:val="25"/>
        </w:rPr>
        <w:t xml:space="preserve"> </w:t>
      </w:r>
      <w:r>
        <w:rPr>
          <w:rFonts w:ascii="Times New Roman" w:hAnsi="Times New Roman" w:eastAsia="Times New Roman" w:cs="Times New Roman"/>
          <w:spacing w:val="5"/>
          <w:sz w:val="25"/>
          <w:szCs w:val="25"/>
        </w:rPr>
        <w:t>m</w:t>
      </w:r>
      <w:r>
        <w:rPr>
          <w:rFonts w:ascii="Times New Roman" w:hAnsi="Times New Roman" w:eastAsia="Times New Roman" w:cs="Times New Roman"/>
          <w:spacing w:val="5"/>
          <w:position w:val="8"/>
          <w:sz w:val="16"/>
          <w:szCs w:val="16"/>
        </w:rPr>
        <w:t xml:space="preserve">3 </w:t>
      </w:r>
      <w:r>
        <w:rPr>
          <w:rFonts w:ascii="仿宋" w:hAnsi="仿宋" w:eastAsia="仿宋" w:cs="仿宋"/>
          <w:spacing w:val="5"/>
          <w:sz w:val="25"/>
          <w:szCs w:val="25"/>
        </w:rPr>
        <w:t>，</w:t>
      </w:r>
      <w:r>
        <w:rPr>
          <w:rFonts w:ascii="Times New Roman" w:hAnsi="Times New Roman" w:eastAsia="Times New Roman" w:cs="Times New Roman"/>
          <w:spacing w:val="5"/>
          <w:sz w:val="25"/>
          <w:szCs w:val="25"/>
        </w:rPr>
        <w:t>2025</w:t>
      </w:r>
      <w:r>
        <w:rPr>
          <w:rFonts w:ascii="Times New Roman" w:hAnsi="Times New Roman" w:eastAsia="Times New Roman" w:cs="Times New Roman"/>
          <w:spacing w:val="25"/>
          <w:sz w:val="25"/>
          <w:szCs w:val="25"/>
        </w:rPr>
        <w:t xml:space="preserve"> </w:t>
      </w:r>
      <w:r>
        <w:rPr>
          <w:rFonts w:ascii="仿宋" w:hAnsi="仿宋" w:eastAsia="仿宋" w:cs="仿宋"/>
          <w:spacing w:val="5"/>
          <w:sz w:val="25"/>
          <w:szCs w:val="25"/>
        </w:rPr>
        <w:t>年规划</w:t>
      </w:r>
      <w:r>
        <w:rPr>
          <w:rFonts w:ascii="仿宋" w:hAnsi="仿宋" w:eastAsia="仿宋" w:cs="仿宋"/>
          <w:sz w:val="25"/>
          <w:szCs w:val="25"/>
        </w:rPr>
        <w:t xml:space="preserve"> </w:t>
      </w:r>
      <w:r>
        <w:rPr>
          <w:rFonts w:ascii="仿宋" w:hAnsi="仿宋" w:eastAsia="仿宋" w:cs="仿宋"/>
          <w:spacing w:val="2"/>
          <w:sz w:val="25"/>
          <w:szCs w:val="25"/>
        </w:rPr>
        <w:t>用水总量控制在</w:t>
      </w:r>
      <w:r>
        <w:rPr>
          <w:rFonts w:ascii="仿宋" w:hAnsi="仿宋" w:eastAsia="仿宋" w:cs="仿宋"/>
          <w:spacing w:val="-21"/>
          <w:sz w:val="25"/>
          <w:szCs w:val="25"/>
        </w:rPr>
        <w:t xml:space="preserve"> </w:t>
      </w:r>
      <w:r>
        <w:rPr>
          <w:rFonts w:ascii="Times New Roman" w:hAnsi="Times New Roman" w:eastAsia="Times New Roman" w:cs="Times New Roman"/>
          <w:spacing w:val="2"/>
          <w:sz w:val="25"/>
          <w:szCs w:val="25"/>
        </w:rPr>
        <w:t>10200</w:t>
      </w:r>
      <w:r>
        <w:rPr>
          <w:rFonts w:ascii="Times New Roman" w:hAnsi="Times New Roman" w:eastAsia="Times New Roman" w:cs="Times New Roman"/>
          <w:spacing w:val="24"/>
          <w:w w:val="101"/>
          <w:sz w:val="25"/>
          <w:szCs w:val="25"/>
        </w:rPr>
        <w:t xml:space="preserve"> </w:t>
      </w:r>
      <w:r>
        <w:rPr>
          <w:rFonts w:ascii="仿宋" w:hAnsi="仿宋" w:eastAsia="仿宋" w:cs="仿宋"/>
          <w:spacing w:val="2"/>
          <w:sz w:val="25"/>
          <w:szCs w:val="25"/>
        </w:rPr>
        <w:t>万</w:t>
      </w:r>
      <w:r>
        <w:rPr>
          <w:rFonts w:ascii="仿宋" w:hAnsi="仿宋" w:eastAsia="仿宋" w:cs="仿宋"/>
          <w:spacing w:val="-58"/>
          <w:sz w:val="25"/>
          <w:szCs w:val="25"/>
        </w:rPr>
        <w:t xml:space="preserve"> </w:t>
      </w:r>
      <w:r>
        <w:rPr>
          <w:rFonts w:ascii="Times New Roman" w:hAnsi="Times New Roman" w:eastAsia="Times New Roman" w:cs="Times New Roman"/>
          <w:spacing w:val="2"/>
          <w:sz w:val="25"/>
          <w:szCs w:val="25"/>
        </w:rPr>
        <w:t>m</w:t>
      </w:r>
      <w:r>
        <w:rPr>
          <w:rFonts w:ascii="Times New Roman" w:hAnsi="Times New Roman" w:eastAsia="Times New Roman" w:cs="Times New Roman"/>
          <w:spacing w:val="2"/>
          <w:position w:val="8"/>
          <w:sz w:val="16"/>
          <w:szCs w:val="16"/>
        </w:rPr>
        <w:t xml:space="preserve">3  </w:t>
      </w:r>
      <w:r>
        <w:rPr>
          <w:rFonts w:ascii="仿宋" w:hAnsi="仿宋" w:eastAsia="仿宋" w:cs="仿宋"/>
          <w:spacing w:val="2"/>
          <w:sz w:val="25"/>
          <w:szCs w:val="25"/>
        </w:rPr>
        <w:t>以内，占用水总量控制指标的</w:t>
      </w:r>
      <w:r>
        <w:rPr>
          <w:rFonts w:ascii="仿宋" w:hAnsi="仿宋" w:eastAsia="仿宋" w:cs="仿宋"/>
          <w:spacing w:val="-51"/>
          <w:sz w:val="25"/>
          <w:szCs w:val="25"/>
        </w:rPr>
        <w:t xml:space="preserve"> </w:t>
      </w:r>
      <w:r>
        <w:rPr>
          <w:rFonts w:ascii="Times New Roman" w:hAnsi="Times New Roman" w:eastAsia="Times New Roman" w:cs="Times New Roman"/>
          <w:spacing w:val="2"/>
          <w:sz w:val="25"/>
          <w:szCs w:val="25"/>
        </w:rPr>
        <w:t>0.46%</w:t>
      </w:r>
      <w:r>
        <w:rPr>
          <w:rFonts w:ascii="Times New Roman" w:hAnsi="Times New Roman" w:eastAsia="Times New Roman" w:cs="Times New Roman"/>
          <w:spacing w:val="-27"/>
          <w:sz w:val="25"/>
          <w:szCs w:val="25"/>
        </w:rPr>
        <w:t xml:space="preserve"> </w:t>
      </w:r>
      <w:r>
        <w:rPr>
          <w:rFonts w:ascii="仿宋" w:hAnsi="仿宋" w:eastAsia="仿宋" w:cs="仿宋"/>
          <w:spacing w:val="2"/>
          <w:sz w:val="25"/>
          <w:szCs w:val="25"/>
        </w:rPr>
        <w:t>，占比小，黔</w:t>
      </w:r>
      <w:r>
        <w:rPr>
          <w:rFonts w:ascii="仿宋" w:hAnsi="仿宋" w:eastAsia="仿宋" w:cs="仿宋"/>
          <w:sz w:val="25"/>
          <w:szCs w:val="25"/>
        </w:rPr>
        <w:t xml:space="preserve"> </w:t>
      </w:r>
      <w:r>
        <w:rPr>
          <w:rFonts w:ascii="仿宋" w:hAnsi="仿宋" w:eastAsia="仿宋" w:cs="仿宋"/>
          <w:spacing w:val="8"/>
          <w:sz w:val="25"/>
          <w:szCs w:val="25"/>
        </w:rPr>
        <w:t>江区水资源完全可以承载规划实施对水资源的需求。</w:t>
      </w:r>
    </w:p>
    <w:p w14:paraId="7052A0B7">
      <w:pPr>
        <w:spacing w:before="1" w:line="228" w:lineRule="auto"/>
        <w:ind w:left="541"/>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2</w:t>
      </w:r>
      <w:r>
        <w:rPr>
          <w:rFonts w:ascii="仿宋" w:hAnsi="仿宋" w:eastAsia="仿宋" w:cs="仿宋"/>
          <w:spacing w:val="7"/>
          <w:sz w:val="25"/>
          <w:szCs w:val="25"/>
        </w:rPr>
        <w:t>）环境承载力分析</w:t>
      </w:r>
    </w:p>
    <w:p w14:paraId="7B343808">
      <w:pPr>
        <w:spacing w:before="149" w:line="340" w:lineRule="auto"/>
        <w:ind w:left="15" w:firstLine="523"/>
        <w:rPr>
          <w:rFonts w:ascii="仿宋" w:hAnsi="仿宋" w:eastAsia="仿宋" w:cs="仿宋"/>
          <w:sz w:val="25"/>
          <w:szCs w:val="25"/>
        </w:rPr>
      </w:pPr>
      <w:r>
        <w:rPr>
          <w:rFonts w:ascii="仿宋" w:hAnsi="仿宋" w:eastAsia="仿宋" w:cs="仿宋"/>
          <w:spacing w:val="9"/>
          <w:sz w:val="25"/>
          <w:szCs w:val="25"/>
        </w:rPr>
        <w:t>采矿业活动产生的主要污染物在严格落实相关环保措施和要求后，对黔江</w:t>
      </w:r>
      <w:r>
        <w:rPr>
          <w:rFonts w:ascii="仿宋" w:hAnsi="仿宋" w:eastAsia="仿宋" w:cs="仿宋"/>
          <w:spacing w:val="14"/>
          <w:sz w:val="25"/>
          <w:szCs w:val="25"/>
        </w:rPr>
        <w:t xml:space="preserve"> </w:t>
      </w:r>
      <w:r>
        <w:rPr>
          <w:rFonts w:ascii="仿宋" w:hAnsi="仿宋" w:eastAsia="仿宋" w:cs="仿宋"/>
          <w:spacing w:val="10"/>
          <w:sz w:val="25"/>
          <w:szCs w:val="25"/>
        </w:rPr>
        <w:t>区气环境容量的压力较小，黔江区环境容量能</w:t>
      </w:r>
      <w:r>
        <w:rPr>
          <w:rFonts w:ascii="仿宋" w:hAnsi="仿宋" w:eastAsia="仿宋" w:cs="仿宋"/>
          <w:spacing w:val="9"/>
          <w:sz w:val="25"/>
          <w:szCs w:val="25"/>
        </w:rPr>
        <w:t>够承载《规划》实施。规划将严</w:t>
      </w:r>
      <w:r>
        <w:rPr>
          <w:rFonts w:ascii="仿宋" w:hAnsi="仿宋" w:eastAsia="仿宋" w:cs="仿宋"/>
          <w:sz w:val="25"/>
          <w:szCs w:val="25"/>
        </w:rPr>
        <w:t xml:space="preserve"> </w:t>
      </w:r>
      <w:r>
        <w:rPr>
          <w:rFonts w:ascii="仿宋" w:hAnsi="仿宋" w:eastAsia="仿宋" w:cs="仿宋"/>
          <w:spacing w:val="10"/>
          <w:sz w:val="25"/>
          <w:szCs w:val="25"/>
        </w:rPr>
        <w:t>格执行相关规划环保要求，污废水处理率和达标率均达</w:t>
      </w:r>
      <w:r>
        <w:rPr>
          <w:rFonts w:ascii="仿宋" w:hAnsi="仿宋" w:eastAsia="仿宋" w:cs="仿宋"/>
          <w:spacing w:val="-23"/>
          <w:sz w:val="25"/>
          <w:szCs w:val="25"/>
        </w:rPr>
        <w:t xml:space="preserve"> </w:t>
      </w:r>
      <w:r>
        <w:rPr>
          <w:rFonts w:ascii="Times New Roman" w:hAnsi="Times New Roman" w:eastAsia="Times New Roman" w:cs="Times New Roman"/>
          <w:spacing w:val="10"/>
          <w:sz w:val="25"/>
          <w:szCs w:val="25"/>
        </w:rPr>
        <w:t>100%</w:t>
      </w:r>
      <w:r>
        <w:rPr>
          <w:rFonts w:ascii="Times New Roman" w:hAnsi="Times New Roman" w:eastAsia="Times New Roman" w:cs="Times New Roman"/>
          <w:spacing w:val="-22"/>
          <w:sz w:val="25"/>
          <w:szCs w:val="25"/>
        </w:rPr>
        <w:t xml:space="preserve"> </w:t>
      </w:r>
      <w:r>
        <w:rPr>
          <w:rFonts w:ascii="仿宋" w:hAnsi="仿宋" w:eastAsia="仿宋" w:cs="仿宋"/>
          <w:spacing w:val="10"/>
          <w:sz w:val="25"/>
          <w:szCs w:val="25"/>
        </w:rPr>
        <w:t>，《规划》对黔</w:t>
      </w:r>
      <w:r>
        <w:rPr>
          <w:rFonts w:ascii="仿宋" w:hAnsi="仿宋" w:eastAsia="仿宋" w:cs="仿宋"/>
          <w:sz w:val="25"/>
          <w:szCs w:val="25"/>
        </w:rPr>
        <w:t xml:space="preserve"> </w:t>
      </w:r>
      <w:r>
        <w:rPr>
          <w:rFonts w:ascii="仿宋" w:hAnsi="仿宋" w:eastAsia="仿宋" w:cs="仿宋"/>
          <w:spacing w:val="5"/>
          <w:sz w:val="25"/>
          <w:szCs w:val="25"/>
        </w:rPr>
        <w:t>江区地表水环境容量的压力较小。规划实施不得影响饮用水水</w:t>
      </w:r>
      <w:r>
        <w:rPr>
          <w:rFonts w:ascii="仿宋" w:hAnsi="仿宋" w:eastAsia="仿宋" w:cs="仿宋"/>
          <w:spacing w:val="4"/>
          <w:sz w:val="25"/>
          <w:szCs w:val="25"/>
        </w:rPr>
        <w:t>源保护地和区域、</w:t>
      </w:r>
      <w:r>
        <w:rPr>
          <w:rFonts w:ascii="仿宋" w:hAnsi="仿宋" w:eastAsia="仿宋" w:cs="仿宋"/>
          <w:sz w:val="25"/>
          <w:szCs w:val="25"/>
        </w:rPr>
        <w:t xml:space="preserve"> </w:t>
      </w:r>
      <w:r>
        <w:rPr>
          <w:rFonts w:ascii="仿宋" w:hAnsi="仿宋" w:eastAsia="仿宋" w:cs="仿宋"/>
          <w:spacing w:val="5"/>
          <w:sz w:val="25"/>
          <w:szCs w:val="25"/>
        </w:rPr>
        <w:t>流域用水，加强污废水无害化处理和资源化再利用，节约用水</w:t>
      </w:r>
      <w:r>
        <w:rPr>
          <w:rFonts w:ascii="仿宋" w:hAnsi="仿宋" w:eastAsia="仿宋" w:cs="仿宋"/>
          <w:spacing w:val="4"/>
          <w:sz w:val="25"/>
          <w:szCs w:val="25"/>
        </w:rPr>
        <w:t>，严禁污染水体。</w:t>
      </w:r>
    </w:p>
    <w:p w14:paraId="7DD557CE">
      <w:pPr>
        <w:spacing w:before="2" w:line="340" w:lineRule="auto"/>
        <w:ind w:left="16" w:right="90" w:firstLine="531"/>
        <w:rPr>
          <w:rFonts w:ascii="仿宋" w:hAnsi="仿宋" w:eastAsia="仿宋" w:cs="仿宋"/>
          <w:sz w:val="25"/>
          <w:szCs w:val="25"/>
        </w:rPr>
      </w:pPr>
      <w:r>
        <w:rPr>
          <w:rFonts w:ascii="仿宋" w:hAnsi="仿宋" w:eastAsia="仿宋" w:cs="仿宋"/>
          <w:spacing w:val="9"/>
          <w:sz w:val="25"/>
          <w:szCs w:val="25"/>
        </w:rPr>
        <w:t>总体来看，黔江区水环境、大气环境、土壤环境等完全能够满足《规划调</w:t>
      </w:r>
      <w:r>
        <w:rPr>
          <w:rFonts w:ascii="仿宋" w:hAnsi="仿宋" w:eastAsia="仿宋" w:cs="仿宋"/>
          <w:spacing w:val="5"/>
          <w:sz w:val="25"/>
          <w:szCs w:val="25"/>
        </w:rPr>
        <w:t xml:space="preserve"> </w:t>
      </w:r>
      <w:r>
        <w:rPr>
          <w:rFonts w:ascii="仿宋" w:hAnsi="仿宋" w:eastAsia="仿宋" w:cs="仿宋"/>
          <w:spacing w:val="8"/>
          <w:sz w:val="25"/>
          <w:szCs w:val="25"/>
        </w:rPr>
        <w:t>整》调整内容对环境承载力的要求。</w:t>
      </w:r>
    </w:p>
    <w:p w14:paraId="2407533F">
      <w:pPr>
        <w:spacing w:before="119" w:line="229" w:lineRule="auto"/>
        <w:ind w:left="7"/>
        <w:outlineLvl w:val="2"/>
        <w:rPr>
          <w:rFonts w:ascii="仿宋" w:hAnsi="仿宋" w:eastAsia="仿宋" w:cs="仿宋"/>
          <w:sz w:val="25"/>
          <w:szCs w:val="25"/>
        </w:rPr>
      </w:pPr>
      <w:r>
        <w:rPr>
          <w:rFonts w:ascii="Times New Roman" w:hAnsi="Times New Roman" w:eastAsia="Times New Roman" w:cs="Times New Roman"/>
          <w:b/>
          <w:bCs/>
          <w:spacing w:val="3"/>
          <w:sz w:val="25"/>
          <w:szCs w:val="25"/>
        </w:rPr>
        <w:t>9.3.2</w:t>
      </w:r>
      <w:r>
        <w:rPr>
          <w:rFonts w:ascii="Times New Roman" w:hAnsi="Times New Roman" w:eastAsia="Times New Roman" w:cs="Times New Roman"/>
          <w:b/>
          <w:bCs/>
          <w:spacing w:val="39"/>
          <w:sz w:val="25"/>
          <w:szCs w:val="25"/>
        </w:rPr>
        <w:t xml:space="preserve"> </w:t>
      </w:r>
      <w:r>
        <w:rPr>
          <w:rFonts w:ascii="仿宋" w:hAnsi="仿宋" w:eastAsia="仿宋" w:cs="仿宋"/>
          <w:b/>
          <w:bCs/>
          <w:spacing w:val="3"/>
          <w:sz w:val="25"/>
          <w:szCs w:val="25"/>
        </w:rPr>
        <w:t>生态环境影响调查</w:t>
      </w:r>
    </w:p>
    <w:p w14:paraId="63ACC5DB">
      <w:pPr>
        <w:spacing w:line="229" w:lineRule="auto"/>
        <w:rPr>
          <w:rFonts w:ascii="仿宋" w:hAnsi="仿宋" w:eastAsia="仿宋" w:cs="仿宋"/>
          <w:sz w:val="25"/>
          <w:szCs w:val="25"/>
        </w:rPr>
        <w:sectPr>
          <w:headerReference r:id="rId253" w:type="default"/>
          <w:footerReference r:id="rId254" w:type="default"/>
          <w:pgSz w:w="11906" w:h="16839"/>
          <w:pgMar w:top="1116" w:right="1385" w:bottom="866" w:left="1587" w:header="683" w:footer="703" w:gutter="0"/>
          <w:cols w:space="720" w:num="1"/>
        </w:sectPr>
      </w:pPr>
    </w:p>
    <w:p w14:paraId="4F8D317E">
      <w:pPr>
        <w:pStyle w:val="2"/>
        <w:spacing w:line="380" w:lineRule="auto"/>
      </w:pPr>
    </w:p>
    <w:p w14:paraId="02E5B271">
      <w:pPr>
        <w:spacing w:before="81" w:line="340" w:lineRule="auto"/>
        <w:ind w:left="15" w:firstLine="522"/>
        <w:jc w:val="both"/>
        <w:rPr>
          <w:rFonts w:ascii="仿宋" w:hAnsi="仿宋" w:eastAsia="仿宋" w:cs="仿宋"/>
          <w:sz w:val="25"/>
          <w:szCs w:val="25"/>
        </w:rPr>
      </w:pPr>
      <w:r>
        <w:rPr>
          <w:rFonts w:ascii="仿宋" w:hAnsi="仿宋" w:eastAsia="仿宋" w:cs="仿宋"/>
          <w:spacing w:val="7"/>
          <w:sz w:val="25"/>
          <w:szCs w:val="25"/>
        </w:rPr>
        <w:t>本次评价的</w:t>
      </w:r>
      <w:r>
        <w:rPr>
          <w:rFonts w:ascii="仿宋" w:hAnsi="仿宋" w:eastAsia="仿宋" w:cs="仿宋"/>
          <w:spacing w:val="-49"/>
          <w:sz w:val="25"/>
          <w:szCs w:val="25"/>
        </w:rPr>
        <w:t xml:space="preserve"> </w:t>
      </w:r>
      <w:r>
        <w:rPr>
          <w:rFonts w:ascii="Times New Roman" w:hAnsi="Times New Roman" w:eastAsia="Times New Roman" w:cs="Times New Roman"/>
          <w:spacing w:val="7"/>
          <w:sz w:val="25"/>
          <w:szCs w:val="25"/>
        </w:rPr>
        <w:t>3</w:t>
      </w:r>
      <w:r>
        <w:rPr>
          <w:rFonts w:ascii="Times New Roman" w:hAnsi="Times New Roman" w:eastAsia="Times New Roman" w:cs="Times New Roman"/>
          <w:spacing w:val="21"/>
          <w:sz w:val="25"/>
          <w:szCs w:val="25"/>
        </w:rPr>
        <w:t xml:space="preserve"> </w:t>
      </w:r>
      <w:r>
        <w:rPr>
          <w:rFonts w:ascii="仿宋" w:hAnsi="仿宋" w:eastAsia="仿宋" w:cs="仿宋"/>
          <w:spacing w:val="7"/>
          <w:sz w:val="25"/>
          <w:szCs w:val="25"/>
        </w:rPr>
        <w:t>个勘查区块和</w:t>
      </w:r>
      <w:r>
        <w:rPr>
          <w:rFonts w:ascii="仿宋" w:hAnsi="仿宋" w:eastAsia="仿宋" w:cs="仿宋"/>
          <w:spacing w:val="-30"/>
          <w:sz w:val="25"/>
          <w:szCs w:val="25"/>
        </w:rPr>
        <w:t xml:space="preserve"> </w:t>
      </w:r>
      <w:r>
        <w:rPr>
          <w:rFonts w:ascii="Times New Roman" w:hAnsi="Times New Roman" w:eastAsia="Times New Roman" w:cs="Times New Roman"/>
          <w:spacing w:val="7"/>
          <w:sz w:val="25"/>
          <w:szCs w:val="25"/>
        </w:rPr>
        <w:t>1</w:t>
      </w:r>
      <w:r>
        <w:rPr>
          <w:rFonts w:ascii="Times New Roman" w:hAnsi="Times New Roman" w:eastAsia="Times New Roman" w:cs="Times New Roman"/>
          <w:spacing w:val="23"/>
          <w:sz w:val="25"/>
          <w:szCs w:val="25"/>
        </w:rPr>
        <w:t xml:space="preserve"> </w:t>
      </w:r>
      <w:r>
        <w:rPr>
          <w:rFonts w:ascii="仿宋" w:hAnsi="仿宋" w:eastAsia="仿宋" w:cs="仿宋"/>
          <w:spacing w:val="7"/>
          <w:sz w:val="25"/>
          <w:szCs w:val="25"/>
        </w:rPr>
        <w:t>个开采区块，与生态保护</w:t>
      </w:r>
      <w:r>
        <w:rPr>
          <w:rFonts w:ascii="仿宋" w:hAnsi="仿宋" w:eastAsia="仿宋" w:cs="仿宋"/>
          <w:spacing w:val="6"/>
          <w:sz w:val="25"/>
          <w:szCs w:val="25"/>
        </w:rPr>
        <w:t>红线、一般生态空</w:t>
      </w:r>
      <w:r>
        <w:rPr>
          <w:rFonts w:ascii="仿宋" w:hAnsi="仿宋" w:eastAsia="仿宋" w:cs="仿宋"/>
          <w:sz w:val="25"/>
          <w:szCs w:val="25"/>
        </w:rPr>
        <w:t xml:space="preserve"> </w:t>
      </w:r>
      <w:r>
        <w:rPr>
          <w:rFonts w:ascii="仿宋" w:hAnsi="仿宋" w:eastAsia="仿宋" w:cs="仿宋"/>
          <w:spacing w:val="11"/>
          <w:sz w:val="25"/>
          <w:szCs w:val="25"/>
        </w:rPr>
        <w:t>间、</w:t>
      </w:r>
      <w:r>
        <w:rPr>
          <w:rFonts w:ascii="仿宋" w:hAnsi="仿宋" w:eastAsia="仿宋" w:cs="仿宋"/>
          <w:spacing w:val="-48"/>
          <w:sz w:val="25"/>
          <w:szCs w:val="25"/>
        </w:rPr>
        <w:t xml:space="preserve"> </w:t>
      </w:r>
      <w:r>
        <w:rPr>
          <w:rFonts w:ascii="仿宋" w:hAnsi="仿宋" w:eastAsia="仿宋" w:cs="仿宋"/>
          <w:spacing w:val="11"/>
          <w:sz w:val="25"/>
          <w:szCs w:val="25"/>
        </w:rPr>
        <w:t>自然保护地、饮用水源保护区、城镇开发边界等环境敏感区均不冲突。</w:t>
      </w:r>
      <w:r>
        <w:rPr>
          <w:rFonts w:ascii="Times New Roman" w:hAnsi="Times New Roman" w:eastAsia="Times New Roman" w:cs="Times New Roman"/>
          <w:spacing w:val="11"/>
          <w:sz w:val="25"/>
          <w:szCs w:val="25"/>
        </w:rPr>
        <w:t>1</w:t>
      </w:r>
      <w:r>
        <w:rPr>
          <w:rFonts w:ascii="Times New Roman" w:hAnsi="Times New Roman" w:eastAsia="Times New Roman" w:cs="Times New Roman"/>
          <w:sz w:val="25"/>
          <w:szCs w:val="25"/>
        </w:rPr>
        <w:t xml:space="preserve">  </w:t>
      </w:r>
      <w:r>
        <w:rPr>
          <w:rFonts w:ascii="仿宋" w:hAnsi="仿宋" w:eastAsia="仿宋" w:cs="仿宋"/>
          <w:spacing w:val="7"/>
          <w:sz w:val="25"/>
          <w:szCs w:val="25"/>
        </w:rPr>
        <w:t>个勘查区块（</w:t>
      </w:r>
      <w:r>
        <w:rPr>
          <w:rFonts w:ascii="Times New Roman" w:hAnsi="Times New Roman" w:eastAsia="Times New Roman" w:cs="Times New Roman"/>
          <w:sz w:val="25"/>
          <w:szCs w:val="25"/>
        </w:rPr>
        <w:t>KQ</w:t>
      </w:r>
      <w:r>
        <w:rPr>
          <w:rFonts w:ascii="Times New Roman" w:hAnsi="Times New Roman" w:eastAsia="Times New Roman" w:cs="Times New Roman"/>
          <w:spacing w:val="7"/>
          <w:sz w:val="25"/>
          <w:szCs w:val="25"/>
        </w:rPr>
        <w:t>004</w:t>
      </w:r>
      <w:r>
        <w:rPr>
          <w:rFonts w:ascii="仿宋" w:hAnsi="仿宋" w:eastAsia="仿宋" w:cs="仿宋"/>
          <w:spacing w:val="7"/>
          <w:sz w:val="25"/>
          <w:szCs w:val="25"/>
        </w:rPr>
        <w:t>）</w:t>
      </w:r>
      <w:r>
        <w:rPr>
          <w:rFonts w:ascii="仿宋" w:hAnsi="仿宋" w:eastAsia="仿宋" w:cs="仿宋"/>
          <w:spacing w:val="-47"/>
          <w:sz w:val="25"/>
          <w:szCs w:val="25"/>
        </w:rPr>
        <w:t xml:space="preserve"> </w:t>
      </w:r>
      <w:r>
        <w:rPr>
          <w:rFonts w:ascii="仿宋" w:hAnsi="仿宋" w:eastAsia="仿宋" w:cs="仿宋"/>
          <w:spacing w:val="7"/>
          <w:sz w:val="25"/>
          <w:szCs w:val="25"/>
        </w:rPr>
        <w:t>占用二级国家级公益林，</w:t>
      </w:r>
      <w:r>
        <w:rPr>
          <w:rFonts w:ascii="Times New Roman" w:hAnsi="Times New Roman" w:eastAsia="Times New Roman" w:cs="Times New Roman"/>
          <w:spacing w:val="7"/>
          <w:sz w:val="25"/>
          <w:szCs w:val="25"/>
        </w:rPr>
        <w:t>1</w:t>
      </w:r>
      <w:r>
        <w:rPr>
          <w:rFonts w:ascii="Times New Roman" w:hAnsi="Times New Roman" w:eastAsia="Times New Roman" w:cs="Times New Roman"/>
          <w:spacing w:val="25"/>
          <w:w w:val="101"/>
          <w:sz w:val="25"/>
          <w:szCs w:val="25"/>
        </w:rPr>
        <w:t xml:space="preserve"> </w:t>
      </w:r>
      <w:r>
        <w:rPr>
          <w:rFonts w:ascii="仿宋" w:hAnsi="仿宋" w:eastAsia="仿宋" w:cs="仿宋"/>
          <w:spacing w:val="7"/>
          <w:sz w:val="25"/>
          <w:szCs w:val="25"/>
        </w:rPr>
        <w:t>个勘查区块（</w:t>
      </w:r>
      <w:r>
        <w:rPr>
          <w:rFonts w:ascii="Times New Roman" w:hAnsi="Times New Roman" w:eastAsia="Times New Roman" w:cs="Times New Roman"/>
          <w:sz w:val="25"/>
          <w:szCs w:val="25"/>
        </w:rPr>
        <w:t>KQ</w:t>
      </w:r>
      <w:r>
        <w:rPr>
          <w:rFonts w:ascii="Times New Roman" w:hAnsi="Times New Roman" w:eastAsia="Times New Roman" w:cs="Times New Roman"/>
          <w:spacing w:val="7"/>
          <w:sz w:val="25"/>
          <w:szCs w:val="25"/>
        </w:rPr>
        <w:t>009</w:t>
      </w:r>
      <w:r>
        <w:rPr>
          <w:rFonts w:ascii="仿宋" w:hAnsi="仿宋" w:eastAsia="仿宋" w:cs="仿宋"/>
          <w:spacing w:val="6"/>
          <w:sz w:val="25"/>
          <w:szCs w:val="25"/>
        </w:rPr>
        <w:t>）</w:t>
      </w:r>
      <w:r>
        <w:rPr>
          <w:rFonts w:ascii="仿宋" w:hAnsi="仿宋" w:eastAsia="仿宋" w:cs="仿宋"/>
          <w:spacing w:val="-47"/>
          <w:sz w:val="25"/>
          <w:szCs w:val="25"/>
        </w:rPr>
        <w:t xml:space="preserve"> </w:t>
      </w:r>
      <w:r>
        <w:rPr>
          <w:rFonts w:ascii="仿宋" w:hAnsi="仿宋" w:eastAsia="仿宋" w:cs="仿宋"/>
          <w:spacing w:val="6"/>
          <w:sz w:val="25"/>
          <w:szCs w:val="25"/>
        </w:rPr>
        <w:t>占用</w:t>
      </w:r>
      <w:r>
        <w:rPr>
          <w:rFonts w:ascii="仿宋" w:hAnsi="仿宋" w:eastAsia="仿宋" w:cs="仿宋"/>
          <w:sz w:val="25"/>
          <w:szCs w:val="25"/>
        </w:rPr>
        <w:t xml:space="preserve"> </w:t>
      </w:r>
      <w:r>
        <w:rPr>
          <w:rFonts w:ascii="仿宋" w:hAnsi="仿宋" w:eastAsia="仿宋" w:cs="仿宋"/>
          <w:spacing w:val="8"/>
          <w:sz w:val="25"/>
          <w:szCs w:val="25"/>
        </w:rPr>
        <w:t>地方公益林，</w:t>
      </w:r>
      <w:r>
        <w:rPr>
          <w:rFonts w:ascii="Times New Roman" w:hAnsi="Times New Roman" w:eastAsia="Times New Roman" w:cs="Times New Roman"/>
          <w:spacing w:val="8"/>
          <w:sz w:val="25"/>
          <w:szCs w:val="25"/>
        </w:rPr>
        <w:t>2</w:t>
      </w:r>
      <w:r>
        <w:rPr>
          <w:rFonts w:ascii="Times New Roman" w:hAnsi="Times New Roman" w:eastAsia="Times New Roman" w:cs="Times New Roman"/>
          <w:spacing w:val="25"/>
          <w:sz w:val="25"/>
          <w:szCs w:val="25"/>
        </w:rPr>
        <w:t xml:space="preserve"> </w:t>
      </w:r>
      <w:r>
        <w:rPr>
          <w:rFonts w:ascii="仿宋" w:hAnsi="仿宋" w:eastAsia="仿宋" w:cs="仿宋"/>
          <w:spacing w:val="8"/>
          <w:sz w:val="25"/>
          <w:szCs w:val="25"/>
        </w:rPr>
        <w:t>个勘查区块（</w:t>
      </w:r>
      <w:r>
        <w:rPr>
          <w:rFonts w:ascii="Times New Roman" w:hAnsi="Times New Roman" w:eastAsia="Times New Roman" w:cs="Times New Roman"/>
          <w:sz w:val="25"/>
          <w:szCs w:val="25"/>
        </w:rPr>
        <w:t>KQ</w:t>
      </w:r>
      <w:r>
        <w:rPr>
          <w:rFonts w:ascii="Times New Roman" w:hAnsi="Times New Roman" w:eastAsia="Times New Roman" w:cs="Times New Roman"/>
          <w:spacing w:val="8"/>
          <w:sz w:val="25"/>
          <w:szCs w:val="25"/>
        </w:rPr>
        <w:t>004</w:t>
      </w:r>
      <w:r>
        <w:rPr>
          <w:rFonts w:ascii="Times New Roman" w:hAnsi="Times New Roman" w:eastAsia="Times New Roman" w:cs="Times New Roman"/>
          <w:spacing w:val="-21"/>
          <w:sz w:val="25"/>
          <w:szCs w:val="25"/>
        </w:rPr>
        <w:t xml:space="preserve"> </w:t>
      </w:r>
      <w:r>
        <w:rPr>
          <w:rFonts w:ascii="仿宋" w:hAnsi="仿宋" w:eastAsia="仿宋" w:cs="仿宋"/>
          <w:spacing w:val="8"/>
          <w:sz w:val="25"/>
          <w:szCs w:val="25"/>
        </w:rPr>
        <w:t>、</w:t>
      </w:r>
      <w:r>
        <w:rPr>
          <w:rFonts w:ascii="Times New Roman" w:hAnsi="Times New Roman" w:eastAsia="Times New Roman" w:cs="Times New Roman"/>
          <w:sz w:val="25"/>
          <w:szCs w:val="25"/>
        </w:rPr>
        <w:t>KQ</w:t>
      </w:r>
      <w:r>
        <w:rPr>
          <w:rFonts w:ascii="Times New Roman" w:hAnsi="Times New Roman" w:eastAsia="Times New Roman" w:cs="Times New Roman"/>
          <w:spacing w:val="8"/>
          <w:sz w:val="25"/>
          <w:szCs w:val="25"/>
        </w:rPr>
        <w:t>009</w:t>
      </w:r>
      <w:r>
        <w:rPr>
          <w:rFonts w:ascii="仿宋" w:hAnsi="仿宋" w:eastAsia="仿宋" w:cs="仿宋"/>
          <w:spacing w:val="8"/>
          <w:sz w:val="25"/>
          <w:szCs w:val="25"/>
        </w:rPr>
        <w:t>）</w:t>
      </w:r>
      <w:r>
        <w:rPr>
          <w:rFonts w:ascii="仿宋" w:hAnsi="仿宋" w:eastAsia="仿宋" w:cs="仿宋"/>
          <w:spacing w:val="-47"/>
          <w:sz w:val="25"/>
          <w:szCs w:val="25"/>
        </w:rPr>
        <w:t xml:space="preserve"> </w:t>
      </w:r>
      <w:r>
        <w:rPr>
          <w:rFonts w:ascii="仿宋" w:hAnsi="仿宋" w:eastAsia="仿宋" w:cs="仿宋"/>
          <w:spacing w:val="8"/>
          <w:sz w:val="25"/>
          <w:szCs w:val="25"/>
        </w:rPr>
        <w:t>占用永久基本农田。评价针对</w:t>
      </w:r>
      <w:r>
        <w:rPr>
          <w:rFonts w:ascii="仿宋" w:hAnsi="仿宋" w:eastAsia="仿宋" w:cs="仿宋"/>
          <w:sz w:val="25"/>
          <w:szCs w:val="25"/>
        </w:rPr>
        <w:t xml:space="preserve"> </w:t>
      </w:r>
      <w:r>
        <w:rPr>
          <w:rFonts w:ascii="仿宋" w:hAnsi="仿宋" w:eastAsia="仿宋" w:cs="仿宋"/>
          <w:spacing w:val="10"/>
          <w:sz w:val="25"/>
          <w:szCs w:val="25"/>
        </w:rPr>
        <w:t>上述重叠情况提出了优化调整建议和反馈意见</w:t>
      </w:r>
      <w:r>
        <w:rPr>
          <w:rFonts w:ascii="仿宋" w:hAnsi="仿宋" w:eastAsia="仿宋" w:cs="仿宋"/>
          <w:spacing w:val="9"/>
          <w:sz w:val="25"/>
          <w:szCs w:val="25"/>
        </w:rPr>
        <w:t>，要求严格执行各类法定保护区</w:t>
      </w:r>
      <w:r>
        <w:rPr>
          <w:rFonts w:ascii="仿宋" w:hAnsi="仿宋" w:eastAsia="仿宋" w:cs="仿宋"/>
          <w:sz w:val="25"/>
          <w:szCs w:val="25"/>
        </w:rPr>
        <w:t xml:space="preserve"> </w:t>
      </w:r>
      <w:r>
        <w:rPr>
          <w:rFonts w:ascii="仿宋" w:hAnsi="仿宋" w:eastAsia="仿宋" w:cs="仿宋"/>
          <w:spacing w:val="10"/>
          <w:sz w:val="25"/>
          <w:szCs w:val="25"/>
        </w:rPr>
        <w:t>域相关空间管控要求，合理优化规划勘查开发</w:t>
      </w:r>
      <w:r>
        <w:rPr>
          <w:rFonts w:ascii="仿宋" w:hAnsi="仿宋" w:eastAsia="仿宋" w:cs="仿宋"/>
          <w:spacing w:val="9"/>
          <w:sz w:val="25"/>
          <w:szCs w:val="25"/>
        </w:rPr>
        <w:t>布局，在规划实施过程中应全面</w:t>
      </w:r>
      <w:r>
        <w:rPr>
          <w:rFonts w:ascii="仿宋" w:hAnsi="仿宋" w:eastAsia="仿宋" w:cs="仿宋"/>
          <w:sz w:val="25"/>
          <w:szCs w:val="25"/>
        </w:rPr>
        <w:t xml:space="preserve"> </w:t>
      </w:r>
      <w:r>
        <w:rPr>
          <w:rFonts w:ascii="仿宋" w:hAnsi="仿宋" w:eastAsia="仿宋" w:cs="仿宋"/>
          <w:spacing w:val="10"/>
          <w:sz w:val="25"/>
          <w:szCs w:val="25"/>
        </w:rPr>
        <w:t>推行绿色勘查、绿色开发，加强对区域生物多</w:t>
      </w:r>
      <w:r>
        <w:rPr>
          <w:rFonts w:ascii="仿宋" w:hAnsi="仿宋" w:eastAsia="仿宋" w:cs="仿宋"/>
          <w:spacing w:val="9"/>
          <w:sz w:val="25"/>
          <w:szCs w:val="25"/>
        </w:rPr>
        <w:t>样性及生态系统的保护和矿区生</w:t>
      </w:r>
      <w:r>
        <w:rPr>
          <w:rFonts w:ascii="仿宋" w:hAnsi="仿宋" w:eastAsia="仿宋" w:cs="仿宋"/>
          <w:sz w:val="25"/>
          <w:szCs w:val="25"/>
        </w:rPr>
        <w:t xml:space="preserve"> </w:t>
      </w:r>
      <w:r>
        <w:rPr>
          <w:rFonts w:ascii="仿宋" w:hAnsi="仿宋" w:eastAsia="仿宋" w:cs="仿宋"/>
          <w:spacing w:val="10"/>
          <w:sz w:val="25"/>
          <w:szCs w:val="25"/>
        </w:rPr>
        <w:t>态环境的恢复治理工作。《规划调整》从整体</w:t>
      </w:r>
      <w:r>
        <w:rPr>
          <w:rFonts w:ascii="仿宋" w:hAnsi="仿宋" w:eastAsia="仿宋" w:cs="仿宋"/>
          <w:spacing w:val="9"/>
          <w:sz w:val="25"/>
          <w:szCs w:val="25"/>
        </w:rPr>
        <w:t>上重视和避免了矿产资源勘查开</w:t>
      </w:r>
      <w:r>
        <w:rPr>
          <w:rFonts w:ascii="仿宋" w:hAnsi="仿宋" w:eastAsia="仿宋" w:cs="仿宋"/>
          <w:sz w:val="25"/>
          <w:szCs w:val="25"/>
        </w:rPr>
        <w:t xml:space="preserve"> </w:t>
      </w:r>
      <w:r>
        <w:rPr>
          <w:rFonts w:ascii="仿宋" w:hAnsi="仿宋" w:eastAsia="仿宋" w:cs="仿宋"/>
          <w:spacing w:val="4"/>
          <w:sz w:val="25"/>
          <w:szCs w:val="25"/>
        </w:rPr>
        <w:t>采对各类保护区域的影响，并严格空间准入，不断优化矿产资源开发利用布局，</w:t>
      </w:r>
      <w:r>
        <w:rPr>
          <w:rFonts w:ascii="仿宋" w:hAnsi="仿宋" w:eastAsia="仿宋" w:cs="仿宋"/>
          <w:spacing w:val="7"/>
          <w:sz w:val="25"/>
          <w:szCs w:val="25"/>
        </w:rPr>
        <w:t xml:space="preserve"> </w:t>
      </w:r>
      <w:r>
        <w:rPr>
          <w:rFonts w:ascii="仿宋" w:hAnsi="仿宋" w:eastAsia="仿宋" w:cs="仿宋"/>
          <w:spacing w:val="10"/>
          <w:sz w:val="25"/>
          <w:szCs w:val="25"/>
        </w:rPr>
        <w:t>加强绿色矿山和绿色矿业建设，加强矿区生态</w:t>
      </w:r>
      <w:r>
        <w:rPr>
          <w:rFonts w:ascii="仿宋" w:hAnsi="仿宋" w:eastAsia="仿宋" w:cs="仿宋"/>
          <w:spacing w:val="9"/>
          <w:sz w:val="25"/>
          <w:szCs w:val="25"/>
        </w:rPr>
        <w:t>保护修复，降低对区域生态环境</w:t>
      </w:r>
      <w:r>
        <w:rPr>
          <w:rFonts w:ascii="仿宋" w:hAnsi="仿宋" w:eastAsia="仿宋" w:cs="仿宋"/>
          <w:sz w:val="25"/>
          <w:szCs w:val="25"/>
        </w:rPr>
        <w:t xml:space="preserve"> </w:t>
      </w:r>
      <w:r>
        <w:rPr>
          <w:rFonts w:ascii="仿宋" w:hAnsi="仿宋" w:eastAsia="仿宋" w:cs="仿宋"/>
          <w:spacing w:val="3"/>
          <w:sz w:val="25"/>
          <w:szCs w:val="25"/>
        </w:rPr>
        <w:t>的影响。</w:t>
      </w:r>
    </w:p>
    <w:p w14:paraId="35BB3C8E">
      <w:pPr>
        <w:spacing w:line="229" w:lineRule="auto"/>
        <w:ind w:left="563"/>
        <w:rPr>
          <w:rFonts w:ascii="仿宋" w:hAnsi="仿宋" w:eastAsia="仿宋" w:cs="仿宋"/>
          <w:sz w:val="25"/>
          <w:szCs w:val="25"/>
        </w:rPr>
      </w:pPr>
      <w:r>
        <w:rPr>
          <w:rFonts w:ascii="仿宋" w:hAnsi="仿宋" w:eastAsia="仿宋" w:cs="仿宋"/>
          <w:spacing w:val="8"/>
          <w:sz w:val="25"/>
          <w:szCs w:val="25"/>
        </w:rPr>
        <w:t>因此，从整体上看，规划调整内容实施对区域生态环境的影响可控。</w:t>
      </w:r>
    </w:p>
    <w:p w14:paraId="10F60759">
      <w:pPr>
        <w:spacing w:before="271" w:line="228" w:lineRule="auto"/>
        <w:ind w:left="7"/>
        <w:outlineLvl w:val="2"/>
        <w:rPr>
          <w:rFonts w:ascii="仿宋" w:hAnsi="仿宋" w:eastAsia="仿宋" w:cs="仿宋"/>
          <w:sz w:val="25"/>
          <w:szCs w:val="25"/>
        </w:rPr>
      </w:pPr>
      <w:r>
        <w:rPr>
          <w:rFonts w:ascii="Times New Roman" w:hAnsi="Times New Roman" w:eastAsia="Times New Roman" w:cs="Times New Roman"/>
          <w:b/>
          <w:bCs/>
          <w:spacing w:val="3"/>
          <w:sz w:val="25"/>
          <w:szCs w:val="25"/>
        </w:rPr>
        <w:t>9.3.3</w:t>
      </w:r>
      <w:r>
        <w:rPr>
          <w:rFonts w:ascii="Times New Roman" w:hAnsi="Times New Roman" w:eastAsia="Times New Roman" w:cs="Times New Roman"/>
          <w:b/>
          <w:bCs/>
          <w:spacing w:val="29"/>
          <w:w w:val="101"/>
          <w:sz w:val="25"/>
          <w:szCs w:val="25"/>
        </w:rPr>
        <w:t xml:space="preserve"> </w:t>
      </w:r>
      <w:r>
        <w:rPr>
          <w:rFonts w:ascii="仿宋" w:hAnsi="仿宋" w:eastAsia="仿宋" w:cs="仿宋"/>
          <w:b/>
          <w:bCs/>
          <w:spacing w:val="3"/>
          <w:sz w:val="25"/>
          <w:szCs w:val="25"/>
        </w:rPr>
        <w:t>环境影响分析</w:t>
      </w:r>
    </w:p>
    <w:p w14:paraId="7CB4264E">
      <w:pPr>
        <w:spacing w:before="274" w:line="339" w:lineRule="auto"/>
        <w:ind w:left="3" w:right="71" w:firstLine="521"/>
        <w:jc w:val="both"/>
        <w:rPr>
          <w:rFonts w:ascii="仿宋" w:hAnsi="仿宋" w:eastAsia="仿宋" w:cs="仿宋"/>
          <w:sz w:val="25"/>
          <w:szCs w:val="25"/>
        </w:rPr>
      </w:pPr>
      <w:r>
        <w:rPr>
          <w:rFonts w:ascii="仿宋" w:hAnsi="仿宋" w:eastAsia="仿宋" w:cs="仿宋"/>
          <w:spacing w:val="7"/>
          <w:sz w:val="25"/>
          <w:szCs w:val="25"/>
        </w:rPr>
        <w:t>因本次规划调整后各矿种开采总量不变，</w:t>
      </w:r>
      <w:r>
        <w:rPr>
          <w:rFonts w:ascii="仿宋" w:hAnsi="仿宋" w:eastAsia="仿宋" w:cs="仿宋"/>
          <w:spacing w:val="-73"/>
          <w:sz w:val="25"/>
          <w:szCs w:val="25"/>
        </w:rPr>
        <w:t xml:space="preserve"> </w:t>
      </w:r>
      <w:r>
        <w:rPr>
          <w:rFonts w:ascii="仿宋" w:hAnsi="仿宋" w:eastAsia="仿宋" w:cs="仿宋"/>
          <w:spacing w:val="7"/>
          <w:sz w:val="25"/>
          <w:szCs w:val="25"/>
        </w:rPr>
        <w:t>因</w:t>
      </w:r>
      <w:r>
        <w:rPr>
          <w:rFonts w:ascii="仿宋" w:hAnsi="仿宋" w:eastAsia="仿宋" w:cs="仿宋"/>
          <w:spacing w:val="6"/>
          <w:sz w:val="25"/>
          <w:szCs w:val="25"/>
        </w:rPr>
        <w:t>此废气、废水、</w:t>
      </w:r>
      <w:r>
        <w:rPr>
          <w:rFonts w:ascii="仿宋" w:hAnsi="仿宋" w:eastAsia="仿宋" w:cs="仿宋"/>
          <w:spacing w:val="-72"/>
          <w:sz w:val="25"/>
          <w:szCs w:val="25"/>
        </w:rPr>
        <w:t xml:space="preserve"> </w:t>
      </w:r>
      <w:r>
        <w:rPr>
          <w:rFonts w:ascii="仿宋" w:hAnsi="仿宋" w:eastAsia="仿宋" w:cs="仿宋"/>
          <w:spacing w:val="6"/>
          <w:sz w:val="25"/>
          <w:szCs w:val="25"/>
        </w:rPr>
        <w:t>固废排放量不</w:t>
      </w:r>
      <w:r>
        <w:rPr>
          <w:rFonts w:ascii="仿宋" w:hAnsi="仿宋" w:eastAsia="仿宋" w:cs="仿宋"/>
          <w:sz w:val="25"/>
          <w:szCs w:val="25"/>
        </w:rPr>
        <w:t xml:space="preserve"> </w:t>
      </w:r>
      <w:r>
        <w:rPr>
          <w:rFonts w:ascii="仿宋" w:hAnsi="仿宋" w:eastAsia="仿宋" w:cs="仿宋"/>
          <w:spacing w:val="7"/>
          <w:sz w:val="25"/>
          <w:szCs w:val="25"/>
        </w:rPr>
        <w:t>变，废气排放量为</w:t>
      </w:r>
      <w:r>
        <w:rPr>
          <w:rFonts w:ascii="仿宋" w:hAnsi="仿宋" w:eastAsia="仿宋" w:cs="仿宋"/>
          <w:spacing w:val="-30"/>
          <w:sz w:val="25"/>
          <w:szCs w:val="25"/>
        </w:rPr>
        <w:t xml:space="preserve"> </w:t>
      </w:r>
      <w:r>
        <w:rPr>
          <w:rFonts w:ascii="Times New Roman" w:hAnsi="Times New Roman" w:eastAsia="Times New Roman" w:cs="Times New Roman"/>
          <w:spacing w:val="7"/>
          <w:sz w:val="25"/>
          <w:szCs w:val="25"/>
        </w:rPr>
        <w:t>150.95t/a</w:t>
      </w:r>
      <w:r>
        <w:rPr>
          <w:rFonts w:ascii="Times New Roman" w:hAnsi="Times New Roman" w:eastAsia="Times New Roman" w:cs="Times New Roman"/>
          <w:spacing w:val="-27"/>
          <w:sz w:val="25"/>
          <w:szCs w:val="25"/>
        </w:rPr>
        <w:t xml:space="preserve"> </w:t>
      </w:r>
      <w:r>
        <w:rPr>
          <w:rFonts w:ascii="仿宋" w:hAnsi="仿宋" w:eastAsia="仿宋" w:cs="仿宋"/>
          <w:spacing w:val="7"/>
          <w:sz w:val="25"/>
          <w:szCs w:val="25"/>
        </w:rPr>
        <w:t>，远低于黔江区大气环境接纳能</w:t>
      </w:r>
      <w:r>
        <w:rPr>
          <w:rFonts w:ascii="仿宋" w:hAnsi="仿宋" w:eastAsia="仿宋" w:cs="仿宋"/>
          <w:spacing w:val="6"/>
          <w:sz w:val="25"/>
          <w:szCs w:val="25"/>
        </w:rPr>
        <w:t>力；废水排放量为</w:t>
      </w:r>
      <w:r>
        <w:rPr>
          <w:rFonts w:ascii="仿宋" w:hAnsi="仿宋" w:eastAsia="仿宋" w:cs="仿宋"/>
          <w:sz w:val="25"/>
          <w:szCs w:val="25"/>
        </w:rPr>
        <w:t xml:space="preserve"> </w:t>
      </w:r>
      <w:r>
        <w:rPr>
          <w:rFonts w:ascii="Times New Roman" w:hAnsi="Times New Roman" w:eastAsia="Times New Roman" w:cs="Times New Roman"/>
          <w:spacing w:val="8"/>
          <w:sz w:val="25"/>
          <w:szCs w:val="25"/>
        </w:rPr>
        <w:t>47.055</w:t>
      </w:r>
      <w:r>
        <w:rPr>
          <w:rFonts w:ascii="Times New Roman" w:hAnsi="Times New Roman" w:eastAsia="Times New Roman" w:cs="Times New Roman"/>
          <w:spacing w:val="42"/>
          <w:sz w:val="25"/>
          <w:szCs w:val="25"/>
        </w:rPr>
        <w:t xml:space="preserve"> </w:t>
      </w:r>
      <w:r>
        <w:rPr>
          <w:rFonts w:ascii="仿宋" w:hAnsi="仿宋" w:eastAsia="仿宋" w:cs="仿宋"/>
          <w:spacing w:val="8"/>
          <w:sz w:val="25"/>
          <w:szCs w:val="25"/>
        </w:rPr>
        <w:t>万吨，规划实施中，矿山企业废水应尽量实现综合利用，外排废水必须</w:t>
      </w:r>
      <w:r>
        <w:rPr>
          <w:rFonts w:ascii="仿宋" w:hAnsi="仿宋" w:eastAsia="仿宋" w:cs="仿宋"/>
          <w:sz w:val="25"/>
          <w:szCs w:val="25"/>
        </w:rPr>
        <w:t xml:space="preserve"> </w:t>
      </w:r>
      <w:r>
        <w:rPr>
          <w:rFonts w:ascii="仿宋" w:hAnsi="仿宋" w:eastAsia="仿宋" w:cs="仿宋"/>
          <w:spacing w:val="8"/>
          <w:sz w:val="25"/>
          <w:szCs w:val="25"/>
        </w:rPr>
        <w:t>处理达标后才可排放，对周边水环境影响很小；</w:t>
      </w:r>
      <w:r>
        <w:rPr>
          <w:rFonts w:ascii="仿宋" w:hAnsi="仿宋" w:eastAsia="仿宋" w:cs="仿宋"/>
          <w:spacing w:val="-56"/>
          <w:sz w:val="25"/>
          <w:szCs w:val="25"/>
        </w:rPr>
        <w:t xml:space="preserve"> </w:t>
      </w:r>
      <w:r>
        <w:rPr>
          <w:rFonts w:ascii="仿宋" w:hAnsi="仿宋" w:eastAsia="仿宋" w:cs="仿宋"/>
          <w:spacing w:val="8"/>
          <w:sz w:val="25"/>
          <w:szCs w:val="25"/>
        </w:rPr>
        <w:t>固废产生量为</w:t>
      </w:r>
      <w:r>
        <w:rPr>
          <w:rFonts w:ascii="仿宋" w:hAnsi="仿宋" w:eastAsia="仿宋" w:cs="仿宋"/>
          <w:spacing w:val="-45"/>
          <w:sz w:val="25"/>
          <w:szCs w:val="25"/>
        </w:rPr>
        <w:t xml:space="preserve"> </w:t>
      </w:r>
      <w:r>
        <w:rPr>
          <w:rFonts w:ascii="Times New Roman" w:hAnsi="Times New Roman" w:eastAsia="Times New Roman" w:cs="Times New Roman"/>
          <w:spacing w:val="8"/>
          <w:sz w:val="25"/>
          <w:szCs w:val="25"/>
        </w:rPr>
        <w:t>57.58</w:t>
      </w:r>
      <w:r>
        <w:rPr>
          <w:rFonts w:ascii="Times New Roman" w:hAnsi="Times New Roman" w:eastAsia="Times New Roman" w:cs="Times New Roman"/>
          <w:spacing w:val="26"/>
          <w:w w:val="101"/>
          <w:sz w:val="25"/>
          <w:szCs w:val="25"/>
        </w:rPr>
        <w:t xml:space="preserve"> </w:t>
      </w:r>
      <w:r>
        <w:rPr>
          <w:rFonts w:ascii="仿宋" w:hAnsi="仿宋" w:eastAsia="仿宋" w:cs="仿宋"/>
          <w:spacing w:val="8"/>
          <w:sz w:val="25"/>
          <w:szCs w:val="25"/>
        </w:rPr>
        <w:t>万吨，规</w:t>
      </w:r>
      <w:r>
        <w:rPr>
          <w:rFonts w:ascii="仿宋" w:hAnsi="仿宋" w:eastAsia="仿宋" w:cs="仿宋"/>
          <w:sz w:val="25"/>
          <w:szCs w:val="25"/>
        </w:rPr>
        <w:t xml:space="preserve"> </w:t>
      </w:r>
      <w:r>
        <w:rPr>
          <w:rFonts w:ascii="仿宋" w:hAnsi="仿宋" w:eastAsia="仿宋" w:cs="仿宋"/>
          <w:spacing w:val="8"/>
          <w:sz w:val="25"/>
          <w:szCs w:val="25"/>
        </w:rPr>
        <w:t>划将贯彻了绿色矿业发展理念，废石综合利用及安全处置率达到</w:t>
      </w:r>
      <w:r>
        <w:rPr>
          <w:rFonts w:ascii="仿宋" w:hAnsi="仿宋" w:eastAsia="仿宋" w:cs="仿宋"/>
          <w:spacing w:val="-27"/>
          <w:sz w:val="25"/>
          <w:szCs w:val="25"/>
        </w:rPr>
        <w:t xml:space="preserve"> </w:t>
      </w:r>
      <w:r>
        <w:rPr>
          <w:rFonts w:ascii="Times New Roman" w:hAnsi="Times New Roman" w:eastAsia="Times New Roman" w:cs="Times New Roman"/>
          <w:spacing w:val="8"/>
          <w:sz w:val="25"/>
          <w:szCs w:val="25"/>
        </w:rPr>
        <w:t>100%</w:t>
      </w:r>
      <w:r>
        <w:rPr>
          <w:rFonts w:ascii="仿宋" w:hAnsi="仿宋" w:eastAsia="仿宋" w:cs="仿宋"/>
          <w:spacing w:val="8"/>
          <w:sz w:val="25"/>
          <w:szCs w:val="25"/>
        </w:rPr>
        <w:t>。</w:t>
      </w:r>
    </w:p>
    <w:p w14:paraId="18A7D95E">
      <w:pPr>
        <w:spacing w:before="1" w:line="339" w:lineRule="auto"/>
        <w:ind w:left="23" w:right="71" w:firstLine="473"/>
        <w:jc w:val="both"/>
        <w:rPr>
          <w:rFonts w:ascii="仿宋" w:hAnsi="仿宋" w:eastAsia="仿宋" w:cs="仿宋"/>
          <w:sz w:val="25"/>
          <w:szCs w:val="25"/>
        </w:rPr>
      </w:pPr>
      <w:r>
        <w:rPr>
          <w:rFonts w:ascii="仿宋" w:hAnsi="仿宋" w:eastAsia="仿宋" w:cs="仿宋"/>
          <w:spacing w:val="11"/>
          <w:sz w:val="25"/>
          <w:szCs w:val="25"/>
        </w:rPr>
        <w:t>评价要求，规划调整实施后应按环保要求严格落实各项</w:t>
      </w:r>
      <w:r>
        <w:rPr>
          <w:rFonts w:ascii="仿宋" w:hAnsi="仿宋" w:eastAsia="仿宋" w:cs="仿宋"/>
          <w:spacing w:val="10"/>
          <w:sz w:val="25"/>
          <w:szCs w:val="25"/>
        </w:rPr>
        <w:t>污染防治措施，加</w:t>
      </w:r>
      <w:r>
        <w:rPr>
          <w:rFonts w:ascii="仿宋" w:hAnsi="仿宋" w:eastAsia="仿宋" w:cs="仿宋"/>
          <w:sz w:val="25"/>
          <w:szCs w:val="25"/>
        </w:rPr>
        <w:t xml:space="preserve"> </w:t>
      </w:r>
      <w:r>
        <w:rPr>
          <w:rFonts w:ascii="仿宋" w:hAnsi="仿宋" w:eastAsia="仿宋" w:cs="仿宋"/>
          <w:spacing w:val="9"/>
          <w:sz w:val="25"/>
          <w:szCs w:val="25"/>
        </w:rPr>
        <w:t>强对矿业活动的环境监管与风险防范，严格总量调控和项目环境准入，提升废</w:t>
      </w:r>
      <w:r>
        <w:rPr>
          <w:rFonts w:ascii="仿宋" w:hAnsi="仿宋" w:eastAsia="仿宋" w:cs="仿宋"/>
          <w:spacing w:val="12"/>
          <w:sz w:val="25"/>
          <w:szCs w:val="25"/>
        </w:rPr>
        <w:t xml:space="preserve"> </w:t>
      </w:r>
      <w:r>
        <w:rPr>
          <w:rFonts w:ascii="仿宋" w:hAnsi="仿宋" w:eastAsia="仿宋" w:cs="仿宋"/>
          <w:spacing w:val="9"/>
          <w:sz w:val="25"/>
          <w:szCs w:val="25"/>
        </w:rPr>
        <w:t>弃物资源化综合利用水平，外排污染物必须处理</w:t>
      </w:r>
      <w:r>
        <w:rPr>
          <w:rFonts w:ascii="仿宋" w:hAnsi="仿宋" w:eastAsia="仿宋" w:cs="仿宋"/>
          <w:spacing w:val="8"/>
          <w:sz w:val="25"/>
          <w:szCs w:val="25"/>
        </w:rPr>
        <w:t>达标后方可排放。</w:t>
      </w:r>
    </w:p>
    <w:p w14:paraId="7264B1DC">
      <w:pPr>
        <w:spacing w:before="121" w:line="230" w:lineRule="auto"/>
        <w:ind w:left="7"/>
        <w:outlineLvl w:val="1"/>
        <w:rPr>
          <w:rFonts w:ascii="仿宋" w:hAnsi="仿宋" w:eastAsia="仿宋" w:cs="仿宋"/>
          <w:sz w:val="25"/>
          <w:szCs w:val="25"/>
        </w:rPr>
      </w:pPr>
      <w:bookmarkStart w:id="51" w:name="bookmark44"/>
      <w:bookmarkEnd w:id="51"/>
      <w:r>
        <w:rPr>
          <w:rFonts w:ascii="Times New Roman" w:hAnsi="Times New Roman" w:eastAsia="Times New Roman" w:cs="Times New Roman"/>
          <w:b/>
          <w:bCs/>
          <w:spacing w:val="5"/>
          <w:sz w:val="25"/>
          <w:szCs w:val="25"/>
        </w:rPr>
        <w:t>9.4</w:t>
      </w:r>
      <w:r>
        <w:rPr>
          <w:rFonts w:ascii="Times New Roman" w:hAnsi="Times New Roman" w:eastAsia="Times New Roman" w:cs="Times New Roman"/>
          <w:b/>
          <w:bCs/>
          <w:spacing w:val="24"/>
          <w:sz w:val="25"/>
          <w:szCs w:val="25"/>
        </w:rPr>
        <w:t xml:space="preserve"> </w:t>
      </w:r>
      <w:r>
        <w:rPr>
          <w:rFonts w:ascii="仿宋" w:hAnsi="仿宋" w:eastAsia="仿宋" w:cs="仿宋"/>
          <w:b/>
          <w:bCs/>
          <w:spacing w:val="5"/>
          <w:sz w:val="25"/>
          <w:szCs w:val="25"/>
        </w:rPr>
        <w:t>规划方案综合论证结论</w:t>
      </w:r>
    </w:p>
    <w:p w14:paraId="3959DC1D">
      <w:pPr>
        <w:spacing w:before="270" w:line="230" w:lineRule="auto"/>
        <w:ind w:left="7"/>
        <w:outlineLvl w:val="2"/>
        <w:rPr>
          <w:rFonts w:ascii="仿宋" w:hAnsi="仿宋" w:eastAsia="仿宋" w:cs="仿宋"/>
          <w:sz w:val="25"/>
          <w:szCs w:val="25"/>
        </w:rPr>
      </w:pPr>
      <w:r>
        <w:rPr>
          <w:rFonts w:ascii="Times New Roman" w:hAnsi="Times New Roman" w:eastAsia="Times New Roman" w:cs="Times New Roman"/>
          <w:b/>
          <w:bCs/>
          <w:spacing w:val="5"/>
          <w:sz w:val="25"/>
          <w:szCs w:val="25"/>
        </w:rPr>
        <w:t>9.4.1</w:t>
      </w:r>
      <w:r>
        <w:rPr>
          <w:rFonts w:ascii="Times New Roman" w:hAnsi="Times New Roman" w:eastAsia="Times New Roman" w:cs="Times New Roman"/>
          <w:b/>
          <w:bCs/>
          <w:spacing w:val="21"/>
          <w:sz w:val="25"/>
          <w:szCs w:val="25"/>
        </w:rPr>
        <w:t xml:space="preserve"> </w:t>
      </w:r>
      <w:r>
        <w:rPr>
          <w:rFonts w:ascii="仿宋" w:hAnsi="仿宋" w:eastAsia="仿宋" w:cs="仿宋"/>
          <w:b/>
          <w:bCs/>
          <w:spacing w:val="5"/>
          <w:sz w:val="25"/>
          <w:szCs w:val="25"/>
        </w:rPr>
        <w:t>规划调整方案综合论证</w:t>
      </w:r>
    </w:p>
    <w:p w14:paraId="5E27D8AF">
      <w:pPr>
        <w:spacing w:before="270" w:line="339" w:lineRule="auto"/>
        <w:ind w:left="17" w:right="71" w:firstLine="477"/>
        <w:jc w:val="both"/>
        <w:rPr>
          <w:rFonts w:ascii="仿宋" w:hAnsi="仿宋" w:eastAsia="仿宋" w:cs="仿宋"/>
          <w:sz w:val="25"/>
          <w:szCs w:val="25"/>
        </w:rPr>
      </w:pPr>
      <w:r>
        <w:rPr>
          <w:rFonts w:ascii="仿宋" w:hAnsi="仿宋" w:eastAsia="仿宋" w:cs="仿宋"/>
          <w:spacing w:val="9"/>
          <w:sz w:val="25"/>
          <w:szCs w:val="25"/>
        </w:rPr>
        <w:t>《规划调整》</w:t>
      </w:r>
      <w:r>
        <w:rPr>
          <w:rFonts w:ascii="仿宋" w:hAnsi="仿宋" w:eastAsia="仿宋" w:cs="仿宋"/>
          <w:spacing w:val="-63"/>
          <w:sz w:val="25"/>
          <w:szCs w:val="25"/>
        </w:rPr>
        <w:t xml:space="preserve"> </w:t>
      </w:r>
      <w:r>
        <w:rPr>
          <w:rFonts w:ascii="仿宋" w:hAnsi="仿宋" w:eastAsia="仿宋" w:cs="仿宋"/>
          <w:spacing w:val="9"/>
          <w:sz w:val="25"/>
          <w:szCs w:val="25"/>
        </w:rPr>
        <w:t>内容符合《全国主体功能区规划》《全国生态功能</w:t>
      </w:r>
      <w:r>
        <w:rPr>
          <w:rFonts w:ascii="仿宋" w:hAnsi="仿宋" w:eastAsia="仿宋" w:cs="仿宋"/>
          <w:spacing w:val="8"/>
          <w:sz w:val="25"/>
          <w:szCs w:val="25"/>
        </w:rPr>
        <w:t>区划（修</w:t>
      </w:r>
      <w:r>
        <w:rPr>
          <w:rFonts w:ascii="仿宋" w:hAnsi="仿宋" w:eastAsia="仿宋" w:cs="仿宋"/>
          <w:sz w:val="25"/>
          <w:szCs w:val="25"/>
        </w:rPr>
        <w:t xml:space="preserve"> </w:t>
      </w:r>
      <w:r>
        <w:rPr>
          <w:rFonts w:ascii="仿宋" w:hAnsi="仿宋" w:eastAsia="仿宋" w:cs="仿宋"/>
          <w:spacing w:val="9"/>
          <w:sz w:val="25"/>
          <w:szCs w:val="25"/>
        </w:rPr>
        <w:t>编版）》、《中共中央国务院关于加快推进生态文明建设的意见》《关于划定</w:t>
      </w:r>
      <w:r>
        <w:rPr>
          <w:rFonts w:ascii="仿宋" w:hAnsi="仿宋" w:eastAsia="仿宋" w:cs="仿宋"/>
          <w:spacing w:val="18"/>
          <w:sz w:val="25"/>
          <w:szCs w:val="25"/>
        </w:rPr>
        <w:t xml:space="preserve"> </w:t>
      </w:r>
      <w:r>
        <w:rPr>
          <w:rFonts w:ascii="仿宋" w:hAnsi="仿宋" w:eastAsia="仿宋" w:cs="仿宋"/>
          <w:spacing w:val="8"/>
          <w:sz w:val="25"/>
          <w:szCs w:val="25"/>
        </w:rPr>
        <w:t>并严守生态保护红线的若干意见》等国家相关重大政策及规划要求，以及《重</w:t>
      </w:r>
      <w:r>
        <w:rPr>
          <w:rFonts w:ascii="仿宋" w:hAnsi="仿宋" w:eastAsia="仿宋" w:cs="仿宋"/>
          <w:sz w:val="25"/>
          <w:szCs w:val="25"/>
        </w:rPr>
        <w:t xml:space="preserve"> </w:t>
      </w:r>
      <w:r>
        <w:rPr>
          <w:rFonts w:ascii="仿宋" w:hAnsi="仿宋" w:eastAsia="仿宋" w:cs="仿宋"/>
          <w:spacing w:val="20"/>
          <w:sz w:val="25"/>
          <w:szCs w:val="25"/>
        </w:rPr>
        <w:t>庆市生态功能区划（修编）</w:t>
      </w:r>
      <w:r>
        <w:rPr>
          <w:rFonts w:ascii="仿宋" w:hAnsi="仿宋" w:eastAsia="仿宋" w:cs="仿宋"/>
          <w:spacing w:val="-42"/>
          <w:sz w:val="25"/>
          <w:szCs w:val="25"/>
        </w:rPr>
        <w:t xml:space="preserve"> </w:t>
      </w:r>
      <w:r>
        <w:rPr>
          <w:rFonts w:ascii="仿宋" w:hAnsi="仿宋" w:eastAsia="仿宋" w:cs="仿宋"/>
          <w:spacing w:val="20"/>
          <w:sz w:val="25"/>
          <w:szCs w:val="25"/>
        </w:rPr>
        <w:t>》</w:t>
      </w:r>
      <w:r>
        <w:rPr>
          <w:rFonts w:ascii="仿宋" w:hAnsi="仿宋" w:eastAsia="仿宋" w:cs="仿宋"/>
          <w:spacing w:val="-99"/>
          <w:sz w:val="25"/>
          <w:szCs w:val="25"/>
        </w:rPr>
        <w:t xml:space="preserve"> </w:t>
      </w:r>
      <w:r>
        <w:rPr>
          <w:rFonts w:ascii="仿宋" w:hAnsi="仿宋" w:eastAsia="仿宋" w:cs="仿宋"/>
          <w:spacing w:val="20"/>
          <w:sz w:val="25"/>
          <w:szCs w:val="25"/>
        </w:rPr>
        <w:t>《重庆市</w:t>
      </w:r>
      <w:r>
        <w:rPr>
          <w:rFonts w:ascii="仿宋" w:hAnsi="仿宋" w:eastAsia="仿宋" w:cs="仿宋"/>
          <w:spacing w:val="-42"/>
          <w:sz w:val="25"/>
          <w:szCs w:val="25"/>
        </w:rPr>
        <w:t xml:space="preserve"> </w:t>
      </w:r>
      <w:r>
        <w:rPr>
          <w:rFonts w:ascii="仿宋" w:hAnsi="仿宋" w:eastAsia="仿宋" w:cs="仿宋"/>
          <w:spacing w:val="20"/>
          <w:sz w:val="25"/>
          <w:szCs w:val="25"/>
        </w:rPr>
        <w:t>自然资源保护和利用</w:t>
      </w:r>
      <w:r>
        <w:rPr>
          <w:rFonts w:ascii="Times New Roman" w:hAnsi="Times New Roman" w:eastAsia="Times New Roman" w:cs="Times New Roman"/>
          <w:spacing w:val="20"/>
          <w:sz w:val="25"/>
          <w:szCs w:val="25"/>
        </w:rPr>
        <w:t>“</w:t>
      </w:r>
      <w:r>
        <w:rPr>
          <w:rFonts w:ascii="仿宋" w:hAnsi="仿宋" w:eastAsia="仿宋" w:cs="仿宋"/>
          <w:spacing w:val="20"/>
          <w:sz w:val="25"/>
          <w:szCs w:val="25"/>
        </w:rPr>
        <w:t>十四五</w:t>
      </w:r>
      <w:r>
        <w:rPr>
          <w:rFonts w:ascii="Times New Roman" w:hAnsi="Times New Roman" w:eastAsia="Times New Roman" w:cs="Times New Roman"/>
          <w:spacing w:val="20"/>
          <w:sz w:val="25"/>
          <w:szCs w:val="25"/>
        </w:rPr>
        <w:t>”</w:t>
      </w:r>
      <w:r>
        <w:rPr>
          <w:rFonts w:ascii="仿宋" w:hAnsi="仿宋" w:eastAsia="仿宋" w:cs="仿宋"/>
          <w:spacing w:val="20"/>
          <w:sz w:val="25"/>
          <w:szCs w:val="25"/>
        </w:rPr>
        <w:t>规划</w:t>
      </w:r>
      <w:r>
        <w:rPr>
          <w:rFonts w:ascii="仿宋" w:hAnsi="仿宋" w:eastAsia="仿宋" w:cs="仿宋"/>
          <w:sz w:val="25"/>
          <w:szCs w:val="25"/>
        </w:rPr>
        <w:t xml:space="preserve"> </w:t>
      </w:r>
      <w:r>
        <w:rPr>
          <w:rFonts w:ascii="仿宋" w:hAnsi="仿宋" w:eastAsia="仿宋" w:cs="仿宋"/>
          <w:spacing w:val="7"/>
          <w:sz w:val="25"/>
          <w:szCs w:val="25"/>
        </w:rPr>
        <w:t>（</w:t>
      </w:r>
      <w:r>
        <w:rPr>
          <w:rFonts w:ascii="Times New Roman" w:hAnsi="Times New Roman" w:eastAsia="Times New Roman" w:cs="Times New Roman"/>
          <w:spacing w:val="7"/>
          <w:sz w:val="25"/>
          <w:szCs w:val="25"/>
        </w:rPr>
        <w:t>2021-2025</w:t>
      </w:r>
      <w:r>
        <w:rPr>
          <w:rFonts w:ascii="Times New Roman" w:hAnsi="Times New Roman" w:eastAsia="Times New Roman" w:cs="Times New Roman"/>
          <w:spacing w:val="36"/>
          <w:sz w:val="25"/>
          <w:szCs w:val="25"/>
        </w:rPr>
        <w:t xml:space="preserve"> </w:t>
      </w:r>
      <w:r>
        <w:rPr>
          <w:rFonts w:ascii="仿宋" w:hAnsi="仿宋" w:eastAsia="仿宋" w:cs="仿宋"/>
          <w:spacing w:val="7"/>
          <w:sz w:val="25"/>
          <w:szCs w:val="25"/>
        </w:rPr>
        <w:t>年）》等重庆市和黔江区相关政策及规划，不存在显著冲突。</w:t>
      </w:r>
    </w:p>
    <w:p w14:paraId="72B0C8AC">
      <w:pPr>
        <w:spacing w:line="339" w:lineRule="auto"/>
        <w:rPr>
          <w:rFonts w:ascii="仿宋" w:hAnsi="仿宋" w:eastAsia="仿宋" w:cs="仿宋"/>
          <w:sz w:val="25"/>
          <w:szCs w:val="25"/>
        </w:rPr>
        <w:sectPr>
          <w:headerReference r:id="rId255" w:type="default"/>
          <w:footerReference r:id="rId256" w:type="default"/>
          <w:pgSz w:w="11906" w:h="16839"/>
          <w:pgMar w:top="1116" w:right="1404" w:bottom="866" w:left="1587" w:header="683" w:footer="703" w:gutter="0"/>
          <w:cols w:space="720" w:num="1"/>
        </w:sectPr>
      </w:pPr>
    </w:p>
    <w:p w14:paraId="3EBDF1DF">
      <w:pPr>
        <w:pStyle w:val="2"/>
        <w:spacing w:line="385" w:lineRule="auto"/>
      </w:pPr>
    </w:p>
    <w:p w14:paraId="77C938BB">
      <w:pPr>
        <w:spacing w:before="81" w:line="340" w:lineRule="auto"/>
        <w:ind w:left="15" w:right="88" w:firstLine="521"/>
        <w:jc w:val="both"/>
        <w:rPr>
          <w:rFonts w:ascii="仿宋" w:hAnsi="仿宋" w:eastAsia="仿宋" w:cs="仿宋"/>
          <w:sz w:val="25"/>
          <w:szCs w:val="25"/>
        </w:rPr>
      </w:pPr>
      <w:r>
        <w:rPr>
          <w:rFonts w:ascii="仿宋" w:hAnsi="仿宋" w:eastAsia="仿宋" w:cs="仿宋"/>
          <w:spacing w:val="9"/>
          <w:sz w:val="25"/>
          <w:szCs w:val="25"/>
        </w:rPr>
        <w:t>经综合评价，《规划调整》空间布局基本合理，但个别区块需进一步与国</w:t>
      </w:r>
      <w:r>
        <w:rPr>
          <w:rFonts w:ascii="仿宋" w:hAnsi="仿宋" w:eastAsia="仿宋" w:cs="仿宋"/>
          <w:spacing w:val="16"/>
          <w:sz w:val="25"/>
          <w:szCs w:val="25"/>
        </w:rPr>
        <w:t xml:space="preserve"> </w:t>
      </w:r>
      <w:r>
        <w:rPr>
          <w:rFonts w:ascii="仿宋" w:hAnsi="仿宋" w:eastAsia="仿宋" w:cs="仿宋"/>
          <w:spacing w:val="10"/>
          <w:sz w:val="25"/>
          <w:szCs w:val="25"/>
        </w:rPr>
        <w:t>家级公益林、永久基本农田等依法设立的各类</w:t>
      </w:r>
      <w:r>
        <w:rPr>
          <w:rFonts w:ascii="仿宋" w:hAnsi="仿宋" w:eastAsia="仿宋" w:cs="仿宋"/>
          <w:spacing w:val="9"/>
          <w:sz w:val="25"/>
          <w:szCs w:val="25"/>
        </w:rPr>
        <w:t>各级保护区等充分衔接，优化布</w:t>
      </w:r>
      <w:r>
        <w:rPr>
          <w:rFonts w:ascii="仿宋" w:hAnsi="仿宋" w:eastAsia="仿宋" w:cs="仿宋"/>
          <w:sz w:val="25"/>
          <w:szCs w:val="25"/>
        </w:rPr>
        <w:t xml:space="preserve"> </w:t>
      </w:r>
      <w:r>
        <w:rPr>
          <w:rFonts w:ascii="仿宋" w:hAnsi="仿宋" w:eastAsia="仿宋" w:cs="仿宋"/>
          <w:spacing w:val="10"/>
          <w:sz w:val="25"/>
          <w:szCs w:val="25"/>
        </w:rPr>
        <w:t>局后，才能使规划布局更合理。在严格采取有效环</w:t>
      </w:r>
      <w:r>
        <w:rPr>
          <w:rFonts w:ascii="仿宋" w:hAnsi="仿宋" w:eastAsia="仿宋" w:cs="仿宋"/>
          <w:spacing w:val="9"/>
          <w:sz w:val="25"/>
          <w:szCs w:val="25"/>
        </w:rPr>
        <w:t>境保护措施后，规划环境目</w:t>
      </w:r>
      <w:r>
        <w:rPr>
          <w:rFonts w:ascii="仿宋" w:hAnsi="仿宋" w:eastAsia="仿宋" w:cs="仿宋"/>
          <w:sz w:val="25"/>
          <w:szCs w:val="25"/>
        </w:rPr>
        <w:t xml:space="preserve"> </w:t>
      </w:r>
      <w:r>
        <w:rPr>
          <w:rFonts w:ascii="仿宋" w:hAnsi="仿宋" w:eastAsia="仿宋" w:cs="仿宋"/>
          <w:spacing w:val="3"/>
          <w:sz w:val="25"/>
          <w:szCs w:val="25"/>
        </w:rPr>
        <w:t>标可达。</w:t>
      </w:r>
    </w:p>
    <w:p w14:paraId="1433D6E3">
      <w:pPr>
        <w:spacing w:before="119" w:line="229" w:lineRule="auto"/>
        <w:ind w:left="7"/>
        <w:outlineLvl w:val="2"/>
        <w:rPr>
          <w:rFonts w:ascii="仿宋" w:hAnsi="仿宋" w:eastAsia="仿宋" w:cs="仿宋"/>
          <w:sz w:val="25"/>
          <w:szCs w:val="25"/>
        </w:rPr>
      </w:pPr>
      <w:r>
        <w:rPr>
          <w:rFonts w:ascii="Times New Roman" w:hAnsi="Times New Roman" w:eastAsia="Times New Roman" w:cs="Times New Roman"/>
          <w:b/>
          <w:bCs/>
          <w:spacing w:val="4"/>
          <w:sz w:val="25"/>
          <w:szCs w:val="25"/>
        </w:rPr>
        <w:t>9.4.2</w:t>
      </w:r>
      <w:r>
        <w:rPr>
          <w:rFonts w:ascii="Times New Roman" w:hAnsi="Times New Roman" w:eastAsia="Times New Roman" w:cs="Times New Roman"/>
          <w:b/>
          <w:bCs/>
          <w:spacing w:val="26"/>
          <w:sz w:val="25"/>
          <w:szCs w:val="25"/>
        </w:rPr>
        <w:t xml:space="preserve"> </w:t>
      </w:r>
      <w:r>
        <w:rPr>
          <w:rFonts w:ascii="仿宋" w:hAnsi="仿宋" w:eastAsia="仿宋" w:cs="仿宋"/>
          <w:b/>
          <w:bCs/>
          <w:spacing w:val="4"/>
          <w:sz w:val="25"/>
          <w:szCs w:val="25"/>
        </w:rPr>
        <w:t>规划优化调整建议</w:t>
      </w:r>
    </w:p>
    <w:p w14:paraId="676D4B20">
      <w:pPr>
        <w:spacing w:before="268" w:line="229" w:lineRule="auto"/>
        <w:ind w:left="541"/>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1</w:t>
      </w:r>
      <w:r>
        <w:rPr>
          <w:rFonts w:ascii="仿宋" w:hAnsi="仿宋" w:eastAsia="仿宋" w:cs="仿宋"/>
          <w:spacing w:val="7"/>
          <w:sz w:val="25"/>
          <w:szCs w:val="25"/>
        </w:rPr>
        <w:t>）对规划目标的反馈建议</w:t>
      </w:r>
    </w:p>
    <w:p w14:paraId="414C64F0">
      <w:pPr>
        <w:spacing w:before="151" w:line="339" w:lineRule="auto"/>
        <w:ind w:left="16" w:right="90" w:firstLine="521"/>
        <w:rPr>
          <w:rFonts w:ascii="仿宋" w:hAnsi="仿宋" w:eastAsia="仿宋" w:cs="仿宋"/>
          <w:sz w:val="25"/>
          <w:szCs w:val="25"/>
        </w:rPr>
      </w:pPr>
      <w:r>
        <w:rPr>
          <w:rFonts w:ascii="仿宋" w:hAnsi="仿宋" w:eastAsia="仿宋" w:cs="仿宋"/>
          <w:spacing w:val="9"/>
          <w:sz w:val="25"/>
          <w:szCs w:val="25"/>
        </w:rPr>
        <w:t>评价建议将历史遗留和关闭矿山地质环境恢复治理和矿区土地复垦指标纳</w:t>
      </w:r>
      <w:r>
        <w:rPr>
          <w:rFonts w:ascii="仿宋" w:hAnsi="仿宋" w:eastAsia="仿宋" w:cs="仿宋"/>
          <w:spacing w:val="15"/>
          <w:sz w:val="25"/>
          <w:szCs w:val="25"/>
        </w:rPr>
        <w:t xml:space="preserve"> </w:t>
      </w:r>
      <w:r>
        <w:rPr>
          <w:rFonts w:ascii="仿宋" w:hAnsi="仿宋" w:eastAsia="仿宋" w:cs="仿宋"/>
          <w:spacing w:val="8"/>
          <w:sz w:val="25"/>
          <w:szCs w:val="25"/>
        </w:rPr>
        <w:t>入到规划目标中，作为《规划》实施的硬约束。</w:t>
      </w:r>
    </w:p>
    <w:p w14:paraId="09D87DDB">
      <w:pPr>
        <w:spacing w:before="1" w:line="226" w:lineRule="auto"/>
        <w:ind w:left="541"/>
        <w:rPr>
          <w:rFonts w:ascii="仿宋" w:hAnsi="仿宋" w:eastAsia="仿宋" w:cs="仿宋"/>
          <w:sz w:val="25"/>
          <w:szCs w:val="25"/>
        </w:rPr>
      </w:pPr>
      <w:r>
        <w:rPr>
          <w:rFonts w:ascii="仿宋" w:hAnsi="仿宋" w:eastAsia="仿宋" w:cs="仿宋"/>
          <w:spacing w:val="8"/>
          <w:sz w:val="25"/>
          <w:szCs w:val="25"/>
        </w:rPr>
        <w:t>（</w:t>
      </w:r>
      <w:r>
        <w:rPr>
          <w:rFonts w:ascii="Times New Roman" w:hAnsi="Times New Roman" w:eastAsia="Times New Roman" w:cs="Times New Roman"/>
          <w:spacing w:val="8"/>
          <w:sz w:val="25"/>
          <w:szCs w:val="25"/>
        </w:rPr>
        <w:t>2</w:t>
      </w:r>
      <w:r>
        <w:rPr>
          <w:rFonts w:ascii="仿宋" w:hAnsi="仿宋" w:eastAsia="仿宋" w:cs="仿宋"/>
          <w:spacing w:val="8"/>
          <w:sz w:val="25"/>
          <w:szCs w:val="25"/>
        </w:rPr>
        <w:t>）对空间布局的优化调整建议</w:t>
      </w:r>
    </w:p>
    <w:p w14:paraId="3C6091E9">
      <w:pPr>
        <w:spacing w:before="152" w:line="303" w:lineRule="auto"/>
        <w:ind w:left="17" w:firstLine="511"/>
        <w:rPr>
          <w:rFonts w:ascii="仿宋" w:hAnsi="仿宋" w:eastAsia="仿宋" w:cs="仿宋"/>
          <w:sz w:val="25"/>
          <w:szCs w:val="25"/>
        </w:rPr>
      </w:pPr>
      <w:r>
        <w:rPr>
          <w:rFonts w:ascii="宋体" w:hAnsi="宋体" w:eastAsia="宋体" w:cs="宋体"/>
          <w:spacing w:val="8"/>
          <w:sz w:val="25"/>
          <w:szCs w:val="25"/>
        </w:rPr>
        <w:t>①</w:t>
      </w:r>
      <w:r>
        <w:rPr>
          <w:rFonts w:ascii="仿宋" w:hAnsi="仿宋" w:eastAsia="仿宋" w:cs="仿宋"/>
          <w:spacing w:val="8"/>
          <w:sz w:val="25"/>
          <w:szCs w:val="25"/>
        </w:rPr>
        <w:t>勘查区块</w:t>
      </w:r>
      <w:r>
        <w:rPr>
          <w:rFonts w:ascii="仿宋" w:hAnsi="仿宋" w:eastAsia="仿宋" w:cs="仿宋"/>
          <w:spacing w:val="-38"/>
          <w:sz w:val="25"/>
          <w:szCs w:val="25"/>
        </w:rPr>
        <w:t xml:space="preserve"> </w:t>
      </w:r>
      <w:r>
        <w:rPr>
          <w:rFonts w:ascii="Times New Roman" w:hAnsi="Times New Roman" w:eastAsia="Times New Roman" w:cs="Times New Roman"/>
          <w:sz w:val="25"/>
          <w:szCs w:val="25"/>
        </w:rPr>
        <w:t>KQ</w:t>
      </w:r>
      <w:r>
        <w:rPr>
          <w:rFonts w:ascii="Times New Roman" w:hAnsi="Times New Roman" w:eastAsia="Times New Roman" w:cs="Times New Roman"/>
          <w:spacing w:val="8"/>
          <w:sz w:val="25"/>
          <w:szCs w:val="25"/>
        </w:rPr>
        <w:t xml:space="preserve">004  </w:t>
      </w:r>
      <w:r>
        <w:rPr>
          <w:rFonts w:ascii="仿宋" w:hAnsi="仿宋" w:eastAsia="仿宋" w:cs="仿宋"/>
          <w:spacing w:val="8"/>
          <w:sz w:val="25"/>
          <w:szCs w:val="25"/>
        </w:rPr>
        <w:t>占用二级国家级公益林地，</w:t>
      </w:r>
      <w:r>
        <w:rPr>
          <w:rFonts w:ascii="Times New Roman" w:hAnsi="Times New Roman" w:eastAsia="Times New Roman" w:cs="Times New Roman"/>
          <w:sz w:val="25"/>
          <w:szCs w:val="25"/>
        </w:rPr>
        <w:t>KQ</w:t>
      </w:r>
      <w:r>
        <w:rPr>
          <w:rFonts w:ascii="Times New Roman" w:hAnsi="Times New Roman" w:eastAsia="Times New Roman" w:cs="Times New Roman"/>
          <w:spacing w:val="8"/>
          <w:sz w:val="25"/>
          <w:szCs w:val="25"/>
        </w:rPr>
        <w:t xml:space="preserve">009  </w:t>
      </w:r>
      <w:r>
        <w:rPr>
          <w:rFonts w:ascii="仿宋" w:hAnsi="仿宋" w:eastAsia="仿宋" w:cs="仿宋"/>
          <w:spacing w:val="8"/>
          <w:sz w:val="25"/>
          <w:szCs w:val="25"/>
        </w:rPr>
        <w:t>占用地方公益林，</w:t>
      </w:r>
      <w:r>
        <w:rPr>
          <w:rFonts w:ascii="仿宋" w:hAnsi="仿宋" w:eastAsia="仿宋" w:cs="仿宋"/>
          <w:sz w:val="25"/>
          <w:szCs w:val="25"/>
        </w:rPr>
        <w:t xml:space="preserve"> </w:t>
      </w:r>
      <w:r>
        <w:rPr>
          <w:rFonts w:ascii="仿宋" w:hAnsi="仿宋" w:eastAsia="仿宋" w:cs="仿宋"/>
          <w:spacing w:val="10"/>
          <w:sz w:val="25"/>
          <w:szCs w:val="25"/>
        </w:rPr>
        <w:t>评价建议：应优先优化布局，地面工程不占或者少占公益林地，确需占用的，</w:t>
      </w:r>
      <w:r>
        <w:rPr>
          <w:rFonts w:ascii="仿宋" w:hAnsi="仿宋" w:eastAsia="仿宋" w:cs="仿宋"/>
          <w:spacing w:val="11"/>
          <w:sz w:val="25"/>
          <w:szCs w:val="25"/>
        </w:rPr>
        <w:t xml:space="preserve"> </w:t>
      </w:r>
      <w:r>
        <w:rPr>
          <w:rFonts w:ascii="仿宋" w:hAnsi="仿宋" w:eastAsia="仿宋" w:cs="仿宋"/>
          <w:spacing w:val="5"/>
          <w:sz w:val="25"/>
          <w:szCs w:val="25"/>
        </w:rPr>
        <w:t>严格按照《建设项目使用林地审核审批管理办法》有关规</w:t>
      </w:r>
      <w:r>
        <w:rPr>
          <w:rFonts w:ascii="仿宋" w:hAnsi="仿宋" w:eastAsia="仿宋" w:cs="仿宋"/>
          <w:spacing w:val="4"/>
          <w:sz w:val="25"/>
          <w:szCs w:val="25"/>
        </w:rPr>
        <w:t>定办理使用林地手续。</w:t>
      </w:r>
    </w:p>
    <w:p w14:paraId="17215AC1">
      <w:pPr>
        <w:spacing w:before="149" w:line="326" w:lineRule="auto"/>
        <w:ind w:left="15" w:right="19" w:firstLine="519"/>
        <w:rPr>
          <w:rFonts w:ascii="仿宋" w:hAnsi="仿宋" w:eastAsia="仿宋" w:cs="仿宋"/>
          <w:sz w:val="25"/>
          <w:szCs w:val="25"/>
        </w:rPr>
      </w:pPr>
      <w:r>
        <w:rPr>
          <w:rFonts w:ascii="宋体" w:hAnsi="宋体" w:eastAsia="宋体" w:cs="宋体"/>
          <w:spacing w:val="7"/>
          <w:sz w:val="25"/>
          <w:szCs w:val="25"/>
        </w:rPr>
        <w:t>②</w:t>
      </w:r>
      <w:r>
        <w:rPr>
          <w:rFonts w:ascii="仿宋" w:hAnsi="仿宋" w:eastAsia="仿宋" w:cs="仿宋"/>
          <w:spacing w:val="7"/>
          <w:sz w:val="25"/>
          <w:szCs w:val="25"/>
        </w:rPr>
        <w:t>勘查区块</w:t>
      </w:r>
      <w:r>
        <w:rPr>
          <w:rFonts w:ascii="仿宋" w:hAnsi="仿宋" w:eastAsia="仿宋" w:cs="仿宋"/>
          <w:spacing w:val="-53"/>
          <w:sz w:val="25"/>
          <w:szCs w:val="25"/>
        </w:rPr>
        <w:t xml:space="preserve"> </w:t>
      </w:r>
      <w:r>
        <w:rPr>
          <w:rFonts w:ascii="Times New Roman" w:hAnsi="Times New Roman" w:eastAsia="Times New Roman" w:cs="Times New Roman"/>
          <w:sz w:val="25"/>
          <w:szCs w:val="25"/>
        </w:rPr>
        <w:t>KQ</w:t>
      </w:r>
      <w:r>
        <w:rPr>
          <w:rFonts w:ascii="Times New Roman" w:hAnsi="Times New Roman" w:eastAsia="Times New Roman" w:cs="Times New Roman"/>
          <w:spacing w:val="7"/>
          <w:sz w:val="25"/>
          <w:szCs w:val="25"/>
        </w:rPr>
        <w:t>004</w:t>
      </w:r>
      <w:r>
        <w:rPr>
          <w:rFonts w:ascii="Times New Roman" w:hAnsi="Times New Roman" w:eastAsia="Times New Roman" w:cs="Times New Roman"/>
          <w:spacing w:val="22"/>
          <w:sz w:val="25"/>
          <w:szCs w:val="25"/>
        </w:rPr>
        <w:t xml:space="preserve"> </w:t>
      </w:r>
      <w:r>
        <w:rPr>
          <w:rFonts w:ascii="仿宋" w:hAnsi="仿宋" w:eastAsia="仿宋" w:cs="仿宋"/>
          <w:spacing w:val="7"/>
          <w:sz w:val="25"/>
          <w:szCs w:val="25"/>
        </w:rPr>
        <w:t>和</w:t>
      </w:r>
      <w:r>
        <w:rPr>
          <w:rFonts w:ascii="仿宋" w:hAnsi="仿宋" w:eastAsia="仿宋" w:cs="仿宋"/>
          <w:spacing w:val="-53"/>
          <w:sz w:val="25"/>
          <w:szCs w:val="25"/>
        </w:rPr>
        <w:t xml:space="preserve"> </w:t>
      </w:r>
      <w:r>
        <w:rPr>
          <w:rFonts w:ascii="Times New Roman" w:hAnsi="Times New Roman" w:eastAsia="Times New Roman" w:cs="Times New Roman"/>
          <w:sz w:val="25"/>
          <w:szCs w:val="25"/>
        </w:rPr>
        <w:t>KQ</w:t>
      </w:r>
      <w:r>
        <w:rPr>
          <w:rFonts w:ascii="Times New Roman" w:hAnsi="Times New Roman" w:eastAsia="Times New Roman" w:cs="Times New Roman"/>
          <w:spacing w:val="7"/>
          <w:sz w:val="25"/>
          <w:szCs w:val="25"/>
        </w:rPr>
        <w:t xml:space="preserve">009  </w:t>
      </w:r>
      <w:r>
        <w:rPr>
          <w:rFonts w:ascii="仿宋" w:hAnsi="仿宋" w:eastAsia="仿宋" w:cs="仿宋"/>
          <w:spacing w:val="7"/>
          <w:sz w:val="25"/>
          <w:szCs w:val="25"/>
        </w:rPr>
        <w:t>占用永久基本农田，评价建议：在进行地质</w:t>
      </w:r>
      <w:r>
        <w:rPr>
          <w:rFonts w:ascii="仿宋" w:hAnsi="仿宋" w:eastAsia="仿宋" w:cs="仿宋"/>
          <w:sz w:val="25"/>
          <w:szCs w:val="25"/>
        </w:rPr>
        <w:t xml:space="preserve"> </w:t>
      </w:r>
      <w:r>
        <w:rPr>
          <w:rFonts w:ascii="仿宋" w:hAnsi="仿宋" w:eastAsia="仿宋" w:cs="仿宋"/>
          <w:spacing w:val="10"/>
          <w:sz w:val="25"/>
          <w:szCs w:val="25"/>
        </w:rPr>
        <w:t>勘查活动时应主动避让永久基本农田，确实无</w:t>
      </w:r>
      <w:r>
        <w:rPr>
          <w:rFonts w:ascii="仿宋" w:hAnsi="仿宋" w:eastAsia="仿宋" w:cs="仿宋"/>
          <w:spacing w:val="9"/>
          <w:sz w:val="25"/>
          <w:szCs w:val="25"/>
        </w:rPr>
        <w:t>法避让永久基本农田的，在不修</w:t>
      </w:r>
      <w:r>
        <w:rPr>
          <w:rFonts w:ascii="仿宋" w:hAnsi="仿宋" w:eastAsia="仿宋" w:cs="仿宋"/>
          <w:sz w:val="25"/>
          <w:szCs w:val="25"/>
        </w:rPr>
        <w:t xml:space="preserve"> </w:t>
      </w:r>
      <w:r>
        <w:rPr>
          <w:rFonts w:ascii="仿宋" w:hAnsi="仿宋" w:eastAsia="仿宋" w:cs="仿宋"/>
          <w:spacing w:val="10"/>
          <w:sz w:val="25"/>
          <w:szCs w:val="25"/>
        </w:rPr>
        <w:t>建永久建（构）筑物、经复垦能恢复原种植条</w:t>
      </w:r>
      <w:r>
        <w:rPr>
          <w:rFonts w:ascii="仿宋" w:hAnsi="仿宋" w:eastAsia="仿宋" w:cs="仿宋"/>
          <w:spacing w:val="9"/>
          <w:sz w:val="25"/>
          <w:szCs w:val="25"/>
        </w:rPr>
        <w:t>件的前提下，土地使用者按法定</w:t>
      </w:r>
      <w:r>
        <w:rPr>
          <w:rFonts w:ascii="仿宋" w:hAnsi="仿宋" w:eastAsia="仿宋" w:cs="仿宋"/>
          <w:sz w:val="25"/>
          <w:szCs w:val="25"/>
        </w:rPr>
        <w:t xml:space="preserve"> </w:t>
      </w:r>
      <w:r>
        <w:rPr>
          <w:rFonts w:ascii="仿宋" w:hAnsi="仿宋" w:eastAsia="仿宋" w:cs="仿宋"/>
          <w:spacing w:val="10"/>
          <w:sz w:val="25"/>
          <w:szCs w:val="25"/>
        </w:rPr>
        <w:t>程序申请临时用地并编制土地复垦方案。临时</w:t>
      </w:r>
      <w:r>
        <w:rPr>
          <w:rFonts w:ascii="仿宋" w:hAnsi="仿宋" w:eastAsia="仿宋" w:cs="仿宋"/>
          <w:spacing w:val="9"/>
          <w:sz w:val="25"/>
          <w:szCs w:val="25"/>
        </w:rPr>
        <w:t>用地使用前，应通过耕地耕作层</w:t>
      </w:r>
      <w:r>
        <w:rPr>
          <w:rFonts w:ascii="仿宋" w:hAnsi="仿宋" w:eastAsia="仿宋" w:cs="仿宋"/>
          <w:sz w:val="25"/>
          <w:szCs w:val="25"/>
        </w:rPr>
        <w:t xml:space="preserve"> </w:t>
      </w:r>
      <w:r>
        <w:rPr>
          <w:rFonts w:ascii="仿宋" w:hAnsi="仿宋" w:eastAsia="仿宋" w:cs="仿宋"/>
          <w:spacing w:val="8"/>
          <w:sz w:val="25"/>
          <w:szCs w:val="25"/>
        </w:rPr>
        <w:t>土壤剥离再利用等工程技术措施，减少对耕作层的破坏，</w:t>
      </w:r>
      <w:r>
        <w:rPr>
          <w:rFonts w:ascii="仿宋" w:hAnsi="仿宋" w:eastAsia="仿宋" w:cs="仿宋"/>
          <w:spacing w:val="-71"/>
          <w:sz w:val="25"/>
          <w:szCs w:val="25"/>
        </w:rPr>
        <w:t xml:space="preserve"> </w:t>
      </w:r>
      <w:r>
        <w:rPr>
          <w:rFonts w:ascii="仿宋" w:hAnsi="仿宋" w:eastAsia="仿宋" w:cs="仿宋"/>
          <w:spacing w:val="8"/>
          <w:sz w:val="25"/>
          <w:szCs w:val="25"/>
        </w:rPr>
        <w:t>同时采用绿色勘查方</w:t>
      </w:r>
      <w:r>
        <w:rPr>
          <w:rFonts w:ascii="仿宋" w:hAnsi="仿宋" w:eastAsia="仿宋" w:cs="仿宋"/>
          <w:sz w:val="25"/>
          <w:szCs w:val="25"/>
        </w:rPr>
        <w:t xml:space="preserve"> </w:t>
      </w:r>
      <w:r>
        <w:rPr>
          <w:rFonts w:ascii="仿宋" w:hAnsi="仿宋" w:eastAsia="仿宋" w:cs="仿宋"/>
          <w:spacing w:val="3"/>
          <w:sz w:val="25"/>
          <w:szCs w:val="25"/>
        </w:rPr>
        <w:t>式，勘查时尽量少占或不占永久基本农田。</w:t>
      </w:r>
      <w:r>
        <w:rPr>
          <w:rFonts w:ascii="Times New Roman" w:hAnsi="Times New Roman" w:eastAsia="Times New Roman" w:cs="Times New Roman"/>
          <w:sz w:val="25"/>
          <w:szCs w:val="25"/>
        </w:rPr>
        <w:t>KQ</w:t>
      </w:r>
      <w:r>
        <w:rPr>
          <w:rFonts w:ascii="Times New Roman" w:hAnsi="Times New Roman" w:eastAsia="Times New Roman" w:cs="Times New Roman"/>
          <w:spacing w:val="3"/>
          <w:sz w:val="25"/>
          <w:szCs w:val="25"/>
        </w:rPr>
        <w:t>00</w:t>
      </w:r>
      <w:r>
        <w:rPr>
          <w:rFonts w:ascii="Times New Roman" w:hAnsi="Times New Roman" w:eastAsia="Times New Roman" w:cs="Times New Roman"/>
          <w:spacing w:val="2"/>
          <w:sz w:val="25"/>
          <w:szCs w:val="25"/>
        </w:rPr>
        <w:t>4</w:t>
      </w:r>
      <w:r>
        <w:rPr>
          <w:rFonts w:ascii="仿宋" w:hAnsi="仿宋" w:eastAsia="仿宋" w:cs="仿宋"/>
          <w:spacing w:val="2"/>
          <w:sz w:val="25"/>
          <w:szCs w:val="25"/>
        </w:rPr>
        <w:t>、</w:t>
      </w:r>
      <w:r>
        <w:rPr>
          <w:rFonts w:ascii="Times New Roman" w:hAnsi="Times New Roman" w:eastAsia="Times New Roman" w:cs="Times New Roman"/>
          <w:sz w:val="25"/>
          <w:szCs w:val="25"/>
        </w:rPr>
        <w:t>KQ</w:t>
      </w:r>
      <w:r>
        <w:rPr>
          <w:rFonts w:ascii="Times New Roman" w:hAnsi="Times New Roman" w:eastAsia="Times New Roman" w:cs="Times New Roman"/>
          <w:spacing w:val="2"/>
          <w:sz w:val="25"/>
          <w:szCs w:val="25"/>
        </w:rPr>
        <w:t>009</w:t>
      </w:r>
      <w:r>
        <w:rPr>
          <w:rFonts w:ascii="Times New Roman" w:hAnsi="Times New Roman" w:eastAsia="Times New Roman" w:cs="Times New Roman"/>
          <w:spacing w:val="22"/>
          <w:sz w:val="25"/>
          <w:szCs w:val="25"/>
        </w:rPr>
        <w:t xml:space="preserve"> </w:t>
      </w:r>
      <w:r>
        <w:rPr>
          <w:rFonts w:ascii="仿宋" w:hAnsi="仿宋" w:eastAsia="仿宋" w:cs="仿宋"/>
          <w:spacing w:val="2"/>
          <w:sz w:val="25"/>
          <w:szCs w:val="25"/>
        </w:rPr>
        <w:t>如需转为开采区块，</w:t>
      </w:r>
      <w:r>
        <w:rPr>
          <w:rFonts w:ascii="仿宋" w:hAnsi="仿宋" w:eastAsia="仿宋" w:cs="仿宋"/>
          <w:sz w:val="25"/>
          <w:szCs w:val="25"/>
        </w:rPr>
        <w:t xml:space="preserve"> </w:t>
      </w:r>
      <w:r>
        <w:rPr>
          <w:rFonts w:ascii="仿宋" w:hAnsi="仿宋" w:eastAsia="仿宋" w:cs="仿宋"/>
          <w:spacing w:val="10"/>
          <w:sz w:val="25"/>
          <w:szCs w:val="25"/>
        </w:rPr>
        <w:t>则应优化矿区布局，地面工程避让永久基本农田，</w:t>
      </w:r>
      <w:r>
        <w:rPr>
          <w:rFonts w:ascii="仿宋" w:hAnsi="仿宋" w:eastAsia="仿宋" w:cs="仿宋"/>
          <w:spacing w:val="9"/>
          <w:sz w:val="25"/>
          <w:szCs w:val="25"/>
        </w:rPr>
        <w:t>确保不造成永久基本农田损</w:t>
      </w:r>
      <w:r>
        <w:rPr>
          <w:rFonts w:ascii="仿宋" w:hAnsi="仿宋" w:eastAsia="仿宋" w:cs="仿宋"/>
          <w:sz w:val="25"/>
          <w:szCs w:val="25"/>
        </w:rPr>
        <w:t xml:space="preserve"> </w:t>
      </w:r>
      <w:r>
        <w:rPr>
          <w:rFonts w:ascii="仿宋" w:hAnsi="仿宋" w:eastAsia="仿宋" w:cs="仿宋"/>
          <w:spacing w:val="6"/>
          <w:sz w:val="25"/>
          <w:szCs w:val="25"/>
        </w:rPr>
        <w:t>毁、塌陷破坏。</w:t>
      </w:r>
    </w:p>
    <w:p w14:paraId="4ED14BCC">
      <w:pPr>
        <w:spacing w:before="269" w:line="229" w:lineRule="auto"/>
        <w:ind w:left="7"/>
        <w:outlineLvl w:val="1"/>
        <w:rPr>
          <w:rFonts w:ascii="仿宋" w:hAnsi="仿宋" w:eastAsia="仿宋" w:cs="仿宋"/>
          <w:sz w:val="25"/>
          <w:szCs w:val="25"/>
        </w:rPr>
      </w:pPr>
      <w:bookmarkStart w:id="52" w:name="bookmark45"/>
      <w:bookmarkEnd w:id="52"/>
      <w:r>
        <w:rPr>
          <w:rFonts w:ascii="Times New Roman" w:hAnsi="Times New Roman" w:eastAsia="Times New Roman" w:cs="Times New Roman"/>
          <w:b/>
          <w:bCs/>
          <w:spacing w:val="6"/>
          <w:sz w:val="25"/>
          <w:szCs w:val="25"/>
        </w:rPr>
        <w:t xml:space="preserve">9.5  </w:t>
      </w:r>
      <w:r>
        <w:rPr>
          <w:rFonts w:ascii="仿宋" w:hAnsi="仿宋" w:eastAsia="仿宋" w:cs="仿宋"/>
          <w:b/>
          <w:bCs/>
          <w:spacing w:val="6"/>
          <w:sz w:val="25"/>
          <w:szCs w:val="25"/>
        </w:rPr>
        <w:t>环境影响减缓对策和措施</w:t>
      </w:r>
    </w:p>
    <w:p w14:paraId="16C45D6B">
      <w:pPr>
        <w:spacing w:before="271" w:line="227" w:lineRule="auto"/>
        <w:ind w:left="630"/>
        <w:rPr>
          <w:rFonts w:ascii="仿宋" w:hAnsi="仿宋" w:eastAsia="仿宋" w:cs="仿宋"/>
          <w:sz w:val="25"/>
          <w:szCs w:val="25"/>
        </w:rPr>
      </w:pPr>
      <w:r>
        <w:rPr>
          <w:rFonts w:ascii="仿宋" w:hAnsi="仿宋" w:eastAsia="仿宋" w:cs="仿宋"/>
          <w:spacing w:val="8"/>
          <w:sz w:val="25"/>
          <w:szCs w:val="25"/>
        </w:rPr>
        <w:t>（</w:t>
      </w:r>
      <w:r>
        <w:rPr>
          <w:rFonts w:ascii="Times New Roman" w:hAnsi="Times New Roman" w:eastAsia="Times New Roman" w:cs="Times New Roman"/>
          <w:spacing w:val="8"/>
          <w:sz w:val="25"/>
          <w:szCs w:val="25"/>
        </w:rPr>
        <w:t>1</w:t>
      </w:r>
      <w:r>
        <w:rPr>
          <w:rFonts w:ascii="仿宋" w:hAnsi="仿宋" w:eastAsia="仿宋" w:cs="仿宋"/>
          <w:spacing w:val="8"/>
          <w:sz w:val="25"/>
          <w:szCs w:val="25"/>
        </w:rPr>
        <w:t>）选择合理的开发方法和采用先进的生产技术</w:t>
      </w:r>
    </w:p>
    <w:p w14:paraId="5C45056B">
      <w:pPr>
        <w:spacing w:before="153" w:line="339" w:lineRule="auto"/>
        <w:ind w:left="16" w:right="90" w:firstLine="479"/>
        <w:rPr>
          <w:rFonts w:ascii="仿宋" w:hAnsi="仿宋" w:eastAsia="仿宋" w:cs="仿宋"/>
          <w:sz w:val="25"/>
          <w:szCs w:val="25"/>
        </w:rPr>
      </w:pPr>
      <w:r>
        <w:rPr>
          <w:rFonts w:ascii="仿宋" w:hAnsi="仿宋" w:eastAsia="仿宋" w:cs="仿宋"/>
          <w:spacing w:val="11"/>
          <w:sz w:val="25"/>
          <w:szCs w:val="25"/>
        </w:rPr>
        <w:t>针对规划设置的具体项目，合理安排施工方案和施工计划，</w:t>
      </w:r>
      <w:r>
        <w:rPr>
          <w:rFonts w:ascii="仿宋" w:hAnsi="仿宋" w:eastAsia="仿宋" w:cs="仿宋"/>
          <w:spacing w:val="10"/>
          <w:sz w:val="25"/>
          <w:szCs w:val="25"/>
        </w:rPr>
        <w:t>鼓励采用先进</w:t>
      </w:r>
      <w:r>
        <w:rPr>
          <w:rFonts w:ascii="仿宋" w:hAnsi="仿宋" w:eastAsia="仿宋" w:cs="仿宋"/>
          <w:sz w:val="25"/>
          <w:szCs w:val="25"/>
        </w:rPr>
        <w:t xml:space="preserve"> </w:t>
      </w:r>
      <w:r>
        <w:rPr>
          <w:rFonts w:ascii="仿宋" w:hAnsi="仿宋" w:eastAsia="仿宋" w:cs="仿宋"/>
          <w:spacing w:val="10"/>
          <w:sz w:val="25"/>
          <w:szCs w:val="25"/>
        </w:rPr>
        <w:t>环保的生产技术，露天矿山应严格按照开发</w:t>
      </w:r>
      <w:r>
        <w:rPr>
          <w:rFonts w:ascii="仿宋" w:hAnsi="仿宋" w:eastAsia="仿宋" w:cs="仿宋"/>
          <w:spacing w:val="9"/>
          <w:sz w:val="25"/>
          <w:szCs w:val="25"/>
        </w:rPr>
        <w:t>利用方案确定的台阶式开采方式，</w:t>
      </w:r>
      <w:r>
        <w:rPr>
          <w:rFonts w:ascii="仿宋" w:hAnsi="仿宋" w:eastAsia="仿宋" w:cs="仿宋"/>
          <w:sz w:val="25"/>
          <w:szCs w:val="25"/>
        </w:rPr>
        <w:t xml:space="preserve"> </w:t>
      </w:r>
      <w:r>
        <w:rPr>
          <w:rFonts w:ascii="仿宋" w:hAnsi="仿宋" w:eastAsia="仿宋" w:cs="仿宋"/>
          <w:spacing w:val="6"/>
          <w:sz w:val="25"/>
          <w:szCs w:val="25"/>
        </w:rPr>
        <w:t>实现边开采边恢复。</w:t>
      </w:r>
    </w:p>
    <w:p w14:paraId="7AEAFBC2">
      <w:pPr>
        <w:spacing w:before="4" w:line="228" w:lineRule="auto"/>
        <w:ind w:left="500"/>
        <w:rPr>
          <w:rFonts w:ascii="仿宋" w:hAnsi="仿宋" w:eastAsia="仿宋" w:cs="仿宋"/>
          <w:sz w:val="25"/>
          <w:szCs w:val="25"/>
        </w:rPr>
      </w:pPr>
      <w:r>
        <w:rPr>
          <w:rFonts w:ascii="仿宋" w:hAnsi="仿宋" w:eastAsia="仿宋" w:cs="仿宋"/>
          <w:spacing w:val="8"/>
          <w:sz w:val="25"/>
          <w:szCs w:val="25"/>
        </w:rPr>
        <w:t>（</w:t>
      </w:r>
      <w:r>
        <w:rPr>
          <w:rFonts w:ascii="Times New Roman" w:hAnsi="Times New Roman" w:eastAsia="Times New Roman" w:cs="Times New Roman"/>
          <w:spacing w:val="8"/>
          <w:sz w:val="25"/>
          <w:szCs w:val="25"/>
        </w:rPr>
        <w:t>2</w:t>
      </w:r>
      <w:r>
        <w:rPr>
          <w:rFonts w:ascii="仿宋" w:hAnsi="仿宋" w:eastAsia="仿宋" w:cs="仿宋"/>
          <w:spacing w:val="8"/>
          <w:sz w:val="25"/>
          <w:szCs w:val="25"/>
        </w:rPr>
        <w:t>）加强矿产资源节约与综合利用</w:t>
      </w:r>
    </w:p>
    <w:p w14:paraId="7EAC9A8C">
      <w:pPr>
        <w:spacing w:before="149" w:line="340" w:lineRule="auto"/>
        <w:ind w:left="19" w:right="90" w:firstLine="478"/>
        <w:rPr>
          <w:rFonts w:ascii="仿宋" w:hAnsi="仿宋" w:eastAsia="仿宋" w:cs="仿宋"/>
          <w:sz w:val="25"/>
          <w:szCs w:val="25"/>
        </w:rPr>
      </w:pPr>
      <w:r>
        <w:rPr>
          <w:rFonts w:ascii="仿宋" w:hAnsi="仿宋" w:eastAsia="仿宋" w:cs="仿宋"/>
          <w:spacing w:val="10"/>
          <w:sz w:val="25"/>
          <w:szCs w:val="25"/>
        </w:rPr>
        <w:t>推进矿山</w:t>
      </w:r>
      <w:r>
        <w:rPr>
          <w:rFonts w:ascii="Times New Roman" w:hAnsi="Times New Roman" w:eastAsia="Times New Roman" w:cs="Times New Roman"/>
          <w:spacing w:val="10"/>
          <w:sz w:val="25"/>
          <w:szCs w:val="25"/>
        </w:rPr>
        <w:t>“</w:t>
      </w:r>
      <w:r>
        <w:rPr>
          <w:rFonts w:ascii="仿宋" w:hAnsi="仿宋" w:eastAsia="仿宋" w:cs="仿宋"/>
          <w:spacing w:val="10"/>
          <w:sz w:val="25"/>
          <w:szCs w:val="25"/>
        </w:rPr>
        <w:t>清洁生产</w:t>
      </w:r>
      <w:r>
        <w:rPr>
          <w:rFonts w:ascii="Times New Roman" w:hAnsi="Times New Roman" w:eastAsia="Times New Roman" w:cs="Times New Roman"/>
          <w:spacing w:val="10"/>
          <w:sz w:val="25"/>
          <w:szCs w:val="25"/>
        </w:rPr>
        <w:t>”</w:t>
      </w:r>
      <w:r>
        <w:rPr>
          <w:rFonts w:ascii="Times New Roman" w:hAnsi="Times New Roman" w:eastAsia="Times New Roman" w:cs="Times New Roman"/>
          <w:spacing w:val="-21"/>
          <w:sz w:val="25"/>
          <w:szCs w:val="25"/>
        </w:rPr>
        <w:t xml:space="preserve"> </w:t>
      </w:r>
      <w:r>
        <w:rPr>
          <w:rFonts w:ascii="仿宋" w:hAnsi="仿宋" w:eastAsia="仿宋" w:cs="仿宋"/>
          <w:spacing w:val="10"/>
          <w:sz w:val="25"/>
          <w:szCs w:val="25"/>
        </w:rPr>
        <w:t>，加强科学技术研究和应用，鼓励采用先进的开采工</w:t>
      </w:r>
      <w:r>
        <w:rPr>
          <w:rFonts w:ascii="仿宋" w:hAnsi="仿宋" w:eastAsia="仿宋" w:cs="仿宋"/>
          <w:sz w:val="25"/>
          <w:szCs w:val="25"/>
        </w:rPr>
        <w:t xml:space="preserve"> </w:t>
      </w:r>
      <w:r>
        <w:rPr>
          <w:rFonts w:ascii="仿宋" w:hAnsi="仿宋" w:eastAsia="仿宋" w:cs="仿宋"/>
          <w:spacing w:val="9"/>
          <w:sz w:val="25"/>
          <w:szCs w:val="25"/>
        </w:rPr>
        <w:t>艺，实行综合开发和综合利用，实现矿山废弃物的减量化和资源化，加强固体</w:t>
      </w:r>
      <w:r>
        <w:rPr>
          <w:rFonts w:ascii="仿宋" w:hAnsi="仿宋" w:eastAsia="仿宋" w:cs="仿宋"/>
          <w:spacing w:val="16"/>
          <w:sz w:val="25"/>
          <w:szCs w:val="25"/>
        </w:rPr>
        <w:t xml:space="preserve"> </w:t>
      </w:r>
      <w:r>
        <w:rPr>
          <w:rFonts w:ascii="仿宋" w:hAnsi="仿宋" w:eastAsia="仿宋" w:cs="仿宋"/>
          <w:spacing w:val="8"/>
          <w:sz w:val="25"/>
          <w:szCs w:val="25"/>
        </w:rPr>
        <w:t>废物综合利用；加强采矿废水的节约和综合利用。</w:t>
      </w:r>
    </w:p>
    <w:p w14:paraId="1CF76D60">
      <w:pPr>
        <w:spacing w:line="340" w:lineRule="auto"/>
        <w:rPr>
          <w:rFonts w:ascii="仿宋" w:hAnsi="仿宋" w:eastAsia="仿宋" w:cs="仿宋"/>
          <w:sz w:val="25"/>
          <w:szCs w:val="25"/>
        </w:rPr>
        <w:sectPr>
          <w:headerReference r:id="rId257" w:type="default"/>
          <w:footerReference r:id="rId258" w:type="default"/>
          <w:pgSz w:w="11906" w:h="16839"/>
          <w:pgMar w:top="1116" w:right="1385" w:bottom="866" w:left="1587" w:header="683" w:footer="703" w:gutter="0"/>
          <w:cols w:space="720" w:num="1"/>
        </w:sectPr>
      </w:pPr>
    </w:p>
    <w:p w14:paraId="56816518">
      <w:pPr>
        <w:pStyle w:val="2"/>
        <w:spacing w:line="385" w:lineRule="auto"/>
      </w:pPr>
    </w:p>
    <w:p w14:paraId="16B6A8AF">
      <w:pPr>
        <w:spacing w:before="81" w:line="228" w:lineRule="auto"/>
        <w:ind w:left="500"/>
        <w:rPr>
          <w:rFonts w:ascii="仿宋" w:hAnsi="仿宋" w:eastAsia="仿宋" w:cs="仿宋"/>
          <w:sz w:val="25"/>
          <w:szCs w:val="25"/>
        </w:rPr>
      </w:pPr>
      <w:r>
        <w:rPr>
          <w:rFonts w:ascii="仿宋" w:hAnsi="仿宋" w:eastAsia="仿宋" w:cs="仿宋"/>
          <w:spacing w:val="8"/>
          <w:sz w:val="25"/>
          <w:szCs w:val="25"/>
        </w:rPr>
        <w:t>（</w:t>
      </w:r>
      <w:r>
        <w:rPr>
          <w:rFonts w:ascii="Times New Roman" w:hAnsi="Times New Roman" w:eastAsia="Times New Roman" w:cs="Times New Roman"/>
          <w:spacing w:val="8"/>
          <w:sz w:val="25"/>
          <w:szCs w:val="25"/>
        </w:rPr>
        <w:t>3</w:t>
      </w:r>
      <w:r>
        <w:rPr>
          <w:rFonts w:ascii="仿宋" w:hAnsi="仿宋" w:eastAsia="仿宋" w:cs="仿宋"/>
          <w:spacing w:val="8"/>
          <w:sz w:val="25"/>
          <w:szCs w:val="25"/>
        </w:rPr>
        <w:t>）推行清洁生产，发展循环经济</w:t>
      </w:r>
    </w:p>
    <w:p w14:paraId="24A723CD">
      <w:pPr>
        <w:spacing w:before="153" w:line="338" w:lineRule="auto"/>
        <w:ind w:left="16" w:right="64" w:firstLine="483"/>
        <w:rPr>
          <w:rFonts w:ascii="仿宋" w:hAnsi="仿宋" w:eastAsia="仿宋" w:cs="仿宋"/>
          <w:sz w:val="25"/>
          <w:szCs w:val="25"/>
        </w:rPr>
      </w:pPr>
      <w:r>
        <w:rPr>
          <w:rFonts w:ascii="仿宋" w:hAnsi="仿宋" w:eastAsia="仿宋" w:cs="仿宋"/>
          <w:spacing w:val="11"/>
          <w:sz w:val="25"/>
          <w:szCs w:val="25"/>
        </w:rPr>
        <w:t>鼓励采用低能耗、低污染的生产工艺，提高各个行</w:t>
      </w:r>
      <w:r>
        <w:rPr>
          <w:rFonts w:ascii="仿宋" w:hAnsi="仿宋" w:eastAsia="仿宋" w:cs="仿宋"/>
          <w:spacing w:val="10"/>
          <w:sz w:val="25"/>
          <w:szCs w:val="25"/>
        </w:rPr>
        <w:t>业的清洁生产水平，降</w:t>
      </w:r>
      <w:r>
        <w:rPr>
          <w:rFonts w:ascii="仿宋" w:hAnsi="仿宋" w:eastAsia="仿宋" w:cs="仿宋"/>
          <w:sz w:val="25"/>
          <w:szCs w:val="25"/>
        </w:rPr>
        <w:t xml:space="preserve"> </w:t>
      </w:r>
      <w:r>
        <w:rPr>
          <w:rFonts w:ascii="仿宋" w:hAnsi="仿宋" w:eastAsia="仿宋" w:cs="仿宋"/>
          <w:spacing w:val="6"/>
          <w:sz w:val="25"/>
          <w:szCs w:val="25"/>
        </w:rPr>
        <w:t>低污染物产生量。</w:t>
      </w:r>
    </w:p>
    <w:p w14:paraId="3A1E239C">
      <w:pPr>
        <w:spacing w:before="3" w:line="226" w:lineRule="auto"/>
        <w:ind w:left="500"/>
        <w:rPr>
          <w:rFonts w:ascii="仿宋" w:hAnsi="仿宋" w:eastAsia="仿宋" w:cs="仿宋"/>
          <w:sz w:val="25"/>
          <w:szCs w:val="25"/>
        </w:rPr>
      </w:pPr>
      <w:r>
        <w:rPr>
          <w:rFonts w:ascii="仿宋" w:hAnsi="仿宋" w:eastAsia="仿宋" w:cs="仿宋"/>
          <w:spacing w:val="8"/>
          <w:sz w:val="25"/>
          <w:szCs w:val="25"/>
        </w:rPr>
        <w:t>（</w:t>
      </w:r>
      <w:r>
        <w:rPr>
          <w:rFonts w:ascii="Times New Roman" w:hAnsi="Times New Roman" w:eastAsia="Times New Roman" w:cs="Times New Roman"/>
          <w:spacing w:val="8"/>
          <w:sz w:val="25"/>
          <w:szCs w:val="25"/>
        </w:rPr>
        <w:t>4</w:t>
      </w:r>
      <w:r>
        <w:rPr>
          <w:rFonts w:ascii="仿宋" w:hAnsi="仿宋" w:eastAsia="仿宋" w:cs="仿宋"/>
          <w:spacing w:val="8"/>
          <w:sz w:val="25"/>
          <w:szCs w:val="25"/>
        </w:rPr>
        <w:t>）稳步有序推进绿色勘查、绿色矿山建设</w:t>
      </w:r>
    </w:p>
    <w:p w14:paraId="094D436C">
      <w:pPr>
        <w:spacing w:before="156" w:line="339" w:lineRule="auto"/>
        <w:ind w:left="17" w:right="9" w:firstLine="481"/>
        <w:rPr>
          <w:rFonts w:ascii="仿宋" w:hAnsi="仿宋" w:eastAsia="仿宋" w:cs="仿宋"/>
          <w:sz w:val="25"/>
          <w:szCs w:val="25"/>
        </w:rPr>
      </w:pPr>
      <w:r>
        <w:rPr>
          <w:rFonts w:ascii="仿宋" w:hAnsi="仿宋" w:eastAsia="仿宋" w:cs="仿宋"/>
          <w:spacing w:val="13"/>
          <w:sz w:val="25"/>
          <w:szCs w:val="25"/>
        </w:rPr>
        <w:t>采用绿色勘查技术，减少地表工作对环境的影响，减少施工过程中</w:t>
      </w:r>
      <w:r>
        <w:rPr>
          <w:rFonts w:ascii="Times New Roman" w:hAnsi="Times New Roman" w:eastAsia="Times New Roman" w:cs="Times New Roman"/>
          <w:spacing w:val="13"/>
          <w:sz w:val="25"/>
          <w:szCs w:val="25"/>
        </w:rPr>
        <w:t>“</w:t>
      </w:r>
      <w:r>
        <w:rPr>
          <w:rFonts w:ascii="仿宋" w:hAnsi="仿宋" w:eastAsia="仿宋" w:cs="仿宋"/>
          <w:spacing w:val="12"/>
          <w:sz w:val="25"/>
          <w:szCs w:val="25"/>
        </w:rPr>
        <w:t>三废</w:t>
      </w:r>
      <w:r>
        <w:rPr>
          <w:rFonts w:ascii="Times New Roman" w:hAnsi="Times New Roman" w:eastAsia="Times New Roman" w:cs="Times New Roman"/>
          <w:spacing w:val="12"/>
          <w:sz w:val="25"/>
          <w:szCs w:val="25"/>
        </w:rPr>
        <w:t>”</w:t>
      </w:r>
      <w:r>
        <w:rPr>
          <w:rFonts w:ascii="Times New Roman" w:hAnsi="Times New Roman" w:eastAsia="Times New Roman" w:cs="Times New Roman"/>
          <w:sz w:val="25"/>
          <w:szCs w:val="25"/>
        </w:rPr>
        <w:t xml:space="preserve"> </w:t>
      </w:r>
      <w:r>
        <w:rPr>
          <w:rFonts w:ascii="仿宋" w:hAnsi="仿宋" w:eastAsia="仿宋" w:cs="仿宋"/>
          <w:spacing w:val="9"/>
          <w:sz w:val="25"/>
          <w:szCs w:val="25"/>
        </w:rPr>
        <w:t>对环境的影响。全面提升勘查技术水平和成果集成创新，全面升级勘查技术手</w:t>
      </w:r>
      <w:r>
        <w:rPr>
          <w:rFonts w:ascii="仿宋" w:hAnsi="仿宋" w:eastAsia="仿宋" w:cs="仿宋"/>
          <w:spacing w:val="18"/>
          <w:sz w:val="25"/>
          <w:szCs w:val="25"/>
        </w:rPr>
        <w:t xml:space="preserve"> </w:t>
      </w:r>
      <w:r>
        <w:rPr>
          <w:rFonts w:ascii="仿宋" w:hAnsi="仿宋" w:eastAsia="仿宋" w:cs="仿宋"/>
          <w:spacing w:val="9"/>
          <w:sz w:val="25"/>
          <w:szCs w:val="25"/>
        </w:rPr>
        <w:t>段，开展应用示范，使用先进工艺手段和装备仪器，形成绿色槽探、钻探技术</w:t>
      </w:r>
      <w:r>
        <w:rPr>
          <w:rFonts w:ascii="仿宋" w:hAnsi="仿宋" w:eastAsia="仿宋" w:cs="仿宋"/>
          <w:spacing w:val="18"/>
          <w:sz w:val="25"/>
          <w:szCs w:val="25"/>
        </w:rPr>
        <w:t xml:space="preserve"> </w:t>
      </w:r>
      <w:r>
        <w:rPr>
          <w:rFonts w:ascii="仿宋" w:hAnsi="仿宋" w:eastAsia="仿宋" w:cs="仿宋"/>
          <w:sz w:val="25"/>
          <w:szCs w:val="25"/>
        </w:rPr>
        <w:t>体系。</w:t>
      </w:r>
    </w:p>
    <w:p w14:paraId="25F11832">
      <w:pPr>
        <w:spacing w:before="2" w:line="339" w:lineRule="auto"/>
        <w:ind w:left="20" w:right="64" w:firstLine="475"/>
        <w:jc w:val="both"/>
        <w:rPr>
          <w:rFonts w:ascii="仿宋" w:hAnsi="仿宋" w:eastAsia="仿宋" w:cs="仿宋"/>
          <w:sz w:val="25"/>
          <w:szCs w:val="25"/>
        </w:rPr>
      </w:pPr>
      <w:r>
        <w:rPr>
          <w:rFonts w:ascii="仿宋" w:hAnsi="仿宋" w:eastAsia="仿宋" w:cs="仿宋"/>
          <w:spacing w:val="11"/>
          <w:sz w:val="25"/>
          <w:szCs w:val="25"/>
        </w:rPr>
        <w:t>加强绿色勘查的管理，地质勘查工作前进行绿色勘查培训，</w:t>
      </w:r>
      <w:r>
        <w:rPr>
          <w:rFonts w:ascii="仿宋" w:hAnsi="仿宋" w:eastAsia="仿宋" w:cs="仿宋"/>
          <w:spacing w:val="10"/>
          <w:sz w:val="25"/>
          <w:szCs w:val="25"/>
        </w:rPr>
        <w:t>勘查过程中保</w:t>
      </w:r>
      <w:r>
        <w:rPr>
          <w:rFonts w:ascii="仿宋" w:hAnsi="仿宋" w:eastAsia="仿宋" w:cs="仿宋"/>
          <w:sz w:val="25"/>
          <w:szCs w:val="25"/>
        </w:rPr>
        <w:t xml:space="preserve"> </w:t>
      </w:r>
      <w:r>
        <w:rPr>
          <w:rFonts w:ascii="仿宋" w:hAnsi="仿宋" w:eastAsia="仿宋" w:cs="仿宋"/>
          <w:spacing w:val="9"/>
          <w:sz w:val="25"/>
          <w:szCs w:val="25"/>
        </w:rPr>
        <w:t>留绿色勘查相关记录，勘查工作施工后，应按照绿色勘查内容开展环境修复工</w:t>
      </w:r>
      <w:r>
        <w:rPr>
          <w:rFonts w:ascii="仿宋" w:hAnsi="仿宋" w:eastAsia="仿宋" w:cs="仿宋"/>
          <w:spacing w:val="15"/>
          <w:sz w:val="25"/>
          <w:szCs w:val="25"/>
        </w:rPr>
        <w:t xml:space="preserve"> </w:t>
      </w:r>
      <w:r>
        <w:rPr>
          <w:rFonts w:ascii="仿宋" w:hAnsi="仿宋" w:eastAsia="仿宋" w:cs="仿宋"/>
          <w:spacing w:val="-7"/>
          <w:sz w:val="25"/>
          <w:szCs w:val="25"/>
        </w:rPr>
        <w:t>作。</w:t>
      </w:r>
    </w:p>
    <w:p w14:paraId="56DC0F73">
      <w:pPr>
        <w:spacing w:before="1" w:line="340" w:lineRule="auto"/>
        <w:ind w:left="15" w:right="64" w:firstLine="480"/>
        <w:rPr>
          <w:rFonts w:ascii="仿宋" w:hAnsi="仿宋" w:eastAsia="仿宋" w:cs="仿宋"/>
          <w:sz w:val="25"/>
          <w:szCs w:val="25"/>
        </w:rPr>
      </w:pPr>
      <w:r>
        <w:rPr>
          <w:rFonts w:ascii="仿宋" w:hAnsi="仿宋" w:eastAsia="仿宋" w:cs="仿宋"/>
          <w:spacing w:val="11"/>
          <w:sz w:val="25"/>
          <w:szCs w:val="25"/>
        </w:rPr>
        <w:t>按绿色矿山建设标准推进现有矿山绿色矿山建设；新建矿</w:t>
      </w:r>
      <w:r>
        <w:rPr>
          <w:rFonts w:ascii="仿宋" w:hAnsi="仿宋" w:eastAsia="仿宋" w:cs="仿宋"/>
          <w:spacing w:val="10"/>
          <w:sz w:val="25"/>
          <w:szCs w:val="25"/>
        </w:rPr>
        <w:t>山应按绿色矿山</w:t>
      </w:r>
      <w:r>
        <w:rPr>
          <w:rFonts w:ascii="仿宋" w:hAnsi="仿宋" w:eastAsia="仿宋" w:cs="仿宋"/>
          <w:sz w:val="25"/>
          <w:szCs w:val="25"/>
        </w:rPr>
        <w:t xml:space="preserve"> </w:t>
      </w:r>
      <w:r>
        <w:rPr>
          <w:rFonts w:ascii="仿宋" w:hAnsi="仿宋" w:eastAsia="仿宋" w:cs="仿宋"/>
          <w:spacing w:val="8"/>
          <w:sz w:val="25"/>
          <w:szCs w:val="25"/>
        </w:rPr>
        <w:t>标准组织实施，投产时应达到绿色矿山建设标准。</w:t>
      </w:r>
    </w:p>
    <w:p w14:paraId="7AD3627C">
      <w:pPr>
        <w:spacing w:before="1" w:line="226" w:lineRule="auto"/>
        <w:ind w:left="500"/>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5</w:t>
      </w:r>
      <w:r>
        <w:rPr>
          <w:rFonts w:ascii="仿宋" w:hAnsi="仿宋" w:eastAsia="仿宋" w:cs="仿宋"/>
          <w:spacing w:val="7"/>
          <w:sz w:val="25"/>
          <w:szCs w:val="25"/>
        </w:rPr>
        <w:t>）生态环境恢复治理措施</w:t>
      </w:r>
    </w:p>
    <w:p w14:paraId="65F74009">
      <w:pPr>
        <w:spacing w:before="150" w:line="340" w:lineRule="auto"/>
        <w:ind w:left="15" w:firstLine="496"/>
        <w:rPr>
          <w:rFonts w:ascii="仿宋" w:hAnsi="仿宋" w:eastAsia="仿宋" w:cs="仿宋"/>
          <w:sz w:val="25"/>
          <w:szCs w:val="25"/>
        </w:rPr>
      </w:pPr>
      <w:r>
        <w:rPr>
          <w:rFonts w:ascii="仿宋" w:hAnsi="仿宋" w:eastAsia="仿宋" w:cs="仿宋"/>
          <w:spacing w:val="11"/>
          <w:sz w:val="25"/>
          <w:szCs w:val="25"/>
        </w:rPr>
        <w:t>生态环境影响防护、恢复应遵循</w:t>
      </w:r>
      <w:r>
        <w:rPr>
          <w:rFonts w:ascii="Times New Roman" w:hAnsi="Times New Roman" w:eastAsia="Times New Roman" w:cs="Times New Roman"/>
          <w:spacing w:val="11"/>
          <w:sz w:val="25"/>
          <w:szCs w:val="25"/>
        </w:rPr>
        <w:t>“</w:t>
      </w:r>
      <w:r>
        <w:rPr>
          <w:rFonts w:ascii="仿宋" w:hAnsi="仿宋" w:eastAsia="仿宋" w:cs="仿宋"/>
          <w:spacing w:val="11"/>
          <w:sz w:val="25"/>
          <w:szCs w:val="25"/>
        </w:rPr>
        <w:t>避让</w:t>
      </w:r>
      <w:r>
        <w:rPr>
          <w:rFonts w:ascii="Times New Roman" w:hAnsi="Times New Roman" w:eastAsia="Times New Roman" w:cs="Times New Roman"/>
          <w:spacing w:val="11"/>
          <w:sz w:val="25"/>
          <w:szCs w:val="25"/>
        </w:rPr>
        <w:t>—</w:t>
      </w:r>
      <w:r>
        <w:rPr>
          <w:rFonts w:ascii="仿宋" w:hAnsi="仿宋" w:eastAsia="仿宋" w:cs="仿宋"/>
          <w:spacing w:val="11"/>
          <w:sz w:val="25"/>
          <w:szCs w:val="25"/>
        </w:rPr>
        <w:t>最小化</w:t>
      </w:r>
      <w:r>
        <w:rPr>
          <w:rFonts w:ascii="Times New Roman" w:hAnsi="Times New Roman" w:eastAsia="Times New Roman" w:cs="Times New Roman"/>
          <w:spacing w:val="11"/>
          <w:sz w:val="25"/>
          <w:szCs w:val="25"/>
        </w:rPr>
        <w:t>—</w:t>
      </w:r>
      <w:r>
        <w:rPr>
          <w:rFonts w:ascii="仿宋" w:hAnsi="仿宋" w:eastAsia="仿宋" w:cs="仿宋"/>
          <w:spacing w:val="11"/>
          <w:sz w:val="25"/>
          <w:szCs w:val="25"/>
        </w:rPr>
        <w:t>减量化</w:t>
      </w:r>
      <w:r>
        <w:rPr>
          <w:rFonts w:ascii="Times New Roman" w:hAnsi="Times New Roman" w:eastAsia="Times New Roman" w:cs="Times New Roman"/>
          <w:spacing w:val="11"/>
          <w:sz w:val="25"/>
          <w:szCs w:val="25"/>
        </w:rPr>
        <w:t>—</w:t>
      </w:r>
      <w:r>
        <w:rPr>
          <w:rFonts w:ascii="仿宋" w:hAnsi="仿宋" w:eastAsia="仿宋" w:cs="仿宋"/>
          <w:spacing w:val="11"/>
          <w:sz w:val="25"/>
          <w:szCs w:val="25"/>
        </w:rPr>
        <w:t>修复</w:t>
      </w:r>
      <w:r>
        <w:rPr>
          <w:rFonts w:ascii="Times New Roman" w:hAnsi="Times New Roman" w:eastAsia="Times New Roman" w:cs="Times New Roman"/>
          <w:spacing w:val="10"/>
          <w:sz w:val="25"/>
          <w:szCs w:val="25"/>
        </w:rPr>
        <w:t>—</w:t>
      </w:r>
      <w:r>
        <w:rPr>
          <w:rFonts w:ascii="仿宋" w:hAnsi="仿宋" w:eastAsia="仿宋" w:cs="仿宋"/>
          <w:spacing w:val="10"/>
          <w:sz w:val="25"/>
          <w:szCs w:val="25"/>
        </w:rPr>
        <w:t>重建</w:t>
      </w:r>
      <w:r>
        <w:rPr>
          <w:rFonts w:ascii="Times New Roman" w:hAnsi="Times New Roman" w:eastAsia="Times New Roman" w:cs="Times New Roman"/>
          <w:spacing w:val="10"/>
          <w:sz w:val="25"/>
          <w:szCs w:val="25"/>
        </w:rPr>
        <w:t>”</w:t>
      </w:r>
      <w:r>
        <w:rPr>
          <w:rFonts w:ascii="仿宋" w:hAnsi="仿宋" w:eastAsia="仿宋" w:cs="仿宋"/>
          <w:spacing w:val="10"/>
          <w:sz w:val="25"/>
          <w:szCs w:val="25"/>
        </w:rPr>
        <w:t>这</w:t>
      </w:r>
      <w:r>
        <w:rPr>
          <w:rFonts w:ascii="仿宋" w:hAnsi="仿宋" w:eastAsia="仿宋" w:cs="仿宋"/>
          <w:sz w:val="25"/>
          <w:szCs w:val="25"/>
        </w:rPr>
        <w:t xml:space="preserve"> </w:t>
      </w:r>
      <w:r>
        <w:rPr>
          <w:rFonts w:ascii="仿宋" w:hAnsi="仿宋" w:eastAsia="仿宋" w:cs="仿宋"/>
          <w:spacing w:val="8"/>
          <w:sz w:val="25"/>
          <w:szCs w:val="25"/>
        </w:rPr>
        <w:t>一顺序，严格控制矿产资源开发对环境造成的损害，并贯彻</w:t>
      </w:r>
      <w:r>
        <w:rPr>
          <w:rFonts w:ascii="Times New Roman" w:hAnsi="Times New Roman" w:eastAsia="Times New Roman" w:cs="Times New Roman"/>
          <w:spacing w:val="8"/>
          <w:sz w:val="25"/>
          <w:szCs w:val="25"/>
        </w:rPr>
        <w:t>“</w:t>
      </w:r>
      <w:r>
        <w:rPr>
          <w:rFonts w:ascii="仿宋" w:hAnsi="仿宋" w:eastAsia="仿宋" w:cs="仿宋"/>
          <w:spacing w:val="8"/>
          <w:sz w:val="25"/>
          <w:szCs w:val="25"/>
        </w:rPr>
        <w:t>谁污染、谁治理、</w:t>
      </w:r>
      <w:r>
        <w:rPr>
          <w:rFonts w:ascii="仿宋" w:hAnsi="仿宋" w:eastAsia="仿宋" w:cs="仿宋"/>
          <w:sz w:val="25"/>
          <w:szCs w:val="25"/>
        </w:rPr>
        <w:t xml:space="preserve"> </w:t>
      </w:r>
      <w:r>
        <w:rPr>
          <w:rFonts w:ascii="仿宋" w:hAnsi="仿宋" w:eastAsia="仿宋" w:cs="仿宋"/>
          <w:spacing w:val="6"/>
          <w:sz w:val="25"/>
          <w:szCs w:val="25"/>
        </w:rPr>
        <w:t>谁开发、谁保护</w:t>
      </w:r>
      <w:r>
        <w:rPr>
          <w:rFonts w:ascii="Times New Roman" w:hAnsi="Times New Roman" w:eastAsia="Times New Roman" w:cs="Times New Roman"/>
          <w:spacing w:val="6"/>
          <w:sz w:val="25"/>
          <w:szCs w:val="25"/>
        </w:rPr>
        <w:t>”</w:t>
      </w:r>
      <w:r>
        <w:rPr>
          <w:rFonts w:ascii="仿宋" w:hAnsi="仿宋" w:eastAsia="仿宋" w:cs="仿宋"/>
          <w:spacing w:val="6"/>
          <w:sz w:val="25"/>
          <w:szCs w:val="25"/>
        </w:rPr>
        <w:t>的原则，搞好生态保护恢复建设，使生态效益和经济效益相协</w:t>
      </w:r>
      <w:r>
        <w:rPr>
          <w:rFonts w:ascii="仿宋" w:hAnsi="仿宋" w:eastAsia="仿宋" w:cs="仿宋"/>
          <w:spacing w:val="7"/>
          <w:sz w:val="25"/>
          <w:szCs w:val="25"/>
        </w:rPr>
        <w:t xml:space="preserve"> 调。加大矿山生态治理力度。</w:t>
      </w:r>
    </w:p>
    <w:p w14:paraId="58930AF5">
      <w:pPr>
        <w:spacing w:before="1" w:line="229" w:lineRule="auto"/>
        <w:ind w:left="500"/>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6</w:t>
      </w:r>
      <w:r>
        <w:rPr>
          <w:rFonts w:ascii="仿宋" w:hAnsi="仿宋" w:eastAsia="仿宋" w:cs="仿宋"/>
          <w:spacing w:val="7"/>
          <w:sz w:val="25"/>
          <w:szCs w:val="25"/>
        </w:rPr>
        <w:t>）污染防治措施</w:t>
      </w:r>
    </w:p>
    <w:p w14:paraId="3DF98D31">
      <w:pPr>
        <w:spacing w:before="151" w:line="228" w:lineRule="auto"/>
        <w:ind w:left="529"/>
        <w:rPr>
          <w:rFonts w:ascii="仿宋" w:hAnsi="仿宋" w:eastAsia="仿宋" w:cs="仿宋"/>
          <w:sz w:val="25"/>
          <w:szCs w:val="25"/>
        </w:rPr>
      </w:pPr>
      <w:r>
        <w:rPr>
          <w:rFonts w:ascii="宋体" w:hAnsi="宋体" w:eastAsia="宋体" w:cs="宋体"/>
          <w:spacing w:val="8"/>
          <w:sz w:val="25"/>
          <w:szCs w:val="25"/>
        </w:rPr>
        <w:t>①</w:t>
      </w:r>
      <w:r>
        <w:rPr>
          <w:rFonts w:ascii="仿宋" w:hAnsi="仿宋" w:eastAsia="仿宋" w:cs="仿宋"/>
          <w:spacing w:val="8"/>
          <w:sz w:val="25"/>
          <w:szCs w:val="25"/>
        </w:rPr>
        <w:t>大气污染防治</w:t>
      </w:r>
    </w:p>
    <w:p w14:paraId="0C3FA6A0">
      <w:pPr>
        <w:spacing w:before="147" w:line="340" w:lineRule="auto"/>
        <w:ind w:left="16" w:right="64" w:firstLine="520"/>
        <w:jc w:val="both"/>
        <w:rPr>
          <w:rFonts w:ascii="仿宋" w:hAnsi="仿宋" w:eastAsia="仿宋" w:cs="仿宋"/>
          <w:sz w:val="25"/>
          <w:szCs w:val="25"/>
        </w:rPr>
      </w:pPr>
      <w:r>
        <w:rPr>
          <w:rFonts w:ascii="仿宋" w:hAnsi="仿宋" w:eastAsia="仿宋" w:cs="仿宋"/>
          <w:spacing w:val="9"/>
          <w:sz w:val="25"/>
          <w:szCs w:val="25"/>
        </w:rPr>
        <w:t>开采规划区块应合理选址，矿山破碎加工区在选址时，应根据当地主导风</w:t>
      </w:r>
      <w:r>
        <w:rPr>
          <w:rFonts w:ascii="仿宋" w:hAnsi="仿宋" w:eastAsia="仿宋" w:cs="仿宋"/>
          <w:spacing w:val="16"/>
          <w:sz w:val="25"/>
          <w:szCs w:val="25"/>
        </w:rPr>
        <w:t xml:space="preserve"> </w:t>
      </w:r>
      <w:r>
        <w:rPr>
          <w:rFonts w:ascii="仿宋" w:hAnsi="仿宋" w:eastAsia="仿宋" w:cs="仿宋"/>
          <w:spacing w:val="8"/>
          <w:sz w:val="25"/>
          <w:szCs w:val="25"/>
        </w:rPr>
        <w:t>向及周边居民的分布情况，</w:t>
      </w:r>
      <w:r>
        <w:rPr>
          <w:rFonts w:ascii="仿宋" w:hAnsi="仿宋" w:eastAsia="仿宋" w:cs="仿宋"/>
          <w:spacing w:val="-69"/>
          <w:sz w:val="25"/>
          <w:szCs w:val="25"/>
        </w:rPr>
        <w:t xml:space="preserve"> </w:t>
      </w:r>
      <w:r>
        <w:rPr>
          <w:rFonts w:ascii="仿宋" w:hAnsi="仿宋" w:eastAsia="仿宋" w:cs="仿宋"/>
          <w:spacing w:val="8"/>
          <w:sz w:val="25"/>
          <w:szCs w:val="25"/>
        </w:rPr>
        <w:t>同时考虑其对大气环境及居民生活环境的影</w:t>
      </w:r>
      <w:r>
        <w:rPr>
          <w:rFonts w:ascii="仿宋" w:hAnsi="仿宋" w:eastAsia="仿宋" w:cs="仿宋"/>
          <w:spacing w:val="7"/>
          <w:sz w:val="25"/>
          <w:szCs w:val="25"/>
        </w:rPr>
        <w:t>响，应</w:t>
      </w:r>
      <w:r>
        <w:rPr>
          <w:rFonts w:ascii="仿宋" w:hAnsi="仿宋" w:eastAsia="仿宋" w:cs="仿宋"/>
          <w:sz w:val="25"/>
          <w:szCs w:val="25"/>
        </w:rPr>
        <w:t xml:space="preserve"> </w:t>
      </w:r>
      <w:r>
        <w:rPr>
          <w:rFonts w:ascii="仿宋" w:hAnsi="仿宋" w:eastAsia="仿宋" w:cs="仿宋"/>
          <w:spacing w:val="8"/>
          <w:sz w:val="25"/>
          <w:szCs w:val="25"/>
        </w:rPr>
        <w:t>尽量布设在居民下风向，并尽量远离居民区。</w:t>
      </w:r>
    </w:p>
    <w:p w14:paraId="6A520871">
      <w:pPr>
        <w:spacing w:before="6" w:line="339" w:lineRule="auto"/>
        <w:ind w:left="17" w:right="64" w:firstLine="526"/>
        <w:rPr>
          <w:rFonts w:ascii="仿宋" w:hAnsi="仿宋" w:eastAsia="仿宋" w:cs="仿宋"/>
          <w:sz w:val="25"/>
          <w:szCs w:val="25"/>
        </w:rPr>
      </w:pPr>
      <w:r>
        <w:rPr>
          <w:rFonts w:ascii="仿宋" w:hAnsi="仿宋" w:eastAsia="仿宋" w:cs="仿宋"/>
          <w:spacing w:val="9"/>
          <w:sz w:val="25"/>
          <w:szCs w:val="25"/>
        </w:rPr>
        <w:t>露天开采时应控制矿山开采和破碎加工过程中粉尘排放，大气环境防护距 离范围内不应有长期居住的居民。强化无组织排放管控，严格控制矿产品及弃</w:t>
      </w:r>
      <w:r>
        <w:rPr>
          <w:rFonts w:ascii="仿宋" w:hAnsi="仿宋" w:eastAsia="仿宋" w:cs="仿宋"/>
          <w:spacing w:val="18"/>
          <w:sz w:val="25"/>
          <w:szCs w:val="25"/>
        </w:rPr>
        <w:t xml:space="preserve"> </w:t>
      </w:r>
      <w:r>
        <w:rPr>
          <w:rFonts w:ascii="仿宋" w:hAnsi="仿宋" w:eastAsia="仿宋" w:cs="仿宋"/>
          <w:spacing w:val="9"/>
          <w:sz w:val="25"/>
          <w:szCs w:val="25"/>
        </w:rPr>
        <w:t>渣运输过程中的粉尘污染。生产生活使用天然气等清洁燃料，严禁使用燃煤； 集中式食堂应按要求设置油烟净化器和专用排烟道。勘查采用湿式钻孔，勘查</w:t>
      </w:r>
      <w:r>
        <w:rPr>
          <w:rFonts w:ascii="仿宋" w:hAnsi="仿宋" w:eastAsia="仿宋" w:cs="仿宋"/>
          <w:spacing w:val="18"/>
          <w:sz w:val="25"/>
          <w:szCs w:val="25"/>
        </w:rPr>
        <w:t xml:space="preserve"> </w:t>
      </w:r>
      <w:r>
        <w:rPr>
          <w:rFonts w:ascii="仿宋" w:hAnsi="仿宋" w:eastAsia="仿宋" w:cs="仿宋"/>
          <w:spacing w:val="9"/>
          <w:sz w:val="25"/>
          <w:szCs w:val="25"/>
        </w:rPr>
        <w:t>作业人员配备有效的粉尘防护装备；矿山勘查机械排放废气应符合相关排放要</w:t>
      </w:r>
      <w:r>
        <w:rPr>
          <w:rFonts w:ascii="仿宋" w:hAnsi="仿宋" w:eastAsia="仿宋" w:cs="仿宋"/>
          <w:spacing w:val="18"/>
          <w:sz w:val="25"/>
          <w:szCs w:val="25"/>
        </w:rPr>
        <w:t xml:space="preserve"> </w:t>
      </w:r>
      <w:r>
        <w:rPr>
          <w:rFonts w:ascii="仿宋" w:hAnsi="仿宋" w:eastAsia="仿宋" w:cs="仿宋"/>
          <w:spacing w:val="7"/>
          <w:sz w:val="25"/>
          <w:szCs w:val="25"/>
        </w:rPr>
        <w:t>求，鼓励使用新能源机械。</w:t>
      </w:r>
    </w:p>
    <w:p w14:paraId="00AAB242">
      <w:pPr>
        <w:spacing w:before="1" w:line="228" w:lineRule="auto"/>
        <w:ind w:left="528"/>
        <w:rPr>
          <w:rFonts w:ascii="仿宋" w:hAnsi="仿宋" w:eastAsia="仿宋" w:cs="仿宋"/>
          <w:sz w:val="25"/>
          <w:szCs w:val="25"/>
        </w:rPr>
      </w:pPr>
      <w:r>
        <w:rPr>
          <w:rFonts w:ascii="宋体" w:hAnsi="宋体" w:eastAsia="宋体" w:cs="宋体"/>
          <w:spacing w:val="8"/>
          <w:sz w:val="25"/>
          <w:szCs w:val="25"/>
        </w:rPr>
        <w:t>②</w:t>
      </w:r>
      <w:r>
        <w:rPr>
          <w:rFonts w:ascii="仿宋" w:hAnsi="仿宋" w:eastAsia="仿宋" w:cs="仿宋"/>
          <w:spacing w:val="8"/>
          <w:sz w:val="25"/>
          <w:szCs w:val="25"/>
        </w:rPr>
        <w:t>废水污染防治</w:t>
      </w:r>
    </w:p>
    <w:p w14:paraId="259C497F">
      <w:pPr>
        <w:spacing w:line="228" w:lineRule="auto"/>
        <w:rPr>
          <w:rFonts w:ascii="仿宋" w:hAnsi="仿宋" w:eastAsia="仿宋" w:cs="仿宋"/>
          <w:sz w:val="25"/>
          <w:szCs w:val="25"/>
        </w:rPr>
        <w:sectPr>
          <w:headerReference r:id="rId259" w:type="default"/>
          <w:footerReference r:id="rId260" w:type="default"/>
          <w:pgSz w:w="11906" w:h="16839"/>
          <w:pgMar w:top="1116" w:right="1411" w:bottom="866" w:left="1587" w:header="683" w:footer="703" w:gutter="0"/>
          <w:cols w:space="720" w:num="1"/>
        </w:sectPr>
      </w:pPr>
    </w:p>
    <w:p w14:paraId="7B7100FE">
      <w:pPr>
        <w:pStyle w:val="2"/>
        <w:spacing w:line="382" w:lineRule="auto"/>
      </w:pPr>
    </w:p>
    <w:p w14:paraId="551761DA">
      <w:pPr>
        <w:spacing w:before="82" w:line="340" w:lineRule="auto"/>
        <w:ind w:left="15" w:right="62" w:firstLine="528"/>
        <w:jc w:val="both"/>
        <w:rPr>
          <w:rFonts w:ascii="仿宋" w:hAnsi="仿宋" w:eastAsia="仿宋" w:cs="仿宋"/>
          <w:sz w:val="25"/>
          <w:szCs w:val="25"/>
        </w:rPr>
      </w:pPr>
      <w:r>
        <w:rPr>
          <w:rFonts w:ascii="仿宋" w:hAnsi="仿宋" w:eastAsia="仿宋" w:cs="仿宋"/>
          <w:spacing w:val="9"/>
          <w:sz w:val="25"/>
          <w:szCs w:val="25"/>
        </w:rPr>
        <w:t xml:space="preserve">露天开采矿山采区汇水经沉淀处理后可用于采区降尘、道路洒水降尘，尽 </w:t>
      </w:r>
      <w:r>
        <w:rPr>
          <w:rFonts w:ascii="仿宋" w:hAnsi="仿宋" w:eastAsia="仿宋" w:cs="仿宋"/>
          <w:spacing w:val="10"/>
          <w:sz w:val="25"/>
          <w:szCs w:val="25"/>
        </w:rPr>
        <w:t>量不外排。地下开采的矿井水经井下水仓收集</w:t>
      </w:r>
      <w:r>
        <w:rPr>
          <w:rFonts w:ascii="仿宋" w:hAnsi="仿宋" w:eastAsia="仿宋" w:cs="仿宋"/>
          <w:spacing w:val="9"/>
          <w:sz w:val="25"/>
          <w:szCs w:val="25"/>
        </w:rPr>
        <w:t>后沉淀，优先进行回用，剩余部</w:t>
      </w:r>
      <w:r>
        <w:rPr>
          <w:rFonts w:ascii="仿宋" w:hAnsi="仿宋" w:eastAsia="仿宋" w:cs="仿宋"/>
          <w:sz w:val="25"/>
          <w:szCs w:val="25"/>
        </w:rPr>
        <w:t xml:space="preserve"> </w:t>
      </w:r>
      <w:r>
        <w:rPr>
          <w:rFonts w:ascii="仿宋" w:hAnsi="仿宋" w:eastAsia="仿宋" w:cs="仿宋"/>
          <w:spacing w:val="10"/>
          <w:sz w:val="25"/>
          <w:szCs w:val="25"/>
        </w:rPr>
        <w:t>分处理达标后排放。废石场周边应设置导流渠和集</w:t>
      </w:r>
      <w:r>
        <w:rPr>
          <w:rFonts w:ascii="仿宋" w:hAnsi="仿宋" w:eastAsia="仿宋" w:cs="仿宋"/>
          <w:spacing w:val="9"/>
          <w:sz w:val="25"/>
          <w:szCs w:val="25"/>
        </w:rPr>
        <w:t>排水设施，减少废石淋溶水</w:t>
      </w:r>
      <w:r>
        <w:rPr>
          <w:rFonts w:ascii="仿宋" w:hAnsi="仿宋" w:eastAsia="仿宋" w:cs="仿宋"/>
          <w:sz w:val="25"/>
          <w:szCs w:val="25"/>
        </w:rPr>
        <w:t xml:space="preserve"> </w:t>
      </w:r>
      <w:r>
        <w:rPr>
          <w:rFonts w:ascii="仿宋" w:hAnsi="仿宋" w:eastAsia="仿宋" w:cs="仿宋"/>
          <w:spacing w:val="10"/>
          <w:sz w:val="25"/>
          <w:szCs w:val="25"/>
        </w:rPr>
        <w:t>产生量，产生的淋溶水集中收集沉淀后可回用</w:t>
      </w:r>
      <w:r>
        <w:rPr>
          <w:rFonts w:ascii="仿宋" w:hAnsi="仿宋" w:eastAsia="仿宋" w:cs="仿宋"/>
          <w:spacing w:val="9"/>
          <w:sz w:val="25"/>
          <w:szCs w:val="25"/>
        </w:rPr>
        <w:t>于洒水降尘。勘查过程中产生的</w:t>
      </w:r>
      <w:r>
        <w:rPr>
          <w:rFonts w:ascii="仿宋" w:hAnsi="仿宋" w:eastAsia="仿宋" w:cs="仿宋"/>
          <w:sz w:val="25"/>
          <w:szCs w:val="25"/>
        </w:rPr>
        <w:t xml:space="preserve"> </w:t>
      </w:r>
      <w:r>
        <w:rPr>
          <w:rFonts w:ascii="仿宋" w:hAnsi="仿宋" w:eastAsia="仿宋" w:cs="仿宋"/>
          <w:spacing w:val="9"/>
          <w:sz w:val="25"/>
          <w:szCs w:val="25"/>
        </w:rPr>
        <w:t>钻井废水首先进行循环利用，剩余部分按要求处理后达标排放。</w:t>
      </w:r>
    </w:p>
    <w:p w14:paraId="3DB42CCC">
      <w:pPr>
        <w:spacing w:line="228" w:lineRule="auto"/>
        <w:ind w:left="528"/>
        <w:rPr>
          <w:rFonts w:ascii="仿宋" w:hAnsi="仿宋" w:eastAsia="仿宋" w:cs="仿宋"/>
          <w:sz w:val="25"/>
          <w:szCs w:val="25"/>
        </w:rPr>
      </w:pPr>
      <w:r>
        <w:rPr>
          <w:rFonts w:ascii="宋体" w:hAnsi="宋体" w:eastAsia="宋体" w:cs="宋体"/>
          <w:spacing w:val="8"/>
          <w:sz w:val="25"/>
          <w:szCs w:val="25"/>
        </w:rPr>
        <w:t>③</w:t>
      </w:r>
      <w:r>
        <w:rPr>
          <w:rFonts w:ascii="仿宋" w:hAnsi="仿宋" w:eastAsia="仿宋" w:cs="仿宋"/>
          <w:spacing w:val="8"/>
          <w:sz w:val="25"/>
          <w:szCs w:val="25"/>
        </w:rPr>
        <w:t>地下水污染</w:t>
      </w:r>
    </w:p>
    <w:p w14:paraId="0FB1000C">
      <w:pPr>
        <w:spacing w:before="152" w:line="339" w:lineRule="auto"/>
        <w:ind w:left="19" w:right="64" w:firstLine="524"/>
        <w:rPr>
          <w:rFonts w:ascii="仿宋" w:hAnsi="仿宋" w:eastAsia="仿宋" w:cs="仿宋"/>
          <w:sz w:val="25"/>
          <w:szCs w:val="25"/>
        </w:rPr>
      </w:pPr>
      <w:r>
        <w:rPr>
          <w:rFonts w:ascii="仿宋" w:hAnsi="仿宋" w:eastAsia="仿宋" w:cs="仿宋"/>
          <w:spacing w:val="9"/>
          <w:sz w:val="25"/>
          <w:szCs w:val="25"/>
        </w:rPr>
        <w:t>露天采矿应加强管理，避免机修废油、含油废弃物、污废水等进入地下水 系统，对地下水造成污染。油库（储油间）必须采取防渗处理，防止石油类污</w:t>
      </w:r>
      <w:r>
        <w:rPr>
          <w:rFonts w:ascii="仿宋" w:hAnsi="仿宋" w:eastAsia="仿宋" w:cs="仿宋"/>
          <w:spacing w:val="16"/>
          <w:sz w:val="25"/>
          <w:szCs w:val="25"/>
        </w:rPr>
        <w:t xml:space="preserve"> </w:t>
      </w:r>
      <w:r>
        <w:rPr>
          <w:rFonts w:ascii="仿宋" w:hAnsi="仿宋" w:eastAsia="仿宋" w:cs="仿宋"/>
          <w:spacing w:val="7"/>
          <w:sz w:val="25"/>
          <w:szCs w:val="25"/>
        </w:rPr>
        <w:t>染物以渗透方式污染地下水。</w:t>
      </w:r>
    </w:p>
    <w:p w14:paraId="5B98F287">
      <w:pPr>
        <w:spacing w:before="5" w:line="339" w:lineRule="auto"/>
        <w:ind w:left="16" w:firstLine="521"/>
        <w:jc w:val="both"/>
        <w:rPr>
          <w:rFonts w:ascii="仿宋" w:hAnsi="仿宋" w:eastAsia="仿宋" w:cs="仿宋"/>
          <w:sz w:val="25"/>
          <w:szCs w:val="25"/>
        </w:rPr>
      </w:pPr>
      <w:r>
        <w:rPr>
          <w:rFonts w:ascii="仿宋" w:hAnsi="仿宋" w:eastAsia="仿宋" w:cs="仿宋"/>
          <w:spacing w:val="9"/>
          <w:sz w:val="25"/>
          <w:szCs w:val="25"/>
        </w:rPr>
        <w:t>地下开采矿山，要求企业在采矿前应加强地下水的调查，采矿工程避开地</w:t>
      </w:r>
      <w:r>
        <w:rPr>
          <w:rFonts w:ascii="仿宋" w:hAnsi="仿宋" w:eastAsia="仿宋" w:cs="仿宋"/>
          <w:spacing w:val="15"/>
          <w:sz w:val="25"/>
          <w:szCs w:val="25"/>
        </w:rPr>
        <w:t xml:space="preserve"> </w:t>
      </w:r>
      <w:r>
        <w:rPr>
          <w:rFonts w:ascii="仿宋" w:hAnsi="仿宋" w:eastAsia="仿宋" w:cs="仿宋"/>
          <w:spacing w:val="6"/>
          <w:sz w:val="25"/>
          <w:szCs w:val="25"/>
        </w:rPr>
        <w:t>下溶洞、暗河发育地带；做好地下水保护，严格控制场内污废水</w:t>
      </w:r>
      <w:r>
        <w:rPr>
          <w:rFonts w:ascii="Times New Roman" w:hAnsi="Times New Roman" w:eastAsia="Times New Roman" w:cs="Times New Roman"/>
          <w:spacing w:val="6"/>
          <w:sz w:val="25"/>
          <w:szCs w:val="25"/>
        </w:rPr>
        <w:t>“</w:t>
      </w:r>
      <w:r>
        <w:rPr>
          <w:rFonts w:ascii="仿宋" w:hAnsi="仿宋" w:eastAsia="仿宋" w:cs="仿宋"/>
          <w:spacing w:val="6"/>
          <w:sz w:val="25"/>
          <w:szCs w:val="25"/>
        </w:rPr>
        <w:t>滴、跑、</w:t>
      </w:r>
      <w:r>
        <w:rPr>
          <w:rFonts w:ascii="仿宋" w:hAnsi="仿宋" w:eastAsia="仿宋" w:cs="仿宋"/>
          <w:spacing w:val="-56"/>
          <w:sz w:val="25"/>
          <w:szCs w:val="25"/>
        </w:rPr>
        <w:t xml:space="preserve"> </w:t>
      </w:r>
      <w:r>
        <w:rPr>
          <w:rFonts w:ascii="仿宋" w:hAnsi="仿宋" w:eastAsia="仿宋" w:cs="仿宋"/>
          <w:spacing w:val="6"/>
          <w:sz w:val="25"/>
          <w:szCs w:val="25"/>
        </w:rPr>
        <w:t>冒、</w:t>
      </w:r>
      <w:r>
        <w:rPr>
          <w:rFonts w:ascii="仿宋" w:hAnsi="仿宋" w:eastAsia="仿宋" w:cs="仿宋"/>
          <w:sz w:val="25"/>
          <w:szCs w:val="25"/>
        </w:rPr>
        <w:t xml:space="preserve"> </w:t>
      </w:r>
      <w:r>
        <w:rPr>
          <w:rFonts w:ascii="仿宋" w:hAnsi="仿宋" w:eastAsia="仿宋" w:cs="仿宋"/>
          <w:spacing w:val="6"/>
          <w:sz w:val="25"/>
          <w:szCs w:val="25"/>
        </w:rPr>
        <w:t>漏</w:t>
      </w:r>
      <w:r>
        <w:rPr>
          <w:rFonts w:ascii="Times New Roman" w:hAnsi="Times New Roman" w:eastAsia="Times New Roman" w:cs="Times New Roman"/>
          <w:spacing w:val="6"/>
          <w:sz w:val="25"/>
          <w:szCs w:val="25"/>
        </w:rPr>
        <w:t>”</w:t>
      </w:r>
      <w:r>
        <w:rPr>
          <w:rFonts w:ascii="仿宋" w:hAnsi="仿宋" w:eastAsia="仿宋" w:cs="仿宋"/>
          <w:spacing w:val="6"/>
          <w:sz w:val="25"/>
          <w:szCs w:val="25"/>
        </w:rPr>
        <w:t>的无组织泄漏。根据矿区场地实际情况采取分区防渗，防止污染物以渗透方</w:t>
      </w:r>
      <w:r>
        <w:rPr>
          <w:rFonts w:ascii="仿宋" w:hAnsi="仿宋" w:eastAsia="仿宋" w:cs="仿宋"/>
          <w:spacing w:val="7"/>
          <w:sz w:val="25"/>
          <w:szCs w:val="25"/>
        </w:rPr>
        <w:t xml:space="preserve"> </w:t>
      </w:r>
      <w:r>
        <w:rPr>
          <w:rFonts w:ascii="仿宋" w:hAnsi="仿宋" w:eastAsia="仿宋" w:cs="仿宋"/>
          <w:spacing w:val="8"/>
          <w:sz w:val="25"/>
          <w:szCs w:val="25"/>
        </w:rPr>
        <w:t>式污染地下水。定期对地下水水质进行监测，</w:t>
      </w:r>
      <w:r>
        <w:rPr>
          <w:rFonts w:ascii="仿宋" w:hAnsi="仿宋" w:eastAsia="仿宋" w:cs="仿宋"/>
          <w:spacing w:val="-72"/>
          <w:sz w:val="25"/>
          <w:szCs w:val="25"/>
        </w:rPr>
        <w:t xml:space="preserve"> </w:t>
      </w:r>
      <w:r>
        <w:rPr>
          <w:rFonts w:ascii="仿宋" w:hAnsi="仿宋" w:eastAsia="仿宋" w:cs="仿宋"/>
          <w:spacing w:val="8"/>
          <w:sz w:val="25"/>
          <w:szCs w:val="25"/>
        </w:rPr>
        <w:t>以便及时发现问题，采取相应的</w:t>
      </w:r>
      <w:r>
        <w:rPr>
          <w:rFonts w:ascii="仿宋" w:hAnsi="仿宋" w:eastAsia="仿宋" w:cs="仿宋"/>
          <w:sz w:val="25"/>
          <w:szCs w:val="25"/>
        </w:rPr>
        <w:t xml:space="preserve"> 措施。</w:t>
      </w:r>
    </w:p>
    <w:p w14:paraId="1E4C5F55">
      <w:pPr>
        <w:spacing w:line="228" w:lineRule="auto"/>
        <w:ind w:left="528"/>
        <w:rPr>
          <w:rFonts w:ascii="仿宋" w:hAnsi="仿宋" w:eastAsia="仿宋" w:cs="仿宋"/>
          <w:sz w:val="25"/>
          <w:szCs w:val="25"/>
        </w:rPr>
      </w:pPr>
      <w:r>
        <w:rPr>
          <w:rFonts w:ascii="宋体" w:hAnsi="宋体" w:eastAsia="宋体" w:cs="宋体"/>
          <w:spacing w:val="8"/>
          <w:sz w:val="25"/>
          <w:szCs w:val="25"/>
        </w:rPr>
        <w:t>④</w:t>
      </w:r>
      <w:r>
        <w:rPr>
          <w:rFonts w:ascii="仿宋" w:hAnsi="仿宋" w:eastAsia="仿宋" w:cs="仿宋"/>
          <w:spacing w:val="8"/>
          <w:sz w:val="25"/>
          <w:szCs w:val="25"/>
        </w:rPr>
        <w:t>固废防治</w:t>
      </w:r>
    </w:p>
    <w:p w14:paraId="3D9CEA30">
      <w:pPr>
        <w:spacing w:before="150" w:line="340" w:lineRule="auto"/>
        <w:ind w:left="15" w:right="64" w:firstLine="521"/>
        <w:rPr>
          <w:rFonts w:ascii="仿宋" w:hAnsi="仿宋" w:eastAsia="仿宋" w:cs="仿宋"/>
          <w:sz w:val="25"/>
          <w:szCs w:val="25"/>
        </w:rPr>
      </w:pPr>
      <w:r>
        <w:rPr>
          <w:rFonts w:ascii="仿宋" w:hAnsi="仿宋" w:eastAsia="仿宋" w:cs="仿宋"/>
          <w:spacing w:val="9"/>
          <w:sz w:val="25"/>
          <w:szCs w:val="25"/>
        </w:rPr>
        <w:t>矿业活动过程中产生的固体废物主要是矿山地表剥离物、钻井岩屑、建设</w:t>
      </w:r>
      <w:r>
        <w:rPr>
          <w:rFonts w:ascii="仿宋" w:hAnsi="仿宋" w:eastAsia="仿宋" w:cs="仿宋"/>
          <w:spacing w:val="16"/>
          <w:sz w:val="25"/>
          <w:szCs w:val="25"/>
        </w:rPr>
        <w:t xml:space="preserve"> </w:t>
      </w:r>
      <w:r>
        <w:rPr>
          <w:rFonts w:ascii="仿宋" w:hAnsi="仿宋" w:eastAsia="仿宋" w:cs="仿宋"/>
          <w:spacing w:val="8"/>
          <w:sz w:val="25"/>
          <w:szCs w:val="25"/>
        </w:rPr>
        <w:t>期挖方、</w:t>
      </w:r>
      <w:r>
        <w:rPr>
          <w:rFonts w:ascii="仿宋" w:hAnsi="仿宋" w:eastAsia="仿宋" w:cs="仿宋"/>
          <w:spacing w:val="-67"/>
          <w:sz w:val="25"/>
          <w:szCs w:val="25"/>
        </w:rPr>
        <w:t xml:space="preserve"> </w:t>
      </w:r>
      <w:r>
        <w:rPr>
          <w:rFonts w:ascii="仿宋" w:hAnsi="仿宋" w:eastAsia="仿宋" w:cs="仿宋"/>
          <w:spacing w:val="8"/>
          <w:sz w:val="25"/>
          <w:szCs w:val="25"/>
        </w:rPr>
        <w:t>回收粉尘、机械维修废油、含油固体废物、采矿废石、污废</w:t>
      </w:r>
      <w:r>
        <w:rPr>
          <w:rFonts w:ascii="仿宋" w:hAnsi="仿宋" w:eastAsia="仿宋" w:cs="仿宋"/>
          <w:spacing w:val="7"/>
          <w:sz w:val="25"/>
          <w:szCs w:val="25"/>
        </w:rPr>
        <w:t>水处理污</w:t>
      </w:r>
      <w:r>
        <w:rPr>
          <w:rFonts w:ascii="仿宋" w:hAnsi="仿宋" w:eastAsia="仿宋" w:cs="仿宋"/>
          <w:sz w:val="25"/>
          <w:szCs w:val="25"/>
        </w:rPr>
        <w:t xml:space="preserve"> </w:t>
      </w:r>
      <w:r>
        <w:rPr>
          <w:rFonts w:ascii="仿宋" w:hAnsi="仿宋" w:eastAsia="仿宋" w:cs="仿宋"/>
          <w:spacing w:val="6"/>
          <w:sz w:val="25"/>
          <w:szCs w:val="25"/>
        </w:rPr>
        <w:t>泥、生活垃圾等。</w:t>
      </w:r>
    </w:p>
    <w:p w14:paraId="38022A7B">
      <w:pPr>
        <w:spacing w:before="7" w:line="339" w:lineRule="auto"/>
        <w:ind w:left="15" w:right="62" w:firstLine="520"/>
        <w:rPr>
          <w:rFonts w:ascii="仿宋" w:hAnsi="仿宋" w:eastAsia="仿宋" w:cs="仿宋"/>
          <w:sz w:val="25"/>
          <w:szCs w:val="25"/>
        </w:rPr>
      </w:pPr>
      <w:r>
        <w:rPr>
          <w:rFonts w:ascii="仿宋" w:hAnsi="仿宋" w:eastAsia="仿宋" w:cs="仿宋"/>
          <w:spacing w:val="10"/>
          <w:sz w:val="25"/>
          <w:szCs w:val="25"/>
        </w:rPr>
        <w:t>钻井岩屑临时堆放于泥屑堆放区待风干后及时</w:t>
      </w:r>
      <w:r>
        <w:rPr>
          <w:rFonts w:ascii="仿宋" w:hAnsi="仿宋" w:eastAsia="仿宋" w:cs="仿宋"/>
          <w:spacing w:val="9"/>
          <w:sz w:val="25"/>
          <w:szCs w:val="25"/>
        </w:rPr>
        <w:t>运至部门指定的地方处置。</w:t>
      </w:r>
      <w:r>
        <w:rPr>
          <w:rFonts w:ascii="仿宋" w:hAnsi="仿宋" w:eastAsia="仿宋" w:cs="仿宋"/>
          <w:sz w:val="25"/>
          <w:szCs w:val="25"/>
        </w:rPr>
        <w:t xml:space="preserve"> </w:t>
      </w:r>
      <w:r>
        <w:rPr>
          <w:rFonts w:ascii="仿宋" w:hAnsi="仿宋" w:eastAsia="仿宋" w:cs="仿宋"/>
          <w:spacing w:val="10"/>
          <w:sz w:val="25"/>
          <w:szCs w:val="25"/>
        </w:rPr>
        <w:t>露天开采矿山地表剥离物中表土、废石分区临</w:t>
      </w:r>
      <w:r>
        <w:rPr>
          <w:rFonts w:ascii="仿宋" w:hAnsi="仿宋" w:eastAsia="仿宋" w:cs="仿宋"/>
          <w:spacing w:val="9"/>
          <w:sz w:val="25"/>
          <w:szCs w:val="25"/>
        </w:rPr>
        <w:t>时堆放在矿区内，表土用于后期</w:t>
      </w:r>
      <w:r>
        <w:rPr>
          <w:rFonts w:ascii="仿宋" w:hAnsi="仿宋" w:eastAsia="仿宋" w:cs="仿宋"/>
          <w:sz w:val="25"/>
          <w:szCs w:val="25"/>
        </w:rPr>
        <w:t xml:space="preserve"> </w:t>
      </w:r>
      <w:r>
        <w:rPr>
          <w:rFonts w:ascii="仿宋" w:hAnsi="仿宋" w:eastAsia="仿宋" w:cs="仿宋"/>
          <w:spacing w:val="10"/>
          <w:sz w:val="25"/>
          <w:szCs w:val="25"/>
        </w:rPr>
        <w:t>土地复垦，废石和建设期挖方用于铺设道路或</w:t>
      </w:r>
      <w:r>
        <w:rPr>
          <w:rFonts w:ascii="仿宋" w:hAnsi="仿宋" w:eastAsia="仿宋" w:cs="仿宋"/>
          <w:spacing w:val="9"/>
          <w:sz w:val="25"/>
          <w:szCs w:val="25"/>
        </w:rPr>
        <w:t>工业广场及配套基础设施建设用</w:t>
      </w:r>
      <w:r>
        <w:rPr>
          <w:rFonts w:ascii="仿宋" w:hAnsi="仿宋" w:eastAsia="仿宋" w:cs="仿宋"/>
          <w:sz w:val="25"/>
          <w:szCs w:val="25"/>
        </w:rPr>
        <w:t xml:space="preserve"> </w:t>
      </w:r>
      <w:r>
        <w:rPr>
          <w:rFonts w:ascii="仿宋" w:hAnsi="仿宋" w:eastAsia="仿宋" w:cs="仿宋"/>
          <w:spacing w:val="10"/>
          <w:sz w:val="25"/>
          <w:szCs w:val="25"/>
        </w:rPr>
        <w:t>材，弃方堆存在矿区内用于后期采空区回填。</w:t>
      </w:r>
      <w:r>
        <w:rPr>
          <w:rFonts w:ascii="仿宋" w:hAnsi="仿宋" w:eastAsia="仿宋" w:cs="仿宋"/>
          <w:spacing w:val="9"/>
          <w:sz w:val="25"/>
          <w:szCs w:val="25"/>
        </w:rPr>
        <w:t>地下矿山的采矿废石主应尽量回</w:t>
      </w:r>
      <w:r>
        <w:rPr>
          <w:rFonts w:ascii="仿宋" w:hAnsi="仿宋" w:eastAsia="仿宋" w:cs="仿宋"/>
          <w:sz w:val="25"/>
          <w:szCs w:val="25"/>
        </w:rPr>
        <w:t xml:space="preserve"> </w:t>
      </w:r>
      <w:r>
        <w:rPr>
          <w:rFonts w:ascii="仿宋" w:hAnsi="仿宋" w:eastAsia="仿宋" w:cs="仿宋"/>
          <w:spacing w:val="10"/>
          <w:sz w:val="25"/>
          <w:szCs w:val="25"/>
        </w:rPr>
        <w:t>填采空区，实现废石的最大化资源利用；不能</w:t>
      </w:r>
      <w:r>
        <w:rPr>
          <w:rFonts w:ascii="仿宋" w:hAnsi="仿宋" w:eastAsia="仿宋" w:cs="仿宋"/>
          <w:spacing w:val="9"/>
          <w:sz w:val="25"/>
          <w:szCs w:val="25"/>
        </w:rPr>
        <w:t>回填的废石应及时运至地面，堆</w:t>
      </w:r>
      <w:r>
        <w:rPr>
          <w:rFonts w:ascii="仿宋" w:hAnsi="仿宋" w:eastAsia="仿宋" w:cs="仿宋"/>
          <w:sz w:val="25"/>
          <w:szCs w:val="25"/>
        </w:rPr>
        <w:t xml:space="preserve"> </w:t>
      </w:r>
      <w:r>
        <w:rPr>
          <w:rFonts w:ascii="仿宋" w:hAnsi="仿宋" w:eastAsia="仿宋" w:cs="仿宋"/>
          <w:spacing w:val="10"/>
          <w:sz w:val="25"/>
          <w:szCs w:val="25"/>
        </w:rPr>
        <w:t>存在满足环保要求的废石堆场内，并采取相应</w:t>
      </w:r>
      <w:r>
        <w:rPr>
          <w:rFonts w:ascii="仿宋" w:hAnsi="仿宋" w:eastAsia="仿宋" w:cs="仿宋"/>
          <w:spacing w:val="9"/>
          <w:sz w:val="25"/>
          <w:szCs w:val="25"/>
        </w:rPr>
        <w:t>污染防治措施。一般工业固体废</w:t>
      </w:r>
      <w:r>
        <w:rPr>
          <w:rFonts w:ascii="仿宋" w:hAnsi="仿宋" w:eastAsia="仿宋" w:cs="仿宋"/>
          <w:sz w:val="25"/>
          <w:szCs w:val="25"/>
        </w:rPr>
        <w:t xml:space="preserve"> </w:t>
      </w:r>
      <w:r>
        <w:rPr>
          <w:rFonts w:ascii="仿宋" w:hAnsi="仿宋" w:eastAsia="仿宋" w:cs="仿宋"/>
          <w:spacing w:val="4"/>
          <w:sz w:val="25"/>
          <w:szCs w:val="25"/>
        </w:rPr>
        <w:t>物安全处置率达</w:t>
      </w:r>
      <w:r>
        <w:rPr>
          <w:rFonts w:ascii="仿宋" w:hAnsi="仿宋" w:eastAsia="仿宋" w:cs="仿宋"/>
          <w:spacing w:val="-28"/>
          <w:sz w:val="25"/>
          <w:szCs w:val="25"/>
        </w:rPr>
        <w:t xml:space="preserve"> </w:t>
      </w:r>
      <w:r>
        <w:rPr>
          <w:rFonts w:ascii="Times New Roman" w:hAnsi="Times New Roman" w:eastAsia="Times New Roman" w:cs="Times New Roman"/>
          <w:spacing w:val="4"/>
          <w:sz w:val="25"/>
          <w:szCs w:val="25"/>
        </w:rPr>
        <w:t>100%</w:t>
      </w:r>
      <w:r>
        <w:rPr>
          <w:rFonts w:ascii="Times New Roman" w:hAnsi="Times New Roman" w:eastAsia="Times New Roman" w:cs="Times New Roman"/>
          <w:spacing w:val="-26"/>
          <w:sz w:val="25"/>
          <w:szCs w:val="25"/>
        </w:rPr>
        <w:t xml:space="preserve"> </w:t>
      </w:r>
      <w:r>
        <w:rPr>
          <w:rFonts w:ascii="仿宋" w:hAnsi="仿宋" w:eastAsia="仿宋" w:cs="仿宋"/>
          <w:spacing w:val="4"/>
          <w:sz w:val="25"/>
          <w:szCs w:val="25"/>
        </w:rPr>
        <w:t>，危险废物安全处置处理率</w:t>
      </w:r>
      <w:r>
        <w:rPr>
          <w:rFonts w:ascii="仿宋" w:hAnsi="仿宋" w:eastAsia="仿宋" w:cs="仿宋"/>
          <w:spacing w:val="-30"/>
          <w:sz w:val="25"/>
          <w:szCs w:val="25"/>
        </w:rPr>
        <w:t xml:space="preserve"> </w:t>
      </w:r>
      <w:r>
        <w:rPr>
          <w:rFonts w:ascii="Times New Roman" w:hAnsi="Times New Roman" w:eastAsia="Times New Roman" w:cs="Times New Roman"/>
          <w:spacing w:val="4"/>
          <w:sz w:val="25"/>
          <w:szCs w:val="25"/>
        </w:rPr>
        <w:t>100%</w:t>
      </w:r>
      <w:r>
        <w:rPr>
          <w:rFonts w:ascii="Times New Roman" w:hAnsi="Times New Roman" w:eastAsia="Times New Roman" w:cs="Times New Roman"/>
          <w:spacing w:val="-23"/>
          <w:sz w:val="25"/>
          <w:szCs w:val="25"/>
        </w:rPr>
        <w:t xml:space="preserve"> </w:t>
      </w:r>
      <w:r>
        <w:rPr>
          <w:rFonts w:ascii="仿宋" w:hAnsi="仿宋" w:eastAsia="仿宋" w:cs="仿宋"/>
          <w:spacing w:val="4"/>
          <w:sz w:val="25"/>
          <w:szCs w:val="25"/>
        </w:rPr>
        <w:t>。矿区设置生</w:t>
      </w:r>
      <w:r>
        <w:rPr>
          <w:rFonts w:ascii="仿宋" w:hAnsi="仿宋" w:eastAsia="仿宋" w:cs="仿宋"/>
          <w:spacing w:val="3"/>
          <w:sz w:val="25"/>
          <w:szCs w:val="25"/>
        </w:rPr>
        <w:t>活垃圾收</w:t>
      </w:r>
      <w:r>
        <w:rPr>
          <w:rFonts w:ascii="仿宋" w:hAnsi="仿宋" w:eastAsia="仿宋" w:cs="仿宋"/>
          <w:sz w:val="25"/>
          <w:szCs w:val="25"/>
        </w:rPr>
        <w:t xml:space="preserve"> </w:t>
      </w:r>
      <w:r>
        <w:rPr>
          <w:rFonts w:ascii="仿宋" w:hAnsi="仿宋" w:eastAsia="仿宋" w:cs="仿宋"/>
          <w:spacing w:val="9"/>
          <w:sz w:val="25"/>
          <w:szCs w:val="25"/>
        </w:rPr>
        <w:t>集站，定期由环卫部门统一运往周边垃圾填埋场处置，严禁乱堆乱排。</w:t>
      </w:r>
    </w:p>
    <w:p w14:paraId="35E7E3A9">
      <w:pPr>
        <w:spacing w:before="1" w:line="228" w:lineRule="auto"/>
        <w:ind w:left="528"/>
        <w:rPr>
          <w:rFonts w:ascii="仿宋" w:hAnsi="仿宋" w:eastAsia="仿宋" w:cs="仿宋"/>
          <w:sz w:val="25"/>
          <w:szCs w:val="25"/>
        </w:rPr>
      </w:pPr>
      <w:r>
        <w:rPr>
          <w:rFonts w:ascii="宋体" w:hAnsi="宋体" w:eastAsia="宋体" w:cs="宋体"/>
          <w:spacing w:val="8"/>
          <w:sz w:val="25"/>
          <w:szCs w:val="25"/>
        </w:rPr>
        <w:t>⑤</w:t>
      </w:r>
      <w:r>
        <w:rPr>
          <w:rFonts w:ascii="仿宋" w:hAnsi="仿宋" w:eastAsia="仿宋" w:cs="仿宋"/>
          <w:spacing w:val="8"/>
          <w:sz w:val="25"/>
          <w:szCs w:val="25"/>
        </w:rPr>
        <w:t>噪声防治</w:t>
      </w:r>
    </w:p>
    <w:p w14:paraId="2ED20FA9">
      <w:pPr>
        <w:spacing w:before="150" w:line="339" w:lineRule="auto"/>
        <w:ind w:left="18" w:right="64" w:firstLine="521"/>
        <w:rPr>
          <w:rFonts w:ascii="仿宋" w:hAnsi="仿宋" w:eastAsia="仿宋" w:cs="仿宋"/>
          <w:sz w:val="25"/>
          <w:szCs w:val="25"/>
        </w:rPr>
      </w:pPr>
      <w:r>
        <w:rPr>
          <w:rFonts w:ascii="仿宋" w:hAnsi="仿宋" w:eastAsia="仿宋" w:cs="仿宋"/>
          <w:spacing w:val="9"/>
          <w:sz w:val="25"/>
          <w:szCs w:val="25"/>
        </w:rPr>
        <w:t>选用先进的模块化、轻型化、集成化钻探设备，在强噪声源设备加装降噪</w:t>
      </w:r>
      <w:r>
        <w:rPr>
          <w:rFonts w:ascii="仿宋" w:hAnsi="仿宋" w:eastAsia="仿宋" w:cs="仿宋"/>
          <w:spacing w:val="13"/>
          <w:sz w:val="25"/>
          <w:szCs w:val="25"/>
        </w:rPr>
        <w:t xml:space="preserve"> </w:t>
      </w:r>
      <w:r>
        <w:rPr>
          <w:rFonts w:ascii="仿宋" w:hAnsi="仿宋" w:eastAsia="仿宋" w:cs="仿宋"/>
          <w:spacing w:val="9"/>
          <w:sz w:val="25"/>
          <w:szCs w:val="25"/>
        </w:rPr>
        <w:t>减震设施，减少噪声源强度；选用低噪声施工设备和采矿生产设备；高噪声设</w:t>
      </w:r>
      <w:r>
        <w:rPr>
          <w:rFonts w:ascii="仿宋" w:hAnsi="仿宋" w:eastAsia="仿宋" w:cs="仿宋"/>
          <w:spacing w:val="17"/>
          <w:sz w:val="25"/>
          <w:szCs w:val="25"/>
        </w:rPr>
        <w:t xml:space="preserve"> </w:t>
      </w:r>
      <w:r>
        <w:rPr>
          <w:rFonts w:ascii="仿宋" w:hAnsi="仿宋" w:eastAsia="仿宋" w:cs="仿宋"/>
          <w:spacing w:val="9"/>
          <w:sz w:val="25"/>
          <w:szCs w:val="25"/>
        </w:rPr>
        <w:t>备应安放在满足隔声要求的专用设备房内，采用隔声、减震等措施降低噪声污</w:t>
      </w:r>
    </w:p>
    <w:p w14:paraId="35DC63BE">
      <w:pPr>
        <w:spacing w:line="339" w:lineRule="auto"/>
        <w:rPr>
          <w:rFonts w:ascii="仿宋" w:hAnsi="仿宋" w:eastAsia="仿宋" w:cs="仿宋"/>
          <w:sz w:val="25"/>
          <w:szCs w:val="25"/>
        </w:rPr>
        <w:sectPr>
          <w:footerReference r:id="rId261" w:type="default"/>
          <w:pgSz w:w="11906" w:h="16839"/>
          <w:pgMar w:top="1116" w:right="1411" w:bottom="866" w:left="1587" w:header="683" w:footer="703" w:gutter="0"/>
          <w:cols w:space="720" w:num="1"/>
        </w:sectPr>
      </w:pPr>
    </w:p>
    <w:p w14:paraId="225F21C6">
      <w:pPr>
        <w:pStyle w:val="2"/>
        <w:spacing w:line="385" w:lineRule="auto"/>
      </w:pPr>
    </w:p>
    <w:p w14:paraId="78D899A5">
      <w:pPr>
        <w:spacing w:before="81" w:line="339" w:lineRule="auto"/>
        <w:ind w:left="15" w:right="83" w:firstLine="3"/>
        <w:jc w:val="both"/>
        <w:rPr>
          <w:rFonts w:ascii="仿宋" w:hAnsi="仿宋" w:eastAsia="仿宋" w:cs="仿宋"/>
          <w:sz w:val="25"/>
          <w:szCs w:val="25"/>
        </w:rPr>
      </w:pPr>
      <w:r>
        <w:rPr>
          <w:rFonts w:ascii="仿宋" w:hAnsi="仿宋" w:eastAsia="仿宋" w:cs="仿宋"/>
          <w:spacing w:val="9"/>
          <w:sz w:val="25"/>
          <w:szCs w:val="25"/>
        </w:rPr>
        <w:t>染；选择远离声环境敏感点的位置开展勘查作业，在无法避让时采取必要的噪</w:t>
      </w:r>
      <w:r>
        <w:rPr>
          <w:rFonts w:ascii="仿宋" w:hAnsi="仿宋" w:eastAsia="仿宋" w:cs="仿宋"/>
          <w:spacing w:val="16"/>
          <w:sz w:val="25"/>
          <w:szCs w:val="25"/>
        </w:rPr>
        <w:t xml:space="preserve"> </w:t>
      </w:r>
      <w:r>
        <w:rPr>
          <w:rFonts w:ascii="仿宋" w:hAnsi="仿宋" w:eastAsia="仿宋" w:cs="仿宋"/>
          <w:spacing w:val="8"/>
          <w:sz w:val="25"/>
          <w:szCs w:val="25"/>
        </w:rPr>
        <w:t>声防护措施；合理安排作业时间；合理安排运输路线和运输时间；</w:t>
      </w:r>
      <w:r>
        <w:rPr>
          <w:rFonts w:ascii="仿宋" w:hAnsi="仿宋" w:eastAsia="仿宋" w:cs="仿宋"/>
          <w:spacing w:val="-71"/>
          <w:sz w:val="25"/>
          <w:szCs w:val="25"/>
        </w:rPr>
        <w:t xml:space="preserve"> </w:t>
      </w:r>
      <w:r>
        <w:rPr>
          <w:rFonts w:ascii="仿宋" w:hAnsi="仿宋" w:eastAsia="仿宋" w:cs="仿宋"/>
          <w:spacing w:val="8"/>
          <w:sz w:val="25"/>
          <w:szCs w:val="25"/>
        </w:rPr>
        <w:t>同时设置绿</w:t>
      </w:r>
      <w:r>
        <w:rPr>
          <w:rFonts w:ascii="仿宋" w:hAnsi="仿宋" w:eastAsia="仿宋" w:cs="仿宋"/>
          <w:sz w:val="25"/>
          <w:szCs w:val="25"/>
        </w:rPr>
        <w:t xml:space="preserve"> </w:t>
      </w:r>
      <w:r>
        <w:rPr>
          <w:rFonts w:ascii="仿宋" w:hAnsi="仿宋" w:eastAsia="仿宋" w:cs="仿宋"/>
          <w:spacing w:val="6"/>
          <w:sz w:val="25"/>
          <w:szCs w:val="25"/>
        </w:rPr>
        <w:t>化带来降低噪音。</w:t>
      </w:r>
    </w:p>
    <w:p w14:paraId="4D5801A1">
      <w:pPr>
        <w:spacing w:before="16" w:line="222" w:lineRule="auto"/>
        <w:ind w:left="8"/>
        <w:outlineLvl w:val="1"/>
        <w:rPr>
          <w:rFonts w:ascii="仿宋" w:hAnsi="仿宋" w:eastAsia="仿宋" w:cs="仿宋"/>
          <w:sz w:val="28"/>
          <w:szCs w:val="28"/>
        </w:rPr>
      </w:pPr>
      <w:bookmarkStart w:id="53" w:name="bookmark46"/>
      <w:bookmarkEnd w:id="53"/>
      <w:r>
        <w:rPr>
          <w:rFonts w:ascii="Times New Roman" w:hAnsi="Times New Roman" w:eastAsia="Times New Roman" w:cs="Times New Roman"/>
          <w:b/>
          <w:bCs/>
          <w:spacing w:val="-2"/>
          <w:sz w:val="28"/>
          <w:szCs w:val="28"/>
        </w:rPr>
        <w:t xml:space="preserve">9.6 </w:t>
      </w:r>
      <w:r>
        <w:rPr>
          <w:rFonts w:ascii="仿宋" w:hAnsi="仿宋" w:eastAsia="仿宋" w:cs="仿宋"/>
          <w:b/>
          <w:bCs/>
          <w:spacing w:val="-2"/>
          <w:sz w:val="28"/>
          <w:szCs w:val="28"/>
        </w:rPr>
        <w:t>规划调整包含的具体建设项目环境影响评价的重点内容和简化建议</w:t>
      </w:r>
    </w:p>
    <w:p w14:paraId="7A719545">
      <w:pPr>
        <w:spacing w:before="251" w:line="229" w:lineRule="auto"/>
        <w:ind w:left="541"/>
        <w:rPr>
          <w:rFonts w:ascii="仿宋" w:hAnsi="仿宋" w:eastAsia="仿宋" w:cs="仿宋"/>
          <w:sz w:val="25"/>
          <w:szCs w:val="25"/>
        </w:rPr>
      </w:pPr>
      <w:r>
        <w:rPr>
          <w:rFonts w:ascii="仿宋" w:hAnsi="仿宋" w:eastAsia="仿宋" w:cs="仿宋"/>
          <w:spacing w:val="7"/>
          <w:sz w:val="25"/>
          <w:szCs w:val="25"/>
        </w:rPr>
        <w:t>（</w:t>
      </w:r>
      <w:r>
        <w:rPr>
          <w:rFonts w:ascii="Times New Roman" w:hAnsi="Times New Roman" w:eastAsia="Times New Roman" w:cs="Times New Roman"/>
          <w:spacing w:val="7"/>
          <w:sz w:val="25"/>
          <w:szCs w:val="25"/>
        </w:rPr>
        <w:t>1</w:t>
      </w:r>
      <w:r>
        <w:rPr>
          <w:rFonts w:ascii="仿宋" w:hAnsi="仿宋" w:eastAsia="仿宋" w:cs="仿宋"/>
          <w:spacing w:val="7"/>
          <w:sz w:val="25"/>
          <w:szCs w:val="25"/>
        </w:rPr>
        <w:t>）重点关注的内容</w:t>
      </w:r>
    </w:p>
    <w:p w14:paraId="5E4C50C0">
      <w:pPr>
        <w:spacing w:before="145" w:line="340" w:lineRule="auto"/>
        <w:ind w:left="15" w:right="88" w:firstLine="526"/>
        <w:rPr>
          <w:rFonts w:ascii="仿宋" w:hAnsi="仿宋" w:eastAsia="仿宋" w:cs="仿宋"/>
          <w:sz w:val="25"/>
          <w:szCs w:val="25"/>
        </w:rPr>
      </w:pPr>
      <w:r>
        <w:rPr>
          <w:rFonts w:ascii="仿宋" w:hAnsi="仿宋" w:eastAsia="仿宋" w:cs="仿宋"/>
          <w:spacing w:val="9"/>
          <w:sz w:val="25"/>
          <w:szCs w:val="25"/>
        </w:rPr>
        <w:t>实现</w:t>
      </w:r>
      <w:r>
        <w:rPr>
          <w:rFonts w:ascii="Times New Roman" w:hAnsi="Times New Roman" w:eastAsia="Times New Roman" w:cs="Times New Roman"/>
          <w:spacing w:val="9"/>
          <w:sz w:val="25"/>
          <w:szCs w:val="25"/>
        </w:rPr>
        <w:t>“</w:t>
      </w:r>
      <w:r>
        <w:rPr>
          <w:rFonts w:ascii="仿宋" w:hAnsi="仿宋" w:eastAsia="仿宋" w:cs="仿宋"/>
          <w:spacing w:val="9"/>
          <w:sz w:val="25"/>
          <w:szCs w:val="25"/>
        </w:rPr>
        <w:t>规划环评与项目环评</w:t>
      </w:r>
      <w:r>
        <w:rPr>
          <w:rFonts w:ascii="Times New Roman" w:hAnsi="Times New Roman" w:eastAsia="Times New Roman" w:cs="Times New Roman"/>
          <w:spacing w:val="9"/>
          <w:sz w:val="25"/>
          <w:szCs w:val="25"/>
        </w:rPr>
        <w:t>”</w:t>
      </w:r>
      <w:r>
        <w:rPr>
          <w:rFonts w:ascii="仿宋" w:hAnsi="仿宋" w:eastAsia="仿宋" w:cs="仿宋"/>
          <w:spacing w:val="9"/>
          <w:sz w:val="25"/>
          <w:szCs w:val="25"/>
        </w:rPr>
        <w:t>联动机制，矿产资源勘探开发项</w:t>
      </w:r>
      <w:r>
        <w:rPr>
          <w:rFonts w:ascii="仿宋" w:hAnsi="仿宋" w:eastAsia="仿宋" w:cs="仿宋"/>
          <w:spacing w:val="8"/>
          <w:sz w:val="25"/>
          <w:szCs w:val="25"/>
        </w:rPr>
        <w:t>目必须符合规</w:t>
      </w:r>
      <w:r>
        <w:rPr>
          <w:rFonts w:ascii="仿宋" w:hAnsi="仿宋" w:eastAsia="仿宋" w:cs="仿宋"/>
          <w:sz w:val="25"/>
          <w:szCs w:val="25"/>
        </w:rPr>
        <w:t xml:space="preserve"> </w:t>
      </w:r>
      <w:r>
        <w:rPr>
          <w:rFonts w:ascii="仿宋" w:hAnsi="仿宋" w:eastAsia="仿宋" w:cs="仿宋"/>
          <w:spacing w:val="9"/>
          <w:sz w:val="25"/>
          <w:szCs w:val="25"/>
        </w:rPr>
        <w:t>划环评明确的空间布局，遵循规划环评的项目准入要求。规划下一层次建设项</w:t>
      </w:r>
      <w:r>
        <w:rPr>
          <w:rFonts w:ascii="仿宋" w:hAnsi="仿宋" w:eastAsia="仿宋" w:cs="仿宋"/>
          <w:spacing w:val="15"/>
          <w:sz w:val="25"/>
          <w:szCs w:val="25"/>
        </w:rPr>
        <w:t xml:space="preserve"> </w:t>
      </w:r>
      <w:r>
        <w:rPr>
          <w:rFonts w:ascii="仿宋" w:hAnsi="仿宋" w:eastAsia="仿宋" w:cs="仿宋"/>
          <w:spacing w:val="9"/>
          <w:sz w:val="25"/>
          <w:szCs w:val="25"/>
        </w:rPr>
        <w:t>目，应严格遵守重庆市生态保护红线以及依法设立的各级各类保护区域相关法</w:t>
      </w:r>
      <w:r>
        <w:rPr>
          <w:rFonts w:ascii="仿宋" w:hAnsi="仿宋" w:eastAsia="仿宋" w:cs="仿宋"/>
          <w:spacing w:val="15"/>
          <w:sz w:val="25"/>
          <w:szCs w:val="25"/>
        </w:rPr>
        <w:t xml:space="preserve"> </w:t>
      </w:r>
      <w:r>
        <w:rPr>
          <w:rFonts w:ascii="仿宋" w:hAnsi="仿宋" w:eastAsia="仿宋" w:cs="仿宋"/>
          <w:spacing w:val="9"/>
          <w:sz w:val="25"/>
          <w:szCs w:val="25"/>
        </w:rPr>
        <w:t>律法规规定和要求，重点评价项目建设对区域生态系统、水环境、土壤环境、</w:t>
      </w:r>
      <w:r>
        <w:rPr>
          <w:rFonts w:ascii="仿宋" w:hAnsi="仿宋" w:eastAsia="仿宋" w:cs="仿宋"/>
          <w:spacing w:val="15"/>
          <w:sz w:val="25"/>
          <w:szCs w:val="25"/>
        </w:rPr>
        <w:t xml:space="preserve"> </w:t>
      </w:r>
      <w:r>
        <w:rPr>
          <w:rFonts w:ascii="仿宋" w:hAnsi="仿宋" w:eastAsia="仿宋" w:cs="仿宋"/>
          <w:spacing w:val="9"/>
          <w:sz w:val="25"/>
          <w:szCs w:val="25"/>
        </w:rPr>
        <w:t>环境风险等环境影响的途径、范围和程度，深入论证生态修复工程、环境保护</w:t>
      </w:r>
      <w:r>
        <w:rPr>
          <w:rFonts w:ascii="仿宋" w:hAnsi="仿宋" w:eastAsia="仿宋" w:cs="仿宋"/>
          <w:spacing w:val="15"/>
          <w:sz w:val="25"/>
          <w:szCs w:val="25"/>
        </w:rPr>
        <w:t xml:space="preserve"> </w:t>
      </w:r>
      <w:r>
        <w:rPr>
          <w:rFonts w:ascii="仿宋" w:hAnsi="仿宋" w:eastAsia="仿宋" w:cs="仿宋"/>
          <w:spacing w:val="9"/>
          <w:sz w:val="25"/>
          <w:szCs w:val="25"/>
        </w:rPr>
        <w:t>措施的可行性，强调对项目评价范围内生态环境敏感点的预测评价，提出细化</w:t>
      </w:r>
      <w:r>
        <w:rPr>
          <w:rFonts w:ascii="仿宋" w:hAnsi="仿宋" w:eastAsia="仿宋" w:cs="仿宋"/>
          <w:spacing w:val="15"/>
          <w:sz w:val="25"/>
          <w:szCs w:val="25"/>
        </w:rPr>
        <w:t xml:space="preserve"> </w:t>
      </w:r>
      <w:r>
        <w:rPr>
          <w:rFonts w:ascii="仿宋" w:hAnsi="仿宋" w:eastAsia="仿宋" w:cs="仿宋"/>
          <w:spacing w:val="9"/>
          <w:sz w:val="25"/>
          <w:szCs w:val="25"/>
        </w:rPr>
        <w:t>的避让和环保措施，并进行经济技术评价和环境效应分析。对于本次规划环评</w:t>
      </w:r>
      <w:r>
        <w:rPr>
          <w:rFonts w:ascii="仿宋" w:hAnsi="仿宋" w:eastAsia="仿宋" w:cs="仿宋"/>
          <w:spacing w:val="15"/>
          <w:sz w:val="25"/>
          <w:szCs w:val="25"/>
        </w:rPr>
        <w:t xml:space="preserve"> </w:t>
      </w:r>
      <w:r>
        <w:rPr>
          <w:rFonts w:ascii="仿宋" w:hAnsi="仿宋" w:eastAsia="仿宋" w:cs="仿宋"/>
          <w:spacing w:val="9"/>
          <w:sz w:val="25"/>
          <w:szCs w:val="25"/>
        </w:rPr>
        <w:t>识别出的可能影响到生态环境敏感区的项目，环境影响评价工作应及早介入，</w:t>
      </w:r>
      <w:r>
        <w:rPr>
          <w:rFonts w:ascii="仿宋" w:hAnsi="仿宋" w:eastAsia="仿宋" w:cs="仿宋"/>
          <w:spacing w:val="15"/>
          <w:sz w:val="25"/>
          <w:szCs w:val="25"/>
        </w:rPr>
        <w:t xml:space="preserve"> </w:t>
      </w:r>
      <w:r>
        <w:rPr>
          <w:rFonts w:ascii="仿宋" w:hAnsi="仿宋" w:eastAsia="仿宋" w:cs="仿宋"/>
          <w:spacing w:val="9"/>
          <w:sz w:val="25"/>
          <w:szCs w:val="25"/>
        </w:rPr>
        <w:t>提出相应的减缓措施和建议，具体建设项目的性质、污染因子等在本次评价中</w:t>
      </w:r>
      <w:r>
        <w:rPr>
          <w:rFonts w:ascii="仿宋" w:hAnsi="仿宋" w:eastAsia="仿宋" w:cs="仿宋"/>
          <w:spacing w:val="15"/>
          <w:sz w:val="25"/>
          <w:szCs w:val="25"/>
        </w:rPr>
        <w:t xml:space="preserve"> </w:t>
      </w:r>
      <w:r>
        <w:rPr>
          <w:rFonts w:ascii="仿宋" w:hAnsi="仿宋" w:eastAsia="仿宋" w:cs="仿宋"/>
          <w:spacing w:val="8"/>
          <w:sz w:val="25"/>
          <w:szCs w:val="25"/>
        </w:rPr>
        <w:t>未作评价的，其环境影响评价的内容不得简化。</w:t>
      </w:r>
    </w:p>
    <w:p w14:paraId="28E70F87">
      <w:pPr>
        <w:spacing w:before="1" w:line="227" w:lineRule="auto"/>
        <w:ind w:left="541"/>
        <w:rPr>
          <w:rFonts w:ascii="仿宋" w:hAnsi="仿宋" w:eastAsia="仿宋" w:cs="仿宋"/>
          <w:sz w:val="25"/>
          <w:szCs w:val="25"/>
        </w:rPr>
      </w:pPr>
      <w:r>
        <w:rPr>
          <w:rFonts w:ascii="仿宋" w:hAnsi="仿宋" w:eastAsia="仿宋" w:cs="仿宋"/>
          <w:spacing w:val="6"/>
          <w:sz w:val="25"/>
          <w:szCs w:val="25"/>
        </w:rPr>
        <w:t>（</w:t>
      </w:r>
      <w:r>
        <w:rPr>
          <w:rFonts w:ascii="Times New Roman" w:hAnsi="Times New Roman" w:eastAsia="Times New Roman" w:cs="Times New Roman"/>
          <w:spacing w:val="6"/>
          <w:sz w:val="25"/>
          <w:szCs w:val="25"/>
        </w:rPr>
        <w:t>2</w:t>
      </w:r>
      <w:r>
        <w:rPr>
          <w:rFonts w:ascii="仿宋" w:hAnsi="仿宋" w:eastAsia="仿宋" w:cs="仿宋"/>
          <w:spacing w:val="6"/>
          <w:sz w:val="25"/>
          <w:szCs w:val="25"/>
        </w:rPr>
        <w:t>）可简化的内容</w:t>
      </w:r>
    </w:p>
    <w:p w14:paraId="10266374">
      <w:pPr>
        <w:spacing w:before="153" w:line="339" w:lineRule="auto"/>
        <w:ind w:left="17" w:right="88" w:firstLine="521"/>
        <w:rPr>
          <w:rFonts w:ascii="仿宋" w:hAnsi="仿宋" w:eastAsia="仿宋" w:cs="仿宋"/>
          <w:sz w:val="25"/>
          <w:szCs w:val="25"/>
        </w:rPr>
      </w:pPr>
      <w:r>
        <w:rPr>
          <w:rFonts w:ascii="仿宋" w:hAnsi="仿宋" w:eastAsia="仿宋" w:cs="仿宋"/>
          <w:spacing w:val="9"/>
          <w:sz w:val="25"/>
          <w:szCs w:val="25"/>
        </w:rPr>
        <w:t>对符合规划环评环境管控要求和生态环境准入清单的矿产资源勘探开发具 体项目，将规划环评结论作为重要依据，其环评文件中选址选线、规模分析内</w:t>
      </w:r>
      <w:r>
        <w:rPr>
          <w:rFonts w:ascii="仿宋" w:hAnsi="仿宋" w:eastAsia="仿宋" w:cs="仿宋"/>
          <w:spacing w:val="13"/>
          <w:sz w:val="25"/>
          <w:szCs w:val="25"/>
        </w:rPr>
        <w:t xml:space="preserve"> </w:t>
      </w:r>
      <w:r>
        <w:rPr>
          <w:rFonts w:ascii="仿宋" w:hAnsi="仿宋" w:eastAsia="仿宋" w:cs="仿宋"/>
          <w:spacing w:val="5"/>
          <w:sz w:val="25"/>
          <w:szCs w:val="25"/>
        </w:rPr>
        <w:t>容可适当简化。</w:t>
      </w:r>
    </w:p>
    <w:p w14:paraId="6AFBEEEA">
      <w:pPr>
        <w:spacing w:before="19" w:line="223" w:lineRule="auto"/>
        <w:ind w:left="8"/>
        <w:outlineLvl w:val="1"/>
        <w:rPr>
          <w:rFonts w:ascii="仿宋" w:hAnsi="仿宋" w:eastAsia="仿宋" w:cs="仿宋"/>
          <w:sz w:val="28"/>
          <w:szCs w:val="28"/>
        </w:rPr>
      </w:pPr>
      <w:bookmarkStart w:id="54" w:name="bookmark47"/>
      <w:bookmarkEnd w:id="54"/>
      <w:r>
        <w:rPr>
          <w:rFonts w:ascii="Times New Roman" w:hAnsi="Times New Roman" w:eastAsia="Times New Roman" w:cs="Times New Roman"/>
          <w:b/>
          <w:bCs/>
          <w:spacing w:val="-5"/>
          <w:sz w:val="28"/>
          <w:szCs w:val="28"/>
        </w:rPr>
        <w:t>9.7</w:t>
      </w:r>
      <w:r>
        <w:rPr>
          <w:rFonts w:ascii="Times New Roman" w:hAnsi="Times New Roman" w:eastAsia="Times New Roman" w:cs="Times New Roman"/>
          <w:b/>
          <w:bCs/>
          <w:spacing w:val="25"/>
          <w:sz w:val="28"/>
          <w:szCs w:val="28"/>
        </w:rPr>
        <w:t xml:space="preserve"> </w:t>
      </w:r>
      <w:r>
        <w:rPr>
          <w:rFonts w:ascii="仿宋" w:hAnsi="仿宋" w:eastAsia="仿宋" w:cs="仿宋"/>
          <w:b/>
          <w:bCs/>
          <w:spacing w:val="-5"/>
          <w:sz w:val="28"/>
          <w:szCs w:val="28"/>
        </w:rPr>
        <w:t>综合评价结论</w:t>
      </w:r>
    </w:p>
    <w:p w14:paraId="4A9D6964">
      <w:pPr>
        <w:spacing w:before="244" w:line="340" w:lineRule="auto"/>
        <w:ind w:left="15" w:firstLine="479"/>
        <w:jc w:val="both"/>
        <w:rPr>
          <w:rFonts w:ascii="仿宋" w:hAnsi="仿宋" w:eastAsia="仿宋" w:cs="仿宋"/>
          <w:sz w:val="25"/>
          <w:szCs w:val="25"/>
        </w:rPr>
      </w:pPr>
      <w:r>
        <w:rPr>
          <w:rFonts w:ascii="仿宋" w:hAnsi="仿宋" w:eastAsia="仿宋" w:cs="仿宋"/>
          <w:spacing w:val="11"/>
          <w:sz w:val="25"/>
          <w:szCs w:val="25"/>
        </w:rPr>
        <w:t>《规划调整》符合国家重大政策及规划要求，与重庆市和黔江</w:t>
      </w:r>
      <w:r>
        <w:rPr>
          <w:rFonts w:ascii="仿宋" w:hAnsi="仿宋" w:eastAsia="仿宋" w:cs="仿宋"/>
          <w:spacing w:val="10"/>
          <w:sz w:val="25"/>
          <w:szCs w:val="25"/>
        </w:rPr>
        <w:t>区相关规划</w:t>
      </w:r>
      <w:r>
        <w:rPr>
          <w:rFonts w:ascii="仿宋" w:hAnsi="仿宋" w:eastAsia="仿宋" w:cs="仿宋"/>
          <w:sz w:val="25"/>
          <w:szCs w:val="25"/>
        </w:rPr>
        <w:t xml:space="preserve"> </w:t>
      </w:r>
      <w:r>
        <w:rPr>
          <w:rFonts w:ascii="仿宋" w:hAnsi="仿宋" w:eastAsia="仿宋" w:cs="仿宋"/>
          <w:spacing w:val="5"/>
          <w:sz w:val="25"/>
          <w:szCs w:val="25"/>
        </w:rPr>
        <w:t>及政策协调，规划的实施有助于加强对黔江区</w:t>
      </w:r>
      <w:r>
        <w:rPr>
          <w:rFonts w:ascii="仿宋" w:hAnsi="仿宋" w:eastAsia="仿宋" w:cs="仿宋"/>
          <w:spacing w:val="4"/>
          <w:sz w:val="25"/>
          <w:szCs w:val="25"/>
        </w:rPr>
        <w:t>矿产资源勘查、开发利用和保护、</w:t>
      </w:r>
      <w:r>
        <w:rPr>
          <w:rFonts w:ascii="仿宋" w:hAnsi="仿宋" w:eastAsia="仿宋" w:cs="仿宋"/>
          <w:sz w:val="25"/>
          <w:szCs w:val="25"/>
        </w:rPr>
        <w:t xml:space="preserve"> </w:t>
      </w:r>
      <w:r>
        <w:rPr>
          <w:rFonts w:ascii="仿宋" w:hAnsi="仿宋" w:eastAsia="仿宋" w:cs="仿宋"/>
          <w:spacing w:val="10"/>
          <w:sz w:val="25"/>
          <w:szCs w:val="25"/>
        </w:rPr>
        <w:t>矿山生态环境保护和治理，促进矿产资源的科</w:t>
      </w:r>
      <w:r>
        <w:rPr>
          <w:rFonts w:ascii="仿宋" w:hAnsi="仿宋" w:eastAsia="仿宋" w:cs="仿宋"/>
          <w:spacing w:val="9"/>
          <w:sz w:val="25"/>
          <w:szCs w:val="25"/>
        </w:rPr>
        <w:t>学利用，保障国民经济和社会发</w:t>
      </w:r>
      <w:r>
        <w:rPr>
          <w:rFonts w:ascii="仿宋" w:hAnsi="仿宋" w:eastAsia="仿宋" w:cs="仿宋"/>
          <w:sz w:val="25"/>
          <w:szCs w:val="25"/>
        </w:rPr>
        <w:t xml:space="preserve"> </w:t>
      </w:r>
      <w:r>
        <w:rPr>
          <w:rFonts w:ascii="仿宋" w:hAnsi="仿宋" w:eastAsia="仿宋" w:cs="仿宋"/>
          <w:spacing w:val="10"/>
          <w:sz w:val="25"/>
          <w:szCs w:val="25"/>
        </w:rPr>
        <w:t>展对矿产资源的需求。黔江区资源与环境能够</w:t>
      </w:r>
      <w:r>
        <w:rPr>
          <w:rFonts w:ascii="仿宋" w:hAnsi="仿宋" w:eastAsia="仿宋" w:cs="仿宋"/>
          <w:spacing w:val="9"/>
          <w:sz w:val="25"/>
          <w:szCs w:val="25"/>
        </w:rPr>
        <w:t>承载规划实施需求。虽然规划实</w:t>
      </w:r>
      <w:r>
        <w:rPr>
          <w:rFonts w:ascii="仿宋" w:hAnsi="仿宋" w:eastAsia="仿宋" w:cs="仿宋"/>
          <w:sz w:val="25"/>
          <w:szCs w:val="25"/>
        </w:rPr>
        <w:t xml:space="preserve"> </w:t>
      </w:r>
      <w:r>
        <w:rPr>
          <w:rFonts w:ascii="仿宋" w:hAnsi="仿宋" w:eastAsia="仿宋" w:cs="仿宋"/>
          <w:spacing w:val="10"/>
          <w:sz w:val="25"/>
          <w:szCs w:val="25"/>
        </w:rPr>
        <w:t>施可能对生态、大气、地表水、地下水、和土</w:t>
      </w:r>
      <w:r>
        <w:rPr>
          <w:rFonts w:ascii="仿宋" w:hAnsi="仿宋" w:eastAsia="仿宋" w:cs="仿宋"/>
          <w:spacing w:val="9"/>
          <w:sz w:val="25"/>
          <w:szCs w:val="25"/>
        </w:rPr>
        <w:t>壤环境产生一定影响，但通过采</w:t>
      </w:r>
      <w:r>
        <w:rPr>
          <w:rFonts w:ascii="仿宋" w:hAnsi="仿宋" w:eastAsia="仿宋" w:cs="仿宋"/>
          <w:sz w:val="25"/>
          <w:szCs w:val="25"/>
        </w:rPr>
        <w:t xml:space="preserve"> </w:t>
      </w:r>
      <w:r>
        <w:rPr>
          <w:rFonts w:ascii="仿宋" w:hAnsi="仿宋" w:eastAsia="仿宋" w:cs="仿宋"/>
          <w:spacing w:val="5"/>
          <w:sz w:val="25"/>
          <w:szCs w:val="25"/>
        </w:rPr>
        <w:t>取行之有效的环境影响减缓措施和污染防治措施，强化</w:t>
      </w:r>
      <w:r>
        <w:rPr>
          <w:rFonts w:ascii="Times New Roman" w:hAnsi="Times New Roman" w:eastAsia="Times New Roman" w:cs="Times New Roman"/>
          <w:spacing w:val="5"/>
          <w:sz w:val="25"/>
          <w:szCs w:val="25"/>
        </w:rPr>
        <w:t>“</w:t>
      </w:r>
      <w:r>
        <w:rPr>
          <w:rFonts w:ascii="仿宋" w:hAnsi="仿宋" w:eastAsia="仿宋" w:cs="仿宋"/>
          <w:spacing w:val="5"/>
          <w:sz w:val="25"/>
          <w:szCs w:val="25"/>
        </w:rPr>
        <w:t>三线一单</w:t>
      </w:r>
      <w:r>
        <w:rPr>
          <w:rFonts w:ascii="Times New Roman" w:hAnsi="Times New Roman" w:eastAsia="Times New Roman" w:cs="Times New Roman"/>
          <w:spacing w:val="5"/>
          <w:sz w:val="25"/>
          <w:szCs w:val="25"/>
        </w:rPr>
        <w:t>”</w:t>
      </w:r>
      <w:r>
        <w:rPr>
          <w:rFonts w:ascii="仿宋" w:hAnsi="仿宋" w:eastAsia="仿宋" w:cs="仿宋"/>
          <w:spacing w:val="5"/>
          <w:sz w:val="25"/>
          <w:szCs w:val="25"/>
        </w:rPr>
        <w:t>硬约束作用，</w:t>
      </w:r>
      <w:r>
        <w:rPr>
          <w:rFonts w:ascii="仿宋" w:hAnsi="仿宋" w:eastAsia="仿宋" w:cs="仿宋"/>
          <w:spacing w:val="8"/>
          <w:sz w:val="25"/>
          <w:szCs w:val="25"/>
        </w:rPr>
        <w:t xml:space="preserve"> </w:t>
      </w:r>
      <w:r>
        <w:rPr>
          <w:rFonts w:ascii="仿宋" w:hAnsi="仿宋" w:eastAsia="仿宋" w:cs="仿宋"/>
          <w:spacing w:val="10"/>
          <w:sz w:val="25"/>
          <w:szCs w:val="25"/>
        </w:rPr>
        <w:t>严格空间管控、总量调控、环境准入，并在落</w:t>
      </w:r>
      <w:r>
        <w:rPr>
          <w:rFonts w:ascii="仿宋" w:hAnsi="仿宋" w:eastAsia="仿宋" w:cs="仿宋"/>
          <w:spacing w:val="9"/>
          <w:sz w:val="25"/>
          <w:szCs w:val="25"/>
        </w:rPr>
        <w:t>实国家、重庆市及黔江区相关法</w:t>
      </w:r>
      <w:r>
        <w:rPr>
          <w:rFonts w:ascii="仿宋" w:hAnsi="仿宋" w:eastAsia="仿宋" w:cs="仿宋"/>
          <w:sz w:val="25"/>
          <w:szCs w:val="25"/>
        </w:rPr>
        <w:t xml:space="preserve"> </w:t>
      </w:r>
      <w:r>
        <w:rPr>
          <w:rFonts w:ascii="仿宋" w:hAnsi="仿宋" w:eastAsia="仿宋" w:cs="仿宋"/>
          <w:spacing w:val="10"/>
          <w:sz w:val="25"/>
          <w:szCs w:val="25"/>
        </w:rPr>
        <w:t>律法规、政策规划和生态保护红线以及规划优</w:t>
      </w:r>
      <w:r>
        <w:rPr>
          <w:rFonts w:ascii="仿宋" w:hAnsi="仿宋" w:eastAsia="仿宋" w:cs="仿宋"/>
          <w:spacing w:val="9"/>
          <w:sz w:val="25"/>
          <w:szCs w:val="25"/>
        </w:rPr>
        <w:t>化调整建议后，可从源头上缓解</w:t>
      </w:r>
    </w:p>
    <w:p w14:paraId="2907F5DE">
      <w:pPr>
        <w:spacing w:line="340" w:lineRule="auto"/>
        <w:rPr>
          <w:rFonts w:ascii="仿宋" w:hAnsi="仿宋" w:eastAsia="仿宋" w:cs="仿宋"/>
          <w:sz w:val="25"/>
          <w:szCs w:val="25"/>
        </w:rPr>
        <w:sectPr>
          <w:headerReference r:id="rId262" w:type="default"/>
          <w:footerReference r:id="rId263" w:type="default"/>
          <w:pgSz w:w="11906" w:h="16839"/>
          <w:pgMar w:top="1116" w:right="1392" w:bottom="866" w:left="1587" w:header="683" w:footer="703" w:gutter="0"/>
          <w:cols w:space="720" w:num="1"/>
        </w:sectPr>
      </w:pPr>
    </w:p>
    <w:p w14:paraId="1C974442">
      <w:pPr>
        <w:pStyle w:val="2"/>
        <w:spacing w:line="385" w:lineRule="auto"/>
      </w:pPr>
    </w:p>
    <w:p w14:paraId="6BBB4E6E">
      <w:pPr>
        <w:spacing w:before="82" w:line="340" w:lineRule="auto"/>
        <w:ind w:left="18" w:right="2" w:firstLine="2"/>
        <w:rPr>
          <w:rFonts w:ascii="仿宋" w:hAnsi="仿宋" w:eastAsia="仿宋" w:cs="仿宋"/>
          <w:sz w:val="25"/>
          <w:szCs w:val="25"/>
        </w:rPr>
      </w:pPr>
      <w:r>
        <w:rPr>
          <w:rFonts w:ascii="仿宋" w:hAnsi="仿宋" w:eastAsia="仿宋" w:cs="仿宋"/>
          <w:spacing w:val="9"/>
          <w:sz w:val="25"/>
          <w:szCs w:val="25"/>
        </w:rPr>
        <w:t>或消除这些影响，环境目标可达。从环境保护角度分析，规划调整方案总体可</w:t>
      </w:r>
      <w:r>
        <w:rPr>
          <w:rFonts w:ascii="仿宋" w:hAnsi="仿宋" w:eastAsia="仿宋" w:cs="仿宋"/>
          <w:spacing w:val="15"/>
          <w:sz w:val="25"/>
          <w:szCs w:val="25"/>
        </w:rPr>
        <w:t xml:space="preserve"> </w:t>
      </w:r>
      <w:r>
        <w:rPr>
          <w:rFonts w:ascii="仿宋" w:hAnsi="仿宋" w:eastAsia="仿宋" w:cs="仿宋"/>
          <w:spacing w:val="-6"/>
          <w:sz w:val="25"/>
          <w:szCs w:val="25"/>
        </w:rPr>
        <w:t>行。</w:t>
      </w:r>
    </w:p>
    <w:p w14:paraId="3767DC3C">
      <w:pPr>
        <w:spacing w:line="340" w:lineRule="auto"/>
        <w:rPr>
          <w:rFonts w:ascii="仿宋" w:hAnsi="仿宋" w:eastAsia="仿宋" w:cs="仿宋"/>
          <w:sz w:val="25"/>
          <w:szCs w:val="25"/>
        </w:rPr>
        <w:sectPr>
          <w:headerReference r:id="rId264" w:type="default"/>
          <w:footerReference r:id="rId265" w:type="default"/>
          <w:pgSz w:w="11906" w:h="16839"/>
          <w:pgMar w:top="1116" w:right="1474" w:bottom="866" w:left="1587" w:header="683" w:footer="703" w:gutter="0"/>
          <w:cols w:space="720" w:num="1"/>
        </w:sectPr>
      </w:pPr>
    </w:p>
    <w:p w14:paraId="26145016">
      <w:pPr>
        <w:pStyle w:val="2"/>
        <w:spacing w:line="396" w:lineRule="auto"/>
      </w:pPr>
    </w:p>
    <w:p w14:paraId="43D573E7">
      <w:pPr>
        <w:spacing w:before="100" w:line="228" w:lineRule="auto"/>
        <w:ind w:left="3399"/>
        <w:outlineLvl w:val="0"/>
        <w:rPr>
          <w:rFonts w:ascii="仿宋" w:hAnsi="仿宋" w:eastAsia="仿宋" w:cs="仿宋"/>
          <w:sz w:val="31"/>
          <w:szCs w:val="31"/>
        </w:rPr>
      </w:pPr>
      <w:bookmarkStart w:id="55" w:name="bookmark49"/>
      <w:bookmarkEnd w:id="55"/>
      <w:bookmarkStart w:id="56" w:name="bookmark48"/>
      <w:bookmarkEnd w:id="56"/>
      <w:r>
        <w:rPr>
          <w:rFonts w:ascii="Times New Roman" w:hAnsi="Times New Roman" w:eastAsia="Times New Roman" w:cs="Times New Roman"/>
          <w:b/>
          <w:bCs/>
          <w:spacing w:val="-1"/>
          <w:sz w:val="31"/>
          <w:szCs w:val="31"/>
        </w:rPr>
        <w:t>10</w:t>
      </w:r>
      <w:r>
        <w:rPr>
          <w:rFonts w:ascii="Times New Roman" w:hAnsi="Times New Roman" w:eastAsia="Times New Roman" w:cs="Times New Roman"/>
          <w:b/>
          <w:bCs/>
          <w:spacing w:val="19"/>
          <w:sz w:val="31"/>
          <w:szCs w:val="31"/>
        </w:rPr>
        <w:t xml:space="preserve">  </w:t>
      </w:r>
      <w:r>
        <w:rPr>
          <w:rFonts w:ascii="仿宋" w:hAnsi="仿宋" w:eastAsia="仿宋" w:cs="仿宋"/>
          <w:b/>
          <w:bCs/>
          <w:spacing w:val="-1"/>
          <w:sz w:val="31"/>
          <w:szCs w:val="31"/>
        </w:rPr>
        <w:t>附图与附件</w:t>
      </w:r>
    </w:p>
    <w:p w14:paraId="64F4346E">
      <w:pPr>
        <w:spacing w:before="21" w:line="230" w:lineRule="auto"/>
        <w:ind w:left="16"/>
        <w:outlineLvl w:val="1"/>
        <w:rPr>
          <w:rFonts w:ascii="仿宋" w:hAnsi="仿宋" w:eastAsia="仿宋" w:cs="仿宋"/>
          <w:sz w:val="25"/>
          <w:szCs w:val="25"/>
        </w:rPr>
      </w:pPr>
      <w:bookmarkStart w:id="57" w:name="bookmark59"/>
      <w:bookmarkEnd w:id="57"/>
      <w:r>
        <w:rPr>
          <w:rFonts w:ascii="Times New Roman" w:hAnsi="Times New Roman" w:eastAsia="Times New Roman" w:cs="Times New Roman"/>
          <w:b/>
          <w:bCs/>
          <w:spacing w:val="-3"/>
          <w:sz w:val="25"/>
          <w:szCs w:val="25"/>
        </w:rPr>
        <w:t>10.1</w:t>
      </w:r>
      <w:r>
        <w:rPr>
          <w:rFonts w:ascii="Times New Roman" w:hAnsi="Times New Roman" w:eastAsia="Times New Roman" w:cs="Times New Roman"/>
          <w:b/>
          <w:bCs/>
          <w:spacing w:val="36"/>
          <w:sz w:val="25"/>
          <w:szCs w:val="25"/>
        </w:rPr>
        <w:t xml:space="preserve"> </w:t>
      </w:r>
      <w:r>
        <w:rPr>
          <w:rFonts w:ascii="仿宋" w:hAnsi="仿宋" w:eastAsia="仿宋" w:cs="仿宋"/>
          <w:b/>
          <w:bCs/>
          <w:spacing w:val="-3"/>
          <w:sz w:val="25"/>
          <w:szCs w:val="25"/>
        </w:rPr>
        <w:t>附图</w:t>
      </w:r>
    </w:p>
    <w:p w14:paraId="4AEBDC72">
      <w:pPr>
        <w:spacing w:before="129" w:line="228" w:lineRule="auto"/>
        <w:ind w:left="548"/>
        <w:rPr>
          <w:rFonts w:ascii="仿宋" w:hAnsi="仿宋" w:eastAsia="仿宋" w:cs="仿宋"/>
          <w:sz w:val="25"/>
          <w:szCs w:val="25"/>
        </w:rPr>
      </w:pPr>
      <w:r>
        <w:rPr>
          <w:rFonts w:ascii="仿宋" w:hAnsi="仿宋" w:eastAsia="仿宋" w:cs="仿宋"/>
          <w:spacing w:val="3"/>
          <w:sz w:val="25"/>
          <w:szCs w:val="25"/>
        </w:rPr>
        <w:t>附图</w:t>
      </w:r>
      <w:r>
        <w:rPr>
          <w:rFonts w:ascii="仿宋" w:hAnsi="仿宋" w:eastAsia="仿宋" w:cs="仿宋"/>
          <w:spacing w:val="-19"/>
          <w:sz w:val="25"/>
          <w:szCs w:val="25"/>
        </w:rPr>
        <w:t xml:space="preserve"> </w:t>
      </w:r>
      <w:r>
        <w:rPr>
          <w:rFonts w:ascii="Times New Roman" w:hAnsi="Times New Roman" w:eastAsia="Times New Roman" w:cs="Times New Roman"/>
          <w:spacing w:val="3"/>
          <w:sz w:val="25"/>
          <w:szCs w:val="25"/>
        </w:rPr>
        <w:t xml:space="preserve">1-1  </w:t>
      </w:r>
      <w:r>
        <w:rPr>
          <w:rFonts w:ascii="仿宋" w:hAnsi="仿宋" w:eastAsia="仿宋" w:cs="仿宋"/>
          <w:spacing w:val="3"/>
          <w:sz w:val="25"/>
          <w:szCs w:val="25"/>
        </w:rPr>
        <w:t>黔江区行政区划图</w:t>
      </w:r>
    </w:p>
    <w:p w14:paraId="17CD157D">
      <w:pPr>
        <w:spacing w:before="153" w:line="228" w:lineRule="auto"/>
        <w:ind w:left="548"/>
        <w:rPr>
          <w:rFonts w:ascii="仿宋" w:hAnsi="仿宋" w:eastAsia="仿宋" w:cs="仿宋"/>
          <w:sz w:val="25"/>
          <w:szCs w:val="25"/>
        </w:rPr>
      </w:pPr>
      <w:r>
        <w:rPr>
          <w:rFonts w:ascii="仿宋" w:hAnsi="仿宋" w:eastAsia="仿宋" w:cs="仿宋"/>
          <w:spacing w:val="7"/>
          <w:sz w:val="25"/>
          <w:szCs w:val="25"/>
        </w:rPr>
        <w:t>附图</w:t>
      </w:r>
      <w:r>
        <w:rPr>
          <w:rFonts w:ascii="仿宋" w:hAnsi="仿宋" w:eastAsia="仿宋" w:cs="仿宋"/>
          <w:spacing w:val="-28"/>
          <w:sz w:val="25"/>
          <w:szCs w:val="25"/>
        </w:rPr>
        <w:t xml:space="preserve"> </w:t>
      </w:r>
      <w:r>
        <w:rPr>
          <w:rFonts w:ascii="Times New Roman" w:hAnsi="Times New Roman" w:eastAsia="Times New Roman" w:cs="Times New Roman"/>
          <w:spacing w:val="7"/>
          <w:sz w:val="25"/>
          <w:szCs w:val="25"/>
        </w:rPr>
        <w:t xml:space="preserve">1-2  </w:t>
      </w:r>
      <w:r>
        <w:rPr>
          <w:rFonts w:ascii="仿宋" w:hAnsi="仿宋" w:eastAsia="仿宋" w:cs="仿宋"/>
          <w:spacing w:val="7"/>
          <w:sz w:val="25"/>
          <w:szCs w:val="25"/>
        </w:rPr>
        <w:t>黔江区环境空气功能区划示意图（叠</w:t>
      </w:r>
      <w:r>
        <w:rPr>
          <w:rFonts w:ascii="仿宋" w:hAnsi="仿宋" w:eastAsia="仿宋" w:cs="仿宋"/>
          <w:spacing w:val="6"/>
          <w:sz w:val="25"/>
          <w:szCs w:val="25"/>
        </w:rPr>
        <w:t>加大气环境监测点）</w:t>
      </w:r>
    </w:p>
    <w:p w14:paraId="0F008F01">
      <w:pPr>
        <w:spacing w:before="151" w:line="339" w:lineRule="auto"/>
        <w:ind w:left="27" w:firstLine="520"/>
        <w:rPr>
          <w:rFonts w:ascii="仿宋" w:hAnsi="仿宋" w:eastAsia="仿宋" w:cs="仿宋"/>
          <w:sz w:val="25"/>
          <w:szCs w:val="25"/>
        </w:rPr>
      </w:pPr>
      <w:r>
        <w:rPr>
          <w:rFonts w:ascii="仿宋" w:hAnsi="仿宋" w:eastAsia="仿宋" w:cs="仿宋"/>
          <w:spacing w:val="2"/>
          <w:sz w:val="25"/>
          <w:szCs w:val="25"/>
        </w:rPr>
        <w:t>附图</w:t>
      </w:r>
      <w:r>
        <w:rPr>
          <w:rFonts w:ascii="仿宋" w:hAnsi="仿宋" w:eastAsia="仿宋" w:cs="仿宋"/>
          <w:spacing w:val="-28"/>
          <w:sz w:val="25"/>
          <w:szCs w:val="25"/>
        </w:rPr>
        <w:t xml:space="preserve"> </w:t>
      </w:r>
      <w:r>
        <w:rPr>
          <w:rFonts w:ascii="Times New Roman" w:hAnsi="Times New Roman" w:eastAsia="Times New Roman" w:cs="Times New Roman"/>
          <w:spacing w:val="2"/>
          <w:sz w:val="25"/>
          <w:szCs w:val="25"/>
        </w:rPr>
        <w:t xml:space="preserve">1-3  </w:t>
      </w:r>
      <w:r>
        <w:rPr>
          <w:rFonts w:ascii="仿宋" w:hAnsi="仿宋" w:eastAsia="仿宋" w:cs="仿宋"/>
          <w:spacing w:val="2"/>
          <w:sz w:val="25"/>
          <w:szCs w:val="25"/>
        </w:rPr>
        <w:t>黔江区地表水环境功能区划示意图（叠加地表水、地下水、土壤、</w:t>
      </w:r>
      <w:r>
        <w:rPr>
          <w:rFonts w:ascii="仿宋" w:hAnsi="仿宋" w:eastAsia="仿宋" w:cs="仿宋"/>
          <w:sz w:val="25"/>
          <w:szCs w:val="25"/>
        </w:rPr>
        <w:t xml:space="preserve"> </w:t>
      </w:r>
      <w:r>
        <w:rPr>
          <w:rFonts w:ascii="仿宋" w:hAnsi="仿宋" w:eastAsia="仿宋" w:cs="仿宋"/>
          <w:spacing w:val="3"/>
          <w:sz w:val="25"/>
          <w:szCs w:val="25"/>
        </w:rPr>
        <w:t>噪声监测点）</w:t>
      </w:r>
    </w:p>
    <w:p w14:paraId="3D02D1E5">
      <w:pPr>
        <w:spacing w:before="2" w:line="229" w:lineRule="auto"/>
        <w:ind w:left="548"/>
        <w:rPr>
          <w:rFonts w:ascii="仿宋" w:hAnsi="仿宋" w:eastAsia="仿宋" w:cs="仿宋"/>
          <w:sz w:val="25"/>
          <w:szCs w:val="25"/>
        </w:rPr>
      </w:pPr>
      <w:r>
        <w:rPr>
          <w:rFonts w:ascii="仿宋" w:hAnsi="仿宋" w:eastAsia="仿宋" w:cs="仿宋"/>
          <w:spacing w:val="6"/>
          <w:sz w:val="25"/>
          <w:szCs w:val="25"/>
        </w:rPr>
        <w:t>附图</w:t>
      </w:r>
      <w:r>
        <w:rPr>
          <w:rFonts w:ascii="仿宋" w:hAnsi="仿宋" w:eastAsia="仿宋" w:cs="仿宋"/>
          <w:spacing w:val="-34"/>
          <w:sz w:val="25"/>
          <w:szCs w:val="25"/>
        </w:rPr>
        <w:t xml:space="preserve"> </w:t>
      </w:r>
      <w:r>
        <w:rPr>
          <w:rFonts w:ascii="Times New Roman" w:hAnsi="Times New Roman" w:eastAsia="Times New Roman" w:cs="Times New Roman"/>
          <w:spacing w:val="6"/>
          <w:sz w:val="25"/>
          <w:szCs w:val="25"/>
        </w:rPr>
        <w:t xml:space="preserve">2-1  </w:t>
      </w:r>
      <w:r>
        <w:rPr>
          <w:rFonts w:ascii="仿宋" w:hAnsi="仿宋" w:eastAsia="仿宋" w:cs="仿宋"/>
          <w:spacing w:val="6"/>
          <w:sz w:val="25"/>
          <w:szCs w:val="25"/>
        </w:rPr>
        <w:t>本次评价的勘查区块和开采区块图</w:t>
      </w:r>
    </w:p>
    <w:p w14:paraId="2EE4C3FB">
      <w:pPr>
        <w:spacing w:before="150" w:line="229" w:lineRule="auto"/>
        <w:ind w:left="548"/>
        <w:rPr>
          <w:rFonts w:ascii="仿宋" w:hAnsi="仿宋" w:eastAsia="仿宋" w:cs="仿宋"/>
          <w:sz w:val="25"/>
          <w:szCs w:val="25"/>
        </w:rPr>
      </w:pPr>
      <w:r>
        <w:rPr>
          <w:rFonts w:ascii="仿宋" w:hAnsi="仿宋" w:eastAsia="仿宋" w:cs="仿宋"/>
          <w:spacing w:val="6"/>
          <w:sz w:val="25"/>
          <w:szCs w:val="25"/>
        </w:rPr>
        <w:t>附图</w:t>
      </w:r>
      <w:r>
        <w:rPr>
          <w:rFonts w:ascii="仿宋" w:hAnsi="仿宋" w:eastAsia="仿宋" w:cs="仿宋"/>
          <w:spacing w:val="-40"/>
          <w:sz w:val="25"/>
          <w:szCs w:val="25"/>
        </w:rPr>
        <w:t xml:space="preserve"> </w:t>
      </w:r>
      <w:r>
        <w:rPr>
          <w:rFonts w:ascii="Times New Roman" w:hAnsi="Times New Roman" w:eastAsia="Times New Roman" w:cs="Times New Roman"/>
          <w:spacing w:val="6"/>
          <w:sz w:val="25"/>
          <w:szCs w:val="25"/>
        </w:rPr>
        <w:t xml:space="preserve">2-2  </w:t>
      </w:r>
      <w:r>
        <w:rPr>
          <w:rFonts w:ascii="仿宋" w:hAnsi="仿宋" w:eastAsia="仿宋" w:cs="仿宋"/>
          <w:spacing w:val="6"/>
          <w:sz w:val="25"/>
          <w:szCs w:val="25"/>
        </w:rPr>
        <w:t>黔江区矿产资源勘查开采规划图</w:t>
      </w:r>
    </w:p>
    <w:p w14:paraId="05F2E0AC">
      <w:pPr>
        <w:spacing w:before="148" w:line="228" w:lineRule="auto"/>
        <w:ind w:left="548"/>
        <w:rPr>
          <w:rFonts w:ascii="仿宋" w:hAnsi="仿宋" w:eastAsia="仿宋" w:cs="仿宋"/>
          <w:sz w:val="25"/>
          <w:szCs w:val="25"/>
        </w:rPr>
      </w:pPr>
      <w:r>
        <w:rPr>
          <w:rFonts w:ascii="仿宋" w:hAnsi="仿宋" w:eastAsia="仿宋" w:cs="仿宋"/>
          <w:spacing w:val="5"/>
          <w:sz w:val="25"/>
          <w:szCs w:val="25"/>
        </w:rPr>
        <w:t>附图</w:t>
      </w:r>
      <w:r>
        <w:rPr>
          <w:rFonts w:ascii="仿宋" w:hAnsi="仿宋" w:eastAsia="仿宋" w:cs="仿宋"/>
          <w:spacing w:val="-38"/>
          <w:sz w:val="25"/>
          <w:szCs w:val="25"/>
        </w:rPr>
        <w:t xml:space="preserve"> </w:t>
      </w:r>
      <w:r>
        <w:rPr>
          <w:rFonts w:ascii="Times New Roman" w:hAnsi="Times New Roman" w:eastAsia="Times New Roman" w:cs="Times New Roman"/>
          <w:spacing w:val="5"/>
          <w:sz w:val="25"/>
          <w:szCs w:val="25"/>
        </w:rPr>
        <w:t xml:space="preserve">2-3  </w:t>
      </w:r>
      <w:r>
        <w:rPr>
          <w:rFonts w:ascii="仿宋" w:hAnsi="仿宋" w:eastAsia="仿宋" w:cs="仿宋"/>
          <w:spacing w:val="5"/>
          <w:sz w:val="25"/>
          <w:szCs w:val="25"/>
        </w:rPr>
        <w:t>黔江区环境管控单元图</w:t>
      </w:r>
    </w:p>
    <w:p w14:paraId="00B562BD">
      <w:pPr>
        <w:spacing w:before="152" w:line="230" w:lineRule="auto"/>
        <w:ind w:left="548"/>
        <w:rPr>
          <w:rFonts w:ascii="仿宋" w:hAnsi="仿宋" w:eastAsia="仿宋" w:cs="仿宋"/>
          <w:sz w:val="25"/>
          <w:szCs w:val="25"/>
        </w:rPr>
      </w:pPr>
      <w:r>
        <w:rPr>
          <w:rFonts w:ascii="仿宋" w:hAnsi="仿宋" w:eastAsia="仿宋" w:cs="仿宋"/>
          <w:spacing w:val="5"/>
          <w:sz w:val="25"/>
          <w:szCs w:val="25"/>
        </w:rPr>
        <w:t>附图</w:t>
      </w:r>
      <w:r>
        <w:rPr>
          <w:rFonts w:ascii="仿宋" w:hAnsi="仿宋" w:eastAsia="仿宋" w:cs="仿宋"/>
          <w:spacing w:val="-38"/>
          <w:sz w:val="25"/>
          <w:szCs w:val="25"/>
        </w:rPr>
        <w:t xml:space="preserve"> </w:t>
      </w:r>
      <w:r>
        <w:rPr>
          <w:rFonts w:ascii="Times New Roman" w:hAnsi="Times New Roman" w:eastAsia="Times New Roman" w:cs="Times New Roman"/>
          <w:spacing w:val="5"/>
          <w:sz w:val="25"/>
          <w:szCs w:val="25"/>
        </w:rPr>
        <w:t xml:space="preserve">3-1  </w:t>
      </w:r>
      <w:r>
        <w:rPr>
          <w:rFonts w:ascii="仿宋" w:hAnsi="仿宋" w:eastAsia="仿宋" w:cs="仿宋"/>
          <w:spacing w:val="5"/>
          <w:sz w:val="25"/>
          <w:szCs w:val="25"/>
        </w:rPr>
        <w:t>黔江区区域地质构造图</w:t>
      </w:r>
    </w:p>
    <w:p w14:paraId="69D5B51F">
      <w:pPr>
        <w:spacing w:before="150" w:line="227" w:lineRule="auto"/>
        <w:ind w:left="548"/>
        <w:rPr>
          <w:rFonts w:ascii="仿宋" w:hAnsi="仿宋" w:eastAsia="仿宋" w:cs="仿宋"/>
          <w:sz w:val="25"/>
          <w:szCs w:val="25"/>
        </w:rPr>
      </w:pPr>
      <w:r>
        <w:rPr>
          <w:rFonts w:ascii="仿宋" w:hAnsi="仿宋" w:eastAsia="仿宋" w:cs="仿宋"/>
          <w:spacing w:val="7"/>
          <w:sz w:val="25"/>
          <w:szCs w:val="25"/>
        </w:rPr>
        <w:t>附图</w:t>
      </w:r>
      <w:r>
        <w:rPr>
          <w:rFonts w:ascii="仿宋" w:hAnsi="仿宋" w:eastAsia="仿宋" w:cs="仿宋"/>
          <w:spacing w:val="-47"/>
          <w:sz w:val="25"/>
          <w:szCs w:val="25"/>
        </w:rPr>
        <w:t xml:space="preserve"> </w:t>
      </w:r>
      <w:r>
        <w:rPr>
          <w:rFonts w:ascii="Times New Roman" w:hAnsi="Times New Roman" w:eastAsia="Times New Roman" w:cs="Times New Roman"/>
          <w:spacing w:val="7"/>
          <w:sz w:val="25"/>
          <w:szCs w:val="25"/>
        </w:rPr>
        <w:t xml:space="preserve">3-2  </w:t>
      </w:r>
      <w:r>
        <w:rPr>
          <w:rFonts w:ascii="仿宋" w:hAnsi="仿宋" w:eastAsia="仿宋" w:cs="仿宋"/>
          <w:spacing w:val="7"/>
          <w:sz w:val="25"/>
          <w:szCs w:val="25"/>
        </w:rPr>
        <w:t>黔江区地质灾害分布及易发</w:t>
      </w:r>
      <w:r>
        <w:rPr>
          <w:rFonts w:ascii="仿宋" w:hAnsi="仿宋" w:eastAsia="仿宋" w:cs="仿宋"/>
          <w:spacing w:val="6"/>
          <w:sz w:val="25"/>
          <w:szCs w:val="25"/>
        </w:rPr>
        <w:t>程度分区图</w:t>
      </w:r>
    </w:p>
    <w:p w14:paraId="0518125D">
      <w:pPr>
        <w:spacing w:before="151" w:line="230" w:lineRule="auto"/>
        <w:ind w:left="548"/>
        <w:rPr>
          <w:rFonts w:ascii="仿宋" w:hAnsi="仿宋" w:eastAsia="仿宋" w:cs="仿宋"/>
          <w:sz w:val="25"/>
          <w:szCs w:val="25"/>
        </w:rPr>
      </w:pPr>
      <w:r>
        <w:rPr>
          <w:rFonts w:ascii="仿宋" w:hAnsi="仿宋" w:eastAsia="仿宋" w:cs="仿宋"/>
          <w:spacing w:val="5"/>
          <w:sz w:val="25"/>
          <w:szCs w:val="25"/>
        </w:rPr>
        <w:t>附图</w:t>
      </w:r>
      <w:r>
        <w:rPr>
          <w:rFonts w:ascii="仿宋" w:hAnsi="仿宋" w:eastAsia="仿宋" w:cs="仿宋"/>
          <w:spacing w:val="-38"/>
          <w:sz w:val="25"/>
          <w:szCs w:val="25"/>
        </w:rPr>
        <w:t xml:space="preserve"> </w:t>
      </w:r>
      <w:r>
        <w:rPr>
          <w:rFonts w:ascii="Times New Roman" w:hAnsi="Times New Roman" w:eastAsia="Times New Roman" w:cs="Times New Roman"/>
          <w:spacing w:val="5"/>
          <w:sz w:val="25"/>
          <w:szCs w:val="25"/>
        </w:rPr>
        <w:t xml:space="preserve">3-3  </w:t>
      </w:r>
      <w:r>
        <w:rPr>
          <w:rFonts w:ascii="仿宋" w:hAnsi="仿宋" w:eastAsia="仿宋" w:cs="仿宋"/>
          <w:spacing w:val="5"/>
          <w:sz w:val="25"/>
          <w:szCs w:val="25"/>
        </w:rPr>
        <w:t>黔江区区域水文地质图</w:t>
      </w:r>
    </w:p>
    <w:p w14:paraId="28E4FE33">
      <w:pPr>
        <w:spacing w:before="149" w:line="229" w:lineRule="auto"/>
        <w:ind w:left="548"/>
        <w:rPr>
          <w:rFonts w:ascii="仿宋" w:hAnsi="仿宋" w:eastAsia="仿宋" w:cs="仿宋"/>
          <w:sz w:val="25"/>
          <w:szCs w:val="25"/>
        </w:rPr>
      </w:pPr>
      <w:r>
        <w:rPr>
          <w:rFonts w:ascii="仿宋" w:hAnsi="仿宋" w:eastAsia="仿宋" w:cs="仿宋"/>
          <w:spacing w:val="5"/>
          <w:sz w:val="25"/>
          <w:szCs w:val="25"/>
        </w:rPr>
        <w:t>附图</w:t>
      </w:r>
      <w:r>
        <w:rPr>
          <w:rFonts w:ascii="仿宋" w:hAnsi="仿宋" w:eastAsia="仿宋" w:cs="仿宋"/>
          <w:spacing w:val="-37"/>
          <w:sz w:val="25"/>
          <w:szCs w:val="25"/>
        </w:rPr>
        <w:t xml:space="preserve"> </w:t>
      </w:r>
      <w:r>
        <w:rPr>
          <w:rFonts w:ascii="Times New Roman" w:hAnsi="Times New Roman" w:eastAsia="Times New Roman" w:cs="Times New Roman"/>
          <w:spacing w:val="5"/>
          <w:sz w:val="25"/>
          <w:szCs w:val="25"/>
        </w:rPr>
        <w:t xml:space="preserve">3-4  </w:t>
      </w:r>
      <w:r>
        <w:rPr>
          <w:rFonts w:ascii="仿宋" w:hAnsi="仿宋" w:eastAsia="仿宋" w:cs="仿宋"/>
          <w:spacing w:val="5"/>
          <w:sz w:val="25"/>
          <w:szCs w:val="25"/>
        </w:rPr>
        <w:t>黔江区旅游资源（景点景区）</w:t>
      </w:r>
      <w:r>
        <w:rPr>
          <w:rFonts w:ascii="仿宋" w:hAnsi="仿宋" w:eastAsia="仿宋" w:cs="仿宋"/>
          <w:spacing w:val="-74"/>
          <w:sz w:val="25"/>
          <w:szCs w:val="25"/>
        </w:rPr>
        <w:t xml:space="preserve"> </w:t>
      </w:r>
      <w:r>
        <w:rPr>
          <w:rFonts w:ascii="仿宋" w:hAnsi="仿宋" w:eastAsia="仿宋" w:cs="仿宋"/>
          <w:spacing w:val="5"/>
          <w:sz w:val="25"/>
          <w:szCs w:val="25"/>
        </w:rPr>
        <w:t>图</w:t>
      </w:r>
    </w:p>
    <w:p w14:paraId="0743FE9F">
      <w:pPr>
        <w:spacing w:before="151" w:line="229" w:lineRule="auto"/>
        <w:ind w:left="548"/>
        <w:rPr>
          <w:rFonts w:ascii="仿宋" w:hAnsi="仿宋" w:eastAsia="仿宋" w:cs="仿宋"/>
          <w:sz w:val="25"/>
          <w:szCs w:val="25"/>
        </w:rPr>
      </w:pPr>
      <w:r>
        <w:rPr>
          <w:rFonts w:ascii="仿宋" w:hAnsi="仿宋" w:eastAsia="仿宋" w:cs="仿宋"/>
          <w:spacing w:val="5"/>
          <w:sz w:val="25"/>
          <w:szCs w:val="25"/>
        </w:rPr>
        <w:t>附图</w:t>
      </w:r>
      <w:r>
        <w:rPr>
          <w:rFonts w:ascii="仿宋" w:hAnsi="仿宋" w:eastAsia="仿宋" w:cs="仿宋"/>
          <w:spacing w:val="-38"/>
          <w:sz w:val="25"/>
          <w:szCs w:val="25"/>
        </w:rPr>
        <w:t xml:space="preserve"> </w:t>
      </w:r>
      <w:r>
        <w:rPr>
          <w:rFonts w:ascii="Times New Roman" w:hAnsi="Times New Roman" w:eastAsia="Times New Roman" w:cs="Times New Roman"/>
          <w:spacing w:val="5"/>
          <w:sz w:val="25"/>
          <w:szCs w:val="25"/>
        </w:rPr>
        <w:t xml:space="preserve">3-5  </w:t>
      </w:r>
      <w:r>
        <w:rPr>
          <w:rFonts w:ascii="仿宋" w:hAnsi="仿宋" w:eastAsia="仿宋" w:cs="仿宋"/>
          <w:spacing w:val="5"/>
          <w:sz w:val="25"/>
          <w:szCs w:val="25"/>
        </w:rPr>
        <w:t>黔江区土地利用现状图</w:t>
      </w:r>
    </w:p>
    <w:p w14:paraId="2E19AA3F">
      <w:pPr>
        <w:spacing w:before="148" w:line="227" w:lineRule="auto"/>
        <w:ind w:left="548"/>
        <w:rPr>
          <w:rFonts w:ascii="仿宋" w:hAnsi="仿宋" w:eastAsia="仿宋" w:cs="仿宋"/>
          <w:sz w:val="25"/>
          <w:szCs w:val="25"/>
        </w:rPr>
      </w:pPr>
      <w:r>
        <w:rPr>
          <w:rFonts w:ascii="仿宋" w:hAnsi="仿宋" w:eastAsia="仿宋" w:cs="仿宋"/>
          <w:spacing w:val="6"/>
          <w:sz w:val="25"/>
          <w:szCs w:val="25"/>
        </w:rPr>
        <w:t>附图</w:t>
      </w:r>
      <w:r>
        <w:rPr>
          <w:rFonts w:ascii="仿宋" w:hAnsi="仿宋" w:eastAsia="仿宋" w:cs="仿宋"/>
          <w:spacing w:val="-43"/>
          <w:sz w:val="25"/>
          <w:szCs w:val="25"/>
        </w:rPr>
        <w:t xml:space="preserve"> </w:t>
      </w:r>
      <w:r>
        <w:rPr>
          <w:rFonts w:ascii="Times New Roman" w:hAnsi="Times New Roman" w:eastAsia="Times New Roman" w:cs="Times New Roman"/>
          <w:spacing w:val="6"/>
          <w:sz w:val="25"/>
          <w:szCs w:val="25"/>
        </w:rPr>
        <w:t xml:space="preserve">3-6  </w:t>
      </w:r>
      <w:r>
        <w:rPr>
          <w:rFonts w:ascii="仿宋" w:hAnsi="仿宋" w:eastAsia="仿宋" w:cs="仿宋"/>
          <w:spacing w:val="6"/>
          <w:sz w:val="25"/>
          <w:szCs w:val="25"/>
        </w:rPr>
        <w:t>黔江区饮用水源保护地分布图</w:t>
      </w:r>
    </w:p>
    <w:p w14:paraId="032AD189">
      <w:pPr>
        <w:spacing w:before="155" w:line="339" w:lineRule="auto"/>
        <w:ind w:left="41" w:right="81" w:firstLine="506"/>
        <w:rPr>
          <w:rFonts w:ascii="仿宋" w:hAnsi="仿宋" w:eastAsia="仿宋" w:cs="仿宋"/>
          <w:sz w:val="25"/>
          <w:szCs w:val="25"/>
        </w:rPr>
      </w:pPr>
      <w:r>
        <w:rPr>
          <w:rFonts w:ascii="仿宋" w:hAnsi="仿宋" w:eastAsia="仿宋" w:cs="仿宋"/>
          <w:spacing w:val="7"/>
          <w:sz w:val="25"/>
          <w:szCs w:val="25"/>
        </w:rPr>
        <w:t>附图</w:t>
      </w:r>
      <w:r>
        <w:rPr>
          <w:rFonts w:ascii="仿宋" w:hAnsi="仿宋" w:eastAsia="仿宋" w:cs="仿宋"/>
          <w:spacing w:val="-33"/>
          <w:sz w:val="25"/>
          <w:szCs w:val="25"/>
        </w:rPr>
        <w:t xml:space="preserve"> </w:t>
      </w:r>
      <w:r>
        <w:rPr>
          <w:rFonts w:ascii="Times New Roman" w:hAnsi="Times New Roman" w:eastAsia="Times New Roman" w:cs="Times New Roman"/>
          <w:spacing w:val="7"/>
          <w:sz w:val="25"/>
          <w:szCs w:val="25"/>
        </w:rPr>
        <w:t xml:space="preserve">3-7  </w:t>
      </w:r>
      <w:r>
        <w:rPr>
          <w:rFonts w:ascii="仿宋" w:hAnsi="仿宋" w:eastAsia="仿宋" w:cs="仿宋"/>
          <w:spacing w:val="7"/>
          <w:sz w:val="25"/>
          <w:szCs w:val="25"/>
        </w:rPr>
        <w:t>黔江区规划勘查开采区块与生态保护红线、一般生态空间的关系</w:t>
      </w:r>
      <w:r>
        <w:rPr>
          <w:rFonts w:ascii="仿宋" w:hAnsi="仿宋" w:eastAsia="仿宋" w:cs="仿宋"/>
          <w:sz w:val="25"/>
          <w:szCs w:val="25"/>
        </w:rPr>
        <w:t xml:space="preserve"> 图</w:t>
      </w:r>
    </w:p>
    <w:p w14:paraId="3BE9D016">
      <w:pPr>
        <w:spacing w:before="1" w:line="229" w:lineRule="auto"/>
        <w:ind w:left="548"/>
        <w:rPr>
          <w:rFonts w:ascii="仿宋" w:hAnsi="仿宋" w:eastAsia="仿宋" w:cs="仿宋"/>
          <w:sz w:val="25"/>
          <w:szCs w:val="25"/>
        </w:rPr>
      </w:pPr>
      <w:r>
        <w:rPr>
          <w:rFonts w:ascii="仿宋" w:hAnsi="仿宋" w:eastAsia="仿宋" w:cs="仿宋"/>
          <w:spacing w:val="5"/>
          <w:sz w:val="25"/>
          <w:szCs w:val="25"/>
        </w:rPr>
        <w:t>附图</w:t>
      </w:r>
      <w:r>
        <w:rPr>
          <w:rFonts w:ascii="仿宋" w:hAnsi="仿宋" w:eastAsia="仿宋" w:cs="仿宋"/>
          <w:spacing w:val="-38"/>
          <w:sz w:val="25"/>
          <w:szCs w:val="25"/>
        </w:rPr>
        <w:t xml:space="preserve"> </w:t>
      </w:r>
      <w:r>
        <w:rPr>
          <w:rFonts w:ascii="Times New Roman" w:hAnsi="Times New Roman" w:eastAsia="Times New Roman" w:cs="Times New Roman"/>
          <w:spacing w:val="5"/>
          <w:sz w:val="25"/>
          <w:szCs w:val="25"/>
        </w:rPr>
        <w:t xml:space="preserve">3-8  </w:t>
      </w:r>
      <w:r>
        <w:rPr>
          <w:rFonts w:ascii="仿宋" w:hAnsi="仿宋" w:eastAsia="仿宋" w:cs="仿宋"/>
          <w:spacing w:val="5"/>
          <w:sz w:val="25"/>
          <w:szCs w:val="25"/>
        </w:rPr>
        <w:t>黔江区水土流失现状图</w:t>
      </w:r>
    </w:p>
    <w:p w14:paraId="0BB1D515">
      <w:pPr>
        <w:spacing w:before="149" w:line="227" w:lineRule="auto"/>
        <w:ind w:left="548"/>
        <w:rPr>
          <w:rFonts w:ascii="仿宋" w:hAnsi="仿宋" w:eastAsia="仿宋" w:cs="仿宋"/>
          <w:sz w:val="25"/>
          <w:szCs w:val="25"/>
        </w:rPr>
      </w:pPr>
      <w:r>
        <w:rPr>
          <w:rFonts w:ascii="仿宋" w:hAnsi="仿宋" w:eastAsia="仿宋" w:cs="仿宋"/>
          <w:spacing w:val="7"/>
          <w:sz w:val="25"/>
          <w:szCs w:val="25"/>
        </w:rPr>
        <w:t>附图</w:t>
      </w:r>
      <w:r>
        <w:rPr>
          <w:rFonts w:ascii="仿宋" w:hAnsi="仿宋" w:eastAsia="仿宋" w:cs="仿宋"/>
          <w:spacing w:val="-41"/>
          <w:sz w:val="25"/>
          <w:szCs w:val="25"/>
        </w:rPr>
        <w:t xml:space="preserve"> </w:t>
      </w:r>
      <w:r>
        <w:rPr>
          <w:rFonts w:ascii="Times New Roman" w:hAnsi="Times New Roman" w:eastAsia="Times New Roman" w:cs="Times New Roman"/>
          <w:spacing w:val="7"/>
          <w:sz w:val="25"/>
          <w:szCs w:val="25"/>
        </w:rPr>
        <w:t xml:space="preserve">3-9  </w:t>
      </w:r>
      <w:r>
        <w:rPr>
          <w:rFonts w:ascii="仿宋" w:hAnsi="仿宋" w:eastAsia="仿宋" w:cs="仿宋"/>
          <w:spacing w:val="7"/>
          <w:sz w:val="25"/>
          <w:szCs w:val="25"/>
        </w:rPr>
        <w:t>黔江区水土流失重点预防区和重点防治区分布图</w:t>
      </w:r>
    </w:p>
    <w:p w14:paraId="414E05EF">
      <w:pPr>
        <w:spacing w:before="154" w:line="338" w:lineRule="auto"/>
        <w:ind w:left="548" w:right="458"/>
        <w:rPr>
          <w:rFonts w:ascii="仿宋" w:hAnsi="仿宋" w:eastAsia="仿宋" w:cs="仿宋"/>
          <w:sz w:val="25"/>
          <w:szCs w:val="25"/>
        </w:rPr>
      </w:pPr>
      <w:r>
        <w:rPr>
          <w:rFonts w:ascii="仿宋" w:hAnsi="仿宋" w:eastAsia="仿宋" w:cs="仿宋"/>
          <w:spacing w:val="8"/>
          <w:sz w:val="25"/>
          <w:szCs w:val="25"/>
        </w:rPr>
        <w:t>附图</w:t>
      </w:r>
      <w:r>
        <w:rPr>
          <w:rFonts w:ascii="仿宋" w:hAnsi="仿宋" w:eastAsia="仿宋" w:cs="仿宋"/>
          <w:spacing w:val="-47"/>
          <w:sz w:val="25"/>
          <w:szCs w:val="25"/>
        </w:rPr>
        <w:t xml:space="preserve"> </w:t>
      </w:r>
      <w:r>
        <w:rPr>
          <w:rFonts w:ascii="Times New Roman" w:hAnsi="Times New Roman" w:eastAsia="Times New Roman" w:cs="Times New Roman"/>
          <w:spacing w:val="8"/>
          <w:sz w:val="25"/>
          <w:szCs w:val="25"/>
        </w:rPr>
        <w:t xml:space="preserve">3-10  </w:t>
      </w:r>
      <w:r>
        <w:rPr>
          <w:rFonts w:ascii="仿宋" w:hAnsi="仿宋" w:eastAsia="仿宋" w:cs="仿宋"/>
          <w:spacing w:val="8"/>
          <w:sz w:val="25"/>
          <w:szCs w:val="25"/>
        </w:rPr>
        <w:t>本次评价的勘查区块、开采</w:t>
      </w:r>
      <w:r>
        <w:rPr>
          <w:rFonts w:ascii="仿宋" w:hAnsi="仿宋" w:eastAsia="仿宋" w:cs="仿宋"/>
          <w:spacing w:val="7"/>
          <w:sz w:val="25"/>
          <w:szCs w:val="25"/>
        </w:rPr>
        <w:t>区块与重要环境敏感区的关系图</w:t>
      </w:r>
      <w:r>
        <w:rPr>
          <w:rFonts w:ascii="仿宋" w:hAnsi="仿宋" w:eastAsia="仿宋" w:cs="仿宋"/>
          <w:sz w:val="25"/>
          <w:szCs w:val="25"/>
        </w:rPr>
        <w:t xml:space="preserve"> </w:t>
      </w:r>
      <w:r>
        <w:rPr>
          <w:rFonts w:ascii="仿宋" w:hAnsi="仿宋" w:eastAsia="仿宋" w:cs="仿宋"/>
          <w:spacing w:val="7"/>
          <w:sz w:val="25"/>
          <w:szCs w:val="25"/>
        </w:rPr>
        <w:t>附图</w:t>
      </w:r>
      <w:r>
        <w:rPr>
          <w:rFonts w:ascii="仿宋" w:hAnsi="仿宋" w:eastAsia="仿宋" w:cs="仿宋"/>
          <w:spacing w:val="-36"/>
          <w:sz w:val="25"/>
          <w:szCs w:val="25"/>
        </w:rPr>
        <w:t xml:space="preserve"> </w:t>
      </w:r>
      <w:r>
        <w:rPr>
          <w:rFonts w:ascii="Times New Roman" w:hAnsi="Times New Roman" w:eastAsia="Times New Roman" w:cs="Times New Roman"/>
          <w:spacing w:val="7"/>
          <w:sz w:val="25"/>
          <w:szCs w:val="25"/>
        </w:rPr>
        <w:t xml:space="preserve">5-1  </w:t>
      </w:r>
      <w:r>
        <w:rPr>
          <w:rFonts w:ascii="仿宋" w:hAnsi="仿宋" w:eastAsia="仿宋" w:cs="仿宋"/>
          <w:spacing w:val="7"/>
          <w:sz w:val="25"/>
          <w:szCs w:val="25"/>
        </w:rPr>
        <w:t>本次评价勘查区块、开采区块与古树名木的关系图</w:t>
      </w:r>
    </w:p>
    <w:p w14:paraId="00035652">
      <w:pPr>
        <w:spacing w:before="4" w:line="229" w:lineRule="auto"/>
        <w:ind w:left="548"/>
        <w:rPr>
          <w:rFonts w:ascii="仿宋" w:hAnsi="仿宋" w:eastAsia="仿宋" w:cs="仿宋"/>
          <w:sz w:val="25"/>
          <w:szCs w:val="25"/>
        </w:rPr>
      </w:pPr>
      <w:r>
        <w:rPr>
          <w:rFonts w:ascii="仿宋" w:hAnsi="仿宋" w:eastAsia="仿宋" w:cs="仿宋"/>
          <w:spacing w:val="7"/>
          <w:sz w:val="25"/>
          <w:szCs w:val="25"/>
        </w:rPr>
        <w:t>附图</w:t>
      </w:r>
      <w:r>
        <w:rPr>
          <w:rFonts w:ascii="仿宋" w:hAnsi="仿宋" w:eastAsia="仿宋" w:cs="仿宋"/>
          <w:spacing w:val="-41"/>
          <w:sz w:val="25"/>
          <w:szCs w:val="25"/>
        </w:rPr>
        <w:t xml:space="preserve"> </w:t>
      </w:r>
      <w:r>
        <w:rPr>
          <w:rFonts w:ascii="Times New Roman" w:hAnsi="Times New Roman" w:eastAsia="Times New Roman" w:cs="Times New Roman"/>
          <w:spacing w:val="7"/>
          <w:sz w:val="25"/>
          <w:szCs w:val="25"/>
        </w:rPr>
        <w:t xml:space="preserve">5-2  </w:t>
      </w:r>
      <w:r>
        <w:rPr>
          <w:rFonts w:ascii="仿宋" w:hAnsi="仿宋" w:eastAsia="仿宋" w:cs="仿宋"/>
          <w:spacing w:val="7"/>
          <w:sz w:val="25"/>
          <w:szCs w:val="25"/>
        </w:rPr>
        <w:t>本次评价规划区块与综合交通规划的关系示意图</w:t>
      </w:r>
    </w:p>
    <w:p w14:paraId="66BB9BE7">
      <w:pPr>
        <w:spacing w:before="150" w:line="229" w:lineRule="auto"/>
        <w:ind w:left="548"/>
        <w:rPr>
          <w:rFonts w:ascii="仿宋" w:hAnsi="仿宋" w:eastAsia="仿宋" w:cs="仿宋"/>
          <w:sz w:val="25"/>
          <w:szCs w:val="25"/>
        </w:rPr>
      </w:pPr>
      <w:r>
        <w:rPr>
          <w:rFonts w:ascii="仿宋" w:hAnsi="仿宋" w:eastAsia="仿宋" w:cs="仿宋"/>
          <w:spacing w:val="7"/>
          <w:sz w:val="25"/>
          <w:szCs w:val="25"/>
        </w:rPr>
        <w:t>附图</w:t>
      </w:r>
      <w:r>
        <w:rPr>
          <w:rFonts w:ascii="仿宋" w:hAnsi="仿宋" w:eastAsia="仿宋" w:cs="仿宋"/>
          <w:spacing w:val="-36"/>
          <w:sz w:val="25"/>
          <w:szCs w:val="25"/>
        </w:rPr>
        <w:t xml:space="preserve"> </w:t>
      </w:r>
      <w:r>
        <w:rPr>
          <w:rFonts w:ascii="Times New Roman" w:hAnsi="Times New Roman" w:eastAsia="Times New Roman" w:cs="Times New Roman"/>
          <w:spacing w:val="7"/>
          <w:sz w:val="25"/>
          <w:szCs w:val="25"/>
        </w:rPr>
        <w:t xml:space="preserve">5-3  </w:t>
      </w:r>
      <w:r>
        <w:rPr>
          <w:rFonts w:ascii="仿宋" w:hAnsi="仿宋" w:eastAsia="仿宋" w:cs="仿宋"/>
          <w:spacing w:val="7"/>
          <w:sz w:val="25"/>
          <w:szCs w:val="25"/>
        </w:rPr>
        <w:t>黔江区规划勘查开采区块与黔江区公益林的关系图</w:t>
      </w:r>
    </w:p>
    <w:p w14:paraId="185151D3">
      <w:pPr>
        <w:spacing w:before="149" w:line="229" w:lineRule="auto"/>
        <w:ind w:left="548"/>
        <w:rPr>
          <w:rFonts w:ascii="仿宋" w:hAnsi="仿宋" w:eastAsia="仿宋" w:cs="仿宋"/>
          <w:sz w:val="25"/>
          <w:szCs w:val="25"/>
        </w:rPr>
      </w:pPr>
      <w:r>
        <w:rPr>
          <w:rFonts w:ascii="仿宋" w:hAnsi="仿宋" w:eastAsia="仿宋" w:cs="仿宋"/>
          <w:spacing w:val="7"/>
          <w:sz w:val="25"/>
          <w:szCs w:val="25"/>
        </w:rPr>
        <w:t>附图</w:t>
      </w:r>
      <w:r>
        <w:rPr>
          <w:rFonts w:ascii="仿宋" w:hAnsi="仿宋" w:eastAsia="仿宋" w:cs="仿宋"/>
          <w:spacing w:val="-36"/>
          <w:sz w:val="25"/>
          <w:szCs w:val="25"/>
        </w:rPr>
        <w:t xml:space="preserve"> </w:t>
      </w:r>
      <w:r>
        <w:rPr>
          <w:rFonts w:ascii="Times New Roman" w:hAnsi="Times New Roman" w:eastAsia="Times New Roman" w:cs="Times New Roman"/>
          <w:spacing w:val="7"/>
          <w:sz w:val="25"/>
          <w:szCs w:val="25"/>
        </w:rPr>
        <w:t xml:space="preserve">5-4  </w:t>
      </w:r>
      <w:r>
        <w:rPr>
          <w:rFonts w:ascii="仿宋" w:hAnsi="仿宋" w:eastAsia="仿宋" w:cs="仿宋"/>
          <w:spacing w:val="7"/>
          <w:sz w:val="25"/>
          <w:szCs w:val="25"/>
        </w:rPr>
        <w:t>黔江区规划勘查开采区块与城镇开发边界的关系图</w:t>
      </w:r>
    </w:p>
    <w:p w14:paraId="2C7CFDD2">
      <w:pPr>
        <w:spacing w:before="150" w:line="229" w:lineRule="auto"/>
        <w:ind w:left="548"/>
        <w:rPr>
          <w:rFonts w:ascii="仿宋" w:hAnsi="仿宋" w:eastAsia="仿宋" w:cs="仿宋"/>
          <w:sz w:val="25"/>
          <w:szCs w:val="25"/>
        </w:rPr>
      </w:pPr>
      <w:r>
        <w:rPr>
          <w:rFonts w:ascii="仿宋" w:hAnsi="仿宋" w:eastAsia="仿宋" w:cs="仿宋"/>
          <w:spacing w:val="7"/>
          <w:sz w:val="25"/>
          <w:szCs w:val="25"/>
        </w:rPr>
        <w:t>附图</w:t>
      </w:r>
      <w:r>
        <w:rPr>
          <w:rFonts w:ascii="仿宋" w:hAnsi="仿宋" w:eastAsia="仿宋" w:cs="仿宋"/>
          <w:spacing w:val="-36"/>
          <w:sz w:val="25"/>
          <w:szCs w:val="25"/>
        </w:rPr>
        <w:t xml:space="preserve"> </w:t>
      </w:r>
      <w:r>
        <w:rPr>
          <w:rFonts w:ascii="Times New Roman" w:hAnsi="Times New Roman" w:eastAsia="Times New Roman" w:cs="Times New Roman"/>
          <w:spacing w:val="7"/>
          <w:sz w:val="25"/>
          <w:szCs w:val="25"/>
        </w:rPr>
        <w:t xml:space="preserve">5-5  </w:t>
      </w:r>
      <w:r>
        <w:rPr>
          <w:rFonts w:ascii="仿宋" w:hAnsi="仿宋" w:eastAsia="仿宋" w:cs="仿宋"/>
          <w:spacing w:val="7"/>
          <w:sz w:val="25"/>
          <w:szCs w:val="25"/>
        </w:rPr>
        <w:t>黔江区规划勘查开采区块与永久基本农田的关系图</w:t>
      </w:r>
    </w:p>
    <w:p w14:paraId="2B41EF2B">
      <w:pPr>
        <w:spacing w:before="151" w:line="229" w:lineRule="auto"/>
        <w:ind w:left="548"/>
        <w:rPr>
          <w:rFonts w:ascii="仿宋" w:hAnsi="仿宋" w:eastAsia="仿宋" w:cs="仿宋"/>
          <w:sz w:val="25"/>
          <w:szCs w:val="25"/>
        </w:rPr>
      </w:pPr>
      <w:r>
        <w:rPr>
          <w:rFonts w:ascii="仿宋" w:hAnsi="仿宋" w:eastAsia="仿宋" w:cs="仿宋"/>
          <w:spacing w:val="6"/>
          <w:sz w:val="25"/>
          <w:szCs w:val="25"/>
        </w:rPr>
        <w:t>附图</w:t>
      </w:r>
      <w:r>
        <w:rPr>
          <w:rFonts w:ascii="仿宋" w:hAnsi="仿宋" w:eastAsia="仿宋" w:cs="仿宋"/>
          <w:spacing w:val="-43"/>
          <w:sz w:val="25"/>
          <w:szCs w:val="25"/>
        </w:rPr>
        <w:t xml:space="preserve"> </w:t>
      </w:r>
      <w:r>
        <w:rPr>
          <w:rFonts w:ascii="Times New Roman" w:hAnsi="Times New Roman" w:eastAsia="Times New Roman" w:cs="Times New Roman"/>
          <w:spacing w:val="6"/>
          <w:sz w:val="25"/>
          <w:szCs w:val="25"/>
        </w:rPr>
        <w:t xml:space="preserve">6-1  </w:t>
      </w:r>
      <w:r>
        <w:rPr>
          <w:rFonts w:ascii="仿宋" w:hAnsi="仿宋" w:eastAsia="仿宋" w:cs="仿宋"/>
          <w:spacing w:val="6"/>
          <w:sz w:val="25"/>
          <w:szCs w:val="25"/>
        </w:rPr>
        <w:t>规划调整区块优化调整建议图</w:t>
      </w:r>
    </w:p>
    <w:p w14:paraId="3636B98F">
      <w:pPr>
        <w:spacing w:before="148" w:line="229" w:lineRule="auto"/>
        <w:ind w:left="16"/>
        <w:outlineLvl w:val="1"/>
        <w:rPr>
          <w:rFonts w:ascii="仿宋" w:hAnsi="仿宋" w:eastAsia="仿宋" w:cs="仿宋"/>
          <w:sz w:val="25"/>
          <w:szCs w:val="25"/>
        </w:rPr>
      </w:pPr>
      <w:bookmarkStart w:id="58" w:name="bookmark50"/>
      <w:bookmarkEnd w:id="58"/>
      <w:r>
        <w:rPr>
          <w:rFonts w:ascii="Times New Roman" w:hAnsi="Times New Roman" w:eastAsia="Times New Roman" w:cs="Times New Roman"/>
          <w:b/>
          <w:bCs/>
          <w:spacing w:val="-3"/>
          <w:sz w:val="25"/>
          <w:szCs w:val="25"/>
        </w:rPr>
        <w:t>10.2</w:t>
      </w:r>
      <w:r>
        <w:rPr>
          <w:rFonts w:ascii="Times New Roman" w:hAnsi="Times New Roman" w:eastAsia="Times New Roman" w:cs="Times New Roman"/>
          <w:b/>
          <w:bCs/>
          <w:spacing w:val="36"/>
          <w:sz w:val="25"/>
          <w:szCs w:val="25"/>
        </w:rPr>
        <w:t xml:space="preserve"> </w:t>
      </w:r>
      <w:r>
        <w:rPr>
          <w:rFonts w:ascii="仿宋" w:hAnsi="仿宋" w:eastAsia="仿宋" w:cs="仿宋"/>
          <w:b/>
          <w:bCs/>
          <w:spacing w:val="-3"/>
          <w:sz w:val="25"/>
          <w:szCs w:val="25"/>
        </w:rPr>
        <w:t>附件</w:t>
      </w:r>
    </w:p>
    <w:p w14:paraId="5110309E">
      <w:pPr>
        <w:spacing w:before="151" w:line="229" w:lineRule="auto"/>
        <w:ind w:left="548"/>
        <w:rPr>
          <w:rFonts w:ascii="仿宋" w:hAnsi="仿宋" w:eastAsia="仿宋" w:cs="仿宋"/>
          <w:sz w:val="25"/>
          <w:szCs w:val="25"/>
        </w:rPr>
      </w:pPr>
      <w:r>
        <w:rPr>
          <w:rFonts w:ascii="仿宋" w:hAnsi="仿宋" w:eastAsia="仿宋" w:cs="仿宋"/>
          <w:spacing w:val="5"/>
          <w:sz w:val="25"/>
          <w:szCs w:val="25"/>
        </w:rPr>
        <w:t>附件</w:t>
      </w:r>
      <w:r>
        <w:rPr>
          <w:rFonts w:ascii="仿宋" w:hAnsi="仿宋" w:eastAsia="仿宋" w:cs="仿宋"/>
          <w:spacing w:val="-12"/>
          <w:sz w:val="25"/>
          <w:szCs w:val="25"/>
        </w:rPr>
        <w:t xml:space="preserve"> </w:t>
      </w:r>
      <w:r>
        <w:rPr>
          <w:rFonts w:ascii="Times New Roman" w:hAnsi="Times New Roman" w:eastAsia="Times New Roman" w:cs="Times New Roman"/>
          <w:spacing w:val="5"/>
          <w:sz w:val="25"/>
          <w:szCs w:val="25"/>
        </w:rPr>
        <w:t xml:space="preserve">1  </w:t>
      </w:r>
      <w:r>
        <w:rPr>
          <w:rFonts w:ascii="仿宋" w:hAnsi="仿宋" w:eastAsia="仿宋" w:cs="仿宋"/>
          <w:spacing w:val="5"/>
          <w:sz w:val="25"/>
          <w:szCs w:val="25"/>
        </w:rPr>
        <w:t>重庆市矿产资源总体规划（</w:t>
      </w:r>
      <w:r>
        <w:rPr>
          <w:rFonts w:ascii="Times New Roman" w:hAnsi="Times New Roman" w:eastAsia="Times New Roman" w:cs="Times New Roman"/>
          <w:spacing w:val="5"/>
          <w:sz w:val="25"/>
          <w:szCs w:val="25"/>
        </w:rPr>
        <w:t>2021-2025</w:t>
      </w:r>
      <w:r>
        <w:rPr>
          <w:rFonts w:ascii="Times New Roman" w:hAnsi="Times New Roman" w:eastAsia="Times New Roman" w:cs="Times New Roman"/>
          <w:spacing w:val="25"/>
          <w:sz w:val="25"/>
          <w:szCs w:val="25"/>
        </w:rPr>
        <w:t xml:space="preserve"> </w:t>
      </w:r>
      <w:r>
        <w:rPr>
          <w:rFonts w:ascii="仿宋" w:hAnsi="仿宋" w:eastAsia="仿宋" w:cs="仿宋"/>
          <w:spacing w:val="5"/>
          <w:sz w:val="25"/>
          <w:szCs w:val="25"/>
        </w:rPr>
        <w:t>年）环评审查意见</w:t>
      </w:r>
    </w:p>
    <w:p w14:paraId="0463581A">
      <w:pPr>
        <w:spacing w:before="150" w:line="339" w:lineRule="auto"/>
        <w:ind w:left="36" w:right="131" w:firstLine="511"/>
        <w:rPr>
          <w:rFonts w:ascii="仿宋" w:hAnsi="仿宋" w:eastAsia="仿宋" w:cs="仿宋"/>
          <w:sz w:val="25"/>
          <w:szCs w:val="25"/>
        </w:rPr>
      </w:pPr>
      <w:r>
        <w:rPr>
          <w:rFonts w:ascii="仿宋" w:hAnsi="仿宋" w:eastAsia="仿宋" w:cs="仿宋"/>
          <w:spacing w:val="7"/>
          <w:sz w:val="25"/>
          <w:szCs w:val="25"/>
        </w:rPr>
        <w:t>附件</w:t>
      </w:r>
      <w:r>
        <w:rPr>
          <w:rFonts w:ascii="仿宋" w:hAnsi="仿宋" w:eastAsia="仿宋" w:cs="仿宋"/>
          <w:spacing w:val="-52"/>
          <w:sz w:val="25"/>
          <w:szCs w:val="25"/>
        </w:rPr>
        <w:t xml:space="preserve"> </w:t>
      </w:r>
      <w:r>
        <w:rPr>
          <w:rFonts w:ascii="Times New Roman" w:hAnsi="Times New Roman" w:eastAsia="Times New Roman" w:cs="Times New Roman"/>
          <w:spacing w:val="7"/>
          <w:sz w:val="25"/>
          <w:szCs w:val="25"/>
        </w:rPr>
        <w:t xml:space="preserve">2  </w:t>
      </w:r>
      <w:r>
        <w:rPr>
          <w:rFonts w:ascii="仿宋" w:hAnsi="仿宋" w:eastAsia="仿宋" w:cs="仿宋"/>
          <w:spacing w:val="7"/>
          <w:sz w:val="25"/>
          <w:szCs w:val="25"/>
        </w:rPr>
        <w:t>重庆市黔江区矿产资源总体规划（</w:t>
      </w:r>
      <w:r>
        <w:rPr>
          <w:rFonts w:ascii="Times New Roman" w:hAnsi="Times New Roman" w:eastAsia="Times New Roman" w:cs="Times New Roman"/>
          <w:spacing w:val="7"/>
          <w:sz w:val="25"/>
          <w:szCs w:val="25"/>
        </w:rPr>
        <w:t>2021</w:t>
      </w:r>
      <w:r>
        <w:rPr>
          <w:rFonts w:ascii="Times New Roman" w:hAnsi="Times New Roman" w:eastAsia="Times New Roman" w:cs="Times New Roman"/>
          <w:spacing w:val="6"/>
          <w:sz w:val="25"/>
          <w:szCs w:val="25"/>
        </w:rPr>
        <w:t>-2025</w:t>
      </w:r>
      <w:r>
        <w:rPr>
          <w:rFonts w:ascii="Times New Roman" w:hAnsi="Times New Roman" w:eastAsia="Times New Roman" w:cs="Times New Roman"/>
          <w:spacing w:val="24"/>
          <w:w w:val="101"/>
          <w:sz w:val="25"/>
          <w:szCs w:val="25"/>
        </w:rPr>
        <w:t xml:space="preserve"> </w:t>
      </w:r>
      <w:r>
        <w:rPr>
          <w:rFonts w:ascii="仿宋" w:hAnsi="仿宋" w:eastAsia="仿宋" w:cs="仿宋"/>
          <w:spacing w:val="6"/>
          <w:sz w:val="25"/>
          <w:szCs w:val="25"/>
        </w:rPr>
        <w:t>年）环境影响报告书</w:t>
      </w:r>
      <w:r>
        <w:rPr>
          <w:rFonts w:ascii="仿宋" w:hAnsi="仿宋" w:eastAsia="仿宋" w:cs="仿宋"/>
          <w:sz w:val="25"/>
          <w:szCs w:val="25"/>
        </w:rPr>
        <w:t xml:space="preserve"> 审查意见</w:t>
      </w:r>
    </w:p>
    <w:sectPr>
      <w:headerReference r:id="rId266" w:type="default"/>
      <w:footerReference r:id="rId267" w:type="default"/>
      <w:pgSz w:w="11906" w:h="16839"/>
      <w:pgMar w:top="1116" w:right="1392" w:bottom="866" w:left="1587" w:header="683" w:footer="703"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仿宋_GBK">
    <w:panose1 w:val="03000509000000000000"/>
    <w:charset w:val="86"/>
    <w:family w:val="script"/>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方正黑体_GBK">
    <w:panose1 w:val="03000509000000000000"/>
    <w:charset w:val="86"/>
    <w:family w:val="script"/>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7C68A">
    <w:pPr>
      <w:spacing w:line="176" w:lineRule="auto"/>
      <w:ind w:left="4659"/>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E747E">
    <w:pPr>
      <w:spacing w:line="176" w:lineRule="auto"/>
      <w:ind w:left="4614"/>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10</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AB1F5">
    <w:pPr>
      <w:spacing w:line="176" w:lineRule="auto"/>
      <w:ind w:left="4609"/>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100</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1147">
    <w:pPr>
      <w:spacing w:line="176" w:lineRule="auto"/>
      <w:ind w:left="491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101</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74ADD0">
    <w:pPr>
      <w:spacing w:line="176" w:lineRule="auto"/>
      <w:ind w:left="491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102</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3E3AC4">
    <w:pPr>
      <w:spacing w:line="176" w:lineRule="auto"/>
      <w:ind w:left="4429"/>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103</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85A0FA">
    <w:pPr>
      <w:spacing w:line="176" w:lineRule="auto"/>
      <w:ind w:left="4429"/>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104</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BB7D6">
    <w:pPr>
      <w:spacing w:line="176" w:lineRule="auto"/>
      <w:ind w:left="4429"/>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105</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7AE36A">
    <w:pPr>
      <w:spacing w:line="176" w:lineRule="auto"/>
      <w:ind w:left="430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106</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12ADF7">
    <w:pPr>
      <w:spacing w:line="176" w:lineRule="auto"/>
      <w:ind w:left="430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107</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A976E">
    <w:pPr>
      <w:spacing w:line="176" w:lineRule="auto"/>
      <w:ind w:left="430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108</w: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6F1218">
    <w:pPr>
      <w:spacing w:line="176" w:lineRule="auto"/>
      <w:ind w:left="4354"/>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0DDF8F">
    <w:pPr>
      <w:spacing w:line="176" w:lineRule="auto"/>
      <w:ind w:left="4614"/>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11</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4853E7">
    <w:pPr>
      <w:spacing w:line="176" w:lineRule="auto"/>
      <w:ind w:left="4429"/>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110</w: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1642F8">
    <w:pPr>
      <w:spacing w:line="176" w:lineRule="auto"/>
      <w:ind w:left="430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111</w: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8C7348">
    <w:pPr>
      <w:spacing w:line="176" w:lineRule="auto"/>
      <w:ind w:left="430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112</w: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F1A42">
    <w:pPr>
      <w:spacing w:line="176" w:lineRule="auto"/>
      <w:ind w:left="433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113</w: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DFD65E">
    <w:pPr>
      <w:spacing w:line="176" w:lineRule="auto"/>
      <w:ind w:left="433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114</w: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6F775">
    <w:pPr>
      <w:spacing w:line="176" w:lineRule="auto"/>
      <w:ind w:left="430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115</w: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19F2E">
    <w:pPr>
      <w:spacing w:line="176" w:lineRule="auto"/>
      <w:ind w:left="430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116</w: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F1938">
    <w:pPr>
      <w:spacing w:line="176" w:lineRule="auto"/>
      <w:ind w:left="430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117</w: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AA9B1">
    <w:pPr>
      <w:spacing w:line="176" w:lineRule="auto"/>
      <w:ind w:left="430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118</w: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FF1F92">
    <w:pPr>
      <w:spacing w:line="176" w:lineRule="auto"/>
      <w:ind w:left="430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119</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3A5EBE">
    <w:pPr>
      <w:spacing w:line="176" w:lineRule="auto"/>
      <w:ind w:left="4614"/>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12</w: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4DD77">
    <w:pPr>
      <w:spacing w:line="176" w:lineRule="auto"/>
      <w:ind w:left="430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120</w: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538650">
    <w:pPr>
      <w:spacing w:line="176" w:lineRule="auto"/>
      <w:ind w:left="433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121</w: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EBDB14">
    <w:pPr>
      <w:spacing w:line="176" w:lineRule="auto"/>
      <w:ind w:left="430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122</w: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DA9A6F">
    <w:pPr>
      <w:spacing w:line="176" w:lineRule="auto"/>
      <w:ind w:left="430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123</w: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691FA">
    <w:pPr>
      <w:spacing w:line="176" w:lineRule="auto"/>
      <w:ind w:left="6988"/>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124</w: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5183B2">
    <w:pPr>
      <w:spacing w:line="176" w:lineRule="auto"/>
      <w:ind w:left="6988"/>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125</w: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3E5AF">
    <w:pPr>
      <w:spacing w:line="176" w:lineRule="auto"/>
      <w:ind w:left="4427"/>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126</w: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0B66B2">
    <w:pPr>
      <w:spacing w:line="176" w:lineRule="auto"/>
      <w:ind w:left="4427"/>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127</w: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FA6A0">
    <w:pPr>
      <w:spacing w:line="176" w:lineRule="auto"/>
      <w:ind w:left="430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128</w: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9BF438">
    <w:pPr>
      <w:spacing w:line="176" w:lineRule="auto"/>
      <w:ind w:left="430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129</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9798E">
    <w:pPr>
      <w:spacing w:line="176" w:lineRule="auto"/>
      <w:ind w:left="4614"/>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13</w: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D76CC">
    <w:pPr>
      <w:spacing w:line="176" w:lineRule="auto"/>
      <w:ind w:left="430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130</w: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71E0A4">
    <w:pPr>
      <w:spacing w:line="176" w:lineRule="auto"/>
      <w:ind w:left="430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131</w: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054364">
    <w:pPr>
      <w:spacing w:line="176" w:lineRule="auto"/>
      <w:ind w:left="430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132</w: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CCED41">
    <w:pPr>
      <w:spacing w:line="176" w:lineRule="auto"/>
      <w:ind w:left="430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133</w: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A97CB">
    <w:pPr>
      <w:spacing w:line="176" w:lineRule="auto"/>
      <w:ind w:left="430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134</w: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32DBF7">
    <w:pPr>
      <w:spacing w:line="176" w:lineRule="auto"/>
      <w:ind w:left="4354"/>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135</w: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FA937">
    <w:pPr>
      <w:spacing w:line="176" w:lineRule="auto"/>
      <w:ind w:left="430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136</w: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47814C">
    <w:pPr>
      <w:spacing w:line="176" w:lineRule="auto"/>
      <w:ind w:left="430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137</w: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D296FE">
    <w:pPr>
      <w:spacing w:line="176" w:lineRule="auto"/>
      <w:ind w:left="430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138</w: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CDE2B">
    <w:pPr>
      <w:spacing w:line="176" w:lineRule="auto"/>
      <w:ind w:left="430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139</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3B5A98">
    <w:pPr>
      <w:spacing w:line="176" w:lineRule="auto"/>
      <w:ind w:left="4614"/>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14</w: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60A0C">
    <w:pPr>
      <w:spacing w:line="176" w:lineRule="auto"/>
      <w:ind w:left="4429"/>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140</w: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CBC017">
    <w:pPr>
      <w:spacing w:line="176" w:lineRule="auto"/>
      <w:ind w:left="4429"/>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141</w: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A9829F">
    <w:pPr>
      <w:spacing w:line="176" w:lineRule="auto"/>
      <w:ind w:left="430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142</w: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5FAF5">
    <w:pPr>
      <w:spacing w:line="176" w:lineRule="auto"/>
      <w:ind w:left="430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143</w: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5EAD33">
    <w:pPr>
      <w:spacing w:line="176" w:lineRule="auto"/>
      <w:ind w:left="4307"/>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144</w: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02DF8F">
    <w:pPr>
      <w:spacing w:line="176" w:lineRule="auto"/>
      <w:ind w:left="430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145</w: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0859D6">
    <w:pPr>
      <w:spacing w:line="176" w:lineRule="auto"/>
      <w:ind w:left="430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146</w: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E423C">
    <w:pPr>
      <w:spacing w:line="176" w:lineRule="auto"/>
      <w:ind w:left="430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147</w: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883E26">
    <w:pPr>
      <w:spacing w:line="176" w:lineRule="auto"/>
      <w:ind w:left="430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148</w: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D0D3E5">
    <w:pPr>
      <w:spacing w:line="176" w:lineRule="auto"/>
      <w:ind w:left="430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149</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F9ABD1">
    <w:pPr>
      <w:spacing w:line="176" w:lineRule="auto"/>
      <w:ind w:left="4614"/>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15</w: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E74271">
    <w:pPr>
      <w:spacing w:line="176" w:lineRule="auto"/>
      <w:ind w:left="430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150</w: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57193E">
    <w:pPr>
      <w:spacing w:line="176" w:lineRule="auto"/>
      <w:ind w:left="430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151</w: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B943C3">
    <w:pPr>
      <w:spacing w:line="176" w:lineRule="auto"/>
      <w:ind w:left="430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152</w: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B37A8">
    <w:pPr>
      <w:spacing w:line="176" w:lineRule="auto"/>
      <w:ind w:left="430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153</w: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842F8">
    <w:pPr>
      <w:spacing w:line="176" w:lineRule="auto"/>
      <w:ind w:left="430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154</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70A46">
    <w:pPr>
      <w:spacing w:line="176" w:lineRule="auto"/>
      <w:ind w:left="4726"/>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4088E2">
    <w:pPr>
      <w:spacing w:line="176" w:lineRule="auto"/>
      <w:ind w:left="4614"/>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0C4365">
    <w:pPr>
      <w:spacing w:line="176" w:lineRule="auto"/>
      <w:ind w:left="4614"/>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72898">
    <w:pPr>
      <w:spacing w:line="176" w:lineRule="auto"/>
      <w:ind w:left="7293"/>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7373C">
    <w:pPr>
      <w:spacing w:line="176" w:lineRule="auto"/>
      <w:ind w:left="4642"/>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0120A">
    <w:pPr>
      <w:spacing w:line="176" w:lineRule="auto"/>
      <w:ind w:left="459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02E27">
    <w:pPr>
      <w:spacing w:line="176" w:lineRule="auto"/>
      <w:ind w:left="459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54EAD">
    <w:pPr>
      <w:spacing w:line="176" w:lineRule="auto"/>
      <w:ind w:left="471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BAE0B7">
    <w:pPr>
      <w:spacing w:line="176" w:lineRule="auto"/>
      <w:ind w:left="471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945CD">
    <w:pPr>
      <w:spacing w:line="176" w:lineRule="auto"/>
      <w:ind w:left="462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C48392">
    <w:pPr>
      <w:spacing w:line="176" w:lineRule="auto"/>
      <w:ind w:left="462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759BA">
    <w:pPr>
      <w:spacing w:line="176" w:lineRule="auto"/>
      <w:ind w:left="471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483A36">
    <w:pPr>
      <w:spacing w:line="176" w:lineRule="auto"/>
      <w:ind w:left="459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EF403">
    <w:pPr>
      <w:spacing w:line="176" w:lineRule="auto"/>
      <w:ind w:left="459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015F05">
    <w:pPr>
      <w:spacing w:line="176" w:lineRule="auto"/>
      <w:ind w:left="493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4EB079">
    <w:pPr>
      <w:spacing w:line="176" w:lineRule="auto"/>
      <w:ind w:left="4643"/>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052470">
    <w:pPr>
      <w:spacing w:line="176" w:lineRule="auto"/>
      <w:ind w:left="533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51B903">
    <w:pPr>
      <w:spacing w:line="176" w:lineRule="auto"/>
      <w:ind w:left="533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FC2758">
    <w:pPr>
      <w:spacing w:line="176" w:lineRule="auto"/>
      <w:ind w:left="727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C7663">
    <w:pPr>
      <w:spacing w:line="176" w:lineRule="auto"/>
      <w:ind w:left="727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185B7">
    <w:pPr>
      <w:spacing w:line="176" w:lineRule="auto"/>
      <w:ind w:left="727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FC38D6">
    <w:pPr>
      <w:spacing w:line="176" w:lineRule="auto"/>
      <w:ind w:left="727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D93C3D">
    <w:pPr>
      <w:spacing w:line="176" w:lineRule="auto"/>
      <w:ind w:left="727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C3B57E">
    <w:pPr>
      <w:spacing w:line="176" w:lineRule="auto"/>
      <w:ind w:left="472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8AA11A">
    <w:pPr>
      <w:spacing w:line="176" w:lineRule="auto"/>
      <w:ind w:left="727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38</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028D3C">
    <w:pPr>
      <w:spacing w:line="176" w:lineRule="auto"/>
      <w:ind w:left="727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44CF97">
    <w:pPr>
      <w:spacing w:line="176" w:lineRule="auto"/>
      <w:ind w:left="4681"/>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63DF54">
    <w:pPr>
      <w:spacing w:line="176" w:lineRule="auto"/>
      <w:ind w:left="727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AE8B9D">
    <w:pPr>
      <w:spacing w:line="176" w:lineRule="auto"/>
      <w:ind w:left="727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41</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EB3FF3">
    <w:pPr>
      <w:spacing w:line="176" w:lineRule="auto"/>
      <w:ind w:left="727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42</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B3C166">
    <w:pPr>
      <w:spacing w:line="176" w:lineRule="auto"/>
      <w:ind w:left="727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43</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0360B">
    <w:pPr>
      <w:spacing w:line="176" w:lineRule="auto"/>
      <w:ind w:left="727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42462C">
    <w:pPr>
      <w:spacing w:line="176" w:lineRule="auto"/>
      <w:ind w:left="727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45</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AAEA7">
    <w:pPr>
      <w:spacing w:line="176" w:lineRule="auto"/>
      <w:ind w:left="727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46</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8762BA">
    <w:pPr>
      <w:spacing w:line="176" w:lineRule="auto"/>
      <w:ind w:left="472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47</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BFEC3">
    <w:pPr>
      <w:spacing w:line="176" w:lineRule="auto"/>
      <w:ind w:left="727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48</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CE4937">
    <w:pPr>
      <w:spacing w:line="176" w:lineRule="auto"/>
      <w:ind w:left="727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49</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4A3516">
    <w:pPr>
      <w:spacing w:line="173" w:lineRule="auto"/>
      <w:ind w:left="4644"/>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D678A4">
    <w:pPr>
      <w:spacing w:line="176" w:lineRule="auto"/>
      <w:ind w:left="728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50</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B36635">
    <w:pPr>
      <w:spacing w:line="176" w:lineRule="auto"/>
      <w:ind w:left="728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51</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E4C47F">
    <w:pPr>
      <w:spacing w:line="176" w:lineRule="auto"/>
      <w:ind w:left="728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52</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66324B">
    <w:pPr>
      <w:spacing w:line="176" w:lineRule="auto"/>
      <w:ind w:left="728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53</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51522B">
    <w:pPr>
      <w:spacing w:line="176" w:lineRule="auto"/>
      <w:ind w:left="721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54</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D7F30C">
    <w:pPr>
      <w:spacing w:line="173" w:lineRule="auto"/>
      <w:ind w:left="721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55</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8A72A">
    <w:pPr>
      <w:spacing w:line="176" w:lineRule="auto"/>
      <w:ind w:left="721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56</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15D2C1">
    <w:pPr>
      <w:spacing w:line="173" w:lineRule="auto"/>
      <w:ind w:left="721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57</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1B0F80">
    <w:pPr>
      <w:spacing w:line="176" w:lineRule="auto"/>
      <w:ind w:left="721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58</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25949">
    <w:pPr>
      <w:spacing w:line="176" w:lineRule="auto"/>
      <w:ind w:left="725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275CC0">
    <w:pPr>
      <w:spacing w:line="176" w:lineRule="auto"/>
      <w:ind w:left="4643"/>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7AD83A">
    <w:pPr>
      <w:spacing w:line="176" w:lineRule="auto"/>
      <w:ind w:left="727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60</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DDD720">
    <w:pPr>
      <w:spacing w:line="176" w:lineRule="auto"/>
      <w:ind w:left="727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61</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7C4C42">
    <w:pPr>
      <w:spacing w:line="176" w:lineRule="auto"/>
      <w:ind w:left="727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62</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38DAE">
    <w:pPr>
      <w:spacing w:line="176" w:lineRule="auto"/>
      <w:ind w:left="463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63</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4C7479">
    <w:pPr>
      <w:spacing w:line="176" w:lineRule="auto"/>
      <w:ind w:left="460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64</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08E419">
    <w:pPr>
      <w:spacing w:line="176" w:lineRule="auto"/>
      <w:ind w:left="461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65</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701763">
    <w:pPr>
      <w:spacing w:line="176" w:lineRule="auto"/>
      <w:ind w:left="472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66</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8E16B5">
    <w:pPr>
      <w:spacing w:line="176" w:lineRule="auto"/>
      <w:ind w:left="472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67</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60D885">
    <w:pPr>
      <w:spacing w:line="176" w:lineRule="auto"/>
      <w:ind w:left="727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68</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DFB0E">
    <w:pPr>
      <w:spacing w:line="176" w:lineRule="auto"/>
      <w:ind w:left="717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69</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DC3674">
    <w:pPr>
      <w:spacing w:line="173" w:lineRule="auto"/>
      <w:ind w:left="4642"/>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376A1">
    <w:pPr>
      <w:spacing w:line="176" w:lineRule="auto"/>
      <w:ind w:left="7176"/>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70</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EF18FF">
    <w:pPr>
      <w:spacing w:line="176" w:lineRule="auto"/>
      <w:ind w:left="7176"/>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71</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0CE7CF">
    <w:pPr>
      <w:spacing w:line="176" w:lineRule="auto"/>
      <w:ind w:left="472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72</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804243">
    <w:pPr>
      <w:spacing w:line="176" w:lineRule="auto"/>
      <w:ind w:left="472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73</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D83E6">
    <w:pPr>
      <w:spacing w:line="176" w:lineRule="auto"/>
      <w:ind w:left="461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74</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6B2D4">
    <w:pPr>
      <w:spacing w:line="173" w:lineRule="auto"/>
      <w:ind w:left="465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75</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8DF420">
    <w:pPr>
      <w:spacing w:line="176" w:lineRule="auto"/>
      <w:ind w:left="472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76</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14E2A">
    <w:pPr>
      <w:spacing w:line="173" w:lineRule="auto"/>
      <w:ind w:left="465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77</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F7EE02">
    <w:pPr>
      <w:spacing w:line="176" w:lineRule="auto"/>
      <w:ind w:left="4720"/>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78</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A7AAD">
    <w:pPr>
      <w:spacing w:line="176" w:lineRule="auto"/>
      <w:ind w:left="4720"/>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79</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1476B2">
    <w:pPr>
      <w:spacing w:line="176" w:lineRule="auto"/>
      <w:ind w:left="4647"/>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649E85">
    <w:pPr>
      <w:spacing w:line="176" w:lineRule="auto"/>
      <w:ind w:left="472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80</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6C9B2">
    <w:pPr>
      <w:spacing w:line="176" w:lineRule="auto"/>
      <w:ind w:left="472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81</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442548">
    <w:pPr>
      <w:spacing w:line="176" w:lineRule="auto"/>
      <w:ind w:left="727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82</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88656F">
    <w:pPr>
      <w:spacing w:line="176" w:lineRule="auto"/>
      <w:ind w:left="727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83</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D7D1D6">
    <w:pPr>
      <w:spacing w:line="176" w:lineRule="auto"/>
      <w:ind w:left="7282"/>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84</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2AADD">
    <w:pPr>
      <w:spacing w:line="176" w:lineRule="auto"/>
      <w:ind w:left="7282"/>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85</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79171D">
    <w:pPr>
      <w:spacing w:line="176" w:lineRule="auto"/>
      <w:ind w:left="7282"/>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86</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9288AA">
    <w:pPr>
      <w:spacing w:line="176" w:lineRule="auto"/>
      <w:ind w:left="7282"/>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87</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66B7B">
    <w:pPr>
      <w:spacing w:line="176" w:lineRule="auto"/>
      <w:ind w:left="471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88</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A0FB4C">
    <w:pPr>
      <w:spacing w:line="176" w:lineRule="auto"/>
      <w:ind w:left="460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89</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E4759B">
    <w:pPr>
      <w:spacing w:line="176" w:lineRule="auto"/>
      <w:ind w:left="4643"/>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3C0BE7">
    <w:pPr>
      <w:spacing w:line="176" w:lineRule="auto"/>
      <w:ind w:left="727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90</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5682BC">
    <w:pPr>
      <w:spacing w:line="176" w:lineRule="auto"/>
      <w:ind w:left="472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91</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417393">
    <w:pPr>
      <w:spacing w:line="176" w:lineRule="auto"/>
      <w:ind w:left="471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92</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0BA04">
    <w:pPr>
      <w:spacing w:line="176" w:lineRule="auto"/>
      <w:ind w:left="460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93</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710E00">
    <w:pPr>
      <w:spacing w:line="176" w:lineRule="auto"/>
      <w:ind w:left="462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94</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CC0860">
    <w:pPr>
      <w:spacing w:line="176" w:lineRule="auto"/>
      <w:ind w:left="470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95</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D9EFDC">
    <w:pPr>
      <w:spacing w:line="176" w:lineRule="auto"/>
      <w:ind w:left="460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96</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549BD">
    <w:pPr>
      <w:spacing w:line="176" w:lineRule="auto"/>
      <w:ind w:left="472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97</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56D9C">
    <w:pPr>
      <w:spacing w:line="176" w:lineRule="auto"/>
      <w:ind w:left="460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98</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C37B93">
    <w:pPr>
      <w:spacing w:line="176" w:lineRule="auto"/>
      <w:ind w:left="460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DB3617">
    <w:pPr>
      <w:spacing w:before="61" w:line="222" w:lineRule="auto"/>
      <w:ind w:left="754"/>
      <w:rPr>
        <w:rFonts w:ascii="仿宋" w:hAnsi="仿宋" w:eastAsia="仿宋" w:cs="仿宋"/>
        <w:sz w:val="24"/>
        <w:szCs w:val="24"/>
      </w:rPr>
    </w:pPr>
    <w:r>
      <w:pict>
        <v:shape id="_x0000_s2049" o:spid="_x0000_s2049" style="position:absolute;left:0pt;margin-left:79.35pt;margin-top:52pt;height:0.75pt;width:442.25pt;mso-position-horizontal-relative:page;mso-position-vertical-relative:page;z-index:251660288;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F4D9A">
    <w:pPr>
      <w:spacing w:before="61" w:line="222" w:lineRule="auto"/>
      <w:ind w:left="754"/>
      <w:rPr>
        <w:rFonts w:ascii="仿宋" w:hAnsi="仿宋" w:eastAsia="仿宋" w:cs="仿宋"/>
        <w:sz w:val="24"/>
        <w:szCs w:val="24"/>
      </w:rPr>
    </w:pPr>
    <w:r>
      <w:pict>
        <v:shape id="_x0000_s2058" o:spid="_x0000_s2058" style="position:absolute;left:0pt;margin-left:79.35pt;margin-top:52pt;height:0.75pt;width:442.25pt;mso-position-horizontal-relative:page;mso-position-vertical-relative:page;z-index:251668480;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8B13A">
    <w:pPr>
      <w:spacing w:before="61" w:line="222" w:lineRule="auto"/>
      <w:ind w:left="755"/>
      <w:rPr>
        <w:rFonts w:ascii="仿宋" w:hAnsi="仿宋" w:eastAsia="仿宋" w:cs="仿宋"/>
        <w:sz w:val="24"/>
        <w:szCs w:val="24"/>
      </w:rPr>
    </w:pPr>
    <w:r>
      <w:pict>
        <v:shape id="_x0000_s2148" o:spid="_x0000_s2148" style="position:absolute;left:0pt;margin-left:79.35pt;margin-top:52pt;height:0.75pt;width:442.25pt;mso-position-horizontal-relative:page;mso-position-vertical-relative:page;z-index:251715584;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F3C6DE">
    <w:pPr>
      <w:spacing w:before="61" w:line="222" w:lineRule="auto"/>
      <w:ind w:left="754"/>
      <w:rPr>
        <w:rFonts w:ascii="仿宋" w:hAnsi="仿宋" w:eastAsia="仿宋" w:cs="仿宋"/>
        <w:sz w:val="24"/>
        <w:szCs w:val="24"/>
      </w:rPr>
    </w:pPr>
    <w:r>
      <w:pict>
        <v:shape id="_x0000_s2149" o:spid="_x0000_s2149" style="position:absolute;left:0pt;margin-left:79.35pt;margin-top:52pt;height:0.75pt;width:442.25pt;mso-position-horizontal-relative:page;mso-position-vertical-relative:page;z-index:251710464;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F1B141">
    <w:pPr>
      <w:spacing w:before="61" w:line="222" w:lineRule="auto"/>
      <w:ind w:left="754"/>
      <w:rPr>
        <w:rFonts w:ascii="仿宋" w:hAnsi="仿宋" w:eastAsia="仿宋" w:cs="仿宋"/>
        <w:sz w:val="24"/>
        <w:szCs w:val="24"/>
      </w:rPr>
    </w:pPr>
    <w:r>
      <w:pict>
        <v:shape id="_x0000_s2150" o:spid="_x0000_s2150" style="position:absolute;left:0pt;margin-left:79.35pt;margin-top:52pt;height:0.75pt;width:442.25pt;mso-position-horizontal-relative:page;mso-position-vertical-relative:page;z-index:251664384;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62400E">
    <w:pPr>
      <w:spacing w:before="61" w:line="222" w:lineRule="auto"/>
      <w:ind w:left="754"/>
      <w:rPr>
        <w:rFonts w:ascii="仿宋" w:hAnsi="仿宋" w:eastAsia="仿宋" w:cs="仿宋"/>
        <w:sz w:val="24"/>
        <w:szCs w:val="24"/>
      </w:rPr>
    </w:pPr>
    <w:r>
      <w:pict>
        <v:shape id="_x0000_s2151" o:spid="_x0000_s2151" style="position:absolute;left:0pt;margin-left:79.35pt;margin-top:52pt;height:0.75pt;width:442.25pt;mso-position-horizontal-relative:page;mso-position-vertical-relative:page;z-index:251661312;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8982D">
    <w:pPr>
      <w:spacing w:before="61" w:line="222" w:lineRule="auto"/>
      <w:ind w:left="754"/>
      <w:rPr>
        <w:rFonts w:ascii="仿宋" w:hAnsi="仿宋" w:eastAsia="仿宋" w:cs="仿宋"/>
        <w:sz w:val="24"/>
        <w:szCs w:val="24"/>
      </w:rPr>
    </w:pPr>
    <w:r>
      <w:pict>
        <v:shape id="_x0000_s2152" o:spid="_x0000_s2152" style="position:absolute;left:0pt;margin-left:79.35pt;margin-top:52pt;height:0.75pt;width:442.25pt;mso-position-horizontal-relative:page;mso-position-vertical-relative:page;z-index:251662336;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9A190">
    <w:pPr>
      <w:spacing w:before="61" w:line="222" w:lineRule="auto"/>
      <w:ind w:left="754"/>
      <w:rPr>
        <w:rFonts w:ascii="仿宋" w:hAnsi="仿宋" w:eastAsia="仿宋" w:cs="仿宋"/>
        <w:sz w:val="24"/>
        <w:szCs w:val="24"/>
      </w:rPr>
    </w:pPr>
    <w:r>
      <w:pict>
        <v:shape id="_x0000_s2153" o:spid="_x0000_s2153" style="position:absolute;left:0pt;margin-left:79.35pt;margin-top:52pt;height:0.75pt;width:442.25pt;mso-position-horizontal-relative:page;mso-position-vertical-relative:page;z-index:251661312;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77CC98">
    <w:pPr>
      <w:spacing w:before="61" w:line="222" w:lineRule="auto"/>
      <w:ind w:left="754"/>
      <w:rPr>
        <w:rFonts w:ascii="仿宋" w:hAnsi="仿宋" w:eastAsia="仿宋" w:cs="仿宋"/>
        <w:sz w:val="24"/>
        <w:szCs w:val="24"/>
      </w:rPr>
    </w:pPr>
    <w:r>
      <w:pict>
        <v:shape id="_x0000_s2154" o:spid="_x0000_s2154" style="position:absolute;left:0pt;margin-left:79.35pt;margin-top:52pt;height:0.75pt;width:442.25pt;mso-position-horizontal-relative:page;mso-position-vertical-relative:page;z-index:251716608;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4F917">
    <w:pPr>
      <w:spacing w:before="61" w:line="222" w:lineRule="auto"/>
      <w:ind w:left="754"/>
      <w:rPr>
        <w:rFonts w:ascii="仿宋" w:hAnsi="仿宋" w:eastAsia="仿宋" w:cs="仿宋"/>
        <w:sz w:val="24"/>
        <w:szCs w:val="24"/>
      </w:rPr>
    </w:pPr>
    <w:r>
      <w:pict>
        <v:shape id="_x0000_s2155" o:spid="_x0000_s2155" style="position:absolute;left:0pt;margin-left:79.35pt;margin-top:52pt;height:0.75pt;width:442.25pt;mso-position-horizontal-relative:page;mso-position-vertical-relative:page;z-index:251671552;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AE2C48">
    <w:pPr>
      <w:spacing w:before="61" w:line="222" w:lineRule="auto"/>
      <w:ind w:left="754"/>
      <w:rPr>
        <w:rFonts w:ascii="仿宋" w:hAnsi="仿宋" w:eastAsia="仿宋" w:cs="仿宋"/>
        <w:sz w:val="24"/>
        <w:szCs w:val="24"/>
      </w:rPr>
    </w:pPr>
    <w:r>
      <w:pict>
        <v:shape id="_x0000_s2156" o:spid="_x0000_s2156" style="position:absolute;left:0pt;margin-left:79.35pt;margin-top:52pt;height:0.75pt;width:442.25pt;mso-position-horizontal-relative:page;mso-position-vertical-relative:page;z-index:251673600;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AC67F">
    <w:pPr>
      <w:spacing w:before="61" w:line="222" w:lineRule="auto"/>
      <w:ind w:left="754"/>
      <w:rPr>
        <w:rFonts w:ascii="仿宋" w:hAnsi="仿宋" w:eastAsia="仿宋" w:cs="仿宋"/>
        <w:sz w:val="24"/>
        <w:szCs w:val="24"/>
      </w:rPr>
    </w:pPr>
    <w:r>
      <w:pict>
        <v:shape id="_x0000_s2157" o:spid="_x0000_s2157" style="position:absolute;left:0pt;margin-left:79.35pt;margin-top:52pt;height:0.75pt;width:442.25pt;mso-position-horizontal-relative:page;mso-position-vertical-relative:page;z-index:251671552;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40D0FE">
    <w:pPr>
      <w:spacing w:before="61" w:line="222" w:lineRule="auto"/>
      <w:ind w:left="754"/>
      <w:rPr>
        <w:rFonts w:ascii="仿宋" w:hAnsi="仿宋" w:eastAsia="仿宋" w:cs="仿宋"/>
        <w:sz w:val="24"/>
        <w:szCs w:val="24"/>
      </w:rPr>
    </w:pPr>
    <w:r>
      <w:pict>
        <v:shape id="_x0000_s2059" o:spid="_x0000_s2059" style="position:absolute;left:0pt;margin-left:79.35pt;margin-top:52pt;height:0.75pt;width:442.25pt;mso-position-horizontal-relative:page;mso-position-vertical-relative:page;z-index:251664384;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C16BD">
    <w:pPr>
      <w:spacing w:before="61" w:line="222" w:lineRule="auto"/>
      <w:ind w:left="754"/>
      <w:rPr>
        <w:rFonts w:ascii="仿宋" w:hAnsi="仿宋" w:eastAsia="仿宋" w:cs="仿宋"/>
        <w:sz w:val="24"/>
        <w:szCs w:val="24"/>
      </w:rPr>
    </w:pPr>
    <w:r>
      <w:pict>
        <v:shape id="_x0000_s2060" o:spid="_x0000_s2060" style="position:absolute;left:0pt;margin-left:79.35pt;margin-top:52pt;height:0.75pt;width:442.25pt;mso-position-horizontal-relative:page;mso-position-vertical-relative:page;z-index:251661312;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7D632">
    <w:pPr>
      <w:spacing w:before="61" w:line="222" w:lineRule="auto"/>
      <w:ind w:left="867"/>
      <w:rPr>
        <w:rFonts w:ascii="仿宋" w:hAnsi="仿宋" w:eastAsia="仿宋" w:cs="仿宋"/>
        <w:sz w:val="24"/>
        <w:szCs w:val="24"/>
      </w:rPr>
    </w:pPr>
    <w:r>
      <w:pict>
        <v:shape id="_x0000_s2061" o:spid="_x0000_s2061" style="position:absolute;left:0pt;margin-left:79.35pt;margin-top:52pt;height:0.75pt;width:442.25pt;mso-position-horizontal-relative:page;mso-position-vertical-relative:page;z-index:251670528;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059135">
    <w:pPr>
      <w:spacing w:before="61" w:line="222" w:lineRule="auto"/>
      <w:ind w:left="754"/>
      <w:rPr>
        <w:rFonts w:ascii="仿宋" w:hAnsi="仿宋" w:eastAsia="仿宋" w:cs="仿宋"/>
        <w:sz w:val="24"/>
        <w:szCs w:val="24"/>
      </w:rPr>
    </w:pPr>
    <w:r>
      <w:pict>
        <v:shape id="_x0000_s2062" o:spid="_x0000_s2062" style="position:absolute;left:0pt;margin-left:79.35pt;margin-top:52pt;height:0.75pt;width:442.25pt;mso-position-horizontal-relative:page;mso-position-vertical-relative:page;z-index:251664384;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5D1EA">
    <w:pPr>
      <w:spacing w:before="61" w:line="222" w:lineRule="auto"/>
      <w:ind w:left="754"/>
      <w:rPr>
        <w:rFonts w:ascii="仿宋" w:hAnsi="仿宋" w:eastAsia="仿宋" w:cs="仿宋"/>
        <w:sz w:val="24"/>
        <w:szCs w:val="24"/>
      </w:rPr>
    </w:pPr>
    <w:r>
      <w:pict>
        <v:shape id="_x0000_s2063" o:spid="_x0000_s2063" style="position:absolute;left:0pt;margin-left:79.35pt;margin-top:52pt;height:0.75pt;width:442.25pt;mso-position-horizontal-relative:page;mso-position-vertical-relative:page;z-index:251671552;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EA09A8">
    <w:pPr>
      <w:spacing w:before="61" w:line="222" w:lineRule="auto"/>
      <w:ind w:left="3433"/>
      <w:rPr>
        <w:rFonts w:ascii="仿宋" w:hAnsi="仿宋" w:eastAsia="仿宋" w:cs="仿宋"/>
        <w:sz w:val="24"/>
        <w:szCs w:val="24"/>
      </w:rPr>
    </w:pPr>
    <w:r>
      <w:pict>
        <v:shape id="_x0000_s2064" o:spid="_x0000_s2064" style="position:absolute;left:0pt;margin-left:72pt;margin-top:52pt;height:0.75pt;width:697.95pt;mso-position-horizontal-relative:page;mso-position-vertical-relative:page;z-index:251672576;mso-width-relative:page;mso-height-relative:page;" fillcolor="#000000" filled="t" stroked="f" coordsize="13959,15" o:allowincell="f" path="m0,0l13958,0,13958,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7D7FB">
    <w:pPr>
      <w:spacing w:before="61" w:line="222" w:lineRule="auto"/>
      <w:ind w:left="754"/>
      <w:rPr>
        <w:rFonts w:ascii="仿宋" w:hAnsi="仿宋" w:eastAsia="仿宋" w:cs="仿宋"/>
        <w:sz w:val="24"/>
        <w:szCs w:val="24"/>
      </w:rPr>
    </w:pPr>
    <w:r>
      <w:pict>
        <v:shape id="_x0000_s2065" o:spid="_x0000_s2065" style="position:absolute;left:0pt;margin-left:79.35pt;margin-top:52pt;height:0.75pt;width:442.25pt;mso-position-horizontal-relative:page;mso-position-vertical-relative:page;z-index:251673600;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54833C">
    <w:pPr>
      <w:spacing w:before="61" w:line="222" w:lineRule="auto"/>
      <w:ind w:left="875"/>
      <w:rPr>
        <w:rFonts w:ascii="仿宋" w:hAnsi="仿宋" w:eastAsia="仿宋" w:cs="仿宋"/>
        <w:sz w:val="24"/>
        <w:szCs w:val="24"/>
      </w:rPr>
    </w:pPr>
    <w:r>
      <w:pict>
        <v:shape id="_x0000_s2066" o:spid="_x0000_s2066" style="position:absolute;left:0pt;margin-left:79.35pt;margin-top:52pt;height:0.75pt;width:442.25pt;mso-position-horizontal-relative:page;mso-position-vertical-relative:page;z-index:251674624;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7C8675">
    <w:pPr>
      <w:spacing w:before="61" w:line="222" w:lineRule="auto"/>
      <w:ind w:left="877"/>
      <w:rPr>
        <w:rFonts w:ascii="仿宋" w:hAnsi="仿宋" w:eastAsia="仿宋" w:cs="仿宋"/>
        <w:sz w:val="24"/>
        <w:szCs w:val="24"/>
      </w:rPr>
    </w:pPr>
    <w:r>
      <w:pict>
        <v:shape id="_x0000_s2067" o:spid="_x0000_s2067" style="position:absolute;left:0pt;margin-left:79.35pt;margin-top:52pt;height:0.75pt;width:442.25pt;mso-position-horizontal-relative:page;mso-position-vertical-relative:page;z-index:251675648;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38A108">
    <w:pPr>
      <w:spacing w:before="61" w:line="222" w:lineRule="auto"/>
      <w:ind w:left="754"/>
      <w:rPr>
        <w:rFonts w:ascii="仿宋" w:hAnsi="仿宋" w:eastAsia="仿宋" w:cs="仿宋"/>
        <w:sz w:val="24"/>
        <w:szCs w:val="24"/>
      </w:rPr>
    </w:pPr>
    <w:r>
      <w:pict>
        <v:shape id="_x0000_s2050" o:spid="_x0000_s2050" style="position:absolute;left:0pt;margin-left:79.35pt;margin-top:52pt;height:0.75pt;width:442.25pt;mso-position-horizontal-relative:page;mso-position-vertical-relative:page;z-index:251661312;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463F04">
    <w:pPr>
      <w:spacing w:before="61" w:line="222" w:lineRule="auto"/>
      <w:ind w:left="784"/>
      <w:rPr>
        <w:rFonts w:ascii="仿宋" w:hAnsi="仿宋" w:eastAsia="仿宋" w:cs="仿宋"/>
        <w:sz w:val="24"/>
        <w:szCs w:val="24"/>
      </w:rPr>
    </w:pPr>
    <w:r>
      <w:pict>
        <v:shape id="_x0000_s2068" o:spid="_x0000_s2068" style="position:absolute;left:0pt;margin-left:79.35pt;margin-top:52pt;height:0.75pt;width:442.25pt;mso-position-horizontal-relative:page;mso-position-vertical-relative:page;z-index:251676672;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CB5176">
    <w:pPr>
      <w:spacing w:before="61" w:line="222" w:lineRule="auto"/>
      <w:ind w:left="784"/>
      <w:rPr>
        <w:rFonts w:ascii="仿宋" w:hAnsi="仿宋" w:eastAsia="仿宋" w:cs="仿宋"/>
        <w:sz w:val="24"/>
        <w:szCs w:val="24"/>
      </w:rPr>
    </w:pPr>
    <w:r>
      <w:pict>
        <v:shape id="_x0000_s2069" o:spid="_x0000_s2069" style="position:absolute;left:0pt;margin-left:79.35pt;margin-top:52pt;height:0.75pt;width:442.25pt;mso-position-horizontal-relative:page;mso-position-vertical-relative:page;z-index:251677696;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346D6">
    <w:pPr>
      <w:spacing w:before="61" w:line="222" w:lineRule="auto"/>
      <w:ind w:left="875"/>
      <w:rPr>
        <w:rFonts w:ascii="仿宋" w:hAnsi="仿宋" w:eastAsia="仿宋" w:cs="仿宋"/>
        <w:sz w:val="24"/>
        <w:szCs w:val="24"/>
      </w:rPr>
    </w:pPr>
    <w:r>
      <w:pict>
        <v:shape id="_x0000_s2070" o:spid="_x0000_s2070" style="position:absolute;left:0pt;margin-left:79.35pt;margin-top:52pt;height:0.75pt;width:442.25pt;mso-position-horizontal-relative:page;mso-position-vertical-relative:page;z-index:251678720;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9368E">
    <w:pPr>
      <w:spacing w:before="61" w:line="222" w:lineRule="auto"/>
      <w:ind w:left="754"/>
      <w:rPr>
        <w:rFonts w:ascii="仿宋" w:hAnsi="仿宋" w:eastAsia="仿宋" w:cs="仿宋"/>
        <w:sz w:val="24"/>
        <w:szCs w:val="24"/>
      </w:rPr>
    </w:pPr>
    <w:r>
      <w:pict>
        <v:shape id="_x0000_s2071" o:spid="_x0000_s2071" style="position:absolute;left:0pt;margin-left:79.35pt;margin-top:52pt;height:0.75pt;width:442.25pt;mso-position-horizontal-relative:page;mso-position-vertical-relative:page;z-index:251671552;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C9365B">
    <w:pPr>
      <w:spacing w:before="61" w:line="222" w:lineRule="auto"/>
      <w:ind w:left="754"/>
      <w:rPr>
        <w:rFonts w:ascii="仿宋" w:hAnsi="仿宋" w:eastAsia="仿宋" w:cs="仿宋"/>
        <w:sz w:val="24"/>
        <w:szCs w:val="24"/>
      </w:rPr>
    </w:pPr>
    <w:r>
      <w:pict>
        <v:shape id="_x0000_s2072" o:spid="_x0000_s2072" style="position:absolute;left:0pt;margin-left:79.35pt;margin-top:52pt;height:0.75pt;width:442.25pt;mso-position-horizontal-relative:page;mso-position-vertical-relative:page;z-index:251661312;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DF856F">
    <w:pPr>
      <w:spacing w:before="61" w:line="222" w:lineRule="auto"/>
      <w:ind w:left="1095"/>
      <w:rPr>
        <w:rFonts w:ascii="仿宋" w:hAnsi="仿宋" w:eastAsia="仿宋" w:cs="仿宋"/>
        <w:sz w:val="24"/>
        <w:szCs w:val="24"/>
      </w:rPr>
    </w:pPr>
    <w:r>
      <w:pict>
        <v:shape id="_x0000_s2073" o:spid="_x0000_s2073" style="position:absolute;left:0pt;margin-left:79.35pt;margin-top:52pt;height:0.75pt;width:442.25pt;mso-position-horizontal-relative:page;mso-position-vertical-relative:page;z-index:251679744;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07D906">
    <w:pPr>
      <w:spacing w:before="61" w:line="222" w:lineRule="auto"/>
      <w:ind w:left="1487"/>
      <w:rPr>
        <w:rFonts w:ascii="仿宋" w:hAnsi="仿宋" w:eastAsia="仿宋" w:cs="仿宋"/>
        <w:sz w:val="24"/>
        <w:szCs w:val="24"/>
      </w:rPr>
    </w:pPr>
    <w:r>
      <w:pict>
        <v:shape id="_x0000_s2074" o:spid="_x0000_s2074" style="position:absolute;left:0pt;margin-left:79.35pt;margin-top:52pt;height:0.75pt;width:442.25pt;mso-position-horizontal-relative:page;mso-position-vertical-relative:page;z-index:251680768;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03CDA1">
    <w:pPr>
      <w:spacing w:before="61" w:line="222" w:lineRule="auto"/>
      <w:ind w:left="3433"/>
      <w:rPr>
        <w:rFonts w:ascii="仿宋" w:hAnsi="仿宋" w:eastAsia="仿宋" w:cs="仿宋"/>
        <w:sz w:val="24"/>
        <w:szCs w:val="24"/>
      </w:rPr>
    </w:pPr>
    <w:r>
      <w:pict>
        <v:shape id="_x0000_s2075" o:spid="_x0000_s2075" style="position:absolute;left:0pt;margin-left:72pt;margin-top:52pt;height:0.75pt;width:697.95pt;mso-position-horizontal-relative:page;mso-position-vertical-relative:page;z-index:251681792;mso-width-relative:page;mso-height-relative:page;" fillcolor="#000000" filled="t" stroked="f" coordsize="13959,15" o:allowincell="f" path="m0,0l13958,0,13958,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95B9C">
    <w:pPr>
      <w:spacing w:before="61" w:line="222" w:lineRule="auto"/>
      <w:ind w:left="877"/>
      <w:rPr>
        <w:rFonts w:ascii="仿宋" w:hAnsi="仿宋" w:eastAsia="仿宋" w:cs="仿宋"/>
        <w:sz w:val="24"/>
        <w:szCs w:val="24"/>
      </w:rPr>
    </w:pPr>
    <w:r>
      <w:pict>
        <v:shape id="_x0000_s2076" o:spid="_x0000_s2076" style="position:absolute;left:0pt;margin-left:79.35pt;margin-top:52pt;height:0.75pt;width:442.25pt;mso-position-horizontal-relative:page;mso-position-vertical-relative:page;z-index:251682816;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01D4FE">
    <w:pPr>
      <w:spacing w:before="61" w:line="222" w:lineRule="auto"/>
      <w:ind w:left="3433"/>
      <w:rPr>
        <w:rFonts w:ascii="仿宋" w:hAnsi="仿宋" w:eastAsia="仿宋" w:cs="仿宋"/>
        <w:sz w:val="24"/>
        <w:szCs w:val="24"/>
      </w:rPr>
    </w:pPr>
    <w:r>
      <w:pict>
        <v:shape id="_x0000_s2077" o:spid="_x0000_s2077" style="position:absolute;left:0pt;margin-left:72pt;margin-top:52pt;height:0.75pt;width:697.95pt;mso-position-horizontal-relative:page;mso-position-vertical-relative:page;z-index:251683840;mso-width-relative:page;mso-height-relative:page;" fillcolor="#000000" filled="t" stroked="f" coordsize="13959,15" o:allowincell="f" path="m0,0l13958,0,13958,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FACF21">
    <w:pPr>
      <w:spacing w:before="61" w:line="222" w:lineRule="auto"/>
      <w:ind w:left="754"/>
      <w:rPr>
        <w:rFonts w:ascii="仿宋" w:hAnsi="仿宋" w:eastAsia="仿宋" w:cs="仿宋"/>
        <w:sz w:val="24"/>
        <w:szCs w:val="24"/>
      </w:rPr>
    </w:pPr>
    <w:r>
      <w:pict>
        <v:shape id="_x0000_s2051" o:spid="_x0000_s2051" style="position:absolute;left:0pt;margin-left:79.35pt;margin-top:52pt;height:0.75pt;width:442.25pt;mso-position-horizontal-relative:page;mso-position-vertical-relative:page;z-index:251662336;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EED9E5">
    <w:pPr>
      <w:spacing w:before="61" w:line="222" w:lineRule="auto"/>
      <w:ind w:left="884"/>
      <w:rPr>
        <w:rFonts w:ascii="仿宋" w:hAnsi="仿宋" w:eastAsia="仿宋" w:cs="仿宋"/>
        <w:sz w:val="24"/>
        <w:szCs w:val="24"/>
      </w:rPr>
    </w:pPr>
    <w:r>
      <w:pict>
        <v:shape id="_x0000_s2078" o:spid="_x0000_s2078" style="position:absolute;left:0pt;margin-left:79.35pt;margin-top:52pt;height:0.75pt;width:442.25pt;mso-position-horizontal-relative:page;mso-position-vertical-relative:page;z-index:251684864;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E10F1">
    <w:pPr>
      <w:spacing w:before="61" w:line="222" w:lineRule="auto"/>
      <w:ind w:left="3433"/>
      <w:rPr>
        <w:rFonts w:ascii="仿宋" w:hAnsi="仿宋" w:eastAsia="仿宋" w:cs="仿宋"/>
        <w:sz w:val="24"/>
        <w:szCs w:val="24"/>
      </w:rPr>
    </w:pPr>
    <w:r>
      <w:pict>
        <v:shape id="_x0000_s2079" o:spid="_x0000_s2079" style="position:absolute;left:0pt;margin-left:72pt;margin-top:52pt;height:0.75pt;width:697.95pt;mso-position-horizontal-relative:page;mso-position-vertical-relative:page;z-index:251683840;mso-width-relative:page;mso-height-relative:page;" fillcolor="#000000" filled="t" stroked="f" coordsize="13959,15" o:allowincell="f" path="m0,0l13958,0,13958,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E013BE">
    <w:pPr>
      <w:spacing w:before="61" w:line="222" w:lineRule="auto"/>
      <w:ind w:left="3371"/>
      <w:rPr>
        <w:rFonts w:ascii="仿宋" w:hAnsi="仿宋" w:eastAsia="仿宋" w:cs="仿宋"/>
        <w:sz w:val="24"/>
        <w:szCs w:val="24"/>
      </w:rPr>
    </w:pPr>
    <w:r>
      <w:pict>
        <v:shape id="_x0000_s2080" o:spid="_x0000_s2080" style="position:absolute;left:0pt;margin-left:72pt;margin-top:52pt;height:0.75pt;width:697.95pt;mso-position-horizontal-relative:page;mso-position-vertical-relative:page;z-index:251685888;mso-width-relative:page;mso-height-relative:page;" fillcolor="#000000" filled="t" stroked="f" coordsize="13959,15" o:allowincell="f" path="m0,0l13958,0,13958,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1D1F66">
    <w:pPr>
      <w:spacing w:before="61" w:line="222" w:lineRule="auto"/>
      <w:ind w:left="3407"/>
      <w:rPr>
        <w:rFonts w:ascii="仿宋" w:hAnsi="仿宋" w:eastAsia="仿宋" w:cs="仿宋"/>
        <w:sz w:val="24"/>
        <w:szCs w:val="24"/>
      </w:rPr>
    </w:pPr>
    <w:r>
      <w:pict>
        <v:shape id="_x0000_s2081" o:spid="_x0000_s2081" style="position:absolute;left:0pt;margin-left:72pt;margin-top:52pt;height:0.75pt;width:697.95pt;mso-position-horizontal-relative:page;mso-position-vertical-relative:page;z-index:251686912;mso-width-relative:page;mso-height-relative:page;" fillcolor="#000000" filled="t" stroked="f" coordsize="13959,15" o:allowincell="f" path="m0,0l13958,0,13958,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89A33F">
    <w:pPr>
      <w:spacing w:before="61" w:line="222" w:lineRule="auto"/>
      <w:ind w:left="3428"/>
      <w:rPr>
        <w:rFonts w:ascii="仿宋" w:hAnsi="仿宋" w:eastAsia="仿宋" w:cs="仿宋"/>
        <w:sz w:val="24"/>
        <w:szCs w:val="24"/>
      </w:rPr>
    </w:pPr>
    <w:r>
      <w:pict>
        <v:shape id="_x0000_s2082" o:spid="_x0000_s2082" style="position:absolute;left:0pt;margin-left:72pt;margin-top:52pt;height:0.75pt;width:697.95pt;mso-position-horizontal-relative:page;mso-position-vertical-relative:page;z-index:251687936;mso-width-relative:page;mso-height-relative:page;" fillcolor="#000000" filled="t" stroked="f" coordsize="13959,15" o:allowincell="f" path="m0,0l13958,0,13958,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1C9B3">
    <w:pPr>
      <w:spacing w:before="61" w:line="222" w:lineRule="auto"/>
      <w:ind w:left="790"/>
      <w:rPr>
        <w:rFonts w:ascii="仿宋" w:hAnsi="仿宋" w:eastAsia="仿宋" w:cs="仿宋"/>
        <w:sz w:val="24"/>
        <w:szCs w:val="24"/>
      </w:rPr>
    </w:pPr>
    <w:r>
      <w:pict>
        <v:shape id="_x0000_s2083" o:spid="_x0000_s2083" style="position:absolute;left:0pt;margin-left:79.35pt;margin-top:52pt;height:0.75pt;width:442.25pt;mso-position-horizontal-relative:page;mso-position-vertical-relative:page;z-index:251688960;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1F4554">
    <w:pPr>
      <w:spacing w:before="61" w:line="222" w:lineRule="auto"/>
      <w:ind w:left="754"/>
      <w:rPr>
        <w:rFonts w:ascii="仿宋" w:hAnsi="仿宋" w:eastAsia="仿宋" w:cs="仿宋"/>
        <w:sz w:val="24"/>
        <w:szCs w:val="24"/>
      </w:rPr>
    </w:pPr>
    <w:r>
      <w:pict>
        <v:shape id="_x0000_s2084" o:spid="_x0000_s2084" style="position:absolute;left:0pt;margin-left:79.35pt;margin-top:52pt;height:0.75pt;width:442.25pt;mso-position-horizontal-relative:page;mso-position-vertical-relative:page;z-index:251671552;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3DE4BE">
    <w:pPr>
      <w:spacing w:before="61" w:line="222" w:lineRule="auto"/>
      <w:ind w:left="764"/>
      <w:rPr>
        <w:rFonts w:ascii="仿宋" w:hAnsi="仿宋" w:eastAsia="仿宋" w:cs="仿宋"/>
        <w:sz w:val="24"/>
        <w:szCs w:val="24"/>
      </w:rPr>
    </w:pPr>
    <w:r>
      <w:pict>
        <v:shape id="_x0000_s2085" o:spid="_x0000_s2085" style="position:absolute;left:0pt;margin-left:79.35pt;margin-top:52pt;height:0.75pt;width:442.25pt;mso-position-horizontal-relative:page;mso-position-vertical-relative:page;z-index:251689984;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57B05">
    <w:pPr>
      <w:spacing w:before="61" w:line="222" w:lineRule="auto"/>
      <w:ind w:left="875"/>
      <w:rPr>
        <w:rFonts w:ascii="仿宋" w:hAnsi="仿宋" w:eastAsia="仿宋" w:cs="仿宋"/>
        <w:sz w:val="24"/>
        <w:szCs w:val="24"/>
      </w:rPr>
    </w:pPr>
    <w:r>
      <w:pict>
        <v:shape id="_x0000_s2086" o:spid="_x0000_s2086" style="position:absolute;left:0pt;margin-left:79.35pt;margin-top:52pt;height:0.75pt;width:442.25pt;mso-position-horizontal-relative:page;mso-position-vertical-relative:page;z-index:251691008;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37061">
    <w:pPr>
      <w:spacing w:before="61" w:line="222" w:lineRule="auto"/>
      <w:ind w:left="875"/>
      <w:rPr>
        <w:rFonts w:ascii="仿宋" w:hAnsi="仿宋" w:eastAsia="仿宋" w:cs="仿宋"/>
        <w:sz w:val="24"/>
        <w:szCs w:val="24"/>
      </w:rPr>
    </w:pPr>
    <w:r>
      <w:pict>
        <v:shape id="_x0000_s2087" o:spid="_x0000_s2087" style="position:absolute;left:0pt;margin-left:79.35pt;margin-top:52pt;height:0.75pt;width:442.25pt;mso-position-horizontal-relative:page;mso-position-vertical-relative:page;z-index:251674624;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029E7">
    <w:pPr>
      <w:spacing w:before="61" w:line="222" w:lineRule="auto"/>
      <w:ind w:left="797"/>
      <w:rPr>
        <w:rFonts w:ascii="仿宋" w:hAnsi="仿宋" w:eastAsia="仿宋" w:cs="仿宋"/>
        <w:sz w:val="24"/>
        <w:szCs w:val="24"/>
      </w:rPr>
    </w:pPr>
    <w:r>
      <w:pict>
        <v:shape id="_x0000_s2052" o:spid="_x0000_s2052" style="position:absolute;left:0pt;margin-left:79.35pt;margin-top:52pt;height:0.75pt;width:442.25pt;mso-position-horizontal-relative:page;mso-position-vertical-relative:page;z-index:251663360;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5B505">
    <w:pPr>
      <w:spacing w:before="61" w:line="222" w:lineRule="auto"/>
      <w:ind w:left="3428"/>
      <w:rPr>
        <w:rFonts w:ascii="仿宋" w:hAnsi="仿宋" w:eastAsia="仿宋" w:cs="仿宋"/>
        <w:sz w:val="24"/>
        <w:szCs w:val="24"/>
      </w:rPr>
    </w:pPr>
    <w:r>
      <w:pict>
        <v:shape id="_x0000_s2088" o:spid="_x0000_s2088" style="position:absolute;left:0pt;margin-left:72pt;margin-top:52pt;height:0.75pt;width:697.95pt;mso-position-horizontal-relative:page;mso-position-vertical-relative:page;z-index:251687936;mso-width-relative:page;mso-height-relative:page;" fillcolor="#000000" filled="t" stroked="f" coordsize="13959,15" o:allowincell="f" path="m0,0l13958,0,13958,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CBEAE2">
    <w:pPr>
      <w:spacing w:before="61" w:line="222" w:lineRule="auto"/>
      <w:ind w:left="3331"/>
      <w:rPr>
        <w:rFonts w:ascii="仿宋" w:hAnsi="仿宋" w:eastAsia="仿宋" w:cs="仿宋"/>
        <w:sz w:val="24"/>
        <w:szCs w:val="24"/>
      </w:rPr>
    </w:pPr>
    <w:r>
      <w:pict>
        <v:shape id="_x0000_s2089" o:spid="_x0000_s2089" style="position:absolute;left:0pt;margin-left:72pt;margin-top:52pt;height:0.75pt;width:697.95pt;mso-position-horizontal-relative:page;mso-position-vertical-relative:page;z-index:251692032;mso-width-relative:page;mso-height-relative:page;" fillcolor="#000000" filled="t" stroked="f" coordsize="13959,15" o:allowincell="f" path="m0,0l13958,0,13958,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801D1">
    <w:pPr>
      <w:spacing w:before="61" w:line="222" w:lineRule="auto"/>
      <w:ind w:left="877"/>
      <w:rPr>
        <w:rFonts w:ascii="仿宋" w:hAnsi="仿宋" w:eastAsia="仿宋" w:cs="仿宋"/>
        <w:sz w:val="24"/>
        <w:szCs w:val="24"/>
      </w:rPr>
    </w:pPr>
    <w:r>
      <w:pict>
        <v:shape id="_x0000_s2090" o:spid="_x0000_s2090" style="position:absolute;left:0pt;margin-left:79.35pt;margin-top:52pt;height:0.75pt;width:442.25pt;mso-position-horizontal-relative:page;mso-position-vertical-relative:page;z-index:251675648;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9C091B">
    <w:pPr>
      <w:spacing w:before="61" w:line="222" w:lineRule="auto"/>
      <w:ind w:left="877"/>
      <w:rPr>
        <w:rFonts w:ascii="仿宋" w:hAnsi="仿宋" w:eastAsia="仿宋" w:cs="仿宋"/>
        <w:sz w:val="24"/>
        <w:szCs w:val="24"/>
      </w:rPr>
    </w:pPr>
    <w:r>
      <w:pict>
        <v:shape id="_x0000_s2091" o:spid="_x0000_s2091" style="position:absolute;left:0pt;margin-left:79.35pt;margin-top:52pt;height:0.75pt;width:442.25pt;mso-position-horizontal-relative:page;mso-position-vertical-relative:page;z-index:251693056;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84A864">
    <w:pPr>
      <w:spacing w:before="61" w:line="222" w:lineRule="auto"/>
      <w:ind w:left="769"/>
      <w:rPr>
        <w:rFonts w:ascii="仿宋" w:hAnsi="仿宋" w:eastAsia="仿宋" w:cs="仿宋"/>
        <w:sz w:val="24"/>
        <w:szCs w:val="24"/>
      </w:rPr>
    </w:pPr>
    <w:r>
      <w:pict>
        <v:shape id="_x0000_s2092" o:spid="_x0000_s2092" style="position:absolute;left:0pt;margin-left:79.35pt;margin-top:52pt;height:0.75pt;width:442.25pt;mso-position-horizontal-relative:page;mso-position-vertical-relative:page;z-index:251694080;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8F0FE">
    <w:pPr>
      <w:spacing w:before="61" w:line="222" w:lineRule="auto"/>
      <w:ind w:left="808"/>
      <w:rPr>
        <w:rFonts w:ascii="仿宋" w:hAnsi="仿宋" w:eastAsia="仿宋" w:cs="仿宋"/>
        <w:sz w:val="24"/>
        <w:szCs w:val="24"/>
      </w:rPr>
    </w:pPr>
    <w:r>
      <w:pict>
        <v:shape id="_x0000_s2093" o:spid="_x0000_s2093" style="position:absolute;left:0pt;margin-left:79.35pt;margin-top:52pt;height:0.75pt;width:442.25pt;mso-position-horizontal-relative:page;mso-position-vertical-relative:page;z-index:251695104;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6C3F1">
    <w:pPr>
      <w:spacing w:before="61" w:line="222" w:lineRule="auto"/>
      <w:ind w:left="877"/>
      <w:rPr>
        <w:rFonts w:ascii="仿宋" w:hAnsi="仿宋" w:eastAsia="仿宋" w:cs="仿宋"/>
        <w:sz w:val="24"/>
        <w:szCs w:val="24"/>
      </w:rPr>
    </w:pPr>
    <w:r>
      <w:pict>
        <v:shape id="_x0000_s2094" o:spid="_x0000_s2094" style="position:absolute;left:0pt;margin-left:79.35pt;margin-top:52pt;height:0.75pt;width:442.25pt;mso-position-horizontal-relative:page;mso-position-vertical-relative:page;z-index:251696128;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F56178">
    <w:pPr>
      <w:spacing w:before="61" w:line="222" w:lineRule="auto"/>
      <w:ind w:left="808"/>
      <w:rPr>
        <w:rFonts w:ascii="仿宋" w:hAnsi="仿宋" w:eastAsia="仿宋" w:cs="仿宋"/>
        <w:sz w:val="24"/>
        <w:szCs w:val="24"/>
      </w:rPr>
    </w:pPr>
    <w:r>
      <w:pict>
        <v:shape id="_x0000_s2095" o:spid="_x0000_s2095" style="position:absolute;left:0pt;margin-left:79.35pt;margin-top:52pt;height:0.75pt;width:442.25pt;mso-position-horizontal-relative:page;mso-position-vertical-relative:page;z-index:251697152;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606FC4">
    <w:pPr>
      <w:spacing w:before="61" w:line="222" w:lineRule="auto"/>
      <w:ind w:left="875"/>
      <w:rPr>
        <w:rFonts w:ascii="仿宋" w:hAnsi="仿宋" w:eastAsia="仿宋" w:cs="仿宋"/>
        <w:sz w:val="24"/>
        <w:szCs w:val="24"/>
      </w:rPr>
    </w:pPr>
    <w:r>
      <w:pict>
        <v:shape id="_x0000_s2096" o:spid="_x0000_s2096" style="position:absolute;left:0pt;margin-left:79.35pt;margin-top:52pt;height:0.75pt;width:442.25pt;mso-position-horizontal-relative:page;mso-position-vertical-relative:page;z-index:251674624;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11CC3">
    <w:pPr>
      <w:spacing w:before="61" w:line="222" w:lineRule="auto"/>
      <w:ind w:left="877"/>
      <w:rPr>
        <w:rFonts w:ascii="仿宋" w:hAnsi="仿宋" w:eastAsia="仿宋" w:cs="仿宋"/>
        <w:sz w:val="24"/>
        <w:szCs w:val="24"/>
      </w:rPr>
    </w:pPr>
    <w:r>
      <w:pict>
        <v:shape id="_x0000_s2097" o:spid="_x0000_s2097" style="position:absolute;left:0pt;margin-left:79.35pt;margin-top:52pt;height:0.75pt;width:442.25pt;mso-position-horizontal-relative:page;mso-position-vertical-relative:page;z-index:251693056;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91AF8">
    <w:pPr>
      <w:spacing w:before="61" w:line="222" w:lineRule="auto"/>
      <w:ind w:left="754"/>
      <w:rPr>
        <w:rFonts w:ascii="仿宋" w:hAnsi="仿宋" w:eastAsia="仿宋" w:cs="仿宋"/>
        <w:sz w:val="24"/>
        <w:szCs w:val="24"/>
      </w:rPr>
    </w:pPr>
    <w:r>
      <w:pict>
        <v:shape id="_x0000_s2053" o:spid="_x0000_s2053" style="position:absolute;left:0pt;margin-left:79.35pt;margin-top:52pt;height:0.75pt;width:442.25pt;mso-position-horizontal-relative:page;mso-position-vertical-relative:page;z-index:251664384;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1F2B4">
    <w:pPr>
      <w:spacing w:before="61" w:line="222" w:lineRule="auto"/>
      <w:ind w:left="3428"/>
      <w:rPr>
        <w:rFonts w:ascii="仿宋" w:hAnsi="仿宋" w:eastAsia="仿宋" w:cs="仿宋"/>
        <w:sz w:val="24"/>
        <w:szCs w:val="24"/>
      </w:rPr>
    </w:pPr>
    <w:r>
      <w:pict>
        <v:shape id="_x0000_s2098" o:spid="_x0000_s2098" style="position:absolute;left:0pt;margin-left:72pt;margin-top:52pt;height:0.75pt;width:697.95pt;mso-position-horizontal-relative:page;mso-position-vertical-relative:page;z-index:251687936;mso-width-relative:page;mso-height-relative:page;" fillcolor="#000000" filled="t" stroked="f" coordsize="13959,15" o:allowincell="f" path="m0,0l13958,0,13958,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F559FA">
    <w:pPr>
      <w:spacing w:before="61" w:line="222" w:lineRule="auto"/>
      <w:ind w:left="3433"/>
      <w:rPr>
        <w:rFonts w:ascii="仿宋" w:hAnsi="仿宋" w:eastAsia="仿宋" w:cs="仿宋"/>
        <w:sz w:val="24"/>
        <w:szCs w:val="24"/>
      </w:rPr>
    </w:pPr>
    <w:r>
      <w:pict>
        <v:shape id="_x0000_s2099" o:spid="_x0000_s2099" style="position:absolute;left:0pt;margin-left:72pt;margin-top:52pt;height:0.75pt;width:697.95pt;mso-position-horizontal-relative:page;mso-position-vertical-relative:page;z-index:251698176;mso-width-relative:page;mso-height-relative:page;" fillcolor="#000000" filled="t" stroked="f" coordsize="13959,15" o:allowincell="f" path="m0,0l13958,0,13958,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8007C">
    <w:pPr>
      <w:spacing w:before="61" w:line="222" w:lineRule="auto"/>
      <w:ind w:left="865"/>
      <w:rPr>
        <w:rFonts w:ascii="仿宋" w:hAnsi="仿宋" w:eastAsia="仿宋" w:cs="仿宋"/>
        <w:sz w:val="24"/>
        <w:szCs w:val="24"/>
      </w:rPr>
    </w:pPr>
    <w:r>
      <w:pict>
        <v:shape id="_x0000_s2100" o:spid="_x0000_s2100" style="position:absolute;left:0pt;margin-left:79.35pt;margin-top:52pt;height:0.75pt;width:442.25pt;mso-position-horizontal-relative:page;mso-position-vertical-relative:page;z-index:251699200;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0D4A53">
    <w:pPr>
      <w:spacing w:before="61" w:line="222" w:lineRule="auto"/>
      <w:ind w:left="754"/>
      <w:rPr>
        <w:rFonts w:ascii="仿宋" w:hAnsi="仿宋" w:eastAsia="仿宋" w:cs="仿宋"/>
        <w:sz w:val="24"/>
        <w:szCs w:val="24"/>
      </w:rPr>
    </w:pPr>
    <w:r>
      <w:pict>
        <v:shape id="_x0000_s2101" o:spid="_x0000_s2101" style="position:absolute;left:0pt;margin-left:79.35pt;margin-top:52pt;height:0.75pt;width:442.25pt;mso-position-horizontal-relative:page;mso-position-vertical-relative:page;z-index:251660288;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7BF66F">
    <w:pPr>
      <w:spacing w:before="61" w:line="222" w:lineRule="auto"/>
      <w:ind w:left="3433"/>
      <w:rPr>
        <w:rFonts w:ascii="仿宋" w:hAnsi="仿宋" w:eastAsia="仿宋" w:cs="仿宋"/>
        <w:sz w:val="24"/>
        <w:szCs w:val="24"/>
      </w:rPr>
    </w:pPr>
    <w:r>
      <w:pict>
        <v:shape id="_x0000_s2102" o:spid="_x0000_s2102" style="position:absolute;left:0pt;margin-left:72pt;margin-top:52pt;height:0.75pt;width:697.95pt;mso-position-horizontal-relative:page;mso-position-vertical-relative:page;z-index:251672576;mso-width-relative:page;mso-height-relative:page;" fillcolor="#000000" filled="t" stroked="f" coordsize="13959,15" o:allowincell="f" path="m0,0l13958,0,13958,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FA1A91">
    <w:pPr>
      <w:spacing w:before="61" w:line="222" w:lineRule="auto"/>
      <w:ind w:left="877"/>
      <w:rPr>
        <w:rFonts w:ascii="仿宋" w:hAnsi="仿宋" w:eastAsia="仿宋" w:cs="仿宋"/>
        <w:sz w:val="24"/>
        <w:szCs w:val="24"/>
      </w:rPr>
    </w:pPr>
    <w:r>
      <w:pict>
        <v:shape id="_x0000_s2103" o:spid="_x0000_s2103" style="position:absolute;left:0pt;margin-left:79.35pt;margin-top:52pt;height:0.75pt;width:442.25pt;mso-position-horizontal-relative:page;mso-position-vertical-relative:page;z-index:251693056;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BDFB66">
    <w:pPr>
      <w:spacing w:before="61" w:line="222" w:lineRule="auto"/>
      <w:ind w:left="867"/>
      <w:rPr>
        <w:rFonts w:ascii="仿宋" w:hAnsi="仿宋" w:eastAsia="仿宋" w:cs="仿宋"/>
        <w:sz w:val="24"/>
        <w:szCs w:val="24"/>
      </w:rPr>
    </w:pPr>
    <w:r>
      <w:pict>
        <v:shape id="_x0000_s2104" o:spid="_x0000_s2104" style="position:absolute;left:0pt;margin-left:79.35pt;margin-top:52pt;height:0.75pt;width:442.25pt;mso-position-horizontal-relative:page;mso-position-vertical-relative:page;z-index:251700224;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77D6FD">
    <w:pPr>
      <w:spacing w:before="61" w:line="222" w:lineRule="auto"/>
      <w:ind w:left="754"/>
      <w:rPr>
        <w:rFonts w:ascii="仿宋" w:hAnsi="仿宋" w:eastAsia="仿宋" w:cs="仿宋"/>
        <w:sz w:val="24"/>
        <w:szCs w:val="24"/>
      </w:rPr>
    </w:pPr>
    <w:r>
      <w:pict>
        <v:shape id="_x0000_s2105" o:spid="_x0000_s2105" style="position:absolute;left:0pt;margin-left:79.35pt;margin-top:52pt;height:0.75pt;width:442.25pt;mso-position-horizontal-relative:page;mso-position-vertical-relative:page;z-index:251662336;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CD72B">
    <w:pPr>
      <w:spacing w:before="61" w:line="222" w:lineRule="auto"/>
      <w:ind w:left="784"/>
      <w:rPr>
        <w:rFonts w:ascii="仿宋" w:hAnsi="仿宋" w:eastAsia="仿宋" w:cs="仿宋"/>
        <w:sz w:val="24"/>
        <w:szCs w:val="24"/>
      </w:rPr>
    </w:pPr>
    <w:r>
      <w:pict>
        <v:shape id="_x0000_s2106" o:spid="_x0000_s2106" style="position:absolute;left:0pt;margin-left:79.35pt;margin-top:52pt;height:0.75pt;width:442.25pt;mso-position-horizontal-relative:page;mso-position-vertical-relative:page;z-index:251676672;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60B716">
    <w:pPr>
      <w:spacing w:before="61" w:line="222" w:lineRule="auto"/>
      <w:ind w:left="856"/>
      <w:rPr>
        <w:rFonts w:ascii="仿宋" w:hAnsi="仿宋" w:eastAsia="仿宋" w:cs="仿宋"/>
        <w:sz w:val="24"/>
        <w:szCs w:val="24"/>
      </w:rPr>
    </w:pPr>
    <w:r>
      <w:pict>
        <v:shape id="_x0000_s2107" o:spid="_x0000_s2107" style="position:absolute;left:0pt;margin-left:79.35pt;margin-top:52pt;height:0.75pt;width:442.25pt;mso-position-horizontal-relative:page;mso-position-vertical-relative:page;z-index:251701248;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1"/>
        <w:sz w:val="24"/>
        <w:szCs w:val="24"/>
      </w:rPr>
      <w:t>年）</w:t>
    </w:r>
    <w:r>
      <w:rPr>
        <w:rFonts w:ascii="仿宋" w:hAnsi="仿宋" w:eastAsia="仿宋" w:cs="仿宋"/>
        <w:spacing w:val="-2"/>
        <w:sz w:val="24"/>
        <w:szCs w:val="24"/>
      </w:rPr>
      <w:t>补充环境影响报告书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804D4E">
    <w:pPr>
      <w:spacing w:before="61" w:line="222" w:lineRule="auto"/>
      <w:ind w:left="754"/>
      <w:rPr>
        <w:rFonts w:ascii="仿宋" w:hAnsi="仿宋" w:eastAsia="仿宋" w:cs="仿宋"/>
        <w:sz w:val="24"/>
        <w:szCs w:val="24"/>
      </w:rPr>
    </w:pPr>
    <w:r>
      <w:pict>
        <v:shape id="_x0000_s2054" o:spid="_x0000_s2054" style="position:absolute;left:0pt;margin-left:79.35pt;margin-top:52pt;height:0.75pt;width:442.25pt;mso-position-horizontal-relative:page;mso-position-vertical-relative:page;z-index:251665408;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374D2">
    <w:pPr>
      <w:spacing w:before="61" w:line="222" w:lineRule="auto"/>
      <w:ind w:left="754"/>
      <w:rPr>
        <w:rFonts w:ascii="仿宋" w:hAnsi="仿宋" w:eastAsia="仿宋" w:cs="仿宋"/>
        <w:sz w:val="24"/>
        <w:szCs w:val="24"/>
      </w:rPr>
    </w:pPr>
    <w:r>
      <w:pict>
        <v:shape id="_x0000_s2108" o:spid="_x0000_s2108" style="position:absolute;left:0pt;margin-left:79.35pt;margin-top:52pt;height:0.75pt;width:442.25pt;mso-position-horizontal-relative:page;mso-position-vertical-relative:page;z-index:251702272;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8094B">
    <w:pPr>
      <w:spacing w:before="61" w:line="222" w:lineRule="auto"/>
      <w:ind w:left="877"/>
      <w:rPr>
        <w:rFonts w:ascii="仿宋" w:hAnsi="仿宋" w:eastAsia="仿宋" w:cs="仿宋"/>
        <w:sz w:val="24"/>
        <w:szCs w:val="24"/>
      </w:rPr>
    </w:pPr>
    <w:r>
      <w:pict>
        <v:shape id="_x0000_s2109" o:spid="_x0000_s2109" style="position:absolute;left:0pt;margin-left:79.35pt;margin-top:52pt;height:0.75pt;width:442.25pt;mso-position-horizontal-relative:page;mso-position-vertical-relative:page;z-index:251693056;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0B74AA">
    <w:pPr>
      <w:spacing w:before="61" w:line="222" w:lineRule="auto"/>
      <w:ind w:left="754"/>
      <w:rPr>
        <w:rFonts w:ascii="仿宋" w:hAnsi="仿宋" w:eastAsia="仿宋" w:cs="仿宋"/>
        <w:sz w:val="24"/>
        <w:szCs w:val="24"/>
      </w:rPr>
    </w:pPr>
    <w:r>
      <w:pict>
        <v:shape id="_x0000_s2110" o:spid="_x0000_s2110" style="position:absolute;left:0pt;margin-left:79.35pt;margin-top:52pt;height:0.75pt;width:442.25pt;mso-position-horizontal-relative:page;mso-position-vertical-relative:page;z-index:251661312;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23E01A">
    <w:pPr>
      <w:spacing w:before="61" w:line="222" w:lineRule="auto"/>
      <w:ind w:left="754"/>
      <w:rPr>
        <w:rFonts w:ascii="仿宋" w:hAnsi="仿宋" w:eastAsia="仿宋" w:cs="仿宋"/>
        <w:sz w:val="24"/>
        <w:szCs w:val="24"/>
      </w:rPr>
    </w:pPr>
    <w:r>
      <w:pict>
        <v:shape id="_x0000_s2111" o:spid="_x0000_s2111" style="position:absolute;left:0pt;margin-left:79.35pt;margin-top:52pt;height:0.75pt;width:442.25pt;mso-position-horizontal-relative:page;mso-position-vertical-relative:page;z-index:251673600;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FB737A">
    <w:pPr>
      <w:spacing w:before="61" w:line="222" w:lineRule="auto"/>
      <w:ind w:left="796"/>
      <w:rPr>
        <w:rFonts w:ascii="仿宋" w:hAnsi="仿宋" w:eastAsia="仿宋" w:cs="仿宋"/>
        <w:sz w:val="24"/>
        <w:szCs w:val="24"/>
      </w:rPr>
    </w:pPr>
    <w:r>
      <w:pict>
        <v:shape id="_x0000_s2112" o:spid="_x0000_s2112" style="position:absolute;left:0pt;margin-left:79.35pt;margin-top:52pt;height:0.75pt;width:442.25pt;mso-position-horizontal-relative:page;mso-position-vertical-relative:page;z-index:251703296;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C1511B">
    <w:pPr>
      <w:spacing w:before="61" w:line="222" w:lineRule="auto"/>
      <w:ind w:left="1098"/>
      <w:rPr>
        <w:rFonts w:ascii="仿宋" w:hAnsi="仿宋" w:eastAsia="仿宋" w:cs="仿宋"/>
        <w:sz w:val="24"/>
        <w:szCs w:val="24"/>
      </w:rPr>
    </w:pPr>
    <w:r>
      <w:pict>
        <v:shape id="_x0000_s2113" o:spid="_x0000_s2113" style="position:absolute;left:0pt;margin-left:79.35pt;margin-top:52pt;height:0.75pt;width:442.25pt;mso-position-horizontal-relative:page;mso-position-vertical-relative:page;z-index:251704320;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03F9FA">
    <w:pPr>
      <w:spacing w:before="61" w:line="222" w:lineRule="auto"/>
      <w:ind w:left="877"/>
      <w:rPr>
        <w:rFonts w:ascii="仿宋" w:hAnsi="仿宋" w:eastAsia="仿宋" w:cs="仿宋"/>
        <w:sz w:val="24"/>
        <w:szCs w:val="24"/>
      </w:rPr>
    </w:pPr>
    <w:r>
      <w:pict>
        <v:shape id="_x0000_s2114" o:spid="_x0000_s2114" style="position:absolute;left:0pt;margin-left:79.35pt;margin-top:52pt;height:0.75pt;width:442.25pt;mso-position-horizontal-relative:page;mso-position-vertical-relative:page;z-index:251705344;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F433F7">
    <w:pPr>
      <w:spacing w:before="61" w:line="222" w:lineRule="auto"/>
      <w:ind w:left="877"/>
      <w:rPr>
        <w:rFonts w:ascii="仿宋" w:hAnsi="仿宋" w:eastAsia="仿宋" w:cs="仿宋"/>
        <w:sz w:val="24"/>
        <w:szCs w:val="24"/>
      </w:rPr>
    </w:pPr>
    <w:r>
      <w:pict>
        <v:shape id="_x0000_s2115" o:spid="_x0000_s2115" style="position:absolute;left:0pt;margin-left:79.35pt;margin-top:52pt;height:0.75pt;width:442.25pt;mso-position-horizontal-relative:page;mso-position-vertical-relative:page;z-index:251706368;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63488C">
    <w:pPr>
      <w:spacing w:before="61" w:line="222" w:lineRule="auto"/>
      <w:ind w:left="877"/>
      <w:rPr>
        <w:rFonts w:ascii="仿宋" w:hAnsi="仿宋" w:eastAsia="仿宋" w:cs="仿宋"/>
        <w:sz w:val="24"/>
        <w:szCs w:val="24"/>
      </w:rPr>
    </w:pPr>
    <w:r>
      <w:pict>
        <v:shape id="_x0000_s2116" o:spid="_x0000_s2116" style="position:absolute;left:0pt;margin-left:79.35pt;margin-top:52pt;height:0.75pt;width:442.25pt;mso-position-horizontal-relative:page;mso-position-vertical-relative:page;z-index:251705344;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C23C2">
    <w:pPr>
      <w:spacing w:before="61" w:line="222" w:lineRule="auto"/>
      <w:ind w:left="754"/>
      <w:rPr>
        <w:rFonts w:ascii="仿宋" w:hAnsi="仿宋" w:eastAsia="仿宋" w:cs="仿宋"/>
        <w:sz w:val="24"/>
        <w:szCs w:val="24"/>
      </w:rPr>
    </w:pPr>
    <w:r>
      <w:pict>
        <v:shape id="_x0000_s2117" o:spid="_x0000_s2117" style="position:absolute;left:0pt;margin-left:79.35pt;margin-top:52pt;height:0.75pt;width:442.25pt;mso-position-horizontal-relative:page;mso-position-vertical-relative:page;z-index:251671552;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D9EC87">
    <w:pPr>
      <w:spacing w:before="61" w:line="222" w:lineRule="auto"/>
      <w:ind w:left="754"/>
      <w:rPr>
        <w:rFonts w:ascii="仿宋" w:hAnsi="仿宋" w:eastAsia="仿宋" w:cs="仿宋"/>
        <w:sz w:val="24"/>
        <w:szCs w:val="24"/>
      </w:rPr>
    </w:pPr>
    <w:r>
      <w:pict>
        <v:shape id="_x0000_s2055" o:spid="_x0000_s2055" style="position:absolute;left:0pt;margin-left:79.35pt;margin-top:52pt;height:0.75pt;width:442.25pt;mso-position-horizontal-relative:page;mso-position-vertical-relative:page;z-index:251664384;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1C20E5">
    <w:pPr>
      <w:spacing w:before="61" w:line="222" w:lineRule="auto"/>
      <w:ind w:left="754"/>
      <w:rPr>
        <w:rFonts w:ascii="仿宋" w:hAnsi="仿宋" w:eastAsia="仿宋" w:cs="仿宋"/>
        <w:sz w:val="24"/>
        <w:szCs w:val="24"/>
      </w:rPr>
    </w:pPr>
    <w:r>
      <w:pict>
        <v:shape id="_x0000_s2118" o:spid="_x0000_s2118" style="position:absolute;left:0pt;margin-left:79.35pt;margin-top:52pt;height:0.75pt;width:442.25pt;mso-position-horizontal-relative:page;mso-position-vertical-relative:page;z-index:251662336;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A223F0">
    <w:pPr>
      <w:spacing w:before="61" w:line="222" w:lineRule="auto"/>
      <w:ind w:left="754"/>
      <w:rPr>
        <w:rFonts w:ascii="仿宋" w:hAnsi="仿宋" w:eastAsia="仿宋" w:cs="仿宋"/>
        <w:sz w:val="24"/>
        <w:szCs w:val="24"/>
      </w:rPr>
    </w:pPr>
    <w:r>
      <w:pict>
        <v:shape id="_x0000_s2119" o:spid="_x0000_s2119" style="position:absolute;left:0pt;margin-left:79.35pt;margin-top:52pt;height:0.75pt;width:442.25pt;mso-position-horizontal-relative:page;mso-position-vertical-relative:page;z-index:251671552;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46895">
    <w:pPr>
      <w:spacing w:before="61" w:line="222" w:lineRule="auto"/>
      <w:ind w:left="802"/>
      <w:rPr>
        <w:rFonts w:ascii="仿宋" w:hAnsi="仿宋" w:eastAsia="仿宋" w:cs="仿宋"/>
        <w:sz w:val="24"/>
        <w:szCs w:val="24"/>
      </w:rPr>
    </w:pPr>
    <w:r>
      <w:pict>
        <v:shape id="_x0000_s2120" o:spid="_x0000_s2120" style="position:absolute;left:0pt;margin-left:79.35pt;margin-top:52pt;height:0.75pt;width:442.25pt;mso-position-horizontal-relative:page;mso-position-vertical-relative:page;z-index:251707392;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53E2FA">
    <w:pPr>
      <w:spacing w:before="61" w:line="222" w:lineRule="auto"/>
      <w:ind w:left="877"/>
      <w:rPr>
        <w:rFonts w:ascii="仿宋" w:hAnsi="仿宋" w:eastAsia="仿宋" w:cs="仿宋"/>
        <w:sz w:val="24"/>
        <w:szCs w:val="24"/>
      </w:rPr>
    </w:pPr>
    <w:r>
      <w:pict>
        <v:shape id="_x0000_s2121" o:spid="_x0000_s2121" style="position:absolute;left:0pt;margin-left:79.35pt;margin-top:52pt;height:0.75pt;width:442.25pt;mso-position-horizontal-relative:page;mso-position-vertical-relative:page;z-index:251693056;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B108B4">
    <w:pPr>
      <w:spacing w:before="61" w:line="222" w:lineRule="auto"/>
      <w:ind w:left="754"/>
      <w:rPr>
        <w:rFonts w:ascii="仿宋" w:hAnsi="仿宋" w:eastAsia="仿宋" w:cs="仿宋"/>
        <w:sz w:val="24"/>
        <w:szCs w:val="24"/>
      </w:rPr>
    </w:pPr>
    <w:r>
      <w:pict>
        <v:shape id="_x0000_s2122" o:spid="_x0000_s2122" style="position:absolute;left:0pt;margin-left:79.35pt;margin-top:52pt;height:0.75pt;width:442.25pt;mso-position-horizontal-relative:page;mso-position-vertical-relative:page;z-index:251671552;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769B1">
    <w:pPr>
      <w:spacing w:before="61" w:line="222" w:lineRule="auto"/>
      <w:ind w:left="754"/>
      <w:rPr>
        <w:rFonts w:ascii="仿宋" w:hAnsi="仿宋" w:eastAsia="仿宋" w:cs="仿宋"/>
        <w:sz w:val="24"/>
        <w:szCs w:val="24"/>
      </w:rPr>
    </w:pPr>
    <w:r>
      <w:pict>
        <v:shape id="_x0000_s2123" o:spid="_x0000_s2123" style="position:absolute;left:0pt;margin-left:79.35pt;margin-top:52pt;height:0.75pt;width:442.25pt;mso-position-horizontal-relative:page;mso-position-vertical-relative:page;z-index:251708416;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3307EF">
    <w:pPr>
      <w:spacing w:before="61" w:line="222" w:lineRule="auto"/>
      <w:ind w:left="784"/>
      <w:rPr>
        <w:rFonts w:ascii="仿宋" w:hAnsi="仿宋" w:eastAsia="仿宋" w:cs="仿宋"/>
        <w:sz w:val="24"/>
        <w:szCs w:val="24"/>
      </w:rPr>
    </w:pPr>
    <w:r>
      <w:pict>
        <v:shape id="_x0000_s2124" o:spid="_x0000_s2124" style="position:absolute;left:0pt;margin-left:79.35pt;margin-top:52pt;height:0.75pt;width:442.25pt;mso-position-horizontal-relative:page;mso-position-vertical-relative:page;z-index:251676672;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1700BF">
    <w:pPr>
      <w:spacing w:before="61" w:line="222" w:lineRule="auto"/>
      <w:ind w:left="784"/>
      <w:rPr>
        <w:rFonts w:ascii="仿宋" w:hAnsi="仿宋" w:eastAsia="仿宋" w:cs="仿宋"/>
        <w:sz w:val="24"/>
        <w:szCs w:val="24"/>
      </w:rPr>
    </w:pPr>
    <w:r>
      <w:pict>
        <v:shape id="_x0000_s2125" o:spid="_x0000_s2125" style="position:absolute;left:0pt;margin-left:79.35pt;margin-top:52pt;height:0.75pt;width:442.25pt;mso-position-horizontal-relative:page;mso-position-vertical-relative:page;z-index:251709440;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A4D7CE">
    <w:pPr>
      <w:spacing w:before="61" w:line="222" w:lineRule="auto"/>
      <w:ind w:left="754"/>
      <w:rPr>
        <w:rFonts w:ascii="仿宋" w:hAnsi="仿宋" w:eastAsia="仿宋" w:cs="仿宋"/>
        <w:sz w:val="24"/>
        <w:szCs w:val="24"/>
      </w:rPr>
    </w:pPr>
    <w:r>
      <w:pict>
        <v:shape id="_x0000_s2126" o:spid="_x0000_s2126" style="position:absolute;left:0pt;margin-left:79.35pt;margin-top:52pt;height:0.75pt;width:442.25pt;mso-position-horizontal-relative:page;mso-position-vertical-relative:page;z-index:251671552;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183F00">
    <w:pPr>
      <w:spacing w:before="61" w:line="222" w:lineRule="auto"/>
      <w:ind w:left="754"/>
      <w:rPr>
        <w:rFonts w:ascii="仿宋" w:hAnsi="仿宋" w:eastAsia="仿宋" w:cs="仿宋"/>
        <w:sz w:val="24"/>
        <w:szCs w:val="24"/>
      </w:rPr>
    </w:pPr>
    <w:r>
      <w:pict>
        <v:shape id="_x0000_s2127" o:spid="_x0000_s2127" style="position:absolute;left:0pt;margin-left:79.35pt;margin-top:52pt;height:0.75pt;width:442.25pt;mso-position-horizontal-relative:page;mso-position-vertical-relative:page;z-index:251662336;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E51AC7">
    <w:pPr>
      <w:spacing w:before="61" w:line="222" w:lineRule="auto"/>
      <w:ind w:left="754"/>
      <w:rPr>
        <w:rFonts w:ascii="仿宋" w:hAnsi="仿宋" w:eastAsia="仿宋" w:cs="仿宋"/>
        <w:sz w:val="24"/>
        <w:szCs w:val="24"/>
      </w:rPr>
    </w:pPr>
    <w:r>
      <w:pict>
        <v:shape id="_x0000_s2056" o:spid="_x0000_s2056" style="position:absolute;left:0pt;margin-left:79.35pt;margin-top:52pt;height:0.75pt;width:442.25pt;mso-position-horizontal-relative:page;mso-position-vertical-relative:page;z-index:251668480;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C1FFAD">
    <w:pPr>
      <w:spacing w:before="61" w:line="222" w:lineRule="auto"/>
      <w:ind w:left="754"/>
      <w:rPr>
        <w:rFonts w:ascii="仿宋" w:hAnsi="仿宋" w:eastAsia="仿宋" w:cs="仿宋"/>
        <w:sz w:val="24"/>
        <w:szCs w:val="24"/>
      </w:rPr>
    </w:pPr>
    <w:r>
      <w:pict>
        <v:shape id="_x0000_s2128" o:spid="_x0000_s2128" style="position:absolute;left:0pt;margin-left:79.35pt;margin-top:52pt;height:0.75pt;width:442.25pt;mso-position-horizontal-relative:page;mso-position-vertical-relative:page;z-index:251671552;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CD8E61">
    <w:pPr>
      <w:spacing w:before="61" w:line="222" w:lineRule="auto"/>
      <w:ind w:left="754"/>
      <w:rPr>
        <w:rFonts w:ascii="仿宋" w:hAnsi="仿宋" w:eastAsia="仿宋" w:cs="仿宋"/>
        <w:sz w:val="24"/>
        <w:szCs w:val="24"/>
      </w:rPr>
    </w:pPr>
    <w:r>
      <w:pict>
        <v:shape id="_x0000_s2129" o:spid="_x0000_s2129" style="position:absolute;left:0pt;margin-left:79.35pt;margin-top:52pt;height:0.75pt;width:442.25pt;mso-position-horizontal-relative:page;mso-position-vertical-relative:page;z-index:251710464;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C9B6D2">
    <w:pPr>
      <w:spacing w:before="61" w:line="222" w:lineRule="auto"/>
      <w:ind w:left="754"/>
      <w:rPr>
        <w:rFonts w:ascii="仿宋" w:hAnsi="仿宋" w:eastAsia="仿宋" w:cs="仿宋"/>
        <w:sz w:val="24"/>
        <w:szCs w:val="24"/>
      </w:rPr>
    </w:pPr>
    <w:r>
      <w:pict>
        <v:shape id="_x0000_s2130" o:spid="_x0000_s2130" style="position:absolute;left:0pt;margin-left:79.35pt;margin-top:52pt;height:0.75pt;width:442.25pt;mso-position-horizontal-relative:page;mso-position-vertical-relative:page;z-index:251662336;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F8E7E0">
    <w:pPr>
      <w:spacing w:before="61" w:line="222" w:lineRule="auto"/>
      <w:ind w:left="784"/>
      <w:rPr>
        <w:rFonts w:ascii="仿宋" w:hAnsi="仿宋" w:eastAsia="仿宋" w:cs="仿宋"/>
        <w:sz w:val="24"/>
        <w:szCs w:val="24"/>
      </w:rPr>
    </w:pPr>
    <w:r>
      <w:pict>
        <v:shape id="_x0000_s2131" o:spid="_x0000_s2131" style="position:absolute;left:0pt;margin-left:79.35pt;margin-top:52pt;height:0.75pt;width:442.25pt;mso-position-horizontal-relative:page;mso-position-vertical-relative:page;z-index:251711488;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FDA763">
    <w:pPr>
      <w:spacing w:before="61" w:line="222" w:lineRule="auto"/>
      <w:ind w:left="754"/>
      <w:rPr>
        <w:rFonts w:ascii="仿宋" w:hAnsi="仿宋" w:eastAsia="仿宋" w:cs="仿宋"/>
        <w:sz w:val="24"/>
        <w:szCs w:val="24"/>
      </w:rPr>
    </w:pPr>
    <w:r>
      <w:pict>
        <v:shape id="_x0000_s2132" o:spid="_x0000_s2132" style="position:absolute;left:0pt;margin-left:79.35pt;margin-top:52pt;height:0.75pt;width:442.25pt;mso-position-horizontal-relative:page;mso-position-vertical-relative:page;z-index:251710464;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7A3F50">
    <w:pPr>
      <w:spacing w:before="61" w:line="222" w:lineRule="auto"/>
      <w:ind w:left="754"/>
      <w:rPr>
        <w:rFonts w:ascii="仿宋" w:hAnsi="仿宋" w:eastAsia="仿宋" w:cs="仿宋"/>
        <w:sz w:val="24"/>
        <w:szCs w:val="24"/>
      </w:rPr>
    </w:pPr>
    <w:r>
      <w:pict>
        <v:shape id="_x0000_s2133" o:spid="_x0000_s2133" style="position:absolute;left:0pt;margin-left:79.35pt;margin-top:52pt;height:0.75pt;width:442.25pt;mso-position-horizontal-relative:page;mso-position-vertical-relative:page;z-index:251673600;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56BFB8">
    <w:pPr>
      <w:spacing w:before="61" w:line="222" w:lineRule="auto"/>
      <w:ind w:left="3433"/>
      <w:rPr>
        <w:rFonts w:ascii="仿宋" w:hAnsi="仿宋" w:eastAsia="仿宋" w:cs="仿宋"/>
        <w:sz w:val="24"/>
        <w:szCs w:val="24"/>
      </w:rPr>
    </w:pPr>
    <w:r>
      <w:pict>
        <v:shape id="_x0000_s2134" o:spid="_x0000_s2134" style="position:absolute;left:0pt;margin-left:72pt;margin-top:52pt;height:0.75pt;width:697.95pt;mso-position-horizontal-relative:page;mso-position-vertical-relative:page;z-index:251698176;mso-width-relative:page;mso-height-relative:page;" fillcolor="#000000" filled="t" stroked="f" coordsize="13959,15" o:allowincell="f" path="m0,0l13958,0,13958,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48C5A8">
    <w:pPr>
      <w:spacing w:before="61" w:line="222" w:lineRule="auto"/>
      <w:ind w:left="875"/>
      <w:rPr>
        <w:rFonts w:ascii="仿宋" w:hAnsi="仿宋" w:eastAsia="仿宋" w:cs="仿宋"/>
        <w:sz w:val="24"/>
        <w:szCs w:val="24"/>
      </w:rPr>
    </w:pPr>
    <w:r>
      <w:pict>
        <v:shape id="_x0000_s2135" o:spid="_x0000_s2135" style="position:absolute;left:0pt;margin-left:79.35pt;margin-top:52pt;height:0.75pt;width:442.25pt;mso-position-horizontal-relative:page;mso-position-vertical-relative:page;z-index:251674624;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DCDB76">
    <w:pPr>
      <w:spacing w:before="61" w:line="222" w:lineRule="auto"/>
      <w:ind w:left="754"/>
      <w:rPr>
        <w:rFonts w:ascii="仿宋" w:hAnsi="仿宋" w:eastAsia="仿宋" w:cs="仿宋"/>
        <w:sz w:val="24"/>
        <w:szCs w:val="24"/>
      </w:rPr>
    </w:pPr>
    <w:r>
      <w:pict>
        <v:shape id="_x0000_s2136" o:spid="_x0000_s2136" style="position:absolute;left:0pt;margin-left:79.35pt;margin-top:52pt;height:0.75pt;width:442.25pt;mso-position-horizontal-relative:page;mso-position-vertical-relative:page;z-index:251662336;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5559BB">
    <w:pPr>
      <w:spacing w:before="61" w:line="222" w:lineRule="auto"/>
      <w:ind w:left="754"/>
      <w:rPr>
        <w:rFonts w:ascii="仿宋" w:hAnsi="仿宋" w:eastAsia="仿宋" w:cs="仿宋"/>
        <w:sz w:val="24"/>
        <w:szCs w:val="24"/>
      </w:rPr>
    </w:pPr>
    <w:r>
      <w:pict>
        <v:shape id="_x0000_s2137" o:spid="_x0000_s2137" style="position:absolute;left:0pt;margin-left:79.35pt;margin-top:52pt;height:0.75pt;width:442.25pt;mso-position-horizontal-relative:page;mso-position-vertical-relative:page;z-index:251665408;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2274C4">
    <w:pPr>
      <w:spacing w:before="61" w:line="222" w:lineRule="auto"/>
      <w:ind w:left="754"/>
      <w:rPr>
        <w:rFonts w:ascii="仿宋" w:hAnsi="仿宋" w:eastAsia="仿宋" w:cs="仿宋"/>
        <w:sz w:val="24"/>
        <w:szCs w:val="24"/>
      </w:rPr>
    </w:pPr>
    <w:r>
      <w:pict>
        <v:shape id="_x0000_s2057" o:spid="_x0000_s2057" style="position:absolute;left:0pt;margin-left:79.35pt;margin-top:52pt;height:0.75pt;width:442.25pt;mso-position-horizontal-relative:page;mso-position-vertical-relative:page;z-index:251664384;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19F29">
    <w:pPr>
      <w:spacing w:before="61" w:line="222" w:lineRule="auto"/>
      <w:ind w:left="754"/>
      <w:rPr>
        <w:rFonts w:ascii="仿宋" w:hAnsi="仿宋" w:eastAsia="仿宋" w:cs="仿宋"/>
        <w:sz w:val="24"/>
        <w:szCs w:val="24"/>
      </w:rPr>
    </w:pPr>
    <w:r>
      <w:pict>
        <v:shape id="_x0000_s2138" o:spid="_x0000_s2138" style="position:absolute;left:0pt;margin-left:79.35pt;margin-top:52pt;height:0.75pt;width:442.25pt;mso-position-horizontal-relative:page;mso-position-vertical-relative:page;z-index:251671552;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046E1C">
    <w:pPr>
      <w:spacing w:before="61" w:line="222" w:lineRule="auto"/>
      <w:ind w:left="754"/>
      <w:rPr>
        <w:rFonts w:ascii="仿宋" w:hAnsi="仿宋" w:eastAsia="仿宋" w:cs="仿宋"/>
        <w:sz w:val="24"/>
        <w:szCs w:val="24"/>
      </w:rPr>
    </w:pPr>
    <w:r>
      <w:pict>
        <v:shape id="_x0000_s2139" o:spid="_x0000_s2139" style="position:absolute;left:0pt;margin-left:79.35pt;margin-top:52pt;height:0.75pt;width:442.25pt;mso-position-horizontal-relative:page;mso-position-vertical-relative:page;z-index:251662336;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B25AEB">
    <w:pPr>
      <w:spacing w:before="61" w:line="222" w:lineRule="auto"/>
      <w:ind w:left="802"/>
      <w:rPr>
        <w:rFonts w:ascii="仿宋" w:hAnsi="仿宋" w:eastAsia="仿宋" w:cs="仿宋"/>
        <w:sz w:val="24"/>
        <w:szCs w:val="24"/>
      </w:rPr>
    </w:pPr>
    <w:r>
      <w:pict>
        <v:shape id="_x0000_s2140" o:spid="_x0000_s2140" style="position:absolute;left:0pt;margin-left:79.35pt;margin-top:52pt;height:0.75pt;width:442.25pt;mso-position-horizontal-relative:page;mso-position-vertical-relative:page;z-index:251712512;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3A64C5">
    <w:pPr>
      <w:spacing w:before="61" w:line="222" w:lineRule="auto"/>
      <w:ind w:left="754"/>
      <w:rPr>
        <w:rFonts w:ascii="仿宋" w:hAnsi="仿宋" w:eastAsia="仿宋" w:cs="仿宋"/>
        <w:sz w:val="24"/>
        <w:szCs w:val="24"/>
      </w:rPr>
    </w:pPr>
    <w:r>
      <w:pict>
        <v:shape id="_x0000_s2141" o:spid="_x0000_s2141" style="position:absolute;left:0pt;margin-left:79.35pt;margin-top:52pt;height:0.75pt;width:442.25pt;mso-position-horizontal-relative:page;mso-position-vertical-relative:page;z-index:251671552;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4BEFA">
    <w:pPr>
      <w:spacing w:before="61" w:line="222" w:lineRule="auto"/>
      <w:ind w:left="754"/>
      <w:rPr>
        <w:rFonts w:ascii="仿宋" w:hAnsi="仿宋" w:eastAsia="仿宋" w:cs="仿宋"/>
        <w:sz w:val="24"/>
        <w:szCs w:val="24"/>
      </w:rPr>
    </w:pPr>
    <w:r>
      <w:pict>
        <v:shape id="_x0000_s2142" o:spid="_x0000_s2142" style="position:absolute;left:0pt;margin-left:79.35pt;margin-top:52pt;height:0.75pt;width:442.25pt;mso-position-horizontal-relative:page;mso-position-vertical-relative:page;z-index:251665408;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54BA3">
    <w:pPr>
      <w:spacing w:before="61" w:line="222" w:lineRule="auto"/>
      <w:ind w:left="754"/>
      <w:rPr>
        <w:rFonts w:ascii="仿宋" w:hAnsi="仿宋" w:eastAsia="仿宋" w:cs="仿宋"/>
        <w:sz w:val="24"/>
        <w:szCs w:val="24"/>
      </w:rPr>
    </w:pPr>
    <w:r>
      <w:pict>
        <v:shape id="_x0000_s2143" o:spid="_x0000_s2143" style="position:absolute;left:0pt;margin-left:79.35pt;margin-top:52pt;height:0.75pt;width:442.25pt;mso-position-horizontal-relative:page;mso-position-vertical-relative:page;z-index:251713536;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48301B">
    <w:pPr>
      <w:spacing w:before="61" w:line="222" w:lineRule="auto"/>
      <w:ind w:left="754"/>
      <w:rPr>
        <w:rFonts w:ascii="仿宋" w:hAnsi="仿宋" w:eastAsia="仿宋" w:cs="仿宋"/>
        <w:sz w:val="24"/>
        <w:szCs w:val="24"/>
      </w:rPr>
    </w:pPr>
    <w:r>
      <w:pict>
        <v:shape id="_x0000_s2144" o:spid="_x0000_s2144" style="position:absolute;left:0pt;margin-left:79.35pt;margin-top:52pt;height:0.75pt;width:442.25pt;mso-position-horizontal-relative:page;mso-position-vertical-relative:page;z-index:251661312;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5117CD">
    <w:pPr>
      <w:spacing w:before="61" w:line="222" w:lineRule="auto"/>
      <w:ind w:left="877"/>
      <w:rPr>
        <w:rFonts w:ascii="仿宋" w:hAnsi="仿宋" w:eastAsia="仿宋" w:cs="仿宋"/>
        <w:sz w:val="24"/>
        <w:szCs w:val="24"/>
      </w:rPr>
    </w:pPr>
    <w:r>
      <w:pict>
        <v:shape id="_x0000_s2145" o:spid="_x0000_s2145" style="position:absolute;left:0pt;margin-left:79.35pt;margin-top:52pt;height:0.75pt;width:442.25pt;mso-position-horizontal-relative:page;mso-position-vertical-relative:page;z-index:251714560;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497F81">
    <w:pPr>
      <w:spacing w:before="61" w:line="222" w:lineRule="auto"/>
      <w:ind w:left="754"/>
      <w:rPr>
        <w:rFonts w:ascii="仿宋" w:hAnsi="仿宋" w:eastAsia="仿宋" w:cs="仿宋"/>
        <w:sz w:val="24"/>
        <w:szCs w:val="24"/>
      </w:rPr>
    </w:pPr>
    <w:r>
      <w:pict>
        <v:shape id="_x0000_s2146" o:spid="_x0000_s2146" style="position:absolute;left:0pt;margin-left:79.35pt;margin-top:52pt;height:0.75pt;width:442.25pt;mso-position-horizontal-relative:page;mso-position-vertical-relative:page;z-index:251673600;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EAE483">
    <w:pPr>
      <w:spacing w:before="61" w:line="222" w:lineRule="auto"/>
      <w:ind w:left="754"/>
      <w:rPr>
        <w:rFonts w:ascii="仿宋" w:hAnsi="仿宋" w:eastAsia="仿宋" w:cs="仿宋"/>
        <w:sz w:val="24"/>
        <w:szCs w:val="24"/>
      </w:rPr>
    </w:pPr>
    <w:r>
      <w:pict>
        <v:shape id="_x0000_s2147" o:spid="_x0000_s2147" style="position:absolute;left:0pt;margin-left:79.35pt;margin-top:52pt;height:0.75pt;width:442.25pt;mso-position-horizontal-relative:page;mso-position-vertical-relative:page;z-index:251671552;mso-width-relative:page;mso-height-relative:page;" fillcolor="#000000" filled="t" stroked="f" coordsize="8845,15" o:allowincell="f" path="m0,0l8844,0,8844,14,0,14,0,0xe">
          <v:path/>
          <v:fill on="t" focussize="0,0"/>
          <v:stroke on="f"/>
          <v:imagedata o:title=""/>
          <o:lock v:ext="edit"/>
        </v:shape>
      </w:pict>
    </w:r>
    <w:r>
      <w:rPr>
        <w:rFonts w:ascii="仿宋" w:hAnsi="仿宋" w:eastAsia="仿宋" w:cs="仿宋"/>
        <w:spacing w:val="-1"/>
        <w:sz w:val="24"/>
        <w:szCs w:val="24"/>
      </w:rPr>
      <w:t>重庆市黔江区矿产资源总体规划（2021-2025</w:t>
    </w:r>
    <w:r>
      <w:rPr>
        <w:rFonts w:ascii="仿宋" w:hAnsi="仿宋" w:eastAsia="仿宋" w:cs="仿宋"/>
        <w:spacing w:val="-39"/>
        <w:sz w:val="24"/>
        <w:szCs w:val="24"/>
      </w:rPr>
      <w:t xml:space="preserve"> </w:t>
    </w:r>
    <w:r>
      <w:rPr>
        <w:rFonts w:ascii="仿宋" w:hAnsi="仿宋" w:eastAsia="仿宋" w:cs="仿宋"/>
        <w:spacing w:val="-2"/>
        <w:sz w:val="24"/>
        <w:szCs w:val="24"/>
      </w:rPr>
      <w:t>年）补充环境影响报告书</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2DBC59A2"/>
    <w:rsid w:val="514D21EC"/>
    <w:rsid w:val="5C107A6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autoRedefine/>
    <w:semiHidden/>
    <w:qFormat/>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仿宋" w:hAnsi="仿宋" w:eastAsia="仿宋" w:cs="仿宋"/>
      <w:sz w:val="22"/>
      <w:szCs w:val="22"/>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61.xml"/><Relationship Id="rId98" Type="http://schemas.openxmlformats.org/officeDocument/2006/relationships/footer" Target="footer60.xml"/><Relationship Id="rId97" Type="http://schemas.openxmlformats.org/officeDocument/2006/relationships/header" Target="header34.xml"/><Relationship Id="rId96" Type="http://schemas.openxmlformats.org/officeDocument/2006/relationships/footer" Target="footer59.xml"/><Relationship Id="rId95" Type="http://schemas.openxmlformats.org/officeDocument/2006/relationships/header" Target="header33.xml"/><Relationship Id="rId94" Type="http://schemas.openxmlformats.org/officeDocument/2006/relationships/footer" Target="footer58.xml"/><Relationship Id="rId93" Type="http://schemas.openxmlformats.org/officeDocument/2006/relationships/footer" Target="footer57.xml"/><Relationship Id="rId92" Type="http://schemas.openxmlformats.org/officeDocument/2006/relationships/footer" Target="footer56.xml"/><Relationship Id="rId91" Type="http://schemas.openxmlformats.org/officeDocument/2006/relationships/footer" Target="footer55.xml"/><Relationship Id="rId90" Type="http://schemas.openxmlformats.org/officeDocument/2006/relationships/footer" Target="footer54.xml"/><Relationship Id="rId9" Type="http://schemas.openxmlformats.org/officeDocument/2006/relationships/header" Target="header3.xml"/><Relationship Id="rId89" Type="http://schemas.openxmlformats.org/officeDocument/2006/relationships/header" Target="header32.xml"/><Relationship Id="rId88" Type="http://schemas.openxmlformats.org/officeDocument/2006/relationships/footer" Target="footer53.xml"/><Relationship Id="rId87" Type="http://schemas.openxmlformats.org/officeDocument/2006/relationships/footer" Target="footer52.xml"/><Relationship Id="rId86" Type="http://schemas.openxmlformats.org/officeDocument/2006/relationships/footer" Target="footer51.xml"/><Relationship Id="rId85" Type="http://schemas.openxmlformats.org/officeDocument/2006/relationships/footer" Target="footer50.xml"/><Relationship Id="rId84" Type="http://schemas.openxmlformats.org/officeDocument/2006/relationships/footer" Target="footer49.xml"/><Relationship Id="rId83" Type="http://schemas.openxmlformats.org/officeDocument/2006/relationships/footer" Target="footer48.xml"/><Relationship Id="rId82" Type="http://schemas.openxmlformats.org/officeDocument/2006/relationships/header" Target="header31.xml"/><Relationship Id="rId81" Type="http://schemas.openxmlformats.org/officeDocument/2006/relationships/footer" Target="footer47.xml"/><Relationship Id="rId80" Type="http://schemas.openxmlformats.org/officeDocument/2006/relationships/header" Target="header30.xml"/><Relationship Id="rId8" Type="http://schemas.openxmlformats.org/officeDocument/2006/relationships/footer" Target="footer2.xml"/><Relationship Id="rId79" Type="http://schemas.openxmlformats.org/officeDocument/2006/relationships/footer" Target="footer46.xml"/><Relationship Id="rId78" Type="http://schemas.openxmlformats.org/officeDocument/2006/relationships/footer" Target="footer45.xml"/><Relationship Id="rId77" Type="http://schemas.openxmlformats.org/officeDocument/2006/relationships/footer" Target="footer44.xml"/><Relationship Id="rId76" Type="http://schemas.openxmlformats.org/officeDocument/2006/relationships/footer" Target="footer43.xml"/><Relationship Id="rId75" Type="http://schemas.openxmlformats.org/officeDocument/2006/relationships/footer" Target="footer42.xml"/><Relationship Id="rId74" Type="http://schemas.openxmlformats.org/officeDocument/2006/relationships/footer" Target="footer41.xml"/><Relationship Id="rId73" Type="http://schemas.openxmlformats.org/officeDocument/2006/relationships/footer" Target="footer40.xml"/><Relationship Id="rId72" Type="http://schemas.openxmlformats.org/officeDocument/2006/relationships/footer" Target="footer39.xml"/><Relationship Id="rId71" Type="http://schemas.openxmlformats.org/officeDocument/2006/relationships/footer" Target="footer38.xml"/><Relationship Id="rId70" Type="http://schemas.openxmlformats.org/officeDocument/2006/relationships/header" Target="header29.xml"/><Relationship Id="rId7" Type="http://schemas.openxmlformats.org/officeDocument/2006/relationships/header" Target="header2.xml"/><Relationship Id="rId69" Type="http://schemas.openxmlformats.org/officeDocument/2006/relationships/footer" Target="footer37.xml"/><Relationship Id="rId68" Type="http://schemas.openxmlformats.org/officeDocument/2006/relationships/header" Target="header28.xml"/><Relationship Id="rId67" Type="http://schemas.openxmlformats.org/officeDocument/2006/relationships/footer" Target="footer36.xml"/><Relationship Id="rId66" Type="http://schemas.openxmlformats.org/officeDocument/2006/relationships/footer" Target="footer35.xml"/><Relationship Id="rId65" Type="http://schemas.openxmlformats.org/officeDocument/2006/relationships/footer" Target="footer34.xml"/><Relationship Id="rId64" Type="http://schemas.openxmlformats.org/officeDocument/2006/relationships/footer" Target="footer33.xml"/><Relationship Id="rId63" Type="http://schemas.openxmlformats.org/officeDocument/2006/relationships/footer" Target="footer32.xml"/><Relationship Id="rId62" Type="http://schemas.openxmlformats.org/officeDocument/2006/relationships/header" Target="header27.xml"/><Relationship Id="rId61" Type="http://schemas.openxmlformats.org/officeDocument/2006/relationships/footer" Target="footer31.xml"/><Relationship Id="rId60" Type="http://schemas.openxmlformats.org/officeDocument/2006/relationships/footer" Target="footer30.xml"/><Relationship Id="rId6" Type="http://schemas.openxmlformats.org/officeDocument/2006/relationships/footer" Target="footer1.xml"/><Relationship Id="rId59" Type="http://schemas.openxmlformats.org/officeDocument/2006/relationships/header" Target="header26.xml"/><Relationship Id="rId58" Type="http://schemas.openxmlformats.org/officeDocument/2006/relationships/footer" Target="footer29.xml"/><Relationship Id="rId57" Type="http://schemas.openxmlformats.org/officeDocument/2006/relationships/header" Target="header25.xml"/><Relationship Id="rId56" Type="http://schemas.openxmlformats.org/officeDocument/2006/relationships/footer" Target="footer28.xml"/><Relationship Id="rId55" Type="http://schemas.openxmlformats.org/officeDocument/2006/relationships/header" Target="header24.xml"/><Relationship Id="rId54" Type="http://schemas.openxmlformats.org/officeDocument/2006/relationships/footer" Target="footer27.xml"/><Relationship Id="rId53" Type="http://schemas.openxmlformats.org/officeDocument/2006/relationships/header" Target="header23.xml"/><Relationship Id="rId52" Type="http://schemas.openxmlformats.org/officeDocument/2006/relationships/footer" Target="footer26.xml"/><Relationship Id="rId51" Type="http://schemas.openxmlformats.org/officeDocument/2006/relationships/header" Target="header22.xml"/><Relationship Id="rId50" Type="http://schemas.openxmlformats.org/officeDocument/2006/relationships/footer" Target="footer25.xml"/><Relationship Id="rId5" Type="http://schemas.openxmlformats.org/officeDocument/2006/relationships/header" Target="header1.xml"/><Relationship Id="rId49" Type="http://schemas.openxmlformats.org/officeDocument/2006/relationships/header" Target="header21.xml"/><Relationship Id="rId48" Type="http://schemas.openxmlformats.org/officeDocument/2006/relationships/footer" Target="footer24.xml"/><Relationship Id="rId47" Type="http://schemas.openxmlformats.org/officeDocument/2006/relationships/header" Target="header20.xml"/><Relationship Id="rId46" Type="http://schemas.openxmlformats.org/officeDocument/2006/relationships/footer" Target="footer23.xml"/><Relationship Id="rId45" Type="http://schemas.openxmlformats.org/officeDocument/2006/relationships/header" Target="header19.xml"/><Relationship Id="rId44" Type="http://schemas.openxmlformats.org/officeDocument/2006/relationships/footer" Target="footer22.xml"/><Relationship Id="rId43" Type="http://schemas.openxmlformats.org/officeDocument/2006/relationships/header" Target="header18.xml"/><Relationship Id="rId42" Type="http://schemas.openxmlformats.org/officeDocument/2006/relationships/footer" Target="footer21.xml"/><Relationship Id="rId41" Type="http://schemas.openxmlformats.org/officeDocument/2006/relationships/footer" Target="footer20.xml"/><Relationship Id="rId40" Type="http://schemas.openxmlformats.org/officeDocument/2006/relationships/header" Target="header17.xml"/><Relationship Id="rId4" Type="http://schemas.openxmlformats.org/officeDocument/2006/relationships/endnotes" Target="endnotes.xml"/><Relationship Id="rId39" Type="http://schemas.openxmlformats.org/officeDocument/2006/relationships/footer" Target="footer19.xml"/><Relationship Id="rId38" Type="http://schemas.openxmlformats.org/officeDocument/2006/relationships/header" Target="header16.xml"/><Relationship Id="rId37" Type="http://schemas.openxmlformats.org/officeDocument/2006/relationships/footer" Target="footer18.xml"/><Relationship Id="rId36" Type="http://schemas.openxmlformats.org/officeDocument/2006/relationships/header" Target="header15.xml"/><Relationship Id="rId35" Type="http://schemas.openxmlformats.org/officeDocument/2006/relationships/footer" Target="footer17.xml"/><Relationship Id="rId34" Type="http://schemas.openxmlformats.org/officeDocument/2006/relationships/header" Target="header14.xml"/><Relationship Id="rId33" Type="http://schemas.openxmlformats.org/officeDocument/2006/relationships/footer" Target="footer16.xml"/><Relationship Id="rId32" Type="http://schemas.openxmlformats.org/officeDocument/2006/relationships/header" Target="header13.xml"/><Relationship Id="rId31" Type="http://schemas.openxmlformats.org/officeDocument/2006/relationships/footer" Target="footer15.xml"/><Relationship Id="rId30" Type="http://schemas.openxmlformats.org/officeDocument/2006/relationships/header" Target="header12.xml"/><Relationship Id="rId3" Type="http://schemas.openxmlformats.org/officeDocument/2006/relationships/footnotes" Target="footnotes.xml"/><Relationship Id="rId293" Type="http://schemas.openxmlformats.org/officeDocument/2006/relationships/fontTable" Target="fontTable.xml"/><Relationship Id="rId292" Type="http://schemas.openxmlformats.org/officeDocument/2006/relationships/customXml" Target="../customXml/item1.xml"/><Relationship Id="rId291" Type="http://schemas.openxmlformats.org/officeDocument/2006/relationships/image" Target="media/image23.jpeg"/><Relationship Id="rId290" Type="http://schemas.openxmlformats.org/officeDocument/2006/relationships/image" Target="media/image22.jpeg"/><Relationship Id="rId29" Type="http://schemas.openxmlformats.org/officeDocument/2006/relationships/footer" Target="footer14.xml"/><Relationship Id="rId289" Type="http://schemas.openxmlformats.org/officeDocument/2006/relationships/image" Target="media/image21.png"/><Relationship Id="rId288" Type="http://schemas.openxmlformats.org/officeDocument/2006/relationships/image" Target="media/image20.jpeg"/><Relationship Id="rId287" Type="http://schemas.openxmlformats.org/officeDocument/2006/relationships/image" Target="media/image19.png"/><Relationship Id="rId286" Type="http://schemas.openxmlformats.org/officeDocument/2006/relationships/image" Target="media/image18.png"/><Relationship Id="rId285" Type="http://schemas.openxmlformats.org/officeDocument/2006/relationships/image" Target="media/image17.png"/><Relationship Id="rId284" Type="http://schemas.openxmlformats.org/officeDocument/2006/relationships/image" Target="media/image16.png"/><Relationship Id="rId283" Type="http://schemas.openxmlformats.org/officeDocument/2006/relationships/image" Target="media/image15.png"/><Relationship Id="rId282" Type="http://schemas.openxmlformats.org/officeDocument/2006/relationships/image" Target="media/image14.png"/><Relationship Id="rId281" Type="http://schemas.openxmlformats.org/officeDocument/2006/relationships/image" Target="media/image13.jpeg"/><Relationship Id="rId280" Type="http://schemas.openxmlformats.org/officeDocument/2006/relationships/image" Target="media/image12.png"/><Relationship Id="rId28" Type="http://schemas.openxmlformats.org/officeDocument/2006/relationships/footer" Target="footer13.xml"/><Relationship Id="rId279" Type="http://schemas.openxmlformats.org/officeDocument/2006/relationships/image" Target="media/image11.jpeg"/><Relationship Id="rId278" Type="http://schemas.openxmlformats.org/officeDocument/2006/relationships/image" Target="media/image10.jpeg"/><Relationship Id="rId277" Type="http://schemas.openxmlformats.org/officeDocument/2006/relationships/image" Target="media/image9.jpeg"/><Relationship Id="rId276" Type="http://schemas.openxmlformats.org/officeDocument/2006/relationships/image" Target="media/image8.jpeg"/><Relationship Id="rId275" Type="http://schemas.openxmlformats.org/officeDocument/2006/relationships/image" Target="media/image7.jpeg"/><Relationship Id="rId274" Type="http://schemas.openxmlformats.org/officeDocument/2006/relationships/image" Target="media/image6.jpeg"/><Relationship Id="rId273" Type="http://schemas.openxmlformats.org/officeDocument/2006/relationships/image" Target="media/image5.png"/><Relationship Id="rId272" Type="http://schemas.openxmlformats.org/officeDocument/2006/relationships/image" Target="media/image4.jpeg"/><Relationship Id="rId271" Type="http://schemas.openxmlformats.org/officeDocument/2006/relationships/image" Target="media/image3.jpeg"/><Relationship Id="rId270" Type="http://schemas.openxmlformats.org/officeDocument/2006/relationships/image" Target="media/image2.jpeg"/><Relationship Id="rId27" Type="http://schemas.openxmlformats.org/officeDocument/2006/relationships/header" Target="header11.xml"/><Relationship Id="rId269" Type="http://schemas.openxmlformats.org/officeDocument/2006/relationships/image" Target="media/image1.png"/><Relationship Id="rId268" Type="http://schemas.openxmlformats.org/officeDocument/2006/relationships/theme" Target="theme/theme1.xml"/><Relationship Id="rId267" Type="http://schemas.openxmlformats.org/officeDocument/2006/relationships/footer" Target="footer154.xml"/><Relationship Id="rId266" Type="http://schemas.openxmlformats.org/officeDocument/2006/relationships/header" Target="header109.xml"/><Relationship Id="rId265" Type="http://schemas.openxmlformats.org/officeDocument/2006/relationships/footer" Target="footer153.xml"/><Relationship Id="rId264" Type="http://schemas.openxmlformats.org/officeDocument/2006/relationships/header" Target="header108.xml"/><Relationship Id="rId263" Type="http://schemas.openxmlformats.org/officeDocument/2006/relationships/footer" Target="footer152.xml"/><Relationship Id="rId262" Type="http://schemas.openxmlformats.org/officeDocument/2006/relationships/header" Target="header107.xml"/><Relationship Id="rId261" Type="http://schemas.openxmlformats.org/officeDocument/2006/relationships/footer" Target="footer151.xml"/><Relationship Id="rId260" Type="http://schemas.openxmlformats.org/officeDocument/2006/relationships/footer" Target="footer150.xml"/><Relationship Id="rId26" Type="http://schemas.openxmlformats.org/officeDocument/2006/relationships/footer" Target="footer12.xml"/><Relationship Id="rId259" Type="http://schemas.openxmlformats.org/officeDocument/2006/relationships/header" Target="header106.xml"/><Relationship Id="rId258" Type="http://schemas.openxmlformats.org/officeDocument/2006/relationships/footer" Target="footer149.xml"/><Relationship Id="rId257" Type="http://schemas.openxmlformats.org/officeDocument/2006/relationships/header" Target="header105.xml"/><Relationship Id="rId256" Type="http://schemas.openxmlformats.org/officeDocument/2006/relationships/footer" Target="footer148.xml"/><Relationship Id="rId255" Type="http://schemas.openxmlformats.org/officeDocument/2006/relationships/header" Target="header104.xml"/><Relationship Id="rId254" Type="http://schemas.openxmlformats.org/officeDocument/2006/relationships/footer" Target="footer147.xml"/><Relationship Id="rId253" Type="http://schemas.openxmlformats.org/officeDocument/2006/relationships/header" Target="header103.xml"/><Relationship Id="rId252" Type="http://schemas.openxmlformats.org/officeDocument/2006/relationships/footer" Target="footer146.xml"/><Relationship Id="rId251" Type="http://schemas.openxmlformats.org/officeDocument/2006/relationships/header" Target="header102.xml"/><Relationship Id="rId250" Type="http://schemas.openxmlformats.org/officeDocument/2006/relationships/footer" Target="footer145.xml"/><Relationship Id="rId25" Type="http://schemas.openxmlformats.org/officeDocument/2006/relationships/footer" Target="footer11.xml"/><Relationship Id="rId249" Type="http://schemas.openxmlformats.org/officeDocument/2006/relationships/header" Target="header101.xml"/><Relationship Id="rId248" Type="http://schemas.openxmlformats.org/officeDocument/2006/relationships/footer" Target="footer144.xml"/><Relationship Id="rId247" Type="http://schemas.openxmlformats.org/officeDocument/2006/relationships/header" Target="header100.xml"/><Relationship Id="rId246" Type="http://schemas.openxmlformats.org/officeDocument/2006/relationships/footer" Target="footer143.xml"/><Relationship Id="rId245" Type="http://schemas.openxmlformats.org/officeDocument/2006/relationships/header" Target="header99.xml"/><Relationship Id="rId244" Type="http://schemas.openxmlformats.org/officeDocument/2006/relationships/footer" Target="footer142.xml"/><Relationship Id="rId243" Type="http://schemas.openxmlformats.org/officeDocument/2006/relationships/header" Target="header98.xml"/><Relationship Id="rId242" Type="http://schemas.openxmlformats.org/officeDocument/2006/relationships/footer" Target="footer141.xml"/><Relationship Id="rId241" Type="http://schemas.openxmlformats.org/officeDocument/2006/relationships/footer" Target="footer140.xml"/><Relationship Id="rId240" Type="http://schemas.openxmlformats.org/officeDocument/2006/relationships/header" Target="header97.xml"/><Relationship Id="rId24" Type="http://schemas.openxmlformats.org/officeDocument/2006/relationships/header" Target="header10.xml"/><Relationship Id="rId239" Type="http://schemas.openxmlformats.org/officeDocument/2006/relationships/footer" Target="footer139.xml"/><Relationship Id="rId238" Type="http://schemas.openxmlformats.org/officeDocument/2006/relationships/header" Target="header96.xml"/><Relationship Id="rId237" Type="http://schemas.openxmlformats.org/officeDocument/2006/relationships/footer" Target="footer138.xml"/><Relationship Id="rId236" Type="http://schemas.openxmlformats.org/officeDocument/2006/relationships/header" Target="header95.xml"/><Relationship Id="rId235" Type="http://schemas.openxmlformats.org/officeDocument/2006/relationships/footer" Target="footer137.xml"/><Relationship Id="rId234" Type="http://schemas.openxmlformats.org/officeDocument/2006/relationships/header" Target="header94.xml"/><Relationship Id="rId233" Type="http://schemas.openxmlformats.org/officeDocument/2006/relationships/footer" Target="footer136.xml"/><Relationship Id="rId232" Type="http://schemas.openxmlformats.org/officeDocument/2006/relationships/header" Target="header93.xml"/><Relationship Id="rId231" Type="http://schemas.openxmlformats.org/officeDocument/2006/relationships/footer" Target="footer135.xml"/><Relationship Id="rId230" Type="http://schemas.openxmlformats.org/officeDocument/2006/relationships/header" Target="header92.xml"/><Relationship Id="rId23" Type="http://schemas.openxmlformats.org/officeDocument/2006/relationships/footer" Target="footer10.xml"/><Relationship Id="rId229" Type="http://schemas.openxmlformats.org/officeDocument/2006/relationships/footer" Target="footer134.xml"/><Relationship Id="rId228" Type="http://schemas.openxmlformats.org/officeDocument/2006/relationships/footer" Target="footer133.xml"/><Relationship Id="rId227" Type="http://schemas.openxmlformats.org/officeDocument/2006/relationships/header" Target="header91.xml"/><Relationship Id="rId226" Type="http://schemas.openxmlformats.org/officeDocument/2006/relationships/footer" Target="footer132.xml"/><Relationship Id="rId225" Type="http://schemas.openxmlformats.org/officeDocument/2006/relationships/footer" Target="footer131.xml"/><Relationship Id="rId224" Type="http://schemas.openxmlformats.org/officeDocument/2006/relationships/footer" Target="footer130.xml"/><Relationship Id="rId223" Type="http://schemas.openxmlformats.org/officeDocument/2006/relationships/header" Target="header90.xml"/><Relationship Id="rId222" Type="http://schemas.openxmlformats.org/officeDocument/2006/relationships/footer" Target="footer129.xml"/><Relationship Id="rId221" Type="http://schemas.openxmlformats.org/officeDocument/2006/relationships/header" Target="header89.xml"/><Relationship Id="rId220" Type="http://schemas.openxmlformats.org/officeDocument/2006/relationships/footer" Target="footer128.xml"/><Relationship Id="rId22" Type="http://schemas.openxmlformats.org/officeDocument/2006/relationships/header" Target="header9.xml"/><Relationship Id="rId219" Type="http://schemas.openxmlformats.org/officeDocument/2006/relationships/header" Target="header88.xml"/><Relationship Id="rId218" Type="http://schemas.openxmlformats.org/officeDocument/2006/relationships/footer" Target="footer127.xml"/><Relationship Id="rId217" Type="http://schemas.openxmlformats.org/officeDocument/2006/relationships/footer" Target="footer126.xml"/><Relationship Id="rId216" Type="http://schemas.openxmlformats.org/officeDocument/2006/relationships/header" Target="header87.xml"/><Relationship Id="rId215" Type="http://schemas.openxmlformats.org/officeDocument/2006/relationships/footer" Target="footer125.xml"/><Relationship Id="rId214" Type="http://schemas.openxmlformats.org/officeDocument/2006/relationships/footer" Target="footer124.xml"/><Relationship Id="rId213" Type="http://schemas.openxmlformats.org/officeDocument/2006/relationships/header" Target="header86.xml"/><Relationship Id="rId212" Type="http://schemas.openxmlformats.org/officeDocument/2006/relationships/footer" Target="footer123.xml"/><Relationship Id="rId211" Type="http://schemas.openxmlformats.org/officeDocument/2006/relationships/header" Target="header85.xml"/><Relationship Id="rId210" Type="http://schemas.openxmlformats.org/officeDocument/2006/relationships/footer" Target="footer122.xml"/><Relationship Id="rId21" Type="http://schemas.openxmlformats.org/officeDocument/2006/relationships/footer" Target="footer9.xml"/><Relationship Id="rId209" Type="http://schemas.openxmlformats.org/officeDocument/2006/relationships/header" Target="header84.xml"/><Relationship Id="rId208" Type="http://schemas.openxmlformats.org/officeDocument/2006/relationships/footer" Target="footer121.xml"/><Relationship Id="rId207" Type="http://schemas.openxmlformats.org/officeDocument/2006/relationships/header" Target="header83.xml"/><Relationship Id="rId206" Type="http://schemas.openxmlformats.org/officeDocument/2006/relationships/footer" Target="footer120.xml"/><Relationship Id="rId205" Type="http://schemas.openxmlformats.org/officeDocument/2006/relationships/footer" Target="footer119.xml"/><Relationship Id="rId204" Type="http://schemas.openxmlformats.org/officeDocument/2006/relationships/header" Target="header82.xml"/><Relationship Id="rId203" Type="http://schemas.openxmlformats.org/officeDocument/2006/relationships/footer" Target="footer118.xml"/><Relationship Id="rId202" Type="http://schemas.openxmlformats.org/officeDocument/2006/relationships/header" Target="header81.xml"/><Relationship Id="rId201" Type="http://schemas.openxmlformats.org/officeDocument/2006/relationships/footer" Target="footer117.xml"/><Relationship Id="rId200" Type="http://schemas.openxmlformats.org/officeDocument/2006/relationships/header" Target="header80.xml"/><Relationship Id="rId20" Type="http://schemas.openxmlformats.org/officeDocument/2006/relationships/header" Target="header8.xml"/><Relationship Id="rId2" Type="http://schemas.openxmlformats.org/officeDocument/2006/relationships/settings" Target="settings.xml"/><Relationship Id="rId199" Type="http://schemas.openxmlformats.org/officeDocument/2006/relationships/footer" Target="footer116.xml"/><Relationship Id="rId198" Type="http://schemas.openxmlformats.org/officeDocument/2006/relationships/header" Target="header79.xml"/><Relationship Id="rId197" Type="http://schemas.openxmlformats.org/officeDocument/2006/relationships/footer" Target="footer115.xml"/><Relationship Id="rId196" Type="http://schemas.openxmlformats.org/officeDocument/2006/relationships/header" Target="header78.xml"/><Relationship Id="rId195" Type="http://schemas.openxmlformats.org/officeDocument/2006/relationships/footer" Target="footer114.xml"/><Relationship Id="rId194" Type="http://schemas.openxmlformats.org/officeDocument/2006/relationships/header" Target="header77.xml"/><Relationship Id="rId193" Type="http://schemas.openxmlformats.org/officeDocument/2006/relationships/footer" Target="footer113.xml"/><Relationship Id="rId192" Type="http://schemas.openxmlformats.org/officeDocument/2006/relationships/header" Target="header76.xml"/><Relationship Id="rId191" Type="http://schemas.openxmlformats.org/officeDocument/2006/relationships/footer" Target="footer112.xml"/><Relationship Id="rId190" Type="http://schemas.openxmlformats.org/officeDocument/2006/relationships/header" Target="header75.xml"/><Relationship Id="rId19" Type="http://schemas.openxmlformats.org/officeDocument/2006/relationships/footer" Target="footer8.xml"/><Relationship Id="rId189" Type="http://schemas.openxmlformats.org/officeDocument/2006/relationships/footer" Target="footer111.xml"/><Relationship Id="rId188" Type="http://schemas.openxmlformats.org/officeDocument/2006/relationships/header" Target="header74.xml"/><Relationship Id="rId187" Type="http://schemas.openxmlformats.org/officeDocument/2006/relationships/footer" Target="footer110.xml"/><Relationship Id="rId186" Type="http://schemas.openxmlformats.org/officeDocument/2006/relationships/header" Target="header73.xml"/><Relationship Id="rId185" Type="http://schemas.openxmlformats.org/officeDocument/2006/relationships/footer" Target="footer109.xml"/><Relationship Id="rId184" Type="http://schemas.openxmlformats.org/officeDocument/2006/relationships/header" Target="header72.xml"/><Relationship Id="rId183" Type="http://schemas.openxmlformats.org/officeDocument/2006/relationships/footer" Target="footer108.xml"/><Relationship Id="rId182" Type="http://schemas.openxmlformats.org/officeDocument/2006/relationships/header" Target="header71.xml"/><Relationship Id="rId181" Type="http://schemas.openxmlformats.org/officeDocument/2006/relationships/footer" Target="footer107.xml"/><Relationship Id="rId180" Type="http://schemas.openxmlformats.org/officeDocument/2006/relationships/header" Target="header70.xml"/><Relationship Id="rId18" Type="http://schemas.openxmlformats.org/officeDocument/2006/relationships/header" Target="header7.xml"/><Relationship Id="rId179" Type="http://schemas.openxmlformats.org/officeDocument/2006/relationships/footer" Target="footer106.xml"/><Relationship Id="rId178" Type="http://schemas.openxmlformats.org/officeDocument/2006/relationships/header" Target="header69.xml"/><Relationship Id="rId177" Type="http://schemas.openxmlformats.org/officeDocument/2006/relationships/footer" Target="footer105.xml"/><Relationship Id="rId176" Type="http://schemas.openxmlformats.org/officeDocument/2006/relationships/header" Target="header68.xml"/><Relationship Id="rId175" Type="http://schemas.openxmlformats.org/officeDocument/2006/relationships/footer" Target="footer104.xml"/><Relationship Id="rId174" Type="http://schemas.openxmlformats.org/officeDocument/2006/relationships/header" Target="header67.xml"/><Relationship Id="rId173" Type="http://schemas.openxmlformats.org/officeDocument/2006/relationships/footer" Target="footer103.xml"/><Relationship Id="rId172" Type="http://schemas.openxmlformats.org/officeDocument/2006/relationships/header" Target="header66.xml"/><Relationship Id="rId171" Type="http://schemas.openxmlformats.org/officeDocument/2006/relationships/footer" Target="footer102.xml"/><Relationship Id="rId170" Type="http://schemas.openxmlformats.org/officeDocument/2006/relationships/footer" Target="footer101.xml"/><Relationship Id="rId17" Type="http://schemas.openxmlformats.org/officeDocument/2006/relationships/footer" Target="footer7.xml"/><Relationship Id="rId169" Type="http://schemas.openxmlformats.org/officeDocument/2006/relationships/header" Target="header65.xml"/><Relationship Id="rId168" Type="http://schemas.openxmlformats.org/officeDocument/2006/relationships/footer" Target="footer100.xml"/><Relationship Id="rId167" Type="http://schemas.openxmlformats.org/officeDocument/2006/relationships/header" Target="header64.xml"/><Relationship Id="rId166" Type="http://schemas.openxmlformats.org/officeDocument/2006/relationships/footer" Target="footer99.xml"/><Relationship Id="rId165" Type="http://schemas.openxmlformats.org/officeDocument/2006/relationships/header" Target="header63.xml"/><Relationship Id="rId164" Type="http://schemas.openxmlformats.org/officeDocument/2006/relationships/footer" Target="footer98.xml"/><Relationship Id="rId163" Type="http://schemas.openxmlformats.org/officeDocument/2006/relationships/header" Target="header62.xml"/><Relationship Id="rId162" Type="http://schemas.openxmlformats.org/officeDocument/2006/relationships/footer" Target="footer97.xml"/><Relationship Id="rId161" Type="http://schemas.openxmlformats.org/officeDocument/2006/relationships/header" Target="header61.xml"/><Relationship Id="rId160" Type="http://schemas.openxmlformats.org/officeDocument/2006/relationships/footer" Target="footer96.xml"/><Relationship Id="rId16" Type="http://schemas.openxmlformats.org/officeDocument/2006/relationships/footer" Target="footer6.xml"/><Relationship Id="rId159" Type="http://schemas.openxmlformats.org/officeDocument/2006/relationships/header" Target="header60.xml"/><Relationship Id="rId158" Type="http://schemas.openxmlformats.org/officeDocument/2006/relationships/footer" Target="footer95.xml"/><Relationship Id="rId157" Type="http://schemas.openxmlformats.org/officeDocument/2006/relationships/header" Target="header59.xml"/><Relationship Id="rId156" Type="http://schemas.openxmlformats.org/officeDocument/2006/relationships/footer" Target="footer94.xml"/><Relationship Id="rId155" Type="http://schemas.openxmlformats.org/officeDocument/2006/relationships/header" Target="header58.xml"/><Relationship Id="rId154" Type="http://schemas.openxmlformats.org/officeDocument/2006/relationships/footer" Target="footer93.xml"/><Relationship Id="rId153" Type="http://schemas.openxmlformats.org/officeDocument/2006/relationships/header" Target="header57.xml"/><Relationship Id="rId152" Type="http://schemas.openxmlformats.org/officeDocument/2006/relationships/footer" Target="footer92.xml"/><Relationship Id="rId151" Type="http://schemas.openxmlformats.org/officeDocument/2006/relationships/header" Target="header56.xml"/><Relationship Id="rId150" Type="http://schemas.openxmlformats.org/officeDocument/2006/relationships/footer" Target="footer91.xml"/><Relationship Id="rId15" Type="http://schemas.openxmlformats.org/officeDocument/2006/relationships/header" Target="header6.xml"/><Relationship Id="rId149" Type="http://schemas.openxmlformats.org/officeDocument/2006/relationships/header" Target="header55.xml"/><Relationship Id="rId148" Type="http://schemas.openxmlformats.org/officeDocument/2006/relationships/footer" Target="footer90.xml"/><Relationship Id="rId147" Type="http://schemas.openxmlformats.org/officeDocument/2006/relationships/header" Target="header54.xml"/><Relationship Id="rId146" Type="http://schemas.openxmlformats.org/officeDocument/2006/relationships/footer" Target="footer89.xml"/><Relationship Id="rId145" Type="http://schemas.openxmlformats.org/officeDocument/2006/relationships/header" Target="header53.xml"/><Relationship Id="rId144" Type="http://schemas.openxmlformats.org/officeDocument/2006/relationships/footer" Target="footer88.xml"/><Relationship Id="rId143" Type="http://schemas.openxmlformats.org/officeDocument/2006/relationships/header" Target="header52.xml"/><Relationship Id="rId142" Type="http://schemas.openxmlformats.org/officeDocument/2006/relationships/footer" Target="footer87.xml"/><Relationship Id="rId141" Type="http://schemas.openxmlformats.org/officeDocument/2006/relationships/footer" Target="footer86.xml"/><Relationship Id="rId140" Type="http://schemas.openxmlformats.org/officeDocument/2006/relationships/footer" Target="footer85.xml"/><Relationship Id="rId14" Type="http://schemas.openxmlformats.org/officeDocument/2006/relationships/footer" Target="footer5.xml"/><Relationship Id="rId139" Type="http://schemas.openxmlformats.org/officeDocument/2006/relationships/footer" Target="footer84.xml"/><Relationship Id="rId138" Type="http://schemas.openxmlformats.org/officeDocument/2006/relationships/header" Target="header51.xml"/><Relationship Id="rId137" Type="http://schemas.openxmlformats.org/officeDocument/2006/relationships/footer" Target="footer83.xml"/><Relationship Id="rId136" Type="http://schemas.openxmlformats.org/officeDocument/2006/relationships/footer" Target="footer82.xml"/><Relationship Id="rId135" Type="http://schemas.openxmlformats.org/officeDocument/2006/relationships/header" Target="header50.xml"/><Relationship Id="rId134" Type="http://schemas.openxmlformats.org/officeDocument/2006/relationships/footer" Target="footer81.xml"/><Relationship Id="rId133" Type="http://schemas.openxmlformats.org/officeDocument/2006/relationships/header" Target="header49.xml"/><Relationship Id="rId132" Type="http://schemas.openxmlformats.org/officeDocument/2006/relationships/footer" Target="footer80.xml"/><Relationship Id="rId131" Type="http://schemas.openxmlformats.org/officeDocument/2006/relationships/footer" Target="footer79.xml"/><Relationship Id="rId130" Type="http://schemas.openxmlformats.org/officeDocument/2006/relationships/footer" Target="footer78.xml"/><Relationship Id="rId13" Type="http://schemas.openxmlformats.org/officeDocument/2006/relationships/header" Target="header5.xml"/><Relationship Id="rId129" Type="http://schemas.openxmlformats.org/officeDocument/2006/relationships/header" Target="header48.xml"/><Relationship Id="rId128" Type="http://schemas.openxmlformats.org/officeDocument/2006/relationships/footer" Target="footer77.xml"/><Relationship Id="rId127" Type="http://schemas.openxmlformats.org/officeDocument/2006/relationships/header" Target="header47.xml"/><Relationship Id="rId126" Type="http://schemas.openxmlformats.org/officeDocument/2006/relationships/footer" Target="footer76.xml"/><Relationship Id="rId125" Type="http://schemas.openxmlformats.org/officeDocument/2006/relationships/header" Target="header46.xml"/><Relationship Id="rId124" Type="http://schemas.openxmlformats.org/officeDocument/2006/relationships/footer" Target="footer75.xml"/><Relationship Id="rId123" Type="http://schemas.openxmlformats.org/officeDocument/2006/relationships/header" Target="header45.xml"/><Relationship Id="rId122" Type="http://schemas.openxmlformats.org/officeDocument/2006/relationships/footer" Target="footer74.xml"/><Relationship Id="rId121" Type="http://schemas.openxmlformats.org/officeDocument/2006/relationships/header" Target="header44.xml"/><Relationship Id="rId120" Type="http://schemas.openxmlformats.org/officeDocument/2006/relationships/footer" Target="footer73.xml"/><Relationship Id="rId12" Type="http://schemas.openxmlformats.org/officeDocument/2006/relationships/footer" Target="footer4.xml"/><Relationship Id="rId119" Type="http://schemas.openxmlformats.org/officeDocument/2006/relationships/header" Target="header43.xml"/><Relationship Id="rId118" Type="http://schemas.openxmlformats.org/officeDocument/2006/relationships/footer" Target="footer72.xml"/><Relationship Id="rId117" Type="http://schemas.openxmlformats.org/officeDocument/2006/relationships/header" Target="header42.xml"/><Relationship Id="rId116" Type="http://schemas.openxmlformats.org/officeDocument/2006/relationships/footer" Target="footer71.xml"/><Relationship Id="rId115" Type="http://schemas.openxmlformats.org/officeDocument/2006/relationships/footer" Target="footer70.xml"/><Relationship Id="rId114" Type="http://schemas.openxmlformats.org/officeDocument/2006/relationships/footer" Target="footer69.xml"/><Relationship Id="rId113" Type="http://schemas.openxmlformats.org/officeDocument/2006/relationships/header" Target="header41.xml"/><Relationship Id="rId112" Type="http://schemas.openxmlformats.org/officeDocument/2006/relationships/footer" Target="footer68.xml"/><Relationship Id="rId111" Type="http://schemas.openxmlformats.org/officeDocument/2006/relationships/header" Target="header40.xml"/><Relationship Id="rId110" Type="http://schemas.openxmlformats.org/officeDocument/2006/relationships/footer" Target="footer67.xml"/><Relationship Id="rId11" Type="http://schemas.openxmlformats.org/officeDocument/2006/relationships/header" Target="header4.xml"/><Relationship Id="rId109" Type="http://schemas.openxmlformats.org/officeDocument/2006/relationships/header" Target="header39.xml"/><Relationship Id="rId108" Type="http://schemas.openxmlformats.org/officeDocument/2006/relationships/footer" Target="footer66.xml"/><Relationship Id="rId107" Type="http://schemas.openxmlformats.org/officeDocument/2006/relationships/header" Target="header38.xml"/><Relationship Id="rId106" Type="http://schemas.openxmlformats.org/officeDocument/2006/relationships/footer" Target="footer65.xml"/><Relationship Id="rId105" Type="http://schemas.openxmlformats.org/officeDocument/2006/relationships/header" Target="header37.xml"/><Relationship Id="rId104" Type="http://schemas.openxmlformats.org/officeDocument/2006/relationships/footer" Target="footer64.xml"/><Relationship Id="rId103" Type="http://schemas.openxmlformats.org/officeDocument/2006/relationships/header" Target="header36.xml"/><Relationship Id="rId102" Type="http://schemas.openxmlformats.org/officeDocument/2006/relationships/footer" Target="footer63.xml"/><Relationship Id="rId101" Type="http://schemas.openxmlformats.org/officeDocument/2006/relationships/header" Target="header35.xml"/><Relationship Id="rId100" Type="http://schemas.openxmlformats.org/officeDocument/2006/relationships/footer" Target="footer62.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1026"/>
    <customShpInfo spid="_x0000_s1028"/>
    <customShpInfo spid="_x0000_s1029"/>
    <customShpInfo spid="_x0000_s1027"/>
    <customShpInfo spid="_x0000_s1030"/>
    <customShpInfo spid="_x0000_s1032"/>
    <customShpInfo spid="_x0000_s1033"/>
    <customShpInfo spid="_x0000_s1031"/>
    <customShpInfo spid="_x0000_s1035"/>
    <customShpInfo spid="_x0000_s1036"/>
    <customShpInfo spid="_x0000_s1034"/>
    <customShpInfo spid="_x0000_s1038"/>
    <customShpInfo spid="_x0000_s1039"/>
    <customShpInfo spid="_x0000_s1037"/>
    <customShpInfo spid="_x0000_s104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158</Pages>
  <Words>8915</Words>
  <Characters>9990</Characters>
  <TotalTime>4</TotalTime>
  <ScaleCrop>false</ScaleCrop>
  <LinksUpToDate>false</LinksUpToDate>
  <CharactersWithSpaces>11040</CharactersWithSpaces>
  <Application>WPS Office_12.1.0.21915_F1E327BC-269C-435d-A152-05C5408002CA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2025-08-05T16:31:00Z</dcterms:created>
  <dc:creator>Administrator</dc:creator>
  <cp:lastModifiedBy>刘靖</cp:lastModifiedBy>
  <dcterms:modified xsi:type="dcterms:W3CDTF">2025-08-11T04:21:43Z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2025-08-11T12:05:33Z</vt:filetime>
  </property>
  <property fmtid="{D5CDD505-2E9C-101B-9397-08002B2CF9AE}" pid="4" name="KSOTemplateDocerSaveRecord">
    <vt:lpwstr>eyJoZGlkIjoiZWRkYTI5MWEyY2VhODBjMDU5MzExNDBiODBmYWE2YTQiLCJ1c2VySWQiOiI0MTc0NDMyMDYifQ==</vt:lpwstr>
  </property>
  <property fmtid="{D5CDD505-2E9C-101B-9397-08002B2CF9AE}" pid="5" name="KSOProductBuildVer">
    <vt:lpwstr>2052-12.1.0.21915</vt:lpwstr>
  </property>
  <property fmtid="{D5CDD505-2E9C-101B-9397-08002B2CF9AE}" pid="6" name="ICV">
    <vt:lpwstr>FC052D4D5C2E4D739277D6C47CD78FE8_13</vt:lpwstr>
  </property>
</Properties>
</file>